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CA32FF" w14:textId="2F5725A3" w:rsidR="00E31C38" w:rsidRDefault="00E31C38" w:rsidP="00A84B3E">
      <w:pPr>
        <w:jc w:val="center"/>
      </w:pPr>
    </w:p>
    <w:p w14:paraId="3D4BB296" w14:textId="39FA8DCC" w:rsidR="00A84B3E" w:rsidRDefault="00A84B3E" w:rsidP="00A84B3E">
      <w:pPr>
        <w:jc w:val="center"/>
        <w:rPr>
          <w:b/>
          <w:bCs/>
          <w:sz w:val="44"/>
          <w:szCs w:val="44"/>
        </w:rPr>
      </w:pPr>
    </w:p>
    <w:p w14:paraId="5C1E9656" w14:textId="4B5269A1" w:rsidR="00A84B3E" w:rsidRDefault="00A84B3E" w:rsidP="00A84B3E">
      <w:pPr>
        <w:jc w:val="center"/>
        <w:rPr>
          <w:rFonts w:ascii="Arial" w:hAnsi="Arial" w:cs="Arial"/>
          <w:b/>
          <w:bCs/>
          <w:sz w:val="52"/>
          <w:szCs w:val="52"/>
        </w:rPr>
      </w:pPr>
    </w:p>
    <w:p w14:paraId="33AB2FBD" w14:textId="535471FB" w:rsidR="00A84B3E" w:rsidRDefault="00A84B3E" w:rsidP="00A84B3E">
      <w:pPr>
        <w:jc w:val="center"/>
        <w:rPr>
          <w:rFonts w:ascii="Arial" w:hAnsi="Arial" w:cs="Arial"/>
          <w:b/>
          <w:bCs/>
          <w:sz w:val="52"/>
          <w:szCs w:val="52"/>
        </w:rPr>
      </w:pPr>
      <w:r>
        <w:rPr>
          <w:rFonts w:ascii="Arial" w:hAnsi="Arial" w:cs="Arial"/>
          <w:b/>
          <w:bCs/>
          <w:sz w:val="52"/>
          <w:szCs w:val="52"/>
        </w:rPr>
        <w:t xml:space="preserve">Tort Law - Assignment 2: Occupiers Liability </w:t>
      </w:r>
    </w:p>
    <w:p w14:paraId="69A58166" w14:textId="0D621062" w:rsidR="00A84B3E" w:rsidRDefault="00A84B3E" w:rsidP="00A84B3E">
      <w:pPr>
        <w:jc w:val="center"/>
        <w:rPr>
          <w:rFonts w:ascii="Arial" w:hAnsi="Arial" w:cs="Arial"/>
          <w:b/>
          <w:bCs/>
          <w:sz w:val="52"/>
          <w:szCs w:val="52"/>
        </w:rPr>
      </w:pPr>
    </w:p>
    <w:p w14:paraId="061B296A" w14:textId="0B90EBFA" w:rsidR="00022441" w:rsidRDefault="00A84B3E" w:rsidP="00A84B3E">
      <w:pPr>
        <w:jc w:val="center"/>
        <w:rPr>
          <w:rFonts w:ascii="Arial" w:hAnsi="Arial" w:cs="Arial"/>
          <w:b/>
          <w:bCs/>
          <w:sz w:val="36"/>
          <w:szCs w:val="36"/>
        </w:rPr>
      </w:pPr>
      <w:r>
        <w:rPr>
          <w:rFonts w:ascii="Arial" w:hAnsi="Arial" w:cs="Arial"/>
          <w:b/>
          <w:bCs/>
          <w:sz w:val="36"/>
          <w:szCs w:val="36"/>
        </w:rPr>
        <w:t xml:space="preserve">By George </w:t>
      </w:r>
      <w:proofErr w:type="spellStart"/>
      <w:r>
        <w:rPr>
          <w:rFonts w:ascii="Arial" w:hAnsi="Arial" w:cs="Arial"/>
          <w:b/>
          <w:bCs/>
          <w:sz w:val="36"/>
          <w:szCs w:val="36"/>
        </w:rPr>
        <w:t>Lovering</w:t>
      </w:r>
      <w:proofErr w:type="spellEnd"/>
    </w:p>
    <w:p w14:paraId="51B99ECD" w14:textId="77777777" w:rsidR="00022441" w:rsidRDefault="00022441">
      <w:pPr>
        <w:rPr>
          <w:rFonts w:ascii="Arial" w:hAnsi="Arial" w:cs="Arial"/>
          <w:b/>
          <w:bCs/>
          <w:sz w:val="36"/>
          <w:szCs w:val="36"/>
        </w:rPr>
      </w:pPr>
      <w:r>
        <w:rPr>
          <w:rFonts w:ascii="Arial" w:hAnsi="Arial" w:cs="Arial"/>
          <w:b/>
          <w:bCs/>
          <w:sz w:val="36"/>
          <w:szCs w:val="36"/>
        </w:rPr>
        <w:br w:type="page"/>
      </w:r>
    </w:p>
    <w:p w14:paraId="77CE9D6B" w14:textId="68FB7E28" w:rsidR="00832F2C" w:rsidRDefault="00B55456" w:rsidP="00654065">
      <w:pPr>
        <w:spacing w:line="480" w:lineRule="auto"/>
        <w:rPr>
          <w:rFonts w:ascii="Arial" w:hAnsi="Arial" w:cs="Arial"/>
          <w:sz w:val="24"/>
          <w:szCs w:val="24"/>
        </w:rPr>
      </w:pPr>
      <w:r>
        <w:rPr>
          <w:rFonts w:ascii="Arial" w:hAnsi="Arial" w:cs="Arial"/>
          <w:sz w:val="24"/>
          <w:szCs w:val="24"/>
        </w:rPr>
        <w:lastRenderedPageBreak/>
        <w:t xml:space="preserve">During this analysis, the Occupiers’ Liability Act 1957 and the Occupiers’ Liability Act 1984 will be discussed extensively, with sections and relative parts of the act being dissected to get a better understanding. Additionally, cases that relate to the Occupiers’ Liability Acts shall also be discussed as it displays the affect that this piece of legislation </w:t>
      </w:r>
      <w:proofErr w:type="spellStart"/>
      <w:proofErr w:type="gramStart"/>
      <w:r>
        <w:rPr>
          <w:rFonts w:ascii="Arial" w:hAnsi="Arial" w:cs="Arial"/>
          <w:sz w:val="24"/>
          <w:szCs w:val="24"/>
        </w:rPr>
        <w:t>has.</w:t>
      </w:r>
      <w:r w:rsidR="00711B7E">
        <w:rPr>
          <w:rFonts w:ascii="Arial" w:hAnsi="Arial" w:cs="Arial"/>
          <w:sz w:val="24"/>
          <w:szCs w:val="24"/>
        </w:rPr>
        <w:t>To</w:t>
      </w:r>
      <w:proofErr w:type="spellEnd"/>
      <w:proofErr w:type="gramEnd"/>
      <w:r w:rsidR="00711B7E">
        <w:rPr>
          <w:rFonts w:ascii="Arial" w:hAnsi="Arial" w:cs="Arial"/>
          <w:sz w:val="24"/>
          <w:szCs w:val="24"/>
        </w:rPr>
        <w:t xml:space="preserve"> analyse the extent to which homeowners and occupants are protected against other people who come onto their premises, the foundation for this from a legal standpoint can be found within the Occupiers’ Liability Act 1957 and the Occupiers’ Liability Act 1984. The two acts that can provide these protections, can also determine what is a fair </w:t>
      </w:r>
      <w:r w:rsidR="00632C52">
        <w:rPr>
          <w:rFonts w:ascii="Arial" w:hAnsi="Arial" w:cs="Arial"/>
          <w:sz w:val="24"/>
          <w:szCs w:val="24"/>
        </w:rPr>
        <w:t xml:space="preserve">claim </w:t>
      </w:r>
      <w:r w:rsidR="00711B7E">
        <w:rPr>
          <w:rFonts w:ascii="Arial" w:hAnsi="Arial" w:cs="Arial"/>
          <w:sz w:val="24"/>
          <w:szCs w:val="24"/>
        </w:rPr>
        <w:t>and an unfair claim against occupiers, in terms of liability and a</w:t>
      </w:r>
      <w:r w:rsidR="00B06178">
        <w:rPr>
          <w:rFonts w:ascii="Arial" w:hAnsi="Arial" w:cs="Arial"/>
          <w:sz w:val="24"/>
          <w:szCs w:val="24"/>
        </w:rPr>
        <w:t xml:space="preserve"> potential</w:t>
      </w:r>
      <w:r w:rsidR="00711B7E">
        <w:rPr>
          <w:rFonts w:ascii="Arial" w:hAnsi="Arial" w:cs="Arial"/>
          <w:sz w:val="24"/>
          <w:szCs w:val="24"/>
        </w:rPr>
        <w:t xml:space="preserve"> breach of duty. </w:t>
      </w:r>
    </w:p>
    <w:p w14:paraId="40735F65" w14:textId="4FC947A6" w:rsidR="00484FB6" w:rsidRPr="00C22321" w:rsidRDefault="00BA04D5" w:rsidP="00654065">
      <w:pPr>
        <w:spacing w:line="480" w:lineRule="auto"/>
        <w:rPr>
          <w:rFonts w:ascii="Arial" w:hAnsi="Arial" w:cs="Arial"/>
          <w:sz w:val="24"/>
          <w:szCs w:val="24"/>
        </w:rPr>
      </w:pPr>
      <w:r>
        <w:rPr>
          <w:rFonts w:ascii="Arial" w:hAnsi="Arial" w:cs="Arial"/>
          <w:sz w:val="24"/>
          <w:szCs w:val="24"/>
        </w:rPr>
        <w:t xml:space="preserve">Firstly, there must be an understanding of the fundamental key principles, for example, the definition of an occupier and whether this is stated through case law or legislation. The definition of an occupier </w:t>
      </w:r>
      <w:r w:rsidR="00D43E75">
        <w:rPr>
          <w:rFonts w:ascii="Arial" w:hAnsi="Arial" w:cs="Arial"/>
          <w:sz w:val="24"/>
          <w:szCs w:val="24"/>
        </w:rPr>
        <w:t xml:space="preserve">isn’t stated in the Occupiers’ Liability Acts, however because it is a broad term, the definition can easily be found in common law and is defined in cases, such as the case of </w:t>
      </w:r>
      <w:bookmarkStart w:id="0" w:name="_Hlk60950223"/>
      <w:r w:rsidR="00D43E75" w:rsidRPr="00D43E75">
        <w:rPr>
          <w:rStyle w:val="Emphasis"/>
          <w:rFonts w:ascii="Arial" w:hAnsi="Arial" w:cs="Arial"/>
          <w:sz w:val="24"/>
          <w:szCs w:val="24"/>
        </w:rPr>
        <w:t xml:space="preserve">Wheat v E </w:t>
      </w:r>
      <w:proofErr w:type="spellStart"/>
      <w:r w:rsidR="00D43E75" w:rsidRPr="00D43E75">
        <w:rPr>
          <w:rStyle w:val="Emphasis"/>
          <w:rFonts w:ascii="Arial" w:hAnsi="Arial" w:cs="Arial"/>
          <w:sz w:val="24"/>
          <w:szCs w:val="24"/>
        </w:rPr>
        <w:t>Lacon</w:t>
      </w:r>
      <w:proofErr w:type="spellEnd"/>
      <w:r w:rsidR="00D43E75" w:rsidRPr="00D43E75">
        <w:rPr>
          <w:rStyle w:val="Emphasis"/>
          <w:rFonts w:ascii="Arial" w:hAnsi="Arial" w:cs="Arial"/>
          <w:sz w:val="24"/>
          <w:szCs w:val="24"/>
        </w:rPr>
        <w:t xml:space="preserve"> &amp; Co Ltd</w:t>
      </w:r>
      <w:r w:rsidR="00D43E75" w:rsidRPr="00D43E75">
        <w:rPr>
          <w:rFonts w:ascii="Arial" w:hAnsi="Arial" w:cs="Arial"/>
          <w:sz w:val="24"/>
          <w:szCs w:val="24"/>
          <w:shd w:val="clear" w:color="auto" w:fill="FFFFFF"/>
        </w:rPr>
        <w:t xml:space="preserve"> [1966]. </w:t>
      </w:r>
      <w:bookmarkEnd w:id="0"/>
      <w:r w:rsidR="00D43E75" w:rsidRPr="00D43E75">
        <w:rPr>
          <w:rFonts w:ascii="Arial" w:hAnsi="Arial" w:cs="Arial"/>
          <w:sz w:val="24"/>
          <w:szCs w:val="24"/>
          <w:shd w:val="clear" w:color="auto" w:fill="FFFFFF"/>
        </w:rPr>
        <w:t xml:space="preserve">In this case, </w:t>
      </w:r>
      <w:r w:rsidR="00D43E75">
        <w:rPr>
          <w:rFonts w:ascii="Arial" w:hAnsi="Arial" w:cs="Arial"/>
          <w:sz w:val="24"/>
          <w:szCs w:val="24"/>
          <w:shd w:val="clear" w:color="auto" w:fill="FFFFFF"/>
        </w:rPr>
        <w:t>the definition provided is</w:t>
      </w:r>
      <w:r w:rsidR="00D43E75" w:rsidRPr="00D43E75">
        <w:rPr>
          <w:rFonts w:ascii="Arial" w:hAnsi="Arial" w:cs="Arial"/>
          <w:sz w:val="24"/>
          <w:szCs w:val="24"/>
          <w:shd w:val="clear" w:color="auto" w:fill="FFFFFF"/>
        </w:rPr>
        <w:t xml:space="preserve"> “An occupier is simply a party who exercises an element of control over premises</w:t>
      </w:r>
      <w:r w:rsidR="00D43E75" w:rsidRPr="00D43E75">
        <w:rPr>
          <w:rFonts w:ascii="Arial" w:hAnsi="Arial" w:cs="Arial"/>
          <w:sz w:val="24"/>
          <w:szCs w:val="24"/>
        </w:rPr>
        <w:t>”</w:t>
      </w:r>
      <w:r w:rsidR="00D43E75">
        <w:rPr>
          <w:rFonts w:ascii="Arial" w:hAnsi="Arial" w:cs="Arial"/>
          <w:sz w:val="24"/>
          <w:szCs w:val="24"/>
        </w:rPr>
        <w:t xml:space="preserve">. Now, looking at the definition provided in Wheat v E </w:t>
      </w:r>
      <w:proofErr w:type="spellStart"/>
      <w:r w:rsidR="00D43E75">
        <w:rPr>
          <w:rFonts w:ascii="Arial" w:hAnsi="Arial" w:cs="Arial"/>
          <w:sz w:val="24"/>
          <w:szCs w:val="24"/>
        </w:rPr>
        <w:t>Lacon</w:t>
      </w:r>
      <w:proofErr w:type="spellEnd"/>
      <w:r w:rsidR="00D43E75">
        <w:rPr>
          <w:rFonts w:ascii="Arial" w:hAnsi="Arial" w:cs="Arial"/>
          <w:sz w:val="24"/>
          <w:szCs w:val="24"/>
        </w:rPr>
        <w:t xml:space="preserve">, it is important to note that this definition means an occupier doesn’t have to be residing at the property in order to fall under the liability acts, however, it means the occupier must have an element of control over the premises. </w:t>
      </w:r>
      <w:r w:rsidR="009674D8">
        <w:rPr>
          <w:rFonts w:ascii="Arial" w:hAnsi="Arial" w:cs="Arial"/>
          <w:sz w:val="24"/>
          <w:szCs w:val="24"/>
        </w:rPr>
        <w:t xml:space="preserve">Additionally, </w:t>
      </w:r>
      <w:r w:rsidR="00A804B1">
        <w:rPr>
          <w:rFonts w:ascii="Arial" w:hAnsi="Arial" w:cs="Arial"/>
          <w:sz w:val="24"/>
          <w:szCs w:val="24"/>
        </w:rPr>
        <w:t>in OLA 1957, even though occupier is understood as someone who has control of the premises, premises itself isn’t clearly defined.</w:t>
      </w:r>
      <w:r w:rsidR="005D297E">
        <w:rPr>
          <w:rFonts w:ascii="Arial" w:hAnsi="Arial" w:cs="Arial"/>
          <w:sz w:val="24"/>
          <w:szCs w:val="24"/>
        </w:rPr>
        <w:t xml:space="preserve"> However, in this case, to </w:t>
      </w:r>
      <w:r w:rsidR="00060CE8">
        <w:rPr>
          <w:rFonts w:ascii="Arial" w:hAnsi="Arial" w:cs="Arial"/>
          <w:sz w:val="24"/>
          <w:szCs w:val="24"/>
        </w:rPr>
        <w:t xml:space="preserve">broadly </w:t>
      </w:r>
      <w:r w:rsidR="005D297E">
        <w:rPr>
          <w:rFonts w:ascii="Arial" w:hAnsi="Arial" w:cs="Arial"/>
          <w:sz w:val="24"/>
          <w:szCs w:val="24"/>
        </w:rPr>
        <w:t xml:space="preserve">define premises, </w:t>
      </w:r>
      <w:r w:rsidR="00060CE8">
        <w:rPr>
          <w:rFonts w:ascii="Arial" w:hAnsi="Arial" w:cs="Arial"/>
          <w:sz w:val="24"/>
          <w:szCs w:val="24"/>
        </w:rPr>
        <w:t xml:space="preserve">Hill </w:t>
      </w:r>
      <w:r w:rsidR="00E56715">
        <w:rPr>
          <w:rFonts w:ascii="Arial" w:hAnsi="Arial" w:cs="Arial"/>
          <w:sz w:val="24"/>
          <w:szCs w:val="24"/>
        </w:rPr>
        <w:t>(</w:t>
      </w:r>
      <w:r w:rsidR="00060CE8">
        <w:rPr>
          <w:rFonts w:ascii="Arial" w:hAnsi="Arial" w:cs="Arial"/>
          <w:sz w:val="24"/>
          <w:szCs w:val="24"/>
        </w:rPr>
        <w:t>200</w:t>
      </w:r>
      <w:r w:rsidR="00E56715">
        <w:rPr>
          <w:rFonts w:ascii="Arial" w:hAnsi="Arial" w:cs="Arial"/>
          <w:sz w:val="24"/>
          <w:szCs w:val="24"/>
        </w:rPr>
        <w:t>2</w:t>
      </w:r>
      <w:r w:rsidR="00060CE8">
        <w:rPr>
          <w:rFonts w:ascii="Arial" w:hAnsi="Arial" w:cs="Arial"/>
          <w:sz w:val="24"/>
          <w:szCs w:val="24"/>
        </w:rPr>
        <w:t xml:space="preserve">) states </w:t>
      </w:r>
      <w:r w:rsidR="00060CE8" w:rsidRPr="00060CE8">
        <w:rPr>
          <w:rFonts w:ascii="Arial" w:hAnsi="Arial" w:cs="Arial"/>
          <w:sz w:val="24"/>
          <w:szCs w:val="24"/>
        </w:rPr>
        <w:t>“</w:t>
      </w:r>
      <w:r w:rsidR="00060CE8" w:rsidRPr="00060CE8">
        <w:rPr>
          <w:rFonts w:ascii="Arial" w:hAnsi="Arial" w:cs="Arial"/>
          <w:color w:val="000000"/>
          <w:sz w:val="24"/>
          <w:szCs w:val="24"/>
          <w:shd w:val="clear" w:color="auto" w:fill="FFFFFF"/>
        </w:rPr>
        <w:t>land and the improvements on it, a building, store, shop, apartment, or other designated structure.</w:t>
      </w:r>
      <w:r w:rsidR="00060CE8">
        <w:rPr>
          <w:rFonts w:ascii="Arial" w:hAnsi="Arial" w:cs="Arial"/>
          <w:color w:val="000000"/>
          <w:sz w:val="24"/>
          <w:szCs w:val="24"/>
          <w:shd w:val="clear" w:color="auto" w:fill="FFFFFF"/>
        </w:rPr>
        <w:t xml:space="preserve">” </w:t>
      </w:r>
      <w:r w:rsidR="00C22321">
        <w:rPr>
          <w:rFonts w:ascii="Arial" w:hAnsi="Arial" w:cs="Arial"/>
          <w:color w:val="000000"/>
          <w:sz w:val="24"/>
          <w:szCs w:val="24"/>
          <w:shd w:val="clear" w:color="auto" w:fill="FFFFFF"/>
        </w:rPr>
        <w:t xml:space="preserve">Using this definition in terms of liability and in relation to the OLA, the act also states that vehicles, </w:t>
      </w:r>
      <w:r w:rsidR="00C22321">
        <w:rPr>
          <w:rFonts w:ascii="Arial" w:hAnsi="Arial" w:cs="Arial"/>
          <w:color w:val="000000"/>
          <w:sz w:val="24"/>
          <w:szCs w:val="24"/>
          <w:shd w:val="clear" w:color="auto" w:fill="FFFFFF"/>
        </w:rPr>
        <w:lastRenderedPageBreak/>
        <w:t xml:space="preserve">vessels, aircrafts and things such as tents and caravans can fall under premises in section 1(3)(a) of the act. </w:t>
      </w:r>
    </w:p>
    <w:p w14:paraId="4CC37D39" w14:textId="77777777" w:rsidR="00FB2C58" w:rsidRDefault="00224382" w:rsidP="00654065">
      <w:pPr>
        <w:spacing w:line="480" w:lineRule="auto"/>
        <w:rPr>
          <w:rFonts w:ascii="Arial" w:hAnsi="Arial" w:cs="Arial"/>
          <w:sz w:val="24"/>
          <w:szCs w:val="24"/>
          <w:shd w:val="clear" w:color="auto" w:fill="FFFFFF"/>
        </w:rPr>
      </w:pPr>
      <w:r>
        <w:rPr>
          <w:rFonts w:ascii="Arial" w:hAnsi="Arial" w:cs="Arial"/>
          <w:sz w:val="24"/>
          <w:szCs w:val="24"/>
        </w:rPr>
        <w:t xml:space="preserve">Now, in order to distinguish between the Occupiers’ Liability Act 1957 and the Occupiers’ Liability Act 1984, </w:t>
      </w:r>
      <w:r w:rsidR="00CB11D0">
        <w:rPr>
          <w:rFonts w:ascii="Arial" w:hAnsi="Arial" w:cs="Arial"/>
          <w:sz w:val="24"/>
          <w:szCs w:val="24"/>
        </w:rPr>
        <w:t>the differences must be pointed out when analysing and summarising the two acts.</w:t>
      </w:r>
      <w:r w:rsidR="0013324A">
        <w:rPr>
          <w:rFonts w:ascii="Arial" w:hAnsi="Arial" w:cs="Arial"/>
          <w:sz w:val="24"/>
          <w:szCs w:val="24"/>
        </w:rPr>
        <w:t xml:space="preserve"> In the 1957 act, the duty occupiers have when it comes to other people on the premises is stated, such as visitors on the premises.</w:t>
      </w:r>
      <w:r w:rsidR="006C5A44">
        <w:rPr>
          <w:rFonts w:ascii="Arial" w:hAnsi="Arial" w:cs="Arial"/>
          <w:sz w:val="24"/>
          <w:szCs w:val="24"/>
        </w:rPr>
        <w:t xml:space="preserve"> OLA 1957 makes a key specification on visitors by classing children as special visitors, which is important because this implies that the duty of care is higher</w:t>
      </w:r>
      <w:r w:rsidR="00FB2C58">
        <w:rPr>
          <w:rFonts w:ascii="Arial" w:hAnsi="Arial" w:cs="Arial"/>
          <w:sz w:val="24"/>
          <w:szCs w:val="24"/>
        </w:rPr>
        <w:t xml:space="preserve">, this was the case in </w:t>
      </w:r>
      <w:r w:rsidR="00FB2C58" w:rsidRPr="006D7530">
        <w:rPr>
          <w:rFonts w:ascii="Arial" w:hAnsi="Arial" w:cs="Arial"/>
          <w:bCs/>
          <w:sz w:val="24"/>
          <w:szCs w:val="24"/>
        </w:rPr>
        <w:t xml:space="preserve">Keown v Coventry Healthcare NHS Trust </w:t>
      </w:r>
      <w:r w:rsidR="00FB2C58">
        <w:rPr>
          <w:rFonts w:ascii="Arial" w:hAnsi="Arial" w:cs="Arial"/>
          <w:bCs/>
          <w:sz w:val="24"/>
          <w:szCs w:val="24"/>
        </w:rPr>
        <w:t>[</w:t>
      </w:r>
      <w:r w:rsidR="00FB2C58" w:rsidRPr="006D7530">
        <w:rPr>
          <w:rFonts w:ascii="Arial" w:hAnsi="Arial" w:cs="Arial"/>
          <w:bCs/>
          <w:sz w:val="24"/>
          <w:szCs w:val="24"/>
        </w:rPr>
        <w:t>2006</w:t>
      </w:r>
      <w:r w:rsidR="00FB2C58">
        <w:rPr>
          <w:rFonts w:ascii="Arial" w:hAnsi="Arial" w:cs="Arial"/>
          <w:bCs/>
          <w:sz w:val="24"/>
          <w:szCs w:val="24"/>
        </w:rPr>
        <w:t xml:space="preserve">], where it’s stated that </w:t>
      </w:r>
      <w:r w:rsidR="00FB2C58" w:rsidRPr="00FB2C58">
        <w:rPr>
          <w:rFonts w:ascii="Arial" w:hAnsi="Arial" w:cs="Arial"/>
          <w:bCs/>
          <w:sz w:val="24"/>
          <w:szCs w:val="24"/>
        </w:rPr>
        <w:t>“</w:t>
      </w:r>
      <w:r w:rsidR="00FB2C58" w:rsidRPr="00FB2C58">
        <w:rPr>
          <w:rFonts w:ascii="Arial" w:hAnsi="Arial" w:cs="Arial"/>
          <w:sz w:val="24"/>
          <w:szCs w:val="24"/>
          <w:shd w:val="clear" w:color="auto" w:fill="FFFFFF"/>
        </w:rPr>
        <w:t>Premises that were not dangerous from the point of view of an adult could be dangerous for a child and whether they were was a question of fact and degree.</w:t>
      </w:r>
      <w:r w:rsidR="00FB2C58">
        <w:rPr>
          <w:rFonts w:ascii="Arial" w:hAnsi="Arial" w:cs="Arial"/>
          <w:sz w:val="24"/>
          <w:szCs w:val="24"/>
          <w:shd w:val="clear" w:color="auto" w:fill="FFFFFF"/>
        </w:rPr>
        <w:t xml:space="preserve">” </w:t>
      </w:r>
    </w:p>
    <w:p w14:paraId="611E8557" w14:textId="77777777" w:rsidR="00F56540" w:rsidRDefault="00FB2C58" w:rsidP="00654065">
      <w:pPr>
        <w:spacing w:line="480" w:lineRule="auto"/>
        <w:rPr>
          <w:rFonts w:ascii="Arial" w:hAnsi="Arial" w:cs="Arial"/>
          <w:sz w:val="24"/>
          <w:szCs w:val="24"/>
        </w:rPr>
      </w:pPr>
      <w:r>
        <w:rPr>
          <w:rFonts w:ascii="Arial" w:hAnsi="Arial" w:cs="Arial"/>
          <w:sz w:val="24"/>
          <w:szCs w:val="24"/>
          <w:shd w:val="clear" w:color="auto" w:fill="FFFFFF"/>
        </w:rPr>
        <w:t>In</w:t>
      </w:r>
      <w:r>
        <w:rPr>
          <w:rFonts w:ascii="Arial" w:hAnsi="Arial" w:cs="Arial"/>
          <w:sz w:val="24"/>
          <w:szCs w:val="24"/>
        </w:rPr>
        <w:t xml:space="preserve"> </w:t>
      </w:r>
      <w:r w:rsidR="006C5A44">
        <w:rPr>
          <w:rFonts w:ascii="Arial" w:hAnsi="Arial" w:cs="Arial"/>
          <w:sz w:val="24"/>
          <w:szCs w:val="24"/>
        </w:rPr>
        <w:t>OLA 1957 section 2(3)(a)</w:t>
      </w:r>
      <w:r w:rsidR="009674D8">
        <w:rPr>
          <w:rFonts w:ascii="Arial" w:hAnsi="Arial" w:cs="Arial"/>
          <w:sz w:val="24"/>
          <w:szCs w:val="24"/>
        </w:rPr>
        <w:t xml:space="preserve"> advises a higher duty of care be taken by the occupier towards children, because typically children aren’t as careful as normal adults.</w:t>
      </w:r>
      <w:r w:rsidR="00CB11D0">
        <w:rPr>
          <w:rFonts w:ascii="Arial" w:hAnsi="Arial" w:cs="Arial"/>
          <w:sz w:val="24"/>
          <w:szCs w:val="24"/>
        </w:rPr>
        <w:t xml:space="preserve"> </w:t>
      </w:r>
      <w:r w:rsidR="009674D8">
        <w:rPr>
          <w:rFonts w:ascii="Arial" w:hAnsi="Arial" w:cs="Arial"/>
          <w:sz w:val="24"/>
          <w:szCs w:val="24"/>
        </w:rPr>
        <w:t>Section 2(3)(a) of OLA 1957 is significant, because this can create liability if a child is injured on the premises and the duty of care taken by the occupier isn’t up to the standard of the act.</w:t>
      </w:r>
      <w:r w:rsidR="00705D07">
        <w:rPr>
          <w:rFonts w:ascii="Arial" w:hAnsi="Arial" w:cs="Arial"/>
          <w:sz w:val="24"/>
          <w:szCs w:val="24"/>
        </w:rPr>
        <w:t xml:space="preserve"> An example of a case where section 2 played a part was in </w:t>
      </w:r>
      <w:r w:rsidR="00705D07">
        <w:rPr>
          <w:rFonts w:ascii="Arial" w:hAnsi="Arial" w:cs="Arial"/>
          <w:i/>
          <w:iCs/>
          <w:sz w:val="24"/>
          <w:szCs w:val="24"/>
        </w:rPr>
        <w:t xml:space="preserve">Young v Kent County Council </w:t>
      </w:r>
      <w:r w:rsidR="00705D07">
        <w:rPr>
          <w:rFonts w:ascii="Arial" w:hAnsi="Arial" w:cs="Arial"/>
          <w:sz w:val="24"/>
          <w:szCs w:val="24"/>
        </w:rPr>
        <w:t xml:space="preserve">[2005]. In Young v Kent, a child fell through the skylight of a school, the child shouldn’t have been there and gained access to the area unbeknownst to staff, however, the claim was that the council was liable OLA 1957 because </w:t>
      </w:r>
      <w:r w:rsidR="00705D07">
        <w:rPr>
          <w:rFonts w:ascii="Segoe UI" w:hAnsi="Segoe UI" w:cs="Segoe UI"/>
          <w:color w:val="212529"/>
          <w:shd w:val="clear" w:color="auto" w:fill="FFFFFF"/>
        </w:rPr>
        <w:t>“</w:t>
      </w:r>
      <w:r w:rsidR="00705D07" w:rsidRPr="00050165">
        <w:rPr>
          <w:rFonts w:ascii="Arial" w:hAnsi="Arial" w:cs="Arial"/>
          <w:sz w:val="24"/>
          <w:szCs w:val="24"/>
          <w:shd w:val="clear" w:color="auto" w:fill="FFFFFF"/>
        </w:rPr>
        <w:t>It was reasonable to assume that children might have been in the vicinity of such danger and the area could have been simply fenced off to prevent such danger.</w:t>
      </w:r>
      <w:r w:rsidR="00705D07">
        <w:rPr>
          <w:rFonts w:ascii="Arial" w:hAnsi="Arial" w:cs="Arial"/>
          <w:sz w:val="24"/>
          <w:szCs w:val="24"/>
          <w:shd w:val="clear" w:color="auto" w:fill="FFFFFF"/>
        </w:rPr>
        <w:t>” The court ruled that the council was in fact liable under section 2 and that the premises was dangerous.</w:t>
      </w:r>
      <w:r w:rsidR="009674D8">
        <w:rPr>
          <w:rFonts w:ascii="Arial" w:hAnsi="Arial" w:cs="Arial"/>
          <w:sz w:val="24"/>
          <w:szCs w:val="24"/>
        </w:rPr>
        <w:t xml:space="preserve"> </w:t>
      </w:r>
    </w:p>
    <w:p w14:paraId="40978413" w14:textId="29C1C8C4" w:rsidR="00F56540" w:rsidRPr="00B073AE" w:rsidRDefault="00B073AE" w:rsidP="00654065">
      <w:pPr>
        <w:spacing w:line="480" w:lineRule="auto"/>
        <w:rPr>
          <w:rFonts w:ascii="Arial" w:hAnsi="Arial" w:cs="Arial"/>
          <w:sz w:val="24"/>
          <w:szCs w:val="24"/>
        </w:rPr>
      </w:pPr>
      <w:r>
        <w:rPr>
          <w:rFonts w:ascii="Arial" w:hAnsi="Arial" w:cs="Arial"/>
          <w:sz w:val="24"/>
          <w:szCs w:val="24"/>
        </w:rPr>
        <w:lastRenderedPageBreak/>
        <w:t xml:space="preserve">A similar case to that of Young v Kent County Council, was that of </w:t>
      </w:r>
      <w:r>
        <w:rPr>
          <w:rFonts w:ascii="Arial" w:hAnsi="Arial" w:cs="Arial"/>
          <w:i/>
          <w:iCs/>
          <w:sz w:val="24"/>
          <w:szCs w:val="24"/>
        </w:rPr>
        <w:t xml:space="preserve">Phipps v Rochester </w:t>
      </w:r>
      <w:proofErr w:type="spellStart"/>
      <w:r>
        <w:rPr>
          <w:rFonts w:ascii="Arial" w:hAnsi="Arial" w:cs="Arial"/>
          <w:i/>
          <w:iCs/>
          <w:sz w:val="24"/>
          <w:szCs w:val="24"/>
        </w:rPr>
        <w:t>Corportation</w:t>
      </w:r>
      <w:proofErr w:type="spellEnd"/>
      <w:r>
        <w:rPr>
          <w:rFonts w:ascii="Arial" w:hAnsi="Arial" w:cs="Arial"/>
          <w:i/>
          <w:iCs/>
          <w:sz w:val="24"/>
          <w:szCs w:val="24"/>
        </w:rPr>
        <w:t xml:space="preserve"> </w:t>
      </w:r>
      <w:r>
        <w:rPr>
          <w:rFonts w:ascii="Arial" w:hAnsi="Arial" w:cs="Arial"/>
          <w:sz w:val="24"/>
          <w:szCs w:val="24"/>
        </w:rPr>
        <w:t>[1955]. In this case a child broke their leg after falling in a ditch which was made by the corporation, the claimant tried to hold the defendant liable for negligence, however, a key difference in this case is that the defendant wasn’t found liable. Given what has already been discussed about the OLA 1957 and given that this particular case was before the act gained significance, it is arguable that the OLA 1957 would have influenced the judgement a different way and created new liability.</w:t>
      </w:r>
    </w:p>
    <w:p w14:paraId="251176FF" w14:textId="2CE8445B" w:rsidR="003F5AF8" w:rsidRDefault="00CB11D0" w:rsidP="00654065">
      <w:pPr>
        <w:spacing w:line="480" w:lineRule="auto"/>
        <w:rPr>
          <w:rFonts w:ascii="Arial" w:hAnsi="Arial" w:cs="Arial"/>
          <w:sz w:val="24"/>
          <w:szCs w:val="24"/>
        </w:rPr>
      </w:pPr>
      <w:r>
        <w:rPr>
          <w:rFonts w:ascii="Arial" w:hAnsi="Arial" w:cs="Arial"/>
          <w:sz w:val="24"/>
          <w:szCs w:val="24"/>
        </w:rPr>
        <w:t>A major difference in the 1984 act compared to that of 1957, is that the act of 1984 provided clarification when it came to the law on trespassing, especially the duty an</w:t>
      </w:r>
      <w:r w:rsidR="00F56540">
        <w:rPr>
          <w:rFonts w:ascii="Arial" w:hAnsi="Arial" w:cs="Arial"/>
          <w:sz w:val="24"/>
          <w:szCs w:val="24"/>
        </w:rPr>
        <w:t xml:space="preserve"> </w:t>
      </w:r>
      <w:r>
        <w:rPr>
          <w:rFonts w:ascii="Arial" w:hAnsi="Arial" w:cs="Arial"/>
          <w:sz w:val="24"/>
          <w:szCs w:val="24"/>
        </w:rPr>
        <w:t>occupier has towards a trespasser</w:t>
      </w:r>
      <w:r w:rsidR="00F56540">
        <w:rPr>
          <w:rFonts w:ascii="Arial" w:hAnsi="Arial" w:cs="Arial"/>
          <w:sz w:val="24"/>
          <w:szCs w:val="24"/>
        </w:rPr>
        <w:t xml:space="preserve"> and the requirements needed to be met for a duty of care to be owed by the occupier</w:t>
      </w:r>
      <w:r>
        <w:rPr>
          <w:rFonts w:ascii="Arial" w:hAnsi="Arial" w:cs="Arial"/>
          <w:sz w:val="24"/>
          <w:szCs w:val="24"/>
        </w:rPr>
        <w:t xml:space="preserve">. </w:t>
      </w:r>
      <w:r w:rsidR="00360CEF">
        <w:rPr>
          <w:rFonts w:ascii="Arial" w:hAnsi="Arial" w:cs="Arial"/>
          <w:sz w:val="24"/>
          <w:szCs w:val="24"/>
        </w:rPr>
        <w:t>The trespassing</w:t>
      </w:r>
      <w:r w:rsidR="00DD517E">
        <w:rPr>
          <w:rFonts w:ascii="Arial" w:hAnsi="Arial" w:cs="Arial"/>
          <w:sz w:val="24"/>
          <w:szCs w:val="24"/>
        </w:rPr>
        <w:t xml:space="preserve"> aspect</w:t>
      </w:r>
      <w:r w:rsidR="00360CEF">
        <w:rPr>
          <w:rFonts w:ascii="Arial" w:hAnsi="Arial" w:cs="Arial"/>
          <w:sz w:val="24"/>
          <w:szCs w:val="24"/>
        </w:rPr>
        <w:t xml:space="preserve"> is significant, because </w:t>
      </w:r>
      <w:r w:rsidR="00DD517E">
        <w:rPr>
          <w:rFonts w:ascii="Arial" w:hAnsi="Arial" w:cs="Arial"/>
          <w:sz w:val="24"/>
          <w:szCs w:val="24"/>
        </w:rPr>
        <w:t>a 1976 Royal Commission Report determined that this clarification was needed.</w:t>
      </w:r>
      <w:r w:rsidR="005521B4">
        <w:rPr>
          <w:rFonts w:ascii="Arial" w:hAnsi="Arial" w:cs="Arial"/>
          <w:sz w:val="24"/>
          <w:szCs w:val="24"/>
        </w:rPr>
        <w:t xml:space="preserve"> When it comes to the duty that an occupier owes a trespasser, this relates to potential danger that may come the trespasser’s way.</w:t>
      </w:r>
      <w:r w:rsidR="00DD517E">
        <w:rPr>
          <w:rFonts w:ascii="Arial" w:hAnsi="Arial" w:cs="Arial"/>
          <w:sz w:val="24"/>
          <w:szCs w:val="24"/>
        </w:rPr>
        <w:t xml:space="preserve"> </w:t>
      </w:r>
      <w:r>
        <w:rPr>
          <w:rFonts w:ascii="Arial" w:hAnsi="Arial" w:cs="Arial"/>
          <w:sz w:val="24"/>
          <w:szCs w:val="24"/>
        </w:rPr>
        <w:t xml:space="preserve">To </w:t>
      </w:r>
      <w:r w:rsidR="005521B4">
        <w:rPr>
          <w:rFonts w:ascii="Arial" w:hAnsi="Arial" w:cs="Arial"/>
          <w:sz w:val="24"/>
          <w:szCs w:val="24"/>
        </w:rPr>
        <w:t>quote</w:t>
      </w:r>
      <w:r>
        <w:rPr>
          <w:rFonts w:ascii="Arial" w:hAnsi="Arial" w:cs="Arial"/>
          <w:sz w:val="24"/>
          <w:szCs w:val="24"/>
        </w:rPr>
        <w:t xml:space="preserve"> the act of 1984</w:t>
      </w:r>
      <w:r w:rsidR="005521B4">
        <w:rPr>
          <w:rFonts w:ascii="Arial" w:hAnsi="Arial" w:cs="Arial"/>
          <w:sz w:val="24"/>
          <w:szCs w:val="24"/>
        </w:rPr>
        <w:t xml:space="preserve">, it states </w:t>
      </w:r>
      <w:r>
        <w:rPr>
          <w:rFonts w:ascii="Arial" w:hAnsi="Arial" w:cs="Arial"/>
          <w:sz w:val="24"/>
          <w:szCs w:val="24"/>
        </w:rPr>
        <w:t xml:space="preserve">that occupiers </w:t>
      </w:r>
      <w:r w:rsidR="005521B4">
        <w:rPr>
          <w:rFonts w:ascii="Arial" w:hAnsi="Arial" w:cs="Arial"/>
          <w:sz w:val="24"/>
          <w:szCs w:val="24"/>
        </w:rPr>
        <w:t>“</w:t>
      </w:r>
      <w:r>
        <w:rPr>
          <w:rFonts w:ascii="Arial" w:hAnsi="Arial" w:cs="Arial"/>
          <w:sz w:val="24"/>
          <w:szCs w:val="24"/>
        </w:rPr>
        <w:t xml:space="preserve">owe a duty </w:t>
      </w:r>
      <w:r w:rsidR="005521B4">
        <w:rPr>
          <w:rFonts w:ascii="Arial" w:hAnsi="Arial" w:cs="Arial"/>
          <w:sz w:val="24"/>
          <w:szCs w:val="24"/>
        </w:rPr>
        <w:t>towards a</w:t>
      </w:r>
      <w:r>
        <w:rPr>
          <w:rFonts w:ascii="Arial" w:hAnsi="Arial" w:cs="Arial"/>
          <w:sz w:val="24"/>
          <w:szCs w:val="24"/>
        </w:rPr>
        <w:t xml:space="preserve"> trespasser </w:t>
      </w:r>
      <w:r w:rsidR="005521B4">
        <w:rPr>
          <w:rFonts w:ascii="Arial" w:hAnsi="Arial" w:cs="Arial"/>
          <w:sz w:val="24"/>
          <w:szCs w:val="24"/>
        </w:rPr>
        <w:t xml:space="preserve">if he is or should be aware of the danger; and he knows or should know that people may in practice be exposed to the danger; and he can reasonably be expected in all circumstances to them protection from it.” The duty </w:t>
      </w:r>
      <w:r w:rsidR="00B24586">
        <w:rPr>
          <w:rFonts w:ascii="Arial" w:hAnsi="Arial" w:cs="Arial"/>
          <w:sz w:val="24"/>
          <w:szCs w:val="24"/>
        </w:rPr>
        <w:t>occupiers</w:t>
      </w:r>
      <w:r w:rsidR="005521B4">
        <w:rPr>
          <w:rFonts w:ascii="Arial" w:hAnsi="Arial" w:cs="Arial"/>
          <w:sz w:val="24"/>
          <w:szCs w:val="24"/>
        </w:rPr>
        <w:t xml:space="preserve"> owe towards trespassers, as previously outlined, is significant because it is arguable that this creates liability for occupiers’, even if someone is trespassing on their premises. </w:t>
      </w:r>
      <w:r w:rsidR="00236A7C">
        <w:rPr>
          <w:rFonts w:ascii="Arial" w:hAnsi="Arial" w:cs="Arial"/>
          <w:sz w:val="24"/>
          <w:szCs w:val="24"/>
        </w:rPr>
        <w:t>If the occupier makes the risks of danger clear to trespassers, then this should reduce the chance they are liable if the trespasser is injured</w:t>
      </w:r>
      <w:r w:rsidR="003F5AF8">
        <w:rPr>
          <w:rFonts w:ascii="Arial" w:hAnsi="Arial" w:cs="Arial"/>
          <w:sz w:val="24"/>
          <w:szCs w:val="24"/>
        </w:rPr>
        <w:t>.</w:t>
      </w:r>
    </w:p>
    <w:p w14:paraId="0F48C107" w14:textId="1B6FF4FC" w:rsidR="00B053CE" w:rsidRPr="003F5AF8" w:rsidRDefault="003F5AF8" w:rsidP="00654065">
      <w:pPr>
        <w:spacing w:line="480" w:lineRule="auto"/>
        <w:rPr>
          <w:rFonts w:ascii="Arial" w:hAnsi="Arial" w:cs="Arial"/>
          <w:sz w:val="24"/>
          <w:szCs w:val="24"/>
        </w:rPr>
      </w:pPr>
      <w:r>
        <w:rPr>
          <w:rFonts w:ascii="Arial" w:hAnsi="Arial" w:cs="Arial"/>
          <w:sz w:val="24"/>
          <w:szCs w:val="24"/>
        </w:rPr>
        <w:t xml:space="preserve">To pivot, when examining the OLA 1957, a point from the act which was previously discussed was that the duty of care when it comes children is held at a higher </w:t>
      </w:r>
      <w:r>
        <w:rPr>
          <w:rFonts w:ascii="Arial" w:hAnsi="Arial" w:cs="Arial"/>
          <w:sz w:val="24"/>
          <w:szCs w:val="24"/>
        </w:rPr>
        <w:lastRenderedPageBreak/>
        <w:t>standard than to that of an adult. Also, the methodology in determining that occupiers have a higher duty of care towards children</w:t>
      </w:r>
      <w:r w:rsidR="00D222CC">
        <w:rPr>
          <w:rFonts w:ascii="Arial" w:hAnsi="Arial" w:cs="Arial"/>
          <w:sz w:val="24"/>
          <w:szCs w:val="24"/>
        </w:rPr>
        <w:t xml:space="preserve"> </w:t>
      </w:r>
      <w:r>
        <w:rPr>
          <w:rFonts w:ascii="Arial" w:hAnsi="Arial" w:cs="Arial"/>
          <w:sz w:val="24"/>
          <w:szCs w:val="24"/>
        </w:rPr>
        <w:t xml:space="preserve">applies the opposite way, in the sense that a skilled visitor can be a specialist under OLA 1957, therefore the duty of care which is owed can be lower. </w:t>
      </w:r>
      <w:r w:rsidR="00610DE3">
        <w:rPr>
          <w:rFonts w:ascii="Arial" w:hAnsi="Arial" w:cs="Arial"/>
          <w:sz w:val="24"/>
          <w:szCs w:val="24"/>
        </w:rPr>
        <w:t>When looking to see if the standard of the duty of care is reflected in certain cases and judgements,</w:t>
      </w:r>
      <w:r w:rsidR="00236A7C">
        <w:rPr>
          <w:rFonts w:ascii="Arial" w:hAnsi="Arial" w:cs="Arial"/>
          <w:sz w:val="24"/>
          <w:szCs w:val="24"/>
        </w:rPr>
        <w:t xml:space="preserve"> </w:t>
      </w:r>
      <w:r w:rsidR="00236A7C" w:rsidRPr="00610DE3">
        <w:rPr>
          <w:rFonts w:ascii="Arial" w:hAnsi="Arial" w:cs="Arial"/>
          <w:bCs/>
          <w:i/>
          <w:iCs/>
          <w:sz w:val="24"/>
          <w:szCs w:val="24"/>
        </w:rPr>
        <w:t>Roles v Nathan</w:t>
      </w:r>
      <w:r w:rsidR="00236A7C" w:rsidRPr="006D7530">
        <w:rPr>
          <w:rFonts w:ascii="Arial" w:hAnsi="Arial" w:cs="Arial"/>
          <w:bCs/>
          <w:sz w:val="24"/>
          <w:szCs w:val="24"/>
        </w:rPr>
        <w:t xml:space="preserve"> </w:t>
      </w:r>
      <w:r w:rsidR="00236A7C">
        <w:rPr>
          <w:rFonts w:ascii="Arial" w:hAnsi="Arial" w:cs="Arial"/>
          <w:bCs/>
          <w:sz w:val="24"/>
          <w:szCs w:val="24"/>
        </w:rPr>
        <w:t>[</w:t>
      </w:r>
      <w:r w:rsidR="00236A7C" w:rsidRPr="006D7530">
        <w:rPr>
          <w:rFonts w:ascii="Arial" w:hAnsi="Arial" w:cs="Arial"/>
          <w:bCs/>
          <w:sz w:val="24"/>
          <w:szCs w:val="24"/>
        </w:rPr>
        <w:t>1963</w:t>
      </w:r>
      <w:r w:rsidR="00236A7C">
        <w:rPr>
          <w:rFonts w:ascii="Arial" w:hAnsi="Arial" w:cs="Arial"/>
          <w:bCs/>
          <w:sz w:val="24"/>
          <w:szCs w:val="24"/>
        </w:rPr>
        <w:t>]</w:t>
      </w:r>
      <w:r w:rsidR="00610DE3">
        <w:rPr>
          <w:rFonts w:ascii="Arial" w:hAnsi="Arial" w:cs="Arial"/>
          <w:bCs/>
          <w:sz w:val="24"/>
          <w:szCs w:val="24"/>
        </w:rPr>
        <w:t xml:space="preserve"> is relevant</w:t>
      </w:r>
      <w:r w:rsidR="00236A7C">
        <w:rPr>
          <w:rFonts w:ascii="Arial" w:hAnsi="Arial" w:cs="Arial"/>
          <w:color w:val="000000"/>
          <w:sz w:val="24"/>
          <w:szCs w:val="24"/>
        </w:rPr>
        <w:t xml:space="preserve">. In Roles v Nathan, </w:t>
      </w:r>
      <w:r w:rsidR="003C5D21">
        <w:rPr>
          <w:rFonts w:ascii="Arial" w:hAnsi="Arial" w:cs="Arial"/>
          <w:color w:val="000000"/>
          <w:sz w:val="24"/>
          <w:szCs w:val="24"/>
        </w:rPr>
        <w:t>two people wh</w:t>
      </w:r>
      <w:r w:rsidR="00D46315">
        <w:rPr>
          <w:rFonts w:ascii="Arial" w:hAnsi="Arial" w:cs="Arial"/>
          <w:color w:val="000000"/>
          <w:sz w:val="24"/>
          <w:szCs w:val="24"/>
        </w:rPr>
        <w:t>o worked chimney sweeps in a building were told to leave due to the dangerous levels of carbon monoxide in the vicinity, they ignored this warning and had to be forced to leave. The men died as a result of this and their widows pursued a claim under the OLA 1957, this was denied and the defendant was not liable because the court ruled that the men were made well aware of the risks.</w:t>
      </w:r>
      <w:r w:rsidR="00413DFF">
        <w:rPr>
          <w:rFonts w:ascii="Arial" w:hAnsi="Arial" w:cs="Arial"/>
          <w:color w:val="000000"/>
          <w:sz w:val="24"/>
          <w:szCs w:val="24"/>
        </w:rPr>
        <w:t xml:space="preserve"> Analysing the judgement made in Roles v Nathan objectively, </w:t>
      </w:r>
      <w:r w:rsidR="006D3FA6">
        <w:rPr>
          <w:rFonts w:ascii="Arial" w:hAnsi="Arial" w:cs="Arial"/>
          <w:color w:val="000000"/>
          <w:sz w:val="24"/>
          <w:szCs w:val="24"/>
        </w:rPr>
        <w:t xml:space="preserve">a point of criticism that can be addressed is that the protection afforded to the defendant, is quite disproportionate to that of the claimants. </w:t>
      </w:r>
    </w:p>
    <w:p w14:paraId="28FAE1D9" w14:textId="77777777" w:rsidR="00832F2C" w:rsidRDefault="00993F71" w:rsidP="00654065">
      <w:pPr>
        <w:spacing w:line="480" w:lineRule="auto"/>
        <w:rPr>
          <w:rFonts w:ascii="Arial" w:hAnsi="Arial" w:cs="Arial"/>
          <w:sz w:val="24"/>
          <w:szCs w:val="24"/>
          <w:shd w:val="clear" w:color="auto" w:fill="FFFFFF"/>
        </w:rPr>
      </w:pPr>
      <w:r>
        <w:rPr>
          <w:rFonts w:ascii="Arial" w:hAnsi="Arial" w:cs="Arial"/>
          <w:sz w:val="24"/>
          <w:szCs w:val="24"/>
          <w:shd w:val="clear" w:color="auto" w:fill="FFFFFF"/>
        </w:rPr>
        <w:t>Alternatively, an example of a claim that could be deemed as an unfair claim against an occupier that is denied by the court, this could be for a number of reasons, primarily the reason for denying a claim would be if it was determined the occupier wasn’t liable under OLA.</w:t>
      </w:r>
      <w:r w:rsidR="003B6D5B">
        <w:rPr>
          <w:rFonts w:ascii="Arial" w:hAnsi="Arial" w:cs="Arial"/>
          <w:sz w:val="24"/>
          <w:szCs w:val="24"/>
          <w:shd w:val="clear" w:color="auto" w:fill="FFFFFF"/>
        </w:rPr>
        <w:t xml:space="preserve"> An example of a claim being denied was in the case of </w:t>
      </w:r>
      <w:r w:rsidR="003B6D5B">
        <w:rPr>
          <w:rFonts w:ascii="Arial" w:hAnsi="Arial" w:cs="Arial"/>
          <w:i/>
          <w:iCs/>
          <w:sz w:val="24"/>
          <w:szCs w:val="24"/>
        </w:rPr>
        <w:t xml:space="preserve">Tomlinson v Congleton Borough Council </w:t>
      </w:r>
      <w:r w:rsidR="003B6D5B">
        <w:rPr>
          <w:rFonts w:ascii="Arial" w:hAnsi="Arial" w:cs="Arial"/>
          <w:sz w:val="24"/>
          <w:szCs w:val="24"/>
        </w:rPr>
        <w:t>[2004] where a person broke their neck trying to dive into an artificial lake which was built by the council, whilst being a trespasser and ignoring signage that indicated caution. The reason why the claim in this case was denied was that the council had no liability under section 1(3) of the OLA 1984, because the premises in a state where danger would arise and the claimant’s injury came from his own doing.</w:t>
      </w:r>
      <w:r w:rsidR="00832F2C">
        <w:rPr>
          <w:rFonts w:ascii="Arial" w:hAnsi="Arial" w:cs="Arial"/>
          <w:sz w:val="24"/>
          <w:szCs w:val="24"/>
        </w:rPr>
        <w:t xml:space="preserve"> </w:t>
      </w:r>
      <w:r w:rsidR="006E0303">
        <w:rPr>
          <w:rFonts w:ascii="Arial" w:hAnsi="Arial" w:cs="Arial"/>
          <w:sz w:val="24"/>
          <w:szCs w:val="24"/>
          <w:shd w:val="clear" w:color="auto" w:fill="FFFFFF"/>
        </w:rPr>
        <w:t>So, when analysing both acts, it can be concluded that protection is offered to</w:t>
      </w:r>
      <w:r w:rsidR="00715F5D">
        <w:rPr>
          <w:rFonts w:ascii="Arial" w:hAnsi="Arial" w:cs="Arial"/>
          <w:sz w:val="24"/>
          <w:szCs w:val="24"/>
          <w:shd w:val="clear" w:color="auto" w:fill="FFFFFF"/>
        </w:rPr>
        <w:t xml:space="preserve"> </w:t>
      </w:r>
      <w:r w:rsidR="006E0303">
        <w:rPr>
          <w:rFonts w:ascii="Arial" w:hAnsi="Arial" w:cs="Arial"/>
          <w:sz w:val="24"/>
          <w:szCs w:val="24"/>
          <w:shd w:val="clear" w:color="auto" w:fill="FFFFFF"/>
        </w:rPr>
        <w:t>occupiers in order to take liability away from them if a claim is found to be unfair in court</w:t>
      </w:r>
      <w:r w:rsidR="00D92CA0">
        <w:rPr>
          <w:rFonts w:ascii="Arial" w:hAnsi="Arial" w:cs="Arial"/>
          <w:sz w:val="24"/>
          <w:szCs w:val="24"/>
          <w:shd w:val="clear" w:color="auto" w:fill="FFFFFF"/>
        </w:rPr>
        <w:t xml:space="preserve">, such as in the case of </w:t>
      </w:r>
      <w:r w:rsidR="00D92CA0">
        <w:rPr>
          <w:rFonts w:ascii="Arial" w:hAnsi="Arial" w:cs="Arial"/>
          <w:i/>
          <w:iCs/>
          <w:sz w:val="24"/>
          <w:szCs w:val="24"/>
        </w:rPr>
        <w:t xml:space="preserve">Tomlinson v </w:t>
      </w:r>
      <w:r w:rsidR="00D92CA0">
        <w:rPr>
          <w:rFonts w:ascii="Arial" w:hAnsi="Arial" w:cs="Arial"/>
          <w:i/>
          <w:iCs/>
          <w:sz w:val="24"/>
          <w:szCs w:val="24"/>
        </w:rPr>
        <w:lastRenderedPageBreak/>
        <w:t xml:space="preserve">Congleton Borough Council </w:t>
      </w:r>
      <w:r w:rsidR="00D92CA0">
        <w:rPr>
          <w:rFonts w:ascii="Arial" w:hAnsi="Arial" w:cs="Arial"/>
          <w:sz w:val="24"/>
          <w:szCs w:val="24"/>
        </w:rPr>
        <w:t>[2004]</w:t>
      </w:r>
      <w:r w:rsidR="00883B78">
        <w:rPr>
          <w:rFonts w:ascii="Arial" w:hAnsi="Arial" w:cs="Arial"/>
          <w:sz w:val="24"/>
          <w:szCs w:val="24"/>
        </w:rPr>
        <w:t xml:space="preserve"> and </w:t>
      </w:r>
      <w:r w:rsidR="00883B78" w:rsidRPr="006D7530">
        <w:rPr>
          <w:rFonts w:ascii="Arial" w:hAnsi="Arial" w:cs="Arial"/>
          <w:bCs/>
          <w:sz w:val="24"/>
          <w:szCs w:val="24"/>
        </w:rPr>
        <w:t xml:space="preserve">Roles v Nathan </w:t>
      </w:r>
      <w:r w:rsidR="00883B78">
        <w:rPr>
          <w:rFonts w:ascii="Arial" w:hAnsi="Arial" w:cs="Arial"/>
          <w:bCs/>
          <w:sz w:val="24"/>
          <w:szCs w:val="24"/>
        </w:rPr>
        <w:t>[</w:t>
      </w:r>
      <w:r w:rsidR="00883B78" w:rsidRPr="006D7530">
        <w:rPr>
          <w:rFonts w:ascii="Arial" w:hAnsi="Arial" w:cs="Arial"/>
          <w:bCs/>
          <w:sz w:val="24"/>
          <w:szCs w:val="24"/>
        </w:rPr>
        <w:t>1963</w:t>
      </w:r>
      <w:r w:rsidR="00883B78">
        <w:rPr>
          <w:rFonts w:ascii="Arial" w:hAnsi="Arial" w:cs="Arial"/>
          <w:bCs/>
          <w:sz w:val="24"/>
          <w:szCs w:val="24"/>
        </w:rPr>
        <w:t>]</w:t>
      </w:r>
      <w:r w:rsidR="00D92CA0">
        <w:rPr>
          <w:rFonts w:ascii="Arial" w:hAnsi="Arial" w:cs="Arial"/>
          <w:sz w:val="24"/>
          <w:szCs w:val="24"/>
        </w:rPr>
        <w:t xml:space="preserve">, which </w:t>
      </w:r>
      <w:r w:rsidR="006B6599">
        <w:rPr>
          <w:rFonts w:ascii="Arial" w:hAnsi="Arial" w:cs="Arial"/>
          <w:sz w:val="24"/>
          <w:szCs w:val="24"/>
        </w:rPr>
        <w:t>have been</w:t>
      </w:r>
      <w:r w:rsidR="00D92CA0">
        <w:rPr>
          <w:rFonts w:ascii="Arial" w:hAnsi="Arial" w:cs="Arial"/>
          <w:sz w:val="24"/>
          <w:szCs w:val="24"/>
        </w:rPr>
        <w:t xml:space="preserve"> discussed. </w:t>
      </w:r>
      <w:r w:rsidR="00586DE6">
        <w:rPr>
          <w:rFonts w:ascii="Arial" w:hAnsi="Arial" w:cs="Arial"/>
          <w:sz w:val="24"/>
          <w:szCs w:val="24"/>
          <w:shd w:val="clear" w:color="auto" w:fill="FFFFFF"/>
        </w:rPr>
        <w:t>Nonetheless</w:t>
      </w:r>
      <w:r w:rsidR="006E0303">
        <w:rPr>
          <w:rFonts w:ascii="Arial" w:hAnsi="Arial" w:cs="Arial"/>
          <w:sz w:val="24"/>
          <w:szCs w:val="24"/>
          <w:shd w:val="clear" w:color="auto" w:fill="FFFFFF"/>
        </w:rPr>
        <w:t>, there are advantages and disadvantages from the perspective of an occupier as previously mentioned, such as the duty of care which is owed towards trespassers under the Occupiers’ Liability Act 1984</w:t>
      </w:r>
      <w:r w:rsidR="00586DE6">
        <w:rPr>
          <w:rFonts w:ascii="Arial" w:hAnsi="Arial" w:cs="Arial"/>
          <w:sz w:val="24"/>
          <w:szCs w:val="24"/>
          <w:shd w:val="clear" w:color="auto" w:fill="FFFFFF"/>
        </w:rPr>
        <w:t xml:space="preserve">, because even though it could be argued someone who is trespassing is in the wrong, the occupier is responsible for putting adequate safety measures in place, if not, the occupier can be found liable like in </w:t>
      </w:r>
      <w:bookmarkStart w:id="1" w:name="_Hlk60950202"/>
      <w:r w:rsidR="00586DE6">
        <w:rPr>
          <w:rFonts w:ascii="Arial" w:hAnsi="Arial" w:cs="Arial"/>
          <w:i/>
          <w:iCs/>
          <w:sz w:val="24"/>
          <w:szCs w:val="24"/>
          <w:shd w:val="clear" w:color="auto" w:fill="FFFFFF"/>
        </w:rPr>
        <w:t xml:space="preserve">Young v Kent County Council </w:t>
      </w:r>
      <w:r w:rsidR="00586DE6">
        <w:rPr>
          <w:rFonts w:ascii="Arial" w:hAnsi="Arial" w:cs="Arial"/>
          <w:sz w:val="24"/>
          <w:szCs w:val="24"/>
          <w:shd w:val="clear" w:color="auto" w:fill="FFFFFF"/>
        </w:rPr>
        <w:t>[2005]</w:t>
      </w:r>
      <w:bookmarkEnd w:id="1"/>
      <w:r w:rsidR="00586DE6">
        <w:rPr>
          <w:rFonts w:ascii="Arial" w:hAnsi="Arial" w:cs="Arial"/>
          <w:sz w:val="24"/>
          <w:szCs w:val="24"/>
          <w:shd w:val="clear" w:color="auto" w:fill="FFFFFF"/>
        </w:rPr>
        <w:t xml:space="preserve">. </w:t>
      </w:r>
    </w:p>
    <w:p w14:paraId="76B994AD" w14:textId="15E2AD04" w:rsidR="00832F2C" w:rsidRDefault="00E9463D" w:rsidP="00654065">
      <w:pPr>
        <w:spacing w:line="480" w:lineRule="auto"/>
        <w:rPr>
          <w:rFonts w:ascii="Arial" w:hAnsi="Arial" w:cs="Arial"/>
          <w:sz w:val="24"/>
          <w:szCs w:val="24"/>
          <w:shd w:val="clear" w:color="auto" w:fill="FFFFFF"/>
        </w:rPr>
      </w:pPr>
      <w:r>
        <w:rPr>
          <w:rFonts w:ascii="Arial" w:hAnsi="Arial" w:cs="Arial"/>
          <w:sz w:val="24"/>
          <w:szCs w:val="24"/>
          <w:shd w:val="clear" w:color="auto" w:fill="FFFFFF"/>
        </w:rPr>
        <w:t>Throughout this extensive analysis, there has been examples of protections being afforded due to the OLAs on both the side of the claimant and the side of the defendant.</w:t>
      </w:r>
      <w:r w:rsidR="002C2BEB">
        <w:rPr>
          <w:rFonts w:ascii="Arial" w:hAnsi="Arial" w:cs="Arial"/>
          <w:sz w:val="24"/>
          <w:szCs w:val="24"/>
          <w:shd w:val="clear" w:color="auto" w:fill="FFFFFF"/>
        </w:rPr>
        <w:t xml:space="preserve"> This can</w:t>
      </w:r>
      <w:r w:rsidR="00832F2C">
        <w:rPr>
          <w:rFonts w:ascii="Arial" w:hAnsi="Arial" w:cs="Arial"/>
          <w:sz w:val="24"/>
          <w:szCs w:val="24"/>
          <w:shd w:val="clear" w:color="auto" w:fill="FFFFFF"/>
        </w:rPr>
        <w:t xml:space="preserve"> </w:t>
      </w:r>
      <w:r w:rsidR="002C2BEB">
        <w:rPr>
          <w:rFonts w:ascii="Arial" w:hAnsi="Arial" w:cs="Arial"/>
          <w:sz w:val="24"/>
          <w:szCs w:val="24"/>
          <w:shd w:val="clear" w:color="auto" w:fill="FFFFFF"/>
        </w:rPr>
        <w:t>be argued either way when looking at the advantages and disadvantages, but factoring in an objective opinion, McDonald (1965) states “The time has surely come for Canadian Law reform.” The OLA 1957 is heavily discussed here and this goes to show that the act is quite influential when other countries are calling for reform, because the OLA 1957 is used as an example.</w:t>
      </w:r>
    </w:p>
    <w:p w14:paraId="6183779F" w14:textId="3BB7014C" w:rsidR="00022441" w:rsidRPr="00832F2C" w:rsidRDefault="009C7019" w:rsidP="00654065">
      <w:pPr>
        <w:spacing w:line="480" w:lineRule="auto"/>
        <w:rPr>
          <w:rFonts w:ascii="Arial" w:hAnsi="Arial" w:cs="Arial"/>
          <w:sz w:val="24"/>
          <w:szCs w:val="24"/>
        </w:rPr>
      </w:pPr>
      <w:r>
        <w:rPr>
          <w:rFonts w:ascii="Arial" w:hAnsi="Arial" w:cs="Arial"/>
          <w:sz w:val="24"/>
          <w:szCs w:val="24"/>
          <w:shd w:val="clear" w:color="auto" w:fill="FFFFFF"/>
        </w:rPr>
        <w:t xml:space="preserve">Finally, when discussing OLA 1957 and OLA 1984, other issues that were revealed to arise were the issues surrounding some of the basic definitions, such as ‘premises’ not being defined in the original OLA 1957 but the classifications for what falls under premises being stated, which could be argued needs to be included due to this inconsistency. </w:t>
      </w:r>
      <w:r w:rsidR="007F48F7">
        <w:rPr>
          <w:rFonts w:ascii="Arial" w:hAnsi="Arial" w:cs="Arial"/>
          <w:sz w:val="24"/>
          <w:szCs w:val="24"/>
          <w:shd w:val="clear" w:color="auto" w:fill="FFFFFF"/>
        </w:rPr>
        <w:t>To revisit points previously made, the original OLA 1957 applying to all visitors, which is outlined in section 2(2) of the act, the OLA 1984 expands on the duty of care aspect w</w:t>
      </w:r>
      <w:r>
        <w:rPr>
          <w:rFonts w:ascii="Arial" w:hAnsi="Arial" w:cs="Arial"/>
          <w:sz w:val="24"/>
          <w:szCs w:val="24"/>
          <w:shd w:val="clear" w:color="auto" w:fill="FFFFFF"/>
        </w:rPr>
        <w:t>ith some of the inconsistencies in the act being amended, it is important to note the influence that the 1976 Royal Commission report had in this</w:t>
      </w:r>
      <w:r w:rsidR="00715F5D">
        <w:rPr>
          <w:rFonts w:ascii="Arial" w:hAnsi="Arial" w:cs="Arial"/>
          <w:sz w:val="24"/>
          <w:szCs w:val="24"/>
          <w:shd w:val="clear" w:color="auto" w:fill="FFFFFF"/>
        </w:rPr>
        <w:t xml:space="preserve"> as these issues were identified and critically analysed.</w:t>
      </w:r>
    </w:p>
    <w:p w14:paraId="15535F8E" w14:textId="77777777" w:rsidR="007F48F7" w:rsidRPr="00022441" w:rsidRDefault="007F48F7" w:rsidP="00E9463D">
      <w:pPr>
        <w:ind w:left="720" w:hanging="720"/>
        <w:rPr>
          <w:rFonts w:ascii="Arial" w:hAnsi="Arial" w:cs="Arial"/>
          <w:sz w:val="24"/>
          <w:szCs w:val="24"/>
        </w:rPr>
      </w:pPr>
    </w:p>
    <w:p w14:paraId="7E011C03" w14:textId="77777777" w:rsidR="00654065" w:rsidRDefault="00654065" w:rsidP="00022441">
      <w:pPr>
        <w:rPr>
          <w:rFonts w:ascii="Arial" w:hAnsi="Arial" w:cs="Arial"/>
          <w:sz w:val="24"/>
          <w:szCs w:val="24"/>
          <w:u w:val="single"/>
        </w:rPr>
      </w:pPr>
    </w:p>
    <w:p w14:paraId="07832C2B" w14:textId="49091F43" w:rsidR="00A84B3E" w:rsidRDefault="00022441" w:rsidP="00022441">
      <w:pPr>
        <w:rPr>
          <w:rFonts w:ascii="Arial" w:hAnsi="Arial" w:cs="Arial"/>
          <w:sz w:val="24"/>
          <w:szCs w:val="24"/>
          <w:u w:val="single"/>
        </w:rPr>
      </w:pPr>
      <w:r>
        <w:rPr>
          <w:rFonts w:ascii="Arial" w:hAnsi="Arial" w:cs="Arial"/>
          <w:sz w:val="24"/>
          <w:szCs w:val="24"/>
          <w:u w:val="single"/>
        </w:rPr>
        <w:lastRenderedPageBreak/>
        <w:t>References</w:t>
      </w:r>
    </w:p>
    <w:p w14:paraId="14A77C51" w14:textId="77777777" w:rsidR="00B053CE" w:rsidRPr="002C718F" w:rsidRDefault="00B053CE" w:rsidP="00B053CE">
      <w:pPr>
        <w:rPr>
          <w:rFonts w:ascii="Arial" w:hAnsi="Arial" w:cs="Arial"/>
          <w:sz w:val="24"/>
          <w:szCs w:val="24"/>
        </w:rPr>
      </w:pPr>
      <w:r w:rsidRPr="002C718F">
        <w:rPr>
          <w:rFonts w:ascii="Arial" w:hAnsi="Arial" w:cs="Arial"/>
          <w:sz w:val="24"/>
          <w:szCs w:val="24"/>
        </w:rPr>
        <w:t>Hill, G (2002). </w:t>
      </w:r>
      <w:r w:rsidRPr="002C718F">
        <w:rPr>
          <w:rFonts w:ascii="Arial" w:hAnsi="Arial" w:cs="Arial"/>
          <w:i/>
          <w:iCs/>
          <w:sz w:val="24"/>
          <w:szCs w:val="24"/>
        </w:rPr>
        <w:t>The People's Law Dictionary: Taking the Mystery Out of Legal Language</w:t>
      </w:r>
      <w:r w:rsidRPr="002C718F">
        <w:rPr>
          <w:rFonts w:ascii="Arial" w:hAnsi="Arial" w:cs="Arial"/>
          <w:sz w:val="24"/>
          <w:szCs w:val="24"/>
        </w:rPr>
        <w:t xml:space="preserve">. USA: </w:t>
      </w:r>
      <w:r>
        <w:rPr>
          <w:rFonts w:ascii="Arial" w:hAnsi="Arial" w:cs="Arial"/>
          <w:sz w:val="24"/>
          <w:szCs w:val="24"/>
        </w:rPr>
        <w:t>MJF</w:t>
      </w:r>
      <w:r w:rsidRPr="002C718F">
        <w:rPr>
          <w:rFonts w:ascii="Arial" w:hAnsi="Arial" w:cs="Arial"/>
          <w:sz w:val="24"/>
          <w:szCs w:val="24"/>
        </w:rPr>
        <w:t xml:space="preserve"> Books. p320-321.</w:t>
      </w:r>
    </w:p>
    <w:p w14:paraId="7858EDFD" w14:textId="77E70F61" w:rsidR="00B053CE" w:rsidRDefault="00B053CE" w:rsidP="00B053CE">
      <w:pPr>
        <w:rPr>
          <w:rFonts w:ascii="Arial" w:hAnsi="Arial" w:cs="Arial"/>
          <w:color w:val="000000"/>
          <w:sz w:val="24"/>
          <w:szCs w:val="24"/>
        </w:rPr>
      </w:pPr>
      <w:r w:rsidRPr="0041763C">
        <w:rPr>
          <w:rFonts w:ascii="Arial" w:hAnsi="Arial" w:cs="Arial"/>
          <w:color w:val="000000"/>
          <w:sz w:val="24"/>
          <w:szCs w:val="24"/>
        </w:rPr>
        <w:t>House of Lords. (2003). </w:t>
      </w:r>
      <w:r w:rsidRPr="0041763C">
        <w:rPr>
          <w:rFonts w:ascii="Arial" w:hAnsi="Arial" w:cs="Arial"/>
          <w:i/>
          <w:iCs/>
          <w:color w:val="000000"/>
          <w:sz w:val="24"/>
          <w:szCs w:val="24"/>
        </w:rPr>
        <w:t>Judgments - Tomlinson (FC) (Original Respondent and Cross-appellant) v. Congleton Borough Council and others (Original Appellants and Cross-respondents).</w:t>
      </w:r>
      <w:r w:rsidRPr="0041763C">
        <w:rPr>
          <w:rFonts w:ascii="Arial" w:hAnsi="Arial" w:cs="Arial"/>
          <w:color w:val="000000"/>
          <w:sz w:val="24"/>
          <w:szCs w:val="24"/>
        </w:rPr>
        <w:t xml:space="preserve"> Available: </w:t>
      </w:r>
      <w:hyperlink r:id="rId6" w:history="1">
        <w:r w:rsidRPr="00862F73">
          <w:rPr>
            <w:rStyle w:val="Hyperlink"/>
            <w:rFonts w:ascii="Arial" w:hAnsi="Arial" w:cs="Arial"/>
            <w:sz w:val="24"/>
            <w:szCs w:val="24"/>
          </w:rPr>
          <w:t>https://publications.parliament.uk/pa/ld200203/ldjudgmt/jd030731/tomlin-1.htm</w:t>
        </w:r>
      </w:hyperlink>
      <w:r w:rsidRPr="0041763C">
        <w:rPr>
          <w:rFonts w:ascii="Arial" w:hAnsi="Arial" w:cs="Arial"/>
          <w:color w:val="000000"/>
          <w:sz w:val="24"/>
          <w:szCs w:val="24"/>
        </w:rPr>
        <w:t>.</w:t>
      </w:r>
      <w:r>
        <w:rPr>
          <w:rFonts w:ascii="Arial" w:hAnsi="Arial" w:cs="Arial"/>
          <w:color w:val="000000"/>
          <w:sz w:val="24"/>
          <w:szCs w:val="24"/>
        </w:rPr>
        <w:t xml:space="preserve"> </w:t>
      </w:r>
      <w:r w:rsidRPr="0041763C">
        <w:rPr>
          <w:rFonts w:ascii="Arial" w:hAnsi="Arial" w:cs="Arial"/>
          <w:color w:val="000000"/>
          <w:sz w:val="24"/>
          <w:szCs w:val="24"/>
        </w:rPr>
        <w:t>Last accessed 6th Jan 2021.</w:t>
      </w:r>
    </w:p>
    <w:p w14:paraId="764602BB" w14:textId="74F4B26C" w:rsidR="00715F5D" w:rsidRPr="00715F5D" w:rsidRDefault="00715F5D" w:rsidP="00B053CE">
      <w:pPr>
        <w:rPr>
          <w:rFonts w:ascii="Arial" w:hAnsi="Arial" w:cs="Arial"/>
          <w:color w:val="000000"/>
          <w:sz w:val="24"/>
          <w:szCs w:val="24"/>
        </w:rPr>
      </w:pPr>
      <w:r w:rsidRPr="00715F5D">
        <w:rPr>
          <w:rFonts w:ascii="Arial" w:hAnsi="Arial" w:cs="Arial"/>
          <w:color w:val="000000"/>
          <w:sz w:val="24"/>
          <w:szCs w:val="24"/>
        </w:rPr>
        <w:t>House of Lords. (1966). </w:t>
      </w:r>
      <w:r w:rsidRPr="00715F5D">
        <w:rPr>
          <w:rFonts w:ascii="Arial" w:hAnsi="Arial" w:cs="Arial"/>
          <w:i/>
          <w:iCs/>
          <w:color w:val="000000"/>
          <w:sz w:val="24"/>
          <w:szCs w:val="24"/>
        </w:rPr>
        <w:t>WHEAT V E LACON &amp; CO LTD.</w:t>
      </w:r>
      <w:r w:rsidRPr="00715F5D">
        <w:rPr>
          <w:rFonts w:ascii="Arial" w:hAnsi="Arial" w:cs="Arial"/>
          <w:color w:val="000000"/>
          <w:sz w:val="24"/>
          <w:szCs w:val="24"/>
        </w:rPr>
        <w:t xml:space="preserve"> Available: </w:t>
      </w:r>
      <w:hyperlink r:id="rId7" w:history="1">
        <w:r w:rsidRPr="00862F73">
          <w:rPr>
            <w:rStyle w:val="Hyperlink"/>
            <w:rFonts w:ascii="Arial" w:hAnsi="Arial" w:cs="Arial"/>
            <w:sz w:val="24"/>
            <w:szCs w:val="24"/>
          </w:rPr>
          <w:t>https://www.casemine.com/judgement/uk/5a8ff8c960d03e7f57ecd6a0</w:t>
        </w:r>
      </w:hyperlink>
      <w:r w:rsidRPr="00715F5D">
        <w:rPr>
          <w:rFonts w:ascii="Arial" w:hAnsi="Arial" w:cs="Arial"/>
          <w:color w:val="000000"/>
          <w:sz w:val="24"/>
          <w:szCs w:val="24"/>
        </w:rPr>
        <w:t>.</w:t>
      </w:r>
      <w:r>
        <w:rPr>
          <w:rFonts w:ascii="Arial" w:hAnsi="Arial" w:cs="Arial"/>
          <w:color w:val="000000"/>
          <w:sz w:val="24"/>
          <w:szCs w:val="24"/>
        </w:rPr>
        <w:t xml:space="preserve"> </w:t>
      </w:r>
      <w:r w:rsidRPr="00715F5D">
        <w:rPr>
          <w:rFonts w:ascii="Arial" w:hAnsi="Arial" w:cs="Arial"/>
          <w:color w:val="000000"/>
          <w:sz w:val="24"/>
          <w:szCs w:val="24"/>
        </w:rPr>
        <w:t>Last accessed 6th Jan 2021.</w:t>
      </w:r>
    </w:p>
    <w:p w14:paraId="06AEF674" w14:textId="0915F7FA" w:rsidR="00B053CE" w:rsidRDefault="00B053CE" w:rsidP="00B053CE">
      <w:pPr>
        <w:rPr>
          <w:rFonts w:ascii="Arial" w:hAnsi="Arial" w:cs="Arial"/>
          <w:color w:val="000000"/>
          <w:sz w:val="24"/>
          <w:szCs w:val="24"/>
        </w:rPr>
      </w:pPr>
      <w:r w:rsidRPr="00DD6F2F">
        <w:rPr>
          <w:rFonts w:ascii="Arial" w:hAnsi="Arial" w:cs="Arial"/>
          <w:color w:val="000000"/>
          <w:sz w:val="24"/>
          <w:szCs w:val="24"/>
        </w:rPr>
        <w:t>Law of Appeals. (1963). </w:t>
      </w:r>
      <w:r w:rsidRPr="00DD6F2F">
        <w:rPr>
          <w:rFonts w:ascii="Arial" w:hAnsi="Arial" w:cs="Arial"/>
          <w:i/>
          <w:iCs/>
          <w:color w:val="000000"/>
          <w:sz w:val="24"/>
          <w:szCs w:val="24"/>
        </w:rPr>
        <w:t>Roles V Nathan.</w:t>
      </w:r>
      <w:r w:rsidRPr="00DD6F2F">
        <w:rPr>
          <w:rFonts w:ascii="Arial" w:hAnsi="Arial" w:cs="Arial"/>
          <w:color w:val="000000"/>
          <w:sz w:val="24"/>
          <w:szCs w:val="24"/>
        </w:rPr>
        <w:t xml:space="preserve"> Available: </w:t>
      </w:r>
      <w:hyperlink r:id="rId8" w:history="1">
        <w:r w:rsidRPr="00862F73">
          <w:rPr>
            <w:rStyle w:val="Hyperlink"/>
            <w:rFonts w:ascii="Arial" w:hAnsi="Arial" w:cs="Arial"/>
            <w:sz w:val="24"/>
            <w:szCs w:val="24"/>
          </w:rPr>
          <w:t>https://www.casemine.com/judgement/uk/5a8ff87960d03e7f57ec108a</w:t>
        </w:r>
      </w:hyperlink>
      <w:r w:rsidRPr="00DD6F2F">
        <w:rPr>
          <w:rFonts w:ascii="Arial" w:hAnsi="Arial" w:cs="Arial"/>
          <w:color w:val="000000"/>
          <w:sz w:val="24"/>
          <w:szCs w:val="24"/>
        </w:rPr>
        <w:t>.</w:t>
      </w:r>
      <w:r>
        <w:rPr>
          <w:rFonts w:ascii="Arial" w:hAnsi="Arial" w:cs="Arial"/>
          <w:color w:val="000000"/>
          <w:sz w:val="24"/>
          <w:szCs w:val="24"/>
        </w:rPr>
        <w:t xml:space="preserve"> </w:t>
      </w:r>
      <w:r w:rsidRPr="00DD6F2F">
        <w:rPr>
          <w:rFonts w:ascii="Arial" w:hAnsi="Arial" w:cs="Arial"/>
          <w:color w:val="000000"/>
          <w:sz w:val="24"/>
          <w:szCs w:val="24"/>
        </w:rPr>
        <w:t>Last accessed 6th Jan 2021.</w:t>
      </w:r>
    </w:p>
    <w:p w14:paraId="2AD6EE84" w14:textId="10DB862F" w:rsidR="004B0DA1" w:rsidRPr="004B0DA1" w:rsidRDefault="004B0DA1" w:rsidP="00B053CE">
      <w:pPr>
        <w:rPr>
          <w:rFonts w:ascii="Arial" w:hAnsi="Arial" w:cs="Arial"/>
          <w:color w:val="000000"/>
          <w:sz w:val="24"/>
          <w:szCs w:val="24"/>
        </w:rPr>
      </w:pPr>
      <w:r w:rsidRPr="004B0DA1">
        <w:rPr>
          <w:rFonts w:ascii="Arial" w:hAnsi="Arial" w:cs="Arial"/>
          <w:color w:val="000000"/>
          <w:sz w:val="24"/>
          <w:szCs w:val="24"/>
        </w:rPr>
        <w:t>McDonald, D. (1965). The Law of Occupiers' Liability and the Need for Reform in Canada. </w:t>
      </w:r>
      <w:r w:rsidRPr="004B0DA1">
        <w:rPr>
          <w:rFonts w:ascii="Arial" w:hAnsi="Arial" w:cs="Arial"/>
          <w:i/>
          <w:iCs/>
          <w:color w:val="000000"/>
          <w:sz w:val="24"/>
          <w:szCs w:val="24"/>
        </w:rPr>
        <w:t>The University of Toronto Law Journal</w:t>
      </w:r>
      <w:r w:rsidRPr="004B0DA1">
        <w:rPr>
          <w:rFonts w:ascii="Arial" w:hAnsi="Arial" w:cs="Arial"/>
          <w:color w:val="000000"/>
          <w:sz w:val="24"/>
          <w:szCs w:val="24"/>
        </w:rPr>
        <w:t>. 16 (1), p55-88.</w:t>
      </w:r>
    </w:p>
    <w:p w14:paraId="01317738" w14:textId="77777777" w:rsidR="00B053CE" w:rsidRPr="0041763C" w:rsidRDefault="00B053CE" w:rsidP="00B053CE">
      <w:pPr>
        <w:rPr>
          <w:rFonts w:ascii="Arial" w:hAnsi="Arial" w:cs="Arial"/>
          <w:color w:val="000000"/>
          <w:sz w:val="24"/>
          <w:szCs w:val="24"/>
        </w:rPr>
      </w:pPr>
      <w:r w:rsidRPr="0041763C">
        <w:rPr>
          <w:rFonts w:ascii="Arial" w:hAnsi="Arial" w:cs="Arial"/>
          <w:color w:val="000000"/>
          <w:sz w:val="24"/>
          <w:szCs w:val="24"/>
        </w:rPr>
        <w:t>Thompsons Solicitors. (2005). </w:t>
      </w:r>
      <w:r w:rsidRPr="0041763C">
        <w:rPr>
          <w:rFonts w:ascii="Arial" w:hAnsi="Arial" w:cs="Arial"/>
          <w:i/>
          <w:iCs/>
          <w:color w:val="000000"/>
          <w:sz w:val="24"/>
          <w:szCs w:val="24"/>
        </w:rPr>
        <w:t>DUTY OF CARE OF GENERAL LABOURER | THOMPSONS SOLICITORS.</w:t>
      </w:r>
      <w:r w:rsidRPr="0041763C">
        <w:rPr>
          <w:rFonts w:ascii="Arial" w:hAnsi="Arial" w:cs="Arial"/>
          <w:color w:val="000000"/>
          <w:sz w:val="24"/>
          <w:szCs w:val="24"/>
        </w:rPr>
        <w:t> Available:</w:t>
      </w:r>
      <w:r>
        <w:rPr>
          <w:rFonts w:ascii="Arial" w:hAnsi="Arial" w:cs="Arial"/>
          <w:color w:val="000000"/>
          <w:sz w:val="24"/>
          <w:szCs w:val="24"/>
        </w:rPr>
        <w:t xml:space="preserve"> </w:t>
      </w:r>
      <w:hyperlink r:id="rId9" w:history="1">
        <w:r w:rsidRPr="00862F73">
          <w:rPr>
            <w:rStyle w:val="Hyperlink"/>
            <w:rFonts w:ascii="Arial" w:hAnsi="Arial" w:cs="Arial"/>
            <w:sz w:val="24"/>
            <w:szCs w:val="24"/>
          </w:rPr>
          <w:t>https://www.thompsons.law/news/news-archive/law-bulletin-june-2005/duty-of-care-of-general-labourer</w:t>
        </w:r>
      </w:hyperlink>
      <w:r w:rsidRPr="0041763C">
        <w:rPr>
          <w:rFonts w:ascii="Arial" w:hAnsi="Arial" w:cs="Arial"/>
          <w:color w:val="000000"/>
          <w:sz w:val="24"/>
          <w:szCs w:val="24"/>
        </w:rPr>
        <w:t>.</w:t>
      </w:r>
      <w:r>
        <w:rPr>
          <w:rFonts w:ascii="Arial" w:hAnsi="Arial" w:cs="Arial"/>
          <w:color w:val="000000"/>
          <w:sz w:val="24"/>
          <w:szCs w:val="24"/>
        </w:rPr>
        <w:t xml:space="preserve"> </w:t>
      </w:r>
      <w:r w:rsidRPr="0041763C">
        <w:rPr>
          <w:rFonts w:ascii="Arial" w:hAnsi="Arial" w:cs="Arial"/>
          <w:color w:val="000000"/>
          <w:sz w:val="24"/>
          <w:szCs w:val="24"/>
        </w:rPr>
        <w:t>Last accessed 6th Jan 2021.</w:t>
      </w:r>
    </w:p>
    <w:p w14:paraId="61B73FDC" w14:textId="77777777" w:rsidR="00B053CE" w:rsidRPr="00CF2B9B" w:rsidRDefault="00B053CE" w:rsidP="00B053CE">
      <w:pPr>
        <w:rPr>
          <w:rFonts w:ascii="Arial" w:hAnsi="Arial" w:cs="Arial"/>
          <w:color w:val="000000"/>
          <w:sz w:val="24"/>
          <w:szCs w:val="24"/>
        </w:rPr>
      </w:pPr>
      <w:r w:rsidRPr="00CF2B9B">
        <w:rPr>
          <w:rFonts w:ascii="Arial" w:hAnsi="Arial" w:cs="Arial"/>
          <w:color w:val="000000"/>
          <w:sz w:val="24"/>
          <w:szCs w:val="24"/>
        </w:rPr>
        <w:t>The Law Commission. (1976). </w:t>
      </w:r>
      <w:r w:rsidRPr="00CF2B9B">
        <w:rPr>
          <w:rFonts w:ascii="Arial" w:hAnsi="Arial" w:cs="Arial"/>
          <w:i/>
          <w:iCs/>
          <w:color w:val="000000"/>
          <w:sz w:val="24"/>
          <w:szCs w:val="24"/>
        </w:rPr>
        <w:t xml:space="preserve">REPORT ON LIABILITY FOR DAMAGE OR INJURY TO TRESPASSERS AND RELATED QUESTIONS OF OCCUPIERS’ </w:t>
      </w:r>
      <w:proofErr w:type="gramStart"/>
      <w:r w:rsidRPr="00CF2B9B">
        <w:rPr>
          <w:rFonts w:ascii="Arial" w:hAnsi="Arial" w:cs="Arial"/>
          <w:i/>
          <w:iCs/>
          <w:color w:val="000000"/>
          <w:sz w:val="24"/>
          <w:szCs w:val="24"/>
        </w:rPr>
        <w:t>LIABILITY .</w:t>
      </w:r>
      <w:proofErr w:type="gramEnd"/>
      <w:r w:rsidRPr="00CF2B9B">
        <w:rPr>
          <w:rFonts w:ascii="Arial" w:hAnsi="Arial" w:cs="Arial"/>
          <w:color w:val="000000"/>
          <w:sz w:val="24"/>
          <w:szCs w:val="24"/>
        </w:rPr>
        <w:t xml:space="preserve"> Available: </w:t>
      </w:r>
      <w:hyperlink r:id="rId10" w:history="1">
        <w:r w:rsidRPr="00862F73">
          <w:rPr>
            <w:rStyle w:val="Hyperlink"/>
            <w:rFonts w:ascii="Arial" w:hAnsi="Arial" w:cs="Arial"/>
            <w:sz w:val="24"/>
            <w:szCs w:val="24"/>
          </w:rPr>
          <w:t>https://s3-eu-west-2.amazonaws.com/lawcom-prod-storage-11jsxou24uy7q/uploads/2016/07/LC.-075-REPORT-ON-LIABILITY-FOR-DAMAGE-OR-INJURY-TO-TRESSPASSERS-AND-RELATED-QUESTIONS-OF-OCCUPIERS-LIABILITY.pdf</w:t>
        </w:r>
      </w:hyperlink>
      <w:r w:rsidRPr="00CF2B9B">
        <w:rPr>
          <w:rFonts w:ascii="Arial" w:hAnsi="Arial" w:cs="Arial"/>
          <w:color w:val="000000"/>
          <w:sz w:val="24"/>
          <w:szCs w:val="24"/>
        </w:rPr>
        <w:t>.</w:t>
      </w:r>
      <w:r>
        <w:rPr>
          <w:rFonts w:ascii="Arial" w:hAnsi="Arial" w:cs="Arial"/>
          <w:color w:val="000000"/>
          <w:sz w:val="24"/>
          <w:szCs w:val="24"/>
        </w:rPr>
        <w:t xml:space="preserve"> </w:t>
      </w:r>
      <w:r w:rsidRPr="00CF2B9B">
        <w:rPr>
          <w:rFonts w:ascii="Arial" w:hAnsi="Arial" w:cs="Arial"/>
          <w:color w:val="000000"/>
          <w:sz w:val="24"/>
          <w:szCs w:val="24"/>
        </w:rPr>
        <w:t>Last accessed 6th Jan 2021.</w:t>
      </w:r>
    </w:p>
    <w:p w14:paraId="4E19D4AE" w14:textId="77777777" w:rsidR="00B053CE" w:rsidRDefault="00B053CE" w:rsidP="00B053CE">
      <w:pPr>
        <w:rPr>
          <w:rFonts w:ascii="Arial" w:hAnsi="Arial" w:cs="Arial"/>
          <w:color w:val="000000"/>
          <w:sz w:val="24"/>
          <w:szCs w:val="24"/>
        </w:rPr>
      </w:pPr>
      <w:r w:rsidRPr="009835CA">
        <w:rPr>
          <w:rFonts w:ascii="Arial" w:hAnsi="Arial" w:cs="Arial"/>
          <w:color w:val="000000"/>
          <w:sz w:val="24"/>
          <w:szCs w:val="24"/>
        </w:rPr>
        <w:t>The Law Society Gazette. (2006). </w:t>
      </w:r>
      <w:r w:rsidRPr="009835CA">
        <w:rPr>
          <w:rFonts w:ascii="Arial" w:hAnsi="Arial" w:cs="Arial"/>
          <w:i/>
          <w:iCs/>
          <w:color w:val="000000"/>
          <w:sz w:val="24"/>
          <w:szCs w:val="24"/>
        </w:rPr>
        <w:t>Law reports.</w:t>
      </w:r>
      <w:r w:rsidRPr="009835CA">
        <w:rPr>
          <w:rFonts w:ascii="Arial" w:hAnsi="Arial" w:cs="Arial"/>
          <w:color w:val="000000"/>
          <w:sz w:val="24"/>
          <w:szCs w:val="24"/>
        </w:rPr>
        <w:t xml:space="preserve"> Available: </w:t>
      </w:r>
      <w:hyperlink r:id="rId11" w:history="1">
        <w:r w:rsidRPr="00862F73">
          <w:rPr>
            <w:rStyle w:val="Hyperlink"/>
            <w:rFonts w:ascii="Arial" w:hAnsi="Arial" w:cs="Arial"/>
            <w:sz w:val="24"/>
            <w:szCs w:val="24"/>
          </w:rPr>
          <w:t>https://www.lawgazette.co.uk/law/law-reports/3984.article</w:t>
        </w:r>
      </w:hyperlink>
      <w:r w:rsidRPr="009835CA">
        <w:rPr>
          <w:rFonts w:ascii="Arial" w:hAnsi="Arial" w:cs="Arial"/>
          <w:color w:val="000000"/>
          <w:sz w:val="24"/>
          <w:szCs w:val="24"/>
        </w:rPr>
        <w:t>.</w:t>
      </w:r>
      <w:r>
        <w:rPr>
          <w:rFonts w:ascii="Arial" w:hAnsi="Arial" w:cs="Arial"/>
          <w:color w:val="000000"/>
          <w:sz w:val="24"/>
          <w:szCs w:val="24"/>
        </w:rPr>
        <w:t xml:space="preserve"> </w:t>
      </w:r>
      <w:r w:rsidRPr="009835CA">
        <w:rPr>
          <w:rFonts w:ascii="Arial" w:hAnsi="Arial" w:cs="Arial"/>
          <w:color w:val="000000"/>
          <w:sz w:val="24"/>
          <w:szCs w:val="24"/>
        </w:rPr>
        <w:t>Last accessed 6th Jan 2021.</w:t>
      </w:r>
    </w:p>
    <w:p w14:paraId="500102E2" w14:textId="7B1FF892" w:rsidR="00B053CE" w:rsidRDefault="00B053CE" w:rsidP="00B053CE">
      <w:pPr>
        <w:rPr>
          <w:rFonts w:ascii="Arial" w:hAnsi="Arial" w:cs="Arial"/>
          <w:color w:val="000000"/>
          <w:sz w:val="24"/>
          <w:szCs w:val="24"/>
        </w:rPr>
      </w:pPr>
      <w:r w:rsidRPr="00235A3A">
        <w:rPr>
          <w:rFonts w:ascii="Arial" w:hAnsi="Arial" w:cs="Arial"/>
          <w:color w:val="000000"/>
          <w:sz w:val="24"/>
          <w:szCs w:val="24"/>
        </w:rPr>
        <w:t>UK Government. (1957). </w:t>
      </w:r>
      <w:r w:rsidRPr="00235A3A">
        <w:rPr>
          <w:rFonts w:ascii="Arial" w:hAnsi="Arial" w:cs="Arial"/>
          <w:i/>
          <w:iCs/>
          <w:color w:val="000000"/>
          <w:sz w:val="24"/>
          <w:szCs w:val="24"/>
        </w:rPr>
        <w:t>Occupiers’ Liability Act 1957.</w:t>
      </w:r>
      <w:r w:rsidRPr="00235A3A">
        <w:rPr>
          <w:rFonts w:ascii="Arial" w:hAnsi="Arial" w:cs="Arial"/>
          <w:color w:val="000000"/>
          <w:sz w:val="24"/>
          <w:szCs w:val="24"/>
        </w:rPr>
        <w:t xml:space="preserve"> Available: </w:t>
      </w:r>
      <w:hyperlink r:id="rId12" w:history="1">
        <w:r w:rsidR="00715F5D" w:rsidRPr="00862F73">
          <w:rPr>
            <w:rStyle w:val="Hyperlink"/>
            <w:rFonts w:ascii="Arial" w:hAnsi="Arial" w:cs="Arial"/>
            <w:sz w:val="24"/>
            <w:szCs w:val="24"/>
          </w:rPr>
          <w:t>https://www.legislation.gov.uk/ukpga/Eliz2/5-6/31/contents</w:t>
        </w:r>
      </w:hyperlink>
      <w:r w:rsidRPr="00235A3A">
        <w:rPr>
          <w:rFonts w:ascii="Arial" w:hAnsi="Arial" w:cs="Arial"/>
          <w:color w:val="000000"/>
          <w:sz w:val="24"/>
          <w:szCs w:val="24"/>
        </w:rPr>
        <w:t>.</w:t>
      </w:r>
      <w:r w:rsidR="00715F5D">
        <w:rPr>
          <w:rFonts w:ascii="Arial" w:hAnsi="Arial" w:cs="Arial"/>
          <w:color w:val="000000"/>
          <w:sz w:val="24"/>
          <w:szCs w:val="24"/>
        </w:rPr>
        <w:t xml:space="preserve"> </w:t>
      </w:r>
      <w:r w:rsidRPr="00235A3A">
        <w:rPr>
          <w:rFonts w:ascii="Arial" w:hAnsi="Arial" w:cs="Arial"/>
          <w:color w:val="000000"/>
          <w:sz w:val="24"/>
          <w:szCs w:val="24"/>
        </w:rPr>
        <w:t>Last accessed 6th Jan 2021.</w:t>
      </w:r>
    </w:p>
    <w:p w14:paraId="77B1DB0E" w14:textId="77777777" w:rsidR="00B053CE" w:rsidRDefault="00B053CE" w:rsidP="00B053CE">
      <w:pPr>
        <w:rPr>
          <w:rFonts w:ascii="Arial" w:hAnsi="Arial" w:cs="Arial"/>
          <w:color w:val="000000"/>
          <w:sz w:val="24"/>
          <w:szCs w:val="24"/>
        </w:rPr>
      </w:pPr>
      <w:r>
        <w:rPr>
          <w:rFonts w:ascii="Arial" w:hAnsi="Arial" w:cs="Arial"/>
          <w:color w:val="000000"/>
          <w:sz w:val="24"/>
          <w:szCs w:val="24"/>
        </w:rPr>
        <w:t xml:space="preserve">UK Government. (1984). </w:t>
      </w:r>
      <w:r w:rsidRPr="00235A3A">
        <w:rPr>
          <w:rFonts w:ascii="Arial" w:hAnsi="Arial" w:cs="Arial"/>
          <w:i/>
          <w:iCs/>
          <w:color w:val="000000"/>
          <w:sz w:val="24"/>
          <w:szCs w:val="24"/>
        </w:rPr>
        <w:t>Occupiers’ Liability Act 19</w:t>
      </w:r>
      <w:r>
        <w:rPr>
          <w:rFonts w:ascii="Arial" w:hAnsi="Arial" w:cs="Arial"/>
          <w:i/>
          <w:iCs/>
          <w:color w:val="000000"/>
          <w:sz w:val="24"/>
          <w:szCs w:val="24"/>
        </w:rPr>
        <w:t xml:space="preserve">84. </w:t>
      </w:r>
      <w:r>
        <w:rPr>
          <w:rFonts w:ascii="Arial" w:hAnsi="Arial" w:cs="Arial"/>
          <w:color w:val="000000"/>
          <w:sz w:val="24"/>
          <w:szCs w:val="24"/>
        </w:rPr>
        <w:t xml:space="preserve">Available: </w:t>
      </w:r>
      <w:hyperlink r:id="rId13" w:history="1">
        <w:r w:rsidRPr="003B4120">
          <w:rPr>
            <w:rStyle w:val="Hyperlink"/>
            <w:rFonts w:ascii="Arial" w:hAnsi="Arial" w:cs="Arial"/>
            <w:sz w:val="24"/>
            <w:szCs w:val="24"/>
          </w:rPr>
          <w:t>https://www.legislation.gov.uk/ukpga/1984/3/contents</w:t>
        </w:r>
      </w:hyperlink>
      <w:r>
        <w:rPr>
          <w:rFonts w:ascii="Arial" w:hAnsi="Arial" w:cs="Arial"/>
          <w:color w:val="000000"/>
          <w:sz w:val="24"/>
          <w:szCs w:val="24"/>
        </w:rPr>
        <w:t>. Last accessed 6</w:t>
      </w:r>
      <w:r w:rsidRPr="00235A3A">
        <w:rPr>
          <w:rFonts w:ascii="Arial" w:hAnsi="Arial" w:cs="Arial"/>
          <w:color w:val="000000"/>
          <w:sz w:val="24"/>
          <w:szCs w:val="24"/>
          <w:vertAlign w:val="superscript"/>
        </w:rPr>
        <w:t>th</w:t>
      </w:r>
      <w:r>
        <w:rPr>
          <w:rFonts w:ascii="Arial" w:hAnsi="Arial" w:cs="Arial"/>
          <w:color w:val="000000"/>
          <w:sz w:val="24"/>
          <w:szCs w:val="24"/>
        </w:rPr>
        <w:t xml:space="preserve"> Jan 2021.</w:t>
      </w:r>
    </w:p>
    <w:p w14:paraId="7D2DA91C" w14:textId="77777777" w:rsidR="00B053CE" w:rsidRDefault="00B053CE" w:rsidP="00B053CE">
      <w:pPr>
        <w:rPr>
          <w:rFonts w:ascii="Arial" w:hAnsi="Arial" w:cs="Arial"/>
          <w:color w:val="000000"/>
          <w:sz w:val="24"/>
          <w:szCs w:val="24"/>
          <w:u w:val="single"/>
        </w:rPr>
      </w:pPr>
    </w:p>
    <w:p w14:paraId="7D1F0C79" w14:textId="77777777" w:rsidR="00BC79C2" w:rsidRDefault="00BC79C2" w:rsidP="00B053CE">
      <w:pPr>
        <w:rPr>
          <w:rFonts w:ascii="Arial" w:hAnsi="Arial" w:cs="Arial"/>
          <w:color w:val="000000"/>
          <w:sz w:val="24"/>
          <w:szCs w:val="24"/>
          <w:u w:val="single"/>
        </w:rPr>
      </w:pPr>
    </w:p>
    <w:p w14:paraId="30E465A4" w14:textId="77777777" w:rsidR="00BC79C2" w:rsidRDefault="00BC79C2" w:rsidP="00B053CE">
      <w:pPr>
        <w:rPr>
          <w:rFonts w:ascii="Arial" w:hAnsi="Arial" w:cs="Arial"/>
          <w:color w:val="000000"/>
          <w:sz w:val="24"/>
          <w:szCs w:val="24"/>
          <w:u w:val="single"/>
        </w:rPr>
      </w:pPr>
    </w:p>
    <w:p w14:paraId="616BF031" w14:textId="77777777" w:rsidR="00BC79C2" w:rsidRDefault="00BC79C2" w:rsidP="00B053CE">
      <w:pPr>
        <w:rPr>
          <w:rFonts w:ascii="Arial" w:hAnsi="Arial" w:cs="Arial"/>
          <w:color w:val="000000"/>
          <w:sz w:val="24"/>
          <w:szCs w:val="24"/>
          <w:u w:val="single"/>
        </w:rPr>
      </w:pPr>
    </w:p>
    <w:p w14:paraId="5BBD8F48" w14:textId="451C155A" w:rsidR="00B053CE" w:rsidRDefault="00B053CE" w:rsidP="00B053CE">
      <w:pPr>
        <w:rPr>
          <w:rFonts w:ascii="Arial" w:hAnsi="Arial" w:cs="Arial"/>
          <w:color w:val="000000"/>
          <w:sz w:val="24"/>
          <w:szCs w:val="24"/>
          <w:u w:val="single"/>
        </w:rPr>
      </w:pPr>
      <w:r>
        <w:rPr>
          <w:rFonts w:ascii="Arial" w:hAnsi="Arial" w:cs="Arial"/>
          <w:color w:val="000000"/>
          <w:sz w:val="24"/>
          <w:szCs w:val="24"/>
          <w:u w:val="single"/>
        </w:rPr>
        <w:lastRenderedPageBreak/>
        <w:t>Case List</w:t>
      </w:r>
    </w:p>
    <w:p w14:paraId="122E9D98" w14:textId="77777777" w:rsidR="00B053CE" w:rsidRPr="00D033BB" w:rsidRDefault="00B053CE" w:rsidP="00B053CE">
      <w:pPr>
        <w:rPr>
          <w:rFonts w:ascii="Arial" w:hAnsi="Arial" w:cs="Arial"/>
          <w:bCs/>
          <w:sz w:val="24"/>
          <w:szCs w:val="24"/>
        </w:rPr>
      </w:pPr>
      <w:r w:rsidRPr="006D7530">
        <w:rPr>
          <w:rFonts w:ascii="Arial" w:hAnsi="Arial" w:cs="Arial"/>
          <w:bCs/>
          <w:sz w:val="24"/>
          <w:szCs w:val="24"/>
        </w:rPr>
        <w:t xml:space="preserve">Keown v Coventry Healthcare NHS Trust </w:t>
      </w:r>
      <w:r>
        <w:rPr>
          <w:rFonts w:ascii="Arial" w:hAnsi="Arial" w:cs="Arial"/>
          <w:bCs/>
          <w:sz w:val="24"/>
          <w:szCs w:val="24"/>
        </w:rPr>
        <w:t>[</w:t>
      </w:r>
      <w:r w:rsidRPr="006D7530">
        <w:rPr>
          <w:rFonts w:ascii="Arial" w:hAnsi="Arial" w:cs="Arial"/>
          <w:bCs/>
          <w:sz w:val="24"/>
          <w:szCs w:val="24"/>
        </w:rPr>
        <w:t>2006</w:t>
      </w:r>
      <w:r>
        <w:rPr>
          <w:rFonts w:ascii="Arial" w:hAnsi="Arial" w:cs="Arial"/>
          <w:bCs/>
          <w:sz w:val="24"/>
          <w:szCs w:val="24"/>
        </w:rPr>
        <w:t>]</w:t>
      </w:r>
    </w:p>
    <w:p w14:paraId="21607AEE" w14:textId="77777777" w:rsidR="00B053CE" w:rsidRDefault="00B053CE" w:rsidP="00B053CE">
      <w:pPr>
        <w:rPr>
          <w:rFonts w:ascii="Arial" w:hAnsi="Arial" w:cs="Arial"/>
          <w:color w:val="000000"/>
          <w:sz w:val="24"/>
          <w:szCs w:val="24"/>
          <w:u w:val="single"/>
        </w:rPr>
      </w:pPr>
      <w:r w:rsidRPr="006D7530">
        <w:rPr>
          <w:rFonts w:ascii="Arial" w:hAnsi="Arial" w:cs="Arial"/>
          <w:bCs/>
          <w:sz w:val="24"/>
          <w:szCs w:val="24"/>
        </w:rPr>
        <w:t xml:space="preserve">Roles v Nathan </w:t>
      </w:r>
      <w:r>
        <w:rPr>
          <w:rFonts w:ascii="Arial" w:hAnsi="Arial" w:cs="Arial"/>
          <w:bCs/>
          <w:sz w:val="24"/>
          <w:szCs w:val="24"/>
        </w:rPr>
        <w:t>[</w:t>
      </w:r>
      <w:r w:rsidRPr="006D7530">
        <w:rPr>
          <w:rFonts w:ascii="Arial" w:hAnsi="Arial" w:cs="Arial"/>
          <w:bCs/>
          <w:sz w:val="24"/>
          <w:szCs w:val="24"/>
        </w:rPr>
        <w:t>1963</w:t>
      </w:r>
      <w:r>
        <w:rPr>
          <w:rFonts w:ascii="Arial" w:hAnsi="Arial" w:cs="Arial"/>
          <w:bCs/>
          <w:sz w:val="24"/>
          <w:szCs w:val="24"/>
        </w:rPr>
        <w:t>]</w:t>
      </w:r>
    </w:p>
    <w:p w14:paraId="0D58C478" w14:textId="77777777" w:rsidR="00B053CE" w:rsidRDefault="00B053CE" w:rsidP="00B053CE">
      <w:pPr>
        <w:rPr>
          <w:rFonts w:ascii="Arial" w:hAnsi="Arial" w:cs="Arial"/>
          <w:sz w:val="24"/>
          <w:szCs w:val="24"/>
        </w:rPr>
      </w:pPr>
      <w:r>
        <w:rPr>
          <w:rFonts w:ascii="Arial" w:hAnsi="Arial" w:cs="Arial"/>
          <w:i/>
          <w:iCs/>
          <w:sz w:val="24"/>
          <w:szCs w:val="24"/>
        </w:rPr>
        <w:t xml:space="preserve">Tomlinson v Congleton Borough Council </w:t>
      </w:r>
      <w:r>
        <w:rPr>
          <w:rFonts w:ascii="Arial" w:hAnsi="Arial" w:cs="Arial"/>
          <w:sz w:val="24"/>
          <w:szCs w:val="24"/>
        </w:rPr>
        <w:t>[2004]</w:t>
      </w:r>
    </w:p>
    <w:p w14:paraId="2175F86D" w14:textId="77777777" w:rsidR="00B053CE" w:rsidRPr="00C10B30" w:rsidRDefault="00B053CE" w:rsidP="00B053CE">
      <w:pPr>
        <w:rPr>
          <w:rFonts w:ascii="Arial" w:hAnsi="Arial" w:cs="Arial"/>
          <w:sz w:val="24"/>
          <w:szCs w:val="24"/>
          <w:shd w:val="clear" w:color="auto" w:fill="FFFFFF"/>
        </w:rPr>
      </w:pPr>
      <w:r w:rsidRPr="00D43E75">
        <w:rPr>
          <w:rStyle w:val="Emphasis"/>
          <w:rFonts w:ascii="Arial" w:hAnsi="Arial" w:cs="Arial"/>
          <w:sz w:val="24"/>
          <w:szCs w:val="24"/>
        </w:rPr>
        <w:t xml:space="preserve">Wheat v E </w:t>
      </w:r>
      <w:proofErr w:type="spellStart"/>
      <w:r w:rsidRPr="00D43E75">
        <w:rPr>
          <w:rStyle w:val="Emphasis"/>
          <w:rFonts w:ascii="Arial" w:hAnsi="Arial" w:cs="Arial"/>
          <w:sz w:val="24"/>
          <w:szCs w:val="24"/>
        </w:rPr>
        <w:t>Lacon</w:t>
      </w:r>
      <w:proofErr w:type="spellEnd"/>
      <w:r w:rsidRPr="00D43E75">
        <w:rPr>
          <w:rStyle w:val="Emphasis"/>
          <w:rFonts w:ascii="Arial" w:hAnsi="Arial" w:cs="Arial"/>
          <w:sz w:val="24"/>
          <w:szCs w:val="24"/>
        </w:rPr>
        <w:t xml:space="preserve"> &amp; Co Ltd</w:t>
      </w:r>
      <w:r w:rsidRPr="00D43E75">
        <w:rPr>
          <w:rFonts w:ascii="Arial" w:hAnsi="Arial" w:cs="Arial"/>
          <w:sz w:val="24"/>
          <w:szCs w:val="24"/>
          <w:shd w:val="clear" w:color="auto" w:fill="FFFFFF"/>
        </w:rPr>
        <w:t> [1966]</w:t>
      </w:r>
    </w:p>
    <w:p w14:paraId="7CA393DB" w14:textId="45C8365A" w:rsidR="00022441" w:rsidRPr="00022441" w:rsidRDefault="00B053CE" w:rsidP="00B053CE">
      <w:pPr>
        <w:rPr>
          <w:rFonts w:ascii="Arial" w:hAnsi="Arial" w:cs="Arial"/>
          <w:sz w:val="24"/>
          <w:szCs w:val="24"/>
          <w:u w:val="single"/>
        </w:rPr>
      </w:pPr>
      <w:r>
        <w:rPr>
          <w:rFonts w:ascii="Arial" w:hAnsi="Arial" w:cs="Arial"/>
          <w:i/>
          <w:iCs/>
          <w:sz w:val="24"/>
          <w:szCs w:val="24"/>
          <w:shd w:val="clear" w:color="auto" w:fill="FFFFFF"/>
        </w:rPr>
        <w:t xml:space="preserve">Young v Kent County Council </w:t>
      </w:r>
      <w:r>
        <w:rPr>
          <w:rFonts w:ascii="Arial" w:hAnsi="Arial" w:cs="Arial"/>
          <w:sz w:val="24"/>
          <w:szCs w:val="24"/>
          <w:shd w:val="clear" w:color="auto" w:fill="FFFFFF"/>
        </w:rPr>
        <w:t>[2005]</w:t>
      </w:r>
    </w:p>
    <w:sectPr w:rsidR="00022441" w:rsidRPr="000224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6C9421" w14:textId="77777777" w:rsidR="001010B8" w:rsidRDefault="001010B8" w:rsidP="00832F2C">
      <w:pPr>
        <w:spacing w:after="0" w:line="240" w:lineRule="auto"/>
      </w:pPr>
      <w:r>
        <w:separator/>
      </w:r>
    </w:p>
  </w:endnote>
  <w:endnote w:type="continuationSeparator" w:id="0">
    <w:p w14:paraId="74E95206" w14:textId="77777777" w:rsidR="001010B8" w:rsidRDefault="001010B8" w:rsidP="00832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AE902F" w14:textId="77777777" w:rsidR="001010B8" w:rsidRDefault="001010B8" w:rsidP="00832F2C">
      <w:pPr>
        <w:spacing w:after="0" w:line="240" w:lineRule="auto"/>
      </w:pPr>
      <w:r>
        <w:separator/>
      </w:r>
    </w:p>
  </w:footnote>
  <w:footnote w:type="continuationSeparator" w:id="0">
    <w:p w14:paraId="6B4E43FA" w14:textId="77777777" w:rsidR="001010B8" w:rsidRDefault="001010B8" w:rsidP="00832F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B3E"/>
    <w:rsid w:val="00022441"/>
    <w:rsid w:val="00033CFB"/>
    <w:rsid w:val="00050165"/>
    <w:rsid w:val="00060CE8"/>
    <w:rsid w:val="001010B8"/>
    <w:rsid w:val="0013324A"/>
    <w:rsid w:val="00201E7F"/>
    <w:rsid w:val="00224382"/>
    <w:rsid w:val="00236A7C"/>
    <w:rsid w:val="002C2BEB"/>
    <w:rsid w:val="00316822"/>
    <w:rsid w:val="00360CEF"/>
    <w:rsid w:val="00382187"/>
    <w:rsid w:val="003A3AD2"/>
    <w:rsid w:val="003B6D5B"/>
    <w:rsid w:val="003C5D21"/>
    <w:rsid w:val="003F0E95"/>
    <w:rsid w:val="003F2C99"/>
    <w:rsid w:val="003F5AF8"/>
    <w:rsid w:val="00413DFF"/>
    <w:rsid w:val="00484FB6"/>
    <w:rsid w:val="004B0DA1"/>
    <w:rsid w:val="005521B4"/>
    <w:rsid w:val="00574980"/>
    <w:rsid w:val="005849B6"/>
    <w:rsid w:val="00586DE6"/>
    <w:rsid w:val="005D297E"/>
    <w:rsid w:val="00610DE3"/>
    <w:rsid w:val="00631136"/>
    <w:rsid w:val="00631456"/>
    <w:rsid w:val="00632C52"/>
    <w:rsid w:val="00654065"/>
    <w:rsid w:val="006B6599"/>
    <w:rsid w:val="006C5A44"/>
    <w:rsid w:val="006D3FA6"/>
    <w:rsid w:val="006E0303"/>
    <w:rsid w:val="00705D07"/>
    <w:rsid w:val="00711B7E"/>
    <w:rsid w:val="00715F5D"/>
    <w:rsid w:val="007267B3"/>
    <w:rsid w:val="007439CD"/>
    <w:rsid w:val="007A20C8"/>
    <w:rsid w:val="007F48F7"/>
    <w:rsid w:val="00832F2C"/>
    <w:rsid w:val="00837606"/>
    <w:rsid w:val="00883B78"/>
    <w:rsid w:val="009674D8"/>
    <w:rsid w:val="00993F71"/>
    <w:rsid w:val="009C7019"/>
    <w:rsid w:val="00A77CD6"/>
    <w:rsid w:val="00A804B1"/>
    <w:rsid w:val="00A84B3E"/>
    <w:rsid w:val="00B053CE"/>
    <w:rsid w:val="00B06178"/>
    <w:rsid w:val="00B073AE"/>
    <w:rsid w:val="00B24586"/>
    <w:rsid w:val="00B55456"/>
    <w:rsid w:val="00BA04D5"/>
    <w:rsid w:val="00BC79C2"/>
    <w:rsid w:val="00C22321"/>
    <w:rsid w:val="00C626A9"/>
    <w:rsid w:val="00CB11D0"/>
    <w:rsid w:val="00D16722"/>
    <w:rsid w:val="00D222CC"/>
    <w:rsid w:val="00D43E75"/>
    <w:rsid w:val="00D46315"/>
    <w:rsid w:val="00D7172E"/>
    <w:rsid w:val="00D92CA0"/>
    <w:rsid w:val="00DD517E"/>
    <w:rsid w:val="00DF2B64"/>
    <w:rsid w:val="00E31C38"/>
    <w:rsid w:val="00E56715"/>
    <w:rsid w:val="00E9463D"/>
    <w:rsid w:val="00EE699C"/>
    <w:rsid w:val="00F56540"/>
    <w:rsid w:val="00FB2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07DE6"/>
  <w15:chartTrackingRefBased/>
  <w15:docId w15:val="{49762FB2-95EC-4291-908C-3BE702233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43E75"/>
    <w:rPr>
      <w:i/>
      <w:iCs/>
    </w:rPr>
  </w:style>
  <w:style w:type="character" w:styleId="Hyperlink">
    <w:name w:val="Hyperlink"/>
    <w:basedOn w:val="DefaultParagraphFont"/>
    <w:uiPriority w:val="99"/>
    <w:unhideWhenUsed/>
    <w:rsid w:val="00D43E75"/>
    <w:rPr>
      <w:color w:val="0000FF"/>
      <w:u w:val="single"/>
    </w:rPr>
  </w:style>
  <w:style w:type="character" w:styleId="UnresolvedMention">
    <w:name w:val="Unresolved Mention"/>
    <w:basedOn w:val="DefaultParagraphFont"/>
    <w:uiPriority w:val="99"/>
    <w:semiHidden/>
    <w:unhideWhenUsed/>
    <w:rsid w:val="00715F5D"/>
    <w:rPr>
      <w:color w:val="605E5C"/>
      <w:shd w:val="clear" w:color="auto" w:fill="E1DFDD"/>
    </w:rPr>
  </w:style>
  <w:style w:type="paragraph" w:styleId="Header">
    <w:name w:val="header"/>
    <w:basedOn w:val="Normal"/>
    <w:link w:val="HeaderChar"/>
    <w:uiPriority w:val="99"/>
    <w:unhideWhenUsed/>
    <w:rsid w:val="00832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F2C"/>
  </w:style>
  <w:style w:type="paragraph" w:styleId="Footer">
    <w:name w:val="footer"/>
    <w:basedOn w:val="Normal"/>
    <w:link w:val="FooterChar"/>
    <w:uiPriority w:val="99"/>
    <w:unhideWhenUsed/>
    <w:rsid w:val="00832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F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7390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semine.com/judgement/uk/5a8ff87960d03e7f57ec108a" TargetMode="External"/><Relationship Id="rId13" Type="http://schemas.openxmlformats.org/officeDocument/2006/relationships/hyperlink" Target="https://www.legislation.gov.uk/ukpga/1984/3/contents" TargetMode="External"/><Relationship Id="rId3" Type="http://schemas.openxmlformats.org/officeDocument/2006/relationships/webSettings" Target="webSettings.xml"/><Relationship Id="rId7" Type="http://schemas.openxmlformats.org/officeDocument/2006/relationships/hyperlink" Target="https://www.casemine.com/judgement/uk/5a8ff8c960d03e7f57ecd6a0" TargetMode="External"/><Relationship Id="rId12" Type="http://schemas.openxmlformats.org/officeDocument/2006/relationships/hyperlink" Target="https://www.legislation.gov.uk/ukpga/Eliz2/5-6/31/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lications.parliament.uk/pa/ld200203/ldjudgmt/jd030731/tomlin-1.htm" TargetMode="External"/><Relationship Id="rId11" Type="http://schemas.openxmlformats.org/officeDocument/2006/relationships/hyperlink" Target="https://www.lawgazette.co.uk/law/law-reports/3984.articl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s3-eu-west-2.amazonaws.com/lawcom-prod-storage-11jsxou24uy7q/uploads/2016/07/LC.-075-REPORT-ON-LIABILITY-FOR-DAMAGE-OR-INJURY-TO-TRESSPASSERS-AND-RELATED-QUESTIONS-OF-OCCUPIERS-LIABILITY.pdf" TargetMode="External"/><Relationship Id="rId4" Type="http://schemas.openxmlformats.org/officeDocument/2006/relationships/footnotes" Target="footnotes.xml"/><Relationship Id="rId9" Type="http://schemas.openxmlformats.org/officeDocument/2006/relationships/hyperlink" Target="https://www.thompsons.law/news/news-archive/law-bulletin-june-2005/duty-of-care-of-general-labour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1150</TotalTime>
  <Pages>8</Pages>
  <Words>1883</Words>
  <Characters>10735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Spencer</dc:creator>
  <cp:keywords/>
  <dc:description/>
  <cp:lastModifiedBy>Kirsty Spencer</cp:lastModifiedBy>
  <cp:revision>204</cp:revision>
  <dcterms:created xsi:type="dcterms:W3CDTF">2021-01-06T15:47:00Z</dcterms:created>
  <dcterms:modified xsi:type="dcterms:W3CDTF">2021-01-08T05:43:00Z</dcterms:modified>
</cp:coreProperties>
</file>