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Proposed Topic/Working Title:</w:t>
      </w:r>
    </w:p>
    <w:p w:rsidR="00000000" w:rsidDel="00000000" w:rsidP="00000000" w:rsidRDefault="00000000" w:rsidRPr="00000000" w14:paraId="00000002">
      <w:pPr>
        <w:spacing w:after="240" w:before="240" w:line="360" w:lineRule="auto"/>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Evaluating the UK Market Entry Potential of Pintola: Consumer Acceptance, Competitive Positioning and Strategic Recommendations.</w:t>
      </w: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assessed the potential of Pintola for entering the UK market in terms of consumer acceptance, competitive positioning and recommendations.</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will undertake the examination of the potential of Pintola, an Indian health-food brand, to enter/explore the market of the United Kingdom. It will evaluate consumer preference, market opportunity and market positioning to create a business strategy that is based on evidence.</w:t>
      </w:r>
    </w:p>
    <w:p w:rsidR="00000000" w:rsidDel="00000000" w:rsidP="00000000" w:rsidRDefault="00000000" w:rsidRPr="00000000" w14:paraId="00000005">
      <w:pPr>
        <w:keepNext w:val="0"/>
        <w:keepLines w:val="0"/>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Business Problem or Unmet Need</w:t>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an array of peanut butter and health-food options out there for consumers in the UK. But the introduction of a new international brand relies on aspects like perceived health advantages, trust, cost and product awareness, etc., of the consumers. Firoozzare et al. (2024) note that awareness and trust play a crucial role in the decision-making process for buying healthy foods. As well, Chilón-Troncos et al. (2024) demonstrate the importance of nutritional literacy, attitudes and perceived behavioural control when predicting willingness to eat healthy branded foods. For Pintola, then, it is important to build a sense of trust, gain an understanding of local tastes, and stand out from competitors. The business opportunity lies in analysing products to find out if they satisfy UK consumer needs and devising a suitable business strategy to compete in the UK market.</w:t>
      </w:r>
    </w:p>
    <w:p w:rsidR="00000000" w:rsidDel="00000000" w:rsidP="00000000" w:rsidRDefault="00000000" w:rsidRPr="00000000" w14:paraId="00000007">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Proposed Business Response</w:t>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decision to be made is about what kind of business plan is going to be made a reality. The business decision to be made is the development of a vision for a market entry strategy that must rely on research with consumers and analysis of the competition. Online retailing, partnership with retailers in the United Kingdom and via existing food suppliers with distribution are all options Pintola could consider. Itss location could highlight validated product features such as ingredients, nutritional content, product range and price. But there has to be some correct product information to back up the content of marketing claims. International market selection involves assessing market opportunities and market conditions for entry into the international market (Francioni &amp; Martín Martín, 2024). In addition, Nirmala et al. (2024) highlight the significance of the right strategies to address Internationalisation challenges. These insights will feed into recommendations on distribution, pricing for the sale, promotion and competitive differentiation.</w:t>
      </w:r>
    </w:p>
    <w:p w:rsidR="00000000" w:rsidDel="00000000" w:rsidP="00000000" w:rsidRDefault="00000000" w:rsidRPr="00000000" w14:paraId="00000009">
      <w:pPr>
        <w:keepNext w:val="0"/>
        <w:keepLines w:val="0"/>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Target Customers and Scope</w:t>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 of interest will be the UK with an emphasis on health-conscious adults, fitness-conscious individuals, high-protein food seekers, and customers interested in natural nut butters. The study will focus on peanut butter and other peanut products instead of the entire food business. Companies to compete include Pip &amp; Nut, Whole Earth and Meridian. Consumer awareness, intentions to purchase, the perception of quality, preferred purchasing sources, and their sensitivity will be analysed in the context of the research. Relevant evidence from the UK, by Robinson et al., 2024, on perceptions of food processing and healthier choices is provided. With the aid of this specific UK context, suitable questions to ask during the proposed market assessment will be established.</w:t>
      </w:r>
    </w:p>
    <w:p w:rsidR="00000000" w:rsidDel="00000000" w:rsidP="00000000" w:rsidRDefault="00000000" w:rsidRPr="00000000" w14:paraId="0000000B">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Early evidence of demand</w:t>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readings show that there is a potentially promising opportunity, but there is no confirmation of demand for Pintola. Nam and Suk (2024) both research health-food literacy's role in food-purchasing willingness to pay for health food, and Firoozzare et al. (2024) highlight the awareness and trust needed in purchasing healthy foods. From the results, it can be concluded that nutritional education and brand credibility need to be studied in regard to Pintola's potential acceptance. The official site of Pintola also offers more details about the products available in the market to date. However, these are not proof of demand in the UK – consumer response and further market research will be needed.</w:t>
      </w:r>
    </w:p>
    <w:p w:rsidR="00000000" w:rsidDel="00000000" w:rsidP="00000000" w:rsidRDefault="00000000" w:rsidRPr="00000000" w14:paraId="0000000D">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Aim and Feasibility</w:t>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is to evaluate Pintola's potential for entry into the UK market and provide practical suggestions for positioning, distribution and marketing into the market. The project will be based on a review and synthesis of recently published academic research; competitor data; publicly available data on the market; and a proposed online survey of UK adult consumers. If there are adequate responses to the surveys, descriptive statistics and appropriate association tests will be used. Feasibility is supported by Accessible Academic articles, Company websites and retailer lists. Recruitment of UK participants, reliable estimates of market size and verification of food-import requirements and labelling requirements may be a limitation. Such challenges can be addressed by having more focused research and having access to credible, publicly available evidence in the English language.</w:t>
      </w:r>
      <w:r w:rsidDel="00000000" w:rsidR="00000000" w:rsidRPr="00000000">
        <w:br w:type="page"/>
      </w: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10">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Chilón-Troncos, R.F., García-Salirrosas, E.E., Escobar-Farfán, M., Millones-Liza, D.Y. and Villar-Guevara, M. (2024) ‘Predicting willingness to consume healthy brand foods using the theory of planned behavior: the role of nutritional literacy’, </w:t>
      </w:r>
      <w:r w:rsidDel="00000000" w:rsidR="00000000" w:rsidRPr="00000000">
        <w:rPr>
          <w:rFonts w:ascii="Times New Roman" w:cs="Times New Roman" w:eastAsia="Times New Roman" w:hAnsi="Times New Roman"/>
          <w:i w:val="1"/>
          <w:iCs w:val="1"/>
          <w:sz w:val="24"/>
          <w:szCs w:val="24"/>
          <w:rtl w:val="0"/>
        </w:rPr>
        <w:t xml:space="preserve">Frontiers in Nutrition</w:t>
      </w:r>
      <w:r w:rsidDel="00000000" w:rsidR="00000000" w:rsidRPr="00000000">
        <w:rPr>
          <w:rFonts w:ascii="Times New Roman" w:cs="Times New Roman" w:eastAsia="Times New Roman" w:hAnsi="Times New Roman"/>
          <w:sz w:val="24"/>
          <w:szCs w:val="24"/>
          <w:rtl w:val="0"/>
        </w:rPr>
        <w:t xml:space="preserve">, 11, article 1353569. Available at:</w:t>
      </w:r>
      <w:hyperlink r:id="rId6">
        <w:r w:rsidDel="00000000" w:rsidR="00000000" w:rsidRPr="00000000">
          <w:rPr>
            <w:rFonts w:ascii="Times New Roman" w:cs="Times New Roman" w:eastAsia="Times New Roman" w:hAnsi="Times New Roman"/>
            <w:sz w:val="24"/>
            <w:szCs w:val="24"/>
            <w:rtl w:val="0"/>
          </w:rPr>
          <w:t xml:space="preserve"> </w:t>
        </w:r>
      </w:hyperlink>
      <w:hyperlink r:id="rId7">
        <w:r w:rsidDel="00000000" w:rsidR="00000000" w:rsidRPr="00000000">
          <w:rPr>
            <w:rFonts w:ascii="Times New Roman" w:cs="Times New Roman" w:eastAsia="Times New Roman" w:hAnsi="Times New Roman"/>
            <w:color w:val="1155cc"/>
            <w:sz w:val="24"/>
            <w:szCs w:val="24"/>
            <w:u w:val="single"/>
            <w:rtl w:val="0"/>
          </w:rPr>
          <w:t xml:space="preserve">https://doi.org/10.3389/fnut.2024.1353569</w:t>
        </w:r>
      </w:hyperlink>
      <w:r w:rsidDel="00000000" w:rsidR="00000000" w:rsidRPr="00000000">
        <w:rPr>
          <w:rtl w:val="0"/>
        </w:rPr>
      </w:r>
    </w:p>
    <w:p w:rsidR="00000000" w:rsidDel="00000000" w:rsidP="00000000" w:rsidRDefault="00000000" w:rsidRPr="00000000" w14:paraId="00000011">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Firoozzare, A., Boccia, F., Yousefian, N., Ghazanfari, S. and Pakook, S. (2024) ‘Understanding the role of awareness and trust in consumer purchase decisions for healthy food and products’, </w:t>
      </w:r>
      <w:r w:rsidDel="00000000" w:rsidR="00000000" w:rsidRPr="00000000">
        <w:rPr>
          <w:rFonts w:ascii="Times New Roman" w:cs="Times New Roman" w:eastAsia="Times New Roman" w:hAnsi="Times New Roman"/>
          <w:i w:val="1"/>
          <w:iCs w:val="1"/>
          <w:sz w:val="24"/>
          <w:szCs w:val="24"/>
          <w:rtl w:val="0"/>
        </w:rPr>
        <w:t xml:space="preserve">Food Quality and Preference</w:t>
      </w:r>
      <w:r w:rsidDel="00000000" w:rsidR="00000000" w:rsidRPr="00000000">
        <w:rPr>
          <w:rFonts w:ascii="Times New Roman" w:cs="Times New Roman" w:eastAsia="Times New Roman" w:hAnsi="Times New Roman"/>
          <w:sz w:val="24"/>
          <w:szCs w:val="24"/>
          <w:rtl w:val="0"/>
        </w:rPr>
        <w:t xml:space="preserve">, 121, article 105275. Available at:</w:t>
      </w:r>
      <w:hyperlink r:id="rId8">
        <w:r w:rsidDel="00000000" w:rsidR="00000000" w:rsidRPr="00000000">
          <w:rPr>
            <w:rFonts w:ascii="Times New Roman" w:cs="Times New Roman" w:eastAsia="Times New Roman" w:hAnsi="Times New Roman"/>
            <w:sz w:val="24"/>
            <w:szCs w:val="24"/>
            <w:rtl w:val="0"/>
          </w:rPr>
          <w:t xml:space="preserve"> </w:t>
        </w:r>
      </w:hyperlink>
      <w:hyperlink r:id="rId9">
        <w:r w:rsidDel="00000000" w:rsidR="00000000" w:rsidRPr="00000000">
          <w:rPr>
            <w:rFonts w:ascii="Times New Roman" w:cs="Times New Roman" w:eastAsia="Times New Roman" w:hAnsi="Times New Roman"/>
            <w:color w:val="1155cc"/>
            <w:sz w:val="24"/>
            <w:szCs w:val="24"/>
            <w:u w:val="single"/>
            <w:rtl w:val="0"/>
          </w:rPr>
          <w:t xml:space="preserve">https://doi.org/10.1016/j.foodqual.2024.105275</w:t>
        </w:r>
      </w:hyperlink>
      <w:r w:rsidDel="00000000" w:rsidR="00000000" w:rsidRPr="00000000">
        <w:rPr>
          <w:rtl w:val="0"/>
        </w:rPr>
      </w:r>
    </w:p>
    <w:p w:rsidR="00000000" w:rsidDel="00000000" w:rsidP="00000000" w:rsidRDefault="00000000" w:rsidRPr="00000000" w14:paraId="00000012">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Francioni, B. and Martín Martín, O. (2024) ‘International market, network, and opportunity selection: a systematic review of empirical research, integrative framework, and comprehensive research agenda’, </w:t>
      </w:r>
      <w:r w:rsidDel="00000000" w:rsidR="00000000" w:rsidRPr="00000000">
        <w:rPr>
          <w:rFonts w:ascii="Times New Roman" w:cs="Times New Roman" w:eastAsia="Times New Roman" w:hAnsi="Times New Roman"/>
          <w:i w:val="1"/>
          <w:iCs w:val="1"/>
          <w:sz w:val="24"/>
          <w:szCs w:val="24"/>
          <w:rtl w:val="0"/>
        </w:rPr>
        <w:t xml:space="preserve">Journal of International Management</w:t>
      </w:r>
      <w:r w:rsidDel="00000000" w:rsidR="00000000" w:rsidRPr="00000000">
        <w:rPr>
          <w:rFonts w:ascii="Times New Roman" w:cs="Times New Roman" w:eastAsia="Times New Roman" w:hAnsi="Times New Roman"/>
          <w:sz w:val="24"/>
          <w:szCs w:val="24"/>
          <w:rtl w:val="0"/>
        </w:rPr>
        <w:t xml:space="preserve">, 30(5), article 101174. Available at:</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1155cc"/>
            <w:sz w:val="24"/>
            <w:szCs w:val="24"/>
            <w:u w:val="single"/>
            <w:rtl w:val="0"/>
          </w:rPr>
          <w:t xml:space="preserve">https://doi.org/10.1016/j.intman.2024.101174</w:t>
        </w:r>
      </w:hyperlink>
      <w:r w:rsidDel="00000000" w:rsidR="00000000" w:rsidRPr="00000000">
        <w:rPr>
          <w:rtl w:val="0"/>
        </w:rPr>
      </w:r>
    </w:p>
    <w:p w:rsidR="00000000" w:rsidDel="00000000" w:rsidP="00000000" w:rsidRDefault="00000000" w:rsidRPr="00000000" w14:paraId="00000013">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Nam, S.-J. and Suk, J. (2024) ‘Influence of health food literacy on willingness to pay for healthier foods: focus on food insecurity’, </w:t>
      </w:r>
      <w:r w:rsidDel="00000000" w:rsidR="00000000" w:rsidRPr="00000000">
        <w:rPr>
          <w:rFonts w:ascii="Times New Roman" w:cs="Times New Roman" w:eastAsia="Times New Roman" w:hAnsi="Times New Roman"/>
          <w:i w:val="1"/>
          <w:iCs w:val="1"/>
          <w:sz w:val="24"/>
          <w:szCs w:val="24"/>
          <w:rtl w:val="0"/>
        </w:rPr>
        <w:t xml:space="preserve">International Journal for Equity in Health</w:t>
      </w:r>
      <w:r w:rsidDel="00000000" w:rsidR="00000000" w:rsidRPr="00000000">
        <w:rPr>
          <w:rFonts w:ascii="Times New Roman" w:cs="Times New Roman" w:eastAsia="Times New Roman" w:hAnsi="Times New Roman"/>
          <w:sz w:val="24"/>
          <w:szCs w:val="24"/>
          <w:rtl w:val="0"/>
        </w:rPr>
        <w:t xml:space="preserve">, 23, article 80. Available at:</w:t>
      </w:r>
      <w:hyperlink r:id="rId12">
        <w:r w:rsidDel="00000000" w:rsidR="00000000" w:rsidRPr="00000000">
          <w:rPr>
            <w:rFonts w:ascii="Times New Roman" w:cs="Times New Roman" w:eastAsia="Times New Roman" w:hAnsi="Times New Roman"/>
            <w:sz w:val="24"/>
            <w:szCs w:val="24"/>
            <w:rtl w:val="0"/>
          </w:rPr>
          <w:t xml:space="preserve"> </w:t>
        </w:r>
      </w:hyperlink>
      <w:hyperlink r:id="rId13">
        <w:r w:rsidDel="00000000" w:rsidR="00000000" w:rsidRPr="00000000">
          <w:rPr>
            <w:rFonts w:ascii="Times New Roman" w:cs="Times New Roman" w:eastAsia="Times New Roman" w:hAnsi="Times New Roman"/>
            <w:color w:val="1155cc"/>
            <w:sz w:val="24"/>
            <w:szCs w:val="24"/>
            <w:u w:val="single"/>
            <w:rtl w:val="0"/>
          </w:rPr>
          <w:t xml:space="preserve">https://doi.org/10.1186/s12939-024-02135-1</w:t>
        </w:r>
      </w:hyperlink>
      <w:r w:rsidDel="00000000" w:rsidR="00000000" w:rsidRPr="00000000">
        <w:rPr>
          <w:rtl w:val="0"/>
        </w:rPr>
      </w:r>
    </w:p>
    <w:p w:rsidR="00000000" w:rsidDel="00000000" w:rsidP="00000000" w:rsidRDefault="00000000" w:rsidRPr="00000000" w14:paraId="00000014">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Nirmala, A.R., Sukoco, B.M., Ekowati, D., Nadia, F.N.D., Marjan, Y. and Hasanah, U. (2024) ‘Strategies to overcome challenges and seize opportunities for born global SMEs: a systematic literature review’, </w:t>
      </w:r>
      <w:r w:rsidDel="00000000" w:rsidR="00000000" w:rsidRPr="00000000">
        <w:rPr>
          <w:rFonts w:ascii="Times New Roman" w:cs="Times New Roman" w:eastAsia="Times New Roman" w:hAnsi="Times New Roman"/>
          <w:i w:val="1"/>
          <w:iCs w:val="1"/>
          <w:sz w:val="24"/>
          <w:szCs w:val="24"/>
          <w:rtl w:val="0"/>
        </w:rPr>
        <w:t xml:space="preserve">SAGE Open</w:t>
      </w:r>
      <w:r w:rsidDel="00000000" w:rsidR="00000000" w:rsidRPr="00000000">
        <w:rPr>
          <w:rFonts w:ascii="Times New Roman" w:cs="Times New Roman" w:eastAsia="Times New Roman" w:hAnsi="Times New Roman"/>
          <w:sz w:val="24"/>
          <w:szCs w:val="24"/>
          <w:rtl w:val="0"/>
        </w:rPr>
        <w:t xml:space="preserve">, 14(4). Available at:</w:t>
      </w:r>
      <w:hyperlink r:id="rId14">
        <w:r w:rsidDel="00000000" w:rsidR="00000000" w:rsidRPr="00000000">
          <w:rPr>
            <w:rFonts w:ascii="Times New Roman" w:cs="Times New Roman" w:eastAsia="Times New Roman" w:hAnsi="Times New Roman"/>
            <w:sz w:val="24"/>
            <w:szCs w:val="24"/>
            <w:rtl w:val="0"/>
          </w:rPr>
          <w:t xml:space="preserve"> </w:t>
        </w:r>
      </w:hyperlink>
      <w:hyperlink r:id="rId15">
        <w:r w:rsidDel="00000000" w:rsidR="00000000" w:rsidRPr="00000000">
          <w:rPr>
            <w:rFonts w:ascii="Times New Roman" w:cs="Times New Roman" w:eastAsia="Times New Roman" w:hAnsi="Times New Roman"/>
            <w:color w:val="1155cc"/>
            <w:sz w:val="24"/>
            <w:szCs w:val="24"/>
            <w:u w:val="single"/>
            <w:rtl w:val="0"/>
          </w:rPr>
          <w:t xml:space="preserve">https://doi.org/10.1177/21582440241302869</w:t>
        </w:r>
      </w:hyperlink>
      <w:r w:rsidDel="00000000" w:rsidR="00000000" w:rsidRPr="00000000">
        <w:rPr>
          <w:rtl w:val="0"/>
        </w:rPr>
      </w:r>
    </w:p>
    <w:p w:rsidR="00000000" w:rsidDel="00000000" w:rsidP="00000000" w:rsidRDefault="00000000" w:rsidRPr="00000000" w14:paraId="0000001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E., Cummings, J.R., Gough, T., Jones, A. and Evans, R. (2024) ‘Consumer awareness, perceptions and avoidance of ultra-processed foods: a study of UK adults in 2024’, </w:t>
      </w:r>
      <w:r w:rsidDel="00000000" w:rsidR="00000000" w:rsidRPr="00000000">
        <w:rPr>
          <w:rFonts w:ascii="Times New Roman" w:cs="Times New Roman" w:eastAsia="Times New Roman" w:hAnsi="Times New Roman"/>
          <w:i w:val="1"/>
          <w:iCs w:val="1"/>
          <w:sz w:val="24"/>
          <w:szCs w:val="24"/>
          <w:rtl w:val="0"/>
        </w:rPr>
        <w:t xml:space="preserve">Foods</w:t>
      </w:r>
      <w:r w:rsidDel="00000000" w:rsidR="00000000" w:rsidRPr="00000000">
        <w:rPr>
          <w:rFonts w:ascii="Times New Roman" w:cs="Times New Roman" w:eastAsia="Times New Roman" w:hAnsi="Times New Roman"/>
          <w:sz w:val="24"/>
          <w:szCs w:val="24"/>
          <w:rtl w:val="0"/>
        </w:rPr>
        <w:t xml:space="preserve">, 13(15), article 2317. Available at:</w:t>
      </w:r>
      <w:hyperlink r:id="rId16">
        <w:r w:rsidDel="00000000" w:rsidR="00000000" w:rsidRPr="00000000">
          <w:rPr>
            <w:rFonts w:ascii="Times New Roman" w:cs="Times New Roman" w:eastAsia="Times New Roman" w:hAnsi="Times New Roman"/>
            <w:sz w:val="24"/>
            <w:szCs w:val="24"/>
            <w:rtl w:val="0"/>
          </w:rPr>
          <w:t xml:space="preserve"> </w:t>
        </w:r>
      </w:hyperlink>
      <w:hyperlink r:id="rId17">
        <w:r w:rsidDel="00000000" w:rsidR="00000000" w:rsidRPr="00000000">
          <w:rPr>
            <w:rFonts w:ascii="Times New Roman" w:cs="Times New Roman" w:eastAsia="Times New Roman" w:hAnsi="Times New Roman"/>
            <w:color w:val="1155cc"/>
            <w:sz w:val="24"/>
            <w:szCs w:val="24"/>
            <w:u w:val="single"/>
            <w:rtl w:val="0"/>
          </w:rPr>
          <w:t xml:space="preserve">https://doi.org/10.3390/foods13152317</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6/j.intman.2024.101174" TargetMode="External"/><Relationship Id="rId10" Type="http://schemas.openxmlformats.org/officeDocument/2006/relationships/hyperlink" Target="https://doi.org/10.1016/j.intman.2024.101174" TargetMode="External"/><Relationship Id="rId13" Type="http://schemas.openxmlformats.org/officeDocument/2006/relationships/hyperlink" Target="https://doi.org/10.1186/s12939-024-02135-1" TargetMode="External"/><Relationship Id="rId12" Type="http://schemas.openxmlformats.org/officeDocument/2006/relationships/hyperlink" Target="https://doi.org/10.1186/s12939-024-02135-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foodqual.2024.105275" TargetMode="External"/><Relationship Id="rId15" Type="http://schemas.openxmlformats.org/officeDocument/2006/relationships/hyperlink" Target="https://doi.org/10.1177/21582440241302869" TargetMode="External"/><Relationship Id="rId14" Type="http://schemas.openxmlformats.org/officeDocument/2006/relationships/hyperlink" Target="https://doi.org/10.1177/21582440241302869" TargetMode="External"/><Relationship Id="rId17" Type="http://schemas.openxmlformats.org/officeDocument/2006/relationships/hyperlink" Target="https://doi.org/10.3390/foods13152317" TargetMode="External"/><Relationship Id="rId16" Type="http://schemas.openxmlformats.org/officeDocument/2006/relationships/hyperlink" Target="https://doi.org/10.3390/foods13152317" TargetMode="External"/><Relationship Id="rId5" Type="http://schemas.openxmlformats.org/officeDocument/2006/relationships/styles" Target="styles.xml"/><Relationship Id="rId6" Type="http://schemas.openxmlformats.org/officeDocument/2006/relationships/hyperlink" Target="https://doi.org/10.3389/fnut.2024.1353569" TargetMode="External"/><Relationship Id="rId7" Type="http://schemas.openxmlformats.org/officeDocument/2006/relationships/hyperlink" Target="https://doi.org/10.3389/fnut.2024.1353569" TargetMode="External"/><Relationship Id="rId8" Type="http://schemas.openxmlformats.org/officeDocument/2006/relationships/hyperlink" Target="https://doi.org/10.1016/j.foodqual.2024.105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