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A4AB6" w14:textId="06A0A296" w:rsidR="007C3B59" w:rsidRDefault="007C3B59" w:rsidP="00A34D69">
      <w:pPr>
        <w:spacing w:line="360" w:lineRule="auto"/>
        <w:jc w:val="both"/>
      </w:pPr>
    </w:p>
    <w:p w14:paraId="2BD83034" w14:textId="458F0635" w:rsidR="00A34D69" w:rsidRPr="00A34D69" w:rsidRDefault="00A34D69" w:rsidP="00A34D69">
      <w:pPr>
        <w:spacing w:line="360" w:lineRule="auto"/>
        <w:jc w:val="both"/>
        <w:rPr>
          <w:b/>
          <w:bCs/>
          <w:sz w:val="24"/>
          <w:szCs w:val="24"/>
        </w:rPr>
      </w:pPr>
      <w:r w:rsidRPr="00A34D69">
        <w:rPr>
          <w:b/>
          <w:bCs/>
          <w:sz w:val="24"/>
          <w:szCs w:val="24"/>
        </w:rPr>
        <w:t>Part 1</w:t>
      </w:r>
    </w:p>
    <w:p w14:paraId="1FBE0718" w14:textId="77777777" w:rsidR="00A34D69" w:rsidRPr="00A34D69" w:rsidRDefault="00A34D69" w:rsidP="00A34D69">
      <w:pPr>
        <w:spacing w:line="360" w:lineRule="auto"/>
        <w:jc w:val="both"/>
        <w:rPr>
          <w:rFonts w:ascii="Times New Roman" w:hAnsi="Times New Roman" w:cs="Times New Roman"/>
          <w:b/>
          <w:bCs/>
          <w:sz w:val="24"/>
          <w:szCs w:val="24"/>
        </w:rPr>
      </w:pPr>
      <w:r w:rsidRPr="00A34D69">
        <w:rPr>
          <w:rFonts w:ascii="Times New Roman" w:hAnsi="Times New Roman" w:cs="Times New Roman"/>
          <w:b/>
          <w:bCs/>
          <w:sz w:val="24"/>
          <w:szCs w:val="24"/>
        </w:rPr>
        <w:t>The role of creativity and Digital Innovation</w:t>
      </w:r>
    </w:p>
    <w:p w14:paraId="5822F324" w14:textId="77777777" w:rsidR="00A34D69" w:rsidRPr="00A34D69" w:rsidRDefault="00A34D69" w:rsidP="00A34D69">
      <w:pPr>
        <w:spacing w:line="360" w:lineRule="auto"/>
        <w:jc w:val="both"/>
        <w:rPr>
          <w:rFonts w:ascii="Times New Roman" w:hAnsi="Times New Roman" w:cs="Times New Roman"/>
          <w:sz w:val="24"/>
          <w:szCs w:val="24"/>
        </w:rPr>
      </w:pPr>
      <w:r w:rsidRPr="00A34D69">
        <w:rPr>
          <w:rFonts w:ascii="Times New Roman" w:hAnsi="Times New Roman" w:cs="Times New Roman"/>
          <w:sz w:val="24"/>
          <w:szCs w:val="24"/>
        </w:rPr>
        <w:t xml:space="preserve">Since the turn of the century, there has been a substantial advancement in digital technology within Post 16 education and according to </w:t>
      </w:r>
      <w:r w:rsidRPr="00A34D69">
        <w:rPr>
          <w:rFonts w:ascii="Times New Roman" w:hAnsi="Times New Roman" w:cs="Times New Roman"/>
          <w:color w:val="3A3A3A"/>
          <w:sz w:val="24"/>
          <w:szCs w:val="24"/>
          <w:shd w:val="clear" w:color="auto" w:fill="FFFFFF"/>
        </w:rPr>
        <w:t>Sarkis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(2020</w:t>
      </w:r>
      <w:proofErr w:type="gramStart"/>
      <w:r w:rsidRPr="00A34D69">
        <w:rPr>
          <w:rFonts w:ascii="Times New Roman" w:hAnsi="Times New Roman" w:cs="Times New Roman"/>
          <w:color w:val="3A3A3A"/>
          <w:sz w:val="24"/>
          <w:szCs w:val="24"/>
          <w:shd w:val="clear" w:color="auto" w:fill="FFFFFF"/>
        </w:rPr>
        <w:t xml:space="preserve">) </w:t>
      </w:r>
      <w:r w:rsidRPr="00A34D69">
        <w:rPr>
          <w:rFonts w:ascii="Times New Roman" w:hAnsi="Times New Roman" w:cs="Times New Roman"/>
          <w:sz w:val="24"/>
          <w:szCs w:val="24"/>
        </w:rPr>
        <w:t xml:space="preserve"> the</w:t>
      </w:r>
      <w:proofErr w:type="gramEnd"/>
      <w:r w:rsidRPr="00A34D69">
        <w:rPr>
          <w:rFonts w:ascii="Times New Roman" w:hAnsi="Times New Roman" w:cs="Times New Roman"/>
          <w:sz w:val="24"/>
          <w:szCs w:val="24"/>
        </w:rPr>
        <w:t xml:space="preserve"> continuous evolution of digital technology will result in the transformations of lectures as we once knew them.</w:t>
      </w:r>
    </w:p>
    <w:p w14:paraId="4FD69A99" w14:textId="77777777" w:rsidR="00A34D69" w:rsidRPr="00A34D69" w:rsidRDefault="00A34D69" w:rsidP="00A34D69">
      <w:pPr>
        <w:spacing w:line="360" w:lineRule="auto"/>
        <w:jc w:val="both"/>
        <w:rPr>
          <w:rFonts w:ascii="Times New Roman" w:hAnsi="Times New Roman" w:cs="Times New Roman"/>
          <w:sz w:val="24"/>
          <w:szCs w:val="24"/>
        </w:rPr>
      </w:pPr>
      <w:r w:rsidRPr="00A34D69">
        <w:rPr>
          <w:rFonts w:ascii="Times New Roman" w:hAnsi="Times New Roman" w:cs="Times New Roman"/>
          <w:sz w:val="24"/>
          <w:szCs w:val="24"/>
        </w:rPr>
        <w:t xml:space="preserve">Lecturers of today have a host of technology and software to chose from and implement into their classrooms and according to </w:t>
      </w:r>
      <w:proofErr w:type="spellStart"/>
      <w:r w:rsidRPr="00A34D69">
        <w:rPr>
          <w:rFonts w:ascii="Times New Roman" w:hAnsi="Times New Roman" w:cs="Times New Roman"/>
          <w:sz w:val="24"/>
          <w:szCs w:val="24"/>
        </w:rPr>
        <w:t>Uswitch</w:t>
      </w:r>
      <w:proofErr w:type="spellEnd"/>
      <w:r w:rsidRPr="00A34D69">
        <w:rPr>
          <w:rFonts w:ascii="Times New Roman" w:hAnsi="Times New Roman" w:cs="Times New Roman"/>
          <w:sz w:val="24"/>
          <w:szCs w:val="24"/>
        </w:rPr>
        <w:t xml:space="preserve"> (2023), there will be roughly 65 million smartphone users in the United Kingdom by 2025 and 96% of those users are aged between 16 and 24. Students have access to information literally at their fingertips and with this in mind, it is reason enough to incorporate digital innovation into the classroom. </w:t>
      </w:r>
    </w:p>
    <w:p w14:paraId="76F5B659" w14:textId="43A76AD7" w:rsidR="00A34D69" w:rsidRPr="00A34D69" w:rsidRDefault="00A34D69" w:rsidP="00A34D69">
      <w:pPr>
        <w:spacing w:line="360" w:lineRule="auto"/>
        <w:jc w:val="both"/>
        <w:rPr>
          <w:rFonts w:ascii="Times New Roman" w:hAnsi="Times New Roman" w:cs="Times New Roman"/>
          <w:sz w:val="24"/>
          <w:szCs w:val="24"/>
        </w:rPr>
      </w:pPr>
      <w:r w:rsidRPr="00A34D69">
        <w:rPr>
          <w:rFonts w:ascii="Times New Roman" w:hAnsi="Times New Roman" w:cs="Times New Roman"/>
          <w:sz w:val="24"/>
          <w:szCs w:val="24"/>
        </w:rPr>
        <w:t>The implementation of digital technology enables practitioners to offer a more flexible and varied learning experience and in the ever changing world of technology, digital innovation is set to develop and enhance education continuously (</w:t>
      </w:r>
      <w:proofErr w:type="spellStart"/>
      <w:proofErr w:type="gramStart"/>
      <w:r w:rsidRPr="00A34D69">
        <w:rPr>
          <w:rFonts w:ascii="Times New Roman" w:hAnsi="Times New Roman" w:cs="Times New Roman"/>
          <w:color w:val="3A3A3A"/>
          <w:sz w:val="24"/>
          <w:szCs w:val="24"/>
          <w:shd w:val="clear" w:color="auto" w:fill="FFFFFF"/>
        </w:rPr>
        <w:t>Tallon</w:t>
      </w:r>
      <w:proofErr w:type="spellEnd"/>
      <w:r w:rsidRPr="00A34D69">
        <w:rPr>
          <w:rFonts w:ascii="Times New Roman" w:hAnsi="Times New Roman" w:cs="Times New Roman"/>
          <w:color w:val="3A3A3A"/>
          <w:sz w:val="24"/>
          <w:szCs w:val="24"/>
          <w:shd w:val="clear" w:color="auto" w:fill="FFFFFF"/>
        </w:rPr>
        <w:t>,  </w:t>
      </w:r>
      <w:r w:rsidRPr="00A34D69">
        <w:rPr>
          <w:rFonts w:ascii="Times New Roman" w:hAnsi="Times New Roman" w:cs="Times New Roman"/>
          <w:i/>
          <w:iCs/>
          <w:color w:val="3A3A3A"/>
          <w:sz w:val="24"/>
          <w:szCs w:val="24"/>
          <w:shd w:val="clear" w:color="auto" w:fill="FFFFFF"/>
        </w:rPr>
        <w:t>et al.</w:t>
      </w:r>
      <w:proofErr w:type="gramEnd"/>
      <w:r w:rsidRPr="00A34D69">
        <w:rPr>
          <w:rFonts w:ascii="Times New Roman" w:hAnsi="Times New Roman" w:cs="Times New Roman"/>
          <w:color w:val="3A3A3A"/>
          <w:sz w:val="24"/>
          <w:szCs w:val="24"/>
          <w:shd w:val="clear" w:color="auto" w:fill="FFFFFF"/>
        </w:rPr>
        <w:t xml:space="preserve">(2019). </w:t>
      </w:r>
      <w:r w:rsidRPr="00A34D69">
        <w:rPr>
          <w:rFonts w:ascii="Times New Roman" w:hAnsi="Times New Roman" w:cs="Times New Roman"/>
          <w:sz w:val="24"/>
          <w:szCs w:val="24"/>
        </w:rPr>
        <w:t xml:space="preserve"> It can combine face to face learning with online lectures and it can also enable lecturers to instruct a </w:t>
      </w:r>
      <w:proofErr w:type="gramStart"/>
      <w:r w:rsidRPr="00A34D69">
        <w:rPr>
          <w:rFonts w:ascii="Times New Roman" w:hAnsi="Times New Roman" w:cs="Times New Roman"/>
          <w:sz w:val="24"/>
          <w:szCs w:val="24"/>
        </w:rPr>
        <w:t>face to face</w:t>
      </w:r>
      <w:proofErr w:type="gramEnd"/>
      <w:r w:rsidRPr="00A34D69">
        <w:rPr>
          <w:rFonts w:ascii="Times New Roman" w:hAnsi="Times New Roman" w:cs="Times New Roman"/>
          <w:sz w:val="24"/>
          <w:szCs w:val="24"/>
        </w:rPr>
        <w:t xml:space="preserve"> lecture whilst incorporating digital tools into the lesson. However, according to </w:t>
      </w:r>
      <w:proofErr w:type="spellStart"/>
      <w:r w:rsidRPr="00A34D69">
        <w:rPr>
          <w:rFonts w:ascii="Times New Roman" w:hAnsi="Times New Roman" w:cs="Times New Roman"/>
          <w:sz w:val="24"/>
          <w:szCs w:val="24"/>
        </w:rPr>
        <w:t>Pozo</w:t>
      </w:r>
      <w:proofErr w:type="spellEnd"/>
      <w:r w:rsidRPr="00A34D69">
        <w:rPr>
          <w:rFonts w:ascii="Times New Roman" w:hAnsi="Times New Roman" w:cs="Times New Roman"/>
          <w:sz w:val="24"/>
          <w:szCs w:val="24"/>
        </w:rPr>
        <w:t xml:space="preserve"> </w:t>
      </w:r>
      <w:r w:rsidRPr="00A34D69">
        <w:rPr>
          <w:rFonts w:ascii="Times New Roman" w:hAnsi="Times New Roman" w:cs="Times New Roman"/>
          <w:i/>
          <w:iCs/>
          <w:sz w:val="24"/>
          <w:szCs w:val="24"/>
        </w:rPr>
        <w:t>et al</w:t>
      </w:r>
      <w:r w:rsidRPr="00A34D69">
        <w:rPr>
          <w:rFonts w:ascii="Times New Roman" w:hAnsi="Times New Roman" w:cs="Times New Roman"/>
          <w:sz w:val="24"/>
          <w:szCs w:val="24"/>
        </w:rPr>
        <w:t xml:space="preserve">. (2021) teachers have had the resources to implement technology into their strategies to enable them to adapt their teaching to suit the needs of individual learners. This literature review is going to critically evaluate the use of digital tools within lessons and in particular, the increased use of digital technology since the Covid-19 pandemic. </w:t>
      </w:r>
    </w:p>
    <w:p w14:paraId="4B615B35" w14:textId="77777777" w:rsidR="00A34D69" w:rsidRPr="00A34D69" w:rsidRDefault="00A34D69" w:rsidP="00A34D69">
      <w:pPr>
        <w:spacing w:line="360" w:lineRule="auto"/>
        <w:jc w:val="both"/>
        <w:rPr>
          <w:rFonts w:ascii="Times New Roman" w:hAnsi="Times New Roman" w:cs="Times New Roman"/>
          <w:sz w:val="24"/>
          <w:szCs w:val="24"/>
        </w:rPr>
      </w:pPr>
      <w:r w:rsidRPr="00A34D69">
        <w:rPr>
          <w:rFonts w:ascii="Times New Roman" w:hAnsi="Times New Roman" w:cs="Times New Roman"/>
          <w:sz w:val="24"/>
          <w:szCs w:val="24"/>
        </w:rPr>
        <w:t xml:space="preserve">During the Covid – 19 pandemic and the implementation of social distancing, the use of technology within the education sector increased due to establishments being closed.  The lockdowns created many barriers for lecturers and </w:t>
      </w:r>
      <w:proofErr w:type="gramStart"/>
      <w:r w:rsidRPr="00A34D69">
        <w:rPr>
          <w:rFonts w:ascii="Times New Roman" w:hAnsi="Times New Roman" w:cs="Times New Roman"/>
          <w:sz w:val="24"/>
          <w:szCs w:val="24"/>
        </w:rPr>
        <w:t>students,</w:t>
      </w:r>
      <w:proofErr w:type="gramEnd"/>
      <w:r w:rsidRPr="00A34D69">
        <w:rPr>
          <w:rFonts w:ascii="Times New Roman" w:hAnsi="Times New Roman" w:cs="Times New Roman"/>
          <w:sz w:val="24"/>
          <w:szCs w:val="24"/>
        </w:rPr>
        <w:t xml:space="preserve"> however it did create an opportunity for a new digital era to evolve as lecturers assigned work to students through video conferences such as Zoom, Teams and Skype.  Furthermore, Mustafa </w:t>
      </w:r>
      <w:r w:rsidRPr="00A34D69">
        <w:rPr>
          <w:rFonts w:ascii="Times New Roman" w:hAnsi="Times New Roman" w:cs="Times New Roman"/>
          <w:i/>
          <w:iCs/>
          <w:sz w:val="24"/>
          <w:szCs w:val="24"/>
        </w:rPr>
        <w:t>et. al</w:t>
      </w:r>
      <w:r w:rsidRPr="00A34D69">
        <w:rPr>
          <w:rFonts w:ascii="Times New Roman" w:hAnsi="Times New Roman" w:cs="Times New Roman"/>
          <w:sz w:val="24"/>
          <w:szCs w:val="24"/>
        </w:rPr>
        <w:t xml:space="preserve">.  (2021) states that the shift to online learning during the pandemic gave final year students the opportunity to continue with their learning whilst developing new skills which will benefit them in their future employment. </w:t>
      </w:r>
    </w:p>
    <w:p w14:paraId="70F4E93A" w14:textId="0DE92DD2" w:rsidR="00A34D69" w:rsidRPr="00A34D69" w:rsidRDefault="00A34D69" w:rsidP="00A34D69">
      <w:pPr>
        <w:shd w:val="clear" w:color="auto" w:fill="FFFFFF"/>
        <w:spacing w:after="0" w:line="360" w:lineRule="auto"/>
        <w:jc w:val="both"/>
        <w:rPr>
          <w:rFonts w:ascii="Times New Roman" w:hAnsi="Times New Roman" w:cs="Times New Roman"/>
          <w:sz w:val="24"/>
          <w:szCs w:val="24"/>
        </w:rPr>
      </w:pPr>
      <w:r w:rsidRPr="00A34D69">
        <w:rPr>
          <w:rFonts w:ascii="Times New Roman" w:hAnsi="Times New Roman" w:cs="Times New Roman"/>
          <w:sz w:val="24"/>
          <w:szCs w:val="24"/>
        </w:rPr>
        <w:lastRenderedPageBreak/>
        <w:t>Most of today’s students have grown up with technology and are already competent users of mobile devices and Information Communication Technology (ICT). Therefore, learning styles and preferences have already evolved to enable students to cope with the ever changing world of technology (</w:t>
      </w:r>
      <w:proofErr w:type="gramStart"/>
      <w:r w:rsidRPr="00A34D69">
        <w:rPr>
          <w:rFonts w:ascii="Times New Roman" w:hAnsi="Times New Roman" w:cs="Times New Roman"/>
          <w:color w:val="3A3A3A"/>
          <w:sz w:val="24"/>
          <w:szCs w:val="24"/>
          <w:shd w:val="clear" w:color="auto" w:fill="FFFFFF"/>
        </w:rPr>
        <w:t>Wang,  </w:t>
      </w:r>
      <w:r w:rsidRPr="00A34D69">
        <w:rPr>
          <w:rFonts w:ascii="Times New Roman" w:hAnsi="Times New Roman" w:cs="Times New Roman"/>
          <w:i/>
          <w:iCs/>
          <w:color w:val="3A3A3A"/>
          <w:sz w:val="24"/>
          <w:szCs w:val="24"/>
          <w:shd w:val="clear" w:color="auto" w:fill="FFFFFF"/>
        </w:rPr>
        <w:t>et al.</w:t>
      </w:r>
      <w:proofErr w:type="gramEnd"/>
      <w:r w:rsidRPr="00A34D69">
        <w:rPr>
          <w:rFonts w:ascii="Times New Roman" w:hAnsi="Times New Roman" w:cs="Times New Roman"/>
          <w:color w:val="3A3A3A"/>
          <w:sz w:val="24"/>
          <w:szCs w:val="24"/>
          <w:shd w:val="clear" w:color="auto" w:fill="FFFFFF"/>
        </w:rPr>
        <w:t xml:space="preserve"> 2014).  Even before the pandemic, higher education students were regularly using services for transmitting and sharing content through platforms such as the video sharing app You Tube, instant messaging apps such as Discord and </w:t>
      </w:r>
      <w:proofErr w:type="spellStart"/>
      <w:r w:rsidRPr="00A34D69">
        <w:rPr>
          <w:rFonts w:ascii="Times New Roman" w:hAnsi="Times New Roman" w:cs="Times New Roman"/>
          <w:color w:val="3A3A3A"/>
          <w:sz w:val="24"/>
          <w:szCs w:val="24"/>
          <w:shd w:val="clear" w:color="auto" w:fill="FFFFFF"/>
        </w:rPr>
        <w:t>whatsapp</w:t>
      </w:r>
      <w:proofErr w:type="spellEnd"/>
      <w:r w:rsidRPr="00A34D69">
        <w:rPr>
          <w:rFonts w:ascii="Times New Roman" w:hAnsi="Times New Roman" w:cs="Times New Roman"/>
          <w:color w:val="3A3A3A"/>
          <w:sz w:val="24"/>
          <w:szCs w:val="24"/>
          <w:shd w:val="clear" w:color="auto" w:fill="FFFFFF"/>
        </w:rPr>
        <w:t xml:space="preserve"> as well as Email and Facebook according to </w:t>
      </w:r>
      <w:proofErr w:type="spellStart"/>
      <w:r w:rsidRPr="00A34D69">
        <w:rPr>
          <w:rFonts w:ascii="Times New Roman" w:hAnsi="Times New Roman" w:cs="Times New Roman"/>
          <w:color w:val="3A3A3A"/>
          <w:sz w:val="24"/>
          <w:szCs w:val="24"/>
          <w:shd w:val="clear" w:color="auto" w:fill="FFFFFF"/>
        </w:rPr>
        <w:t>Stecula</w:t>
      </w:r>
      <w:proofErr w:type="spellEnd"/>
      <w:r w:rsidRPr="00A34D69">
        <w:rPr>
          <w:rFonts w:ascii="Times New Roman" w:hAnsi="Times New Roman" w:cs="Times New Roman"/>
          <w:color w:val="3A3A3A"/>
          <w:sz w:val="24"/>
          <w:szCs w:val="24"/>
          <w:shd w:val="clear" w:color="auto" w:fill="FFFFFF"/>
        </w:rPr>
        <w:t xml:space="preserve"> &amp; </w:t>
      </w:r>
      <w:proofErr w:type="spellStart"/>
      <w:r w:rsidRPr="00A34D69">
        <w:rPr>
          <w:rFonts w:ascii="Times New Roman" w:hAnsi="Times New Roman" w:cs="Times New Roman"/>
          <w:color w:val="3A3A3A"/>
          <w:sz w:val="24"/>
          <w:szCs w:val="24"/>
          <w:shd w:val="clear" w:color="auto" w:fill="FFFFFF"/>
        </w:rPr>
        <w:t>Wolniak</w:t>
      </w:r>
      <w:proofErr w:type="spellEnd"/>
      <w:r w:rsidRPr="00A34D69">
        <w:rPr>
          <w:rFonts w:ascii="Times New Roman" w:hAnsi="Times New Roman" w:cs="Times New Roman"/>
          <w:color w:val="3A3A3A"/>
          <w:sz w:val="24"/>
          <w:szCs w:val="24"/>
          <w:shd w:val="clear" w:color="auto" w:fill="FFFFFF"/>
        </w:rPr>
        <w:t xml:space="preserve">, (2022) who also state that since 2020 there has been an increase in the use of other digital communication tools such as Microsoft Teams, Zoom and Google Classroom which has provided further opportunities for students to collaborate. However, </w:t>
      </w:r>
      <w:proofErr w:type="spellStart"/>
      <w:r w:rsidRPr="00A34D69">
        <w:rPr>
          <w:rFonts w:ascii="Times New Roman" w:hAnsi="Times New Roman" w:cs="Times New Roman"/>
          <w:color w:val="3A3A3A"/>
          <w:sz w:val="24"/>
          <w:szCs w:val="24"/>
          <w:shd w:val="clear" w:color="auto" w:fill="FFFFFF"/>
        </w:rPr>
        <w:t>Kebritchi</w:t>
      </w:r>
      <w:proofErr w:type="spellEnd"/>
      <w:r w:rsidRPr="00A34D69">
        <w:rPr>
          <w:rFonts w:ascii="Times New Roman" w:hAnsi="Times New Roman" w:cs="Times New Roman"/>
          <w:color w:val="3A3A3A"/>
          <w:sz w:val="24"/>
          <w:szCs w:val="24"/>
          <w:shd w:val="clear" w:color="auto" w:fill="FFFFFF"/>
        </w:rPr>
        <w:t xml:space="preserve">, </w:t>
      </w:r>
      <w:proofErr w:type="spellStart"/>
      <w:r w:rsidRPr="00A34D69">
        <w:rPr>
          <w:rFonts w:ascii="Times New Roman" w:hAnsi="Times New Roman" w:cs="Times New Roman"/>
          <w:color w:val="3A3A3A"/>
          <w:sz w:val="24"/>
          <w:szCs w:val="24"/>
          <w:shd w:val="clear" w:color="auto" w:fill="FFFFFF"/>
        </w:rPr>
        <w:t>Lipschuetz</w:t>
      </w:r>
      <w:proofErr w:type="spellEnd"/>
      <w:r w:rsidRPr="00A34D69">
        <w:rPr>
          <w:rFonts w:ascii="Times New Roman" w:hAnsi="Times New Roman" w:cs="Times New Roman"/>
          <w:color w:val="3A3A3A"/>
          <w:sz w:val="24"/>
          <w:szCs w:val="24"/>
          <w:shd w:val="clear" w:color="auto" w:fill="FFFFFF"/>
        </w:rPr>
        <w:t xml:space="preserve"> &amp; </w:t>
      </w:r>
      <w:proofErr w:type="spellStart"/>
      <w:proofErr w:type="gramStart"/>
      <w:r w:rsidRPr="00A34D69">
        <w:rPr>
          <w:rFonts w:ascii="Times New Roman" w:hAnsi="Times New Roman" w:cs="Times New Roman"/>
          <w:color w:val="3A3A3A"/>
          <w:sz w:val="24"/>
          <w:szCs w:val="24"/>
          <w:shd w:val="clear" w:color="auto" w:fill="FFFFFF"/>
        </w:rPr>
        <w:t>Santiague</w:t>
      </w:r>
      <w:proofErr w:type="spellEnd"/>
      <w:r w:rsidRPr="00A34D69">
        <w:rPr>
          <w:rFonts w:ascii="Times New Roman" w:hAnsi="Times New Roman" w:cs="Times New Roman"/>
          <w:color w:val="3A3A3A"/>
          <w:sz w:val="24"/>
          <w:szCs w:val="24"/>
          <w:shd w:val="clear" w:color="auto" w:fill="FFFFFF"/>
        </w:rPr>
        <w:t>,  (</w:t>
      </w:r>
      <w:proofErr w:type="gramEnd"/>
      <w:r w:rsidRPr="00A34D69">
        <w:rPr>
          <w:rFonts w:ascii="Times New Roman" w:hAnsi="Times New Roman" w:cs="Times New Roman"/>
          <w:color w:val="3A3A3A"/>
          <w:sz w:val="24"/>
          <w:szCs w:val="24"/>
          <w:shd w:val="clear" w:color="auto" w:fill="FFFFFF"/>
        </w:rPr>
        <w:t xml:space="preserve">2017) argue that the transition into online learning was so rapid that educators were unable to identify challenges before hand which would have enabled them to resolve issues before lessons began, thus being better prepared to deliver content to students who were already having to adapt to a completely different learning style.  Similarly, </w:t>
      </w:r>
      <w:proofErr w:type="spellStart"/>
      <w:r w:rsidRPr="00A34D69">
        <w:rPr>
          <w:rFonts w:ascii="Times New Roman" w:hAnsi="Times New Roman" w:cs="Times New Roman"/>
          <w:color w:val="3A3A3A"/>
          <w:sz w:val="24"/>
          <w:szCs w:val="24"/>
          <w:shd w:val="clear" w:color="auto" w:fill="FFFFFF"/>
        </w:rPr>
        <w:t>Rapanta</w:t>
      </w:r>
      <w:proofErr w:type="spellEnd"/>
      <w:r w:rsidRPr="00A34D69">
        <w:rPr>
          <w:rFonts w:ascii="Times New Roman" w:hAnsi="Times New Roman" w:cs="Times New Roman"/>
          <w:color w:val="3A3A3A"/>
          <w:sz w:val="24"/>
          <w:szCs w:val="24"/>
          <w:shd w:val="clear" w:color="auto" w:fill="FFFFFF"/>
        </w:rPr>
        <w:t>,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xml:space="preserve"> (2020) </w:t>
      </w:r>
      <w:r w:rsidRPr="00A34D69">
        <w:rPr>
          <w:rFonts w:ascii="Times New Roman" w:hAnsi="Times New Roman" w:cs="Times New Roman"/>
          <w:sz w:val="24"/>
          <w:szCs w:val="24"/>
        </w:rPr>
        <w:t xml:space="preserve">suggests that most of today’s lecturers </w:t>
      </w:r>
      <w:proofErr w:type="gramStart"/>
      <w:r w:rsidRPr="00A34D69">
        <w:rPr>
          <w:rFonts w:ascii="Times New Roman" w:hAnsi="Times New Roman" w:cs="Times New Roman"/>
          <w:sz w:val="24"/>
          <w:szCs w:val="24"/>
        </w:rPr>
        <w:t>come  from</w:t>
      </w:r>
      <w:proofErr w:type="gramEnd"/>
      <w:r w:rsidRPr="00A34D69">
        <w:rPr>
          <w:rFonts w:ascii="Times New Roman" w:hAnsi="Times New Roman" w:cs="Times New Roman"/>
          <w:sz w:val="24"/>
          <w:szCs w:val="24"/>
        </w:rPr>
        <w:t xml:space="preserve"> an era where their own learning experiences took place in classrooms which were very different from the ones which they work in now and gone are the days of the students sitting at their desks, pen and paper in hand and ready to read and follow whatever instructions that were written on the blackboard.</w:t>
      </w:r>
    </w:p>
    <w:p w14:paraId="7EA44243" w14:textId="77777777" w:rsidR="00A34D69" w:rsidRPr="00A34D69" w:rsidRDefault="00A34D69" w:rsidP="00A34D69">
      <w:pPr>
        <w:shd w:val="clear" w:color="auto" w:fill="FFFFFF"/>
        <w:spacing w:after="0" w:line="360" w:lineRule="auto"/>
        <w:jc w:val="both"/>
        <w:rPr>
          <w:rFonts w:ascii="Times New Roman" w:hAnsi="Times New Roman" w:cs="Times New Roman"/>
          <w:sz w:val="24"/>
          <w:szCs w:val="24"/>
        </w:rPr>
      </w:pPr>
    </w:p>
    <w:p w14:paraId="7E8F0FA1"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sz w:val="24"/>
          <w:szCs w:val="24"/>
        </w:rPr>
        <w:t xml:space="preserve">In contrast, </w:t>
      </w:r>
      <w:proofErr w:type="spellStart"/>
      <w:r w:rsidRPr="00A34D69">
        <w:rPr>
          <w:rFonts w:ascii="Times New Roman" w:hAnsi="Times New Roman" w:cs="Times New Roman"/>
          <w:color w:val="3A3A3A"/>
          <w:sz w:val="24"/>
          <w:szCs w:val="24"/>
          <w:shd w:val="clear" w:color="auto" w:fill="FFFFFF"/>
        </w:rPr>
        <w:t>Losh</w:t>
      </w:r>
      <w:proofErr w:type="spellEnd"/>
      <w:r w:rsidRPr="00A34D69">
        <w:rPr>
          <w:rFonts w:ascii="Times New Roman" w:hAnsi="Times New Roman" w:cs="Times New Roman"/>
          <w:color w:val="3A3A3A"/>
          <w:sz w:val="24"/>
          <w:szCs w:val="24"/>
          <w:shd w:val="clear" w:color="auto" w:fill="FFFFFF"/>
        </w:rPr>
        <w:t xml:space="preserve"> (2014) suggests that digital technology comes naturally to students due to them being familiar with many devices from a young age. However, </w:t>
      </w:r>
      <w:proofErr w:type="gramStart"/>
      <w:r w:rsidRPr="00A34D69">
        <w:rPr>
          <w:rFonts w:ascii="Times New Roman" w:hAnsi="Times New Roman" w:cs="Times New Roman"/>
          <w:color w:val="3A3A3A"/>
          <w:sz w:val="24"/>
          <w:szCs w:val="24"/>
          <w:shd w:val="clear" w:color="auto" w:fill="FFFFFF"/>
        </w:rPr>
        <w:t>Wang,  </w:t>
      </w:r>
      <w:r w:rsidRPr="00A34D69">
        <w:rPr>
          <w:rFonts w:ascii="Times New Roman" w:hAnsi="Times New Roman" w:cs="Times New Roman"/>
          <w:i/>
          <w:iCs/>
          <w:color w:val="3A3A3A"/>
          <w:sz w:val="24"/>
          <w:szCs w:val="24"/>
          <w:shd w:val="clear" w:color="auto" w:fill="FFFFFF"/>
        </w:rPr>
        <w:t>et al.</w:t>
      </w:r>
      <w:proofErr w:type="gramEnd"/>
      <w:r w:rsidRPr="00A34D69">
        <w:rPr>
          <w:rFonts w:ascii="Times New Roman" w:hAnsi="Times New Roman" w:cs="Times New Roman"/>
          <w:color w:val="3A3A3A"/>
          <w:sz w:val="24"/>
          <w:szCs w:val="24"/>
          <w:shd w:val="clear" w:color="auto" w:fill="FFFFFF"/>
        </w:rPr>
        <w:t xml:space="preserve"> (2014) suggests that it is precarious to assume that all students born and raised in the digital age are familiar with technology and students socioeconomic status, ethnicity and even gender had a greater impact on student’s technical abilities. </w:t>
      </w:r>
    </w:p>
    <w:p w14:paraId="5157871A"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25E6D4C7"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sz w:val="24"/>
          <w:szCs w:val="24"/>
        </w:rPr>
        <w:t xml:space="preserve">Teachers and students were forced to become more technology literate in a short space of time, when, in 2020 we saw the sudden closure of learning establishments as a measure to prevent transmission of covid-19 and lectures shifted </w:t>
      </w:r>
      <w:proofErr w:type="gramStart"/>
      <w:r w:rsidRPr="00A34D69">
        <w:rPr>
          <w:rFonts w:ascii="Times New Roman" w:hAnsi="Times New Roman" w:cs="Times New Roman"/>
          <w:sz w:val="24"/>
          <w:szCs w:val="24"/>
        </w:rPr>
        <w:t>from  face</w:t>
      </w:r>
      <w:proofErr w:type="gramEnd"/>
      <w:r w:rsidRPr="00A34D69">
        <w:rPr>
          <w:rFonts w:ascii="Times New Roman" w:hAnsi="Times New Roman" w:cs="Times New Roman"/>
          <w:sz w:val="24"/>
          <w:szCs w:val="24"/>
        </w:rPr>
        <w:t xml:space="preserve"> to face learning to online classes.  With the focus on e-learning tools and platforms it brought about many limitations for lecturers such as a lack of training for both teachers and students, technical issues with regards to poor internet signals suggests </w:t>
      </w:r>
      <w:proofErr w:type="spellStart"/>
      <w:r w:rsidRPr="00A34D69">
        <w:rPr>
          <w:rFonts w:ascii="Times New Roman" w:hAnsi="Times New Roman" w:cs="Times New Roman"/>
          <w:color w:val="3A3A3A"/>
          <w:sz w:val="24"/>
          <w:szCs w:val="24"/>
          <w:shd w:val="clear" w:color="auto" w:fill="FFFFFF"/>
        </w:rPr>
        <w:t>Grimmett</w:t>
      </w:r>
      <w:proofErr w:type="spellEnd"/>
      <w:r w:rsidRPr="00A34D69">
        <w:rPr>
          <w:rFonts w:ascii="Times New Roman" w:hAnsi="Times New Roman" w:cs="Times New Roman"/>
          <w:color w:val="3A3A3A"/>
          <w:sz w:val="24"/>
          <w:szCs w:val="24"/>
          <w:shd w:val="clear" w:color="auto" w:fill="FFFFFF"/>
        </w:rPr>
        <w:t>,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xml:space="preserve"> (2018).  Furthermore, </w:t>
      </w:r>
      <w:proofErr w:type="gramStart"/>
      <w:r w:rsidRPr="00A34D69">
        <w:rPr>
          <w:rFonts w:ascii="Times New Roman" w:hAnsi="Times New Roman" w:cs="Times New Roman"/>
          <w:color w:val="3A3A3A"/>
          <w:sz w:val="24"/>
          <w:szCs w:val="24"/>
          <w:shd w:val="clear" w:color="auto" w:fill="FFFFFF"/>
        </w:rPr>
        <w:t xml:space="preserve">Joshi,  </w:t>
      </w:r>
      <w:proofErr w:type="spellStart"/>
      <w:r w:rsidRPr="00A34D69">
        <w:rPr>
          <w:rFonts w:ascii="Times New Roman" w:hAnsi="Times New Roman" w:cs="Times New Roman"/>
          <w:color w:val="3A3A3A"/>
          <w:sz w:val="24"/>
          <w:szCs w:val="24"/>
          <w:shd w:val="clear" w:color="auto" w:fill="FFFFFF"/>
        </w:rPr>
        <w:t>Muddu</w:t>
      </w:r>
      <w:proofErr w:type="spellEnd"/>
      <w:proofErr w:type="gramEnd"/>
      <w:r w:rsidRPr="00A34D69">
        <w:rPr>
          <w:rFonts w:ascii="Times New Roman" w:hAnsi="Times New Roman" w:cs="Times New Roman"/>
          <w:color w:val="3A3A3A"/>
          <w:sz w:val="24"/>
          <w:szCs w:val="24"/>
          <w:shd w:val="clear" w:color="auto" w:fill="FFFFFF"/>
        </w:rPr>
        <w:t xml:space="preserve"> and Bhaskar (2021)  </w:t>
      </w:r>
      <w:r w:rsidRPr="00A34D69">
        <w:rPr>
          <w:rFonts w:ascii="Times New Roman" w:hAnsi="Times New Roman" w:cs="Times New Roman"/>
          <w:color w:val="3A3A3A"/>
          <w:sz w:val="24"/>
          <w:szCs w:val="24"/>
          <w:shd w:val="clear" w:color="auto" w:fill="FFFFFF"/>
        </w:rPr>
        <w:lastRenderedPageBreak/>
        <w:t>suggests that barriers were faced by lecturers and students due to lack of technological devices such as laptops, microphones and internet connections which had previously been readily available in the learning environment, therefore forcing educators to adapt their pedagogy and adopt new skills in order to move forward from the traditional classroom.</w:t>
      </w:r>
      <w:r w:rsidRPr="00A34D69">
        <w:rPr>
          <w:rFonts w:ascii="Times New Roman" w:hAnsi="Times New Roman" w:cs="Times New Roman"/>
          <w:sz w:val="24"/>
          <w:szCs w:val="24"/>
        </w:rPr>
        <w:t xml:space="preserve">   According to </w:t>
      </w:r>
      <w:r w:rsidRPr="00A34D69">
        <w:rPr>
          <w:rFonts w:ascii="Times New Roman" w:hAnsi="Times New Roman" w:cs="Times New Roman"/>
          <w:color w:val="3A3A3A"/>
          <w:sz w:val="24"/>
          <w:szCs w:val="24"/>
          <w:shd w:val="clear" w:color="auto" w:fill="FFFFFF"/>
        </w:rPr>
        <w:t xml:space="preserve">Neuwirth, </w:t>
      </w:r>
      <w:proofErr w:type="spellStart"/>
      <w:r w:rsidRPr="00A34D69">
        <w:rPr>
          <w:rFonts w:ascii="Times New Roman" w:hAnsi="Times New Roman" w:cs="Times New Roman"/>
          <w:color w:val="3A3A3A"/>
          <w:sz w:val="24"/>
          <w:szCs w:val="24"/>
          <w:shd w:val="clear" w:color="auto" w:fill="FFFFFF"/>
        </w:rPr>
        <w:t>Jović</w:t>
      </w:r>
      <w:proofErr w:type="spellEnd"/>
      <w:r w:rsidRPr="00A34D69">
        <w:rPr>
          <w:rFonts w:ascii="Times New Roman" w:hAnsi="Times New Roman" w:cs="Times New Roman"/>
          <w:color w:val="3A3A3A"/>
          <w:sz w:val="24"/>
          <w:szCs w:val="24"/>
          <w:shd w:val="clear" w:color="auto" w:fill="FFFFFF"/>
        </w:rPr>
        <w:t xml:space="preserve">   and Mukherji (2021) both students and lecturers have received very little training and are inadequately equipped to facilitate the rapid transition into the virtual classroom and the maintenance of appropriate learning tools which have been introduced.  Mustafa </w:t>
      </w:r>
      <w:r w:rsidRPr="00A34D69">
        <w:rPr>
          <w:rFonts w:ascii="Times New Roman" w:hAnsi="Times New Roman" w:cs="Times New Roman"/>
          <w:i/>
          <w:iCs/>
          <w:color w:val="3A3A3A"/>
          <w:sz w:val="24"/>
          <w:szCs w:val="24"/>
          <w:shd w:val="clear" w:color="auto" w:fill="FFFFFF"/>
        </w:rPr>
        <w:t>et.al</w:t>
      </w:r>
      <w:r w:rsidRPr="00A34D69">
        <w:rPr>
          <w:rFonts w:ascii="Times New Roman" w:hAnsi="Times New Roman" w:cs="Times New Roman"/>
          <w:color w:val="3A3A3A"/>
          <w:sz w:val="24"/>
          <w:szCs w:val="24"/>
          <w:shd w:val="clear" w:color="auto" w:fill="FFFFFF"/>
        </w:rPr>
        <w:t xml:space="preserve">. argues that despite previous research which clearly states the advantages of using technology within the learning environment, educators were not prepared to deliver online lessons effectively.  Furthermore, </w:t>
      </w:r>
      <w:proofErr w:type="spellStart"/>
      <w:r w:rsidRPr="00A34D69">
        <w:rPr>
          <w:rFonts w:ascii="Times New Roman" w:hAnsi="Times New Roman" w:cs="Times New Roman"/>
          <w:color w:val="3A3A3A"/>
          <w:sz w:val="24"/>
          <w:szCs w:val="24"/>
          <w:shd w:val="clear" w:color="auto" w:fill="FFFFFF"/>
        </w:rPr>
        <w:t>Kebritchi</w:t>
      </w:r>
      <w:proofErr w:type="spellEnd"/>
      <w:r w:rsidRPr="00A34D69">
        <w:rPr>
          <w:rFonts w:ascii="Times New Roman" w:hAnsi="Times New Roman" w:cs="Times New Roman"/>
          <w:color w:val="3A3A3A"/>
          <w:sz w:val="24"/>
          <w:szCs w:val="24"/>
          <w:shd w:val="clear" w:color="auto" w:fill="FFFFFF"/>
        </w:rPr>
        <w:t xml:space="preserve">, </w:t>
      </w:r>
      <w:proofErr w:type="spellStart"/>
      <w:r w:rsidRPr="00A34D69">
        <w:rPr>
          <w:rFonts w:ascii="Times New Roman" w:hAnsi="Times New Roman" w:cs="Times New Roman"/>
          <w:color w:val="3A3A3A"/>
          <w:sz w:val="24"/>
          <w:szCs w:val="24"/>
          <w:shd w:val="clear" w:color="auto" w:fill="FFFFFF"/>
        </w:rPr>
        <w:t>Lipschuetz</w:t>
      </w:r>
      <w:proofErr w:type="spellEnd"/>
      <w:r w:rsidRPr="00A34D69">
        <w:rPr>
          <w:rFonts w:ascii="Times New Roman" w:hAnsi="Times New Roman" w:cs="Times New Roman"/>
          <w:color w:val="3A3A3A"/>
          <w:sz w:val="24"/>
          <w:szCs w:val="24"/>
          <w:shd w:val="clear" w:color="auto" w:fill="FFFFFF"/>
        </w:rPr>
        <w:t xml:space="preserve"> &amp; </w:t>
      </w:r>
      <w:proofErr w:type="spellStart"/>
      <w:proofErr w:type="gramStart"/>
      <w:r w:rsidRPr="00A34D69">
        <w:rPr>
          <w:rFonts w:ascii="Times New Roman" w:hAnsi="Times New Roman" w:cs="Times New Roman"/>
          <w:color w:val="3A3A3A"/>
          <w:sz w:val="24"/>
          <w:szCs w:val="24"/>
          <w:shd w:val="clear" w:color="auto" w:fill="FFFFFF"/>
        </w:rPr>
        <w:t>Santiague</w:t>
      </w:r>
      <w:proofErr w:type="spellEnd"/>
      <w:r w:rsidRPr="00A34D69">
        <w:rPr>
          <w:rFonts w:ascii="Times New Roman" w:hAnsi="Times New Roman" w:cs="Times New Roman"/>
          <w:color w:val="3A3A3A"/>
          <w:sz w:val="24"/>
          <w:szCs w:val="24"/>
          <w:shd w:val="clear" w:color="auto" w:fill="FFFFFF"/>
        </w:rPr>
        <w:t>,  (</w:t>
      </w:r>
      <w:proofErr w:type="gramEnd"/>
      <w:r w:rsidRPr="00A34D69">
        <w:rPr>
          <w:rFonts w:ascii="Times New Roman" w:hAnsi="Times New Roman" w:cs="Times New Roman"/>
          <w:color w:val="3A3A3A"/>
          <w:sz w:val="24"/>
          <w:szCs w:val="24"/>
          <w:shd w:val="clear" w:color="auto" w:fill="FFFFFF"/>
        </w:rPr>
        <w:t xml:space="preserve">2017) suggests that learners who were competent technology users had high expectations such as anticipating instant feedback for submitted work without considering that teachers were having to adapt their pedagogies to incorporate digital technology into the lessons.   </w:t>
      </w:r>
      <w:proofErr w:type="gramStart"/>
      <w:r w:rsidRPr="00A34D69">
        <w:rPr>
          <w:rFonts w:ascii="Times New Roman" w:hAnsi="Times New Roman" w:cs="Times New Roman"/>
          <w:color w:val="3A3A3A"/>
          <w:sz w:val="24"/>
          <w:szCs w:val="24"/>
          <w:shd w:val="clear" w:color="auto" w:fill="FFFFFF"/>
        </w:rPr>
        <w:t xml:space="preserve">However, </w:t>
      </w:r>
      <w:r w:rsidRPr="00A34D69">
        <w:rPr>
          <w:rStyle w:val="react-xocs-alternative-link"/>
          <w:rFonts w:ascii="Times New Roman" w:hAnsi="Times New Roman" w:cs="Times New Roman"/>
          <w:sz w:val="24"/>
          <w:szCs w:val="24"/>
        </w:rPr>
        <w:t> </w:t>
      </w:r>
      <w:proofErr w:type="spellStart"/>
      <w:r w:rsidRPr="00A34D69">
        <w:rPr>
          <w:rStyle w:val="text"/>
          <w:rFonts w:ascii="Times New Roman" w:hAnsi="Times New Roman" w:cs="Times New Roman"/>
          <w:sz w:val="24"/>
          <w:szCs w:val="24"/>
        </w:rPr>
        <w:t>Gikandi</w:t>
      </w:r>
      <w:proofErr w:type="spellEnd"/>
      <w:proofErr w:type="gramEnd"/>
      <w:r w:rsidRPr="00A34D69">
        <w:rPr>
          <w:rStyle w:val="given-name"/>
          <w:rFonts w:ascii="Times New Roman" w:hAnsi="Times New Roman" w:cs="Times New Roman"/>
          <w:sz w:val="24"/>
          <w:szCs w:val="24"/>
        </w:rPr>
        <w:t>,</w:t>
      </w:r>
      <w:r w:rsidRPr="00A34D69">
        <w:rPr>
          <w:rStyle w:val="react-xocs-alternative-link"/>
          <w:rFonts w:ascii="Times New Roman" w:hAnsi="Times New Roman" w:cs="Times New Roman"/>
          <w:sz w:val="24"/>
          <w:szCs w:val="24"/>
        </w:rPr>
        <w:t> </w:t>
      </w:r>
      <w:r w:rsidRPr="00A34D69">
        <w:rPr>
          <w:rStyle w:val="text"/>
          <w:rFonts w:ascii="Times New Roman" w:hAnsi="Times New Roman" w:cs="Times New Roman"/>
          <w:sz w:val="24"/>
          <w:szCs w:val="24"/>
        </w:rPr>
        <w:t>Morrow</w:t>
      </w:r>
      <w:r w:rsidRPr="00A34D69">
        <w:rPr>
          <w:rStyle w:val="react-xocs-alternative-link"/>
          <w:rFonts w:ascii="Times New Roman" w:hAnsi="Times New Roman" w:cs="Times New Roman"/>
          <w:sz w:val="24"/>
          <w:szCs w:val="24"/>
        </w:rPr>
        <w:t xml:space="preserve"> &amp; </w:t>
      </w:r>
      <w:r w:rsidRPr="00A34D69">
        <w:rPr>
          <w:rStyle w:val="text"/>
          <w:rFonts w:ascii="Times New Roman" w:hAnsi="Times New Roman" w:cs="Times New Roman"/>
          <w:sz w:val="24"/>
          <w:szCs w:val="24"/>
        </w:rPr>
        <w:t>Davis</w:t>
      </w:r>
      <w:r w:rsidRPr="00A34D69">
        <w:rPr>
          <w:rStyle w:val="react-xocs-alternative-link"/>
          <w:rFonts w:ascii="Times New Roman" w:hAnsi="Times New Roman" w:cs="Times New Roman"/>
          <w:sz w:val="24"/>
          <w:szCs w:val="24"/>
        </w:rPr>
        <w:t xml:space="preserve"> (2011) suggest that the shift into online learning is providing an opportunity for students and lecturers to adopt meaningful interactions which is beneficial for students in order for them to take responsibility for their own development and </w:t>
      </w:r>
      <w:proofErr w:type="spellStart"/>
      <w:r w:rsidRPr="00A34D69">
        <w:rPr>
          <w:rStyle w:val="react-xocs-alternative-link"/>
          <w:rFonts w:ascii="Times New Roman" w:hAnsi="Times New Roman" w:cs="Times New Roman"/>
          <w:sz w:val="24"/>
          <w:szCs w:val="24"/>
        </w:rPr>
        <w:t>self regulated</w:t>
      </w:r>
      <w:proofErr w:type="spellEnd"/>
      <w:r w:rsidRPr="00A34D69">
        <w:rPr>
          <w:rStyle w:val="react-xocs-alternative-link"/>
          <w:rFonts w:ascii="Times New Roman" w:hAnsi="Times New Roman" w:cs="Times New Roman"/>
          <w:sz w:val="24"/>
          <w:szCs w:val="24"/>
        </w:rPr>
        <w:t xml:space="preserve"> learning. </w:t>
      </w:r>
      <w:r w:rsidRPr="00A34D69">
        <w:rPr>
          <w:rFonts w:ascii="Times New Roman" w:hAnsi="Times New Roman" w:cs="Times New Roman"/>
          <w:color w:val="3A3A3A"/>
          <w:sz w:val="24"/>
          <w:szCs w:val="24"/>
          <w:shd w:val="clear" w:color="auto" w:fill="FFFFFF"/>
        </w:rPr>
        <w:t xml:space="preserve"> </w:t>
      </w:r>
    </w:p>
    <w:p w14:paraId="237D9216"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235A2DE3"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color w:val="3A3A3A"/>
          <w:sz w:val="24"/>
          <w:szCs w:val="24"/>
          <w:shd w:val="clear" w:color="auto" w:fill="FFFFFF"/>
        </w:rPr>
        <w:t xml:space="preserve">As well as teacher training and professional develop, Bansilal, (2015) suggests </w:t>
      </w:r>
      <w:proofErr w:type="gramStart"/>
      <w:r w:rsidRPr="00A34D69">
        <w:rPr>
          <w:rFonts w:ascii="Times New Roman" w:hAnsi="Times New Roman" w:cs="Times New Roman"/>
          <w:color w:val="3A3A3A"/>
          <w:sz w:val="24"/>
          <w:szCs w:val="24"/>
          <w:shd w:val="clear" w:color="auto" w:fill="FFFFFF"/>
        </w:rPr>
        <w:t>that  it</w:t>
      </w:r>
      <w:proofErr w:type="gramEnd"/>
      <w:r w:rsidRPr="00A34D69">
        <w:rPr>
          <w:rFonts w:ascii="Times New Roman" w:hAnsi="Times New Roman" w:cs="Times New Roman"/>
          <w:color w:val="3A3A3A"/>
          <w:sz w:val="24"/>
          <w:szCs w:val="24"/>
          <w:shd w:val="clear" w:color="auto" w:fill="FFFFFF"/>
        </w:rPr>
        <w:t xml:space="preserve"> is important for lecturers to collaborate with other educators to share what they know in order to ensure that the setting as a whole is consistent in the use of learning tools and their application of them, to ensure that they get the best possible results for their students thus improving student outcomes.</w:t>
      </w:r>
    </w:p>
    <w:p w14:paraId="559F136A"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color w:val="3A3A3A"/>
          <w:sz w:val="24"/>
          <w:szCs w:val="24"/>
          <w:shd w:val="clear" w:color="auto" w:fill="FFFFFF"/>
        </w:rPr>
        <w:t xml:space="preserve">This is supported by </w:t>
      </w:r>
      <w:proofErr w:type="spellStart"/>
      <w:r w:rsidRPr="00A34D69">
        <w:rPr>
          <w:rFonts w:ascii="Times New Roman" w:hAnsi="Times New Roman" w:cs="Times New Roman"/>
          <w:color w:val="3A3A3A"/>
          <w:sz w:val="24"/>
          <w:szCs w:val="24"/>
          <w:shd w:val="clear" w:color="auto" w:fill="FFFFFF"/>
        </w:rPr>
        <w:t>Kubrushko</w:t>
      </w:r>
      <w:proofErr w:type="spellEnd"/>
      <w:r w:rsidRPr="00A34D69">
        <w:rPr>
          <w:rFonts w:ascii="Times New Roman" w:hAnsi="Times New Roman" w:cs="Times New Roman"/>
          <w:color w:val="3A3A3A"/>
          <w:sz w:val="24"/>
          <w:szCs w:val="24"/>
          <w:shd w:val="clear" w:color="auto" w:fill="FFFFFF"/>
        </w:rPr>
        <w:t>,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xml:space="preserve"> (2020) who states </w:t>
      </w:r>
      <w:proofErr w:type="gramStart"/>
      <w:r w:rsidRPr="00A34D69">
        <w:rPr>
          <w:rFonts w:ascii="Times New Roman" w:hAnsi="Times New Roman" w:cs="Times New Roman"/>
          <w:color w:val="3A3A3A"/>
          <w:sz w:val="24"/>
          <w:szCs w:val="24"/>
          <w:shd w:val="clear" w:color="auto" w:fill="FFFFFF"/>
        </w:rPr>
        <w:t>that  there</w:t>
      </w:r>
      <w:proofErr w:type="gramEnd"/>
      <w:r w:rsidRPr="00A34D69">
        <w:rPr>
          <w:rFonts w:ascii="Times New Roman" w:hAnsi="Times New Roman" w:cs="Times New Roman"/>
          <w:color w:val="3A3A3A"/>
          <w:sz w:val="24"/>
          <w:szCs w:val="24"/>
          <w:shd w:val="clear" w:color="auto" w:fill="FFFFFF"/>
        </w:rPr>
        <w:t xml:space="preserve"> is a greater need for professional development and continuous training to ensure that lecturers can offer a variety of teaching methods to ensure that learners can engage with different kinds of stimuli to create an activity based learning facility which encourages learners to be curious and passionate about the subject that they are learning about.   </w:t>
      </w:r>
      <w:proofErr w:type="spellStart"/>
      <w:proofErr w:type="gramStart"/>
      <w:r w:rsidRPr="00A34D69">
        <w:rPr>
          <w:rFonts w:ascii="Times New Roman" w:hAnsi="Times New Roman" w:cs="Times New Roman"/>
          <w:color w:val="3A3A3A"/>
          <w:sz w:val="24"/>
          <w:szCs w:val="24"/>
          <w:shd w:val="clear" w:color="auto" w:fill="FFFFFF"/>
        </w:rPr>
        <w:t>Licorish</w:t>
      </w:r>
      <w:proofErr w:type="spellEnd"/>
      <w:r w:rsidRPr="00A34D69">
        <w:rPr>
          <w:rFonts w:ascii="Times New Roman" w:hAnsi="Times New Roman" w:cs="Times New Roman"/>
          <w:color w:val="3A3A3A"/>
          <w:sz w:val="24"/>
          <w:szCs w:val="24"/>
          <w:shd w:val="clear" w:color="auto" w:fill="FFFFFF"/>
        </w:rPr>
        <w:t>,  </w:t>
      </w:r>
      <w:r w:rsidRPr="00A34D69">
        <w:rPr>
          <w:rFonts w:ascii="Times New Roman" w:hAnsi="Times New Roman" w:cs="Times New Roman"/>
          <w:i/>
          <w:iCs/>
          <w:color w:val="3A3A3A"/>
          <w:sz w:val="24"/>
          <w:szCs w:val="24"/>
          <w:shd w:val="clear" w:color="auto" w:fill="FFFFFF"/>
        </w:rPr>
        <w:t>et al.</w:t>
      </w:r>
      <w:proofErr w:type="gramEnd"/>
      <w:r w:rsidRPr="00A34D69">
        <w:rPr>
          <w:rFonts w:ascii="Times New Roman" w:hAnsi="Times New Roman" w:cs="Times New Roman"/>
          <w:color w:val="3A3A3A"/>
          <w:sz w:val="24"/>
          <w:szCs w:val="24"/>
          <w:shd w:val="clear" w:color="auto" w:fill="FFFFFF"/>
        </w:rPr>
        <w:t xml:space="preserve"> (2018) agrees that when learners are involved and engaged it will improve their learning because they retain information more easily. Similarly, </w:t>
      </w:r>
      <w:proofErr w:type="gramStart"/>
      <w:r w:rsidRPr="00A34D69">
        <w:rPr>
          <w:rFonts w:ascii="Times New Roman" w:hAnsi="Times New Roman" w:cs="Times New Roman"/>
          <w:color w:val="3A3A3A"/>
          <w:sz w:val="24"/>
          <w:szCs w:val="24"/>
          <w:shd w:val="clear" w:color="auto" w:fill="FFFFFF"/>
        </w:rPr>
        <w:t>Corso,  </w:t>
      </w:r>
      <w:r w:rsidRPr="00A34D69">
        <w:rPr>
          <w:rFonts w:ascii="Times New Roman" w:hAnsi="Times New Roman" w:cs="Times New Roman"/>
          <w:i/>
          <w:iCs/>
          <w:color w:val="3A3A3A"/>
          <w:sz w:val="24"/>
          <w:szCs w:val="24"/>
          <w:shd w:val="clear" w:color="auto" w:fill="FFFFFF"/>
        </w:rPr>
        <w:t>et al.</w:t>
      </w:r>
      <w:proofErr w:type="gramEnd"/>
      <w:r w:rsidRPr="00A34D69">
        <w:rPr>
          <w:rFonts w:ascii="Times New Roman" w:hAnsi="Times New Roman" w:cs="Times New Roman"/>
          <w:color w:val="3A3A3A"/>
          <w:sz w:val="24"/>
          <w:szCs w:val="24"/>
          <w:shd w:val="clear" w:color="auto" w:fill="FFFFFF"/>
        </w:rPr>
        <w:t xml:space="preserve"> (2013) states that when students are engaged in their subject it is more likely that they will attend lectures and eventually graduate. However, </w:t>
      </w:r>
      <w:proofErr w:type="spellStart"/>
      <w:r w:rsidRPr="00A34D69">
        <w:rPr>
          <w:rFonts w:ascii="Times New Roman" w:hAnsi="Times New Roman" w:cs="Times New Roman"/>
          <w:color w:val="333333"/>
          <w:sz w:val="24"/>
          <w:szCs w:val="24"/>
          <w:shd w:val="clear" w:color="auto" w:fill="FCFCFC"/>
        </w:rPr>
        <w:t>Dumford</w:t>
      </w:r>
      <w:proofErr w:type="spellEnd"/>
      <w:r w:rsidRPr="00A34D69">
        <w:rPr>
          <w:rFonts w:ascii="Times New Roman" w:hAnsi="Times New Roman" w:cs="Times New Roman"/>
          <w:color w:val="333333"/>
          <w:sz w:val="24"/>
          <w:szCs w:val="24"/>
          <w:shd w:val="clear" w:color="auto" w:fill="FCFCFC"/>
        </w:rPr>
        <w:t xml:space="preserve"> &amp; Miller 2018)</w:t>
      </w:r>
      <w:r w:rsidRPr="00A34D69">
        <w:rPr>
          <w:rFonts w:ascii="Times New Roman" w:hAnsi="Times New Roman" w:cs="Times New Roman"/>
          <w:color w:val="3A3A3A"/>
          <w:sz w:val="24"/>
          <w:szCs w:val="24"/>
          <w:shd w:val="clear" w:color="auto" w:fill="FFFFFF"/>
        </w:rPr>
        <w:t xml:space="preserve"> suggests that the use of digital tools could be detrimental to student engagement due to their use </w:t>
      </w:r>
      <w:r w:rsidRPr="00A34D69">
        <w:rPr>
          <w:rFonts w:ascii="Times New Roman" w:hAnsi="Times New Roman" w:cs="Times New Roman"/>
          <w:color w:val="3A3A3A"/>
          <w:sz w:val="24"/>
          <w:szCs w:val="24"/>
          <w:shd w:val="clear" w:color="auto" w:fill="FFFFFF"/>
        </w:rPr>
        <w:lastRenderedPageBreak/>
        <w:t xml:space="preserve">of technology in ways which is not likely to benefit their learning.  Levy (2020) also suggests that engaging with students digitally is a less effective teaching strategy which has </w:t>
      </w:r>
      <w:proofErr w:type="gramStart"/>
      <w:r w:rsidRPr="00A34D69">
        <w:rPr>
          <w:rFonts w:ascii="Times New Roman" w:hAnsi="Times New Roman" w:cs="Times New Roman"/>
          <w:color w:val="3A3A3A"/>
          <w:sz w:val="24"/>
          <w:szCs w:val="24"/>
          <w:shd w:val="clear" w:color="auto" w:fill="FFFFFF"/>
        </w:rPr>
        <w:t>seen  a</w:t>
      </w:r>
      <w:proofErr w:type="gramEnd"/>
      <w:r w:rsidRPr="00A34D69">
        <w:rPr>
          <w:rFonts w:ascii="Times New Roman" w:hAnsi="Times New Roman" w:cs="Times New Roman"/>
          <w:color w:val="3A3A3A"/>
          <w:sz w:val="24"/>
          <w:szCs w:val="24"/>
          <w:shd w:val="clear" w:color="auto" w:fill="FFFFFF"/>
        </w:rPr>
        <w:t xml:space="preserve"> reduction in student learning compared to classroom learning.</w:t>
      </w:r>
    </w:p>
    <w:p w14:paraId="52B89AF4"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0F1D6D7E"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color w:val="3A3A3A"/>
          <w:sz w:val="24"/>
          <w:szCs w:val="24"/>
          <w:shd w:val="clear" w:color="auto" w:fill="FFFFFF"/>
        </w:rPr>
        <w:t xml:space="preserve">According to </w:t>
      </w:r>
      <w:proofErr w:type="spellStart"/>
      <w:r w:rsidRPr="00A34D69">
        <w:rPr>
          <w:rFonts w:ascii="Times New Roman" w:hAnsi="Times New Roman" w:cs="Times New Roman"/>
          <w:color w:val="3A3A3A"/>
          <w:sz w:val="24"/>
          <w:szCs w:val="24"/>
          <w:shd w:val="clear" w:color="auto" w:fill="FFFFFF"/>
        </w:rPr>
        <w:t>Lup</w:t>
      </w:r>
      <w:proofErr w:type="spellEnd"/>
      <w:r w:rsidRPr="00A34D69">
        <w:rPr>
          <w:rFonts w:ascii="Times New Roman" w:hAnsi="Times New Roman" w:cs="Times New Roman"/>
          <w:color w:val="3A3A3A"/>
          <w:sz w:val="24"/>
          <w:szCs w:val="24"/>
          <w:shd w:val="clear" w:color="auto" w:fill="FFFFFF"/>
        </w:rPr>
        <w:t xml:space="preserve"> &amp; </w:t>
      </w:r>
      <w:proofErr w:type="spellStart"/>
      <w:r w:rsidRPr="00A34D69">
        <w:rPr>
          <w:rFonts w:ascii="Times New Roman" w:hAnsi="Times New Roman" w:cs="Times New Roman"/>
          <w:color w:val="3A3A3A"/>
          <w:sz w:val="24"/>
          <w:szCs w:val="24"/>
          <w:shd w:val="clear" w:color="auto" w:fill="FFFFFF"/>
        </w:rPr>
        <w:t>Mitrea</w:t>
      </w:r>
      <w:proofErr w:type="spellEnd"/>
      <w:r w:rsidRPr="00A34D69">
        <w:rPr>
          <w:rFonts w:ascii="Times New Roman" w:hAnsi="Times New Roman" w:cs="Times New Roman"/>
          <w:color w:val="3A3A3A"/>
          <w:sz w:val="24"/>
          <w:szCs w:val="24"/>
          <w:shd w:val="clear" w:color="auto" w:fill="FFFFFF"/>
        </w:rPr>
        <w:t>, (2021</w:t>
      </w:r>
      <w:proofErr w:type="gramStart"/>
      <w:r w:rsidRPr="00A34D69">
        <w:rPr>
          <w:rFonts w:ascii="Times New Roman" w:hAnsi="Times New Roman" w:cs="Times New Roman"/>
          <w:color w:val="3A3A3A"/>
          <w:sz w:val="24"/>
          <w:szCs w:val="24"/>
          <w:shd w:val="clear" w:color="auto" w:fill="FFFFFF"/>
        </w:rPr>
        <w:t>)  there</w:t>
      </w:r>
      <w:proofErr w:type="gramEnd"/>
      <w:r w:rsidRPr="00A34D69">
        <w:rPr>
          <w:rFonts w:ascii="Times New Roman" w:hAnsi="Times New Roman" w:cs="Times New Roman"/>
          <w:color w:val="3A3A3A"/>
          <w:sz w:val="24"/>
          <w:szCs w:val="24"/>
          <w:shd w:val="clear" w:color="auto" w:fill="FFFFFF"/>
        </w:rPr>
        <w:t xml:space="preserve"> a number of benefits to online learning, such as accessibility, convenience and it can also provide  more flexible learning for students who are limited by time, location or family commitments.  This is supported by Adedoyin &amp; </w:t>
      </w:r>
      <w:proofErr w:type="spellStart"/>
      <w:r w:rsidRPr="00A34D69">
        <w:rPr>
          <w:rFonts w:ascii="Times New Roman" w:hAnsi="Times New Roman" w:cs="Times New Roman"/>
          <w:color w:val="3A3A3A"/>
          <w:sz w:val="24"/>
          <w:szCs w:val="24"/>
          <w:shd w:val="clear" w:color="auto" w:fill="FFFFFF"/>
        </w:rPr>
        <w:t>Soykan</w:t>
      </w:r>
      <w:proofErr w:type="spellEnd"/>
      <w:r w:rsidRPr="00A34D69">
        <w:rPr>
          <w:rFonts w:ascii="Times New Roman" w:hAnsi="Times New Roman" w:cs="Times New Roman"/>
          <w:color w:val="3A3A3A"/>
          <w:sz w:val="24"/>
          <w:szCs w:val="24"/>
          <w:shd w:val="clear" w:color="auto" w:fill="FFFFFF"/>
        </w:rPr>
        <w:t xml:space="preserve">, (2023) who also states that online learning is beneficial for students who are unable to access face to face lessons due to medical conditions preventing them accessing university campuses.  And according to Paulsen &amp; McCormick (2020) there is a trend in older students who are likely to be employed and therefore accessing lectures remotely because it fits in with their schedule and according to </w:t>
      </w:r>
      <w:proofErr w:type="spellStart"/>
      <w:r w:rsidRPr="00A34D69">
        <w:rPr>
          <w:rFonts w:ascii="Times New Roman" w:hAnsi="Times New Roman" w:cs="Times New Roman"/>
          <w:color w:val="3A3A3A"/>
          <w:sz w:val="24"/>
          <w:szCs w:val="24"/>
          <w:shd w:val="clear" w:color="auto" w:fill="FFFFFF"/>
        </w:rPr>
        <w:t>Eom</w:t>
      </w:r>
      <w:proofErr w:type="spellEnd"/>
      <w:r w:rsidRPr="00A34D69">
        <w:rPr>
          <w:rFonts w:ascii="Times New Roman" w:hAnsi="Times New Roman" w:cs="Times New Roman"/>
          <w:color w:val="3A3A3A"/>
          <w:sz w:val="24"/>
          <w:szCs w:val="24"/>
          <w:shd w:val="clear" w:color="auto" w:fill="FFFFFF"/>
        </w:rPr>
        <w:t xml:space="preserve"> &amp; </w:t>
      </w:r>
      <w:proofErr w:type="spellStart"/>
      <w:r w:rsidRPr="00A34D69">
        <w:rPr>
          <w:rFonts w:ascii="Times New Roman" w:hAnsi="Times New Roman" w:cs="Times New Roman"/>
          <w:color w:val="3A3A3A"/>
          <w:sz w:val="24"/>
          <w:szCs w:val="24"/>
          <w:shd w:val="clear" w:color="auto" w:fill="FFFFFF"/>
        </w:rPr>
        <w:t>Ashill</w:t>
      </w:r>
      <w:proofErr w:type="spellEnd"/>
      <w:r w:rsidRPr="00A34D69">
        <w:rPr>
          <w:rFonts w:ascii="Times New Roman" w:hAnsi="Times New Roman" w:cs="Times New Roman"/>
          <w:color w:val="3A3A3A"/>
          <w:sz w:val="24"/>
          <w:szCs w:val="24"/>
          <w:shd w:val="clear" w:color="auto" w:fill="FFFFFF"/>
        </w:rPr>
        <w:t>, (2016</w:t>
      </w:r>
      <w:proofErr w:type="gramStart"/>
      <w:r w:rsidRPr="00A34D69">
        <w:rPr>
          <w:rFonts w:ascii="Times New Roman" w:hAnsi="Times New Roman" w:cs="Times New Roman"/>
          <w:color w:val="3A3A3A"/>
          <w:sz w:val="24"/>
          <w:szCs w:val="24"/>
          <w:shd w:val="clear" w:color="auto" w:fill="FFFFFF"/>
        </w:rPr>
        <w:t>)  students</w:t>
      </w:r>
      <w:proofErr w:type="gramEnd"/>
      <w:r w:rsidRPr="00A34D69">
        <w:rPr>
          <w:rFonts w:ascii="Times New Roman" w:hAnsi="Times New Roman" w:cs="Times New Roman"/>
          <w:color w:val="3A3A3A"/>
          <w:sz w:val="24"/>
          <w:szCs w:val="24"/>
          <w:shd w:val="clear" w:color="auto" w:fill="FFFFFF"/>
        </w:rPr>
        <w:t xml:space="preserve"> who access online education report higher satisfaction with their studies. In contrast </w:t>
      </w:r>
      <w:proofErr w:type="spellStart"/>
      <w:r w:rsidRPr="00A34D69">
        <w:rPr>
          <w:rFonts w:ascii="Times New Roman" w:hAnsi="Times New Roman" w:cs="Times New Roman"/>
          <w:color w:val="3A3A3A"/>
          <w:sz w:val="24"/>
          <w:szCs w:val="24"/>
          <w:shd w:val="clear" w:color="auto" w:fill="FFFFFF"/>
        </w:rPr>
        <w:t>Lup</w:t>
      </w:r>
      <w:proofErr w:type="spellEnd"/>
      <w:r w:rsidRPr="00A34D69">
        <w:rPr>
          <w:rFonts w:ascii="Times New Roman" w:hAnsi="Times New Roman" w:cs="Times New Roman"/>
          <w:color w:val="3A3A3A"/>
          <w:sz w:val="24"/>
          <w:szCs w:val="24"/>
          <w:shd w:val="clear" w:color="auto" w:fill="FFFFFF"/>
        </w:rPr>
        <w:t xml:space="preserve"> &amp; </w:t>
      </w:r>
      <w:proofErr w:type="spellStart"/>
      <w:r w:rsidRPr="00A34D69">
        <w:rPr>
          <w:rFonts w:ascii="Times New Roman" w:hAnsi="Times New Roman" w:cs="Times New Roman"/>
          <w:color w:val="3A3A3A"/>
          <w:sz w:val="24"/>
          <w:szCs w:val="24"/>
          <w:shd w:val="clear" w:color="auto" w:fill="FFFFFF"/>
        </w:rPr>
        <w:t>Mitrea</w:t>
      </w:r>
      <w:proofErr w:type="spellEnd"/>
      <w:r w:rsidRPr="00A34D69">
        <w:rPr>
          <w:rFonts w:ascii="Times New Roman" w:hAnsi="Times New Roman" w:cs="Times New Roman"/>
          <w:color w:val="3A3A3A"/>
          <w:sz w:val="24"/>
          <w:szCs w:val="24"/>
          <w:shd w:val="clear" w:color="auto" w:fill="FFFFFF"/>
        </w:rPr>
        <w:t>, (2021</w:t>
      </w:r>
      <w:proofErr w:type="gramStart"/>
      <w:r w:rsidRPr="00A34D69">
        <w:rPr>
          <w:rFonts w:ascii="Times New Roman" w:hAnsi="Times New Roman" w:cs="Times New Roman"/>
          <w:color w:val="3A3A3A"/>
          <w:sz w:val="24"/>
          <w:szCs w:val="24"/>
          <w:shd w:val="clear" w:color="auto" w:fill="FFFFFF"/>
        </w:rPr>
        <w:t>)  states</w:t>
      </w:r>
      <w:proofErr w:type="gramEnd"/>
      <w:r w:rsidRPr="00A34D69">
        <w:rPr>
          <w:rFonts w:ascii="Times New Roman" w:hAnsi="Times New Roman" w:cs="Times New Roman"/>
          <w:color w:val="3A3A3A"/>
          <w:sz w:val="24"/>
          <w:szCs w:val="24"/>
          <w:shd w:val="clear" w:color="auto" w:fill="FFFFFF"/>
        </w:rPr>
        <w:t xml:space="preserve"> that students who participate through online learning often report havening to learn within inappropriate environments often with poor internet connection and having to share amenities with household members which results in a lack of engagement with lesson and consequently impacting on their academic performance.</w:t>
      </w:r>
    </w:p>
    <w:p w14:paraId="76FE2EFF"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105DDDA2"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color w:val="3A3A3A"/>
          <w:sz w:val="24"/>
          <w:szCs w:val="24"/>
          <w:shd w:val="clear" w:color="auto" w:fill="FFFFFF"/>
        </w:rPr>
        <w:t xml:space="preserve">A positive element of the advancement of digital technology is the abundance </w:t>
      </w:r>
      <w:proofErr w:type="gramStart"/>
      <w:r w:rsidRPr="00A34D69">
        <w:rPr>
          <w:rFonts w:ascii="Times New Roman" w:hAnsi="Times New Roman" w:cs="Times New Roman"/>
          <w:color w:val="3A3A3A"/>
          <w:sz w:val="24"/>
          <w:szCs w:val="24"/>
          <w:shd w:val="clear" w:color="auto" w:fill="FFFFFF"/>
        </w:rPr>
        <w:t>of  formative</w:t>
      </w:r>
      <w:proofErr w:type="gramEnd"/>
      <w:r w:rsidRPr="00A34D69">
        <w:rPr>
          <w:rFonts w:ascii="Times New Roman" w:hAnsi="Times New Roman" w:cs="Times New Roman"/>
          <w:color w:val="3A3A3A"/>
          <w:sz w:val="24"/>
          <w:szCs w:val="24"/>
          <w:shd w:val="clear" w:color="auto" w:fill="FFFFFF"/>
        </w:rPr>
        <w:t xml:space="preserve"> assessment tools which are available, all of which support teaching strategies which also activate learners to be accountable for their own learning and encourage peer collaboration.  </w:t>
      </w:r>
      <w:proofErr w:type="spellStart"/>
      <w:r w:rsidRPr="00A34D69">
        <w:rPr>
          <w:rFonts w:ascii="Times New Roman" w:hAnsi="Times New Roman" w:cs="Times New Roman"/>
          <w:color w:val="3A3A3A"/>
          <w:sz w:val="24"/>
          <w:szCs w:val="24"/>
          <w:shd w:val="clear" w:color="auto" w:fill="FFFFFF"/>
        </w:rPr>
        <w:t>Pesare</w:t>
      </w:r>
      <w:proofErr w:type="spellEnd"/>
      <w:r w:rsidRPr="00A34D69">
        <w:rPr>
          <w:rFonts w:ascii="Times New Roman" w:hAnsi="Times New Roman" w:cs="Times New Roman"/>
          <w:color w:val="3A3A3A"/>
          <w:sz w:val="24"/>
          <w:szCs w:val="24"/>
          <w:shd w:val="clear" w:color="auto" w:fill="FFFFFF"/>
        </w:rPr>
        <w:t>, E.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xml:space="preserve"> (2015) suggests that when students engage in their own assessments and that of their peers it provides an opportunity for comparison which can improve learning outcomes.  Similarly, To and </w:t>
      </w:r>
      <w:proofErr w:type="spellStart"/>
      <w:r w:rsidRPr="00A34D69">
        <w:rPr>
          <w:rFonts w:ascii="Times New Roman" w:hAnsi="Times New Roman" w:cs="Times New Roman"/>
          <w:color w:val="3A3A3A"/>
          <w:sz w:val="24"/>
          <w:szCs w:val="24"/>
          <w:shd w:val="clear" w:color="auto" w:fill="FFFFFF"/>
        </w:rPr>
        <w:t>Pandero</w:t>
      </w:r>
      <w:proofErr w:type="spellEnd"/>
      <w:r w:rsidRPr="00A34D69">
        <w:rPr>
          <w:rFonts w:ascii="Times New Roman" w:hAnsi="Times New Roman" w:cs="Times New Roman"/>
          <w:color w:val="3A3A3A"/>
          <w:sz w:val="24"/>
          <w:szCs w:val="24"/>
          <w:shd w:val="clear" w:color="auto" w:fill="FFFFFF"/>
        </w:rPr>
        <w:t xml:space="preserve"> (2019) indicate that self and peer assessments enables students to evaluate their own standards in order to identify gaps in their own knowledge and make adjustments to their learning. However </w:t>
      </w:r>
      <w:proofErr w:type="gramStart"/>
      <w:r w:rsidRPr="00A34D69">
        <w:rPr>
          <w:rFonts w:ascii="Times New Roman" w:hAnsi="Times New Roman" w:cs="Times New Roman"/>
          <w:color w:val="333333"/>
          <w:sz w:val="24"/>
          <w:szCs w:val="24"/>
          <w:shd w:val="clear" w:color="auto" w:fill="FCFCFC"/>
        </w:rPr>
        <w:t>Double,  McGrane</w:t>
      </w:r>
      <w:proofErr w:type="gramEnd"/>
      <w:r w:rsidRPr="00A34D69">
        <w:rPr>
          <w:rFonts w:ascii="Times New Roman" w:hAnsi="Times New Roman" w:cs="Times New Roman"/>
          <w:color w:val="333333"/>
          <w:sz w:val="24"/>
          <w:szCs w:val="24"/>
          <w:shd w:val="clear" w:color="auto" w:fill="FCFCFC"/>
        </w:rPr>
        <w:t xml:space="preserve">,  &amp; </w:t>
      </w:r>
      <w:proofErr w:type="spellStart"/>
      <w:r w:rsidRPr="00A34D69">
        <w:rPr>
          <w:rFonts w:ascii="Times New Roman" w:hAnsi="Times New Roman" w:cs="Times New Roman"/>
          <w:color w:val="333333"/>
          <w:sz w:val="24"/>
          <w:szCs w:val="24"/>
          <w:shd w:val="clear" w:color="auto" w:fill="FCFCFC"/>
        </w:rPr>
        <w:t>Hopfenbeck</w:t>
      </w:r>
      <w:proofErr w:type="spellEnd"/>
      <w:r w:rsidRPr="00A34D69">
        <w:rPr>
          <w:rFonts w:ascii="Times New Roman" w:hAnsi="Times New Roman" w:cs="Times New Roman"/>
          <w:color w:val="333333"/>
          <w:sz w:val="24"/>
          <w:szCs w:val="24"/>
          <w:shd w:val="clear" w:color="auto" w:fill="FCFCFC"/>
        </w:rPr>
        <w:t xml:space="preserve"> (2020) states that peer assessing does not always provide honest feedback and therefore suggests that online assessments are more beneficial when the assessor can remain anonymous and therefore give more accurate feedback.  However, </w:t>
      </w:r>
      <w:proofErr w:type="spellStart"/>
      <w:r w:rsidRPr="00A34D69">
        <w:rPr>
          <w:rFonts w:ascii="Times New Roman" w:hAnsi="Times New Roman" w:cs="Times New Roman"/>
          <w:color w:val="3A3A3A"/>
          <w:sz w:val="24"/>
          <w:szCs w:val="24"/>
          <w:shd w:val="clear" w:color="auto" w:fill="FFFFFF"/>
        </w:rPr>
        <w:t>Rotsaert</w:t>
      </w:r>
      <w:proofErr w:type="spellEnd"/>
      <w:r w:rsidRPr="00A34D69">
        <w:rPr>
          <w:rFonts w:ascii="Times New Roman" w:hAnsi="Times New Roman" w:cs="Times New Roman"/>
          <w:color w:val="3A3A3A"/>
          <w:sz w:val="24"/>
          <w:szCs w:val="24"/>
          <w:shd w:val="clear" w:color="auto" w:fill="FFFFFF"/>
        </w:rPr>
        <w:t xml:space="preserve">, T., Panadero, E. and </w:t>
      </w:r>
      <w:proofErr w:type="spellStart"/>
      <w:r w:rsidRPr="00A34D69">
        <w:rPr>
          <w:rFonts w:ascii="Times New Roman" w:hAnsi="Times New Roman" w:cs="Times New Roman"/>
          <w:color w:val="3A3A3A"/>
          <w:sz w:val="24"/>
          <w:szCs w:val="24"/>
          <w:shd w:val="clear" w:color="auto" w:fill="FFFFFF"/>
        </w:rPr>
        <w:t>Schellens</w:t>
      </w:r>
      <w:proofErr w:type="spellEnd"/>
      <w:r w:rsidRPr="00A34D69">
        <w:rPr>
          <w:rFonts w:ascii="Times New Roman" w:hAnsi="Times New Roman" w:cs="Times New Roman"/>
          <w:color w:val="3A3A3A"/>
          <w:sz w:val="24"/>
          <w:szCs w:val="24"/>
          <w:shd w:val="clear" w:color="auto" w:fill="FFFFFF"/>
        </w:rPr>
        <w:t>, T. (2018) argue that comparisons between anonymous and non-anonymous feedback is irrelevant and their study showed that both assessment styles were of a similar quality.</w:t>
      </w:r>
      <w:r w:rsidRPr="00A34D69">
        <w:rPr>
          <w:rFonts w:ascii="Times New Roman" w:hAnsi="Times New Roman" w:cs="Times New Roman"/>
          <w:color w:val="333333"/>
          <w:sz w:val="24"/>
          <w:szCs w:val="24"/>
          <w:shd w:val="clear" w:color="auto" w:fill="FCFCFC"/>
        </w:rPr>
        <w:t xml:space="preserve">  In contrast </w:t>
      </w:r>
      <w:proofErr w:type="gramStart"/>
      <w:r w:rsidRPr="00A34D69">
        <w:rPr>
          <w:rFonts w:ascii="Times New Roman" w:hAnsi="Times New Roman" w:cs="Times New Roman"/>
          <w:color w:val="333333"/>
          <w:sz w:val="24"/>
          <w:szCs w:val="24"/>
          <w:shd w:val="clear" w:color="auto" w:fill="FCFCFC"/>
        </w:rPr>
        <w:t>Hwang,  Hung</w:t>
      </w:r>
      <w:proofErr w:type="gramEnd"/>
      <w:r w:rsidRPr="00A34D69">
        <w:rPr>
          <w:rFonts w:ascii="Times New Roman" w:hAnsi="Times New Roman" w:cs="Times New Roman"/>
          <w:color w:val="333333"/>
          <w:sz w:val="24"/>
          <w:szCs w:val="24"/>
          <w:shd w:val="clear" w:color="auto" w:fill="FCFCFC"/>
        </w:rPr>
        <w:t xml:space="preserve">, CM. &amp; Chen (2014) </w:t>
      </w:r>
      <w:r w:rsidRPr="00A34D69">
        <w:rPr>
          <w:rFonts w:ascii="Times New Roman" w:hAnsi="Times New Roman" w:cs="Times New Roman"/>
          <w:color w:val="333333"/>
          <w:sz w:val="24"/>
          <w:szCs w:val="24"/>
          <w:shd w:val="clear" w:color="auto" w:fill="FCFCFC"/>
        </w:rPr>
        <w:lastRenderedPageBreak/>
        <w:t>suggests that students who participated in game based assessment strategies promoted students’ motivation, creativity and reflective learning which encouraged learners to ask more open ended questions.</w:t>
      </w:r>
    </w:p>
    <w:p w14:paraId="7C0C4007"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7D0144E0" w14:textId="77777777" w:rsid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sidRPr="00A34D69">
        <w:rPr>
          <w:rFonts w:ascii="Times New Roman" w:hAnsi="Times New Roman" w:cs="Times New Roman"/>
          <w:color w:val="3A3A3A"/>
          <w:sz w:val="24"/>
          <w:szCs w:val="24"/>
          <w:shd w:val="clear" w:color="auto" w:fill="FFFFFF"/>
        </w:rPr>
        <w:t>However, according to Rahmah,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xml:space="preserve"> (2019) some students who are put into this position will not feel comfortable using some tools such as gamification applications because it can highlight incapabilities with using the tools, therefore Tenenbaum, </w:t>
      </w:r>
      <w:r w:rsidRPr="00A34D69">
        <w:rPr>
          <w:rFonts w:ascii="Times New Roman" w:hAnsi="Times New Roman" w:cs="Times New Roman"/>
          <w:i/>
          <w:iCs/>
          <w:color w:val="3A3A3A"/>
          <w:sz w:val="24"/>
          <w:szCs w:val="24"/>
          <w:shd w:val="clear" w:color="auto" w:fill="FFFFFF"/>
        </w:rPr>
        <w:t>et al.</w:t>
      </w:r>
      <w:r w:rsidRPr="00A34D69">
        <w:rPr>
          <w:rFonts w:ascii="Times New Roman" w:hAnsi="Times New Roman" w:cs="Times New Roman"/>
          <w:color w:val="3A3A3A"/>
          <w:sz w:val="24"/>
          <w:szCs w:val="24"/>
          <w:shd w:val="clear" w:color="auto" w:fill="FFFFFF"/>
        </w:rPr>
        <w:t> (2014) suggests peer mentoring which will incorporate the strengths of experienced digital users, thus increasing learning experiences for all participants whilst providing an opportunity to widen their skills even further giving students the opportunity of becoming the educator.</w:t>
      </w:r>
    </w:p>
    <w:p w14:paraId="424509AC" w14:textId="77777777" w:rsid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6C558054" w14:textId="05704418"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To conclude, Poon Teng </w:t>
      </w:r>
      <w:proofErr w:type="spellStart"/>
      <w:r>
        <w:rPr>
          <w:rFonts w:ascii="Times New Roman" w:hAnsi="Times New Roman" w:cs="Times New Roman"/>
          <w:color w:val="3A3A3A"/>
          <w:sz w:val="24"/>
          <w:szCs w:val="24"/>
          <w:shd w:val="clear" w:color="auto" w:fill="FFFFFF"/>
        </w:rPr>
        <w:t>Fatt</w:t>
      </w:r>
      <w:proofErr w:type="spellEnd"/>
      <w:r>
        <w:rPr>
          <w:rFonts w:ascii="Times New Roman" w:hAnsi="Times New Roman" w:cs="Times New Roman"/>
          <w:color w:val="3A3A3A"/>
          <w:sz w:val="24"/>
          <w:szCs w:val="24"/>
          <w:shd w:val="clear" w:color="auto" w:fill="FFFFFF"/>
        </w:rPr>
        <w:t xml:space="preserve"> (2000) states that teachers should work to understand their students in order to adapt their teaching strategies and implement learning tools to suit their students’ learning styles.</w:t>
      </w:r>
    </w:p>
    <w:p w14:paraId="34BC3ACA"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34282323" w14:textId="77777777" w:rsidR="00A34D69" w:rsidRPr="00A34D69" w:rsidRDefault="00A34D69" w:rsidP="00A34D69">
      <w:pPr>
        <w:shd w:val="clear" w:color="auto" w:fill="FFFFFF"/>
        <w:spacing w:after="0" w:line="360" w:lineRule="auto"/>
        <w:jc w:val="both"/>
        <w:rPr>
          <w:rFonts w:ascii="Times New Roman" w:hAnsi="Times New Roman" w:cs="Times New Roman"/>
          <w:color w:val="3A3A3A"/>
          <w:sz w:val="24"/>
          <w:szCs w:val="24"/>
          <w:shd w:val="clear" w:color="auto" w:fill="FFFFFF"/>
        </w:rPr>
      </w:pPr>
    </w:p>
    <w:p w14:paraId="02D8C1B2" w14:textId="77777777" w:rsidR="00A34D69" w:rsidRP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508B842F" w14:textId="77777777" w:rsidR="00A34D69" w:rsidRP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135AD399"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 xml:space="preserve"> </w:t>
      </w:r>
    </w:p>
    <w:p w14:paraId="1AE37CCF"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0F383C35"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3CB5D024"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3BC7D9DF"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396C664D"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48EA8CD2"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6CA4B09B"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0815D884"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6C069AE5"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15F7451A" w14:textId="77777777" w:rsid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63DD8320" w14:textId="77777777" w:rsidR="00A34D69" w:rsidRPr="00A34D69" w:rsidRDefault="00A34D69" w:rsidP="00A34D69">
      <w:pPr>
        <w:shd w:val="clear" w:color="auto" w:fill="FFFFFF"/>
        <w:spacing w:after="0" w:line="360" w:lineRule="auto"/>
        <w:jc w:val="both"/>
        <w:rPr>
          <w:rFonts w:ascii="Source Sans Pro" w:hAnsi="Source Sans Pro"/>
          <w:color w:val="3A3A3A"/>
          <w:sz w:val="24"/>
          <w:szCs w:val="24"/>
          <w:shd w:val="clear" w:color="auto" w:fill="FFFFFF"/>
        </w:rPr>
      </w:pPr>
    </w:p>
    <w:p w14:paraId="068E4838" w14:textId="1E745ADE" w:rsidR="00A34D69" w:rsidRPr="00A34D69" w:rsidRDefault="00A34D69" w:rsidP="00A34D69">
      <w:pPr>
        <w:tabs>
          <w:tab w:val="left" w:pos="6600"/>
        </w:tabs>
        <w:spacing w:line="360" w:lineRule="auto"/>
        <w:jc w:val="both"/>
        <w:rPr>
          <w:sz w:val="24"/>
          <w:szCs w:val="24"/>
        </w:rPr>
      </w:pPr>
    </w:p>
    <w:p w14:paraId="458A3120" w14:textId="6633A273" w:rsidR="00A34D69" w:rsidRPr="00A34D69" w:rsidRDefault="00A34D69" w:rsidP="00A34D69">
      <w:pPr>
        <w:tabs>
          <w:tab w:val="left" w:pos="6600"/>
        </w:tabs>
        <w:spacing w:line="360" w:lineRule="auto"/>
        <w:jc w:val="both"/>
        <w:rPr>
          <w:b/>
          <w:bCs/>
          <w:sz w:val="24"/>
          <w:szCs w:val="24"/>
        </w:rPr>
      </w:pPr>
      <w:r w:rsidRPr="00A34D69">
        <w:rPr>
          <w:b/>
          <w:bCs/>
          <w:sz w:val="24"/>
          <w:szCs w:val="24"/>
        </w:rPr>
        <w:t>Selection and Justification of appropriate teaching tool(s)/resources</w:t>
      </w:r>
    </w:p>
    <w:p w14:paraId="35844CE9" w14:textId="55C1FC84" w:rsidR="00A34D69" w:rsidRPr="00A34D69" w:rsidRDefault="00A34D69" w:rsidP="00A34D69">
      <w:pPr>
        <w:tabs>
          <w:tab w:val="left" w:pos="6600"/>
        </w:tabs>
        <w:spacing w:line="360" w:lineRule="auto"/>
        <w:jc w:val="both"/>
        <w:rPr>
          <w:sz w:val="24"/>
          <w:szCs w:val="24"/>
        </w:rPr>
      </w:pPr>
      <w:r w:rsidRPr="00A34D69">
        <w:rPr>
          <w:sz w:val="24"/>
          <w:szCs w:val="24"/>
        </w:rPr>
        <w:t xml:space="preserve">Microsoft Teams is a </w:t>
      </w:r>
      <w:proofErr w:type="spellStart"/>
      <w:proofErr w:type="gramStart"/>
      <w:r w:rsidRPr="00A34D69">
        <w:rPr>
          <w:sz w:val="24"/>
          <w:szCs w:val="24"/>
        </w:rPr>
        <w:t>well known</w:t>
      </w:r>
      <w:proofErr w:type="spellEnd"/>
      <w:proofErr w:type="gramEnd"/>
      <w:r w:rsidRPr="00A34D69">
        <w:rPr>
          <w:sz w:val="24"/>
          <w:szCs w:val="24"/>
        </w:rPr>
        <w:t xml:space="preserve"> communication tool which is use widely in workplace settings as well as educational establishments and is therefore an appropriate tool to enable teacher and students to deliver and access face to face connections.</w:t>
      </w:r>
    </w:p>
    <w:p w14:paraId="2EA9C578" w14:textId="77777777" w:rsidR="00A34D69" w:rsidRPr="00A34D69" w:rsidRDefault="00A34D69" w:rsidP="00A34D69">
      <w:pPr>
        <w:tabs>
          <w:tab w:val="left" w:pos="6600"/>
        </w:tabs>
        <w:spacing w:line="360" w:lineRule="auto"/>
        <w:jc w:val="both"/>
        <w:rPr>
          <w:rStyle w:val="react-xocs-alternative-link"/>
          <w:sz w:val="24"/>
          <w:szCs w:val="24"/>
        </w:rPr>
      </w:pPr>
      <w:r w:rsidRPr="00A34D69">
        <w:rPr>
          <w:sz w:val="24"/>
          <w:szCs w:val="24"/>
        </w:rPr>
        <w:t xml:space="preserve">From a lecturer’s point of view, </w:t>
      </w:r>
      <w:proofErr w:type="spellStart"/>
      <w:r w:rsidRPr="00A34D69">
        <w:rPr>
          <w:sz w:val="24"/>
          <w:szCs w:val="24"/>
        </w:rPr>
        <w:t>Microstoft</w:t>
      </w:r>
      <w:proofErr w:type="spellEnd"/>
      <w:r w:rsidRPr="00A34D69">
        <w:rPr>
          <w:sz w:val="24"/>
          <w:szCs w:val="24"/>
        </w:rPr>
        <w:t xml:space="preserve"> teams provides a platform which enables lecturers to share documents with their class whilst still being able to interact with the students and according to </w:t>
      </w:r>
      <w:proofErr w:type="spellStart"/>
      <w:r w:rsidRPr="00A34D69">
        <w:rPr>
          <w:rFonts w:ascii="Source Sans Pro" w:hAnsi="Source Sans Pro"/>
          <w:color w:val="3A3A3A"/>
          <w:sz w:val="24"/>
          <w:szCs w:val="24"/>
          <w:shd w:val="clear" w:color="auto" w:fill="FFFFFF"/>
        </w:rPr>
        <w:t>Hagenauer</w:t>
      </w:r>
      <w:proofErr w:type="spellEnd"/>
      <w:r w:rsidRPr="00A34D69">
        <w:rPr>
          <w:rFonts w:ascii="Source Sans Pro" w:hAnsi="Source Sans Pro"/>
          <w:color w:val="3A3A3A"/>
          <w:sz w:val="24"/>
          <w:szCs w:val="24"/>
          <w:shd w:val="clear" w:color="auto" w:fill="FFFFFF"/>
        </w:rPr>
        <w:t xml:space="preserve"> and Volet, (2014) when lecturers interact with students it can build positive relationships and in turn students are more likely to feel comfortable enough to ask for academic support.  </w:t>
      </w:r>
      <w:proofErr w:type="gramStart"/>
      <w:r w:rsidRPr="00A34D69">
        <w:rPr>
          <w:rFonts w:ascii="Source Sans Pro" w:hAnsi="Source Sans Pro"/>
          <w:color w:val="3A3A3A"/>
          <w:sz w:val="24"/>
          <w:szCs w:val="24"/>
          <w:shd w:val="clear" w:color="auto" w:fill="FFFFFF"/>
        </w:rPr>
        <w:t xml:space="preserve">Similarly,  </w:t>
      </w:r>
      <w:proofErr w:type="spellStart"/>
      <w:r w:rsidRPr="00A34D69">
        <w:rPr>
          <w:rStyle w:val="text"/>
          <w:sz w:val="24"/>
          <w:szCs w:val="24"/>
        </w:rPr>
        <w:t>Gikandi</w:t>
      </w:r>
      <w:proofErr w:type="spellEnd"/>
      <w:proofErr w:type="gramEnd"/>
      <w:r w:rsidRPr="00A34D69">
        <w:rPr>
          <w:rStyle w:val="given-name"/>
          <w:sz w:val="24"/>
          <w:szCs w:val="24"/>
        </w:rPr>
        <w:t>,</w:t>
      </w:r>
      <w:r w:rsidRPr="00A34D69">
        <w:rPr>
          <w:rStyle w:val="react-xocs-alternative-link"/>
          <w:sz w:val="24"/>
          <w:szCs w:val="24"/>
        </w:rPr>
        <w:t> </w:t>
      </w:r>
      <w:r w:rsidRPr="00A34D69">
        <w:rPr>
          <w:rStyle w:val="text"/>
          <w:sz w:val="24"/>
          <w:szCs w:val="24"/>
        </w:rPr>
        <w:t>Morrow</w:t>
      </w:r>
      <w:r w:rsidRPr="00A34D69">
        <w:rPr>
          <w:rStyle w:val="react-xocs-alternative-link"/>
          <w:sz w:val="24"/>
          <w:szCs w:val="24"/>
        </w:rPr>
        <w:t xml:space="preserve"> &amp; </w:t>
      </w:r>
      <w:r w:rsidRPr="00A34D69">
        <w:rPr>
          <w:rStyle w:val="text"/>
          <w:sz w:val="24"/>
          <w:szCs w:val="24"/>
        </w:rPr>
        <w:t>Davis</w:t>
      </w:r>
      <w:r w:rsidRPr="00A34D69">
        <w:rPr>
          <w:rStyle w:val="react-xocs-alternative-link"/>
          <w:sz w:val="24"/>
          <w:szCs w:val="24"/>
        </w:rPr>
        <w:t xml:space="preserve"> (2011) states that students are more likely to take responsibility for their own learning when positive teacher/student relationships have developed. </w:t>
      </w:r>
      <w:r w:rsidRPr="00A34D69">
        <w:rPr>
          <w:rFonts w:ascii="Source Sans Pro" w:hAnsi="Source Sans Pro"/>
          <w:color w:val="3A3A3A"/>
          <w:sz w:val="24"/>
          <w:szCs w:val="24"/>
          <w:shd w:val="clear" w:color="auto" w:fill="FFFFFF"/>
        </w:rPr>
        <w:t>Wang,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(2014)</w:t>
      </w:r>
      <w:r w:rsidRPr="00A34D69">
        <w:rPr>
          <w:rStyle w:val="react-xocs-alternative-link"/>
          <w:sz w:val="24"/>
          <w:szCs w:val="24"/>
        </w:rPr>
        <w:t xml:space="preserve"> states that rather than replacing teaching strategies which are already in place, online platforms are useful to enhance the pedagogy and support students to access information both inside and outside the classroom. </w:t>
      </w:r>
    </w:p>
    <w:p w14:paraId="64DAC7C7" w14:textId="77601547" w:rsidR="00A34D69" w:rsidRPr="00A34D69" w:rsidRDefault="00A34D69" w:rsidP="00A34D69">
      <w:pPr>
        <w:tabs>
          <w:tab w:val="left" w:pos="6600"/>
        </w:tabs>
        <w:spacing w:line="360" w:lineRule="auto"/>
        <w:jc w:val="both"/>
        <w:rPr>
          <w:rStyle w:val="react-xocs-alternative-link"/>
          <w:sz w:val="24"/>
          <w:szCs w:val="24"/>
        </w:rPr>
      </w:pPr>
      <w:r w:rsidRPr="00A34D69">
        <w:rPr>
          <w:rStyle w:val="react-xocs-alternative-link"/>
          <w:sz w:val="24"/>
          <w:szCs w:val="24"/>
        </w:rPr>
        <w:t xml:space="preserve">Microsoft teams can offer an online based lesson to enable students to access learning remotely and the lectures can </w:t>
      </w:r>
      <w:proofErr w:type="spellStart"/>
      <w:r w:rsidRPr="00A34D69">
        <w:rPr>
          <w:rStyle w:val="react-xocs-alternative-link"/>
          <w:sz w:val="24"/>
          <w:szCs w:val="24"/>
        </w:rPr>
        <w:t>the</w:t>
      </w:r>
      <w:proofErr w:type="spellEnd"/>
      <w:r w:rsidRPr="00A34D69">
        <w:rPr>
          <w:rStyle w:val="react-xocs-alternative-link"/>
          <w:sz w:val="24"/>
          <w:szCs w:val="24"/>
        </w:rPr>
        <w:t xml:space="preserve"> be recorded and used to allow students to recap on the lectures at a suitable time, offering flexibility to the learners according to </w:t>
      </w:r>
      <w:r w:rsidRPr="00A34D69">
        <w:rPr>
          <w:rFonts w:ascii="Source Sans Pro" w:hAnsi="Source Sans Pro"/>
          <w:color w:val="3A3A3A"/>
          <w:sz w:val="24"/>
          <w:szCs w:val="24"/>
          <w:shd w:val="clear" w:color="auto" w:fill="FFFFFF"/>
        </w:rPr>
        <w:t>O’Callaghan,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(2017)</w:t>
      </w:r>
    </w:p>
    <w:p w14:paraId="627C85EB" w14:textId="59BF5631" w:rsidR="00A34D69" w:rsidRPr="00A34D69" w:rsidRDefault="00A34D69" w:rsidP="00A34D69">
      <w:pPr>
        <w:tabs>
          <w:tab w:val="left" w:pos="6600"/>
        </w:tabs>
        <w:spacing w:line="360" w:lineRule="auto"/>
        <w:jc w:val="both"/>
        <w:rPr>
          <w:rStyle w:val="react-xocs-alternative-link"/>
          <w:sz w:val="24"/>
          <w:szCs w:val="24"/>
        </w:rPr>
      </w:pPr>
      <w:r w:rsidRPr="00A34D69">
        <w:rPr>
          <w:rStyle w:val="react-xocs-alternative-link"/>
          <w:sz w:val="24"/>
          <w:szCs w:val="24"/>
        </w:rPr>
        <w:t xml:space="preserve">Research suggests that students do access recorded lessons and they have a positive impact on student outcomes, however, lecturers are reporting that although they recognize that there are benefits to lecture recordings, they do notice a reduction in attendance when face to face lessons are also being recorded </w:t>
      </w:r>
      <w:proofErr w:type="gramStart"/>
      <w:r w:rsidRPr="00A34D69">
        <w:rPr>
          <w:rFonts w:ascii="Source Sans Pro" w:hAnsi="Source Sans Pro"/>
          <w:color w:val="3A3A3A"/>
          <w:sz w:val="24"/>
          <w:szCs w:val="24"/>
          <w:shd w:val="clear" w:color="auto" w:fill="FFFFFF"/>
        </w:rPr>
        <w:t>O’Callaghan,  </w:t>
      </w:r>
      <w:r w:rsidRPr="00A34D69">
        <w:rPr>
          <w:rFonts w:ascii="Source Sans Pro" w:hAnsi="Source Sans Pro"/>
          <w:i/>
          <w:iCs/>
          <w:color w:val="3A3A3A"/>
          <w:sz w:val="24"/>
          <w:szCs w:val="24"/>
          <w:shd w:val="clear" w:color="auto" w:fill="FFFFFF"/>
        </w:rPr>
        <w:t>et al.</w:t>
      </w:r>
      <w:proofErr w:type="gramEnd"/>
      <w:r w:rsidRPr="00A34D69">
        <w:rPr>
          <w:rFonts w:ascii="Source Sans Pro" w:hAnsi="Source Sans Pro"/>
          <w:color w:val="3A3A3A"/>
          <w:sz w:val="24"/>
          <w:szCs w:val="24"/>
          <w:shd w:val="clear" w:color="auto" w:fill="FFFFFF"/>
        </w:rPr>
        <w:t>  (2017)</w:t>
      </w:r>
    </w:p>
    <w:p w14:paraId="77C44D13" w14:textId="1126C63C" w:rsidR="00A34D69" w:rsidRPr="00A34D69" w:rsidRDefault="00A34D69" w:rsidP="00A34D69">
      <w:pPr>
        <w:tabs>
          <w:tab w:val="left" w:pos="6600"/>
        </w:tabs>
        <w:spacing w:line="360" w:lineRule="auto"/>
        <w:jc w:val="both"/>
        <w:rPr>
          <w:rStyle w:val="react-xocs-alternative-link"/>
          <w:sz w:val="24"/>
          <w:szCs w:val="24"/>
        </w:rPr>
      </w:pPr>
      <w:r w:rsidRPr="00A34D69">
        <w:rPr>
          <w:rStyle w:val="react-xocs-alternative-link"/>
          <w:sz w:val="24"/>
          <w:szCs w:val="24"/>
        </w:rPr>
        <w:t xml:space="preserve">The tool also offers the lecturer to share documents and content with the class, even content from third parties, thus providing students with literature and references for their own research to enable students to engage in academic writing and literature reviews in order to develop knowledge according to </w:t>
      </w:r>
      <w:r w:rsidRPr="00A34D69">
        <w:rPr>
          <w:rFonts w:ascii="Source Sans Pro" w:hAnsi="Source Sans Pro"/>
          <w:color w:val="3A3A3A"/>
          <w:sz w:val="24"/>
          <w:szCs w:val="24"/>
          <w:shd w:val="clear" w:color="auto" w:fill="FFFFFF"/>
        </w:rPr>
        <w:t>Pickering, C.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(2015)</w:t>
      </w:r>
    </w:p>
    <w:p w14:paraId="5F0D472D" w14:textId="3312D73E" w:rsidR="00A34D69" w:rsidRPr="00A34D69" w:rsidRDefault="00A34D69" w:rsidP="00A34D69">
      <w:pPr>
        <w:tabs>
          <w:tab w:val="left" w:pos="6600"/>
        </w:tabs>
        <w:spacing w:line="360" w:lineRule="auto"/>
        <w:jc w:val="both"/>
        <w:rPr>
          <w:rStyle w:val="react-xocs-alternative-link"/>
          <w:sz w:val="24"/>
          <w:szCs w:val="24"/>
        </w:rPr>
      </w:pPr>
      <w:r w:rsidRPr="00A34D69">
        <w:rPr>
          <w:rStyle w:val="react-xocs-alternative-link"/>
          <w:sz w:val="24"/>
          <w:szCs w:val="24"/>
        </w:rPr>
        <w:lastRenderedPageBreak/>
        <w:t>Lectures can create groups with entire classes and also sub groups for discussions and the sharing of group projects that they might be working on as a team creating opportunities for less able students to gain knowledge from stronger students</w:t>
      </w:r>
      <w:r w:rsidRPr="00A34D69">
        <w:rPr>
          <w:rFonts w:ascii="Source Sans Pro" w:hAnsi="Source Sans Pro"/>
          <w:color w:val="3A3A3A"/>
          <w:sz w:val="24"/>
          <w:szCs w:val="24"/>
          <w:shd w:val="clear" w:color="auto" w:fill="FFFFFF"/>
        </w:rPr>
        <w:t xml:space="preserve"> (Coulson &amp; Harvey, 2013)</w:t>
      </w:r>
      <w:r w:rsidRPr="00A34D69">
        <w:rPr>
          <w:rStyle w:val="react-xocs-alternative-link"/>
          <w:sz w:val="24"/>
          <w:szCs w:val="24"/>
        </w:rPr>
        <w:t>.  This theory was originally studied by the phycologist Lev Vygotsky who introduced a concept called The Zone of Proximal Development which explains that a person is capable of reaching a higher level of attainment when provided with the tools from a more knowledgeable person (</w:t>
      </w:r>
      <w:r w:rsidRPr="00A34D69">
        <w:rPr>
          <w:rFonts w:ascii="Source Sans Pro" w:hAnsi="Source Sans Pro"/>
          <w:color w:val="3A3A3A"/>
          <w:sz w:val="24"/>
          <w:szCs w:val="24"/>
          <w:shd w:val="clear" w:color="auto" w:fill="FFFFFF"/>
        </w:rPr>
        <w:t xml:space="preserve">Erbil, 2020). </w:t>
      </w:r>
      <w:r w:rsidRPr="00A34D69">
        <w:rPr>
          <w:rStyle w:val="react-xocs-alternative-link"/>
          <w:sz w:val="24"/>
          <w:szCs w:val="24"/>
        </w:rPr>
        <w:t xml:space="preserve">  However, according to </w:t>
      </w:r>
      <w:r w:rsidRPr="00A34D69">
        <w:rPr>
          <w:rFonts w:ascii="Times New Roman" w:hAnsi="Times New Roman" w:cs="Times New Roman"/>
          <w:color w:val="3A3A3A"/>
          <w:sz w:val="24"/>
          <w:szCs w:val="24"/>
          <w:shd w:val="clear" w:color="auto" w:fill="FFFFFF"/>
        </w:rPr>
        <w:t>Renner, (2018) when several groups have been created it can be difficult for lecturers to ensure that all of the participants are engaging.  Lecturers will also be unaware of confliction if it was to occur within groups.</w:t>
      </w:r>
    </w:p>
    <w:p w14:paraId="6428943A" w14:textId="41AA7680" w:rsidR="00A34D69" w:rsidRPr="00A34D69" w:rsidRDefault="00A34D69" w:rsidP="00A34D69">
      <w:pPr>
        <w:tabs>
          <w:tab w:val="left" w:pos="6600"/>
        </w:tabs>
        <w:spacing w:line="360" w:lineRule="auto"/>
        <w:jc w:val="both"/>
        <w:rPr>
          <w:sz w:val="24"/>
          <w:szCs w:val="24"/>
        </w:rPr>
      </w:pPr>
      <w:r w:rsidRPr="00A34D69">
        <w:rPr>
          <w:rStyle w:val="react-xocs-alternative-link"/>
          <w:sz w:val="24"/>
          <w:szCs w:val="24"/>
        </w:rPr>
        <w:t xml:space="preserve">Microsoft Teams also offers a chat feature which enables students to comment and ask questions which the lecturer can discuss at an appropriate break during the lecture to prevent interruptions, thus enabling the flow of the lecture, whilst also supporting the less vocal students within a class who are not comfortable speaking up in lectures. However, </w:t>
      </w:r>
      <w:proofErr w:type="spellStart"/>
      <w:r w:rsidRPr="00A34D69">
        <w:rPr>
          <w:rStyle w:val="react-xocs-alternative-link"/>
          <w:sz w:val="24"/>
          <w:szCs w:val="24"/>
        </w:rPr>
        <w:t>Kazme</w:t>
      </w:r>
      <w:proofErr w:type="spellEnd"/>
      <w:r w:rsidRPr="00A34D69">
        <w:rPr>
          <w:rStyle w:val="react-xocs-alternative-link"/>
          <w:sz w:val="24"/>
          <w:szCs w:val="24"/>
        </w:rPr>
        <w:t xml:space="preserve"> (2023) states that students who access the chat feature within Microsoft Teams often experience technical issues due to messages taking too long to appear.</w:t>
      </w:r>
    </w:p>
    <w:p w14:paraId="7A917ECE" w14:textId="77777777" w:rsidR="00A34D69" w:rsidRPr="00A34D69" w:rsidRDefault="00A34D69" w:rsidP="00CC743E">
      <w:pPr>
        <w:tabs>
          <w:tab w:val="left" w:pos="6600"/>
        </w:tabs>
        <w:rPr>
          <w:sz w:val="24"/>
          <w:szCs w:val="24"/>
        </w:rPr>
      </w:pPr>
    </w:p>
    <w:p w14:paraId="24464ECC" w14:textId="77777777" w:rsidR="00A34D69" w:rsidRPr="00A34D69" w:rsidRDefault="00A34D69" w:rsidP="00CC743E">
      <w:pPr>
        <w:tabs>
          <w:tab w:val="left" w:pos="6600"/>
        </w:tabs>
        <w:rPr>
          <w:sz w:val="24"/>
          <w:szCs w:val="24"/>
        </w:rPr>
      </w:pPr>
    </w:p>
    <w:p w14:paraId="7DA89B38" w14:textId="77777777" w:rsidR="00A34D69" w:rsidRPr="00A34D69" w:rsidRDefault="00A34D69" w:rsidP="00CC743E">
      <w:pPr>
        <w:tabs>
          <w:tab w:val="left" w:pos="6600"/>
        </w:tabs>
        <w:rPr>
          <w:sz w:val="24"/>
          <w:szCs w:val="24"/>
        </w:rPr>
      </w:pPr>
    </w:p>
    <w:p w14:paraId="646DD79C" w14:textId="77777777" w:rsidR="00A34D69" w:rsidRPr="00A34D69" w:rsidRDefault="00A34D69" w:rsidP="00CC743E">
      <w:pPr>
        <w:tabs>
          <w:tab w:val="left" w:pos="6600"/>
        </w:tabs>
        <w:rPr>
          <w:sz w:val="24"/>
          <w:szCs w:val="24"/>
        </w:rPr>
      </w:pPr>
    </w:p>
    <w:p w14:paraId="3861B4C3" w14:textId="77777777" w:rsidR="00A34D69" w:rsidRPr="00A34D69" w:rsidRDefault="00A34D69" w:rsidP="00CC743E">
      <w:pPr>
        <w:tabs>
          <w:tab w:val="left" w:pos="6600"/>
        </w:tabs>
        <w:rPr>
          <w:sz w:val="24"/>
          <w:szCs w:val="24"/>
        </w:rPr>
      </w:pPr>
    </w:p>
    <w:p w14:paraId="6C1D12B7" w14:textId="77777777" w:rsidR="00A34D69" w:rsidRPr="00A34D69" w:rsidRDefault="00A34D69" w:rsidP="00CC743E">
      <w:pPr>
        <w:tabs>
          <w:tab w:val="left" w:pos="6600"/>
        </w:tabs>
        <w:rPr>
          <w:sz w:val="24"/>
          <w:szCs w:val="24"/>
        </w:rPr>
      </w:pPr>
    </w:p>
    <w:p w14:paraId="6E8178A7" w14:textId="77777777" w:rsidR="00A34D69" w:rsidRPr="00A34D69" w:rsidRDefault="00A34D69" w:rsidP="00CC743E">
      <w:pPr>
        <w:tabs>
          <w:tab w:val="left" w:pos="6600"/>
        </w:tabs>
        <w:rPr>
          <w:sz w:val="24"/>
          <w:szCs w:val="24"/>
        </w:rPr>
      </w:pPr>
    </w:p>
    <w:p w14:paraId="7B39242D" w14:textId="77777777" w:rsidR="00A34D69" w:rsidRPr="00A34D69" w:rsidRDefault="00A34D69" w:rsidP="00CC743E">
      <w:pPr>
        <w:tabs>
          <w:tab w:val="left" w:pos="6600"/>
        </w:tabs>
        <w:rPr>
          <w:sz w:val="24"/>
          <w:szCs w:val="24"/>
        </w:rPr>
      </w:pPr>
    </w:p>
    <w:p w14:paraId="29DF4963" w14:textId="77777777" w:rsidR="00A34D69" w:rsidRPr="00A34D69" w:rsidRDefault="00A34D69" w:rsidP="00CC743E">
      <w:pPr>
        <w:tabs>
          <w:tab w:val="left" w:pos="6600"/>
        </w:tabs>
        <w:rPr>
          <w:sz w:val="24"/>
          <w:szCs w:val="24"/>
        </w:rPr>
      </w:pPr>
    </w:p>
    <w:p w14:paraId="3D6FD6C8" w14:textId="77777777" w:rsidR="00A34D69" w:rsidRPr="00A34D69" w:rsidRDefault="00A34D69" w:rsidP="00CC743E">
      <w:pPr>
        <w:tabs>
          <w:tab w:val="left" w:pos="6600"/>
        </w:tabs>
        <w:rPr>
          <w:sz w:val="24"/>
          <w:szCs w:val="24"/>
        </w:rPr>
      </w:pPr>
    </w:p>
    <w:p w14:paraId="49880DC3" w14:textId="77777777" w:rsidR="00A34D69" w:rsidRPr="00A34D69" w:rsidRDefault="00A34D69" w:rsidP="00CC743E">
      <w:pPr>
        <w:tabs>
          <w:tab w:val="left" w:pos="6600"/>
        </w:tabs>
        <w:rPr>
          <w:sz w:val="24"/>
          <w:szCs w:val="24"/>
        </w:rPr>
      </w:pPr>
    </w:p>
    <w:p w14:paraId="17AC2DB7" w14:textId="77777777" w:rsidR="00A34D69" w:rsidRPr="00A34D69" w:rsidRDefault="00A34D69" w:rsidP="00CC743E">
      <w:pPr>
        <w:tabs>
          <w:tab w:val="left" w:pos="6600"/>
        </w:tabs>
        <w:rPr>
          <w:sz w:val="24"/>
          <w:szCs w:val="24"/>
        </w:rPr>
      </w:pPr>
    </w:p>
    <w:p w14:paraId="0B083E87" w14:textId="77777777" w:rsidR="00A34D69" w:rsidRPr="00A34D69" w:rsidRDefault="00A34D69" w:rsidP="00CC743E">
      <w:pPr>
        <w:tabs>
          <w:tab w:val="left" w:pos="6600"/>
        </w:tabs>
        <w:rPr>
          <w:sz w:val="24"/>
          <w:szCs w:val="24"/>
        </w:rPr>
      </w:pPr>
    </w:p>
    <w:p w14:paraId="507EF265" w14:textId="77777777" w:rsidR="00A34D69" w:rsidRPr="009837D8" w:rsidRDefault="00A34D69" w:rsidP="00A34D69">
      <w:pPr>
        <w:spacing w:after="0" w:line="240" w:lineRule="auto"/>
        <w:rPr>
          <w:rFonts w:ascii="Times New Roman" w:eastAsia="Times New Roman" w:hAnsi="Times New Roman" w:cs="Times New Roman"/>
          <w:sz w:val="24"/>
          <w:szCs w:val="24"/>
        </w:rPr>
      </w:pPr>
    </w:p>
    <w:p w14:paraId="3125EF86" w14:textId="77777777" w:rsidR="00A34D69" w:rsidRPr="009837D8" w:rsidRDefault="00A34D69" w:rsidP="00A34D69">
      <w:pPr>
        <w:spacing w:after="0" w:line="240" w:lineRule="auto"/>
        <w:jc w:val="center"/>
        <w:rPr>
          <w:rFonts w:ascii="Times New Roman" w:eastAsia="Times New Roman" w:hAnsi="Times New Roman" w:cs="Times New Roman"/>
          <w:sz w:val="24"/>
          <w:szCs w:val="24"/>
        </w:rPr>
      </w:pPr>
      <w:r w:rsidRPr="00A34D69">
        <w:rPr>
          <w:noProof/>
          <w:sz w:val="24"/>
          <w:szCs w:val="24"/>
        </w:rPr>
        <w:drawing>
          <wp:inline distT="0" distB="0" distL="0" distR="0" wp14:anchorId="546E9157" wp14:editId="30CA9BFC">
            <wp:extent cx="2028825" cy="809625"/>
            <wp:effectExtent l="0" t="0" r="9525" b="9525"/>
            <wp:docPr id="50797096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r w:rsidRPr="009837D8">
        <w:rPr>
          <w:rFonts w:ascii="Calibri" w:eastAsia="Times New Roman" w:hAnsi="Calibri" w:cs="Calibri"/>
          <w:color w:val="000000"/>
          <w:sz w:val="24"/>
          <w:szCs w:val="24"/>
        </w:rPr>
        <w:t> </w:t>
      </w:r>
    </w:p>
    <w:p w14:paraId="1762B190" w14:textId="77777777" w:rsidR="00A34D69" w:rsidRPr="009837D8" w:rsidRDefault="00A34D69" w:rsidP="00A34D69">
      <w:pPr>
        <w:spacing w:after="0" w:line="240" w:lineRule="auto"/>
        <w:jc w:val="center"/>
        <w:rPr>
          <w:rFonts w:ascii="Times New Roman" w:eastAsia="Times New Roman" w:hAnsi="Times New Roman" w:cs="Times New Roman"/>
          <w:sz w:val="24"/>
          <w:szCs w:val="24"/>
        </w:rPr>
      </w:pPr>
      <w:r w:rsidRPr="009837D8">
        <w:rPr>
          <w:rFonts w:ascii="Times New Roman" w:eastAsia="Times New Roman" w:hAnsi="Times New Roman" w:cs="Times New Roman"/>
          <w:b/>
          <w:bCs/>
          <w:color w:val="000000"/>
          <w:sz w:val="24"/>
          <w:szCs w:val="24"/>
        </w:rPr>
        <w:t> </w:t>
      </w:r>
    </w:p>
    <w:p w14:paraId="40429889" w14:textId="77777777"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Calibri" w:eastAsia="Times New Roman" w:hAnsi="Calibri" w:cs="Calibri"/>
          <w:b/>
          <w:bCs/>
          <w:color w:val="000000"/>
          <w:sz w:val="24"/>
          <w:szCs w:val="24"/>
        </w:rPr>
        <w:t>                                                  </w:t>
      </w:r>
    </w:p>
    <w:p w14:paraId="55E29496" w14:textId="77777777" w:rsidR="00A34D69" w:rsidRPr="009837D8" w:rsidRDefault="00A34D69" w:rsidP="00A34D69">
      <w:pPr>
        <w:spacing w:after="0" w:line="240" w:lineRule="auto"/>
        <w:jc w:val="center"/>
        <w:rPr>
          <w:rFonts w:ascii="Times New Roman" w:eastAsia="Times New Roman" w:hAnsi="Times New Roman" w:cs="Times New Roman"/>
          <w:sz w:val="24"/>
          <w:szCs w:val="24"/>
        </w:rPr>
      </w:pPr>
      <w:r w:rsidRPr="009837D8">
        <w:rPr>
          <w:rFonts w:ascii="Calibri" w:eastAsia="Times New Roman" w:hAnsi="Calibri" w:cs="Calibri"/>
          <w:b/>
          <w:bCs/>
          <w:color w:val="000000"/>
          <w:sz w:val="24"/>
          <w:szCs w:val="24"/>
        </w:rPr>
        <w:t>Lesson Plan </w:t>
      </w:r>
    </w:p>
    <w:p w14:paraId="706B3002" w14:textId="77777777"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Calibri" w:eastAsia="Times New Roman" w:hAnsi="Calibri" w:cs="Calibri"/>
          <w:b/>
          <w:bCs/>
          <w:color w:val="000000"/>
          <w:sz w:val="24"/>
          <w:szCs w:val="24"/>
        </w:rPr>
        <w:t> </w:t>
      </w:r>
    </w:p>
    <w:tbl>
      <w:tblPr>
        <w:tblW w:w="0" w:type="auto"/>
        <w:tblCellMar>
          <w:top w:w="15" w:type="dxa"/>
          <w:left w:w="15" w:type="dxa"/>
          <w:bottom w:w="15" w:type="dxa"/>
          <w:right w:w="15" w:type="dxa"/>
        </w:tblCellMar>
        <w:tblLook w:val="04A0" w:firstRow="1" w:lastRow="0" w:firstColumn="1" w:lastColumn="0" w:noHBand="0" w:noVBand="1"/>
      </w:tblPr>
      <w:tblGrid>
        <w:gridCol w:w="4302"/>
        <w:gridCol w:w="1113"/>
        <w:gridCol w:w="1112"/>
        <w:gridCol w:w="2863"/>
      </w:tblGrid>
      <w:tr w:rsidR="00A34D69" w:rsidRPr="00A34D69" w14:paraId="36C40B7A" w14:textId="77777777" w:rsidTr="00E062B7">
        <w:tc>
          <w:tcPr>
            <w:tcW w:w="0" w:type="auto"/>
            <w:gridSpan w:val="2"/>
            <w:tcBorders>
              <w:top w:val="single" w:sz="6" w:space="0" w:color="000000"/>
              <w:left w:val="single" w:sz="6" w:space="0" w:color="000000"/>
              <w:bottom w:val="single" w:sz="6" w:space="0" w:color="000000"/>
              <w:right w:val="single" w:sz="6" w:space="0" w:color="000000"/>
            </w:tcBorders>
            <w:hideMark/>
          </w:tcPr>
          <w:p w14:paraId="5B1D9DA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Topic:</w:t>
            </w:r>
            <w:r w:rsidRPr="009837D8">
              <w:rPr>
                <w:rFonts w:ascii="Arial" w:eastAsia="Times New Roman" w:hAnsi="Arial" w:cs="Arial"/>
                <w:color w:val="000000"/>
                <w:sz w:val="24"/>
                <w:szCs w:val="24"/>
              </w:rPr>
              <w:t xml:space="preserve"> </w:t>
            </w:r>
            <w:r w:rsidRPr="00A34D69">
              <w:rPr>
                <w:rFonts w:ascii="Arial" w:eastAsia="Times New Roman" w:hAnsi="Arial" w:cs="Arial"/>
                <w:color w:val="000000"/>
                <w:sz w:val="24"/>
                <w:szCs w:val="24"/>
              </w:rPr>
              <w:t>Teaching children the basic rules of a game of rounders.</w:t>
            </w:r>
            <w:r w:rsidRPr="009837D8">
              <w:rPr>
                <w:rFonts w:ascii="Arial" w:eastAsia="Times New Roman" w:hAnsi="Arial" w:cs="Arial"/>
                <w:color w:val="000000"/>
                <w:sz w:val="24"/>
                <w:szCs w:val="24"/>
              </w:rPr>
              <w:t> </w:t>
            </w:r>
          </w:p>
        </w:tc>
        <w:tc>
          <w:tcPr>
            <w:tcW w:w="0" w:type="auto"/>
            <w:gridSpan w:val="2"/>
            <w:tcBorders>
              <w:top w:val="single" w:sz="6" w:space="0" w:color="000000"/>
              <w:left w:val="single" w:sz="6" w:space="0" w:color="000000"/>
              <w:bottom w:val="single" w:sz="6" w:space="0" w:color="000000"/>
              <w:right w:val="single" w:sz="6" w:space="0" w:color="000000"/>
            </w:tcBorders>
            <w:hideMark/>
          </w:tcPr>
          <w:p w14:paraId="1A371E37"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Class: </w:t>
            </w:r>
            <w:r w:rsidRPr="00A34D69">
              <w:rPr>
                <w:rFonts w:ascii="Arial" w:eastAsia="Times New Roman" w:hAnsi="Arial" w:cs="Arial"/>
                <w:color w:val="000000"/>
                <w:sz w:val="24"/>
                <w:szCs w:val="24"/>
              </w:rPr>
              <w:t>Rounders coaching students</w:t>
            </w:r>
            <w:r w:rsidRPr="009837D8">
              <w:rPr>
                <w:rFonts w:ascii="Arial" w:eastAsia="Times New Roman" w:hAnsi="Arial" w:cs="Arial"/>
                <w:color w:val="000000"/>
                <w:sz w:val="24"/>
                <w:szCs w:val="24"/>
              </w:rPr>
              <w:t> </w:t>
            </w:r>
          </w:p>
          <w:p w14:paraId="4F8EDD13"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A34D69" w14:paraId="3AB26E42" w14:textId="77777777" w:rsidTr="00E062B7">
        <w:tc>
          <w:tcPr>
            <w:tcW w:w="0" w:type="auto"/>
            <w:tcBorders>
              <w:top w:val="single" w:sz="6" w:space="0" w:color="000000"/>
              <w:left w:val="single" w:sz="6" w:space="0" w:color="000000"/>
              <w:bottom w:val="single" w:sz="6" w:space="0" w:color="000000"/>
              <w:right w:val="single" w:sz="6" w:space="0" w:color="000000"/>
            </w:tcBorders>
            <w:hideMark/>
          </w:tcPr>
          <w:p w14:paraId="19F91E8A"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Date:</w:t>
            </w:r>
          </w:p>
          <w:p w14:paraId="05155819"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A34D69">
              <w:rPr>
                <w:rFonts w:ascii="Arial" w:eastAsia="Times New Roman" w:hAnsi="Arial" w:cs="Arial"/>
                <w:color w:val="000000"/>
                <w:sz w:val="24"/>
                <w:szCs w:val="24"/>
              </w:rPr>
              <w:t>29</w:t>
            </w:r>
            <w:r w:rsidRPr="00A34D69">
              <w:rPr>
                <w:rFonts w:ascii="Arial" w:eastAsia="Times New Roman" w:hAnsi="Arial" w:cs="Arial"/>
                <w:color w:val="000000"/>
                <w:sz w:val="24"/>
                <w:szCs w:val="24"/>
                <w:vertAlign w:val="superscript"/>
              </w:rPr>
              <w:t>th</w:t>
            </w:r>
            <w:r w:rsidRPr="00A34D69">
              <w:rPr>
                <w:rFonts w:ascii="Arial" w:eastAsia="Times New Roman" w:hAnsi="Arial" w:cs="Arial"/>
                <w:color w:val="000000"/>
                <w:sz w:val="24"/>
                <w:szCs w:val="24"/>
              </w:rPr>
              <w:t xml:space="preserve"> May 2023</w:t>
            </w:r>
            <w:r w:rsidRPr="009837D8">
              <w:rPr>
                <w:rFonts w:ascii="Arial" w:eastAsia="Times New Roman" w:hAnsi="Arial" w:cs="Arial"/>
                <w:color w:val="000000"/>
                <w:sz w:val="24"/>
                <w:szCs w:val="24"/>
              </w:rPr>
              <w:t> </w:t>
            </w:r>
          </w:p>
        </w:tc>
        <w:tc>
          <w:tcPr>
            <w:tcW w:w="0" w:type="auto"/>
            <w:gridSpan w:val="2"/>
            <w:tcBorders>
              <w:top w:val="single" w:sz="6" w:space="0" w:color="000000"/>
              <w:left w:val="single" w:sz="6" w:space="0" w:color="000000"/>
              <w:bottom w:val="single" w:sz="6" w:space="0" w:color="000000"/>
              <w:right w:val="single" w:sz="6" w:space="0" w:color="000000"/>
            </w:tcBorders>
            <w:hideMark/>
          </w:tcPr>
          <w:p w14:paraId="1EE160E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Length of lesson:</w:t>
            </w:r>
            <w:r w:rsidRPr="00A34D69">
              <w:rPr>
                <w:rFonts w:ascii="Arial" w:eastAsia="Times New Roman" w:hAnsi="Arial" w:cs="Arial"/>
                <w:color w:val="000000"/>
                <w:sz w:val="24"/>
                <w:szCs w:val="24"/>
              </w:rPr>
              <w:t xml:space="preserve"> 45 minutes</w:t>
            </w:r>
          </w:p>
        </w:tc>
        <w:tc>
          <w:tcPr>
            <w:tcW w:w="0" w:type="auto"/>
            <w:tcBorders>
              <w:top w:val="single" w:sz="6" w:space="0" w:color="000000"/>
              <w:left w:val="single" w:sz="6" w:space="0" w:color="000000"/>
              <w:bottom w:val="single" w:sz="6" w:space="0" w:color="000000"/>
              <w:right w:val="single" w:sz="6" w:space="0" w:color="000000"/>
            </w:tcBorders>
            <w:hideMark/>
          </w:tcPr>
          <w:p w14:paraId="474EF24E"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Number of students: </w:t>
            </w:r>
            <w:r w:rsidRPr="00A34D69">
              <w:rPr>
                <w:rFonts w:ascii="Arial" w:eastAsia="Times New Roman" w:hAnsi="Arial" w:cs="Arial"/>
                <w:color w:val="000000"/>
                <w:sz w:val="24"/>
                <w:szCs w:val="24"/>
              </w:rPr>
              <w:t>6</w:t>
            </w:r>
          </w:p>
        </w:tc>
      </w:tr>
      <w:tr w:rsidR="00A34D69" w:rsidRPr="009837D8" w14:paraId="4DE9E90E"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6A3C9E3C" w14:textId="77777777" w:rsidR="00A34D69" w:rsidRPr="009837D8" w:rsidRDefault="00A34D69" w:rsidP="00E062B7">
            <w:pPr>
              <w:spacing w:after="0" w:line="240" w:lineRule="auto"/>
              <w:jc w:val="both"/>
              <w:rPr>
                <w:rFonts w:ascii="Times New Roman" w:eastAsia="Times New Roman" w:hAnsi="Times New Roman" w:cs="Times New Roman"/>
                <w:b/>
                <w:bCs/>
                <w:sz w:val="24"/>
                <w:szCs w:val="24"/>
              </w:rPr>
            </w:pPr>
            <w:r w:rsidRPr="009837D8">
              <w:rPr>
                <w:rFonts w:ascii="Arial" w:eastAsia="Times New Roman" w:hAnsi="Arial" w:cs="Arial"/>
                <w:b/>
                <w:bCs/>
                <w:color w:val="000000"/>
                <w:sz w:val="24"/>
                <w:szCs w:val="24"/>
              </w:rPr>
              <w:t>Resources required: </w:t>
            </w:r>
          </w:p>
          <w:p w14:paraId="328F4FD8"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Power Point </w:t>
            </w:r>
          </w:p>
          <w:p w14:paraId="3EF6E876"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A34D69">
              <w:rPr>
                <w:rFonts w:ascii="Arial" w:eastAsia="Times New Roman" w:hAnsi="Arial" w:cs="Arial"/>
                <w:color w:val="000000"/>
                <w:sz w:val="24"/>
                <w:szCs w:val="24"/>
              </w:rPr>
              <w:t>Laptops</w:t>
            </w:r>
            <w:r w:rsidRPr="009837D8">
              <w:rPr>
                <w:rFonts w:ascii="Arial" w:eastAsia="Times New Roman" w:hAnsi="Arial" w:cs="Arial"/>
                <w:color w:val="000000"/>
                <w:sz w:val="24"/>
                <w:szCs w:val="24"/>
              </w:rPr>
              <w:t> </w:t>
            </w:r>
          </w:p>
          <w:p w14:paraId="2140CC4A"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9837D8" w14:paraId="3C45E2B2"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219EA471" w14:textId="77777777" w:rsidR="00A34D69" w:rsidRPr="009837D8" w:rsidRDefault="00A34D69" w:rsidP="00E062B7">
            <w:pPr>
              <w:spacing w:after="0" w:line="240" w:lineRule="auto"/>
              <w:jc w:val="both"/>
              <w:rPr>
                <w:rFonts w:ascii="Times New Roman" w:eastAsia="Times New Roman" w:hAnsi="Times New Roman" w:cs="Times New Roman"/>
                <w:b/>
                <w:bCs/>
                <w:sz w:val="24"/>
                <w:szCs w:val="24"/>
              </w:rPr>
            </w:pPr>
            <w:r w:rsidRPr="009837D8">
              <w:rPr>
                <w:rFonts w:ascii="Arial" w:eastAsia="Times New Roman" w:hAnsi="Arial" w:cs="Arial"/>
                <w:b/>
                <w:bCs/>
                <w:color w:val="000000"/>
                <w:sz w:val="24"/>
                <w:szCs w:val="24"/>
              </w:rPr>
              <w:t>Aim of Lesson </w:t>
            </w:r>
          </w:p>
          <w:p w14:paraId="5E173B2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To develop knowledge of</w:t>
            </w:r>
            <w:r w:rsidRPr="00A34D69">
              <w:rPr>
                <w:rFonts w:ascii="Arial" w:eastAsia="Times New Roman" w:hAnsi="Arial" w:cs="Arial"/>
                <w:color w:val="000000"/>
                <w:sz w:val="24"/>
                <w:szCs w:val="24"/>
              </w:rPr>
              <w:t xml:space="preserve"> the basic rules of Rounders and how to pass this knowledge on to young players</w:t>
            </w:r>
            <w:r w:rsidRPr="009837D8">
              <w:rPr>
                <w:rFonts w:ascii="Arial" w:eastAsia="Times New Roman" w:hAnsi="Arial" w:cs="Arial"/>
                <w:color w:val="000000"/>
                <w:sz w:val="24"/>
                <w:szCs w:val="24"/>
              </w:rPr>
              <w:t>. </w:t>
            </w:r>
          </w:p>
        </w:tc>
      </w:tr>
      <w:tr w:rsidR="00A34D69" w:rsidRPr="009837D8" w14:paraId="6F8E9501"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6016AD17" w14:textId="77777777" w:rsidR="00A34D69" w:rsidRPr="009837D8" w:rsidRDefault="00A34D69" w:rsidP="00E062B7">
            <w:pPr>
              <w:spacing w:after="0" w:line="240" w:lineRule="auto"/>
              <w:jc w:val="both"/>
              <w:rPr>
                <w:rFonts w:ascii="Times New Roman" w:eastAsia="Times New Roman" w:hAnsi="Times New Roman" w:cs="Times New Roman"/>
                <w:b/>
                <w:bCs/>
                <w:sz w:val="24"/>
                <w:szCs w:val="24"/>
              </w:rPr>
            </w:pPr>
            <w:r w:rsidRPr="009837D8">
              <w:rPr>
                <w:rFonts w:ascii="Arial" w:eastAsia="Times New Roman" w:hAnsi="Arial" w:cs="Arial"/>
                <w:b/>
                <w:bCs/>
                <w:color w:val="000000"/>
                <w:sz w:val="24"/>
                <w:szCs w:val="24"/>
              </w:rPr>
              <w:t>Learning Outcomes – The Learners Should Be Able To: </w:t>
            </w:r>
          </w:p>
          <w:p w14:paraId="60FB30C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Identify the benefits of </w:t>
            </w:r>
            <w:r w:rsidRPr="00A34D69">
              <w:rPr>
                <w:rFonts w:ascii="Arial" w:eastAsia="Times New Roman" w:hAnsi="Arial" w:cs="Arial"/>
                <w:color w:val="000000"/>
                <w:sz w:val="24"/>
                <w:szCs w:val="24"/>
              </w:rPr>
              <w:t>playing team sports as part of children’s physical education lessons.</w:t>
            </w:r>
          </w:p>
          <w:p w14:paraId="1F8C4CCB"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Understand how to apply attitudes to working with professionals in practice. </w:t>
            </w:r>
          </w:p>
          <w:p w14:paraId="646AC82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9837D8" w14:paraId="390F2F5F"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4BF730B6" w14:textId="77777777" w:rsidR="00A34D69" w:rsidRPr="009837D8" w:rsidRDefault="00A34D69" w:rsidP="00E062B7">
            <w:pPr>
              <w:spacing w:after="0" w:line="240" w:lineRule="auto"/>
              <w:jc w:val="both"/>
              <w:rPr>
                <w:rFonts w:ascii="Times New Roman" w:eastAsia="Times New Roman" w:hAnsi="Times New Roman" w:cs="Times New Roman"/>
                <w:b/>
                <w:bCs/>
                <w:sz w:val="24"/>
                <w:szCs w:val="24"/>
              </w:rPr>
            </w:pPr>
            <w:r w:rsidRPr="009837D8">
              <w:rPr>
                <w:rFonts w:ascii="Arial" w:eastAsia="Times New Roman" w:hAnsi="Arial" w:cs="Arial"/>
                <w:b/>
                <w:bCs/>
                <w:color w:val="000000"/>
                <w:sz w:val="24"/>
                <w:szCs w:val="24"/>
              </w:rPr>
              <w:t>Previous student knowledge required for the session:</w:t>
            </w:r>
            <w:r w:rsidRPr="009837D8">
              <w:rPr>
                <w:rFonts w:ascii="Calibri" w:eastAsia="Times New Roman" w:hAnsi="Calibri" w:cs="Calibri"/>
                <w:b/>
                <w:bCs/>
                <w:color w:val="000000"/>
                <w:sz w:val="24"/>
                <w:szCs w:val="24"/>
              </w:rPr>
              <w:tab/>
            </w:r>
            <w:r w:rsidRPr="009837D8">
              <w:rPr>
                <w:rFonts w:ascii="Arial" w:eastAsia="Times New Roman" w:hAnsi="Arial" w:cs="Arial"/>
                <w:b/>
                <w:bCs/>
                <w:color w:val="000000"/>
                <w:sz w:val="24"/>
                <w:szCs w:val="24"/>
              </w:rPr>
              <w:t> </w:t>
            </w:r>
          </w:p>
          <w:p w14:paraId="65149EF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An understanding of </w:t>
            </w:r>
            <w:r w:rsidRPr="00A34D69">
              <w:rPr>
                <w:rFonts w:ascii="Arial" w:eastAsia="Times New Roman" w:hAnsi="Arial" w:cs="Arial"/>
                <w:color w:val="000000"/>
                <w:sz w:val="24"/>
                <w:szCs w:val="24"/>
              </w:rPr>
              <w:t>the basic rules of rounders</w:t>
            </w:r>
            <w:r w:rsidRPr="009837D8">
              <w:rPr>
                <w:rFonts w:ascii="Arial" w:eastAsia="Times New Roman" w:hAnsi="Arial" w:cs="Arial"/>
                <w:color w:val="000000"/>
                <w:sz w:val="24"/>
                <w:szCs w:val="24"/>
              </w:rPr>
              <w:t> </w:t>
            </w:r>
          </w:p>
          <w:p w14:paraId="632261C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9837D8" w14:paraId="58CBB01F"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16991BF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Anticipated difficulties (if applicable):</w:t>
            </w:r>
            <w:r w:rsidRPr="009837D8">
              <w:rPr>
                <w:rFonts w:ascii="Arial" w:eastAsia="Times New Roman" w:hAnsi="Arial" w:cs="Arial"/>
                <w:color w:val="000000"/>
                <w:sz w:val="24"/>
                <w:szCs w:val="24"/>
              </w:rPr>
              <w:t> </w:t>
            </w:r>
          </w:p>
          <w:p w14:paraId="0AD1AA8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8876C1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A34D69">
              <w:rPr>
                <w:rFonts w:ascii="Arial" w:eastAsia="Times New Roman" w:hAnsi="Arial" w:cs="Arial"/>
                <w:color w:val="000000"/>
                <w:sz w:val="24"/>
                <w:szCs w:val="24"/>
              </w:rPr>
              <w:t>Unable to access online platforms</w:t>
            </w:r>
            <w:r w:rsidRPr="009837D8">
              <w:rPr>
                <w:rFonts w:ascii="Arial" w:eastAsia="Times New Roman" w:hAnsi="Arial" w:cs="Arial"/>
                <w:color w:val="000000"/>
                <w:sz w:val="24"/>
                <w:szCs w:val="24"/>
              </w:rPr>
              <w:t> </w:t>
            </w:r>
          </w:p>
          <w:p w14:paraId="6E4B460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9837D8" w14:paraId="6351594C" w14:textId="77777777" w:rsidTr="00E062B7">
        <w:tc>
          <w:tcPr>
            <w:tcW w:w="0" w:type="auto"/>
            <w:gridSpan w:val="4"/>
            <w:tcBorders>
              <w:top w:val="single" w:sz="6" w:space="0" w:color="000000"/>
              <w:left w:val="single" w:sz="6" w:space="0" w:color="000000"/>
              <w:bottom w:val="single" w:sz="6" w:space="0" w:color="000000"/>
              <w:right w:val="single" w:sz="6" w:space="0" w:color="000000"/>
            </w:tcBorders>
            <w:hideMark/>
          </w:tcPr>
          <w:p w14:paraId="19308D13"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Professional Standards (where are these being met within the session)</w:t>
            </w:r>
            <w:r w:rsidRPr="009837D8">
              <w:rPr>
                <w:rFonts w:ascii="Arial" w:eastAsia="Times New Roman" w:hAnsi="Arial" w:cs="Arial"/>
                <w:color w:val="000000"/>
                <w:sz w:val="24"/>
                <w:szCs w:val="24"/>
              </w:rPr>
              <w:t> </w:t>
            </w:r>
          </w:p>
          <w:p w14:paraId="76A0D662" w14:textId="77777777" w:rsidR="00A34D69" w:rsidRPr="009837D8" w:rsidRDefault="00A34D69" w:rsidP="00A34D69">
            <w:pPr>
              <w:numPr>
                <w:ilvl w:val="0"/>
                <w:numId w:val="7"/>
              </w:numPr>
              <w:spacing w:after="0" w:line="240" w:lineRule="auto"/>
              <w:ind w:left="1440"/>
              <w:jc w:val="both"/>
              <w:textAlignment w:val="baseline"/>
              <w:rPr>
                <w:rFonts w:ascii="Arial" w:eastAsia="Times New Roman" w:hAnsi="Arial" w:cs="Arial"/>
                <w:color w:val="000000"/>
                <w:sz w:val="24"/>
                <w:szCs w:val="24"/>
              </w:rPr>
            </w:pPr>
            <w:r w:rsidRPr="009837D8">
              <w:rPr>
                <w:rFonts w:ascii="Arial" w:eastAsia="Times New Roman" w:hAnsi="Arial" w:cs="Arial"/>
                <w:color w:val="000000"/>
                <w:sz w:val="24"/>
                <w:szCs w:val="24"/>
              </w:rPr>
              <w:t>Value and promote diversity, equality of opportunity and inclusion- discussing sensitive issues surrounding diversity and differences. </w:t>
            </w:r>
          </w:p>
          <w:p w14:paraId="134D6E8E" w14:textId="77777777" w:rsidR="00A34D69" w:rsidRPr="009837D8" w:rsidRDefault="00A34D69" w:rsidP="00A34D69">
            <w:pPr>
              <w:numPr>
                <w:ilvl w:val="0"/>
                <w:numId w:val="7"/>
              </w:numPr>
              <w:spacing w:after="0" w:line="240" w:lineRule="auto"/>
              <w:ind w:left="1440"/>
              <w:jc w:val="both"/>
              <w:textAlignment w:val="baseline"/>
              <w:rPr>
                <w:rFonts w:ascii="Arial" w:eastAsia="Times New Roman" w:hAnsi="Arial" w:cs="Arial"/>
                <w:color w:val="000000"/>
                <w:sz w:val="24"/>
                <w:szCs w:val="24"/>
              </w:rPr>
            </w:pPr>
            <w:r w:rsidRPr="009837D8">
              <w:rPr>
                <w:rFonts w:ascii="Arial" w:eastAsia="Times New Roman" w:hAnsi="Arial" w:cs="Arial"/>
                <w:color w:val="000000"/>
                <w:sz w:val="24"/>
                <w:szCs w:val="24"/>
              </w:rPr>
              <w:t>Demonstrate dignity, courtesy and respect towards others- Discussing and listening to students’ views on working with professionals in an inclusive way, what one person may deem as important may be of less value to someone else. </w:t>
            </w:r>
          </w:p>
          <w:p w14:paraId="1C97084B" w14:textId="77777777" w:rsidR="00A34D69" w:rsidRPr="009837D8" w:rsidRDefault="00A34D69" w:rsidP="00A34D69">
            <w:pPr>
              <w:numPr>
                <w:ilvl w:val="0"/>
                <w:numId w:val="7"/>
              </w:numPr>
              <w:spacing w:after="0" w:line="240" w:lineRule="auto"/>
              <w:ind w:left="1440"/>
              <w:jc w:val="both"/>
              <w:textAlignment w:val="baseline"/>
              <w:rPr>
                <w:rFonts w:ascii="Arial" w:eastAsia="Times New Roman" w:hAnsi="Arial" w:cs="Arial"/>
                <w:color w:val="000000"/>
                <w:sz w:val="24"/>
                <w:szCs w:val="24"/>
              </w:rPr>
            </w:pPr>
            <w:r w:rsidRPr="009837D8">
              <w:rPr>
                <w:rFonts w:ascii="Arial" w:eastAsia="Times New Roman" w:hAnsi="Arial" w:cs="Arial"/>
                <w:color w:val="000000"/>
                <w:sz w:val="24"/>
                <w:szCs w:val="24"/>
              </w:rPr>
              <w:t xml:space="preserve">Plan and deliver effective learning, teaching and assessment- Using </w:t>
            </w:r>
            <w:r w:rsidRPr="00A34D69">
              <w:rPr>
                <w:rFonts w:ascii="Arial" w:eastAsia="Times New Roman" w:hAnsi="Arial" w:cs="Arial"/>
                <w:color w:val="000000"/>
                <w:sz w:val="24"/>
                <w:szCs w:val="24"/>
              </w:rPr>
              <w:t>peer assessments</w:t>
            </w:r>
            <w:r w:rsidRPr="009837D8">
              <w:rPr>
                <w:rFonts w:ascii="Arial" w:eastAsia="Times New Roman" w:hAnsi="Arial" w:cs="Arial"/>
                <w:color w:val="000000"/>
                <w:sz w:val="24"/>
                <w:szCs w:val="24"/>
              </w:rPr>
              <w:t xml:space="preserve"> Introducing the use of a digital tool </w:t>
            </w:r>
            <w:r w:rsidRPr="00A34D69">
              <w:rPr>
                <w:rFonts w:ascii="Arial" w:eastAsia="Times New Roman" w:hAnsi="Arial" w:cs="Arial"/>
                <w:color w:val="000000"/>
                <w:sz w:val="24"/>
                <w:szCs w:val="24"/>
              </w:rPr>
              <w:t xml:space="preserve">Teams and </w:t>
            </w:r>
            <w:proofErr w:type="spellStart"/>
            <w:r w:rsidRPr="00A34D69">
              <w:rPr>
                <w:rFonts w:ascii="Arial" w:eastAsia="Times New Roman" w:hAnsi="Arial" w:cs="Arial"/>
                <w:color w:val="000000"/>
                <w:sz w:val="24"/>
                <w:szCs w:val="24"/>
              </w:rPr>
              <w:t>Powerpoint</w:t>
            </w:r>
            <w:proofErr w:type="spellEnd"/>
          </w:p>
          <w:p w14:paraId="6925DC6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C84DC8A"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00D8FC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bl>
    <w:p w14:paraId="42DBA58E" w14:textId="77777777"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lastRenderedPageBreak/>
        <w:t> </w:t>
      </w:r>
    </w:p>
    <w:p w14:paraId="6DAC2CEF" w14:textId="0FBF6868"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144CD1B" w14:textId="77777777"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77D3716" w14:textId="77777777" w:rsidR="00A34D69" w:rsidRPr="009837D8" w:rsidRDefault="00A34D69" w:rsidP="00A34D69">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r w:rsidRPr="009837D8">
        <w:rPr>
          <w:rFonts w:ascii="Arial" w:eastAsia="Times New Roman" w:hAnsi="Arial" w:cs="Arial"/>
          <w:b/>
          <w:bCs/>
          <w:color w:val="000000"/>
          <w:sz w:val="24"/>
          <w:szCs w:val="24"/>
          <w:u w:val="single"/>
        </w:rPr>
        <w:t>Lesson Detail</w:t>
      </w:r>
      <w:r w:rsidRPr="009837D8">
        <w:rPr>
          <w:rFonts w:ascii="Arial" w:eastAsia="Times New Roman" w:hAnsi="Arial" w:cs="Arial"/>
          <w:color w:val="000000"/>
          <w:sz w:val="24"/>
          <w:szCs w:val="24"/>
        </w:rPr>
        <w:t> </w:t>
      </w:r>
    </w:p>
    <w:tbl>
      <w:tblPr>
        <w:tblW w:w="0" w:type="auto"/>
        <w:tblCellMar>
          <w:top w:w="15" w:type="dxa"/>
          <w:left w:w="15" w:type="dxa"/>
          <w:bottom w:w="15" w:type="dxa"/>
          <w:right w:w="15" w:type="dxa"/>
        </w:tblCellMar>
        <w:tblLook w:val="04A0" w:firstRow="1" w:lastRow="0" w:firstColumn="1" w:lastColumn="0" w:noHBand="0" w:noVBand="1"/>
      </w:tblPr>
      <w:tblGrid>
        <w:gridCol w:w="1671"/>
        <w:gridCol w:w="5480"/>
        <w:gridCol w:w="1509"/>
        <w:gridCol w:w="730"/>
      </w:tblGrid>
      <w:tr w:rsidR="00A34D69" w:rsidRPr="00A34D69" w14:paraId="409BAB33" w14:textId="77777777" w:rsidTr="00E062B7">
        <w:trPr>
          <w:trHeight w:val="435"/>
        </w:trPr>
        <w:tc>
          <w:tcPr>
            <w:tcW w:w="0" w:type="auto"/>
            <w:tcBorders>
              <w:top w:val="single" w:sz="6" w:space="0" w:color="000000"/>
              <w:left w:val="single" w:sz="6" w:space="0" w:color="000000"/>
              <w:bottom w:val="single" w:sz="6" w:space="0" w:color="000000"/>
              <w:right w:val="single" w:sz="6" w:space="0" w:color="000000"/>
            </w:tcBorders>
            <w:hideMark/>
          </w:tcPr>
          <w:p w14:paraId="29B71C43"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0C41067"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Stage </w:t>
            </w:r>
            <w:r w:rsidRPr="009837D8">
              <w:rPr>
                <w:rFonts w:ascii="Arial" w:eastAsia="Times New Roman" w:hAnsi="Arial" w:cs="Arial"/>
                <w:color w:val="000000"/>
                <w:sz w:val="24"/>
                <w:szCs w:val="24"/>
              </w:rPr>
              <w:t> </w:t>
            </w:r>
          </w:p>
        </w:tc>
        <w:tc>
          <w:tcPr>
            <w:tcW w:w="0" w:type="auto"/>
            <w:tcBorders>
              <w:top w:val="single" w:sz="6" w:space="0" w:color="000000"/>
              <w:left w:val="single" w:sz="6" w:space="0" w:color="000000"/>
              <w:bottom w:val="single" w:sz="6" w:space="0" w:color="000000"/>
              <w:right w:val="single" w:sz="6" w:space="0" w:color="000000"/>
            </w:tcBorders>
            <w:hideMark/>
          </w:tcPr>
          <w:p w14:paraId="2CB625FF"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2DC74BC"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Focus</w:t>
            </w:r>
            <w:r w:rsidRPr="009837D8">
              <w:rPr>
                <w:rFonts w:ascii="Arial" w:eastAsia="Times New Roman" w:hAnsi="Arial" w:cs="Arial"/>
                <w:color w:val="000000"/>
                <w:sz w:val="24"/>
                <w:szCs w:val="24"/>
              </w:rPr>
              <w:t> </w:t>
            </w:r>
          </w:p>
        </w:tc>
        <w:tc>
          <w:tcPr>
            <w:tcW w:w="0" w:type="auto"/>
            <w:tcBorders>
              <w:top w:val="single" w:sz="6" w:space="0" w:color="000000"/>
              <w:left w:val="single" w:sz="6" w:space="0" w:color="000000"/>
              <w:bottom w:val="single" w:sz="6" w:space="0" w:color="000000"/>
              <w:right w:val="single" w:sz="6" w:space="0" w:color="000000"/>
            </w:tcBorders>
            <w:hideMark/>
          </w:tcPr>
          <w:p w14:paraId="3E774CFA"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1D0F641"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Strategy </w:t>
            </w:r>
            <w:r w:rsidRPr="009837D8">
              <w:rPr>
                <w:rFonts w:ascii="Arial" w:eastAsia="Times New Roman" w:hAnsi="Arial" w:cs="Arial"/>
                <w:color w:val="000000"/>
                <w:sz w:val="24"/>
                <w:szCs w:val="24"/>
              </w:rPr>
              <w:t> </w:t>
            </w:r>
          </w:p>
        </w:tc>
        <w:tc>
          <w:tcPr>
            <w:tcW w:w="730" w:type="dxa"/>
            <w:tcBorders>
              <w:top w:val="single" w:sz="6" w:space="0" w:color="000000"/>
              <w:left w:val="single" w:sz="6" w:space="0" w:color="000000"/>
              <w:bottom w:val="single" w:sz="6" w:space="0" w:color="000000"/>
              <w:right w:val="single" w:sz="6" w:space="0" w:color="000000"/>
            </w:tcBorders>
            <w:hideMark/>
          </w:tcPr>
          <w:p w14:paraId="4883D083"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3E31494"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Time </w:t>
            </w:r>
            <w:r w:rsidRPr="009837D8">
              <w:rPr>
                <w:rFonts w:ascii="Arial" w:eastAsia="Times New Roman" w:hAnsi="Arial" w:cs="Arial"/>
                <w:color w:val="000000"/>
                <w:sz w:val="24"/>
                <w:szCs w:val="24"/>
              </w:rPr>
              <w:t> </w:t>
            </w:r>
          </w:p>
          <w:p w14:paraId="399913DC" w14:textId="77777777" w:rsidR="00A34D69" w:rsidRPr="009837D8" w:rsidRDefault="00A34D69" w:rsidP="00E062B7">
            <w:pPr>
              <w:spacing w:after="0" w:line="240" w:lineRule="auto"/>
              <w:jc w:val="center"/>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r>
      <w:tr w:rsidR="00A34D69" w:rsidRPr="00A34D69" w14:paraId="2D84A304" w14:textId="77777777" w:rsidTr="00E062B7">
        <w:trPr>
          <w:trHeight w:val="9315"/>
        </w:trPr>
        <w:tc>
          <w:tcPr>
            <w:tcW w:w="0" w:type="auto"/>
            <w:tcBorders>
              <w:top w:val="single" w:sz="6" w:space="0" w:color="000000"/>
              <w:left w:val="single" w:sz="6" w:space="0" w:color="000000"/>
              <w:bottom w:val="single" w:sz="6" w:space="0" w:color="000000"/>
              <w:right w:val="single" w:sz="6" w:space="0" w:color="000000"/>
            </w:tcBorders>
            <w:hideMark/>
          </w:tcPr>
          <w:p w14:paraId="2F0399E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834B6C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Introduction</w:t>
            </w:r>
            <w:r w:rsidRPr="009837D8">
              <w:rPr>
                <w:rFonts w:ascii="Arial" w:eastAsia="Times New Roman" w:hAnsi="Arial" w:cs="Arial"/>
                <w:color w:val="000000"/>
                <w:sz w:val="24"/>
                <w:szCs w:val="24"/>
              </w:rPr>
              <w:t> </w:t>
            </w:r>
          </w:p>
          <w:p w14:paraId="59547AB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8F4551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071E777"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5CC9A75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F253F52"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2FB05A8"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314C1D7"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E5D3DB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A15121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5648F59"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DDBEE4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950BBF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9479F9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BC31C62" w14:textId="77777777" w:rsidR="00A34D69" w:rsidRPr="00A34D69" w:rsidRDefault="00A34D69" w:rsidP="00E062B7">
            <w:pPr>
              <w:spacing w:after="0" w:line="240" w:lineRule="auto"/>
              <w:jc w:val="both"/>
              <w:rPr>
                <w:rFonts w:ascii="Arial" w:eastAsia="Times New Roman" w:hAnsi="Arial" w:cs="Arial"/>
                <w:b/>
                <w:bCs/>
                <w:color w:val="000000"/>
                <w:sz w:val="24"/>
                <w:szCs w:val="24"/>
              </w:rPr>
            </w:pPr>
          </w:p>
          <w:p w14:paraId="4724A6FB" w14:textId="77777777" w:rsidR="00A34D69" w:rsidRPr="00A34D69" w:rsidRDefault="00A34D69" w:rsidP="00E062B7">
            <w:pPr>
              <w:spacing w:after="0" w:line="240" w:lineRule="auto"/>
              <w:jc w:val="both"/>
              <w:rPr>
                <w:rFonts w:ascii="Arial" w:eastAsia="Times New Roman" w:hAnsi="Arial" w:cs="Arial"/>
                <w:b/>
                <w:bCs/>
                <w:color w:val="000000"/>
                <w:sz w:val="24"/>
                <w:szCs w:val="24"/>
              </w:rPr>
            </w:pPr>
          </w:p>
          <w:p w14:paraId="79AA88BB" w14:textId="77777777" w:rsidR="00A34D69" w:rsidRPr="00A34D69" w:rsidRDefault="00A34D69" w:rsidP="00E062B7">
            <w:pPr>
              <w:spacing w:after="0" w:line="240" w:lineRule="auto"/>
              <w:jc w:val="both"/>
              <w:rPr>
                <w:rFonts w:ascii="Arial" w:eastAsia="Times New Roman" w:hAnsi="Arial" w:cs="Arial"/>
                <w:b/>
                <w:bCs/>
                <w:color w:val="000000"/>
                <w:sz w:val="24"/>
                <w:szCs w:val="24"/>
              </w:rPr>
            </w:pPr>
          </w:p>
          <w:p w14:paraId="1E4C79AD" w14:textId="77777777" w:rsidR="00A34D69" w:rsidRPr="00A34D69" w:rsidRDefault="00A34D69" w:rsidP="00E062B7">
            <w:pPr>
              <w:spacing w:after="0" w:line="240" w:lineRule="auto"/>
              <w:jc w:val="both"/>
              <w:rPr>
                <w:rFonts w:ascii="Arial" w:eastAsia="Times New Roman" w:hAnsi="Arial" w:cs="Arial"/>
                <w:b/>
                <w:bCs/>
                <w:color w:val="000000"/>
                <w:sz w:val="24"/>
                <w:szCs w:val="24"/>
              </w:rPr>
            </w:pPr>
          </w:p>
          <w:p w14:paraId="76E4B28B"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b/>
                <w:bCs/>
                <w:color w:val="000000"/>
                <w:sz w:val="24"/>
                <w:szCs w:val="24"/>
              </w:rPr>
              <w:t>Development.</w:t>
            </w:r>
            <w:r w:rsidRPr="009837D8">
              <w:rPr>
                <w:rFonts w:ascii="Arial" w:eastAsia="Times New Roman" w:hAnsi="Arial" w:cs="Arial"/>
                <w:color w:val="000000"/>
                <w:sz w:val="24"/>
                <w:szCs w:val="24"/>
              </w:rPr>
              <w:t> </w:t>
            </w:r>
          </w:p>
          <w:p w14:paraId="3EA27063"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8BE6366"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AF82D4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5DEEB68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9DCD419"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7C19D60"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9BF1AA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36D798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9DB8D8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6D04B7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FEB86D2"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99FEC6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73DC5A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7D53A8A"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tc>
        <w:tc>
          <w:tcPr>
            <w:tcW w:w="0" w:type="auto"/>
            <w:tcBorders>
              <w:top w:val="single" w:sz="6" w:space="0" w:color="000000"/>
              <w:left w:val="single" w:sz="6" w:space="0" w:color="000000"/>
              <w:bottom w:val="single" w:sz="6" w:space="0" w:color="000000"/>
              <w:right w:val="single" w:sz="6" w:space="0" w:color="000000"/>
            </w:tcBorders>
            <w:hideMark/>
          </w:tcPr>
          <w:p w14:paraId="0A339EE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Welcome. </w:t>
            </w:r>
          </w:p>
          <w:p w14:paraId="79646E97"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Introduce aims and objectives. </w:t>
            </w:r>
          </w:p>
          <w:p w14:paraId="1CF3932A"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Any questions surrounding assignment or anything else. </w:t>
            </w:r>
          </w:p>
          <w:p w14:paraId="476172E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Remind students that they will be </w:t>
            </w:r>
            <w:r w:rsidRPr="00A34D69">
              <w:rPr>
                <w:rFonts w:ascii="Arial" w:eastAsia="Times New Roman" w:hAnsi="Arial" w:cs="Arial"/>
                <w:color w:val="000000"/>
                <w:sz w:val="24"/>
                <w:szCs w:val="24"/>
              </w:rPr>
              <w:t>recorded</w:t>
            </w:r>
            <w:r w:rsidRPr="009837D8">
              <w:rPr>
                <w:rFonts w:ascii="Arial" w:eastAsia="Times New Roman" w:hAnsi="Arial" w:cs="Arial"/>
                <w:color w:val="000000"/>
                <w:sz w:val="24"/>
                <w:szCs w:val="24"/>
              </w:rPr>
              <w:t> </w:t>
            </w:r>
          </w:p>
          <w:p w14:paraId="00829836"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D16063E"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0FA3BF6" w14:textId="77777777" w:rsidR="00A34D69" w:rsidRPr="00A34D69" w:rsidRDefault="00A34D69" w:rsidP="00E062B7">
            <w:pPr>
              <w:spacing w:after="0" w:line="240" w:lineRule="auto"/>
              <w:jc w:val="both"/>
              <w:rPr>
                <w:rFonts w:ascii="Arial" w:eastAsia="Times New Roman" w:hAnsi="Arial" w:cs="Arial"/>
                <w:color w:val="000000"/>
                <w:sz w:val="24"/>
                <w:szCs w:val="24"/>
              </w:rPr>
            </w:pPr>
            <w:r w:rsidRPr="00A34D69">
              <w:rPr>
                <w:rFonts w:ascii="Arial" w:eastAsia="Times New Roman" w:hAnsi="Arial" w:cs="Arial"/>
                <w:color w:val="000000"/>
                <w:sz w:val="24"/>
                <w:szCs w:val="24"/>
              </w:rPr>
              <w:t xml:space="preserve">Inform students that there will be a short assessment after the lecture and that notes will need to be taken as the PowerPoint will not be available to them after the lecture. </w:t>
            </w:r>
          </w:p>
          <w:p w14:paraId="5ADB1DA0" w14:textId="77777777" w:rsidR="00A34D69" w:rsidRPr="00A34D69" w:rsidRDefault="00A34D69" w:rsidP="00E062B7">
            <w:pPr>
              <w:spacing w:after="0" w:line="240" w:lineRule="auto"/>
              <w:jc w:val="both"/>
              <w:rPr>
                <w:rFonts w:ascii="Times New Roman" w:eastAsia="Times New Roman" w:hAnsi="Times New Roman" w:cs="Times New Roman"/>
                <w:sz w:val="24"/>
                <w:szCs w:val="24"/>
              </w:rPr>
            </w:pPr>
          </w:p>
          <w:p w14:paraId="230C6FC6" w14:textId="77777777" w:rsidR="00A34D69" w:rsidRPr="00A34D69" w:rsidRDefault="00A34D69" w:rsidP="00E062B7">
            <w:pPr>
              <w:spacing w:after="0" w:line="240" w:lineRule="auto"/>
              <w:jc w:val="both"/>
              <w:rPr>
                <w:rFonts w:ascii="Times New Roman" w:eastAsia="Times New Roman" w:hAnsi="Times New Roman" w:cs="Times New Roman"/>
                <w:sz w:val="24"/>
                <w:szCs w:val="24"/>
              </w:rPr>
            </w:pPr>
            <w:r w:rsidRPr="00A34D69">
              <w:rPr>
                <w:rFonts w:ascii="Times New Roman" w:eastAsia="Times New Roman" w:hAnsi="Times New Roman" w:cs="Times New Roman"/>
                <w:sz w:val="24"/>
                <w:szCs w:val="24"/>
              </w:rPr>
              <w:t>The assessment should be sent to the lecturer who will delegate peers to mark the work anonymously.</w:t>
            </w:r>
          </w:p>
          <w:p w14:paraId="2F28C0F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A34D69">
              <w:rPr>
                <w:rFonts w:ascii="Times New Roman" w:eastAsia="Times New Roman" w:hAnsi="Times New Roman" w:cs="Times New Roman"/>
                <w:sz w:val="24"/>
                <w:szCs w:val="24"/>
              </w:rPr>
              <w:t>The students will be given a set of answers to assist them with their marking after the assessments had been returned to the lecturer.</w:t>
            </w:r>
          </w:p>
          <w:p w14:paraId="497EB85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7390330" w14:textId="768D1756" w:rsidR="00A34D69" w:rsidRPr="00A34D69"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13C3335" w14:textId="77777777" w:rsidR="00A34D69" w:rsidRPr="00A34D69" w:rsidRDefault="00A34D69" w:rsidP="00E062B7">
            <w:pPr>
              <w:spacing w:after="0" w:line="240" w:lineRule="auto"/>
              <w:jc w:val="both"/>
              <w:rPr>
                <w:rFonts w:ascii="Arial" w:eastAsia="Times New Roman" w:hAnsi="Arial" w:cs="Arial"/>
                <w:color w:val="000000"/>
                <w:sz w:val="24"/>
                <w:szCs w:val="24"/>
              </w:rPr>
            </w:pPr>
            <w:r w:rsidRPr="009837D8">
              <w:rPr>
                <w:rFonts w:ascii="Arial" w:eastAsia="Times New Roman" w:hAnsi="Arial" w:cs="Arial"/>
                <w:color w:val="000000"/>
                <w:sz w:val="24"/>
                <w:szCs w:val="24"/>
              </w:rPr>
              <w:t xml:space="preserve">Think about the benefits </w:t>
            </w:r>
            <w:r w:rsidRPr="00A34D69">
              <w:rPr>
                <w:rFonts w:ascii="Arial" w:eastAsia="Times New Roman" w:hAnsi="Arial" w:cs="Arial"/>
                <w:color w:val="000000"/>
                <w:sz w:val="24"/>
                <w:szCs w:val="24"/>
              </w:rPr>
              <w:t xml:space="preserve">to children and the positive impacts that playing a team sport can be for children, especially within a gentle competitive approach that rounders </w:t>
            </w:r>
            <w:proofErr w:type="gramStart"/>
            <w:r w:rsidRPr="00A34D69">
              <w:rPr>
                <w:rFonts w:ascii="Arial" w:eastAsia="Times New Roman" w:hAnsi="Arial" w:cs="Arial"/>
                <w:color w:val="000000"/>
                <w:sz w:val="24"/>
                <w:szCs w:val="24"/>
              </w:rPr>
              <w:t>provides</w:t>
            </w:r>
            <w:proofErr w:type="gramEnd"/>
            <w:r w:rsidRPr="00A34D69">
              <w:rPr>
                <w:rFonts w:ascii="Arial" w:eastAsia="Times New Roman" w:hAnsi="Arial" w:cs="Arial"/>
                <w:color w:val="000000"/>
                <w:sz w:val="24"/>
                <w:szCs w:val="24"/>
              </w:rPr>
              <w:t>.</w:t>
            </w:r>
          </w:p>
          <w:p w14:paraId="2D85723D" w14:textId="77777777" w:rsidR="00A34D69" w:rsidRPr="00A34D69" w:rsidRDefault="00A34D69" w:rsidP="00E062B7">
            <w:pPr>
              <w:spacing w:after="0" w:line="240" w:lineRule="auto"/>
              <w:jc w:val="both"/>
              <w:rPr>
                <w:rFonts w:ascii="Arial" w:eastAsia="Times New Roman" w:hAnsi="Arial" w:cs="Arial"/>
                <w:color w:val="000000"/>
                <w:sz w:val="24"/>
                <w:szCs w:val="24"/>
              </w:rPr>
            </w:pPr>
          </w:p>
          <w:p w14:paraId="737C5CE8" w14:textId="77777777" w:rsidR="00A34D69" w:rsidRPr="00A34D69" w:rsidRDefault="00A34D69" w:rsidP="00E062B7">
            <w:pPr>
              <w:spacing w:after="0" w:line="240" w:lineRule="auto"/>
              <w:jc w:val="both"/>
              <w:rPr>
                <w:rFonts w:ascii="Arial" w:eastAsia="Times New Roman" w:hAnsi="Arial" w:cs="Arial"/>
                <w:color w:val="000000"/>
                <w:sz w:val="24"/>
                <w:szCs w:val="24"/>
              </w:rPr>
            </w:pPr>
            <w:r w:rsidRPr="00A34D69">
              <w:rPr>
                <w:rFonts w:ascii="Arial" w:eastAsia="Times New Roman" w:hAnsi="Arial" w:cs="Arial"/>
                <w:color w:val="000000"/>
                <w:sz w:val="24"/>
                <w:szCs w:val="24"/>
              </w:rPr>
              <w:t>Remind them of the benefits of their own professional development when partaking in such training as umpiring and coaching.</w:t>
            </w:r>
          </w:p>
          <w:p w14:paraId="05052CD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p>
          <w:p w14:paraId="3294FD3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Ask students to </w:t>
            </w:r>
            <w:r w:rsidRPr="00A34D69">
              <w:rPr>
                <w:rFonts w:ascii="Arial" w:eastAsia="Times New Roman" w:hAnsi="Arial" w:cs="Arial"/>
                <w:color w:val="000000"/>
                <w:sz w:val="24"/>
                <w:szCs w:val="24"/>
              </w:rPr>
              <w:t xml:space="preserve">accept a word document of questions relating to the PowerPoint which they should return to me for assessment.  The PowerPoint </w:t>
            </w:r>
            <w:proofErr w:type="gramStart"/>
            <w:r w:rsidRPr="00A34D69">
              <w:rPr>
                <w:rFonts w:ascii="Arial" w:eastAsia="Times New Roman" w:hAnsi="Arial" w:cs="Arial"/>
                <w:color w:val="000000"/>
                <w:sz w:val="24"/>
                <w:szCs w:val="24"/>
              </w:rPr>
              <w:t>will  not</w:t>
            </w:r>
            <w:proofErr w:type="gramEnd"/>
            <w:r w:rsidRPr="00A34D69">
              <w:rPr>
                <w:rFonts w:ascii="Arial" w:eastAsia="Times New Roman" w:hAnsi="Arial" w:cs="Arial"/>
                <w:color w:val="000000"/>
                <w:sz w:val="24"/>
                <w:szCs w:val="24"/>
              </w:rPr>
              <w:t xml:space="preserve"> be available to them after the lecture.</w:t>
            </w:r>
          </w:p>
          <w:p w14:paraId="18C2A556"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4BBC81F" w14:textId="11058C10"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r w:rsidRPr="00A34D69">
              <w:rPr>
                <w:rFonts w:ascii="Arial" w:eastAsia="Times New Roman" w:hAnsi="Arial" w:cs="Arial"/>
                <w:color w:val="000000"/>
                <w:sz w:val="24"/>
                <w:szCs w:val="24"/>
              </w:rPr>
              <w:t>Assessment marking.</w:t>
            </w:r>
            <w:r w:rsidRPr="009837D8">
              <w:rPr>
                <w:rFonts w:ascii="Arial" w:eastAsia="Times New Roman" w:hAnsi="Arial" w:cs="Arial"/>
                <w:color w:val="000000"/>
                <w:sz w:val="24"/>
                <w:szCs w:val="24"/>
              </w:rPr>
              <w:t> </w:t>
            </w:r>
          </w:p>
        </w:tc>
        <w:tc>
          <w:tcPr>
            <w:tcW w:w="0" w:type="auto"/>
            <w:tcBorders>
              <w:top w:val="single" w:sz="6" w:space="0" w:color="000000"/>
              <w:left w:val="single" w:sz="6" w:space="0" w:color="000000"/>
              <w:bottom w:val="single" w:sz="6" w:space="0" w:color="000000"/>
              <w:right w:val="single" w:sz="6" w:space="0" w:color="000000"/>
            </w:tcBorders>
            <w:hideMark/>
          </w:tcPr>
          <w:p w14:paraId="62F942A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xml:space="preserve">Power Point </w:t>
            </w:r>
            <w:r w:rsidRPr="00A34D69">
              <w:rPr>
                <w:rFonts w:ascii="Arial" w:eastAsia="Times New Roman" w:hAnsi="Arial" w:cs="Arial"/>
                <w:color w:val="000000"/>
                <w:sz w:val="24"/>
                <w:szCs w:val="24"/>
              </w:rPr>
              <w:t>on Teams</w:t>
            </w:r>
          </w:p>
          <w:p w14:paraId="0F7FB29A"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0F389ED"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9FF039F"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73A98EC"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E094504"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4A97589"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r w:rsidRPr="00A34D69">
              <w:rPr>
                <w:rFonts w:ascii="Arial" w:eastAsia="Times New Roman" w:hAnsi="Arial" w:cs="Arial"/>
                <w:color w:val="000000"/>
                <w:sz w:val="24"/>
                <w:szCs w:val="24"/>
              </w:rPr>
              <w:t>Word Document</w:t>
            </w:r>
            <w:r w:rsidRPr="009837D8">
              <w:rPr>
                <w:rFonts w:ascii="Arial" w:eastAsia="Times New Roman" w:hAnsi="Arial" w:cs="Arial"/>
                <w:color w:val="000000"/>
                <w:sz w:val="24"/>
                <w:szCs w:val="24"/>
              </w:rPr>
              <w:t> </w:t>
            </w:r>
          </w:p>
          <w:p w14:paraId="740EBC64"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45E4E4C"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0EEB11E"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00DC150"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ABDE5BD" w14:textId="77777777" w:rsidR="00A34D69" w:rsidRPr="009837D8" w:rsidRDefault="00A34D69" w:rsidP="00E062B7">
            <w:pPr>
              <w:spacing w:after="0" w:line="240" w:lineRule="auto"/>
              <w:rPr>
                <w:rFonts w:ascii="Times New Roman" w:eastAsia="Times New Roman" w:hAnsi="Times New Roman" w:cs="Times New Roman"/>
                <w:sz w:val="24"/>
                <w:szCs w:val="24"/>
              </w:rPr>
            </w:pPr>
            <w:proofErr w:type="gramStart"/>
            <w:r w:rsidRPr="00A34D69">
              <w:rPr>
                <w:rFonts w:ascii="Arial" w:eastAsia="Times New Roman" w:hAnsi="Arial" w:cs="Arial"/>
                <w:color w:val="000000"/>
                <w:sz w:val="24"/>
                <w:szCs w:val="24"/>
              </w:rPr>
              <w:t>Peer  to</w:t>
            </w:r>
            <w:proofErr w:type="gramEnd"/>
            <w:r w:rsidRPr="00A34D69">
              <w:rPr>
                <w:rFonts w:ascii="Arial" w:eastAsia="Times New Roman" w:hAnsi="Arial" w:cs="Arial"/>
                <w:color w:val="000000"/>
                <w:sz w:val="24"/>
                <w:szCs w:val="24"/>
              </w:rPr>
              <w:t xml:space="preserve"> assess</w:t>
            </w:r>
            <w:r w:rsidRPr="009837D8">
              <w:rPr>
                <w:rFonts w:ascii="Arial" w:eastAsia="Times New Roman" w:hAnsi="Arial" w:cs="Arial"/>
                <w:color w:val="000000"/>
                <w:sz w:val="24"/>
                <w:szCs w:val="24"/>
              </w:rPr>
              <w:t> </w:t>
            </w:r>
          </w:p>
          <w:p w14:paraId="12236F09"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4676AE8"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E7D40CA"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9831681" w14:textId="55A72B8D"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5031E17" w14:textId="77777777" w:rsidR="00A34D69" w:rsidRPr="00A34D69" w:rsidRDefault="00A34D69" w:rsidP="00E062B7">
            <w:pPr>
              <w:spacing w:after="0" w:line="240" w:lineRule="auto"/>
              <w:rPr>
                <w:rFonts w:ascii="Arial" w:eastAsia="Times New Roman" w:hAnsi="Arial" w:cs="Arial"/>
                <w:color w:val="000000"/>
                <w:sz w:val="24"/>
                <w:szCs w:val="24"/>
              </w:rPr>
            </w:pPr>
          </w:p>
          <w:p w14:paraId="23A64048"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Discussion </w:t>
            </w:r>
          </w:p>
          <w:p w14:paraId="3BFCE186"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F64A393"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2E42CB3"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69390E5"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62A47B4"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F0DC328"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E04D356"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A2C632F" w14:textId="77777777" w:rsidR="00A34D69" w:rsidRPr="009837D8" w:rsidRDefault="00A34D69" w:rsidP="00E062B7">
            <w:pPr>
              <w:spacing w:after="0" w:line="240" w:lineRule="auto"/>
              <w:rPr>
                <w:rFonts w:ascii="Times New Roman" w:eastAsia="Times New Roman" w:hAnsi="Times New Roman" w:cs="Times New Roman"/>
                <w:sz w:val="24"/>
                <w:szCs w:val="24"/>
              </w:rPr>
            </w:pPr>
            <w:r w:rsidRPr="009837D8">
              <w:rPr>
                <w:rFonts w:ascii="Arial" w:eastAsia="Times New Roman" w:hAnsi="Arial" w:cs="Arial"/>
                <w:color w:val="000000"/>
                <w:sz w:val="24"/>
                <w:szCs w:val="24"/>
              </w:rPr>
              <w:t>Discussion </w:t>
            </w:r>
          </w:p>
        </w:tc>
        <w:tc>
          <w:tcPr>
            <w:tcW w:w="730" w:type="dxa"/>
            <w:tcBorders>
              <w:top w:val="single" w:sz="6" w:space="0" w:color="000000"/>
              <w:left w:val="single" w:sz="6" w:space="0" w:color="000000"/>
              <w:bottom w:val="single" w:sz="6" w:space="0" w:color="000000"/>
              <w:right w:val="single" w:sz="6" w:space="0" w:color="000000"/>
            </w:tcBorders>
            <w:hideMark/>
          </w:tcPr>
          <w:p w14:paraId="03E5CCDB"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10 mins </w:t>
            </w:r>
          </w:p>
          <w:p w14:paraId="21F0ABA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8F6D59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06C5E6B"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86EE59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5169DC71"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53AC320"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A5C87EE"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AD77F1D"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8346A9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DE99119"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470440C"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21EF63A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5 mins </w:t>
            </w:r>
          </w:p>
          <w:p w14:paraId="77CE57E7"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420F242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59EA5038"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D1457B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C404445" w14:textId="728D82C2"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887E3E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10 mins </w:t>
            </w:r>
          </w:p>
          <w:p w14:paraId="60400BA2"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140B2E7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C01E180"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F34984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5FC3DA00"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778F20E4"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10 mins </w:t>
            </w:r>
          </w:p>
          <w:p w14:paraId="48EDC470"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495CF08"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623457A5"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0D134ACF"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9837D8">
              <w:rPr>
                <w:rFonts w:ascii="Arial" w:eastAsia="Times New Roman" w:hAnsi="Arial" w:cs="Arial"/>
                <w:color w:val="000000"/>
                <w:sz w:val="24"/>
                <w:szCs w:val="24"/>
              </w:rPr>
              <w:t> </w:t>
            </w:r>
          </w:p>
          <w:p w14:paraId="38298FF6" w14:textId="77777777" w:rsidR="00A34D69" w:rsidRPr="009837D8" w:rsidRDefault="00A34D69" w:rsidP="00E062B7">
            <w:pPr>
              <w:spacing w:after="0" w:line="240" w:lineRule="auto"/>
              <w:jc w:val="both"/>
              <w:rPr>
                <w:rFonts w:ascii="Times New Roman" w:eastAsia="Times New Roman" w:hAnsi="Times New Roman" w:cs="Times New Roman"/>
                <w:sz w:val="24"/>
                <w:szCs w:val="24"/>
              </w:rPr>
            </w:pPr>
            <w:r w:rsidRPr="00A34D69">
              <w:rPr>
                <w:rFonts w:ascii="Arial" w:eastAsia="Times New Roman" w:hAnsi="Arial" w:cs="Arial"/>
                <w:color w:val="000000"/>
                <w:sz w:val="24"/>
                <w:szCs w:val="24"/>
              </w:rPr>
              <w:t>10</w:t>
            </w:r>
            <w:r w:rsidRPr="009837D8">
              <w:rPr>
                <w:rFonts w:ascii="Arial" w:eastAsia="Times New Roman" w:hAnsi="Arial" w:cs="Arial"/>
                <w:color w:val="000000"/>
                <w:sz w:val="24"/>
                <w:szCs w:val="24"/>
              </w:rPr>
              <w:t xml:space="preserve"> mins </w:t>
            </w:r>
          </w:p>
        </w:tc>
      </w:tr>
    </w:tbl>
    <w:p w14:paraId="7262B9CD" w14:textId="77777777" w:rsidR="00A34D69" w:rsidRPr="00A34D69" w:rsidRDefault="00A34D69" w:rsidP="00CC743E">
      <w:pPr>
        <w:tabs>
          <w:tab w:val="left" w:pos="6600"/>
        </w:tabs>
        <w:rPr>
          <w:sz w:val="24"/>
          <w:szCs w:val="24"/>
        </w:rPr>
      </w:pPr>
    </w:p>
    <w:p w14:paraId="2AAA74B7" w14:textId="77777777" w:rsidR="00A34D69" w:rsidRPr="00A34D69" w:rsidRDefault="00A34D69" w:rsidP="00CC743E">
      <w:pPr>
        <w:tabs>
          <w:tab w:val="left" w:pos="6600"/>
        </w:tabs>
        <w:rPr>
          <w:sz w:val="24"/>
          <w:szCs w:val="24"/>
        </w:rPr>
      </w:pPr>
    </w:p>
    <w:p w14:paraId="6D81ECDD" w14:textId="1FA15AA7" w:rsidR="00A34D69" w:rsidRDefault="00A34D69" w:rsidP="00CC743E">
      <w:pPr>
        <w:tabs>
          <w:tab w:val="left" w:pos="6600"/>
        </w:tabs>
        <w:rPr>
          <w:sz w:val="24"/>
          <w:szCs w:val="24"/>
        </w:rPr>
      </w:pPr>
      <w:r w:rsidRPr="00A34D69">
        <w:rPr>
          <w:sz w:val="24"/>
          <w:szCs w:val="24"/>
        </w:rPr>
        <w:t>Video Sent via Email to Marion Phillips, Caroline Lewis and Katie Gardener</w:t>
      </w:r>
    </w:p>
    <w:p w14:paraId="5E8009FE" w14:textId="77777777" w:rsidR="001525DD" w:rsidRDefault="001525DD" w:rsidP="001525DD">
      <w:r>
        <w:lastRenderedPageBreak/>
        <w:t>Assessment</w:t>
      </w:r>
    </w:p>
    <w:p w14:paraId="710C5061" w14:textId="77777777" w:rsidR="001525DD" w:rsidRDefault="001525DD" w:rsidP="001525DD"/>
    <w:p w14:paraId="007483CA" w14:textId="77777777" w:rsidR="001525DD" w:rsidRDefault="001525DD" w:rsidP="001525DD">
      <w:r>
        <w:t xml:space="preserve">Please return as soon as possible to ensure </w:t>
      </w:r>
      <w:proofErr w:type="gramStart"/>
      <w:r>
        <w:t>that  you</w:t>
      </w:r>
      <w:proofErr w:type="gramEnd"/>
      <w:r>
        <w:t xml:space="preserve"> have understood the </w:t>
      </w:r>
      <w:proofErr w:type="spellStart"/>
      <w:r>
        <w:t>powerpoint</w:t>
      </w:r>
      <w:proofErr w:type="spellEnd"/>
    </w:p>
    <w:p w14:paraId="10F09B40" w14:textId="77777777" w:rsidR="001525DD" w:rsidRDefault="001525DD" w:rsidP="001525DD"/>
    <w:p w14:paraId="7980A8EF" w14:textId="77777777" w:rsidR="001525DD" w:rsidRDefault="001525DD" w:rsidP="001525DD">
      <w:r>
        <w:t>How far apart should the bases be</w:t>
      </w:r>
    </w:p>
    <w:p w14:paraId="57DDD77D" w14:textId="77777777" w:rsidR="001525DD" w:rsidRDefault="001525DD" w:rsidP="001525DD">
      <w:r>
        <w:t>6 meters                                12 meters                            18 meters</w:t>
      </w:r>
    </w:p>
    <w:p w14:paraId="74A0C5FA" w14:textId="77777777" w:rsidR="001525DD" w:rsidRDefault="001525DD" w:rsidP="001525DD"/>
    <w:p w14:paraId="56D7F36B" w14:textId="77777777" w:rsidR="001525DD" w:rsidRDefault="001525DD" w:rsidP="001525DD">
      <w:r>
        <w:t xml:space="preserve">How far behind the </w:t>
      </w:r>
      <w:proofErr w:type="gramStart"/>
      <w:r>
        <w:t>batters</w:t>
      </w:r>
      <w:proofErr w:type="gramEnd"/>
      <w:r>
        <w:t xml:space="preserve"> square is the backstop line</w:t>
      </w:r>
    </w:p>
    <w:p w14:paraId="35A2236B" w14:textId="77777777" w:rsidR="001525DD" w:rsidRDefault="001525DD" w:rsidP="001525DD"/>
    <w:p w14:paraId="283587A7" w14:textId="77777777" w:rsidR="001525DD" w:rsidRDefault="001525DD" w:rsidP="001525DD">
      <w:r>
        <w:t>1 meter                              2 meters                                     3 meters</w:t>
      </w:r>
    </w:p>
    <w:p w14:paraId="28A1EBF5" w14:textId="77777777" w:rsidR="001525DD" w:rsidRDefault="001525DD" w:rsidP="001525DD"/>
    <w:p w14:paraId="66E5EB1F" w14:textId="77777777" w:rsidR="001525DD" w:rsidRDefault="001525DD" w:rsidP="001525DD">
      <w:r>
        <w:t>What is the minimum number of players that a team can field</w:t>
      </w:r>
    </w:p>
    <w:p w14:paraId="1D79EB4A" w14:textId="77777777" w:rsidR="001525DD" w:rsidRDefault="001525DD" w:rsidP="001525DD"/>
    <w:p w14:paraId="6944465B" w14:textId="77777777" w:rsidR="001525DD" w:rsidRDefault="001525DD" w:rsidP="001525DD">
      <w:r>
        <w:t>6                            9                                       15</w:t>
      </w:r>
    </w:p>
    <w:p w14:paraId="7B4BEE0B" w14:textId="77777777" w:rsidR="001525DD" w:rsidRDefault="001525DD" w:rsidP="001525DD"/>
    <w:p w14:paraId="2AF805CC" w14:textId="77777777" w:rsidR="001525DD" w:rsidRDefault="001525DD" w:rsidP="001525DD">
      <w:r>
        <w:t>How many players in a team can be on the field at any one time</w:t>
      </w:r>
    </w:p>
    <w:p w14:paraId="080328DF" w14:textId="77777777" w:rsidR="001525DD" w:rsidRDefault="001525DD" w:rsidP="001525DD"/>
    <w:p w14:paraId="7C43AA9B" w14:textId="77777777" w:rsidR="001525DD" w:rsidRDefault="001525DD" w:rsidP="001525DD">
      <w:r>
        <w:t>6                            9                                       15</w:t>
      </w:r>
    </w:p>
    <w:p w14:paraId="4AF4F3F8" w14:textId="77777777" w:rsidR="001525DD" w:rsidRDefault="001525DD" w:rsidP="001525DD"/>
    <w:p w14:paraId="32404E15" w14:textId="77777777" w:rsidR="001525DD" w:rsidRDefault="001525DD" w:rsidP="001525DD">
      <w:proofErr w:type="gramStart"/>
      <w:r>
        <w:t>If  a</w:t>
      </w:r>
      <w:proofErr w:type="gramEnd"/>
      <w:r>
        <w:t xml:space="preserve"> batter is stopped at a post and decides not to move on when the live batter is running and the live batter overtakes the first batter, what decision should the umpire take</w:t>
      </w:r>
    </w:p>
    <w:p w14:paraId="68003F10" w14:textId="77777777" w:rsidR="001525DD" w:rsidRDefault="001525DD" w:rsidP="001525DD"/>
    <w:p w14:paraId="6C8034EE" w14:textId="77777777" w:rsidR="001525DD" w:rsidRDefault="001525DD" w:rsidP="001525DD">
      <w:r>
        <w:t>Name three scenarios which a player can be out</w:t>
      </w:r>
    </w:p>
    <w:p w14:paraId="0D7B92CA" w14:textId="77777777" w:rsidR="001525DD" w:rsidRDefault="001525DD" w:rsidP="001525DD"/>
    <w:p w14:paraId="58BAFA77" w14:textId="77777777" w:rsidR="001525DD" w:rsidRDefault="001525DD" w:rsidP="001525DD">
      <w:r>
        <w:t>What is the rule when the ball is hit behind the front of the batting square</w:t>
      </w:r>
    </w:p>
    <w:p w14:paraId="6AAF348E" w14:textId="77777777" w:rsidR="001525DD" w:rsidRDefault="001525DD" w:rsidP="00CC743E">
      <w:pPr>
        <w:tabs>
          <w:tab w:val="left" w:pos="6600"/>
        </w:tabs>
        <w:rPr>
          <w:sz w:val="24"/>
          <w:szCs w:val="24"/>
        </w:rPr>
      </w:pPr>
    </w:p>
    <w:p w14:paraId="774033CB" w14:textId="77777777" w:rsidR="001525DD" w:rsidRDefault="001525DD" w:rsidP="00CC743E">
      <w:pPr>
        <w:tabs>
          <w:tab w:val="left" w:pos="6600"/>
        </w:tabs>
        <w:rPr>
          <w:sz w:val="24"/>
          <w:szCs w:val="24"/>
        </w:rPr>
      </w:pPr>
    </w:p>
    <w:p w14:paraId="7C2DD0F5" w14:textId="77777777" w:rsidR="001525DD" w:rsidRPr="00A34D69" w:rsidRDefault="001525DD" w:rsidP="00CC743E">
      <w:pPr>
        <w:tabs>
          <w:tab w:val="left" w:pos="6600"/>
        </w:tabs>
        <w:rPr>
          <w:sz w:val="24"/>
          <w:szCs w:val="24"/>
        </w:rPr>
      </w:pPr>
    </w:p>
    <w:p w14:paraId="16092CDD" w14:textId="77777777" w:rsidR="00A34D69" w:rsidRPr="00A34D69" w:rsidRDefault="00A34D69" w:rsidP="00CC743E">
      <w:pPr>
        <w:tabs>
          <w:tab w:val="left" w:pos="6600"/>
        </w:tabs>
        <w:rPr>
          <w:sz w:val="24"/>
          <w:szCs w:val="24"/>
        </w:rPr>
      </w:pPr>
    </w:p>
    <w:p w14:paraId="5FB7A582" w14:textId="2C5B95D7" w:rsidR="00A34D69" w:rsidRPr="00A34D69" w:rsidRDefault="00A34D69" w:rsidP="00CC743E">
      <w:pPr>
        <w:tabs>
          <w:tab w:val="left" w:pos="6600"/>
        </w:tabs>
        <w:rPr>
          <w:b/>
          <w:bCs/>
          <w:sz w:val="24"/>
          <w:szCs w:val="24"/>
        </w:rPr>
      </w:pPr>
      <w:r w:rsidRPr="00A34D69">
        <w:rPr>
          <w:b/>
          <w:bCs/>
          <w:sz w:val="24"/>
          <w:szCs w:val="24"/>
        </w:rPr>
        <w:lastRenderedPageBreak/>
        <w:t>Informal Reflection</w:t>
      </w:r>
    </w:p>
    <w:p w14:paraId="323FDFB7" w14:textId="0E4488B2" w:rsidR="00A34D69" w:rsidRPr="00A34D69" w:rsidRDefault="00A34D69" w:rsidP="00A34D69">
      <w:pPr>
        <w:tabs>
          <w:tab w:val="left" w:pos="6600"/>
        </w:tabs>
        <w:spacing w:line="360" w:lineRule="auto"/>
        <w:jc w:val="both"/>
        <w:rPr>
          <w:sz w:val="24"/>
          <w:szCs w:val="24"/>
        </w:rPr>
      </w:pPr>
      <w:r w:rsidRPr="00A34D69">
        <w:rPr>
          <w:sz w:val="24"/>
          <w:szCs w:val="24"/>
        </w:rPr>
        <w:t xml:space="preserve">I felt that the lesson went well and although I had taken measures to ensure that all the students had access to the </w:t>
      </w:r>
      <w:proofErr w:type="gramStart"/>
      <w:r w:rsidRPr="00A34D69">
        <w:rPr>
          <w:sz w:val="24"/>
          <w:szCs w:val="24"/>
        </w:rPr>
        <w:t>teams</w:t>
      </w:r>
      <w:proofErr w:type="gramEnd"/>
      <w:r w:rsidRPr="00A34D69">
        <w:rPr>
          <w:sz w:val="24"/>
          <w:szCs w:val="24"/>
        </w:rPr>
        <w:t xml:space="preserve"> application, one student was unable to access the meeting through the link.  I therefore sent the meeting ID to the student through What’s App message and they accessed the meeting successfully.</w:t>
      </w:r>
    </w:p>
    <w:p w14:paraId="3BAD12D2" w14:textId="4B76795C" w:rsidR="00A34D69" w:rsidRPr="00A34D69" w:rsidRDefault="00A34D69" w:rsidP="00A34D69">
      <w:pPr>
        <w:tabs>
          <w:tab w:val="left" w:pos="6600"/>
        </w:tabs>
        <w:spacing w:line="360" w:lineRule="auto"/>
        <w:jc w:val="both"/>
        <w:rPr>
          <w:sz w:val="24"/>
          <w:szCs w:val="24"/>
        </w:rPr>
      </w:pPr>
      <w:r w:rsidRPr="00A34D69">
        <w:rPr>
          <w:sz w:val="24"/>
          <w:szCs w:val="24"/>
        </w:rPr>
        <w:t xml:space="preserve">All of the students were familiar with teams and were able to follow the PowerPoint easily. </w:t>
      </w:r>
    </w:p>
    <w:p w14:paraId="649567ED" w14:textId="224149FE" w:rsidR="00A34D69" w:rsidRPr="00A34D69" w:rsidRDefault="00A34D69" w:rsidP="00A34D69">
      <w:pPr>
        <w:tabs>
          <w:tab w:val="left" w:pos="6600"/>
        </w:tabs>
        <w:spacing w:line="360" w:lineRule="auto"/>
        <w:jc w:val="both"/>
        <w:rPr>
          <w:sz w:val="24"/>
          <w:szCs w:val="24"/>
        </w:rPr>
      </w:pPr>
      <w:r w:rsidRPr="00A34D69">
        <w:rPr>
          <w:sz w:val="24"/>
          <w:szCs w:val="24"/>
        </w:rPr>
        <w:t>The students engaged with the lecture using thumb emojis rather than acknowledging me through audio or camera and all of the students choose to keep these features off and only the voice feature was used to ask questions.  On reflection, I did not alert the students to the chat feature and I feel that this would have been useful for both the students and me.</w:t>
      </w:r>
    </w:p>
    <w:p w14:paraId="16742B40" w14:textId="34334F1E" w:rsidR="00A34D69" w:rsidRPr="00A34D69" w:rsidRDefault="00A34D69" w:rsidP="00A34D69">
      <w:pPr>
        <w:tabs>
          <w:tab w:val="left" w:pos="6600"/>
        </w:tabs>
        <w:spacing w:line="360" w:lineRule="auto"/>
        <w:jc w:val="both"/>
        <w:rPr>
          <w:sz w:val="24"/>
          <w:szCs w:val="24"/>
        </w:rPr>
      </w:pPr>
      <w:r w:rsidRPr="00A34D69">
        <w:rPr>
          <w:sz w:val="24"/>
          <w:szCs w:val="24"/>
        </w:rPr>
        <w:t xml:space="preserve">The PowerPoint Was clear and straightforward and the assessment questionnaires were completed and assessed by peers quickly and efficiently.  All of the students achieved positive results and they were encouraged by the feedback from their peers. </w:t>
      </w:r>
    </w:p>
    <w:p w14:paraId="4338682E" w14:textId="77777777" w:rsidR="00A34D69" w:rsidRPr="00A34D69" w:rsidRDefault="00A34D69" w:rsidP="00CC743E">
      <w:pPr>
        <w:tabs>
          <w:tab w:val="left" w:pos="6600"/>
        </w:tabs>
        <w:rPr>
          <w:sz w:val="24"/>
          <w:szCs w:val="24"/>
        </w:rPr>
      </w:pPr>
    </w:p>
    <w:p w14:paraId="638B0148" w14:textId="77777777" w:rsidR="00A34D69" w:rsidRPr="00A34D69" w:rsidRDefault="00A34D69" w:rsidP="00CC743E">
      <w:pPr>
        <w:tabs>
          <w:tab w:val="left" w:pos="6600"/>
        </w:tabs>
        <w:rPr>
          <w:sz w:val="24"/>
          <w:szCs w:val="24"/>
        </w:rPr>
      </w:pPr>
    </w:p>
    <w:p w14:paraId="7DA513BE" w14:textId="77777777" w:rsidR="00A34D69" w:rsidRPr="00A34D69" w:rsidRDefault="00A34D69" w:rsidP="00CC743E">
      <w:pPr>
        <w:tabs>
          <w:tab w:val="left" w:pos="6600"/>
        </w:tabs>
        <w:rPr>
          <w:sz w:val="24"/>
          <w:szCs w:val="24"/>
        </w:rPr>
      </w:pPr>
    </w:p>
    <w:p w14:paraId="533848D2" w14:textId="77777777" w:rsidR="00A34D69" w:rsidRPr="00A34D69" w:rsidRDefault="00A34D69" w:rsidP="00CC743E">
      <w:pPr>
        <w:tabs>
          <w:tab w:val="left" w:pos="6600"/>
        </w:tabs>
        <w:rPr>
          <w:sz w:val="24"/>
          <w:szCs w:val="24"/>
        </w:rPr>
      </w:pPr>
    </w:p>
    <w:p w14:paraId="2AE6B334" w14:textId="77777777" w:rsidR="00A34D69" w:rsidRPr="00A34D69" w:rsidRDefault="00A34D69" w:rsidP="00CC743E">
      <w:pPr>
        <w:tabs>
          <w:tab w:val="left" w:pos="6600"/>
        </w:tabs>
        <w:rPr>
          <w:sz w:val="24"/>
          <w:szCs w:val="24"/>
        </w:rPr>
      </w:pPr>
    </w:p>
    <w:p w14:paraId="083D6FE4" w14:textId="77777777" w:rsidR="00A34D69" w:rsidRDefault="00A34D69" w:rsidP="00CC743E">
      <w:pPr>
        <w:tabs>
          <w:tab w:val="left" w:pos="6600"/>
        </w:tabs>
        <w:rPr>
          <w:sz w:val="24"/>
          <w:szCs w:val="24"/>
        </w:rPr>
      </w:pPr>
    </w:p>
    <w:p w14:paraId="6F3DA060" w14:textId="77777777" w:rsidR="00A34D69" w:rsidRDefault="00A34D69" w:rsidP="00CC743E">
      <w:pPr>
        <w:tabs>
          <w:tab w:val="left" w:pos="6600"/>
        </w:tabs>
        <w:rPr>
          <w:sz w:val="24"/>
          <w:szCs w:val="24"/>
        </w:rPr>
      </w:pPr>
    </w:p>
    <w:p w14:paraId="387727C6" w14:textId="77777777" w:rsidR="00A34D69" w:rsidRDefault="00A34D69" w:rsidP="00CC743E">
      <w:pPr>
        <w:tabs>
          <w:tab w:val="left" w:pos="6600"/>
        </w:tabs>
        <w:rPr>
          <w:sz w:val="24"/>
          <w:szCs w:val="24"/>
        </w:rPr>
      </w:pPr>
    </w:p>
    <w:p w14:paraId="2DCD7D19" w14:textId="77777777" w:rsidR="00A34D69" w:rsidRDefault="00A34D69" w:rsidP="00CC743E">
      <w:pPr>
        <w:tabs>
          <w:tab w:val="left" w:pos="6600"/>
        </w:tabs>
        <w:rPr>
          <w:sz w:val="24"/>
          <w:szCs w:val="24"/>
        </w:rPr>
      </w:pPr>
    </w:p>
    <w:p w14:paraId="5079A52E" w14:textId="77777777" w:rsidR="00A34D69" w:rsidRDefault="00A34D69" w:rsidP="00CC743E">
      <w:pPr>
        <w:tabs>
          <w:tab w:val="left" w:pos="6600"/>
        </w:tabs>
        <w:rPr>
          <w:sz w:val="24"/>
          <w:szCs w:val="24"/>
        </w:rPr>
      </w:pPr>
    </w:p>
    <w:p w14:paraId="79AD1C31" w14:textId="77777777" w:rsidR="00A34D69" w:rsidRDefault="00A34D69" w:rsidP="00CC743E">
      <w:pPr>
        <w:tabs>
          <w:tab w:val="left" w:pos="6600"/>
        </w:tabs>
        <w:rPr>
          <w:sz w:val="24"/>
          <w:szCs w:val="24"/>
        </w:rPr>
      </w:pPr>
    </w:p>
    <w:p w14:paraId="30B35090" w14:textId="77777777" w:rsidR="00A34D69" w:rsidRDefault="00A34D69" w:rsidP="00CC743E">
      <w:pPr>
        <w:tabs>
          <w:tab w:val="left" w:pos="6600"/>
        </w:tabs>
        <w:rPr>
          <w:sz w:val="24"/>
          <w:szCs w:val="24"/>
        </w:rPr>
      </w:pPr>
    </w:p>
    <w:p w14:paraId="604FAC06" w14:textId="77777777" w:rsidR="00A34D69" w:rsidRPr="00A34D69" w:rsidRDefault="00A34D69" w:rsidP="00CC743E">
      <w:pPr>
        <w:tabs>
          <w:tab w:val="left" w:pos="6600"/>
        </w:tabs>
        <w:rPr>
          <w:sz w:val="24"/>
          <w:szCs w:val="24"/>
        </w:rPr>
      </w:pPr>
    </w:p>
    <w:p w14:paraId="155082DB" w14:textId="2D0206FD" w:rsidR="00A34D69" w:rsidRPr="00A34D69" w:rsidRDefault="00A34D69" w:rsidP="00CC743E">
      <w:pPr>
        <w:tabs>
          <w:tab w:val="left" w:pos="6600"/>
        </w:tabs>
        <w:rPr>
          <w:sz w:val="24"/>
          <w:szCs w:val="24"/>
        </w:rPr>
      </w:pPr>
      <w:r w:rsidRPr="00A34D69">
        <w:rPr>
          <w:sz w:val="24"/>
          <w:szCs w:val="24"/>
        </w:rPr>
        <w:t>Reference List</w:t>
      </w:r>
    </w:p>
    <w:p w14:paraId="06AE4B30"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lastRenderedPageBreak/>
        <w:t xml:space="preserve">Adedoyin, O.B. and </w:t>
      </w:r>
      <w:proofErr w:type="spellStart"/>
      <w:r w:rsidRPr="00A34D69">
        <w:rPr>
          <w:rFonts w:ascii="Source Sans Pro" w:hAnsi="Source Sans Pro"/>
          <w:color w:val="3A3A3A"/>
          <w:sz w:val="24"/>
          <w:szCs w:val="24"/>
          <w:shd w:val="clear" w:color="auto" w:fill="FFFFFF"/>
        </w:rPr>
        <w:t>Soykan</w:t>
      </w:r>
      <w:proofErr w:type="spellEnd"/>
      <w:r w:rsidRPr="00A34D69">
        <w:rPr>
          <w:rFonts w:ascii="Source Sans Pro" w:hAnsi="Source Sans Pro"/>
          <w:color w:val="3A3A3A"/>
          <w:sz w:val="24"/>
          <w:szCs w:val="24"/>
          <w:shd w:val="clear" w:color="auto" w:fill="FFFFFF"/>
        </w:rPr>
        <w:t>, E. (2023) ‘Covid-19 pandemic and online learning: the challenges and opportunities’, </w:t>
      </w:r>
      <w:r w:rsidRPr="00A34D69">
        <w:rPr>
          <w:rFonts w:ascii="Source Sans Pro" w:hAnsi="Source Sans Pro"/>
          <w:i/>
          <w:iCs/>
          <w:color w:val="3A3A3A"/>
          <w:sz w:val="24"/>
          <w:szCs w:val="24"/>
          <w:shd w:val="clear" w:color="auto" w:fill="FFFFFF"/>
        </w:rPr>
        <w:t>Interactive learning environments</w:t>
      </w:r>
      <w:r w:rsidRPr="00A34D69">
        <w:rPr>
          <w:rFonts w:ascii="Source Sans Pro" w:hAnsi="Source Sans Pro"/>
          <w:color w:val="3A3A3A"/>
          <w:sz w:val="24"/>
          <w:szCs w:val="24"/>
          <w:shd w:val="clear" w:color="auto" w:fill="FFFFFF"/>
        </w:rPr>
        <w:t xml:space="preserve">, 31(2), pp. 863–875. Available at: </w:t>
      </w:r>
      <w:hyperlink r:id="rId8" w:history="1">
        <w:r w:rsidRPr="00A34D69">
          <w:rPr>
            <w:rStyle w:val="Hyperlink"/>
            <w:rFonts w:ascii="Source Sans Pro" w:hAnsi="Source Sans Pro"/>
            <w:sz w:val="24"/>
            <w:szCs w:val="24"/>
            <w:shd w:val="clear" w:color="auto" w:fill="FFFFFF"/>
          </w:rPr>
          <w:t>https://doi.org/10.1080/10494820.2020.1813180</w:t>
        </w:r>
      </w:hyperlink>
      <w:r w:rsidRPr="00A34D69">
        <w:rPr>
          <w:rFonts w:ascii="Source Sans Pro" w:hAnsi="Source Sans Pro"/>
          <w:color w:val="3A3A3A"/>
          <w:sz w:val="24"/>
          <w:szCs w:val="24"/>
          <w:shd w:val="clear" w:color="auto" w:fill="FFFFFF"/>
        </w:rPr>
        <w:t>.</w:t>
      </w:r>
    </w:p>
    <w:p w14:paraId="6787282F" w14:textId="77777777" w:rsidR="00A34D69" w:rsidRPr="00A34D69" w:rsidRDefault="00A34D69" w:rsidP="00A34D69">
      <w:pPr>
        <w:rPr>
          <w:rFonts w:ascii="Source Sans Pro" w:hAnsi="Source Sans Pro"/>
          <w:b/>
          <w:bCs/>
          <w:color w:val="3A3A3A"/>
          <w:sz w:val="24"/>
          <w:szCs w:val="24"/>
          <w:shd w:val="clear" w:color="auto" w:fill="FFFFFF"/>
        </w:rPr>
      </w:pPr>
      <w:r w:rsidRPr="00A34D69">
        <w:rPr>
          <w:rFonts w:ascii="Source Sans Pro" w:hAnsi="Source Sans Pro"/>
          <w:color w:val="3A3A3A"/>
          <w:sz w:val="24"/>
          <w:szCs w:val="24"/>
          <w:shd w:val="clear" w:color="auto" w:fill="FFFFFF"/>
        </w:rPr>
        <w:t>Bansilal, S. (2015) ‘Exploring student teachers’ perceptions of the influence of technology in learning and teaching mathematics’, </w:t>
      </w:r>
      <w:r w:rsidRPr="00A34D69">
        <w:rPr>
          <w:rFonts w:ascii="Source Sans Pro" w:hAnsi="Source Sans Pro"/>
          <w:i/>
          <w:iCs/>
          <w:color w:val="3A3A3A"/>
          <w:sz w:val="24"/>
          <w:szCs w:val="24"/>
          <w:shd w:val="clear" w:color="auto" w:fill="FFFFFF"/>
        </w:rPr>
        <w:t>South African journal of education</w:t>
      </w:r>
      <w:r w:rsidRPr="00A34D69">
        <w:rPr>
          <w:rFonts w:ascii="Source Sans Pro" w:hAnsi="Source Sans Pro"/>
          <w:color w:val="3A3A3A"/>
          <w:sz w:val="24"/>
          <w:szCs w:val="24"/>
          <w:shd w:val="clear" w:color="auto" w:fill="FFFFFF"/>
        </w:rPr>
        <w:t>, 35(4), pp. 1–8. Available at: https://doi.org/10.15700/saje.v35n4a1217.</w:t>
      </w:r>
    </w:p>
    <w:p w14:paraId="471D724F"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Corso, M.J.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(2013) ‘Where Student, Teacher, and Content Meet: Student Engagement in the Secondary School Classroom’, </w:t>
      </w:r>
      <w:r w:rsidRPr="00A34D69">
        <w:rPr>
          <w:rFonts w:ascii="Source Sans Pro" w:hAnsi="Source Sans Pro"/>
          <w:i/>
          <w:iCs/>
          <w:color w:val="3A3A3A"/>
          <w:sz w:val="24"/>
          <w:szCs w:val="24"/>
          <w:shd w:val="clear" w:color="auto" w:fill="FFFFFF"/>
        </w:rPr>
        <w:t>American secondary education</w:t>
      </w:r>
      <w:r w:rsidRPr="00A34D69">
        <w:rPr>
          <w:rFonts w:ascii="Source Sans Pro" w:hAnsi="Source Sans Pro"/>
          <w:color w:val="3A3A3A"/>
          <w:sz w:val="24"/>
          <w:szCs w:val="24"/>
          <w:shd w:val="clear" w:color="auto" w:fill="FFFFFF"/>
        </w:rPr>
        <w:t>, 41(3), pp. 50–61.</w:t>
      </w:r>
    </w:p>
    <w:p w14:paraId="4FB7155E"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Coulson, D. and Harvey, M. (2013) ‘Scaffolding student reflection for experience-based learning: a framework’, </w:t>
      </w:r>
      <w:r w:rsidRPr="00A34D69">
        <w:rPr>
          <w:rFonts w:ascii="Source Sans Pro" w:hAnsi="Source Sans Pro"/>
          <w:i/>
          <w:iCs/>
          <w:color w:val="3A3A3A"/>
          <w:sz w:val="24"/>
          <w:szCs w:val="24"/>
          <w:shd w:val="clear" w:color="auto" w:fill="FFFFFF"/>
        </w:rPr>
        <w:t>Teaching in higher education</w:t>
      </w:r>
      <w:r w:rsidRPr="00A34D69">
        <w:rPr>
          <w:rFonts w:ascii="Source Sans Pro" w:hAnsi="Source Sans Pro"/>
          <w:color w:val="3A3A3A"/>
          <w:sz w:val="24"/>
          <w:szCs w:val="24"/>
          <w:shd w:val="clear" w:color="auto" w:fill="FFFFFF"/>
        </w:rPr>
        <w:t>, 18(4), pp. 401–413. Available at: https://doi.org/10.1080/13562517.2012.752726.</w:t>
      </w:r>
    </w:p>
    <w:p w14:paraId="3DBB9ABB"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egoe UI" w:hAnsi="Segoe UI" w:cs="Segoe UI"/>
          <w:color w:val="333333"/>
          <w:sz w:val="24"/>
          <w:szCs w:val="24"/>
          <w:shd w:val="clear" w:color="auto" w:fill="FCFCFC"/>
        </w:rPr>
        <w:t xml:space="preserve">Double, K.S., McGrane, J.A. &amp; </w:t>
      </w:r>
      <w:proofErr w:type="spellStart"/>
      <w:r w:rsidRPr="00A34D69">
        <w:rPr>
          <w:rFonts w:ascii="Segoe UI" w:hAnsi="Segoe UI" w:cs="Segoe UI"/>
          <w:color w:val="333333"/>
          <w:sz w:val="24"/>
          <w:szCs w:val="24"/>
          <w:shd w:val="clear" w:color="auto" w:fill="FCFCFC"/>
        </w:rPr>
        <w:t>Hopfenbeck</w:t>
      </w:r>
      <w:proofErr w:type="spellEnd"/>
      <w:r w:rsidRPr="00A34D69">
        <w:rPr>
          <w:rFonts w:ascii="Segoe UI" w:hAnsi="Segoe UI" w:cs="Segoe UI"/>
          <w:color w:val="333333"/>
          <w:sz w:val="24"/>
          <w:szCs w:val="24"/>
          <w:shd w:val="clear" w:color="auto" w:fill="FCFCFC"/>
        </w:rPr>
        <w:t>, T.N. The Impact of Peer Assessment on Academic Performance: A Meta-analysis of Control Group Studies. </w:t>
      </w:r>
      <w:r w:rsidRPr="00A34D69">
        <w:rPr>
          <w:rFonts w:ascii="Segoe UI" w:hAnsi="Segoe UI" w:cs="Segoe UI"/>
          <w:i/>
          <w:iCs/>
          <w:color w:val="333333"/>
          <w:sz w:val="24"/>
          <w:szCs w:val="24"/>
          <w:shd w:val="clear" w:color="auto" w:fill="FCFCFC"/>
        </w:rPr>
        <w:t>Educ Psychol Rev</w:t>
      </w:r>
      <w:r w:rsidRPr="00A34D69">
        <w:rPr>
          <w:rFonts w:ascii="Segoe UI" w:hAnsi="Segoe UI" w:cs="Segoe UI"/>
          <w:color w:val="333333"/>
          <w:sz w:val="24"/>
          <w:szCs w:val="24"/>
          <w:shd w:val="clear" w:color="auto" w:fill="FCFCFC"/>
        </w:rPr>
        <w:t> </w:t>
      </w:r>
      <w:r w:rsidRPr="00A34D69">
        <w:rPr>
          <w:rFonts w:ascii="Segoe UI" w:hAnsi="Segoe UI" w:cs="Segoe UI"/>
          <w:b/>
          <w:bCs/>
          <w:color w:val="333333"/>
          <w:sz w:val="24"/>
          <w:szCs w:val="24"/>
          <w:shd w:val="clear" w:color="auto" w:fill="FCFCFC"/>
        </w:rPr>
        <w:t>32</w:t>
      </w:r>
      <w:r w:rsidRPr="00A34D69">
        <w:rPr>
          <w:rFonts w:ascii="Segoe UI" w:hAnsi="Segoe UI" w:cs="Segoe UI"/>
          <w:color w:val="333333"/>
          <w:sz w:val="24"/>
          <w:szCs w:val="24"/>
          <w:shd w:val="clear" w:color="auto" w:fill="FCFCFC"/>
        </w:rPr>
        <w:t>, 481–509 (2020). https://doi.org/10.1007/s10648-019-09510-3</w:t>
      </w:r>
    </w:p>
    <w:p w14:paraId="612BBAC5" w14:textId="77777777" w:rsidR="00A34D69" w:rsidRPr="00A34D69" w:rsidRDefault="00A34D69" w:rsidP="00A34D69">
      <w:pPr>
        <w:rPr>
          <w:rFonts w:ascii="Segoe UI" w:hAnsi="Segoe UI" w:cs="Segoe UI"/>
          <w:color w:val="333333"/>
          <w:sz w:val="24"/>
          <w:szCs w:val="24"/>
          <w:shd w:val="clear" w:color="auto" w:fill="FCFCFC"/>
        </w:rPr>
      </w:pPr>
      <w:proofErr w:type="spellStart"/>
      <w:r w:rsidRPr="00A34D69">
        <w:rPr>
          <w:rFonts w:ascii="Segoe UI" w:hAnsi="Segoe UI" w:cs="Segoe UI"/>
          <w:color w:val="333333"/>
          <w:sz w:val="24"/>
          <w:szCs w:val="24"/>
          <w:shd w:val="clear" w:color="auto" w:fill="FCFCFC"/>
        </w:rPr>
        <w:t>Dumford</w:t>
      </w:r>
      <w:proofErr w:type="spellEnd"/>
      <w:r w:rsidRPr="00A34D69">
        <w:rPr>
          <w:rFonts w:ascii="Segoe UI" w:hAnsi="Segoe UI" w:cs="Segoe UI"/>
          <w:color w:val="333333"/>
          <w:sz w:val="24"/>
          <w:szCs w:val="24"/>
          <w:shd w:val="clear" w:color="auto" w:fill="FCFCFC"/>
        </w:rPr>
        <w:t>, A.D., Miller, A.L. Online learning in higher education: exploring advantages and disadvantages for engagement. </w:t>
      </w:r>
      <w:r w:rsidRPr="00A34D69">
        <w:rPr>
          <w:rFonts w:ascii="Segoe UI" w:hAnsi="Segoe UI" w:cs="Segoe UI"/>
          <w:i/>
          <w:iCs/>
          <w:color w:val="333333"/>
          <w:sz w:val="24"/>
          <w:szCs w:val="24"/>
          <w:shd w:val="clear" w:color="auto" w:fill="FCFCFC"/>
        </w:rPr>
        <w:t xml:space="preserve">J </w:t>
      </w:r>
      <w:proofErr w:type="spellStart"/>
      <w:r w:rsidRPr="00A34D69">
        <w:rPr>
          <w:rFonts w:ascii="Segoe UI" w:hAnsi="Segoe UI" w:cs="Segoe UI"/>
          <w:i/>
          <w:iCs/>
          <w:color w:val="333333"/>
          <w:sz w:val="24"/>
          <w:szCs w:val="24"/>
          <w:shd w:val="clear" w:color="auto" w:fill="FCFCFC"/>
        </w:rPr>
        <w:t>Comput</w:t>
      </w:r>
      <w:proofErr w:type="spellEnd"/>
      <w:r w:rsidRPr="00A34D69">
        <w:rPr>
          <w:rFonts w:ascii="Segoe UI" w:hAnsi="Segoe UI" w:cs="Segoe UI"/>
          <w:i/>
          <w:iCs/>
          <w:color w:val="333333"/>
          <w:sz w:val="24"/>
          <w:szCs w:val="24"/>
          <w:shd w:val="clear" w:color="auto" w:fill="FCFCFC"/>
        </w:rPr>
        <w:t xml:space="preserve"> High Educ</w:t>
      </w:r>
      <w:r w:rsidRPr="00A34D69">
        <w:rPr>
          <w:rFonts w:ascii="Segoe UI" w:hAnsi="Segoe UI" w:cs="Segoe UI"/>
          <w:color w:val="333333"/>
          <w:sz w:val="24"/>
          <w:szCs w:val="24"/>
          <w:shd w:val="clear" w:color="auto" w:fill="FCFCFC"/>
        </w:rPr>
        <w:t> </w:t>
      </w:r>
      <w:r w:rsidRPr="00A34D69">
        <w:rPr>
          <w:rFonts w:ascii="Segoe UI" w:hAnsi="Segoe UI" w:cs="Segoe UI"/>
          <w:b/>
          <w:bCs/>
          <w:color w:val="333333"/>
          <w:sz w:val="24"/>
          <w:szCs w:val="24"/>
          <w:shd w:val="clear" w:color="auto" w:fill="FCFCFC"/>
        </w:rPr>
        <w:t>30</w:t>
      </w:r>
      <w:r w:rsidRPr="00A34D69">
        <w:rPr>
          <w:rFonts w:ascii="Segoe UI" w:hAnsi="Segoe UI" w:cs="Segoe UI"/>
          <w:color w:val="333333"/>
          <w:sz w:val="24"/>
          <w:szCs w:val="24"/>
          <w:shd w:val="clear" w:color="auto" w:fill="FCFCFC"/>
        </w:rPr>
        <w:t xml:space="preserve">, 452–465 (2018). </w:t>
      </w:r>
      <w:hyperlink r:id="rId9" w:history="1">
        <w:r w:rsidRPr="00A34D69">
          <w:rPr>
            <w:rStyle w:val="Hyperlink"/>
            <w:rFonts w:ascii="Segoe UI" w:hAnsi="Segoe UI" w:cs="Segoe UI"/>
            <w:sz w:val="24"/>
            <w:szCs w:val="24"/>
            <w:shd w:val="clear" w:color="auto" w:fill="FCFCFC"/>
          </w:rPr>
          <w:t>https://doi.org/10.1007/s12528-018-9179-z</w:t>
        </w:r>
      </w:hyperlink>
    </w:p>
    <w:p w14:paraId="65A8F24D" w14:textId="77777777" w:rsidR="00A34D69" w:rsidRPr="00A34D69" w:rsidRDefault="00A34D69" w:rsidP="00A34D69">
      <w:pPr>
        <w:rPr>
          <w:rFonts w:ascii="Segoe UI" w:hAnsi="Segoe UI" w:cs="Segoe UI"/>
          <w:color w:val="333333"/>
          <w:sz w:val="24"/>
          <w:szCs w:val="24"/>
          <w:shd w:val="clear" w:color="auto" w:fill="FCFCFC"/>
        </w:rPr>
      </w:pPr>
    </w:p>
    <w:p w14:paraId="1D6472E7"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Eom</w:t>
      </w:r>
      <w:proofErr w:type="spellEnd"/>
      <w:r w:rsidRPr="00A34D69">
        <w:rPr>
          <w:rFonts w:ascii="Source Sans Pro" w:hAnsi="Source Sans Pro"/>
          <w:color w:val="3A3A3A"/>
          <w:sz w:val="24"/>
          <w:szCs w:val="24"/>
          <w:shd w:val="clear" w:color="auto" w:fill="FFFFFF"/>
        </w:rPr>
        <w:t xml:space="preserve">, S.B. and </w:t>
      </w:r>
      <w:proofErr w:type="spellStart"/>
      <w:r w:rsidRPr="00A34D69">
        <w:rPr>
          <w:rFonts w:ascii="Source Sans Pro" w:hAnsi="Source Sans Pro"/>
          <w:color w:val="3A3A3A"/>
          <w:sz w:val="24"/>
          <w:szCs w:val="24"/>
          <w:shd w:val="clear" w:color="auto" w:fill="FFFFFF"/>
        </w:rPr>
        <w:t>Ashill</w:t>
      </w:r>
      <w:proofErr w:type="spellEnd"/>
      <w:r w:rsidRPr="00A34D69">
        <w:rPr>
          <w:rFonts w:ascii="Source Sans Pro" w:hAnsi="Source Sans Pro"/>
          <w:color w:val="3A3A3A"/>
          <w:sz w:val="24"/>
          <w:szCs w:val="24"/>
          <w:shd w:val="clear" w:color="auto" w:fill="FFFFFF"/>
        </w:rPr>
        <w:t>, N. (2016) ‘The Determinants of Students’ Perceived Learning Outcomes and Satisfaction in University Online Education: An Update’, </w:t>
      </w:r>
      <w:r w:rsidRPr="00A34D69">
        <w:rPr>
          <w:rFonts w:ascii="Source Sans Pro" w:hAnsi="Source Sans Pro"/>
          <w:i/>
          <w:iCs/>
          <w:color w:val="3A3A3A"/>
          <w:sz w:val="24"/>
          <w:szCs w:val="24"/>
          <w:shd w:val="clear" w:color="auto" w:fill="FFFFFF"/>
        </w:rPr>
        <w:t>Decision sciences journal of innovative education</w:t>
      </w:r>
      <w:r w:rsidRPr="00A34D69">
        <w:rPr>
          <w:rFonts w:ascii="Source Sans Pro" w:hAnsi="Source Sans Pro"/>
          <w:color w:val="3A3A3A"/>
          <w:sz w:val="24"/>
          <w:szCs w:val="24"/>
          <w:shd w:val="clear" w:color="auto" w:fill="FFFFFF"/>
        </w:rPr>
        <w:t xml:space="preserve">, 14(2), pp. 185–215. Available at: </w:t>
      </w:r>
      <w:hyperlink r:id="rId10" w:history="1">
        <w:r w:rsidRPr="00A34D69">
          <w:rPr>
            <w:rStyle w:val="Hyperlink"/>
            <w:rFonts w:ascii="Source Sans Pro" w:hAnsi="Source Sans Pro"/>
            <w:sz w:val="24"/>
            <w:szCs w:val="24"/>
            <w:shd w:val="clear" w:color="auto" w:fill="FFFFFF"/>
          </w:rPr>
          <w:t>https://doi.org/10.1111/dsji.12097</w:t>
        </w:r>
      </w:hyperlink>
      <w:r w:rsidRPr="00A34D69">
        <w:rPr>
          <w:rFonts w:ascii="Source Sans Pro" w:hAnsi="Source Sans Pro"/>
          <w:color w:val="3A3A3A"/>
          <w:sz w:val="24"/>
          <w:szCs w:val="24"/>
          <w:shd w:val="clear" w:color="auto" w:fill="FFFFFF"/>
        </w:rPr>
        <w:t>.</w:t>
      </w:r>
    </w:p>
    <w:p w14:paraId="3198D638" w14:textId="77777777" w:rsidR="00A34D69" w:rsidRPr="00A34D69" w:rsidRDefault="00A34D69" w:rsidP="00A34D69">
      <w:pPr>
        <w:rPr>
          <w:rFonts w:ascii="Segoe UI" w:hAnsi="Segoe UI" w:cs="Segoe UI"/>
          <w:color w:val="333333"/>
          <w:sz w:val="24"/>
          <w:szCs w:val="24"/>
          <w:shd w:val="clear" w:color="auto" w:fill="FCFCFC"/>
        </w:rPr>
      </w:pPr>
      <w:r w:rsidRPr="00A34D69">
        <w:rPr>
          <w:rFonts w:ascii="Source Sans Pro" w:hAnsi="Source Sans Pro"/>
          <w:color w:val="3A3A3A"/>
          <w:sz w:val="24"/>
          <w:szCs w:val="24"/>
          <w:shd w:val="clear" w:color="auto" w:fill="FFFFFF"/>
        </w:rPr>
        <w:t>Erbil, D.G. (2020) ‘A Review of Flipped Classroom and Cooperative Learning Method Within the Context of Vygotsky Theory’, </w:t>
      </w:r>
      <w:r w:rsidRPr="00A34D69">
        <w:rPr>
          <w:rFonts w:ascii="Source Sans Pro" w:hAnsi="Source Sans Pro"/>
          <w:i/>
          <w:iCs/>
          <w:color w:val="3A3A3A"/>
          <w:sz w:val="24"/>
          <w:szCs w:val="24"/>
          <w:shd w:val="clear" w:color="auto" w:fill="FFFFFF"/>
        </w:rPr>
        <w:t>Frontiers in psychology</w:t>
      </w:r>
      <w:r w:rsidRPr="00A34D69">
        <w:rPr>
          <w:rFonts w:ascii="Source Sans Pro" w:hAnsi="Source Sans Pro"/>
          <w:color w:val="3A3A3A"/>
          <w:sz w:val="24"/>
          <w:szCs w:val="24"/>
          <w:shd w:val="clear" w:color="auto" w:fill="FFFFFF"/>
        </w:rPr>
        <w:t>, 11, pp. 1157–1157. Available at: https://doi.org/10.3389/fpsyg.2020.01157.</w:t>
      </w:r>
    </w:p>
    <w:p w14:paraId="4F5EF510"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Gikandi</w:t>
      </w:r>
      <w:proofErr w:type="spellEnd"/>
      <w:r w:rsidRPr="00A34D69">
        <w:rPr>
          <w:rFonts w:ascii="Source Sans Pro" w:hAnsi="Source Sans Pro"/>
          <w:color w:val="3A3A3A"/>
          <w:sz w:val="24"/>
          <w:szCs w:val="24"/>
          <w:shd w:val="clear" w:color="auto" w:fill="FFFFFF"/>
        </w:rPr>
        <w:t>, J.W., Morrow, D. and Davis, N.E. (2011) ‘Online formative assessment in higher education: A review of the literature’, </w:t>
      </w:r>
      <w:r w:rsidRPr="00A34D69">
        <w:rPr>
          <w:rFonts w:ascii="Source Sans Pro" w:hAnsi="Source Sans Pro"/>
          <w:i/>
          <w:iCs/>
          <w:color w:val="3A3A3A"/>
          <w:sz w:val="24"/>
          <w:szCs w:val="24"/>
          <w:shd w:val="clear" w:color="auto" w:fill="FFFFFF"/>
        </w:rPr>
        <w:t>Computers and education</w:t>
      </w:r>
      <w:r w:rsidRPr="00A34D69">
        <w:rPr>
          <w:rFonts w:ascii="Source Sans Pro" w:hAnsi="Source Sans Pro"/>
          <w:color w:val="3A3A3A"/>
          <w:sz w:val="24"/>
          <w:szCs w:val="24"/>
          <w:shd w:val="clear" w:color="auto" w:fill="FFFFFF"/>
        </w:rPr>
        <w:t>, 57(4), pp. 2333–2351. Available at: https://doi.org/10.1016/j.compedu.2011.06.004.</w:t>
      </w:r>
    </w:p>
    <w:p w14:paraId="08EC5509"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Grimmett</w:t>
      </w:r>
      <w:proofErr w:type="spellEnd"/>
      <w:r w:rsidRPr="00A34D69">
        <w:rPr>
          <w:rFonts w:ascii="Source Sans Pro" w:hAnsi="Source Sans Pro"/>
          <w:color w:val="3A3A3A"/>
          <w:sz w:val="24"/>
          <w:szCs w:val="24"/>
          <w:shd w:val="clear" w:color="auto" w:fill="FFFFFF"/>
        </w:rPr>
        <w:t>, H.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(2018) ‘Reimagining the role of mentor teachers in professional experience: moving to I as fellow teacher educator’, </w:t>
      </w:r>
      <w:r w:rsidRPr="00A34D69">
        <w:rPr>
          <w:rFonts w:ascii="Source Sans Pro" w:hAnsi="Source Sans Pro"/>
          <w:i/>
          <w:iCs/>
          <w:color w:val="3A3A3A"/>
          <w:sz w:val="24"/>
          <w:szCs w:val="24"/>
          <w:shd w:val="clear" w:color="auto" w:fill="FFFFFF"/>
        </w:rPr>
        <w:t>Asia-Pacific journal of teacher education</w:t>
      </w:r>
      <w:r w:rsidRPr="00A34D69">
        <w:rPr>
          <w:rFonts w:ascii="Source Sans Pro" w:hAnsi="Source Sans Pro"/>
          <w:color w:val="3A3A3A"/>
          <w:sz w:val="24"/>
          <w:szCs w:val="24"/>
          <w:shd w:val="clear" w:color="auto" w:fill="FFFFFF"/>
        </w:rPr>
        <w:t xml:space="preserve">, 46(4), pp. 340–353. Available at: </w:t>
      </w:r>
      <w:hyperlink r:id="rId11" w:history="1">
        <w:r w:rsidRPr="00A34D69">
          <w:rPr>
            <w:rStyle w:val="Hyperlink"/>
            <w:rFonts w:ascii="Source Sans Pro" w:hAnsi="Source Sans Pro"/>
            <w:sz w:val="24"/>
            <w:szCs w:val="24"/>
            <w:shd w:val="clear" w:color="auto" w:fill="FFFFFF"/>
          </w:rPr>
          <w:t>https://doi.org/10.1080/1359866X.2018.1437391</w:t>
        </w:r>
      </w:hyperlink>
      <w:r w:rsidRPr="00A34D69">
        <w:rPr>
          <w:rFonts w:ascii="Source Sans Pro" w:hAnsi="Source Sans Pro"/>
          <w:color w:val="3A3A3A"/>
          <w:sz w:val="24"/>
          <w:szCs w:val="24"/>
          <w:shd w:val="clear" w:color="auto" w:fill="FFFFFF"/>
        </w:rPr>
        <w:t>.</w:t>
      </w:r>
    </w:p>
    <w:p w14:paraId="6D86F529"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Hagenauer</w:t>
      </w:r>
      <w:proofErr w:type="spellEnd"/>
      <w:r w:rsidRPr="00A34D69">
        <w:rPr>
          <w:rFonts w:ascii="Source Sans Pro" w:hAnsi="Source Sans Pro"/>
          <w:color w:val="3A3A3A"/>
          <w:sz w:val="24"/>
          <w:szCs w:val="24"/>
          <w:shd w:val="clear" w:color="auto" w:fill="FFFFFF"/>
        </w:rPr>
        <w:t>, G. and Volet, S.E. (2014) ‘Teacher-student relationship at university: an important yet under-researched field’, </w:t>
      </w:r>
      <w:r w:rsidRPr="00A34D69">
        <w:rPr>
          <w:rFonts w:ascii="Source Sans Pro" w:hAnsi="Source Sans Pro"/>
          <w:i/>
          <w:iCs/>
          <w:color w:val="3A3A3A"/>
          <w:sz w:val="24"/>
          <w:szCs w:val="24"/>
          <w:shd w:val="clear" w:color="auto" w:fill="FFFFFF"/>
        </w:rPr>
        <w:t>Oxford review of education</w:t>
      </w:r>
      <w:r w:rsidRPr="00A34D69">
        <w:rPr>
          <w:rFonts w:ascii="Source Sans Pro" w:hAnsi="Source Sans Pro"/>
          <w:color w:val="3A3A3A"/>
          <w:sz w:val="24"/>
          <w:szCs w:val="24"/>
          <w:shd w:val="clear" w:color="auto" w:fill="FFFFFF"/>
        </w:rPr>
        <w:t>, 40(3), pp. 370–388. Available at: https://doi.org/10.1080/03054985.2014.921613.</w:t>
      </w:r>
    </w:p>
    <w:p w14:paraId="6D781D41" w14:textId="77777777" w:rsidR="00A34D69" w:rsidRPr="00A34D69" w:rsidRDefault="00A34D69" w:rsidP="00A34D69">
      <w:pPr>
        <w:rPr>
          <w:rFonts w:ascii="Segoe UI" w:hAnsi="Segoe UI" w:cs="Segoe UI"/>
          <w:color w:val="333333"/>
          <w:sz w:val="24"/>
          <w:szCs w:val="24"/>
          <w:shd w:val="clear" w:color="auto" w:fill="FCFCFC"/>
        </w:rPr>
      </w:pPr>
      <w:r w:rsidRPr="00A34D69">
        <w:rPr>
          <w:rFonts w:ascii="Segoe UI" w:hAnsi="Segoe UI" w:cs="Segoe UI"/>
          <w:color w:val="333333"/>
          <w:sz w:val="24"/>
          <w:szCs w:val="24"/>
          <w:shd w:val="clear" w:color="auto" w:fill="FCFCFC"/>
        </w:rPr>
        <w:lastRenderedPageBreak/>
        <w:t>Hwang, GJ., Hung, CM. &amp; Chen, NS. Improving learning achievements, motivations and problem-solving skills through a peer assessment-based game development approach. </w:t>
      </w:r>
      <w:r w:rsidRPr="00A34D69">
        <w:rPr>
          <w:rFonts w:ascii="Segoe UI" w:hAnsi="Segoe UI" w:cs="Segoe UI"/>
          <w:i/>
          <w:iCs/>
          <w:color w:val="333333"/>
          <w:sz w:val="24"/>
          <w:szCs w:val="24"/>
          <w:shd w:val="clear" w:color="auto" w:fill="FCFCFC"/>
        </w:rPr>
        <w:t>Education Tech Research Dev</w:t>
      </w:r>
      <w:r w:rsidRPr="00A34D69">
        <w:rPr>
          <w:rFonts w:ascii="Segoe UI" w:hAnsi="Segoe UI" w:cs="Segoe UI"/>
          <w:color w:val="333333"/>
          <w:sz w:val="24"/>
          <w:szCs w:val="24"/>
          <w:shd w:val="clear" w:color="auto" w:fill="FCFCFC"/>
        </w:rPr>
        <w:t> </w:t>
      </w:r>
      <w:r w:rsidRPr="00A34D69">
        <w:rPr>
          <w:rFonts w:ascii="Segoe UI" w:hAnsi="Segoe UI" w:cs="Segoe UI"/>
          <w:b/>
          <w:bCs/>
          <w:color w:val="333333"/>
          <w:sz w:val="24"/>
          <w:szCs w:val="24"/>
          <w:shd w:val="clear" w:color="auto" w:fill="FCFCFC"/>
        </w:rPr>
        <w:t>62</w:t>
      </w:r>
      <w:r w:rsidRPr="00A34D69">
        <w:rPr>
          <w:rFonts w:ascii="Segoe UI" w:hAnsi="Segoe UI" w:cs="Segoe UI"/>
          <w:color w:val="333333"/>
          <w:sz w:val="24"/>
          <w:szCs w:val="24"/>
          <w:shd w:val="clear" w:color="auto" w:fill="FCFCFC"/>
        </w:rPr>
        <w:t xml:space="preserve">, 129–145 (2014). </w:t>
      </w:r>
      <w:hyperlink r:id="rId12" w:history="1">
        <w:r w:rsidRPr="00A34D69">
          <w:rPr>
            <w:rStyle w:val="Hyperlink"/>
            <w:rFonts w:ascii="Segoe UI" w:hAnsi="Segoe UI" w:cs="Segoe UI"/>
            <w:sz w:val="24"/>
            <w:szCs w:val="24"/>
            <w:shd w:val="clear" w:color="auto" w:fill="FCFCFC"/>
          </w:rPr>
          <w:t>https://doi.org/10.1007/s11423-013-9320-7</w:t>
        </w:r>
      </w:hyperlink>
    </w:p>
    <w:p w14:paraId="34072E17"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 xml:space="preserve">Joshi, A., </w:t>
      </w:r>
      <w:proofErr w:type="spellStart"/>
      <w:r w:rsidRPr="00A34D69">
        <w:rPr>
          <w:rFonts w:ascii="Source Sans Pro" w:hAnsi="Source Sans Pro"/>
          <w:color w:val="3A3A3A"/>
          <w:sz w:val="24"/>
          <w:szCs w:val="24"/>
          <w:shd w:val="clear" w:color="auto" w:fill="FFFFFF"/>
        </w:rPr>
        <w:t>Muddu</w:t>
      </w:r>
      <w:proofErr w:type="spellEnd"/>
      <w:r w:rsidRPr="00A34D69">
        <w:rPr>
          <w:rFonts w:ascii="Source Sans Pro" w:hAnsi="Source Sans Pro"/>
          <w:color w:val="3A3A3A"/>
          <w:sz w:val="24"/>
          <w:szCs w:val="24"/>
          <w:shd w:val="clear" w:color="auto" w:fill="FFFFFF"/>
        </w:rPr>
        <w:t xml:space="preserve"> Vinay and Bhaskar, P. (2021) ‘Impact of coronavirus pandemic on the Indian education sector: perspectives of teachers on online teaching and assessments’, </w:t>
      </w:r>
      <w:r w:rsidRPr="00A34D69">
        <w:rPr>
          <w:rFonts w:ascii="Source Sans Pro" w:hAnsi="Source Sans Pro"/>
          <w:i/>
          <w:iCs/>
          <w:color w:val="3A3A3A"/>
          <w:sz w:val="24"/>
          <w:szCs w:val="24"/>
          <w:shd w:val="clear" w:color="auto" w:fill="FFFFFF"/>
        </w:rPr>
        <w:t>Interactive technology and smart education</w:t>
      </w:r>
      <w:r w:rsidRPr="00A34D69">
        <w:rPr>
          <w:rFonts w:ascii="Source Sans Pro" w:hAnsi="Source Sans Pro"/>
          <w:color w:val="3A3A3A"/>
          <w:sz w:val="24"/>
          <w:szCs w:val="24"/>
          <w:shd w:val="clear" w:color="auto" w:fill="FFFFFF"/>
        </w:rPr>
        <w:t xml:space="preserve">, 18(2), pp. 205–226. Available at: </w:t>
      </w:r>
      <w:hyperlink r:id="rId13" w:history="1">
        <w:r w:rsidRPr="00A34D69">
          <w:rPr>
            <w:rStyle w:val="Hyperlink"/>
            <w:rFonts w:ascii="Source Sans Pro" w:hAnsi="Source Sans Pro"/>
            <w:sz w:val="24"/>
            <w:szCs w:val="24"/>
            <w:shd w:val="clear" w:color="auto" w:fill="FFFFFF"/>
          </w:rPr>
          <w:t>https://doi.org/10.1108/ITSE-06-2020-0087</w:t>
        </w:r>
      </w:hyperlink>
      <w:r w:rsidRPr="00A34D69">
        <w:rPr>
          <w:rFonts w:ascii="Source Sans Pro" w:hAnsi="Source Sans Pro"/>
          <w:color w:val="3A3A3A"/>
          <w:sz w:val="24"/>
          <w:szCs w:val="24"/>
          <w:shd w:val="clear" w:color="auto" w:fill="FFFFFF"/>
        </w:rPr>
        <w:t>.</w:t>
      </w:r>
    </w:p>
    <w:p w14:paraId="127FFC5A"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Arial" w:hAnsi="Arial" w:cs="Arial"/>
          <w:color w:val="0C1115"/>
          <w:spacing w:val="15"/>
          <w:sz w:val="24"/>
          <w:szCs w:val="24"/>
          <w:shd w:val="clear" w:color="auto" w:fill="FFFFFF"/>
        </w:rPr>
        <w:t>Kazme</w:t>
      </w:r>
      <w:proofErr w:type="spellEnd"/>
      <w:r w:rsidRPr="00A34D69">
        <w:rPr>
          <w:rFonts w:ascii="Arial" w:hAnsi="Arial" w:cs="Arial"/>
          <w:color w:val="0C1115"/>
          <w:spacing w:val="15"/>
          <w:sz w:val="24"/>
          <w:szCs w:val="24"/>
          <w:shd w:val="clear" w:color="auto" w:fill="FFFFFF"/>
        </w:rPr>
        <w:t xml:space="preserve">, F. (2023) </w:t>
      </w:r>
      <w:r w:rsidRPr="00A34D69">
        <w:rPr>
          <w:rFonts w:ascii="Arial" w:hAnsi="Arial" w:cs="Arial"/>
          <w:i/>
          <w:iCs/>
          <w:color w:val="1D1D1D"/>
          <w:sz w:val="24"/>
          <w:szCs w:val="24"/>
          <w:shd w:val="clear" w:color="auto" w:fill="FFFFFF"/>
        </w:rPr>
        <w:t>Disadvantages of Microsoft Teams – 5 Things to Consider.</w:t>
      </w:r>
      <w:r w:rsidRPr="00A34D69">
        <w:rPr>
          <w:rFonts w:ascii="Arial" w:hAnsi="Arial" w:cs="Arial"/>
          <w:color w:val="1D1D1D"/>
          <w:sz w:val="24"/>
          <w:szCs w:val="24"/>
          <w:shd w:val="clear" w:color="auto" w:fill="FFFFFF"/>
        </w:rPr>
        <w:t xml:space="preserve"> Available at: </w:t>
      </w:r>
      <w:hyperlink r:id="rId14" w:anchor=":~:text=Disadvantages%20of%20Microsoft%20Teams%20%E2%80%93%205%20Things%20to,and%20Manual%20Creation%20Required%20in%20Microsoft%20Teams%20" w:history="1">
        <w:r w:rsidRPr="00A34D69">
          <w:rPr>
            <w:rStyle w:val="Hyperlink"/>
            <w:sz w:val="24"/>
            <w:szCs w:val="24"/>
          </w:rPr>
          <w:t>Disadvantages of Microsoft Teams – 5 Things to Consider (thejustread.com)</w:t>
        </w:r>
      </w:hyperlink>
      <w:r w:rsidRPr="00A34D69">
        <w:rPr>
          <w:sz w:val="24"/>
          <w:szCs w:val="24"/>
        </w:rPr>
        <w:t xml:space="preserve"> (Accessed: 29</w:t>
      </w:r>
      <w:r w:rsidRPr="00A34D69">
        <w:rPr>
          <w:sz w:val="24"/>
          <w:szCs w:val="24"/>
          <w:vertAlign w:val="superscript"/>
        </w:rPr>
        <w:t>th</w:t>
      </w:r>
      <w:r w:rsidRPr="00A34D69">
        <w:rPr>
          <w:sz w:val="24"/>
          <w:szCs w:val="24"/>
        </w:rPr>
        <w:t xml:space="preserve"> May 2023)</w:t>
      </w:r>
    </w:p>
    <w:p w14:paraId="5300D3EC"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Kebritchi</w:t>
      </w:r>
      <w:proofErr w:type="spellEnd"/>
      <w:r w:rsidRPr="00A34D69">
        <w:rPr>
          <w:rFonts w:ascii="Source Sans Pro" w:hAnsi="Source Sans Pro"/>
          <w:color w:val="3A3A3A"/>
          <w:sz w:val="24"/>
          <w:szCs w:val="24"/>
          <w:shd w:val="clear" w:color="auto" w:fill="FFFFFF"/>
        </w:rPr>
        <w:t xml:space="preserve">, M., </w:t>
      </w:r>
      <w:proofErr w:type="spellStart"/>
      <w:r w:rsidRPr="00A34D69">
        <w:rPr>
          <w:rFonts w:ascii="Source Sans Pro" w:hAnsi="Source Sans Pro"/>
          <w:color w:val="3A3A3A"/>
          <w:sz w:val="24"/>
          <w:szCs w:val="24"/>
          <w:shd w:val="clear" w:color="auto" w:fill="FFFFFF"/>
        </w:rPr>
        <w:t>Lipschuetz</w:t>
      </w:r>
      <w:proofErr w:type="spellEnd"/>
      <w:r w:rsidRPr="00A34D69">
        <w:rPr>
          <w:rFonts w:ascii="Source Sans Pro" w:hAnsi="Source Sans Pro"/>
          <w:color w:val="3A3A3A"/>
          <w:sz w:val="24"/>
          <w:szCs w:val="24"/>
          <w:shd w:val="clear" w:color="auto" w:fill="FFFFFF"/>
        </w:rPr>
        <w:t xml:space="preserve">, A. and </w:t>
      </w:r>
      <w:proofErr w:type="spellStart"/>
      <w:r w:rsidRPr="00A34D69">
        <w:rPr>
          <w:rFonts w:ascii="Source Sans Pro" w:hAnsi="Source Sans Pro"/>
          <w:color w:val="3A3A3A"/>
          <w:sz w:val="24"/>
          <w:szCs w:val="24"/>
          <w:shd w:val="clear" w:color="auto" w:fill="FFFFFF"/>
        </w:rPr>
        <w:t>Santiague</w:t>
      </w:r>
      <w:proofErr w:type="spellEnd"/>
      <w:r w:rsidRPr="00A34D69">
        <w:rPr>
          <w:rFonts w:ascii="Source Sans Pro" w:hAnsi="Source Sans Pro"/>
          <w:color w:val="3A3A3A"/>
          <w:sz w:val="24"/>
          <w:szCs w:val="24"/>
          <w:shd w:val="clear" w:color="auto" w:fill="FFFFFF"/>
        </w:rPr>
        <w:t>, L. (2017) ‘Issues and Challenges for Teaching Successful Online Courses in Higher Education: A Literature Review’, </w:t>
      </w:r>
      <w:r w:rsidRPr="00A34D69">
        <w:rPr>
          <w:rFonts w:ascii="Source Sans Pro" w:hAnsi="Source Sans Pro"/>
          <w:i/>
          <w:iCs/>
          <w:color w:val="3A3A3A"/>
          <w:sz w:val="24"/>
          <w:szCs w:val="24"/>
          <w:shd w:val="clear" w:color="auto" w:fill="FFFFFF"/>
        </w:rPr>
        <w:t>Journal of educational technology systems</w:t>
      </w:r>
      <w:r w:rsidRPr="00A34D69">
        <w:rPr>
          <w:rFonts w:ascii="Source Sans Pro" w:hAnsi="Source Sans Pro"/>
          <w:color w:val="3A3A3A"/>
          <w:sz w:val="24"/>
          <w:szCs w:val="24"/>
          <w:shd w:val="clear" w:color="auto" w:fill="FFFFFF"/>
        </w:rPr>
        <w:t xml:space="preserve">, 46(1), pp. 4–29. Available at: </w:t>
      </w:r>
      <w:hyperlink r:id="rId15" w:history="1">
        <w:r w:rsidRPr="00A34D69">
          <w:rPr>
            <w:rStyle w:val="Hyperlink"/>
            <w:rFonts w:ascii="Source Sans Pro" w:hAnsi="Source Sans Pro"/>
            <w:sz w:val="24"/>
            <w:szCs w:val="24"/>
            <w:shd w:val="clear" w:color="auto" w:fill="FFFFFF"/>
          </w:rPr>
          <w:t>https://doi.org/10.1177/0047239516661713</w:t>
        </w:r>
      </w:hyperlink>
      <w:r w:rsidRPr="00A34D69">
        <w:rPr>
          <w:rFonts w:ascii="Source Sans Pro" w:hAnsi="Source Sans Pro"/>
          <w:color w:val="3A3A3A"/>
          <w:sz w:val="24"/>
          <w:szCs w:val="24"/>
          <w:shd w:val="clear" w:color="auto" w:fill="FFFFFF"/>
        </w:rPr>
        <w:t>.</w:t>
      </w:r>
    </w:p>
    <w:p w14:paraId="61CEECA8"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Kubrushko</w:t>
      </w:r>
      <w:proofErr w:type="spellEnd"/>
      <w:r w:rsidRPr="00A34D69">
        <w:rPr>
          <w:rFonts w:ascii="Source Sans Pro" w:hAnsi="Source Sans Pro"/>
          <w:color w:val="3A3A3A"/>
          <w:sz w:val="24"/>
          <w:szCs w:val="24"/>
          <w:shd w:val="clear" w:color="auto" w:fill="FFFFFF"/>
        </w:rPr>
        <w:t>, P.F.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(2020) ‘Digital competence as the basis of a lecturer’s readiness for innovative pedagogical activity’, </w:t>
      </w:r>
      <w:r w:rsidRPr="00A34D69">
        <w:rPr>
          <w:rFonts w:ascii="Source Sans Pro" w:hAnsi="Source Sans Pro"/>
          <w:i/>
          <w:iCs/>
          <w:color w:val="3A3A3A"/>
          <w:sz w:val="24"/>
          <w:szCs w:val="24"/>
          <w:shd w:val="clear" w:color="auto" w:fill="FFFFFF"/>
        </w:rPr>
        <w:t>Journal of physics. Conference series</w:t>
      </w:r>
      <w:r w:rsidRPr="00A34D69">
        <w:rPr>
          <w:rFonts w:ascii="Source Sans Pro" w:hAnsi="Source Sans Pro"/>
          <w:color w:val="3A3A3A"/>
          <w:sz w:val="24"/>
          <w:szCs w:val="24"/>
          <w:shd w:val="clear" w:color="auto" w:fill="FFFFFF"/>
        </w:rPr>
        <w:t xml:space="preserve">, 1691(1), p. 12116–. Available at: </w:t>
      </w:r>
      <w:hyperlink r:id="rId16" w:history="1">
        <w:r w:rsidRPr="00A34D69">
          <w:rPr>
            <w:rStyle w:val="Hyperlink"/>
            <w:rFonts w:ascii="Source Sans Pro" w:hAnsi="Source Sans Pro"/>
            <w:sz w:val="24"/>
            <w:szCs w:val="24"/>
            <w:shd w:val="clear" w:color="auto" w:fill="FFFFFF"/>
          </w:rPr>
          <w:t>https://doi.org/10.1088/1742-6596/1691/1/012116</w:t>
        </w:r>
      </w:hyperlink>
      <w:r w:rsidRPr="00A34D69">
        <w:rPr>
          <w:rFonts w:ascii="Source Sans Pro" w:hAnsi="Source Sans Pro"/>
          <w:color w:val="3A3A3A"/>
          <w:sz w:val="24"/>
          <w:szCs w:val="24"/>
          <w:shd w:val="clear" w:color="auto" w:fill="FFFFFF"/>
        </w:rPr>
        <w:t>.</w:t>
      </w:r>
    </w:p>
    <w:p w14:paraId="5A59E6C2"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Licorish</w:t>
      </w:r>
      <w:proofErr w:type="spellEnd"/>
      <w:r w:rsidRPr="00A34D69">
        <w:rPr>
          <w:rFonts w:ascii="Source Sans Pro" w:hAnsi="Source Sans Pro"/>
          <w:color w:val="3A3A3A"/>
          <w:sz w:val="24"/>
          <w:szCs w:val="24"/>
          <w:shd w:val="clear" w:color="auto" w:fill="FFFFFF"/>
        </w:rPr>
        <w:t>, S.A.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xml:space="preserve"> (2018) ‘Students’ perception of </w:t>
      </w:r>
      <w:proofErr w:type="spellStart"/>
      <w:r w:rsidRPr="00A34D69">
        <w:rPr>
          <w:rFonts w:ascii="Source Sans Pro" w:hAnsi="Source Sans Pro"/>
          <w:color w:val="3A3A3A"/>
          <w:sz w:val="24"/>
          <w:szCs w:val="24"/>
          <w:shd w:val="clear" w:color="auto" w:fill="FFFFFF"/>
        </w:rPr>
        <w:t>Kahoot!’s</w:t>
      </w:r>
      <w:proofErr w:type="spellEnd"/>
      <w:r w:rsidRPr="00A34D69">
        <w:rPr>
          <w:rFonts w:ascii="Source Sans Pro" w:hAnsi="Source Sans Pro"/>
          <w:color w:val="3A3A3A"/>
          <w:sz w:val="24"/>
          <w:szCs w:val="24"/>
          <w:shd w:val="clear" w:color="auto" w:fill="FFFFFF"/>
        </w:rPr>
        <w:t xml:space="preserve"> influence on teaching and learning’, </w:t>
      </w:r>
      <w:r w:rsidRPr="00A34D69">
        <w:rPr>
          <w:rFonts w:ascii="Source Sans Pro" w:hAnsi="Source Sans Pro"/>
          <w:i/>
          <w:iCs/>
          <w:color w:val="3A3A3A"/>
          <w:sz w:val="24"/>
          <w:szCs w:val="24"/>
          <w:shd w:val="clear" w:color="auto" w:fill="FFFFFF"/>
        </w:rPr>
        <w:t>Research and practice in technology enhanced learning</w:t>
      </w:r>
      <w:r w:rsidRPr="00A34D69">
        <w:rPr>
          <w:rFonts w:ascii="Source Sans Pro" w:hAnsi="Source Sans Pro"/>
          <w:color w:val="3A3A3A"/>
          <w:sz w:val="24"/>
          <w:szCs w:val="24"/>
          <w:shd w:val="clear" w:color="auto" w:fill="FFFFFF"/>
        </w:rPr>
        <w:t xml:space="preserve">, 13(1), pp. 1–23. Available at: </w:t>
      </w:r>
      <w:hyperlink r:id="rId17" w:history="1">
        <w:r w:rsidRPr="00A34D69">
          <w:rPr>
            <w:rStyle w:val="Hyperlink"/>
            <w:rFonts w:ascii="Source Sans Pro" w:hAnsi="Source Sans Pro"/>
            <w:sz w:val="24"/>
            <w:szCs w:val="24"/>
            <w:shd w:val="clear" w:color="auto" w:fill="FFFFFF"/>
          </w:rPr>
          <w:t>https://doi.org/10.1186/s41039-018-0078-8</w:t>
        </w:r>
      </w:hyperlink>
      <w:r w:rsidRPr="00A34D69">
        <w:rPr>
          <w:rFonts w:ascii="Source Sans Pro" w:hAnsi="Source Sans Pro"/>
          <w:color w:val="3A3A3A"/>
          <w:sz w:val="24"/>
          <w:szCs w:val="24"/>
          <w:shd w:val="clear" w:color="auto" w:fill="FFFFFF"/>
        </w:rPr>
        <w:t>.</w:t>
      </w:r>
    </w:p>
    <w:p w14:paraId="45F698BD"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Lup</w:t>
      </w:r>
      <w:proofErr w:type="spellEnd"/>
      <w:r w:rsidRPr="00A34D69">
        <w:rPr>
          <w:rFonts w:ascii="Source Sans Pro" w:hAnsi="Source Sans Pro"/>
          <w:color w:val="3A3A3A"/>
          <w:sz w:val="24"/>
          <w:szCs w:val="24"/>
          <w:shd w:val="clear" w:color="auto" w:fill="FFFFFF"/>
        </w:rPr>
        <w:t xml:space="preserve">, O &amp; </w:t>
      </w:r>
      <w:proofErr w:type="spellStart"/>
      <w:r w:rsidRPr="00A34D69">
        <w:rPr>
          <w:rFonts w:ascii="Source Sans Pro" w:hAnsi="Source Sans Pro"/>
          <w:color w:val="3A3A3A"/>
          <w:sz w:val="24"/>
          <w:szCs w:val="24"/>
          <w:shd w:val="clear" w:color="auto" w:fill="FFFFFF"/>
        </w:rPr>
        <w:t>Mitrea</w:t>
      </w:r>
      <w:proofErr w:type="spellEnd"/>
      <w:r w:rsidRPr="00A34D69">
        <w:rPr>
          <w:rFonts w:ascii="Source Sans Pro" w:hAnsi="Source Sans Pro"/>
          <w:color w:val="3A3A3A"/>
          <w:sz w:val="24"/>
          <w:szCs w:val="24"/>
          <w:shd w:val="clear" w:color="auto" w:fill="FFFFFF"/>
        </w:rPr>
        <w:t>, E. C. (2021) ‘ONLINE LEARNING DURING THE PANDEMIC: ASSESSING DISPARITIES IN STUDENT ENGAGEMENT IN HIGHER EDUCATION’, </w:t>
      </w:r>
      <w:proofErr w:type="spellStart"/>
      <w:r w:rsidRPr="00A34D69">
        <w:rPr>
          <w:rFonts w:ascii="Source Sans Pro" w:hAnsi="Source Sans Pro"/>
          <w:i/>
          <w:iCs/>
          <w:color w:val="3A3A3A"/>
          <w:sz w:val="24"/>
          <w:szCs w:val="24"/>
          <w:shd w:val="clear" w:color="auto" w:fill="FFFFFF"/>
        </w:rPr>
        <w:t>Revista</w:t>
      </w:r>
      <w:proofErr w:type="spellEnd"/>
      <w:r w:rsidRPr="00A34D69">
        <w:rPr>
          <w:rFonts w:ascii="Source Sans Pro" w:hAnsi="Source Sans Pro"/>
          <w:i/>
          <w:iCs/>
          <w:color w:val="3A3A3A"/>
          <w:sz w:val="24"/>
          <w:szCs w:val="24"/>
          <w:shd w:val="clear" w:color="auto" w:fill="FFFFFF"/>
        </w:rPr>
        <w:t xml:space="preserve"> de </w:t>
      </w:r>
      <w:proofErr w:type="spellStart"/>
      <w:r w:rsidRPr="00A34D69">
        <w:rPr>
          <w:rFonts w:ascii="Source Sans Pro" w:hAnsi="Source Sans Pro"/>
          <w:i/>
          <w:iCs/>
          <w:color w:val="3A3A3A"/>
          <w:sz w:val="24"/>
          <w:szCs w:val="24"/>
          <w:shd w:val="clear" w:color="auto" w:fill="FFFFFF"/>
        </w:rPr>
        <w:t>pedagogie</w:t>
      </w:r>
      <w:proofErr w:type="spellEnd"/>
      <w:r w:rsidRPr="00A34D69">
        <w:rPr>
          <w:rFonts w:ascii="Source Sans Pro" w:hAnsi="Source Sans Pro"/>
          <w:color w:val="3A3A3A"/>
          <w:sz w:val="24"/>
          <w:szCs w:val="24"/>
          <w:shd w:val="clear" w:color="auto" w:fill="FFFFFF"/>
        </w:rPr>
        <w:t xml:space="preserve">, </w:t>
      </w:r>
      <w:proofErr w:type="gramStart"/>
      <w:r w:rsidRPr="00A34D69">
        <w:rPr>
          <w:rFonts w:ascii="Source Sans Pro" w:hAnsi="Source Sans Pro"/>
          <w:color w:val="3A3A3A"/>
          <w:sz w:val="24"/>
          <w:szCs w:val="24"/>
          <w:shd w:val="clear" w:color="auto" w:fill="FFFFFF"/>
        </w:rPr>
        <w:t>LXIX(</w:t>
      </w:r>
      <w:proofErr w:type="gramEnd"/>
      <w:r w:rsidRPr="00A34D69">
        <w:rPr>
          <w:rFonts w:ascii="Source Sans Pro" w:hAnsi="Source Sans Pro"/>
          <w:color w:val="3A3A3A"/>
          <w:sz w:val="24"/>
          <w:szCs w:val="24"/>
          <w:shd w:val="clear" w:color="auto" w:fill="FFFFFF"/>
        </w:rPr>
        <w:t>1), pp. 31–50. Available at: https://doi.org/10.26755/RevPed/2021.1/31.</w:t>
      </w:r>
    </w:p>
    <w:p w14:paraId="204E5298"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Mustapha, I. et al. (2021) ‘Effectiveness of Digital Technology in Education During</w:t>
      </w:r>
    </w:p>
    <w:p w14:paraId="77C35314"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 xml:space="preserve">COVID-19 Pandemic. A Bibliometric Analysis’, </w:t>
      </w:r>
      <w:proofErr w:type="spellStart"/>
      <w:r w:rsidRPr="00A34D69">
        <w:rPr>
          <w:rFonts w:ascii="Source Sans Pro" w:hAnsi="Source Sans Pro"/>
          <w:color w:val="3A3A3A"/>
          <w:sz w:val="24"/>
          <w:szCs w:val="24"/>
          <w:shd w:val="clear" w:color="auto" w:fill="FFFFFF"/>
        </w:rPr>
        <w:t>ijim</w:t>
      </w:r>
      <w:proofErr w:type="spellEnd"/>
      <w:r w:rsidRPr="00A34D69">
        <w:rPr>
          <w:rFonts w:ascii="Source Sans Pro" w:hAnsi="Source Sans Pro"/>
          <w:color w:val="3A3A3A"/>
          <w:sz w:val="24"/>
          <w:szCs w:val="24"/>
          <w:shd w:val="clear" w:color="auto" w:fill="FFFFFF"/>
        </w:rPr>
        <w:t>, 15(8), pp. 136-154. DOI:</w:t>
      </w:r>
    </w:p>
    <w:p w14:paraId="1B571982"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10.3991/</w:t>
      </w:r>
      <w:proofErr w:type="gramStart"/>
      <w:r w:rsidRPr="00A34D69">
        <w:rPr>
          <w:rFonts w:ascii="Source Sans Pro" w:hAnsi="Source Sans Pro"/>
          <w:color w:val="3A3A3A"/>
          <w:sz w:val="24"/>
          <w:szCs w:val="24"/>
          <w:shd w:val="clear" w:color="auto" w:fill="FFFFFF"/>
        </w:rPr>
        <w:t>ijim.v</w:t>
      </w:r>
      <w:proofErr w:type="gramEnd"/>
      <w:r w:rsidRPr="00A34D69">
        <w:rPr>
          <w:rFonts w:ascii="Source Sans Pro" w:hAnsi="Source Sans Pro"/>
          <w:color w:val="3A3A3A"/>
          <w:sz w:val="24"/>
          <w:szCs w:val="24"/>
          <w:shd w:val="clear" w:color="auto" w:fill="FFFFFF"/>
        </w:rPr>
        <w:t>15i08.20415 (Accessed: 28 November 2022).</w:t>
      </w:r>
    </w:p>
    <w:p w14:paraId="777A51C9" w14:textId="77777777" w:rsidR="00A34D69" w:rsidRPr="00A34D69" w:rsidRDefault="00A34D69" w:rsidP="00A34D69">
      <w:pPr>
        <w:contextualSpacing/>
        <w:rPr>
          <w:rFonts w:ascii="Source Sans Pro" w:hAnsi="Source Sans Pro"/>
          <w:color w:val="3A3A3A"/>
          <w:sz w:val="24"/>
          <w:szCs w:val="24"/>
          <w:shd w:val="clear" w:color="auto" w:fill="FFFFFF"/>
        </w:rPr>
      </w:pPr>
    </w:p>
    <w:p w14:paraId="2AA089C0"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 xml:space="preserve">Neuwirth, L.S., </w:t>
      </w:r>
      <w:proofErr w:type="spellStart"/>
      <w:r w:rsidRPr="00A34D69">
        <w:rPr>
          <w:rFonts w:ascii="Source Sans Pro" w:hAnsi="Source Sans Pro"/>
          <w:color w:val="3A3A3A"/>
          <w:sz w:val="24"/>
          <w:szCs w:val="24"/>
          <w:shd w:val="clear" w:color="auto" w:fill="FFFFFF"/>
        </w:rPr>
        <w:t>Jović</w:t>
      </w:r>
      <w:proofErr w:type="spellEnd"/>
      <w:r w:rsidRPr="00A34D69">
        <w:rPr>
          <w:rFonts w:ascii="Source Sans Pro" w:hAnsi="Source Sans Pro"/>
          <w:color w:val="3A3A3A"/>
          <w:sz w:val="24"/>
          <w:szCs w:val="24"/>
          <w:shd w:val="clear" w:color="auto" w:fill="FFFFFF"/>
        </w:rPr>
        <w:t>, S. and Mukherji, B.R. (2021) ‘Reimagining higher education during and post-COVID-19: Challenges and opportunities’, </w:t>
      </w:r>
      <w:r w:rsidRPr="00A34D69">
        <w:rPr>
          <w:rFonts w:ascii="Source Sans Pro" w:hAnsi="Source Sans Pro"/>
          <w:i/>
          <w:iCs/>
          <w:color w:val="3A3A3A"/>
          <w:sz w:val="24"/>
          <w:szCs w:val="24"/>
          <w:shd w:val="clear" w:color="auto" w:fill="FFFFFF"/>
        </w:rPr>
        <w:t>Journal of adult and continuing education</w:t>
      </w:r>
      <w:r w:rsidRPr="00A34D69">
        <w:rPr>
          <w:rFonts w:ascii="Source Sans Pro" w:hAnsi="Source Sans Pro"/>
          <w:color w:val="3A3A3A"/>
          <w:sz w:val="24"/>
          <w:szCs w:val="24"/>
          <w:shd w:val="clear" w:color="auto" w:fill="FFFFFF"/>
        </w:rPr>
        <w:t xml:space="preserve">, 27(2), pp. 141–156. Available at: </w:t>
      </w:r>
      <w:hyperlink r:id="rId18" w:history="1">
        <w:r w:rsidRPr="00A34D69">
          <w:rPr>
            <w:rStyle w:val="Hyperlink"/>
            <w:rFonts w:ascii="Source Sans Pro" w:hAnsi="Source Sans Pro"/>
            <w:sz w:val="24"/>
            <w:szCs w:val="24"/>
            <w:shd w:val="clear" w:color="auto" w:fill="FFFFFF"/>
          </w:rPr>
          <w:t>https://doi.org/10.1177/1477971420947738</w:t>
        </w:r>
      </w:hyperlink>
      <w:r w:rsidRPr="00A34D69">
        <w:rPr>
          <w:rFonts w:ascii="Source Sans Pro" w:hAnsi="Source Sans Pro"/>
          <w:color w:val="3A3A3A"/>
          <w:sz w:val="24"/>
          <w:szCs w:val="24"/>
          <w:shd w:val="clear" w:color="auto" w:fill="FFFFFF"/>
        </w:rPr>
        <w:t>.</w:t>
      </w:r>
    </w:p>
    <w:p w14:paraId="6BD15CCB" w14:textId="77777777" w:rsidR="00A34D69" w:rsidRPr="00A34D69" w:rsidRDefault="00A34D69" w:rsidP="00A34D69">
      <w:pPr>
        <w:contextualSpacing/>
        <w:rPr>
          <w:rFonts w:ascii="Source Sans Pro" w:hAnsi="Source Sans Pro"/>
          <w:color w:val="3A3A3A"/>
          <w:sz w:val="24"/>
          <w:szCs w:val="24"/>
          <w:shd w:val="clear" w:color="auto" w:fill="FFFFFF"/>
        </w:rPr>
      </w:pPr>
    </w:p>
    <w:p w14:paraId="59E1D3FA"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O’Callaghan, F.V.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(2017) ‘The use of lecture recordings in higher education: A review of institutional, student, and lecturer issues’, </w:t>
      </w:r>
      <w:r w:rsidRPr="00A34D69">
        <w:rPr>
          <w:rFonts w:ascii="Source Sans Pro" w:hAnsi="Source Sans Pro"/>
          <w:i/>
          <w:iCs/>
          <w:color w:val="3A3A3A"/>
          <w:sz w:val="24"/>
          <w:szCs w:val="24"/>
          <w:shd w:val="clear" w:color="auto" w:fill="FFFFFF"/>
        </w:rPr>
        <w:t>Education and information technologies</w:t>
      </w:r>
      <w:r w:rsidRPr="00A34D69">
        <w:rPr>
          <w:rFonts w:ascii="Source Sans Pro" w:hAnsi="Source Sans Pro"/>
          <w:color w:val="3A3A3A"/>
          <w:sz w:val="24"/>
          <w:szCs w:val="24"/>
          <w:shd w:val="clear" w:color="auto" w:fill="FFFFFF"/>
        </w:rPr>
        <w:t>, 22(1), pp. 399–415. Available at: https://doi.org/10.1007/s10639-015-9451-z.</w:t>
      </w:r>
    </w:p>
    <w:p w14:paraId="478DFDF4" w14:textId="77777777" w:rsidR="00A34D69" w:rsidRPr="00A34D69" w:rsidRDefault="00A34D69" w:rsidP="00A34D69">
      <w:pPr>
        <w:contextualSpacing/>
        <w:rPr>
          <w:rFonts w:ascii="Source Sans Pro" w:hAnsi="Source Sans Pro"/>
          <w:color w:val="3A3A3A"/>
          <w:sz w:val="24"/>
          <w:szCs w:val="24"/>
          <w:shd w:val="clear" w:color="auto" w:fill="FFFFFF"/>
        </w:rPr>
      </w:pPr>
    </w:p>
    <w:p w14:paraId="2D545534"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lastRenderedPageBreak/>
        <w:t>Paulsen, J. and McCormick, A.C. (2020) ‘Reassessing Disparities in Online Learner Student Engagement in Higher Education’, </w:t>
      </w:r>
      <w:r w:rsidRPr="00A34D69">
        <w:rPr>
          <w:rFonts w:ascii="Source Sans Pro" w:hAnsi="Source Sans Pro"/>
          <w:i/>
          <w:iCs/>
          <w:color w:val="3A3A3A"/>
          <w:sz w:val="24"/>
          <w:szCs w:val="24"/>
          <w:shd w:val="clear" w:color="auto" w:fill="FFFFFF"/>
        </w:rPr>
        <w:t>Educational researcher</w:t>
      </w:r>
      <w:r w:rsidRPr="00A34D69">
        <w:rPr>
          <w:rFonts w:ascii="Source Sans Pro" w:hAnsi="Source Sans Pro"/>
          <w:color w:val="3A3A3A"/>
          <w:sz w:val="24"/>
          <w:szCs w:val="24"/>
          <w:shd w:val="clear" w:color="auto" w:fill="FFFFFF"/>
        </w:rPr>
        <w:t>, 49(1), pp. 20–29. Available at: https://doi.org/10.3102/0013189X19898690.</w:t>
      </w:r>
    </w:p>
    <w:p w14:paraId="17558462" w14:textId="77777777" w:rsidR="00A34D69" w:rsidRPr="00A34D69" w:rsidRDefault="00A34D69" w:rsidP="00A34D69">
      <w:pPr>
        <w:contextualSpacing/>
        <w:rPr>
          <w:rFonts w:ascii="Source Sans Pro" w:hAnsi="Source Sans Pro"/>
          <w:color w:val="3A3A3A"/>
          <w:sz w:val="24"/>
          <w:szCs w:val="24"/>
          <w:shd w:val="clear" w:color="auto" w:fill="FFFFFF"/>
        </w:rPr>
      </w:pPr>
    </w:p>
    <w:p w14:paraId="46C46AEF" w14:textId="77777777" w:rsidR="00A34D69" w:rsidRPr="00A34D69" w:rsidRDefault="00A34D69" w:rsidP="00A34D69">
      <w:pPr>
        <w:contextualSpacing/>
        <w:rPr>
          <w:rFonts w:ascii="Source Sans Pro" w:hAnsi="Source Sans Pro"/>
          <w:color w:val="3A3A3A"/>
          <w:sz w:val="24"/>
          <w:szCs w:val="24"/>
          <w:shd w:val="clear" w:color="auto" w:fill="FFFFFF"/>
        </w:rPr>
      </w:pPr>
    </w:p>
    <w:p w14:paraId="784729AA"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Pesare</w:t>
      </w:r>
      <w:proofErr w:type="spellEnd"/>
      <w:r w:rsidRPr="00A34D69">
        <w:rPr>
          <w:rFonts w:ascii="Source Sans Pro" w:hAnsi="Source Sans Pro"/>
          <w:color w:val="3A3A3A"/>
          <w:sz w:val="24"/>
          <w:szCs w:val="24"/>
          <w:shd w:val="clear" w:color="auto" w:fill="FFFFFF"/>
        </w:rPr>
        <w:t>, E.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(2015) ‘Digitally enhanced assessment in virtual learning environments’, </w:t>
      </w:r>
      <w:r w:rsidRPr="00A34D69">
        <w:rPr>
          <w:rFonts w:ascii="Source Sans Pro" w:hAnsi="Source Sans Pro"/>
          <w:i/>
          <w:iCs/>
          <w:color w:val="3A3A3A"/>
          <w:sz w:val="24"/>
          <w:szCs w:val="24"/>
          <w:shd w:val="clear" w:color="auto" w:fill="FFFFFF"/>
        </w:rPr>
        <w:t>Journal of visual languages and computing</w:t>
      </w:r>
      <w:r w:rsidRPr="00A34D69">
        <w:rPr>
          <w:rFonts w:ascii="Source Sans Pro" w:hAnsi="Source Sans Pro"/>
          <w:color w:val="3A3A3A"/>
          <w:sz w:val="24"/>
          <w:szCs w:val="24"/>
          <w:shd w:val="clear" w:color="auto" w:fill="FFFFFF"/>
        </w:rPr>
        <w:t xml:space="preserve">, 31, pp. 252–259. Available at: </w:t>
      </w:r>
      <w:hyperlink r:id="rId19" w:history="1">
        <w:r w:rsidRPr="00A34D69">
          <w:rPr>
            <w:rStyle w:val="Hyperlink"/>
            <w:rFonts w:ascii="Source Sans Pro" w:hAnsi="Source Sans Pro"/>
            <w:sz w:val="24"/>
            <w:szCs w:val="24"/>
            <w:shd w:val="clear" w:color="auto" w:fill="FFFFFF"/>
          </w:rPr>
          <w:t>https://doi.org/10.1016/j.jvlc.2015.10.021</w:t>
        </w:r>
      </w:hyperlink>
      <w:r w:rsidRPr="00A34D69">
        <w:rPr>
          <w:rFonts w:ascii="Source Sans Pro" w:hAnsi="Source Sans Pro"/>
          <w:color w:val="3A3A3A"/>
          <w:sz w:val="24"/>
          <w:szCs w:val="24"/>
          <w:shd w:val="clear" w:color="auto" w:fill="FFFFFF"/>
        </w:rPr>
        <w:t>.</w:t>
      </w:r>
    </w:p>
    <w:p w14:paraId="5D164C9A" w14:textId="26693CC6" w:rsid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Pickering, C.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(2015) ‘Publishing not perishing: how research students transition from novice to knowledgeable using systematic quantitative literature reviews’, </w:t>
      </w:r>
      <w:r w:rsidRPr="00A34D69">
        <w:rPr>
          <w:rFonts w:ascii="Source Sans Pro" w:hAnsi="Source Sans Pro"/>
          <w:i/>
          <w:iCs/>
          <w:color w:val="3A3A3A"/>
          <w:sz w:val="24"/>
          <w:szCs w:val="24"/>
          <w:shd w:val="clear" w:color="auto" w:fill="FFFFFF"/>
        </w:rPr>
        <w:t>Studies in higher education (Dorchester-on-Thames)</w:t>
      </w:r>
      <w:r w:rsidRPr="00A34D69">
        <w:rPr>
          <w:rFonts w:ascii="Source Sans Pro" w:hAnsi="Source Sans Pro"/>
          <w:color w:val="3A3A3A"/>
          <w:sz w:val="24"/>
          <w:szCs w:val="24"/>
          <w:shd w:val="clear" w:color="auto" w:fill="FFFFFF"/>
        </w:rPr>
        <w:t xml:space="preserve">, 40(10), pp. 1756–1769. Available at: </w:t>
      </w:r>
      <w:hyperlink r:id="rId20" w:history="1">
        <w:r w:rsidRPr="00FD204C">
          <w:rPr>
            <w:rStyle w:val="Hyperlink"/>
            <w:rFonts w:ascii="Source Sans Pro" w:hAnsi="Source Sans Pro"/>
            <w:sz w:val="24"/>
            <w:szCs w:val="24"/>
            <w:shd w:val="clear" w:color="auto" w:fill="FFFFFF"/>
          </w:rPr>
          <w:t>https://doi.org/10.1080/03075079.2014.914907</w:t>
        </w:r>
      </w:hyperlink>
      <w:r w:rsidRPr="00A34D69">
        <w:rPr>
          <w:rFonts w:ascii="Source Sans Pro" w:hAnsi="Source Sans Pro"/>
          <w:color w:val="3A3A3A"/>
          <w:sz w:val="24"/>
          <w:szCs w:val="24"/>
          <w:shd w:val="clear" w:color="auto" w:fill="FFFFFF"/>
        </w:rPr>
        <w:t>.</w:t>
      </w:r>
    </w:p>
    <w:p w14:paraId="3B8594E0" w14:textId="3B8901AC" w:rsidR="00A34D69" w:rsidRPr="00A34D69" w:rsidRDefault="00A34D69" w:rsidP="00A34D69">
      <w:pPr>
        <w:rPr>
          <w:rFonts w:ascii="Source Sans Pro" w:hAnsi="Source Sans Pro"/>
          <w:color w:val="3A3A3A"/>
          <w:sz w:val="24"/>
          <w:szCs w:val="24"/>
          <w:shd w:val="clear" w:color="auto" w:fill="FFFFFF"/>
        </w:rPr>
      </w:pPr>
      <w:r>
        <w:rPr>
          <w:rFonts w:ascii="Source Sans Pro" w:hAnsi="Source Sans Pro"/>
          <w:color w:val="3A3A3A"/>
          <w:sz w:val="23"/>
          <w:szCs w:val="23"/>
          <w:shd w:val="clear" w:color="auto" w:fill="FFFFFF"/>
        </w:rPr>
        <w:t xml:space="preserve">Poon Teng </w:t>
      </w:r>
      <w:proofErr w:type="spellStart"/>
      <w:r>
        <w:rPr>
          <w:rFonts w:ascii="Source Sans Pro" w:hAnsi="Source Sans Pro"/>
          <w:color w:val="3A3A3A"/>
          <w:sz w:val="23"/>
          <w:szCs w:val="23"/>
          <w:shd w:val="clear" w:color="auto" w:fill="FFFFFF"/>
        </w:rPr>
        <w:t>Fatt</w:t>
      </w:r>
      <w:proofErr w:type="spellEnd"/>
      <w:r>
        <w:rPr>
          <w:rFonts w:ascii="Source Sans Pro" w:hAnsi="Source Sans Pro"/>
          <w:color w:val="3A3A3A"/>
          <w:sz w:val="23"/>
          <w:szCs w:val="23"/>
          <w:shd w:val="clear" w:color="auto" w:fill="FFFFFF"/>
        </w:rPr>
        <w:t>, J. (2000) ‘Understanding the learning styles of students: implications for educators’, </w:t>
      </w:r>
      <w:proofErr w:type="gramStart"/>
      <w:r>
        <w:rPr>
          <w:rFonts w:ascii="Source Sans Pro" w:hAnsi="Source Sans Pro"/>
          <w:i/>
          <w:iCs/>
          <w:color w:val="3A3A3A"/>
          <w:sz w:val="23"/>
          <w:szCs w:val="23"/>
          <w:shd w:val="clear" w:color="auto" w:fill="FFFFFF"/>
        </w:rPr>
        <w:t>International</w:t>
      </w:r>
      <w:proofErr w:type="gramEnd"/>
      <w:r>
        <w:rPr>
          <w:rFonts w:ascii="Source Sans Pro" w:hAnsi="Source Sans Pro"/>
          <w:i/>
          <w:iCs/>
          <w:color w:val="3A3A3A"/>
          <w:sz w:val="23"/>
          <w:szCs w:val="23"/>
          <w:shd w:val="clear" w:color="auto" w:fill="FFFFFF"/>
        </w:rPr>
        <w:t xml:space="preserve"> journal of sociology and social policy</w:t>
      </w:r>
      <w:r>
        <w:rPr>
          <w:rFonts w:ascii="Source Sans Pro" w:hAnsi="Source Sans Pro"/>
          <w:color w:val="3A3A3A"/>
          <w:sz w:val="23"/>
          <w:szCs w:val="23"/>
          <w:shd w:val="clear" w:color="auto" w:fill="FFFFFF"/>
        </w:rPr>
        <w:t>, 20(11/12), pp. 31–45. Available at: https://doi.org/10.1108/01443330010789269.</w:t>
      </w:r>
    </w:p>
    <w:p w14:paraId="0EAD228E"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Rahmah, N.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(2019) ‘Quizizz Online Digital System Assessment Tools’, in </w:t>
      </w:r>
      <w:r w:rsidRPr="00A34D69">
        <w:rPr>
          <w:rFonts w:ascii="Source Sans Pro" w:hAnsi="Source Sans Pro"/>
          <w:i/>
          <w:iCs/>
          <w:color w:val="3A3A3A"/>
          <w:sz w:val="24"/>
          <w:szCs w:val="24"/>
          <w:shd w:val="clear" w:color="auto" w:fill="FFFFFF"/>
        </w:rPr>
        <w:t>2019 IEEE 5th International Conference on Wireless and Telematics (ICWT)</w:t>
      </w:r>
      <w:r w:rsidRPr="00A34D69">
        <w:rPr>
          <w:rFonts w:ascii="Source Sans Pro" w:hAnsi="Source Sans Pro"/>
          <w:color w:val="3A3A3A"/>
          <w:sz w:val="24"/>
          <w:szCs w:val="24"/>
          <w:shd w:val="clear" w:color="auto" w:fill="FFFFFF"/>
        </w:rPr>
        <w:t xml:space="preserve">. IEEE, pp. 1–4. Available at: </w:t>
      </w:r>
      <w:hyperlink r:id="rId21" w:history="1">
        <w:r w:rsidRPr="00A34D69">
          <w:rPr>
            <w:rStyle w:val="Hyperlink"/>
            <w:rFonts w:ascii="Source Sans Pro" w:hAnsi="Source Sans Pro"/>
            <w:sz w:val="24"/>
            <w:szCs w:val="24"/>
            <w:shd w:val="clear" w:color="auto" w:fill="FFFFFF"/>
          </w:rPr>
          <w:t>https://doi.org/10.1109/ICWT47785.2019.8978212</w:t>
        </w:r>
      </w:hyperlink>
      <w:r w:rsidRPr="00A34D69">
        <w:rPr>
          <w:rFonts w:ascii="Source Sans Pro" w:hAnsi="Source Sans Pro"/>
          <w:color w:val="3A3A3A"/>
          <w:sz w:val="24"/>
          <w:szCs w:val="24"/>
          <w:shd w:val="clear" w:color="auto" w:fill="FFFFFF"/>
        </w:rPr>
        <w:t>.</w:t>
      </w:r>
    </w:p>
    <w:p w14:paraId="23135883"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Rapanta</w:t>
      </w:r>
      <w:proofErr w:type="spellEnd"/>
      <w:r w:rsidRPr="00A34D69">
        <w:rPr>
          <w:rFonts w:ascii="Source Sans Pro" w:hAnsi="Source Sans Pro"/>
          <w:color w:val="3A3A3A"/>
          <w:sz w:val="24"/>
          <w:szCs w:val="24"/>
          <w:shd w:val="clear" w:color="auto" w:fill="FFFFFF"/>
        </w:rPr>
        <w:t>, C.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(2020) ‘Online University Teaching During and After the Covid-19 Crisis: Refocusing Teacher Presence and Learning Activity’, </w:t>
      </w:r>
      <w:proofErr w:type="spellStart"/>
      <w:r w:rsidRPr="00A34D69">
        <w:rPr>
          <w:rFonts w:ascii="Source Sans Pro" w:hAnsi="Source Sans Pro"/>
          <w:i/>
          <w:iCs/>
          <w:color w:val="3A3A3A"/>
          <w:sz w:val="24"/>
          <w:szCs w:val="24"/>
          <w:shd w:val="clear" w:color="auto" w:fill="FFFFFF"/>
        </w:rPr>
        <w:t>Postdigital</w:t>
      </w:r>
      <w:proofErr w:type="spellEnd"/>
      <w:r w:rsidRPr="00A34D69">
        <w:rPr>
          <w:rFonts w:ascii="Source Sans Pro" w:hAnsi="Source Sans Pro"/>
          <w:i/>
          <w:iCs/>
          <w:color w:val="3A3A3A"/>
          <w:sz w:val="24"/>
          <w:szCs w:val="24"/>
          <w:shd w:val="clear" w:color="auto" w:fill="FFFFFF"/>
        </w:rPr>
        <w:t xml:space="preserve"> science and education</w:t>
      </w:r>
      <w:r w:rsidRPr="00A34D69">
        <w:rPr>
          <w:rFonts w:ascii="Source Sans Pro" w:hAnsi="Source Sans Pro"/>
          <w:color w:val="3A3A3A"/>
          <w:sz w:val="24"/>
          <w:szCs w:val="24"/>
          <w:shd w:val="clear" w:color="auto" w:fill="FFFFFF"/>
        </w:rPr>
        <w:t xml:space="preserve">, 2(3), pp. 923–945. Available at: </w:t>
      </w:r>
      <w:hyperlink r:id="rId22" w:history="1">
        <w:r w:rsidRPr="00A34D69">
          <w:rPr>
            <w:rStyle w:val="Hyperlink"/>
            <w:rFonts w:ascii="Source Sans Pro" w:hAnsi="Source Sans Pro"/>
            <w:sz w:val="24"/>
            <w:szCs w:val="24"/>
            <w:shd w:val="clear" w:color="auto" w:fill="FFFFFF"/>
          </w:rPr>
          <w:t>https://doi.org/10.1007/s42438-020-00155-y</w:t>
        </w:r>
      </w:hyperlink>
      <w:r w:rsidRPr="00A34D69">
        <w:rPr>
          <w:rFonts w:ascii="Source Sans Pro" w:hAnsi="Source Sans Pro"/>
          <w:color w:val="3A3A3A"/>
          <w:sz w:val="24"/>
          <w:szCs w:val="24"/>
          <w:shd w:val="clear" w:color="auto" w:fill="FFFFFF"/>
        </w:rPr>
        <w:t>.</w:t>
      </w:r>
    </w:p>
    <w:p w14:paraId="38375289" w14:textId="77777777" w:rsidR="00A34D69" w:rsidRPr="00A34D69" w:rsidRDefault="00A34D69" w:rsidP="00A34D69">
      <w:pPr>
        <w:pStyle w:val="Heading1"/>
        <w:shd w:val="clear" w:color="auto" w:fill="FFFFFF"/>
        <w:spacing w:before="0" w:beforeAutospacing="0" w:after="0" w:afterAutospacing="0"/>
        <w:rPr>
          <w:sz w:val="24"/>
          <w:szCs w:val="24"/>
        </w:rPr>
      </w:pPr>
      <w:r w:rsidRPr="00A34D69">
        <w:rPr>
          <w:b w:val="0"/>
          <w:bCs w:val="0"/>
          <w:color w:val="3A3A3A"/>
          <w:sz w:val="24"/>
          <w:szCs w:val="24"/>
          <w:shd w:val="clear" w:color="auto" w:fill="FFFFFF"/>
        </w:rPr>
        <w:t xml:space="preserve">Renner, R. (2018) </w:t>
      </w:r>
      <w:r w:rsidRPr="00A34D69">
        <w:rPr>
          <w:b w:val="0"/>
          <w:bCs w:val="0"/>
          <w:color w:val="4D4D4D"/>
          <w:sz w:val="24"/>
          <w:szCs w:val="24"/>
        </w:rPr>
        <w:t>Advantages and Disadvantages of Group Work in a Classroom Situation Available at:</w:t>
      </w:r>
      <w:r w:rsidRPr="00A34D69">
        <w:rPr>
          <w:sz w:val="24"/>
          <w:szCs w:val="24"/>
        </w:rPr>
        <w:t xml:space="preserve"> </w:t>
      </w:r>
      <w:hyperlink r:id="rId23" w:history="1">
        <w:r w:rsidRPr="00A34D69">
          <w:rPr>
            <w:rStyle w:val="Hyperlink"/>
            <w:b w:val="0"/>
            <w:bCs w:val="0"/>
            <w:sz w:val="24"/>
            <w:szCs w:val="24"/>
          </w:rPr>
          <w:t>https://www.theclassroom.com/advantages-disadvantages-group-work-classroom-situation-12065986.html</w:t>
        </w:r>
      </w:hyperlink>
      <w:r w:rsidRPr="00A34D69">
        <w:rPr>
          <w:b w:val="0"/>
          <w:bCs w:val="0"/>
          <w:color w:val="4D4D4D"/>
          <w:sz w:val="24"/>
          <w:szCs w:val="24"/>
        </w:rPr>
        <w:t xml:space="preserve"> (Accessed: 29</w:t>
      </w:r>
      <w:r w:rsidRPr="00A34D69">
        <w:rPr>
          <w:b w:val="0"/>
          <w:bCs w:val="0"/>
          <w:color w:val="4D4D4D"/>
          <w:sz w:val="24"/>
          <w:szCs w:val="24"/>
          <w:vertAlign w:val="superscript"/>
        </w:rPr>
        <w:t>th</w:t>
      </w:r>
      <w:r w:rsidRPr="00A34D69">
        <w:rPr>
          <w:b w:val="0"/>
          <w:bCs w:val="0"/>
          <w:color w:val="4D4D4D"/>
          <w:sz w:val="24"/>
          <w:szCs w:val="24"/>
        </w:rPr>
        <w:t xml:space="preserve"> May 2023)</w:t>
      </w:r>
    </w:p>
    <w:p w14:paraId="3D662D68" w14:textId="77777777" w:rsidR="00A34D69" w:rsidRPr="00A34D69" w:rsidRDefault="00A34D69" w:rsidP="00A34D69">
      <w:pPr>
        <w:rPr>
          <w:rFonts w:ascii="Source Sans Pro" w:hAnsi="Source Sans Pro"/>
          <w:color w:val="3A3A3A"/>
          <w:sz w:val="24"/>
          <w:szCs w:val="24"/>
          <w:shd w:val="clear" w:color="auto" w:fill="FFFFFF"/>
        </w:rPr>
      </w:pPr>
    </w:p>
    <w:p w14:paraId="13E8CE3E"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Rotsaert</w:t>
      </w:r>
      <w:proofErr w:type="spellEnd"/>
      <w:r w:rsidRPr="00A34D69">
        <w:rPr>
          <w:rFonts w:ascii="Source Sans Pro" w:hAnsi="Source Sans Pro"/>
          <w:color w:val="3A3A3A"/>
          <w:sz w:val="24"/>
          <w:szCs w:val="24"/>
          <w:shd w:val="clear" w:color="auto" w:fill="FFFFFF"/>
        </w:rPr>
        <w:t xml:space="preserve">, T., Panadero, E. and </w:t>
      </w:r>
      <w:proofErr w:type="spellStart"/>
      <w:r w:rsidRPr="00A34D69">
        <w:rPr>
          <w:rFonts w:ascii="Source Sans Pro" w:hAnsi="Source Sans Pro"/>
          <w:color w:val="3A3A3A"/>
          <w:sz w:val="24"/>
          <w:szCs w:val="24"/>
          <w:shd w:val="clear" w:color="auto" w:fill="FFFFFF"/>
        </w:rPr>
        <w:t>Schellens</w:t>
      </w:r>
      <w:proofErr w:type="spellEnd"/>
      <w:r w:rsidRPr="00A34D69">
        <w:rPr>
          <w:rFonts w:ascii="Source Sans Pro" w:hAnsi="Source Sans Pro"/>
          <w:color w:val="3A3A3A"/>
          <w:sz w:val="24"/>
          <w:szCs w:val="24"/>
          <w:shd w:val="clear" w:color="auto" w:fill="FFFFFF"/>
        </w:rPr>
        <w:t>, T. (2018) ‘Anonymity as an instructional scaffold in peer assessment: its effects on peer feedback quality and evolution in students’ perceptions about peer assessment skills’, </w:t>
      </w:r>
      <w:r w:rsidRPr="00A34D69">
        <w:rPr>
          <w:rFonts w:ascii="Source Sans Pro" w:hAnsi="Source Sans Pro"/>
          <w:i/>
          <w:iCs/>
          <w:color w:val="3A3A3A"/>
          <w:sz w:val="24"/>
          <w:szCs w:val="24"/>
          <w:shd w:val="clear" w:color="auto" w:fill="FFFFFF"/>
        </w:rPr>
        <w:t>European journal of psychology of education</w:t>
      </w:r>
      <w:r w:rsidRPr="00A34D69">
        <w:rPr>
          <w:rFonts w:ascii="Source Sans Pro" w:hAnsi="Source Sans Pro"/>
          <w:color w:val="3A3A3A"/>
          <w:sz w:val="24"/>
          <w:szCs w:val="24"/>
          <w:shd w:val="clear" w:color="auto" w:fill="FFFFFF"/>
        </w:rPr>
        <w:t xml:space="preserve">, 33(1), pp. 75–99. Available at: </w:t>
      </w:r>
      <w:hyperlink r:id="rId24" w:history="1">
        <w:r w:rsidRPr="00A34D69">
          <w:rPr>
            <w:rStyle w:val="Hyperlink"/>
            <w:rFonts w:ascii="Source Sans Pro" w:hAnsi="Source Sans Pro"/>
            <w:sz w:val="24"/>
            <w:szCs w:val="24"/>
            <w:shd w:val="clear" w:color="auto" w:fill="FFFFFF"/>
          </w:rPr>
          <w:t>https://doi.org/10.1007/s10212-017-0339-8</w:t>
        </w:r>
      </w:hyperlink>
      <w:r w:rsidRPr="00A34D69">
        <w:rPr>
          <w:rFonts w:ascii="Source Sans Pro" w:hAnsi="Source Sans Pro"/>
          <w:color w:val="3A3A3A"/>
          <w:sz w:val="24"/>
          <w:szCs w:val="24"/>
          <w:shd w:val="clear" w:color="auto" w:fill="FFFFFF"/>
        </w:rPr>
        <w:t>.</w:t>
      </w:r>
    </w:p>
    <w:p w14:paraId="653CE3BB" w14:textId="77777777" w:rsid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Sarkis, J.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(2020) ‘A brave new world: Lessons from the COVID-19 pandemic for transitioning to sustainable supply and production’, </w:t>
      </w:r>
      <w:r w:rsidRPr="00A34D69">
        <w:rPr>
          <w:rFonts w:ascii="Source Sans Pro" w:hAnsi="Source Sans Pro"/>
          <w:i/>
          <w:iCs/>
          <w:color w:val="3A3A3A"/>
          <w:sz w:val="24"/>
          <w:szCs w:val="24"/>
          <w:shd w:val="clear" w:color="auto" w:fill="FFFFFF"/>
        </w:rPr>
        <w:t>Resources, conservation and recycling</w:t>
      </w:r>
      <w:r w:rsidRPr="00A34D69">
        <w:rPr>
          <w:rFonts w:ascii="Source Sans Pro" w:hAnsi="Source Sans Pro"/>
          <w:color w:val="3A3A3A"/>
          <w:sz w:val="24"/>
          <w:szCs w:val="24"/>
          <w:shd w:val="clear" w:color="auto" w:fill="FFFFFF"/>
        </w:rPr>
        <w:t xml:space="preserve">, 159, pp. 104894–104894. Available at: </w:t>
      </w:r>
      <w:hyperlink r:id="rId25" w:history="1">
        <w:r w:rsidRPr="00A34D69">
          <w:rPr>
            <w:rStyle w:val="Hyperlink"/>
            <w:rFonts w:ascii="Source Sans Pro" w:hAnsi="Source Sans Pro"/>
            <w:sz w:val="24"/>
            <w:szCs w:val="24"/>
            <w:shd w:val="clear" w:color="auto" w:fill="FFFFFF"/>
          </w:rPr>
          <w:t>https://doi.org/10.1016/j.resconrec.2020.104894</w:t>
        </w:r>
      </w:hyperlink>
      <w:r w:rsidRPr="00A34D69">
        <w:rPr>
          <w:rFonts w:ascii="Source Sans Pro" w:hAnsi="Source Sans Pro"/>
          <w:color w:val="3A3A3A"/>
          <w:sz w:val="24"/>
          <w:szCs w:val="24"/>
          <w:shd w:val="clear" w:color="auto" w:fill="FFFFFF"/>
        </w:rPr>
        <w:t>.</w:t>
      </w:r>
    </w:p>
    <w:p w14:paraId="567CD875" w14:textId="77777777" w:rsidR="00A34D69" w:rsidRPr="00A34D69" w:rsidRDefault="00A34D69" w:rsidP="00A34D69">
      <w:pPr>
        <w:contextualSpacing/>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Stecula</w:t>
      </w:r>
      <w:proofErr w:type="spellEnd"/>
      <w:r w:rsidRPr="00A34D69">
        <w:rPr>
          <w:rFonts w:ascii="Source Sans Pro" w:hAnsi="Source Sans Pro"/>
          <w:color w:val="3A3A3A"/>
          <w:sz w:val="24"/>
          <w:szCs w:val="24"/>
          <w:shd w:val="clear" w:color="auto" w:fill="FFFFFF"/>
        </w:rPr>
        <w:t xml:space="preserve">, K. and </w:t>
      </w:r>
      <w:proofErr w:type="spellStart"/>
      <w:r w:rsidRPr="00A34D69">
        <w:rPr>
          <w:rFonts w:ascii="Source Sans Pro" w:hAnsi="Source Sans Pro"/>
          <w:color w:val="3A3A3A"/>
          <w:sz w:val="24"/>
          <w:szCs w:val="24"/>
          <w:shd w:val="clear" w:color="auto" w:fill="FFFFFF"/>
        </w:rPr>
        <w:t>Wolniak</w:t>
      </w:r>
      <w:proofErr w:type="spellEnd"/>
      <w:r w:rsidRPr="00A34D69">
        <w:rPr>
          <w:rFonts w:ascii="Source Sans Pro" w:hAnsi="Source Sans Pro"/>
          <w:color w:val="3A3A3A"/>
          <w:sz w:val="24"/>
          <w:szCs w:val="24"/>
          <w:shd w:val="clear" w:color="auto" w:fill="FFFFFF"/>
        </w:rPr>
        <w:t>, R. (2022) ‘Advantages and Disadvantages of E- Learning</w:t>
      </w:r>
    </w:p>
    <w:p w14:paraId="0E88D3AD"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Innovations during COVID-19 Pandemic in Higher Education in Poland’, Journal of</w:t>
      </w:r>
    </w:p>
    <w:p w14:paraId="322D5F27" w14:textId="77777777" w:rsidR="00A34D69" w:rsidRP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Open Innovation: Technology, Market and Complexity, 8(3), p.159. DOI:</w:t>
      </w:r>
    </w:p>
    <w:p w14:paraId="7F32D003" w14:textId="11A823B4" w:rsidR="00A34D69" w:rsidRDefault="00A34D69" w:rsidP="00A34D69">
      <w:pPr>
        <w:contextualSpacing/>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10.3390/JOITMC8030159 (Accessed: 28 November 2022).</w:t>
      </w:r>
    </w:p>
    <w:p w14:paraId="54FA915C" w14:textId="77777777" w:rsidR="00A34D69" w:rsidRPr="00A34D69" w:rsidRDefault="00A34D69" w:rsidP="00A34D69">
      <w:pPr>
        <w:contextualSpacing/>
        <w:rPr>
          <w:rFonts w:ascii="Source Sans Pro" w:hAnsi="Source Sans Pro"/>
          <w:color w:val="3A3A3A"/>
          <w:sz w:val="24"/>
          <w:szCs w:val="24"/>
          <w:shd w:val="clear" w:color="auto" w:fill="FFFFFF"/>
        </w:rPr>
      </w:pPr>
    </w:p>
    <w:p w14:paraId="6BF97A83"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Tallon</w:t>
      </w:r>
      <w:proofErr w:type="spellEnd"/>
      <w:r w:rsidRPr="00A34D69">
        <w:rPr>
          <w:rFonts w:ascii="Source Sans Pro" w:hAnsi="Source Sans Pro"/>
          <w:color w:val="3A3A3A"/>
          <w:sz w:val="24"/>
          <w:szCs w:val="24"/>
          <w:shd w:val="clear" w:color="auto" w:fill="FFFFFF"/>
        </w:rPr>
        <w:t>, P.P.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(2019) ‘Information technology and the search for organizational agility: A systematic review with future research possibilities’, </w:t>
      </w:r>
      <w:r w:rsidRPr="00A34D69">
        <w:rPr>
          <w:rFonts w:ascii="Source Sans Pro" w:hAnsi="Source Sans Pro"/>
          <w:i/>
          <w:iCs/>
          <w:color w:val="3A3A3A"/>
          <w:sz w:val="24"/>
          <w:szCs w:val="24"/>
          <w:shd w:val="clear" w:color="auto" w:fill="FFFFFF"/>
        </w:rPr>
        <w:t>The journal of strategic information systems</w:t>
      </w:r>
      <w:r w:rsidRPr="00A34D69">
        <w:rPr>
          <w:rFonts w:ascii="Source Sans Pro" w:hAnsi="Source Sans Pro"/>
          <w:color w:val="3A3A3A"/>
          <w:sz w:val="24"/>
          <w:szCs w:val="24"/>
          <w:shd w:val="clear" w:color="auto" w:fill="FFFFFF"/>
        </w:rPr>
        <w:t>, 28(2), pp. 218–237. Available at: https://doi.org/10.1016/j.jsis.2018.12.002.</w:t>
      </w:r>
    </w:p>
    <w:p w14:paraId="5CDDDDE9" w14:textId="77777777" w:rsidR="00A34D69" w:rsidRPr="00A34D69" w:rsidRDefault="00A34D69" w:rsidP="00A34D69">
      <w:pPr>
        <w:rPr>
          <w:rFonts w:ascii="Source Sans Pro" w:hAnsi="Source Sans Pro"/>
          <w:color w:val="3A3A3A"/>
          <w:sz w:val="24"/>
          <w:szCs w:val="24"/>
          <w:shd w:val="clear" w:color="auto" w:fill="FFFFFF"/>
        </w:rPr>
      </w:pPr>
      <w:r w:rsidRPr="00A34D69">
        <w:rPr>
          <w:rFonts w:ascii="Source Sans Pro" w:hAnsi="Source Sans Pro"/>
          <w:color w:val="3A3A3A"/>
          <w:sz w:val="24"/>
          <w:szCs w:val="24"/>
          <w:shd w:val="clear" w:color="auto" w:fill="FFFFFF"/>
        </w:rPr>
        <w:t>Tenenbaum, L.S. </w:t>
      </w:r>
      <w:r w:rsidRPr="00A34D69">
        <w:rPr>
          <w:rFonts w:ascii="Source Sans Pro" w:hAnsi="Source Sans Pro"/>
          <w:i/>
          <w:iCs/>
          <w:color w:val="3A3A3A"/>
          <w:sz w:val="24"/>
          <w:szCs w:val="24"/>
          <w:shd w:val="clear" w:color="auto" w:fill="FFFFFF"/>
        </w:rPr>
        <w:t>et al.</w:t>
      </w:r>
      <w:r w:rsidRPr="00A34D69">
        <w:rPr>
          <w:rFonts w:ascii="Source Sans Pro" w:hAnsi="Source Sans Pro"/>
          <w:color w:val="3A3A3A"/>
          <w:sz w:val="24"/>
          <w:szCs w:val="24"/>
          <w:shd w:val="clear" w:color="auto" w:fill="FFFFFF"/>
        </w:rPr>
        <w:t> (2014) ‘An Innovative Near-Peer Mentoring Model for Undergraduate and Secondary Students: STEM Focus’, </w:t>
      </w:r>
      <w:r w:rsidRPr="00A34D69">
        <w:rPr>
          <w:rFonts w:ascii="Source Sans Pro" w:hAnsi="Source Sans Pro"/>
          <w:i/>
          <w:iCs/>
          <w:color w:val="3A3A3A"/>
          <w:sz w:val="24"/>
          <w:szCs w:val="24"/>
          <w:shd w:val="clear" w:color="auto" w:fill="FFFFFF"/>
        </w:rPr>
        <w:t>Innovative higher education</w:t>
      </w:r>
      <w:r w:rsidRPr="00A34D69">
        <w:rPr>
          <w:rFonts w:ascii="Source Sans Pro" w:hAnsi="Source Sans Pro"/>
          <w:color w:val="3A3A3A"/>
          <w:sz w:val="24"/>
          <w:szCs w:val="24"/>
          <w:shd w:val="clear" w:color="auto" w:fill="FFFFFF"/>
        </w:rPr>
        <w:t xml:space="preserve">, 39(5), pp. 375–385. Available at: </w:t>
      </w:r>
      <w:hyperlink r:id="rId26" w:history="1">
        <w:r w:rsidRPr="00A34D69">
          <w:rPr>
            <w:rStyle w:val="Hyperlink"/>
            <w:rFonts w:ascii="Source Sans Pro" w:hAnsi="Source Sans Pro"/>
            <w:sz w:val="24"/>
            <w:szCs w:val="24"/>
            <w:shd w:val="clear" w:color="auto" w:fill="FFFFFF"/>
          </w:rPr>
          <w:t>https://doi.org/10.1007/s10755-014-9286-3</w:t>
        </w:r>
      </w:hyperlink>
      <w:r w:rsidRPr="00A34D69">
        <w:rPr>
          <w:rFonts w:ascii="Source Sans Pro" w:hAnsi="Source Sans Pro"/>
          <w:color w:val="3A3A3A"/>
          <w:sz w:val="24"/>
          <w:szCs w:val="24"/>
          <w:shd w:val="clear" w:color="auto" w:fill="FFFFFF"/>
        </w:rPr>
        <w:t>.</w:t>
      </w:r>
    </w:p>
    <w:p w14:paraId="46972A42" w14:textId="77777777" w:rsidR="00A34D69" w:rsidRPr="00A34D69" w:rsidRDefault="00A34D69" w:rsidP="00A34D69">
      <w:pPr>
        <w:rPr>
          <w:rFonts w:ascii="Source Sans Pro" w:hAnsi="Source Sans Pro"/>
          <w:color w:val="3A3A3A"/>
          <w:sz w:val="24"/>
          <w:szCs w:val="24"/>
          <w:shd w:val="clear" w:color="auto" w:fill="FFFFFF"/>
        </w:rPr>
      </w:pPr>
      <w:proofErr w:type="spellStart"/>
      <w:r w:rsidRPr="00A34D69">
        <w:rPr>
          <w:rFonts w:ascii="Source Sans Pro" w:hAnsi="Source Sans Pro"/>
          <w:color w:val="3A3A3A"/>
          <w:sz w:val="24"/>
          <w:szCs w:val="24"/>
          <w:shd w:val="clear" w:color="auto" w:fill="FFFFFF"/>
        </w:rPr>
        <w:t>Uswitch</w:t>
      </w:r>
      <w:proofErr w:type="spellEnd"/>
      <w:r w:rsidRPr="00A34D69">
        <w:rPr>
          <w:rFonts w:ascii="Source Sans Pro" w:hAnsi="Source Sans Pro"/>
          <w:color w:val="3A3A3A"/>
          <w:sz w:val="24"/>
          <w:szCs w:val="24"/>
          <w:shd w:val="clear" w:color="auto" w:fill="FFFFFF"/>
        </w:rPr>
        <w:t xml:space="preserve"> (2023) </w:t>
      </w:r>
      <w:r w:rsidRPr="00A34D69">
        <w:rPr>
          <w:rFonts w:ascii="Source Sans Pro" w:hAnsi="Source Sans Pro"/>
          <w:i/>
          <w:iCs/>
          <w:color w:val="3A3A3A"/>
          <w:sz w:val="24"/>
          <w:szCs w:val="24"/>
          <w:shd w:val="clear" w:color="auto" w:fill="FFFFFF"/>
        </w:rPr>
        <w:t>UK Mobile Phone Statistics 2023</w:t>
      </w:r>
      <w:r w:rsidRPr="00A34D69">
        <w:rPr>
          <w:rFonts w:ascii="Source Sans Pro" w:hAnsi="Source Sans Pro"/>
          <w:color w:val="3A3A3A"/>
          <w:sz w:val="24"/>
          <w:szCs w:val="24"/>
          <w:shd w:val="clear" w:color="auto" w:fill="FFFFFF"/>
        </w:rPr>
        <w:t xml:space="preserve">. Available at </w:t>
      </w:r>
      <w:hyperlink r:id="rId27" w:history="1">
        <w:r w:rsidRPr="00A34D69">
          <w:rPr>
            <w:rStyle w:val="Hyperlink"/>
            <w:sz w:val="24"/>
            <w:szCs w:val="24"/>
          </w:rPr>
          <w:t>UK Mobile Phone Statistics 2023 - Mobiles Facts and Stats Report (uswitch.com)</w:t>
        </w:r>
      </w:hyperlink>
      <w:r w:rsidRPr="00A34D69">
        <w:rPr>
          <w:sz w:val="24"/>
          <w:szCs w:val="24"/>
        </w:rPr>
        <w:t xml:space="preserve"> (Accessed: 24</w:t>
      </w:r>
      <w:r w:rsidRPr="00A34D69">
        <w:rPr>
          <w:sz w:val="24"/>
          <w:szCs w:val="24"/>
          <w:vertAlign w:val="superscript"/>
        </w:rPr>
        <w:t>th</w:t>
      </w:r>
      <w:r w:rsidRPr="00A34D69">
        <w:rPr>
          <w:sz w:val="24"/>
          <w:szCs w:val="24"/>
        </w:rPr>
        <w:t xml:space="preserve"> June 2023)</w:t>
      </w:r>
    </w:p>
    <w:p w14:paraId="53E4AC2E" w14:textId="3AA23AC8" w:rsidR="00A34D69" w:rsidRDefault="00A34D69" w:rsidP="00A34D69">
      <w:pPr>
        <w:tabs>
          <w:tab w:val="left" w:pos="6600"/>
        </w:tabs>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Wang, S.-K.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(2014) ‘An investigation of middle school science teachers and students use of technology inside and outside of classrooms: considering whether digital natives are more technology savvy than their teachers’, </w:t>
      </w:r>
      <w:proofErr w:type="gramStart"/>
      <w:r>
        <w:rPr>
          <w:rFonts w:ascii="Source Sans Pro" w:hAnsi="Source Sans Pro"/>
          <w:i/>
          <w:iCs/>
          <w:color w:val="3A3A3A"/>
          <w:sz w:val="23"/>
          <w:szCs w:val="23"/>
          <w:shd w:val="clear" w:color="auto" w:fill="FFFFFF"/>
        </w:rPr>
        <w:t>Educational</w:t>
      </w:r>
      <w:proofErr w:type="gramEnd"/>
      <w:r>
        <w:rPr>
          <w:rFonts w:ascii="Source Sans Pro" w:hAnsi="Source Sans Pro"/>
          <w:i/>
          <w:iCs/>
          <w:color w:val="3A3A3A"/>
          <w:sz w:val="23"/>
          <w:szCs w:val="23"/>
          <w:shd w:val="clear" w:color="auto" w:fill="FFFFFF"/>
        </w:rPr>
        <w:t xml:space="preserve"> technology research and development</w:t>
      </w:r>
      <w:r>
        <w:rPr>
          <w:rFonts w:ascii="Source Sans Pro" w:hAnsi="Source Sans Pro"/>
          <w:color w:val="3A3A3A"/>
          <w:sz w:val="23"/>
          <w:szCs w:val="23"/>
          <w:shd w:val="clear" w:color="auto" w:fill="FFFFFF"/>
        </w:rPr>
        <w:t xml:space="preserve">, 62(6), pp. 637–662. Available at: </w:t>
      </w:r>
      <w:hyperlink r:id="rId28" w:history="1">
        <w:r w:rsidRPr="00FD204C">
          <w:rPr>
            <w:rStyle w:val="Hyperlink"/>
            <w:rFonts w:ascii="Source Sans Pro" w:hAnsi="Source Sans Pro"/>
            <w:sz w:val="23"/>
            <w:szCs w:val="23"/>
            <w:shd w:val="clear" w:color="auto" w:fill="FFFFFF"/>
          </w:rPr>
          <w:t>https://doi.org/10.1007/s11423-014-9355-4</w:t>
        </w:r>
      </w:hyperlink>
      <w:r>
        <w:rPr>
          <w:rFonts w:ascii="Source Sans Pro" w:hAnsi="Source Sans Pro"/>
          <w:color w:val="3A3A3A"/>
          <w:sz w:val="23"/>
          <w:szCs w:val="23"/>
          <w:shd w:val="clear" w:color="auto" w:fill="FFFFFF"/>
        </w:rPr>
        <w:t>.</w:t>
      </w:r>
    </w:p>
    <w:p w14:paraId="5A406E54" w14:textId="77777777" w:rsidR="00A34D69" w:rsidRPr="00CC743E" w:rsidRDefault="00A34D69" w:rsidP="00A34D69">
      <w:pPr>
        <w:tabs>
          <w:tab w:val="left" w:pos="6600"/>
        </w:tabs>
      </w:pPr>
    </w:p>
    <w:sectPr w:rsidR="00A34D69" w:rsidRPr="00CC743E">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D6546" w14:textId="77777777" w:rsidR="00400D2D" w:rsidRDefault="00400D2D" w:rsidP="001F44DD">
      <w:pPr>
        <w:spacing w:after="0" w:line="240" w:lineRule="auto"/>
      </w:pPr>
      <w:r>
        <w:separator/>
      </w:r>
    </w:p>
  </w:endnote>
  <w:endnote w:type="continuationSeparator" w:id="0">
    <w:p w14:paraId="62437A61" w14:textId="77777777" w:rsidR="00400D2D" w:rsidRDefault="00400D2D" w:rsidP="001F4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ource Sans Pro">
    <w:altName w:val="Arial"/>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9207E" w14:textId="77777777" w:rsidR="001525DD" w:rsidRDefault="00152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FB04D" w14:textId="77777777" w:rsidR="001525DD" w:rsidRDefault="001525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B5F6B" w14:textId="77777777" w:rsidR="001525DD" w:rsidRDefault="00152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571EA" w14:textId="77777777" w:rsidR="00400D2D" w:rsidRDefault="00400D2D" w:rsidP="001F44DD">
      <w:pPr>
        <w:spacing w:after="0" w:line="240" w:lineRule="auto"/>
      </w:pPr>
      <w:r>
        <w:separator/>
      </w:r>
    </w:p>
  </w:footnote>
  <w:footnote w:type="continuationSeparator" w:id="0">
    <w:p w14:paraId="5A170814" w14:textId="77777777" w:rsidR="00400D2D" w:rsidRDefault="00400D2D" w:rsidP="001F4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518DD" w14:textId="77777777" w:rsidR="001525DD" w:rsidRDefault="001525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E7129" w14:textId="2FE01D7E" w:rsidR="001F44DD" w:rsidRDefault="00A34D69">
    <w:pPr>
      <w:pStyle w:val="Header"/>
    </w:pPr>
    <w:r>
      <w:t>Module Number ECPT6006</w:t>
    </w:r>
    <w:r>
      <w:ptab w:relativeTo="margin" w:alignment="center" w:leader="none"/>
    </w:r>
    <w:r>
      <w:t>Student Number 2011956</w:t>
    </w:r>
    <w:r>
      <w:ptab w:relativeTo="margin" w:alignment="right" w:leader="none"/>
    </w:r>
    <w:r>
      <w:t xml:space="preserve">Word </w:t>
    </w:r>
    <w:r>
      <w:t>Count:</w:t>
    </w:r>
    <w:r w:rsidR="001525DD">
      <w:t>4001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D625D" w14:textId="77777777" w:rsidR="001525DD" w:rsidRDefault="00152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E3F3E"/>
    <w:multiLevelType w:val="multilevel"/>
    <w:tmpl w:val="CFC40D6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077475"/>
    <w:multiLevelType w:val="multilevel"/>
    <w:tmpl w:val="FCDE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665471"/>
    <w:multiLevelType w:val="multilevel"/>
    <w:tmpl w:val="79145D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052BF3"/>
    <w:multiLevelType w:val="multilevel"/>
    <w:tmpl w:val="9C6697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CF4A1F"/>
    <w:multiLevelType w:val="multilevel"/>
    <w:tmpl w:val="B80E7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F5109F"/>
    <w:multiLevelType w:val="multilevel"/>
    <w:tmpl w:val="8DE614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C27A97"/>
    <w:multiLevelType w:val="multilevel"/>
    <w:tmpl w:val="700283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8542277">
    <w:abstractNumId w:val="4"/>
  </w:num>
  <w:num w:numId="2" w16cid:durableId="1816296366">
    <w:abstractNumId w:val="6"/>
  </w:num>
  <w:num w:numId="3" w16cid:durableId="377975870">
    <w:abstractNumId w:val="2"/>
  </w:num>
  <w:num w:numId="4" w16cid:durableId="1013534387">
    <w:abstractNumId w:val="5"/>
  </w:num>
  <w:num w:numId="5" w16cid:durableId="1739011841">
    <w:abstractNumId w:val="3"/>
  </w:num>
  <w:num w:numId="6" w16cid:durableId="1783256688">
    <w:abstractNumId w:val="0"/>
  </w:num>
  <w:num w:numId="7" w16cid:durableId="1205755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44DD"/>
    <w:rsid w:val="000556A1"/>
    <w:rsid w:val="00065740"/>
    <w:rsid w:val="00115B0C"/>
    <w:rsid w:val="001525DD"/>
    <w:rsid w:val="001C7B83"/>
    <w:rsid w:val="001F44DD"/>
    <w:rsid w:val="0029183A"/>
    <w:rsid w:val="002E04A3"/>
    <w:rsid w:val="0033305E"/>
    <w:rsid w:val="00400D2D"/>
    <w:rsid w:val="0058575F"/>
    <w:rsid w:val="006C2465"/>
    <w:rsid w:val="006D3EDF"/>
    <w:rsid w:val="0074390E"/>
    <w:rsid w:val="007C3B59"/>
    <w:rsid w:val="00A34D69"/>
    <w:rsid w:val="00A90487"/>
    <w:rsid w:val="00B954E8"/>
    <w:rsid w:val="00CC743E"/>
    <w:rsid w:val="00ED7BAB"/>
    <w:rsid w:val="00FE2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A548C"/>
  <w15:docId w15:val="{591B4F0B-A3E0-4442-ACEB-5BAB29AD6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4D6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44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4DD"/>
  </w:style>
  <w:style w:type="paragraph" w:styleId="Footer">
    <w:name w:val="footer"/>
    <w:basedOn w:val="Normal"/>
    <w:link w:val="FooterChar"/>
    <w:uiPriority w:val="99"/>
    <w:unhideWhenUsed/>
    <w:rsid w:val="001F44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4DD"/>
  </w:style>
  <w:style w:type="character" w:customStyle="1" w:styleId="button-link-text">
    <w:name w:val="button-link-text"/>
    <w:basedOn w:val="DefaultParagraphFont"/>
    <w:rsid w:val="00A34D69"/>
  </w:style>
  <w:style w:type="character" w:customStyle="1" w:styleId="react-xocs-alternative-link">
    <w:name w:val="react-xocs-alternative-link"/>
    <w:basedOn w:val="DefaultParagraphFont"/>
    <w:rsid w:val="00A34D69"/>
  </w:style>
  <w:style w:type="character" w:customStyle="1" w:styleId="given-name">
    <w:name w:val="given-name"/>
    <w:basedOn w:val="DefaultParagraphFont"/>
    <w:rsid w:val="00A34D69"/>
  </w:style>
  <w:style w:type="character" w:customStyle="1" w:styleId="text">
    <w:name w:val="text"/>
    <w:basedOn w:val="DefaultParagraphFont"/>
    <w:rsid w:val="00A34D69"/>
  </w:style>
  <w:style w:type="character" w:customStyle="1" w:styleId="author-ref">
    <w:name w:val="author-ref"/>
    <w:basedOn w:val="DefaultParagraphFont"/>
    <w:rsid w:val="00A34D69"/>
  </w:style>
  <w:style w:type="character" w:customStyle="1" w:styleId="Heading1Char">
    <w:name w:val="Heading 1 Char"/>
    <w:basedOn w:val="DefaultParagraphFont"/>
    <w:link w:val="Heading1"/>
    <w:uiPriority w:val="9"/>
    <w:rsid w:val="00A34D69"/>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34D69"/>
    <w:rPr>
      <w:color w:val="0563C1" w:themeColor="hyperlink"/>
      <w:u w:val="single"/>
    </w:rPr>
  </w:style>
  <w:style w:type="character" w:styleId="UnresolvedMention">
    <w:name w:val="Unresolved Mention"/>
    <w:basedOn w:val="DefaultParagraphFont"/>
    <w:uiPriority w:val="99"/>
    <w:semiHidden/>
    <w:unhideWhenUsed/>
    <w:rsid w:val="00A34D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9841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94820.2020.1813180" TargetMode="External"/><Relationship Id="rId13" Type="http://schemas.openxmlformats.org/officeDocument/2006/relationships/hyperlink" Target="https://doi.org/10.1108/ITSE-06-2020-0087" TargetMode="External"/><Relationship Id="rId18" Type="http://schemas.openxmlformats.org/officeDocument/2006/relationships/hyperlink" Target="https://doi.org/10.1177/1477971420947738" TargetMode="External"/><Relationship Id="rId26" Type="http://schemas.openxmlformats.org/officeDocument/2006/relationships/hyperlink" Target="https://doi.org/10.1007/s10755-014-9286-3" TargetMode="External"/><Relationship Id="rId3" Type="http://schemas.openxmlformats.org/officeDocument/2006/relationships/settings" Target="settings.xml"/><Relationship Id="rId21" Type="http://schemas.openxmlformats.org/officeDocument/2006/relationships/hyperlink" Target="https://doi.org/10.1109/ICWT47785.2019.8978212" TargetMode="External"/><Relationship Id="rId34"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i.org/10.1007/s11423-013-9320-7" TargetMode="External"/><Relationship Id="rId17" Type="http://schemas.openxmlformats.org/officeDocument/2006/relationships/hyperlink" Target="https://doi.org/10.1186/s41039-018-0078-8" TargetMode="External"/><Relationship Id="rId25" Type="http://schemas.openxmlformats.org/officeDocument/2006/relationships/hyperlink" Target="https://doi.org/10.1016/j.resconrec.2020.104894"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10.1088/1742-6596/1691/1/012116" TargetMode="External"/><Relationship Id="rId20" Type="http://schemas.openxmlformats.org/officeDocument/2006/relationships/hyperlink" Target="https://doi.org/10.1080/03075079.2014.914907"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59866X.2018.1437391" TargetMode="External"/><Relationship Id="rId24" Type="http://schemas.openxmlformats.org/officeDocument/2006/relationships/hyperlink" Target="https://doi.org/10.1007/s10212-017-0339-8"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177/0047239516661713" TargetMode="External"/><Relationship Id="rId23" Type="http://schemas.openxmlformats.org/officeDocument/2006/relationships/hyperlink" Target="https://www.theclassroom.com/advantages-disadvantages-group-work-classroom-situation-12065986.html" TargetMode="External"/><Relationship Id="rId28" Type="http://schemas.openxmlformats.org/officeDocument/2006/relationships/hyperlink" Target="https://doi.org/10.1007/s11423-014-9355-4" TargetMode="External"/><Relationship Id="rId36" Type="http://schemas.openxmlformats.org/officeDocument/2006/relationships/theme" Target="theme/theme1.xml"/><Relationship Id="rId10" Type="http://schemas.openxmlformats.org/officeDocument/2006/relationships/hyperlink" Target="https://doi.org/10.1111/dsji.12097" TargetMode="External"/><Relationship Id="rId19" Type="http://schemas.openxmlformats.org/officeDocument/2006/relationships/hyperlink" Target="https://doi.org/10.1016/j.jvlc.2015.10.021"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s12528-018-9179-z" TargetMode="External"/><Relationship Id="rId14" Type="http://schemas.openxmlformats.org/officeDocument/2006/relationships/hyperlink" Target="https://thejustread.com/disadvantages-of-microsoft-teams-5-things-to-consider/" TargetMode="External"/><Relationship Id="rId22" Type="http://schemas.openxmlformats.org/officeDocument/2006/relationships/hyperlink" Target="https://doi.org/10.1007/s42438-020-00155-y" TargetMode="External"/><Relationship Id="rId27" Type="http://schemas.openxmlformats.org/officeDocument/2006/relationships/hyperlink" Target="https://www.uswitch.com/mobiles/studies/mobile-statistics/"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17823</TotalTime>
  <Pages>15</Pages>
  <Words>4319</Words>
  <Characters>25270</Characters>
  <Application>Microsoft Office Word</Application>
  <DocSecurity>0</DocSecurity>
  <Lines>631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lee</dc:creator>
  <cp:keywords/>
  <dc:description/>
  <cp:lastModifiedBy>mari lee</cp:lastModifiedBy>
  <cp:revision>2</cp:revision>
  <dcterms:created xsi:type="dcterms:W3CDTF">2023-05-13T15:11:00Z</dcterms:created>
  <dcterms:modified xsi:type="dcterms:W3CDTF">2023-05-30T22:21:00Z</dcterms:modified>
</cp:coreProperties>
</file>