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E0B26" w14:textId="3EB39106" w:rsidR="00E23F02" w:rsidRDefault="000804A4" w:rsidP="00E23F02">
      <w:pPr>
        <w:jc w:val="center"/>
        <w:rPr>
          <w:rFonts w:cs="Times New Roman"/>
          <w:color w:val="auto"/>
          <w:sz w:val="40"/>
          <w:szCs w:val="36"/>
        </w:rPr>
      </w:pPr>
      <w:r w:rsidRPr="00A406E5">
        <w:rPr>
          <w:rFonts w:ascii="Arial" w:hAnsi="Arial" w:cs="Arial"/>
          <w:noProof/>
        </w:rPr>
        <w:drawing>
          <wp:anchor distT="0" distB="0" distL="114300" distR="114300" simplePos="0" relativeHeight="251657216" behindDoc="0" locked="0" layoutInCell="1" allowOverlap="1" wp14:anchorId="4B384390" wp14:editId="226D97C4">
            <wp:simplePos x="0" y="0"/>
            <wp:positionH relativeFrom="column">
              <wp:posOffset>-676080</wp:posOffset>
            </wp:positionH>
            <wp:positionV relativeFrom="page">
              <wp:posOffset>399708</wp:posOffset>
            </wp:positionV>
            <wp:extent cx="2204720" cy="882015"/>
            <wp:effectExtent l="0" t="0" r="5080" b="0"/>
            <wp:wrapNone/>
            <wp:docPr id="140361666" name="Picture 14036166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04720" cy="882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89AD9E" w14:textId="24BE9700" w:rsidR="00E23F02" w:rsidRDefault="00E23F02" w:rsidP="00E23F02">
      <w:pPr>
        <w:jc w:val="center"/>
        <w:rPr>
          <w:rFonts w:cs="Times New Roman"/>
          <w:color w:val="auto"/>
          <w:sz w:val="40"/>
          <w:szCs w:val="36"/>
        </w:rPr>
      </w:pPr>
    </w:p>
    <w:p w14:paraId="5ACFDF37" w14:textId="072E8AA6" w:rsidR="00E23F02" w:rsidRPr="000804A4" w:rsidRDefault="00E23F02" w:rsidP="00E23F02">
      <w:pPr>
        <w:jc w:val="center"/>
        <w:rPr>
          <w:rFonts w:cs="Times New Roman"/>
          <w:b/>
          <w:bCs/>
          <w:color w:val="auto"/>
          <w:sz w:val="40"/>
          <w:szCs w:val="36"/>
        </w:rPr>
      </w:pPr>
      <w:r w:rsidRPr="000804A4">
        <w:rPr>
          <w:rFonts w:cs="Times New Roman"/>
          <w:b/>
          <w:bCs/>
          <w:color w:val="auto"/>
          <w:sz w:val="40"/>
          <w:szCs w:val="36"/>
        </w:rPr>
        <w:t>MSc Environmental Conservation &amp; Management</w:t>
      </w:r>
    </w:p>
    <w:p w14:paraId="259BF127" w14:textId="77777777" w:rsidR="006F3588" w:rsidRDefault="006F3588" w:rsidP="00E23F02">
      <w:pPr>
        <w:rPr>
          <w:rFonts w:cs="Times New Roman"/>
          <w:color w:val="auto"/>
        </w:rPr>
      </w:pPr>
    </w:p>
    <w:p w14:paraId="6530C5A8" w14:textId="77777777" w:rsidR="00E23F02" w:rsidRPr="00E23F02" w:rsidRDefault="00E23F02" w:rsidP="00E23F02">
      <w:pPr>
        <w:rPr>
          <w:rFonts w:cs="Times New Roman"/>
          <w:color w:val="auto"/>
        </w:rPr>
      </w:pPr>
    </w:p>
    <w:p w14:paraId="45014D6D" w14:textId="77777777" w:rsidR="00E23F02" w:rsidRPr="00E23F02" w:rsidRDefault="00E23F02" w:rsidP="00E23F02">
      <w:pPr>
        <w:jc w:val="center"/>
        <w:rPr>
          <w:rFonts w:cs="Times New Roman"/>
          <w:i/>
          <w:iCs/>
          <w:color w:val="auto"/>
          <w:sz w:val="36"/>
          <w:szCs w:val="32"/>
        </w:rPr>
      </w:pPr>
      <w:r w:rsidRPr="00E23F02">
        <w:rPr>
          <w:rFonts w:cs="Times New Roman"/>
          <w:i/>
          <w:iCs/>
          <w:color w:val="auto"/>
          <w:sz w:val="36"/>
          <w:szCs w:val="32"/>
        </w:rPr>
        <w:t>Strategic Management for Conservation (ACBA7007)</w:t>
      </w:r>
    </w:p>
    <w:p w14:paraId="32C763D2" w14:textId="77777777" w:rsidR="00E23F02" w:rsidRDefault="00E23F02" w:rsidP="00E23F02">
      <w:pPr>
        <w:jc w:val="center"/>
        <w:rPr>
          <w:rFonts w:cs="Times New Roman"/>
          <w:b/>
          <w:color w:val="auto"/>
          <w:sz w:val="56"/>
          <w:szCs w:val="32"/>
        </w:rPr>
      </w:pPr>
    </w:p>
    <w:p w14:paraId="67EA553F" w14:textId="264D3559" w:rsidR="00E23F02" w:rsidRDefault="00000000" w:rsidP="00E23F02">
      <w:pPr>
        <w:jc w:val="center"/>
        <w:rPr>
          <w:rFonts w:cs="Times New Roman"/>
          <w:b/>
          <w:color w:val="auto"/>
          <w:sz w:val="56"/>
          <w:szCs w:val="32"/>
        </w:rPr>
      </w:pPr>
      <w:r w:rsidRPr="00E23F02">
        <w:rPr>
          <w:rFonts w:cs="Times New Roman"/>
          <w:b/>
          <w:color w:val="auto"/>
          <w:sz w:val="56"/>
          <w:szCs w:val="32"/>
        </w:rPr>
        <w:t>Adaptation to Climate Change:</w:t>
      </w:r>
    </w:p>
    <w:p w14:paraId="6A7F1EEF" w14:textId="23D530BF" w:rsidR="006F3588" w:rsidRPr="00E23F02" w:rsidRDefault="00000000" w:rsidP="00E23F02">
      <w:pPr>
        <w:jc w:val="center"/>
        <w:rPr>
          <w:rFonts w:cs="Times New Roman"/>
          <w:b/>
          <w:color w:val="auto"/>
          <w:sz w:val="48"/>
          <w:szCs w:val="24"/>
        </w:rPr>
      </w:pPr>
      <w:r w:rsidRPr="00E23F02">
        <w:rPr>
          <w:rFonts w:cs="Times New Roman"/>
          <w:b/>
          <w:color w:val="auto"/>
          <w:sz w:val="36"/>
          <w:szCs w:val="18"/>
        </w:rPr>
        <w:t>Assessing COP Delivery and Prospects After COP30</w:t>
      </w:r>
    </w:p>
    <w:p w14:paraId="02D33841" w14:textId="77777777" w:rsidR="00E23F02" w:rsidRDefault="00E23F02" w:rsidP="00E23F02">
      <w:pPr>
        <w:jc w:val="center"/>
        <w:rPr>
          <w:rFonts w:cs="Times New Roman"/>
          <w:i/>
          <w:color w:val="auto"/>
          <w:sz w:val="26"/>
        </w:rPr>
      </w:pPr>
    </w:p>
    <w:p w14:paraId="2AE3C447" w14:textId="77777777" w:rsidR="00E23F02" w:rsidRDefault="00E23F02" w:rsidP="00E23F02">
      <w:pPr>
        <w:jc w:val="center"/>
        <w:rPr>
          <w:rFonts w:cs="Times New Roman"/>
          <w:i/>
          <w:color w:val="auto"/>
          <w:sz w:val="26"/>
        </w:rPr>
      </w:pPr>
    </w:p>
    <w:p w14:paraId="29D2B8C0" w14:textId="1F650DE8" w:rsidR="006F3588" w:rsidRPr="00E23F02" w:rsidRDefault="00000000" w:rsidP="00E23F02">
      <w:pPr>
        <w:jc w:val="center"/>
        <w:rPr>
          <w:rFonts w:cs="Times New Roman"/>
          <w:color w:val="auto"/>
        </w:rPr>
      </w:pPr>
      <w:r w:rsidRPr="00E23F02">
        <w:rPr>
          <w:rFonts w:cs="Times New Roman"/>
          <w:i/>
          <w:color w:val="auto"/>
          <w:sz w:val="26"/>
        </w:rPr>
        <w:t>A Critical Review of the Global Goal on Adaptation from COP21 to COP30</w:t>
      </w:r>
    </w:p>
    <w:p w14:paraId="36E46C44" w14:textId="77777777" w:rsidR="00E23F02" w:rsidRDefault="00E23F02" w:rsidP="00E23F02">
      <w:pPr>
        <w:jc w:val="center"/>
        <w:rPr>
          <w:rFonts w:cs="Times New Roman"/>
          <w:b/>
          <w:color w:val="auto"/>
        </w:rPr>
      </w:pPr>
    </w:p>
    <w:p w14:paraId="31D2E5E7" w14:textId="78A674EE" w:rsidR="006F3588" w:rsidRPr="00E23F02" w:rsidRDefault="006F3588" w:rsidP="00E23F02">
      <w:pPr>
        <w:jc w:val="center"/>
        <w:rPr>
          <w:rFonts w:cs="Times New Roman"/>
          <w:color w:val="auto"/>
        </w:rPr>
      </w:pPr>
    </w:p>
    <w:p w14:paraId="62A1F2D2" w14:textId="77777777" w:rsidR="000804A4" w:rsidRPr="008E63B0" w:rsidRDefault="000804A4" w:rsidP="000804A4">
      <w:pPr>
        <w:spacing w:after="120"/>
        <w:jc w:val="center"/>
        <w:rPr>
          <w:sz w:val="52"/>
          <w:szCs w:val="52"/>
        </w:rPr>
      </w:pPr>
      <w:r w:rsidRPr="008E63B0">
        <w:rPr>
          <w:sz w:val="52"/>
          <w:szCs w:val="52"/>
        </w:rPr>
        <w:t>Submitted By:</w:t>
      </w:r>
    </w:p>
    <w:p w14:paraId="79ED548D" w14:textId="77777777" w:rsidR="000804A4" w:rsidRPr="008E63B0" w:rsidRDefault="000804A4" w:rsidP="000804A4">
      <w:pPr>
        <w:spacing w:after="120"/>
        <w:jc w:val="center"/>
        <w:rPr>
          <w:sz w:val="36"/>
          <w:szCs w:val="36"/>
        </w:rPr>
      </w:pPr>
      <w:r w:rsidRPr="008E63B0">
        <w:rPr>
          <w:sz w:val="36"/>
          <w:szCs w:val="36"/>
        </w:rPr>
        <w:t>Zakir Ullah (2512610)</w:t>
      </w:r>
    </w:p>
    <w:p w14:paraId="2F9CDB7C" w14:textId="77777777" w:rsidR="006F3588" w:rsidRPr="00E23F02" w:rsidRDefault="00000000" w:rsidP="000804A4">
      <w:pPr>
        <w:jc w:val="center"/>
        <w:rPr>
          <w:rFonts w:cs="Times New Roman"/>
          <w:color w:val="auto"/>
        </w:rPr>
      </w:pPr>
      <w:r w:rsidRPr="00E23F02">
        <w:rPr>
          <w:rFonts w:cs="Times New Roman"/>
          <w:color w:val="auto"/>
        </w:rPr>
        <w:br w:type="page"/>
      </w:r>
    </w:p>
    <w:sdt>
      <w:sdtPr>
        <w:rPr>
          <w:lang w:val="en-GB"/>
        </w:rPr>
        <w:id w:val="-734930971"/>
        <w:docPartObj>
          <w:docPartGallery w:val="Table of Contents"/>
          <w:docPartUnique/>
        </w:docPartObj>
      </w:sdtPr>
      <w:sdtEndPr>
        <w:rPr>
          <w:rFonts w:eastAsia="Times New Roman" w:cstheme="minorBidi"/>
          <w:color w:val="1A1A1A"/>
          <w:sz w:val="24"/>
          <w:szCs w:val="22"/>
        </w:rPr>
      </w:sdtEndPr>
      <w:sdtContent>
        <w:p w14:paraId="68E5C654" w14:textId="70683DD8" w:rsidR="00E23F02" w:rsidRDefault="00E23F02">
          <w:pPr>
            <w:pStyle w:val="TOCHeading"/>
          </w:pPr>
          <w:r>
            <w:rPr>
              <w:lang w:val="en-GB"/>
            </w:rPr>
            <w:t>Table of Contents</w:t>
          </w:r>
        </w:p>
        <w:p w14:paraId="319D7767" w14:textId="699D64D8"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r>
            <w:fldChar w:fldCharType="begin"/>
          </w:r>
          <w:r>
            <w:instrText xml:space="preserve"> TOC \o "1-3" \h \z \u </w:instrText>
          </w:r>
          <w:r>
            <w:fldChar w:fldCharType="separate"/>
          </w:r>
          <w:hyperlink w:anchor="_Toc236357354" w:history="1">
            <w:r w:rsidRPr="000C717C">
              <w:rPr>
                <w:rStyle w:val="Hyperlink"/>
                <w:noProof/>
              </w:rPr>
              <w:t>1. Introduction</w:t>
            </w:r>
            <w:r>
              <w:rPr>
                <w:noProof/>
                <w:webHidden/>
              </w:rPr>
              <w:tab/>
            </w:r>
            <w:r>
              <w:rPr>
                <w:noProof/>
                <w:webHidden/>
              </w:rPr>
              <w:fldChar w:fldCharType="begin"/>
            </w:r>
            <w:r>
              <w:rPr>
                <w:noProof/>
                <w:webHidden/>
              </w:rPr>
              <w:instrText xml:space="preserve"> PAGEREF _Toc236357354 \h </w:instrText>
            </w:r>
            <w:r>
              <w:rPr>
                <w:noProof/>
                <w:webHidden/>
              </w:rPr>
            </w:r>
            <w:r>
              <w:rPr>
                <w:noProof/>
                <w:webHidden/>
              </w:rPr>
              <w:fldChar w:fldCharType="separate"/>
            </w:r>
            <w:r>
              <w:rPr>
                <w:noProof/>
                <w:webHidden/>
              </w:rPr>
              <w:t>3</w:t>
            </w:r>
            <w:r>
              <w:rPr>
                <w:noProof/>
                <w:webHidden/>
              </w:rPr>
              <w:fldChar w:fldCharType="end"/>
            </w:r>
          </w:hyperlink>
        </w:p>
        <w:p w14:paraId="00FA79C5" w14:textId="6E376D9B"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55" w:history="1">
            <w:r w:rsidRPr="000C717C">
              <w:rPr>
                <w:rStyle w:val="Hyperlink"/>
                <w:noProof/>
              </w:rPr>
              <w:t>2. Approach and Methodology</w:t>
            </w:r>
            <w:r>
              <w:rPr>
                <w:noProof/>
                <w:webHidden/>
              </w:rPr>
              <w:tab/>
            </w:r>
            <w:r>
              <w:rPr>
                <w:noProof/>
                <w:webHidden/>
              </w:rPr>
              <w:fldChar w:fldCharType="begin"/>
            </w:r>
            <w:r>
              <w:rPr>
                <w:noProof/>
                <w:webHidden/>
              </w:rPr>
              <w:instrText xml:space="preserve"> PAGEREF _Toc236357355 \h </w:instrText>
            </w:r>
            <w:r>
              <w:rPr>
                <w:noProof/>
                <w:webHidden/>
              </w:rPr>
            </w:r>
            <w:r>
              <w:rPr>
                <w:noProof/>
                <w:webHidden/>
              </w:rPr>
              <w:fldChar w:fldCharType="separate"/>
            </w:r>
            <w:r>
              <w:rPr>
                <w:noProof/>
                <w:webHidden/>
              </w:rPr>
              <w:t>4</w:t>
            </w:r>
            <w:r>
              <w:rPr>
                <w:noProof/>
                <w:webHidden/>
              </w:rPr>
              <w:fldChar w:fldCharType="end"/>
            </w:r>
          </w:hyperlink>
        </w:p>
        <w:p w14:paraId="241E3BC2" w14:textId="205BD4E8"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56" w:history="1">
            <w:r w:rsidRPr="000C717C">
              <w:rPr>
                <w:rStyle w:val="Hyperlink"/>
                <w:noProof/>
              </w:rPr>
              <w:t>3. Understanding Adaptation and the Global Goal on Adaptation</w:t>
            </w:r>
            <w:r>
              <w:rPr>
                <w:noProof/>
                <w:webHidden/>
              </w:rPr>
              <w:tab/>
            </w:r>
            <w:r>
              <w:rPr>
                <w:noProof/>
                <w:webHidden/>
              </w:rPr>
              <w:fldChar w:fldCharType="begin"/>
            </w:r>
            <w:r>
              <w:rPr>
                <w:noProof/>
                <w:webHidden/>
              </w:rPr>
              <w:instrText xml:space="preserve"> PAGEREF _Toc236357356 \h </w:instrText>
            </w:r>
            <w:r>
              <w:rPr>
                <w:noProof/>
                <w:webHidden/>
              </w:rPr>
            </w:r>
            <w:r>
              <w:rPr>
                <w:noProof/>
                <w:webHidden/>
              </w:rPr>
              <w:fldChar w:fldCharType="separate"/>
            </w:r>
            <w:r>
              <w:rPr>
                <w:noProof/>
                <w:webHidden/>
              </w:rPr>
              <w:t>5</w:t>
            </w:r>
            <w:r>
              <w:rPr>
                <w:noProof/>
                <w:webHidden/>
              </w:rPr>
              <w:fldChar w:fldCharType="end"/>
            </w:r>
          </w:hyperlink>
        </w:p>
        <w:p w14:paraId="36E73601" w14:textId="6A784790"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57" w:history="1">
            <w:r w:rsidRPr="000C717C">
              <w:rPr>
                <w:rStyle w:val="Hyperlink"/>
                <w:noProof/>
              </w:rPr>
              <w:t>3.1 Why adaptation is chronically underfunded</w:t>
            </w:r>
            <w:r>
              <w:rPr>
                <w:noProof/>
                <w:webHidden/>
              </w:rPr>
              <w:tab/>
            </w:r>
            <w:r>
              <w:rPr>
                <w:noProof/>
                <w:webHidden/>
              </w:rPr>
              <w:fldChar w:fldCharType="begin"/>
            </w:r>
            <w:r>
              <w:rPr>
                <w:noProof/>
                <w:webHidden/>
              </w:rPr>
              <w:instrText xml:space="preserve"> PAGEREF _Toc236357357 \h </w:instrText>
            </w:r>
            <w:r>
              <w:rPr>
                <w:noProof/>
                <w:webHidden/>
              </w:rPr>
            </w:r>
            <w:r>
              <w:rPr>
                <w:noProof/>
                <w:webHidden/>
              </w:rPr>
              <w:fldChar w:fldCharType="separate"/>
            </w:r>
            <w:r>
              <w:rPr>
                <w:noProof/>
                <w:webHidden/>
              </w:rPr>
              <w:t>5</w:t>
            </w:r>
            <w:r>
              <w:rPr>
                <w:noProof/>
                <w:webHidden/>
              </w:rPr>
              <w:fldChar w:fldCharType="end"/>
            </w:r>
          </w:hyperlink>
        </w:p>
        <w:p w14:paraId="5F0F9000" w14:textId="754CAA97"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58" w:history="1">
            <w:r w:rsidRPr="000C717C">
              <w:rPr>
                <w:rStyle w:val="Hyperlink"/>
                <w:noProof/>
              </w:rPr>
              <w:t>3.2 The Global Goal on Adaptation as an aspiration</w:t>
            </w:r>
            <w:r>
              <w:rPr>
                <w:noProof/>
                <w:webHidden/>
              </w:rPr>
              <w:tab/>
            </w:r>
            <w:r>
              <w:rPr>
                <w:noProof/>
                <w:webHidden/>
              </w:rPr>
              <w:fldChar w:fldCharType="begin"/>
            </w:r>
            <w:r>
              <w:rPr>
                <w:noProof/>
                <w:webHidden/>
              </w:rPr>
              <w:instrText xml:space="preserve"> PAGEREF _Toc236357358 \h </w:instrText>
            </w:r>
            <w:r>
              <w:rPr>
                <w:noProof/>
                <w:webHidden/>
              </w:rPr>
            </w:r>
            <w:r>
              <w:rPr>
                <w:noProof/>
                <w:webHidden/>
              </w:rPr>
              <w:fldChar w:fldCharType="separate"/>
            </w:r>
            <w:r>
              <w:rPr>
                <w:noProof/>
                <w:webHidden/>
              </w:rPr>
              <w:t>6</w:t>
            </w:r>
            <w:r>
              <w:rPr>
                <w:noProof/>
                <w:webHidden/>
              </w:rPr>
              <w:fldChar w:fldCharType="end"/>
            </w:r>
          </w:hyperlink>
        </w:p>
        <w:p w14:paraId="73144B08" w14:textId="473E635B"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59" w:history="1">
            <w:r w:rsidRPr="000C717C">
              <w:rPr>
                <w:rStyle w:val="Hyperlink"/>
                <w:noProof/>
              </w:rPr>
              <w:t>4. Task A: How Far Did Previous COPs Deliver on Adaptation?</w:t>
            </w:r>
            <w:r>
              <w:rPr>
                <w:noProof/>
                <w:webHidden/>
              </w:rPr>
              <w:tab/>
            </w:r>
            <w:r>
              <w:rPr>
                <w:noProof/>
                <w:webHidden/>
              </w:rPr>
              <w:fldChar w:fldCharType="begin"/>
            </w:r>
            <w:r>
              <w:rPr>
                <w:noProof/>
                <w:webHidden/>
              </w:rPr>
              <w:instrText xml:space="preserve"> PAGEREF _Toc236357359 \h </w:instrText>
            </w:r>
            <w:r>
              <w:rPr>
                <w:noProof/>
                <w:webHidden/>
              </w:rPr>
            </w:r>
            <w:r>
              <w:rPr>
                <w:noProof/>
                <w:webHidden/>
              </w:rPr>
              <w:fldChar w:fldCharType="separate"/>
            </w:r>
            <w:r>
              <w:rPr>
                <w:noProof/>
                <w:webHidden/>
              </w:rPr>
              <w:t>6</w:t>
            </w:r>
            <w:r>
              <w:rPr>
                <w:noProof/>
                <w:webHidden/>
              </w:rPr>
              <w:fldChar w:fldCharType="end"/>
            </w:r>
          </w:hyperlink>
        </w:p>
        <w:p w14:paraId="6C8F557C" w14:textId="3CB98234"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0" w:history="1">
            <w:r w:rsidRPr="000C717C">
              <w:rPr>
                <w:rStyle w:val="Hyperlink"/>
                <w:noProof/>
              </w:rPr>
              <w:t>4.1 From Paris to Glasgow: creating the goal and its first machinery</w:t>
            </w:r>
            <w:r>
              <w:rPr>
                <w:noProof/>
                <w:webHidden/>
              </w:rPr>
              <w:tab/>
            </w:r>
            <w:r>
              <w:rPr>
                <w:noProof/>
                <w:webHidden/>
              </w:rPr>
              <w:fldChar w:fldCharType="begin"/>
            </w:r>
            <w:r>
              <w:rPr>
                <w:noProof/>
                <w:webHidden/>
              </w:rPr>
              <w:instrText xml:space="preserve"> PAGEREF _Toc236357360 \h </w:instrText>
            </w:r>
            <w:r>
              <w:rPr>
                <w:noProof/>
                <w:webHidden/>
              </w:rPr>
            </w:r>
            <w:r>
              <w:rPr>
                <w:noProof/>
                <w:webHidden/>
              </w:rPr>
              <w:fldChar w:fldCharType="separate"/>
            </w:r>
            <w:r>
              <w:rPr>
                <w:noProof/>
                <w:webHidden/>
              </w:rPr>
              <w:t>6</w:t>
            </w:r>
            <w:r>
              <w:rPr>
                <w:noProof/>
                <w:webHidden/>
              </w:rPr>
              <w:fldChar w:fldCharType="end"/>
            </w:r>
          </w:hyperlink>
        </w:p>
        <w:p w14:paraId="51CF5F52" w14:textId="222BA2E9"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1" w:history="1">
            <w:r w:rsidRPr="000C717C">
              <w:rPr>
                <w:rStyle w:val="Hyperlink"/>
                <w:noProof/>
              </w:rPr>
              <w:t>4.2 From Dubai to Baku: frameworks and finance targets</w:t>
            </w:r>
            <w:r>
              <w:rPr>
                <w:noProof/>
                <w:webHidden/>
              </w:rPr>
              <w:tab/>
            </w:r>
            <w:r>
              <w:rPr>
                <w:noProof/>
                <w:webHidden/>
              </w:rPr>
              <w:fldChar w:fldCharType="begin"/>
            </w:r>
            <w:r>
              <w:rPr>
                <w:noProof/>
                <w:webHidden/>
              </w:rPr>
              <w:instrText xml:space="preserve"> PAGEREF _Toc236357361 \h </w:instrText>
            </w:r>
            <w:r>
              <w:rPr>
                <w:noProof/>
                <w:webHidden/>
              </w:rPr>
            </w:r>
            <w:r>
              <w:rPr>
                <w:noProof/>
                <w:webHidden/>
              </w:rPr>
              <w:fldChar w:fldCharType="separate"/>
            </w:r>
            <w:r>
              <w:rPr>
                <w:noProof/>
                <w:webHidden/>
              </w:rPr>
              <w:t>7</w:t>
            </w:r>
            <w:r>
              <w:rPr>
                <w:noProof/>
                <w:webHidden/>
              </w:rPr>
              <w:fldChar w:fldCharType="end"/>
            </w:r>
          </w:hyperlink>
        </w:p>
        <w:p w14:paraId="1B88AE93" w14:textId="77EFD4F0"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2" w:history="1">
            <w:r w:rsidRPr="000C717C">
              <w:rPr>
                <w:rStyle w:val="Hyperlink"/>
                <w:noProof/>
              </w:rPr>
              <w:t>4.3 The finance delivery gap and who bears it</w:t>
            </w:r>
            <w:r>
              <w:rPr>
                <w:noProof/>
                <w:webHidden/>
              </w:rPr>
              <w:tab/>
            </w:r>
            <w:r>
              <w:rPr>
                <w:noProof/>
                <w:webHidden/>
              </w:rPr>
              <w:fldChar w:fldCharType="begin"/>
            </w:r>
            <w:r>
              <w:rPr>
                <w:noProof/>
                <w:webHidden/>
              </w:rPr>
              <w:instrText xml:space="preserve"> PAGEREF _Toc236357362 \h </w:instrText>
            </w:r>
            <w:r>
              <w:rPr>
                <w:noProof/>
                <w:webHidden/>
              </w:rPr>
            </w:r>
            <w:r>
              <w:rPr>
                <w:noProof/>
                <w:webHidden/>
              </w:rPr>
              <w:fldChar w:fldCharType="separate"/>
            </w:r>
            <w:r>
              <w:rPr>
                <w:noProof/>
                <w:webHidden/>
              </w:rPr>
              <w:t>9</w:t>
            </w:r>
            <w:r>
              <w:rPr>
                <w:noProof/>
                <w:webHidden/>
              </w:rPr>
              <w:fldChar w:fldCharType="end"/>
            </w:r>
          </w:hyperlink>
        </w:p>
        <w:p w14:paraId="659DF273" w14:textId="23EBA4E9"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3" w:history="1">
            <w:r w:rsidRPr="000C717C">
              <w:rPr>
                <w:rStyle w:val="Hyperlink"/>
                <w:noProof/>
              </w:rPr>
              <w:t>4.4 The measurement problem: the goal that cannot be counted</w:t>
            </w:r>
            <w:r>
              <w:rPr>
                <w:noProof/>
                <w:webHidden/>
              </w:rPr>
              <w:tab/>
            </w:r>
            <w:r>
              <w:rPr>
                <w:noProof/>
                <w:webHidden/>
              </w:rPr>
              <w:fldChar w:fldCharType="begin"/>
            </w:r>
            <w:r>
              <w:rPr>
                <w:noProof/>
                <w:webHidden/>
              </w:rPr>
              <w:instrText xml:space="preserve"> PAGEREF _Toc236357363 \h </w:instrText>
            </w:r>
            <w:r>
              <w:rPr>
                <w:noProof/>
                <w:webHidden/>
              </w:rPr>
            </w:r>
            <w:r>
              <w:rPr>
                <w:noProof/>
                <w:webHidden/>
              </w:rPr>
              <w:fldChar w:fldCharType="separate"/>
            </w:r>
            <w:r>
              <w:rPr>
                <w:noProof/>
                <w:webHidden/>
              </w:rPr>
              <w:t>10</w:t>
            </w:r>
            <w:r>
              <w:rPr>
                <w:noProof/>
                <w:webHidden/>
              </w:rPr>
              <w:fldChar w:fldCharType="end"/>
            </w:r>
          </w:hyperlink>
        </w:p>
        <w:p w14:paraId="776B16B1" w14:textId="16622FFF"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4" w:history="1">
            <w:r w:rsidRPr="000C717C">
              <w:rPr>
                <w:rStyle w:val="Hyperlink"/>
                <w:noProof/>
              </w:rPr>
              <w:t>5. Task B: Prospects for Adaptation After COP30</w:t>
            </w:r>
            <w:r>
              <w:rPr>
                <w:noProof/>
                <w:webHidden/>
              </w:rPr>
              <w:tab/>
            </w:r>
            <w:r>
              <w:rPr>
                <w:noProof/>
                <w:webHidden/>
              </w:rPr>
              <w:fldChar w:fldCharType="begin"/>
            </w:r>
            <w:r>
              <w:rPr>
                <w:noProof/>
                <w:webHidden/>
              </w:rPr>
              <w:instrText xml:space="preserve"> PAGEREF _Toc236357364 \h </w:instrText>
            </w:r>
            <w:r>
              <w:rPr>
                <w:noProof/>
                <w:webHidden/>
              </w:rPr>
            </w:r>
            <w:r>
              <w:rPr>
                <w:noProof/>
                <w:webHidden/>
              </w:rPr>
              <w:fldChar w:fldCharType="separate"/>
            </w:r>
            <w:r>
              <w:rPr>
                <w:noProof/>
                <w:webHidden/>
              </w:rPr>
              <w:t>11</w:t>
            </w:r>
            <w:r>
              <w:rPr>
                <w:noProof/>
                <w:webHidden/>
              </w:rPr>
              <w:fldChar w:fldCharType="end"/>
            </w:r>
          </w:hyperlink>
        </w:p>
        <w:p w14:paraId="62527A3C" w14:textId="2B9A78C5"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5" w:history="1">
            <w:r w:rsidRPr="000C717C">
              <w:rPr>
                <w:rStyle w:val="Hyperlink"/>
                <w:noProof/>
              </w:rPr>
              <w:t>5.1 Reading the three Belém outcomes</w:t>
            </w:r>
            <w:r>
              <w:rPr>
                <w:noProof/>
                <w:webHidden/>
              </w:rPr>
              <w:tab/>
            </w:r>
            <w:r>
              <w:rPr>
                <w:noProof/>
                <w:webHidden/>
              </w:rPr>
              <w:fldChar w:fldCharType="begin"/>
            </w:r>
            <w:r>
              <w:rPr>
                <w:noProof/>
                <w:webHidden/>
              </w:rPr>
              <w:instrText xml:space="preserve"> PAGEREF _Toc236357365 \h </w:instrText>
            </w:r>
            <w:r>
              <w:rPr>
                <w:noProof/>
                <w:webHidden/>
              </w:rPr>
            </w:r>
            <w:r>
              <w:rPr>
                <w:noProof/>
                <w:webHidden/>
              </w:rPr>
              <w:fldChar w:fldCharType="separate"/>
            </w:r>
            <w:r>
              <w:rPr>
                <w:noProof/>
                <w:webHidden/>
              </w:rPr>
              <w:t>11</w:t>
            </w:r>
            <w:r>
              <w:rPr>
                <w:noProof/>
                <w:webHidden/>
              </w:rPr>
              <w:fldChar w:fldCharType="end"/>
            </w:r>
          </w:hyperlink>
        </w:p>
        <w:p w14:paraId="11284C68" w14:textId="10395C73" w:rsidR="00E23F02" w:rsidRDefault="00E23F02">
          <w:pPr>
            <w:pStyle w:val="TOC2"/>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6" w:history="1">
            <w:r w:rsidRPr="000C717C">
              <w:rPr>
                <w:rStyle w:val="Hyperlink"/>
                <w:noProof/>
              </w:rPr>
              <w:t>5.2 Turning point or incrementalism? A critical assessment</w:t>
            </w:r>
            <w:r>
              <w:rPr>
                <w:noProof/>
                <w:webHidden/>
              </w:rPr>
              <w:tab/>
            </w:r>
            <w:r>
              <w:rPr>
                <w:noProof/>
                <w:webHidden/>
              </w:rPr>
              <w:fldChar w:fldCharType="begin"/>
            </w:r>
            <w:r>
              <w:rPr>
                <w:noProof/>
                <w:webHidden/>
              </w:rPr>
              <w:instrText xml:space="preserve"> PAGEREF _Toc236357366 \h </w:instrText>
            </w:r>
            <w:r>
              <w:rPr>
                <w:noProof/>
                <w:webHidden/>
              </w:rPr>
            </w:r>
            <w:r>
              <w:rPr>
                <w:noProof/>
                <w:webHidden/>
              </w:rPr>
              <w:fldChar w:fldCharType="separate"/>
            </w:r>
            <w:r>
              <w:rPr>
                <w:noProof/>
                <w:webHidden/>
              </w:rPr>
              <w:t>13</w:t>
            </w:r>
            <w:r>
              <w:rPr>
                <w:noProof/>
                <w:webHidden/>
              </w:rPr>
              <w:fldChar w:fldCharType="end"/>
            </w:r>
          </w:hyperlink>
        </w:p>
        <w:p w14:paraId="5207E7E1" w14:textId="23BB57E1"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7" w:history="1">
            <w:r w:rsidRPr="000C717C">
              <w:rPr>
                <w:rStyle w:val="Hyperlink"/>
                <w:noProof/>
              </w:rPr>
              <w:t>6. Discussion: Where the Literature Agrees and Disagrees</w:t>
            </w:r>
            <w:r>
              <w:rPr>
                <w:noProof/>
                <w:webHidden/>
              </w:rPr>
              <w:tab/>
            </w:r>
            <w:r>
              <w:rPr>
                <w:noProof/>
                <w:webHidden/>
              </w:rPr>
              <w:fldChar w:fldCharType="begin"/>
            </w:r>
            <w:r>
              <w:rPr>
                <w:noProof/>
                <w:webHidden/>
              </w:rPr>
              <w:instrText xml:space="preserve"> PAGEREF _Toc236357367 \h </w:instrText>
            </w:r>
            <w:r>
              <w:rPr>
                <w:noProof/>
                <w:webHidden/>
              </w:rPr>
            </w:r>
            <w:r>
              <w:rPr>
                <w:noProof/>
                <w:webHidden/>
              </w:rPr>
              <w:fldChar w:fldCharType="separate"/>
            </w:r>
            <w:r>
              <w:rPr>
                <w:noProof/>
                <w:webHidden/>
              </w:rPr>
              <w:t>14</w:t>
            </w:r>
            <w:r>
              <w:rPr>
                <w:noProof/>
                <w:webHidden/>
              </w:rPr>
              <w:fldChar w:fldCharType="end"/>
            </w:r>
          </w:hyperlink>
        </w:p>
        <w:p w14:paraId="14578220" w14:textId="25A1D818"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8" w:history="1">
            <w:r w:rsidRPr="000C717C">
              <w:rPr>
                <w:rStyle w:val="Hyperlink"/>
                <w:noProof/>
              </w:rPr>
              <w:t>7. Conclusion and Recommendations</w:t>
            </w:r>
            <w:r>
              <w:rPr>
                <w:noProof/>
                <w:webHidden/>
              </w:rPr>
              <w:tab/>
            </w:r>
            <w:r>
              <w:rPr>
                <w:noProof/>
                <w:webHidden/>
              </w:rPr>
              <w:fldChar w:fldCharType="begin"/>
            </w:r>
            <w:r>
              <w:rPr>
                <w:noProof/>
                <w:webHidden/>
              </w:rPr>
              <w:instrText xml:space="preserve"> PAGEREF _Toc236357368 \h </w:instrText>
            </w:r>
            <w:r>
              <w:rPr>
                <w:noProof/>
                <w:webHidden/>
              </w:rPr>
            </w:r>
            <w:r>
              <w:rPr>
                <w:noProof/>
                <w:webHidden/>
              </w:rPr>
              <w:fldChar w:fldCharType="separate"/>
            </w:r>
            <w:r>
              <w:rPr>
                <w:noProof/>
                <w:webHidden/>
              </w:rPr>
              <w:t>15</w:t>
            </w:r>
            <w:r>
              <w:rPr>
                <w:noProof/>
                <w:webHidden/>
              </w:rPr>
              <w:fldChar w:fldCharType="end"/>
            </w:r>
          </w:hyperlink>
        </w:p>
        <w:p w14:paraId="7C27C1DD" w14:textId="0DF1CB66"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69" w:history="1">
            <w:r w:rsidRPr="000C717C">
              <w:rPr>
                <w:rStyle w:val="Hyperlink"/>
                <w:noProof/>
              </w:rPr>
              <w:t>References</w:t>
            </w:r>
            <w:r>
              <w:rPr>
                <w:noProof/>
                <w:webHidden/>
              </w:rPr>
              <w:tab/>
            </w:r>
            <w:r>
              <w:rPr>
                <w:noProof/>
                <w:webHidden/>
              </w:rPr>
              <w:fldChar w:fldCharType="begin"/>
            </w:r>
            <w:r>
              <w:rPr>
                <w:noProof/>
                <w:webHidden/>
              </w:rPr>
              <w:instrText xml:space="preserve"> PAGEREF _Toc236357369 \h </w:instrText>
            </w:r>
            <w:r>
              <w:rPr>
                <w:noProof/>
                <w:webHidden/>
              </w:rPr>
            </w:r>
            <w:r>
              <w:rPr>
                <w:noProof/>
                <w:webHidden/>
              </w:rPr>
              <w:fldChar w:fldCharType="separate"/>
            </w:r>
            <w:r>
              <w:rPr>
                <w:noProof/>
                <w:webHidden/>
              </w:rPr>
              <w:t>16</w:t>
            </w:r>
            <w:r>
              <w:rPr>
                <w:noProof/>
                <w:webHidden/>
              </w:rPr>
              <w:fldChar w:fldCharType="end"/>
            </w:r>
          </w:hyperlink>
        </w:p>
        <w:p w14:paraId="1C453CFD" w14:textId="049C56E7"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70" w:history="1">
            <w:r w:rsidRPr="000C717C">
              <w:rPr>
                <w:rStyle w:val="Hyperlink"/>
                <w:noProof/>
              </w:rPr>
              <w:t>Appendix A: PESTEL Analysis of the Adaptation Regime After COP30</w:t>
            </w:r>
            <w:r>
              <w:rPr>
                <w:noProof/>
                <w:webHidden/>
              </w:rPr>
              <w:tab/>
            </w:r>
            <w:r>
              <w:rPr>
                <w:noProof/>
                <w:webHidden/>
              </w:rPr>
              <w:fldChar w:fldCharType="begin"/>
            </w:r>
            <w:r>
              <w:rPr>
                <w:noProof/>
                <w:webHidden/>
              </w:rPr>
              <w:instrText xml:space="preserve"> PAGEREF _Toc236357370 \h </w:instrText>
            </w:r>
            <w:r>
              <w:rPr>
                <w:noProof/>
                <w:webHidden/>
              </w:rPr>
            </w:r>
            <w:r>
              <w:rPr>
                <w:noProof/>
                <w:webHidden/>
              </w:rPr>
              <w:fldChar w:fldCharType="separate"/>
            </w:r>
            <w:r>
              <w:rPr>
                <w:noProof/>
                <w:webHidden/>
              </w:rPr>
              <w:t>19</w:t>
            </w:r>
            <w:r>
              <w:rPr>
                <w:noProof/>
                <w:webHidden/>
              </w:rPr>
              <w:fldChar w:fldCharType="end"/>
            </w:r>
          </w:hyperlink>
        </w:p>
        <w:p w14:paraId="27417992" w14:textId="3730B49D" w:rsidR="00E23F02" w:rsidRDefault="00E23F02">
          <w:pPr>
            <w:pStyle w:val="TOC1"/>
            <w:tabs>
              <w:tab w:val="right" w:leader="dot" w:pos="8630"/>
            </w:tabs>
            <w:rPr>
              <w:rFonts w:asciiTheme="minorHAnsi" w:eastAsiaTheme="minorEastAsia" w:hAnsiTheme="minorHAnsi"/>
              <w:noProof/>
              <w:color w:val="auto"/>
              <w:kern w:val="2"/>
              <w:szCs w:val="24"/>
              <w:lang w:val="en-PK" w:eastAsia="en-PK"/>
              <w14:ligatures w14:val="standardContextual"/>
            </w:rPr>
          </w:pPr>
          <w:hyperlink w:anchor="_Toc236357371" w:history="1">
            <w:r w:rsidRPr="000C717C">
              <w:rPr>
                <w:rStyle w:val="Hyperlink"/>
                <w:noProof/>
              </w:rPr>
              <w:t>Appendix B: SWOT Analysis of the COP30 Belém Adaptation Package</w:t>
            </w:r>
            <w:r>
              <w:rPr>
                <w:noProof/>
                <w:webHidden/>
              </w:rPr>
              <w:tab/>
            </w:r>
            <w:r>
              <w:rPr>
                <w:noProof/>
                <w:webHidden/>
              </w:rPr>
              <w:fldChar w:fldCharType="begin"/>
            </w:r>
            <w:r>
              <w:rPr>
                <w:noProof/>
                <w:webHidden/>
              </w:rPr>
              <w:instrText xml:space="preserve"> PAGEREF _Toc236357371 \h </w:instrText>
            </w:r>
            <w:r>
              <w:rPr>
                <w:noProof/>
                <w:webHidden/>
              </w:rPr>
            </w:r>
            <w:r>
              <w:rPr>
                <w:noProof/>
                <w:webHidden/>
              </w:rPr>
              <w:fldChar w:fldCharType="separate"/>
            </w:r>
            <w:r>
              <w:rPr>
                <w:noProof/>
                <w:webHidden/>
              </w:rPr>
              <w:t>20</w:t>
            </w:r>
            <w:r>
              <w:rPr>
                <w:noProof/>
                <w:webHidden/>
              </w:rPr>
              <w:fldChar w:fldCharType="end"/>
            </w:r>
          </w:hyperlink>
        </w:p>
        <w:p w14:paraId="51F67355" w14:textId="628DAE65" w:rsidR="00E23F02" w:rsidRDefault="00E23F02">
          <w:r>
            <w:rPr>
              <w:b/>
              <w:bCs/>
              <w:lang w:val="en-GB"/>
            </w:rPr>
            <w:fldChar w:fldCharType="end"/>
          </w:r>
        </w:p>
      </w:sdtContent>
    </w:sdt>
    <w:p w14:paraId="246CB254" w14:textId="77777777" w:rsidR="006F3588" w:rsidRPr="00E23F02" w:rsidRDefault="00000000" w:rsidP="00E23F02">
      <w:pPr>
        <w:rPr>
          <w:rFonts w:cs="Times New Roman"/>
          <w:color w:val="auto"/>
        </w:rPr>
      </w:pPr>
      <w:r w:rsidRPr="00E23F02">
        <w:rPr>
          <w:rFonts w:cs="Times New Roman"/>
          <w:color w:val="auto"/>
        </w:rPr>
        <w:br w:type="page"/>
      </w:r>
    </w:p>
    <w:p w14:paraId="7901FD48" w14:textId="77777777" w:rsidR="006F3588" w:rsidRPr="00E23F02" w:rsidRDefault="00000000" w:rsidP="00E23F02">
      <w:pPr>
        <w:pStyle w:val="Heading1"/>
      </w:pPr>
      <w:bookmarkStart w:id="0" w:name="_Toc236357354"/>
      <w:r w:rsidRPr="00E23F02">
        <w:lastRenderedPageBreak/>
        <w:t>1. Introduction</w:t>
      </w:r>
      <w:bookmarkEnd w:id="0"/>
    </w:p>
    <w:p w14:paraId="187D05E1" w14:textId="77777777" w:rsidR="000804A4" w:rsidRPr="000804A4" w:rsidRDefault="000804A4" w:rsidP="000804A4">
      <w:pPr>
        <w:rPr>
          <w:rFonts w:cs="Times New Roman"/>
          <w:color w:val="auto"/>
        </w:rPr>
      </w:pPr>
      <w:r w:rsidRPr="000804A4">
        <w:rPr>
          <w:rFonts w:cs="Times New Roman"/>
          <w:color w:val="auto"/>
        </w:rPr>
        <w:t xml:space="preserve">Climate change adaptation is the practical adaptation that is made by societies to mitigate the impacts of the warming world, such as the construction of flood protection, water storage for droughts, and coastal protection from rising sea levels. It's often called one of the two legs of climate action, alongside mitigation, which aims to reduce the amount of warming-causing GHGs that are emitted in the first place. Adaptation has long had a precarious place in international climate policy, however, for it is hard to define with precision, hard to measure consistently, and hard to fund at the level that is needed by vulnerable countries (Orlove, 2022). That conceptual confusion is important </w:t>
      </w:r>
      <w:proofErr w:type="gramStart"/>
      <w:r w:rsidRPr="000804A4">
        <w:rPr>
          <w:rFonts w:cs="Times New Roman"/>
          <w:color w:val="auto"/>
        </w:rPr>
        <w:t>in reality because</w:t>
      </w:r>
      <w:proofErr w:type="gramEnd"/>
      <w:r w:rsidRPr="000804A4">
        <w:rPr>
          <w:rFonts w:cs="Times New Roman"/>
          <w:color w:val="auto"/>
        </w:rPr>
        <w:t xml:space="preserve"> if a goal is not clearly defined, it is not a goal that can be tracked, funded, or enforced.</w:t>
      </w:r>
    </w:p>
    <w:p w14:paraId="0F574A74" w14:textId="77777777" w:rsidR="000804A4" w:rsidRPr="000804A4" w:rsidRDefault="000804A4" w:rsidP="000804A4">
      <w:pPr>
        <w:rPr>
          <w:rFonts w:cs="Times New Roman"/>
          <w:color w:val="auto"/>
        </w:rPr>
      </w:pPr>
      <w:r w:rsidRPr="000804A4">
        <w:rPr>
          <w:rFonts w:cs="Times New Roman"/>
          <w:color w:val="auto"/>
        </w:rPr>
        <w:t>The magnitude of the problem is best expressed as the adaptation finance gap, the gap between the financing developing countries require for adaptation and the financing that they receive. Based on the latest analysis, adaptation investment needs in developing countries range from US$215 billion to US$387 billion annually, but public investment in adaptation in those countries was estimated to be around US$28 billion in 2022 (Malik &amp; Ford, 2024). It is not just a matter of money; it also highlights structural aspects of the climate regime, such as weak governance, voluntary and not binding commitments, and a lack of trust between rich and developing countries (</w:t>
      </w:r>
      <w:proofErr w:type="spellStart"/>
      <w:r w:rsidRPr="000804A4">
        <w:rPr>
          <w:rFonts w:cs="Times New Roman"/>
          <w:color w:val="auto"/>
        </w:rPr>
        <w:t>Ciplet</w:t>
      </w:r>
      <w:proofErr w:type="spellEnd"/>
      <w:r w:rsidRPr="000804A4">
        <w:rPr>
          <w:rFonts w:cs="Times New Roman"/>
          <w:color w:val="auto"/>
        </w:rPr>
        <w:t xml:space="preserve"> et al., 2022). To understand </w:t>
      </w:r>
      <w:proofErr w:type="gramStart"/>
      <w:r w:rsidRPr="000804A4">
        <w:rPr>
          <w:rFonts w:cs="Times New Roman"/>
          <w:color w:val="auto"/>
        </w:rPr>
        <w:t>adaptation,</w:t>
      </w:r>
      <w:proofErr w:type="gramEnd"/>
      <w:r w:rsidRPr="000804A4">
        <w:rPr>
          <w:rFonts w:cs="Times New Roman"/>
          <w:color w:val="auto"/>
        </w:rPr>
        <w:t xml:space="preserve"> is to understand the numbers and the politics that produce them.</w:t>
      </w:r>
    </w:p>
    <w:p w14:paraId="552C0872" w14:textId="38DA859B" w:rsidR="006F3588" w:rsidRPr="00E23F02" w:rsidRDefault="000804A4" w:rsidP="000804A4">
      <w:pPr>
        <w:rPr>
          <w:rFonts w:cs="Times New Roman"/>
          <w:color w:val="auto"/>
        </w:rPr>
      </w:pPr>
      <w:r w:rsidRPr="000804A4">
        <w:rPr>
          <w:rFonts w:cs="Times New Roman"/>
          <w:color w:val="auto"/>
        </w:rPr>
        <w:t xml:space="preserve">This report considers adaptation as its chosen topic, as it was one of the main agenda items at the thirtieth Conference of the Parties (COP30) in November 2025 in Belém, Brazil. The report is followed by two related tasks after the assessment brief. The first one evaluates the progress made on adaptation so far, from the Paris Agreement at COP21 to </w:t>
      </w:r>
      <w:proofErr w:type="gramStart"/>
      <w:r w:rsidRPr="000804A4">
        <w:rPr>
          <w:rFonts w:cs="Times New Roman"/>
          <w:color w:val="auto"/>
        </w:rPr>
        <w:t>the COP29</w:t>
      </w:r>
      <w:proofErr w:type="gramEnd"/>
      <w:r w:rsidRPr="000804A4">
        <w:rPr>
          <w:rFonts w:cs="Times New Roman"/>
          <w:color w:val="auto"/>
        </w:rPr>
        <w:t xml:space="preserve"> in </w:t>
      </w:r>
      <w:r w:rsidR="004A4CDC" w:rsidRPr="000804A4">
        <w:rPr>
          <w:rFonts w:cs="Times New Roman"/>
          <w:color w:val="auto"/>
        </w:rPr>
        <w:t>Baku. The</w:t>
      </w:r>
      <w:r w:rsidRPr="000804A4">
        <w:rPr>
          <w:rFonts w:cs="Times New Roman"/>
          <w:color w:val="auto"/>
        </w:rPr>
        <w:t xml:space="preserve"> first one is about the status of adaptation so far, from the Paris Agreement at COP21 to </w:t>
      </w:r>
      <w:proofErr w:type="gramStart"/>
      <w:r w:rsidRPr="000804A4">
        <w:rPr>
          <w:rFonts w:cs="Times New Roman"/>
          <w:color w:val="auto"/>
        </w:rPr>
        <w:t>the COP29</w:t>
      </w:r>
      <w:proofErr w:type="gramEnd"/>
      <w:r w:rsidRPr="000804A4">
        <w:rPr>
          <w:rFonts w:cs="Times New Roman"/>
          <w:color w:val="auto"/>
        </w:rPr>
        <w:t xml:space="preserve"> in Baku. The second task critically discusses the prospects for adaptation after COP30, focusing on the three headline outcomes that emerged from Belém. The report is designed not only to explain what </w:t>
      </w:r>
      <w:proofErr w:type="gramStart"/>
      <w:r w:rsidRPr="000804A4">
        <w:rPr>
          <w:rFonts w:cs="Times New Roman"/>
          <w:color w:val="auto"/>
        </w:rPr>
        <w:t>actually occurred</w:t>
      </w:r>
      <w:proofErr w:type="gramEnd"/>
      <w:r w:rsidRPr="000804A4">
        <w:rPr>
          <w:rFonts w:cs="Times New Roman"/>
          <w:color w:val="auto"/>
        </w:rPr>
        <w:t xml:space="preserve"> but also to interpret what it means, to </w:t>
      </w:r>
      <w:proofErr w:type="gramStart"/>
      <w:r w:rsidRPr="000804A4">
        <w:rPr>
          <w:rFonts w:cs="Times New Roman"/>
          <w:color w:val="auto"/>
        </w:rPr>
        <w:t>compare and contrast</w:t>
      </w:r>
      <w:proofErr w:type="gramEnd"/>
      <w:r w:rsidRPr="000804A4">
        <w:rPr>
          <w:rFonts w:cs="Times New Roman"/>
          <w:color w:val="auto"/>
        </w:rPr>
        <w:t xml:space="preserve"> different </w:t>
      </w:r>
      <w:r w:rsidRPr="000804A4">
        <w:rPr>
          <w:rFonts w:cs="Times New Roman"/>
          <w:color w:val="auto"/>
        </w:rPr>
        <w:lastRenderedPageBreak/>
        <w:t>scholarly interpretations, and to explore why well-established scholars may reach different conclusions from similar evidence.</w:t>
      </w:r>
    </w:p>
    <w:p w14:paraId="154CD89B" w14:textId="77777777" w:rsidR="006F3588" w:rsidRPr="00E23F02" w:rsidRDefault="00000000" w:rsidP="00E23F02">
      <w:pPr>
        <w:pStyle w:val="Heading1"/>
      </w:pPr>
      <w:bookmarkStart w:id="1" w:name="_Toc236357355"/>
      <w:r w:rsidRPr="00E23F02">
        <w:t>2. Approach and Methodology</w:t>
      </w:r>
      <w:bookmarkEnd w:id="1"/>
    </w:p>
    <w:p w14:paraId="7775ED6E" w14:textId="77777777" w:rsidR="000804A4" w:rsidRPr="000804A4" w:rsidRDefault="000804A4" w:rsidP="000804A4">
      <w:pPr>
        <w:rPr>
          <w:rFonts w:cs="Times New Roman"/>
          <w:color w:val="auto"/>
        </w:rPr>
      </w:pPr>
      <w:r w:rsidRPr="000804A4">
        <w:rPr>
          <w:rFonts w:cs="Times New Roman"/>
          <w:color w:val="auto"/>
        </w:rPr>
        <w:t>This report is a desk-based critical review, meaning that the evidence used in the report is based on literature and existing academic and policy documents, and not on new fieldwork or original data collection. The sources were chosen based on three criteria that are common in postgraduate research: relevance to the topic of adaptation, credibility of the source, and recency (not more than about five years old) and preference was given to peer-reviewed journal articles. For older works, they were only included if they continue to be seminal works that form the basis of the debate in the field today. This method will make the analysis based on evidence that can be found by others and can be verified, not on what is just asserted.</w:t>
      </w:r>
    </w:p>
    <w:p w14:paraId="02228B47" w14:textId="77777777" w:rsidR="000804A4" w:rsidRPr="000804A4" w:rsidRDefault="000804A4" w:rsidP="000804A4">
      <w:pPr>
        <w:rPr>
          <w:rFonts w:cs="Times New Roman"/>
          <w:color w:val="auto"/>
        </w:rPr>
      </w:pPr>
      <w:r w:rsidRPr="000804A4">
        <w:rPr>
          <w:rFonts w:cs="Times New Roman"/>
          <w:color w:val="auto"/>
        </w:rPr>
        <w:t xml:space="preserve">The report uses a basic three-part analytical framework to break down the analysis into political commitment, operational mechanism, and measurable outcome. In simple terms, this lens is asking three questions of every COP decision – what were governments' promises, what machinery did they establish to keep those promises, and what did it </w:t>
      </w:r>
      <w:proofErr w:type="gramStart"/>
      <w:r w:rsidRPr="000804A4">
        <w:rPr>
          <w:rFonts w:cs="Times New Roman"/>
          <w:color w:val="auto"/>
        </w:rPr>
        <w:t>actually achieve</w:t>
      </w:r>
      <w:proofErr w:type="gramEnd"/>
      <w:r w:rsidRPr="000804A4">
        <w:rPr>
          <w:rFonts w:cs="Times New Roman"/>
          <w:color w:val="auto"/>
        </w:rPr>
        <w:t xml:space="preserve"> on the ground? This structure is helpful, as the adaptation literature consistently reveals that promises outpace mechanisms, and mechanisms outpace measurable results, especially since adaptation is a very real challenge to measure (Dilling et al., 2019; Singh et al., 2022). The pattern of progress becomes more visible when the same lens is applied to each of the subsequent conferences, as does the pattern of shortfall.</w:t>
      </w:r>
    </w:p>
    <w:p w14:paraId="7AC8DB84" w14:textId="0245CF14" w:rsidR="006F3588" w:rsidRPr="00E23F02" w:rsidRDefault="000804A4" w:rsidP="000804A4">
      <w:pPr>
        <w:rPr>
          <w:rFonts w:cs="Times New Roman"/>
          <w:color w:val="auto"/>
        </w:rPr>
      </w:pPr>
      <w:r w:rsidRPr="000804A4">
        <w:rPr>
          <w:rFonts w:cs="Times New Roman"/>
          <w:color w:val="auto"/>
        </w:rPr>
        <w:t xml:space="preserve">To structure the forward-looking analysis the report also relies on two established strategic management tools that are in line with the assessment brief. PESTEL analysis looks at the Political, Economic, Social, Technological, Environmental and Legal situation that affects the success of a policy, and SWOT analysis is an analysis of the Strengths, Weaknesses, Opportunities and Threats of a specific course of action. These tools are commonly used to help evaluate complex decisions in which there is limited </w:t>
      </w:r>
      <w:proofErr w:type="gramStart"/>
      <w:r w:rsidRPr="000804A4">
        <w:rPr>
          <w:rFonts w:cs="Times New Roman"/>
          <w:color w:val="auto"/>
        </w:rPr>
        <w:t>evidence, and</w:t>
      </w:r>
      <w:proofErr w:type="gramEnd"/>
      <w:r w:rsidRPr="000804A4">
        <w:rPr>
          <w:rFonts w:cs="Times New Roman"/>
          <w:color w:val="auto"/>
        </w:rPr>
        <w:t xml:space="preserve"> are applied here to the post-COP30 adaptation regime, with the full </w:t>
      </w:r>
      <w:r w:rsidRPr="000804A4">
        <w:rPr>
          <w:rFonts w:cs="Times New Roman"/>
          <w:color w:val="auto"/>
        </w:rPr>
        <w:lastRenderedPageBreak/>
        <w:t>PESTEL and SWOT tables presented in Appendices A and B and referenced throughout the discussion.</w:t>
      </w:r>
    </w:p>
    <w:p w14:paraId="069A5669" w14:textId="77777777" w:rsidR="006F3588" w:rsidRPr="00E23F02" w:rsidRDefault="00000000" w:rsidP="00E23F02">
      <w:pPr>
        <w:pStyle w:val="Heading1"/>
      </w:pPr>
      <w:bookmarkStart w:id="2" w:name="_Toc236357356"/>
      <w:r w:rsidRPr="00E23F02">
        <w:t>3. Understanding Adaptation and the Global Goal on Adaptation</w:t>
      </w:r>
      <w:bookmarkEnd w:id="2"/>
    </w:p>
    <w:p w14:paraId="69F1AC92" w14:textId="77777777" w:rsidR="006F3588" w:rsidRPr="00E23F02" w:rsidRDefault="00000000" w:rsidP="00E23F02">
      <w:pPr>
        <w:pStyle w:val="Heading2"/>
      </w:pPr>
      <w:bookmarkStart w:id="3" w:name="_Toc236357357"/>
      <w:r w:rsidRPr="00E23F02">
        <w:t>3.1 Why adaptation is chronically underfunded</w:t>
      </w:r>
      <w:bookmarkEnd w:id="3"/>
    </w:p>
    <w:p w14:paraId="44130569" w14:textId="77777777" w:rsidR="000804A4" w:rsidRPr="000804A4" w:rsidRDefault="000804A4" w:rsidP="000804A4">
      <w:pPr>
        <w:rPr>
          <w:rFonts w:cs="Times New Roman"/>
          <w:color w:val="auto"/>
        </w:rPr>
      </w:pPr>
      <w:r w:rsidRPr="000804A4">
        <w:rPr>
          <w:rFonts w:cs="Times New Roman"/>
          <w:color w:val="auto"/>
        </w:rPr>
        <w:t xml:space="preserve">One good place to start is to explain why adaptation always receives less funding than mitigation, as this is the source of many things that follow. Investments in mitigation – like solar farms, or electric vehicles – create results that can be quantified in </w:t>
      </w:r>
      <w:proofErr w:type="spellStart"/>
      <w:r w:rsidRPr="000804A4">
        <w:rPr>
          <w:rFonts w:cs="Times New Roman"/>
          <w:color w:val="auto"/>
        </w:rPr>
        <w:t>tonnes</w:t>
      </w:r>
      <w:proofErr w:type="spellEnd"/>
      <w:r w:rsidRPr="000804A4">
        <w:rPr>
          <w:rFonts w:cs="Times New Roman"/>
          <w:color w:val="auto"/>
        </w:rPr>
        <w:t xml:space="preserve"> of carbon avoided – and can often generate commercial returns – making them appealing to public and private investors. Unlike adaptation investments, adaptation investments typically generate broad public goods like flood protection or early warning systems, which benefit entire communities and are difficult to monetize as a private benefit (Pauw et al., 2022). Private finance is only a small proportion of adaptation, as it is hard for private investors to profit from a sea wall, putting the pressure on already stretched public budgets.</w:t>
      </w:r>
    </w:p>
    <w:p w14:paraId="0E8B773F" w14:textId="28C373DF" w:rsidR="006F3588" w:rsidRPr="00E23F02" w:rsidRDefault="000804A4" w:rsidP="000804A4">
      <w:pPr>
        <w:rPr>
          <w:rFonts w:cs="Times New Roman"/>
          <w:color w:val="auto"/>
        </w:rPr>
      </w:pPr>
      <w:r w:rsidRPr="000804A4">
        <w:rPr>
          <w:rFonts w:cs="Times New Roman"/>
          <w:color w:val="auto"/>
        </w:rPr>
        <w:t>There is a second, more subtle issue, which is definitional. The United Nations climate regime has never reached an agreement on an actual definition of adaptation finance, which enables donor countries to count a broad spectrum of expenditures as adaptation finance, such as ordinary development assistance (</w:t>
      </w:r>
      <w:proofErr w:type="spellStart"/>
      <w:r w:rsidRPr="000804A4">
        <w:rPr>
          <w:rFonts w:cs="Times New Roman"/>
          <w:color w:val="auto"/>
        </w:rPr>
        <w:t>Weikmans</w:t>
      </w:r>
      <w:proofErr w:type="spellEnd"/>
      <w:r w:rsidRPr="000804A4">
        <w:rPr>
          <w:rFonts w:cs="Times New Roman"/>
          <w:color w:val="auto"/>
        </w:rPr>
        <w:t xml:space="preserve"> &amp; Roberts, 2019). This confusion distorts the headline statistics governments report and undermines confidence that the real amount of support is being delivered to vulnerable communities, and it can lead to a lack of trust in the data, with developing countries rightly questioning whether the reported amounts are actually less than the true level of support. The accounting problem is thus connected with the funding problem, because no one can be held responsible for a target that has not been clearly defined.</w:t>
      </w:r>
    </w:p>
    <w:p w14:paraId="176A74F2" w14:textId="77777777" w:rsidR="006F3588" w:rsidRPr="00E23F02" w:rsidRDefault="00000000" w:rsidP="00E23F02">
      <w:pPr>
        <w:pStyle w:val="Heading2"/>
      </w:pPr>
      <w:bookmarkStart w:id="4" w:name="_Toc236357358"/>
      <w:r w:rsidRPr="00E23F02">
        <w:lastRenderedPageBreak/>
        <w:t>3.2 The Global Goal on Adaptation as an aspiration</w:t>
      </w:r>
      <w:bookmarkEnd w:id="4"/>
    </w:p>
    <w:p w14:paraId="6A151F35" w14:textId="77777777" w:rsidR="006F3588" w:rsidRPr="00E23F02" w:rsidRDefault="00000000" w:rsidP="00E23F02">
      <w:pPr>
        <w:rPr>
          <w:rFonts w:cs="Times New Roman"/>
          <w:color w:val="auto"/>
        </w:rPr>
      </w:pPr>
      <w:r w:rsidRPr="00E23F02">
        <w:rPr>
          <w:rFonts w:cs="Times New Roman"/>
          <w:color w:val="auto"/>
        </w:rPr>
        <w:t>The Global Goal on Adaptation was established under Article 7 of the Paris Agreement at COP21 in 2015, and it was deliberately written as a broad, qualitative aspiration rather than a precise, numerical target. Its language speaks of enhancing adaptive capacity, strengthening resilience, and reducing vulnerability, phrases that are directional rather than quantifiable, and this vagueness was itself a political compromise between countries that wanted firm obligations and countries that resisted them (Orlove, 2022). The consequence is that the entire decade of adaptation policy which follows can be read as an attempt to give operational meaning to a goal that was intentionally left open-ended. The tension between an inspiring but imprecise ambition and the practical need for measurable delivery runs through every section of this report.</w:t>
      </w:r>
    </w:p>
    <w:p w14:paraId="475B3667" w14:textId="77777777" w:rsidR="006F3588" w:rsidRPr="00E23F02" w:rsidRDefault="00000000" w:rsidP="00E23F02">
      <w:pPr>
        <w:pStyle w:val="Heading1"/>
      </w:pPr>
      <w:bookmarkStart w:id="5" w:name="_Toc236357359"/>
      <w:r w:rsidRPr="00E23F02">
        <w:t>4. Task A: How Far Did Previous COPs Deliver on Adaptation?</w:t>
      </w:r>
      <w:bookmarkEnd w:id="5"/>
    </w:p>
    <w:p w14:paraId="1142FAD1" w14:textId="77777777" w:rsidR="006F3588" w:rsidRPr="00E23F02" w:rsidRDefault="00000000" w:rsidP="00E23F02">
      <w:pPr>
        <w:pStyle w:val="Heading2"/>
      </w:pPr>
      <w:bookmarkStart w:id="6" w:name="_Toc236357360"/>
      <w:r w:rsidRPr="00E23F02">
        <w:t>4.1 From Paris to Glasgow: creating the goal and its first machinery</w:t>
      </w:r>
      <w:bookmarkEnd w:id="6"/>
    </w:p>
    <w:p w14:paraId="519CDEE5" w14:textId="77777777" w:rsidR="006F3588" w:rsidRPr="00E23F02" w:rsidRDefault="00000000" w:rsidP="00E23F02">
      <w:pPr>
        <w:rPr>
          <w:rFonts w:cs="Times New Roman"/>
          <w:color w:val="auto"/>
        </w:rPr>
      </w:pPr>
      <w:r w:rsidRPr="00E23F02">
        <w:rPr>
          <w:rFonts w:cs="Times New Roman"/>
          <w:color w:val="auto"/>
        </w:rPr>
        <w:t>The years immediately after Paris produced political recognition for adaptation but very little operational machinery, and this early period illustrates the gap between commitment and mechanism. COP25 in Madrid in 2019 is widely regarded as a missed opportunity, since it delivered limited substantive progress on adaptation and deferred difficult questions on finance, all against a fraught geopolitical backdrop of rising populism and weakening multilateral ambition (Newell &amp; Taylor, 2020). The importance of this stagnation is that it allowed the adaptation finance gap to keep widening while governments debated procedure rather than delivery. In effect, the goal existed on paper but lacked the institutions needed to translate it into action.</w:t>
      </w:r>
    </w:p>
    <w:p w14:paraId="0A1FCF29" w14:textId="77777777" w:rsidR="006F3588" w:rsidRPr="00E23F02" w:rsidRDefault="00000000" w:rsidP="00E23F02">
      <w:pPr>
        <w:rPr>
          <w:rFonts w:cs="Times New Roman"/>
          <w:color w:val="auto"/>
        </w:rPr>
      </w:pPr>
      <w:r w:rsidRPr="00E23F02">
        <w:rPr>
          <w:rFonts w:cs="Times New Roman"/>
          <w:color w:val="auto"/>
        </w:rPr>
        <w:t xml:space="preserve">COP26 in Glasgow in 2021 marked the decisive turning point, because it launched the Glasgow–Sharm el-Sheikh work programme, the first structured multi-year process dedicated to making the Global Goal on Adaptation operational (Depledge et al., 2022). Glasgow also produced a concrete political benchmark, namely a call on developed countries to at least double their collective adaptation finance from 2019 levels by 2025, </w:t>
      </w:r>
      <w:r w:rsidRPr="00E23F02">
        <w:rPr>
          <w:rFonts w:cs="Times New Roman"/>
          <w:color w:val="auto"/>
        </w:rPr>
        <w:lastRenderedPageBreak/>
        <w:t>which for the first time attached a number to the adaptation ambition. Yet even this apparently significant pledge invites a critical reading, because doubling a figure that starts from a very low base still leaves the total far below what vulnerable countries actually need. The Glasgow commitment was therefore a genuine advance in political commitment, but a modest one when measured against the scale of the gap shown in Figure 1.</w:t>
      </w:r>
    </w:p>
    <w:p w14:paraId="015B14D1" w14:textId="77777777" w:rsidR="006F3588" w:rsidRPr="00E23F02" w:rsidRDefault="00000000" w:rsidP="00E23F02">
      <w:pPr>
        <w:jc w:val="center"/>
        <w:rPr>
          <w:rFonts w:cs="Times New Roman"/>
          <w:color w:val="auto"/>
        </w:rPr>
      </w:pPr>
      <w:r w:rsidRPr="00E23F02">
        <w:rPr>
          <w:rFonts w:cs="Times New Roman"/>
          <w:noProof/>
          <w:color w:val="auto"/>
        </w:rPr>
        <w:drawing>
          <wp:inline distT="0" distB="0" distL="0" distR="0" wp14:anchorId="3E9EBDC6" wp14:editId="6AE32673">
            <wp:extent cx="5212080" cy="27165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finance_gap.png"/>
                    <pic:cNvPicPr/>
                  </pic:nvPicPr>
                  <pic:blipFill>
                    <a:blip r:embed="rId10"/>
                    <a:stretch>
                      <a:fillRect/>
                    </a:stretch>
                  </pic:blipFill>
                  <pic:spPr>
                    <a:xfrm>
                      <a:off x="0" y="0"/>
                      <a:ext cx="5212080" cy="2716530"/>
                    </a:xfrm>
                    <a:prstGeom prst="rect">
                      <a:avLst/>
                    </a:prstGeom>
                  </pic:spPr>
                </pic:pic>
              </a:graphicData>
            </a:graphic>
          </wp:inline>
        </w:drawing>
      </w:r>
    </w:p>
    <w:p w14:paraId="1E3A3CE4" w14:textId="77777777" w:rsidR="006F3588" w:rsidRPr="00E23F02" w:rsidRDefault="00000000" w:rsidP="00E23F02">
      <w:pPr>
        <w:jc w:val="left"/>
        <w:rPr>
          <w:rFonts w:cs="Times New Roman"/>
          <w:color w:val="auto"/>
          <w:sz w:val="22"/>
          <w:szCs w:val="20"/>
        </w:rPr>
      </w:pPr>
      <w:r w:rsidRPr="00E23F02">
        <w:rPr>
          <w:rFonts w:cs="Times New Roman"/>
          <w:i/>
          <w:color w:val="auto"/>
          <w:sz w:val="18"/>
          <w:szCs w:val="20"/>
        </w:rPr>
        <w:t>Figure 1. Actual public adaptation finance in 2022 compared with the estimated annual need for developing countries. Source: data reported in Malik &amp; Ford (2024).</w:t>
      </w:r>
    </w:p>
    <w:p w14:paraId="3B3EBBB0" w14:textId="77777777" w:rsidR="006F3588" w:rsidRPr="00E23F02" w:rsidRDefault="00000000" w:rsidP="00E23F02">
      <w:pPr>
        <w:rPr>
          <w:rFonts w:cs="Times New Roman"/>
          <w:color w:val="auto"/>
        </w:rPr>
      </w:pPr>
      <w:r w:rsidRPr="00E23F02">
        <w:rPr>
          <w:rFonts w:cs="Times New Roman"/>
          <w:color w:val="auto"/>
        </w:rPr>
        <w:t>Interpreting Figure 1 makes the delivery problem concrete for the reader. The orange bar, representing roughly US$28 billion of actual public adaptation finance in 2022, is dwarfed by the estimated annual need of between US$215 billion and US$387 billion (Malik &amp; Ford, 2024). In practical terms, current flows cover only a small fraction of what is required, which means that even the Glasgow pledge to double finance would close only a sliver of this gap. The visual therefore captures why many researchers describe adaptation finance as structurally inadequate rather than merely slightly behind schedule.</w:t>
      </w:r>
    </w:p>
    <w:p w14:paraId="70B33181" w14:textId="77777777" w:rsidR="006F3588" w:rsidRPr="00E23F02" w:rsidRDefault="00000000" w:rsidP="00E23F02">
      <w:pPr>
        <w:pStyle w:val="Heading2"/>
      </w:pPr>
      <w:bookmarkStart w:id="7" w:name="_Toc236357361"/>
      <w:r w:rsidRPr="00E23F02">
        <w:t>4.2 From Dubai to Baku: frameworks and finance targets</w:t>
      </w:r>
      <w:bookmarkEnd w:id="7"/>
    </w:p>
    <w:p w14:paraId="54A9CA8E" w14:textId="77777777" w:rsidR="004A4CDC" w:rsidRDefault="004A4CDC" w:rsidP="004A4CDC">
      <w:r>
        <w:t xml:space="preserve">The UAE Framework for Global Climate Resilience, which was agreed at COP28 in Dubai in 2023, marked the most comprehensive adaptation outcome since Paris and </w:t>
      </w:r>
      <w:r>
        <w:lastRenderedPageBreak/>
        <w:t xml:space="preserve">succeeded in breaking down the Global Goal on Adaptation into seven thematic areas, including water, food, health and infrastructure. This disaggregation was important because it facilitated the identification of goal indicators at sectoral level, and it started a subsequent work </w:t>
      </w:r>
      <w:proofErr w:type="spellStart"/>
      <w:r>
        <w:t>programme</w:t>
      </w:r>
      <w:proofErr w:type="spellEnd"/>
      <w:r>
        <w:t>, which is ongoing until Belém, to develop such indicators (Nowak et al., 2024). One key constraint, however, was that the targets in the framework were still qualitative, in the sense that they outlined desired outcomes, but not baselines, deadlines or dedicated funding. The framework thus moved forward the process of how the operation will work, and yet again the more difficult issues of finance and enforcement were left to the side.</w:t>
      </w:r>
    </w:p>
    <w:p w14:paraId="161D3C73" w14:textId="10CC9530" w:rsidR="006F3588" w:rsidRPr="00E23F02" w:rsidRDefault="004A4CDC" w:rsidP="004A4CDC">
      <w:pPr>
        <w:rPr>
          <w:rFonts w:cs="Times New Roman"/>
          <w:color w:val="auto"/>
        </w:rPr>
      </w:pPr>
      <w:r>
        <w:t xml:space="preserve">The 2024 Baku COP29 was presented as the climate finance conference, and the main result of the conference was the New Collective Quantified Goal, which pledged developed countries to </w:t>
      </w:r>
      <w:proofErr w:type="spellStart"/>
      <w:r>
        <w:t>mobilise</w:t>
      </w:r>
      <w:proofErr w:type="spellEnd"/>
      <w:r>
        <w:t xml:space="preserve"> at least US$300 billion per year by 2035 for developing countries (Jiang et al., 2025). This was indeed a higher figure than the previous $100 billion, but it received immediate and pointed criticism, which is why. The target includes both mitigation and adaptation, without a specific sub-goal for adaptation, and thus, adaptation is competing with mitigation for the same funds, something it has traditionally been outcompeted by (Pauw et al., 2022). Baku thus raised </w:t>
      </w:r>
      <w:proofErr w:type="gramStart"/>
      <w:r>
        <w:t>the rhetorical</w:t>
      </w:r>
      <w:proofErr w:type="gramEnd"/>
      <w:r>
        <w:t xml:space="preserve"> aspiration but maintained the structural disadvantage of adaptation. Table 1 shows the course of political commitments during these conferences.</w:t>
      </w:r>
    </w:p>
    <w:tbl>
      <w:tblPr>
        <w:tblStyle w:val="ListTable4-Accent5"/>
        <w:tblW w:w="0" w:type="auto"/>
        <w:tblLook w:val="04A0" w:firstRow="1" w:lastRow="0" w:firstColumn="1" w:lastColumn="0" w:noHBand="0" w:noVBand="1"/>
      </w:tblPr>
      <w:tblGrid>
        <w:gridCol w:w="1947"/>
        <w:gridCol w:w="2474"/>
        <w:gridCol w:w="2465"/>
        <w:gridCol w:w="1970"/>
      </w:tblGrid>
      <w:tr w:rsidR="006F3588" w:rsidRPr="00E23F02" w14:paraId="3E162A16" w14:textId="77777777" w:rsidTr="00E23F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AA4CA29" w14:textId="77777777" w:rsidR="006F3588" w:rsidRPr="00E23F02" w:rsidRDefault="00000000" w:rsidP="00E23F02">
            <w:pPr>
              <w:spacing w:before="40"/>
              <w:jc w:val="left"/>
              <w:rPr>
                <w:rFonts w:cs="Times New Roman"/>
                <w:color w:val="FFFFFF" w:themeColor="background1"/>
              </w:rPr>
            </w:pPr>
            <w:r w:rsidRPr="00E23F02">
              <w:rPr>
                <w:rFonts w:cs="Times New Roman"/>
                <w:color w:val="FFFFFF" w:themeColor="background1"/>
                <w:sz w:val="21"/>
              </w:rPr>
              <w:t>COP (year, host)</w:t>
            </w:r>
          </w:p>
        </w:tc>
        <w:tc>
          <w:tcPr>
            <w:tcW w:w="2736" w:type="dxa"/>
          </w:tcPr>
          <w:p w14:paraId="1EEC848D" w14:textId="77777777" w:rsidR="006F3588" w:rsidRPr="00E23F02" w:rsidRDefault="00000000" w:rsidP="00E23F02">
            <w:pPr>
              <w:spacing w:before="40"/>
              <w:jc w:val="left"/>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rPr>
            </w:pPr>
            <w:r w:rsidRPr="00E23F02">
              <w:rPr>
                <w:rFonts w:cs="Times New Roman"/>
                <w:color w:val="FFFFFF" w:themeColor="background1"/>
                <w:sz w:val="21"/>
              </w:rPr>
              <w:t>Political commitment on adaptation</w:t>
            </w:r>
          </w:p>
        </w:tc>
        <w:tc>
          <w:tcPr>
            <w:tcW w:w="2736" w:type="dxa"/>
          </w:tcPr>
          <w:p w14:paraId="72A5E039" w14:textId="77777777" w:rsidR="006F3588" w:rsidRPr="00E23F02" w:rsidRDefault="00000000" w:rsidP="00E23F02">
            <w:pPr>
              <w:spacing w:before="40"/>
              <w:jc w:val="left"/>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rPr>
            </w:pPr>
            <w:r w:rsidRPr="00E23F02">
              <w:rPr>
                <w:rFonts w:cs="Times New Roman"/>
                <w:color w:val="FFFFFF" w:themeColor="background1"/>
                <w:sz w:val="21"/>
              </w:rPr>
              <w:t>Operational mechanism created</w:t>
            </w:r>
          </w:p>
        </w:tc>
        <w:tc>
          <w:tcPr>
            <w:tcW w:w="2160" w:type="dxa"/>
          </w:tcPr>
          <w:p w14:paraId="6097E417" w14:textId="77777777" w:rsidR="006F3588" w:rsidRPr="00E23F02" w:rsidRDefault="00000000" w:rsidP="00E23F02">
            <w:pPr>
              <w:spacing w:before="40"/>
              <w:jc w:val="left"/>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rPr>
            </w:pPr>
            <w:r w:rsidRPr="00E23F02">
              <w:rPr>
                <w:rFonts w:cs="Times New Roman"/>
                <w:color w:val="FFFFFF" w:themeColor="background1"/>
                <w:sz w:val="21"/>
              </w:rPr>
              <w:t>Persistent weakness</w:t>
            </w:r>
          </w:p>
        </w:tc>
      </w:tr>
      <w:tr w:rsidR="006F3588" w:rsidRPr="00E23F02" w14:paraId="6E7964D5" w14:textId="77777777" w:rsidTr="00E23F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3595EC3" w14:textId="77777777" w:rsidR="006F3588" w:rsidRPr="00E23F02" w:rsidRDefault="00000000" w:rsidP="00E23F02">
            <w:pPr>
              <w:spacing w:before="40"/>
              <w:jc w:val="left"/>
              <w:rPr>
                <w:rFonts w:cs="Times New Roman"/>
                <w:color w:val="auto"/>
              </w:rPr>
            </w:pPr>
            <w:r w:rsidRPr="00E23F02">
              <w:rPr>
                <w:rFonts w:cs="Times New Roman"/>
                <w:b w:val="0"/>
                <w:color w:val="auto"/>
                <w:sz w:val="21"/>
              </w:rPr>
              <w:t>COP21 (2015, Paris)</w:t>
            </w:r>
          </w:p>
        </w:tc>
        <w:tc>
          <w:tcPr>
            <w:tcW w:w="2736" w:type="dxa"/>
          </w:tcPr>
          <w:p w14:paraId="469557B3"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Global Goal on Adaptation established under Article 7</w:t>
            </w:r>
          </w:p>
        </w:tc>
        <w:tc>
          <w:tcPr>
            <w:tcW w:w="2736" w:type="dxa"/>
          </w:tcPr>
          <w:p w14:paraId="6A52476A"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Qualitative aspiration only</w:t>
            </w:r>
          </w:p>
        </w:tc>
        <w:tc>
          <w:tcPr>
            <w:tcW w:w="2160" w:type="dxa"/>
          </w:tcPr>
          <w:p w14:paraId="718AA218"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No metrics, baselines or targets</w:t>
            </w:r>
          </w:p>
        </w:tc>
      </w:tr>
      <w:tr w:rsidR="006F3588" w:rsidRPr="00E23F02" w14:paraId="3B6CAEA7" w14:textId="77777777" w:rsidTr="00E23F02">
        <w:tc>
          <w:tcPr>
            <w:cnfStyle w:val="001000000000" w:firstRow="0" w:lastRow="0" w:firstColumn="1" w:lastColumn="0" w:oddVBand="0" w:evenVBand="0" w:oddHBand="0" w:evenHBand="0" w:firstRowFirstColumn="0" w:firstRowLastColumn="0" w:lastRowFirstColumn="0" w:lastRowLastColumn="0"/>
            <w:tcW w:w="2160" w:type="dxa"/>
          </w:tcPr>
          <w:p w14:paraId="421E31CB" w14:textId="77777777" w:rsidR="006F3588" w:rsidRPr="00E23F02" w:rsidRDefault="00000000" w:rsidP="00E23F02">
            <w:pPr>
              <w:spacing w:before="40"/>
              <w:jc w:val="left"/>
              <w:rPr>
                <w:rFonts w:cs="Times New Roman"/>
                <w:color w:val="auto"/>
              </w:rPr>
            </w:pPr>
            <w:r w:rsidRPr="00E23F02">
              <w:rPr>
                <w:rFonts w:cs="Times New Roman"/>
                <w:b w:val="0"/>
                <w:color w:val="auto"/>
                <w:sz w:val="21"/>
              </w:rPr>
              <w:t>COP25 (2019, Madrid)</w:t>
            </w:r>
          </w:p>
        </w:tc>
        <w:tc>
          <w:tcPr>
            <w:tcW w:w="2736" w:type="dxa"/>
          </w:tcPr>
          <w:p w14:paraId="1B6920AD"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Limited progress; finance deferred</w:t>
            </w:r>
          </w:p>
        </w:tc>
        <w:tc>
          <w:tcPr>
            <w:tcW w:w="2736" w:type="dxa"/>
          </w:tcPr>
          <w:p w14:paraId="2B173DDA"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Technical groundwork only</w:t>
            </w:r>
          </w:p>
        </w:tc>
        <w:tc>
          <w:tcPr>
            <w:tcW w:w="2160" w:type="dxa"/>
          </w:tcPr>
          <w:p w14:paraId="35ACA618"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Stagnation as the gap widened</w:t>
            </w:r>
          </w:p>
        </w:tc>
      </w:tr>
      <w:tr w:rsidR="006F3588" w:rsidRPr="00E23F02" w14:paraId="572CC6C0" w14:textId="77777777" w:rsidTr="00E23F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374FE87" w14:textId="77777777" w:rsidR="006F3588" w:rsidRPr="00E23F02" w:rsidRDefault="00000000" w:rsidP="00E23F02">
            <w:pPr>
              <w:spacing w:before="40"/>
              <w:jc w:val="left"/>
              <w:rPr>
                <w:rFonts w:cs="Times New Roman"/>
                <w:color w:val="auto"/>
              </w:rPr>
            </w:pPr>
            <w:r w:rsidRPr="00E23F02">
              <w:rPr>
                <w:rFonts w:cs="Times New Roman"/>
                <w:b w:val="0"/>
                <w:color w:val="auto"/>
                <w:sz w:val="21"/>
              </w:rPr>
              <w:t>COP26 (2021, Glasgow)</w:t>
            </w:r>
          </w:p>
        </w:tc>
        <w:tc>
          <w:tcPr>
            <w:tcW w:w="2736" w:type="dxa"/>
          </w:tcPr>
          <w:p w14:paraId="4A557448"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Pledge to double adaptation finance by 2025</w:t>
            </w:r>
          </w:p>
        </w:tc>
        <w:tc>
          <w:tcPr>
            <w:tcW w:w="2736" w:type="dxa"/>
          </w:tcPr>
          <w:p w14:paraId="4B5AD5EE"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Glasgow–Sharm el-Sheikh work programme</w:t>
            </w:r>
          </w:p>
        </w:tc>
        <w:tc>
          <w:tcPr>
            <w:tcW w:w="2160" w:type="dxa"/>
          </w:tcPr>
          <w:p w14:paraId="76CDFB40"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Doubling from a very low base</w:t>
            </w:r>
          </w:p>
        </w:tc>
      </w:tr>
      <w:tr w:rsidR="006F3588" w:rsidRPr="00E23F02" w14:paraId="4F2B952C" w14:textId="77777777" w:rsidTr="00E23F02">
        <w:tc>
          <w:tcPr>
            <w:cnfStyle w:val="001000000000" w:firstRow="0" w:lastRow="0" w:firstColumn="1" w:lastColumn="0" w:oddVBand="0" w:evenVBand="0" w:oddHBand="0" w:evenHBand="0" w:firstRowFirstColumn="0" w:firstRowLastColumn="0" w:lastRowFirstColumn="0" w:lastRowLastColumn="0"/>
            <w:tcW w:w="2160" w:type="dxa"/>
          </w:tcPr>
          <w:p w14:paraId="6BD1A15E" w14:textId="77777777" w:rsidR="006F3588" w:rsidRPr="00E23F02" w:rsidRDefault="00000000" w:rsidP="00E23F02">
            <w:pPr>
              <w:spacing w:before="40"/>
              <w:jc w:val="left"/>
              <w:rPr>
                <w:rFonts w:cs="Times New Roman"/>
                <w:color w:val="auto"/>
              </w:rPr>
            </w:pPr>
            <w:r w:rsidRPr="00E23F02">
              <w:rPr>
                <w:rFonts w:cs="Times New Roman"/>
                <w:b w:val="0"/>
                <w:color w:val="auto"/>
                <w:sz w:val="21"/>
              </w:rPr>
              <w:lastRenderedPageBreak/>
              <w:t>COP28 (2023, Dubai)</w:t>
            </w:r>
          </w:p>
        </w:tc>
        <w:tc>
          <w:tcPr>
            <w:tcW w:w="2736" w:type="dxa"/>
          </w:tcPr>
          <w:p w14:paraId="64288962"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UAE Framework for Global Climate Resilience</w:t>
            </w:r>
          </w:p>
        </w:tc>
        <w:tc>
          <w:tcPr>
            <w:tcW w:w="2736" w:type="dxa"/>
          </w:tcPr>
          <w:p w14:paraId="022B66B9"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Seven thematic targets; indicator work programme</w:t>
            </w:r>
          </w:p>
        </w:tc>
        <w:tc>
          <w:tcPr>
            <w:tcW w:w="2160" w:type="dxa"/>
          </w:tcPr>
          <w:p w14:paraId="56106CD2"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Targets qualitative, unfunded</w:t>
            </w:r>
          </w:p>
        </w:tc>
      </w:tr>
      <w:tr w:rsidR="006F3588" w:rsidRPr="00E23F02" w14:paraId="28EB9D0B" w14:textId="77777777" w:rsidTr="00E23F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606A481" w14:textId="77777777" w:rsidR="006F3588" w:rsidRPr="00E23F02" w:rsidRDefault="00000000" w:rsidP="00E23F02">
            <w:pPr>
              <w:spacing w:before="40"/>
              <w:jc w:val="left"/>
              <w:rPr>
                <w:rFonts w:cs="Times New Roman"/>
                <w:color w:val="auto"/>
              </w:rPr>
            </w:pPr>
            <w:r w:rsidRPr="00E23F02">
              <w:rPr>
                <w:rFonts w:cs="Times New Roman"/>
                <w:b w:val="0"/>
                <w:color w:val="auto"/>
                <w:sz w:val="21"/>
              </w:rPr>
              <w:t>COP29 (2024, Baku)</w:t>
            </w:r>
          </w:p>
        </w:tc>
        <w:tc>
          <w:tcPr>
            <w:tcW w:w="2736" w:type="dxa"/>
          </w:tcPr>
          <w:p w14:paraId="57E1DBCD"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New Collective Quantified Goal of US$300bn by 2035</w:t>
            </w:r>
          </w:p>
        </w:tc>
        <w:tc>
          <w:tcPr>
            <w:tcW w:w="2736" w:type="dxa"/>
          </w:tcPr>
          <w:p w14:paraId="0EBA39BE"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Baku Adaptation Roadmap; NCQG process</w:t>
            </w:r>
          </w:p>
        </w:tc>
        <w:tc>
          <w:tcPr>
            <w:tcW w:w="2160" w:type="dxa"/>
          </w:tcPr>
          <w:p w14:paraId="1945E194"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No dedicated adaptation sub-target</w:t>
            </w:r>
          </w:p>
        </w:tc>
      </w:tr>
    </w:tbl>
    <w:p w14:paraId="71F48443" w14:textId="77777777" w:rsidR="006F3588" w:rsidRPr="00E23F02" w:rsidRDefault="006F3588" w:rsidP="00E23F02">
      <w:pPr>
        <w:rPr>
          <w:rFonts w:cs="Times New Roman"/>
          <w:color w:val="auto"/>
        </w:rPr>
      </w:pPr>
    </w:p>
    <w:p w14:paraId="4C82F34D" w14:textId="77777777" w:rsidR="006F3588" w:rsidRPr="00E23F02" w:rsidRDefault="00000000" w:rsidP="00E23F02">
      <w:pPr>
        <w:jc w:val="left"/>
        <w:rPr>
          <w:rFonts w:cs="Times New Roman"/>
          <w:color w:val="auto"/>
          <w:sz w:val="22"/>
          <w:szCs w:val="20"/>
        </w:rPr>
      </w:pPr>
      <w:r w:rsidRPr="00E23F02">
        <w:rPr>
          <w:rFonts w:cs="Times New Roman"/>
          <w:i/>
          <w:color w:val="auto"/>
          <w:sz w:val="18"/>
          <w:szCs w:val="20"/>
        </w:rPr>
        <w:t>Table 1. The trajectory of adaptation commitments across previous COPs, viewed through political commitment, operational mechanism and persistent weakness. Synthesised from Depledge et al. (2022), Jiang et al. (2025), Nowak et al. (2024), Orlove (2022) and Newell &amp; Taylor (2020).</w:t>
      </w:r>
    </w:p>
    <w:p w14:paraId="56BCBFA4" w14:textId="77777777" w:rsidR="006F3588" w:rsidRPr="00E23F02" w:rsidRDefault="00000000" w:rsidP="00E23F02">
      <w:pPr>
        <w:pStyle w:val="Heading2"/>
      </w:pPr>
      <w:bookmarkStart w:id="8" w:name="_Toc236357362"/>
      <w:r w:rsidRPr="00E23F02">
        <w:t>4.3 The finance delivery gap and who bears it</w:t>
      </w:r>
      <w:bookmarkEnd w:id="8"/>
    </w:p>
    <w:p w14:paraId="2210DB49" w14:textId="77777777" w:rsidR="006F3588" w:rsidRPr="00E23F02" w:rsidRDefault="00000000" w:rsidP="00E23F02">
      <w:pPr>
        <w:rPr>
          <w:rFonts w:cs="Times New Roman"/>
          <w:color w:val="auto"/>
        </w:rPr>
      </w:pPr>
      <w:r w:rsidRPr="00E23F02">
        <w:rPr>
          <w:rFonts w:cs="Times New Roman"/>
          <w:color w:val="auto"/>
        </w:rPr>
        <w:t>Beneath the headline pledges lies a delivery gap that falls most heavily on the countries least able to cope, and unpacking this is essential to any honest assessment of COP performance. A large and growing share of adaptation finance is delivered as loans rather than grants, which means that highly vulnerable countries take on new debt in order to protect themselves from a crisis they did little to cause (Ciplet et al., 2022). This is particularly perverse for adaptation, because unlike a power station a sea wall generates no revenue with which to repay a loan, so debt-based adaptation finance can deepen the very vulnerability it is meant to reduce. The composition of finance, in other words, matters as much as its headline volume.</w:t>
      </w:r>
    </w:p>
    <w:p w14:paraId="7BB937CA" w14:textId="77777777" w:rsidR="006F3588" w:rsidRPr="00E23F02" w:rsidRDefault="00000000" w:rsidP="00E23F02">
      <w:pPr>
        <w:rPr>
          <w:rFonts w:cs="Times New Roman"/>
          <w:color w:val="auto"/>
        </w:rPr>
      </w:pPr>
      <w:r w:rsidRPr="00E23F02">
        <w:rPr>
          <w:rFonts w:cs="Times New Roman"/>
          <w:color w:val="auto"/>
        </w:rPr>
        <w:t xml:space="preserve">The burden is distributed unevenly across different groups of vulnerable countries, and comparing the scholarship reveals both agreement and nuance. Small island developing states face a striking paradox, because their relatively high income per head can disqualify them from the concessional funds designed for the poorest countries, even though rising seas make them among the most exposed nations on earth (Kalaidjian &amp; Robinson, 2022). African countries, meanwhile, receive the lowest adaptation finance per person of any region, partly because multilateral funds use governance risk ratings that systematically disadvantage them. Here the literature is instructively divided: Weiler et al. (2018) find, using bilateral aid data, that donors do partly prioritise the most physically exposed and poorest countries, which is a more optimistic reading than the </w:t>
      </w:r>
      <w:r w:rsidRPr="00E23F02">
        <w:rPr>
          <w:rFonts w:cs="Times New Roman"/>
          <w:color w:val="auto"/>
        </w:rPr>
        <w:lastRenderedPageBreak/>
        <w:t>structural injustice emphasised by Ciplet et al. (2022). The difference is best explained by method and scope, since Weiler and colleagues run a statistical allocation model on a specific period of bilateral flows, whereas Ciplet and colleagues adopt a broader world-systems lens that foregrounds enduring dependency, so the two teams are measuring related but distinct things.</w:t>
      </w:r>
    </w:p>
    <w:p w14:paraId="0B9E2A09" w14:textId="77777777" w:rsidR="006F3588" w:rsidRPr="00E23F02" w:rsidRDefault="00000000" w:rsidP="00E23F02">
      <w:pPr>
        <w:rPr>
          <w:rFonts w:cs="Times New Roman"/>
          <w:color w:val="auto"/>
        </w:rPr>
      </w:pPr>
      <w:r w:rsidRPr="00E23F02">
        <w:rPr>
          <w:rFonts w:cs="Times New Roman"/>
          <w:color w:val="auto"/>
        </w:rPr>
        <w:t>The design of the funds themselves compounds the problem, and again the evidence is revealing rather than uniform. The Adaptation Fund is widely praised for its direct-access model, which allows national institutions in recipient countries to receive money without going through large international intermediaries, yet it has been chronically starved of resources and operates at a marginal scale (McGinn &amp; Isenhour, 2021). The much larger Green Climate Fund, by contrast, has struggled to deliver finance at the local level, because its demanding accreditation requirements favour big international organisations over the national and community bodies closest to the problem (Omukuti et al., 2022). Taken together, these findings expose an uncomfortable pattern in which the funds best designed to reach the vulnerable are the smallest, while the largest fund is the least accessible to those same communities.</w:t>
      </w:r>
    </w:p>
    <w:p w14:paraId="4DBF533E" w14:textId="77777777" w:rsidR="006F3588" w:rsidRPr="00E23F02" w:rsidRDefault="00000000" w:rsidP="00E23F02">
      <w:pPr>
        <w:pStyle w:val="Heading2"/>
      </w:pPr>
      <w:bookmarkStart w:id="9" w:name="_Toc236357363"/>
      <w:r w:rsidRPr="00E23F02">
        <w:t>4.4 The measurement problem: the goal that cannot be counted</w:t>
      </w:r>
      <w:bookmarkEnd w:id="9"/>
    </w:p>
    <w:p w14:paraId="31BC03DB" w14:textId="77777777" w:rsidR="000804A4" w:rsidRPr="000804A4" w:rsidRDefault="000804A4" w:rsidP="000804A4">
      <w:pPr>
        <w:rPr>
          <w:rFonts w:cs="Times New Roman"/>
          <w:color w:val="auto"/>
        </w:rPr>
      </w:pPr>
      <w:r w:rsidRPr="000804A4">
        <w:rPr>
          <w:rFonts w:cs="Times New Roman"/>
          <w:color w:val="auto"/>
        </w:rPr>
        <w:t xml:space="preserve">This is arguably the deepest of all the measurement problems, even when money and mechanisms are available, the regime has had a hard time determining </w:t>
      </w:r>
      <w:proofErr w:type="gramStart"/>
      <w:r w:rsidRPr="000804A4">
        <w:rPr>
          <w:rFonts w:cs="Times New Roman"/>
          <w:color w:val="auto"/>
        </w:rPr>
        <w:t>whether or not</w:t>
      </w:r>
      <w:proofErr w:type="gramEnd"/>
      <w:r w:rsidRPr="000804A4">
        <w:rPr>
          <w:rFonts w:cs="Times New Roman"/>
          <w:color w:val="auto"/>
        </w:rPr>
        <w:t xml:space="preserve"> adaptation is </w:t>
      </w:r>
      <w:proofErr w:type="gramStart"/>
      <w:r w:rsidRPr="000804A4">
        <w:rPr>
          <w:rFonts w:cs="Times New Roman"/>
          <w:color w:val="auto"/>
        </w:rPr>
        <w:t>actually working</w:t>
      </w:r>
      <w:proofErr w:type="gramEnd"/>
      <w:r w:rsidRPr="000804A4">
        <w:rPr>
          <w:rFonts w:cs="Times New Roman"/>
          <w:color w:val="auto"/>
        </w:rPr>
        <w:t xml:space="preserve">. However, measuring the success of adaptation is not as simple as it sounds, with conceptual challenges as well as technical ones: it is not possible to observe what would have happened without an intervention; adaptation outcomes can take decades to become apparent; and what constitutes a successful adaptation in a coastal city with flooding problems is not the same as what constitutes a successful adaptation in a farming region facing drought. The features make adaptation particularly resistant to the kind of </w:t>
      </w:r>
      <w:proofErr w:type="spellStart"/>
      <w:r w:rsidRPr="000804A4">
        <w:rPr>
          <w:rFonts w:cs="Times New Roman"/>
          <w:color w:val="auto"/>
        </w:rPr>
        <w:t>standardised</w:t>
      </w:r>
      <w:proofErr w:type="spellEnd"/>
      <w:r w:rsidRPr="000804A4">
        <w:rPr>
          <w:rFonts w:cs="Times New Roman"/>
          <w:color w:val="auto"/>
        </w:rPr>
        <w:t xml:space="preserve"> comparable measures that international accountability demands. Measurement is at the core of the adaptation debate because a goal that cannot be measured cannot be easily enforced.</w:t>
      </w:r>
    </w:p>
    <w:p w14:paraId="722E3547" w14:textId="14ECA5DA" w:rsidR="006F3588" w:rsidRPr="00E23F02" w:rsidRDefault="000804A4" w:rsidP="000804A4">
      <w:pPr>
        <w:rPr>
          <w:rFonts w:cs="Times New Roman"/>
          <w:color w:val="auto"/>
        </w:rPr>
      </w:pPr>
      <w:r w:rsidRPr="000804A4">
        <w:rPr>
          <w:rFonts w:cs="Times New Roman"/>
          <w:color w:val="auto"/>
        </w:rPr>
        <w:lastRenderedPageBreak/>
        <w:t xml:space="preserve">The scholarship on what to do to fix this shows another illuminating disagreement on the role of existing data. </w:t>
      </w:r>
      <w:proofErr w:type="spellStart"/>
      <w:r w:rsidRPr="000804A4">
        <w:rPr>
          <w:rFonts w:cs="Times New Roman"/>
          <w:color w:val="auto"/>
        </w:rPr>
        <w:t>Biesbroek</w:t>
      </w:r>
      <w:proofErr w:type="spellEnd"/>
      <w:r w:rsidRPr="000804A4">
        <w:rPr>
          <w:rFonts w:cs="Times New Roman"/>
          <w:color w:val="auto"/>
        </w:rPr>
        <w:t xml:space="preserve"> et al. (2025) evaluated a wide range of datasets around the world and found that </w:t>
      </w:r>
      <w:proofErr w:type="gramStart"/>
      <w:r w:rsidRPr="000804A4">
        <w:rPr>
          <w:rFonts w:cs="Times New Roman"/>
          <w:color w:val="auto"/>
        </w:rPr>
        <w:t>the majority of</w:t>
      </w:r>
      <w:proofErr w:type="gramEnd"/>
      <w:r w:rsidRPr="000804A4">
        <w:rPr>
          <w:rFonts w:cs="Times New Roman"/>
          <w:color w:val="auto"/>
        </w:rPr>
        <w:t xml:space="preserve"> these data reflect climate impacts, not adaptation processes, and that there is currently a lack of evidence to fill a credible global indicator framework, unless significant new investments are made. However, Nowak et al. (2024) conclude more optimistically, suggesting that while national adaptation policies in Africa tend to be underdeveloped, they can serve as a feasible baseline for monitoring when they are expanded and strengthened. These jobs are not actually in opposition when their scope is considered, as </w:t>
      </w:r>
      <w:proofErr w:type="spellStart"/>
      <w:r w:rsidRPr="000804A4">
        <w:rPr>
          <w:rFonts w:cs="Times New Roman"/>
          <w:color w:val="auto"/>
        </w:rPr>
        <w:t>Biesbroek</w:t>
      </w:r>
      <w:proofErr w:type="spellEnd"/>
      <w:r w:rsidRPr="000804A4">
        <w:rPr>
          <w:rFonts w:cs="Times New Roman"/>
          <w:color w:val="auto"/>
        </w:rPr>
        <w:t xml:space="preserve"> and colleagues are analyzing global data, and Nowak and colleagues are analyzing national policy documents, they are diagnosing different levels of the same system. Both agree that measurement will not be a simple technical </w:t>
      </w:r>
      <w:proofErr w:type="gramStart"/>
      <w:r w:rsidRPr="000804A4">
        <w:rPr>
          <w:rFonts w:cs="Times New Roman"/>
          <w:color w:val="auto"/>
        </w:rPr>
        <w:t>solution, but</w:t>
      </w:r>
      <w:proofErr w:type="gramEnd"/>
      <w:r w:rsidRPr="000804A4">
        <w:rPr>
          <w:rFonts w:cs="Times New Roman"/>
          <w:color w:val="auto"/>
        </w:rPr>
        <w:t xml:space="preserve"> will need sustained investment in national capacity.</w:t>
      </w:r>
    </w:p>
    <w:p w14:paraId="71BEC97E" w14:textId="77777777" w:rsidR="006F3588" w:rsidRPr="00E23F02" w:rsidRDefault="00000000" w:rsidP="00E23F02">
      <w:pPr>
        <w:pStyle w:val="Heading1"/>
      </w:pPr>
      <w:bookmarkStart w:id="10" w:name="_Toc236357364"/>
      <w:r w:rsidRPr="00E23F02">
        <w:t>5. Task B: Prospects for Adaptation After COP30</w:t>
      </w:r>
      <w:bookmarkEnd w:id="10"/>
    </w:p>
    <w:p w14:paraId="3F44EBC6" w14:textId="0AF98FC4" w:rsidR="006F3588" w:rsidRPr="00E23F02" w:rsidRDefault="000804A4" w:rsidP="00E23F02">
      <w:pPr>
        <w:rPr>
          <w:rFonts w:cs="Times New Roman"/>
          <w:color w:val="auto"/>
        </w:rPr>
      </w:pPr>
      <w:r w:rsidRPr="000804A4">
        <w:rPr>
          <w:rFonts w:cs="Times New Roman"/>
          <w:color w:val="auto"/>
        </w:rPr>
        <w:t>COP30 in Belém was billed as the ‘implementation conference' and yielded three key headlines for adaptation: a collection of fifty-nine indicators of adaptation progress, a call to increase adaptation finance to at least US$300 billion annually by 2035 and a new Global Implementation Accelerator to help translate plans into action. The main issue to be addressed in this section is whether the outcomes are a real change or a more sophisticated version of the incremental trend identified above. It will take a different approach to answer it, which is to see each outcome in the light of the evidence, not the rosy official communiqués.</w:t>
      </w:r>
    </w:p>
    <w:p w14:paraId="5215CE4A" w14:textId="77777777" w:rsidR="006F3588" w:rsidRPr="00E23F02" w:rsidRDefault="00000000" w:rsidP="00E23F02">
      <w:pPr>
        <w:pStyle w:val="Heading2"/>
      </w:pPr>
      <w:bookmarkStart w:id="11" w:name="_Toc236357365"/>
      <w:r w:rsidRPr="00E23F02">
        <w:t>5.1 Reading the three Belém outcomes</w:t>
      </w:r>
      <w:bookmarkEnd w:id="11"/>
    </w:p>
    <w:p w14:paraId="67BE755F" w14:textId="77777777" w:rsidR="000804A4" w:rsidRPr="000804A4" w:rsidRDefault="000804A4" w:rsidP="000804A4">
      <w:pPr>
        <w:rPr>
          <w:rFonts w:cs="Times New Roman"/>
          <w:color w:val="auto"/>
        </w:rPr>
      </w:pPr>
      <w:r w:rsidRPr="000804A4">
        <w:rPr>
          <w:rFonts w:cs="Times New Roman"/>
          <w:color w:val="auto"/>
        </w:rPr>
        <w:t>The best outcome is the 59 Belém adaptation indicators, which provide a structured architecture for measuring progress towards the Global Goal on Adaptation, including on themes like water, health and ecosystems, for the first time. The previous analysis of the measurement problem, however, dampens any enthusiasm, because an indicator framework is not better than the data feeding it, and existing data sources are lacking in the data that is needed to feed this indicator framework, especially in relation to the adaptation processes the indicators want to capture (</w:t>
      </w:r>
      <w:proofErr w:type="spellStart"/>
      <w:r w:rsidRPr="000804A4">
        <w:rPr>
          <w:rFonts w:cs="Times New Roman"/>
          <w:color w:val="auto"/>
        </w:rPr>
        <w:t>Biesbroek</w:t>
      </w:r>
      <w:proofErr w:type="spellEnd"/>
      <w:r w:rsidRPr="000804A4">
        <w:rPr>
          <w:rFonts w:cs="Times New Roman"/>
          <w:color w:val="auto"/>
        </w:rPr>
        <w:t xml:space="preserve"> et al., 2025). Whether or </w:t>
      </w:r>
      <w:r w:rsidRPr="000804A4">
        <w:rPr>
          <w:rFonts w:cs="Times New Roman"/>
          <w:color w:val="auto"/>
        </w:rPr>
        <w:lastRenderedPageBreak/>
        <w:t>not rich countries provide funding for the national monitoring systems developing countries require to report against these indicators will therefore be crucial to the success of the framework (Nowak et al., 2024). The indicators are an actual improvement in the machinery of measurement, but they are not guaranteed to be valuable.</w:t>
      </w:r>
    </w:p>
    <w:p w14:paraId="4061855A" w14:textId="10A9B33A" w:rsidR="006F3588" w:rsidRPr="00E23F02" w:rsidRDefault="000804A4" w:rsidP="000804A4">
      <w:pPr>
        <w:rPr>
          <w:rFonts w:cs="Times New Roman"/>
          <w:color w:val="auto"/>
        </w:rPr>
      </w:pPr>
      <w:r w:rsidRPr="000804A4">
        <w:rPr>
          <w:rFonts w:cs="Times New Roman"/>
          <w:color w:val="auto"/>
        </w:rPr>
        <w:t xml:space="preserve">The goal of tripling adaptation finance to at least US$300 billion annually by 2035, which follows the Baku goal, is best interpreted as being economically feasible but politically vulnerable (Jiang et al., 2025). To achieve such a number would depend on sustained annual increases well </w:t>
      </w:r>
      <w:proofErr w:type="gramStart"/>
      <w:r w:rsidRPr="000804A4">
        <w:rPr>
          <w:rFonts w:cs="Times New Roman"/>
          <w:color w:val="auto"/>
        </w:rPr>
        <w:t>in excess of</w:t>
      </w:r>
      <w:proofErr w:type="gramEnd"/>
      <w:r w:rsidRPr="000804A4">
        <w:rPr>
          <w:rFonts w:cs="Times New Roman"/>
          <w:color w:val="auto"/>
        </w:rPr>
        <w:t xml:space="preserve"> the historical trend, while many donor governments are constrained by budgetary considerations, and the private sector has continued to avoid investing in adaptation, as this typically doesn't provide a commercial return (Pauw et al., 2022). This tension is directly captured in Figure </w:t>
      </w:r>
      <w:proofErr w:type="gramStart"/>
      <w:r w:rsidRPr="000804A4">
        <w:rPr>
          <w:rFonts w:cs="Times New Roman"/>
          <w:color w:val="auto"/>
        </w:rPr>
        <w:t>2, and</w:t>
      </w:r>
      <w:proofErr w:type="gramEnd"/>
      <w:r w:rsidRPr="000804A4">
        <w:rPr>
          <w:rFonts w:cs="Times New Roman"/>
          <w:color w:val="auto"/>
        </w:rPr>
        <w:t xml:space="preserve"> is the analytical core of the prospects debate.</w:t>
      </w:r>
    </w:p>
    <w:p w14:paraId="78459E9D" w14:textId="77777777" w:rsidR="006F3588" w:rsidRPr="00E23F02" w:rsidRDefault="00000000" w:rsidP="00E23F02">
      <w:pPr>
        <w:jc w:val="center"/>
        <w:rPr>
          <w:rFonts w:cs="Times New Roman"/>
          <w:color w:val="auto"/>
        </w:rPr>
      </w:pPr>
      <w:r w:rsidRPr="00E23F02">
        <w:rPr>
          <w:rFonts w:cs="Times New Roman"/>
          <w:noProof/>
          <w:color w:val="auto"/>
        </w:rPr>
        <w:drawing>
          <wp:inline distT="0" distB="0" distL="0" distR="0" wp14:anchorId="2746FB98" wp14:editId="7756CBCF">
            <wp:extent cx="4903126" cy="2780162"/>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tripling.png"/>
                    <pic:cNvPicPr/>
                  </pic:nvPicPr>
                  <pic:blipFill>
                    <a:blip r:embed="rId11"/>
                    <a:stretch>
                      <a:fillRect/>
                    </a:stretch>
                  </pic:blipFill>
                  <pic:spPr>
                    <a:xfrm>
                      <a:off x="0" y="0"/>
                      <a:ext cx="4912029" cy="2785210"/>
                    </a:xfrm>
                    <a:prstGeom prst="rect">
                      <a:avLst/>
                    </a:prstGeom>
                  </pic:spPr>
                </pic:pic>
              </a:graphicData>
            </a:graphic>
          </wp:inline>
        </w:drawing>
      </w:r>
    </w:p>
    <w:p w14:paraId="21E2F3D5" w14:textId="77777777" w:rsidR="006F3588" w:rsidRPr="00E23F02" w:rsidRDefault="00000000" w:rsidP="00E23F02">
      <w:pPr>
        <w:jc w:val="left"/>
        <w:rPr>
          <w:rFonts w:cs="Times New Roman"/>
          <w:color w:val="auto"/>
        </w:rPr>
      </w:pPr>
      <w:r w:rsidRPr="00E23F02">
        <w:rPr>
          <w:rFonts w:cs="Times New Roman"/>
          <w:i/>
          <w:color w:val="auto"/>
          <w:sz w:val="18"/>
          <w:szCs w:val="20"/>
        </w:rPr>
        <w:t>Figure 2. The gap between the continuation of the historical adaptation-finance growth trend and the US$300 billion target for 2035. Historical flows as reported in Pauw et al. (2022); 2035 target as agreed under the NCQG (Jiang et al., 2025).</w:t>
      </w:r>
    </w:p>
    <w:p w14:paraId="54543AFC" w14:textId="77777777" w:rsidR="000804A4" w:rsidRPr="000804A4" w:rsidRDefault="000804A4" w:rsidP="000804A4">
      <w:pPr>
        <w:rPr>
          <w:rFonts w:cs="Times New Roman"/>
          <w:color w:val="auto"/>
        </w:rPr>
      </w:pPr>
      <w:r w:rsidRPr="000804A4">
        <w:rPr>
          <w:rFonts w:cs="Times New Roman"/>
          <w:color w:val="auto"/>
        </w:rPr>
        <w:t xml:space="preserve">It's clear from Figure 2 why there is so much </w:t>
      </w:r>
      <w:proofErr w:type="spellStart"/>
      <w:r w:rsidRPr="000804A4">
        <w:rPr>
          <w:rFonts w:cs="Times New Roman"/>
          <w:color w:val="auto"/>
        </w:rPr>
        <w:t>scepticism</w:t>
      </w:r>
      <w:proofErr w:type="spellEnd"/>
      <w:r w:rsidRPr="000804A4">
        <w:rPr>
          <w:rFonts w:cs="Times New Roman"/>
          <w:color w:val="auto"/>
        </w:rPr>
        <w:t xml:space="preserve"> from analysts. Adaptation finance increased by only a small amount, from approximately US$10 billion in 2015 to approximately US$28 billion in 2022, and if the historical growth rate continues, total adaptation finance will only reach about US$60 billion by 2035, which is well below the </w:t>
      </w:r>
      <w:proofErr w:type="gramStart"/>
      <w:r w:rsidRPr="000804A4">
        <w:rPr>
          <w:rFonts w:cs="Times New Roman"/>
          <w:color w:val="auto"/>
        </w:rPr>
        <w:lastRenderedPageBreak/>
        <w:t>orange-marked</w:t>
      </w:r>
      <w:proofErr w:type="gramEnd"/>
      <w:r w:rsidRPr="000804A4">
        <w:rPr>
          <w:rFonts w:cs="Times New Roman"/>
          <w:color w:val="auto"/>
        </w:rPr>
        <w:t xml:space="preserve"> US$300 billion target (Pauw et al., 2022; Jiang et al., 2025). The credibility problem is exactly the reason why the dashed trend line is so far away from the target, which would require a sudden and sustained acceleration, for which there is little political precedent. This figure thus represents the gap between a lofty claim and a plausible pledge.</w:t>
      </w:r>
    </w:p>
    <w:p w14:paraId="13E12105" w14:textId="3E67C484" w:rsidR="006F3588" w:rsidRPr="00E23F02" w:rsidRDefault="000804A4" w:rsidP="000804A4">
      <w:pPr>
        <w:rPr>
          <w:rFonts w:cs="Times New Roman"/>
          <w:color w:val="auto"/>
        </w:rPr>
      </w:pPr>
      <w:r w:rsidRPr="000804A4">
        <w:rPr>
          <w:rFonts w:cs="Times New Roman"/>
          <w:color w:val="auto"/>
        </w:rPr>
        <w:t xml:space="preserve">The third, the Global Implementation Accelerator, is meant to fill a longstanding gap between planning for adaptation and delivering it, and it has some </w:t>
      </w:r>
      <w:proofErr w:type="spellStart"/>
      <w:r w:rsidRPr="000804A4">
        <w:rPr>
          <w:rFonts w:cs="Times New Roman"/>
          <w:color w:val="auto"/>
        </w:rPr>
        <w:t>scepticism</w:t>
      </w:r>
      <w:proofErr w:type="spellEnd"/>
      <w:r w:rsidRPr="000804A4">
        <w:rPr>
          <w:rFonts w:cs="Times New Roman"/>
          <w:color w:val="auto"/>
        </w:rPr>
        <w:t>-inducing features in its design. Previous coordination experiences have shown that mechanisms that are based on voluntary contributions and have no binding power are likely to fail to function effectively as they can convene and advise but cannot direct resources or force action (</w:t>
      </w:r>
      <w:proofErr w:type="spellStart"/>
      <w:r w:rsidRPr="000804A4">
        <w:rPr>
          <w:rFonts w:cs="Times New Roman"/>
          <w:color w:val="auto"/>
        </w:rPr>
        <w:t>Nasiritousi</w:t>
      </w:r>
      <w:proofErr w:type="spellEnd"/>
      <w:r w:rsidRPr="000804A4">
        <w:rPr>
          <w:rFonts w:cs="Times New Roman"/>
          <w:color w:val="auto"/>
        </w:rPr>
        <w:t xml:space="preserve"> et al., 2024). Importantly, the Caribbean experience demonstrates that finance is not the answer to implementation, as it is tied to constraints in governance, information, and human capacity, and thus an accelerator without funding and enforcement may have the same shortcomings as previous ones (</w:t>
      </w:r>
      <w:proofErr w:type="spellStart"/>
      <w:r w:rsidRPr="000804A4">
        <w:rPr>
          <w:rFonts w:cs="Times New Roman"/>
          <w:color w:val="auto"/>
        </w:rPr>
        <w:t>Theokritoff</w:t>
      </w:r>
      <w:proofErr w:type="spellEnd"/>
      <w:r w:rsidRPr="000804A4">
        <w:rPr>
          <w:rFonts w:cs="Times New Roman"/>
          <w:color w:val="auto"/>
        </w:rPr>
        <w:t xml:space="preserve"> et al., 2023). The Accelerator solves a practical </w:t>
      </w:r>
      <w:proofErr w:type="gramStart"/>
      <w:r w:rsidRPr="000804A4">
        <w:rPr>
          <w:rFonts w:cs="Times New Roman"/>
          <w:color w:val="auto"/>
        </w:rPr>
        <w:t>problem, but</w:t>
      </w:r>
      <w:proofErr w:type="gramEnd"/>
      <w:r w:rsidRPr="000804A4">
        <w:rPr>
          <w:rFonts w:cs="Times New Roman"/>
          <w:color w:val="auto"/>
        </w:rPr>
        <w:t xml:space="preserve"> seems to have powers that it does not have.</w:t>
      </w:r>
    </w:p>
    <w:p w14:paraId="3EBC8187" w14:textId="77777777" w:rsidR="006F3588" w:rsidRPr="00E23F02" w:rsidRDefault="00000000" w:rsidP="00E23F02">
      <w:pPr>
        <w:pStyle w:val="Heading2"/>
      </w:pPr>
      <w:bookmarkStart w:id="12" w:name="_Toc236357366"/>
      <w:r w:rsidRPr="00E23F02">
        <w:t>5.2 Turning point or incrementalism? A critical assessment</w:t>
      </w:r>
      <w:bookmarkEnd w:id="12"/>
    </w:p>
    <w:p w14:paraId="60C1E12C" w14:textId="11A5B5C4" w:rsidR="006F3588" w:rsidRPr="00E23F02" w:rsidRDefault="000804A4" w:rsidP="00E23F02">
      <w:pPr>
        <w:rPr>
          <w:rFonts w:cs="Times New Roman"/>
          <w:color w:val="auto"/>
        </w:rPr>
      </w:pPr>
      <w:r w:rsidRPr="000804A4">
        <w:rPr>
          <w:rFonts w:cs="Times New Roman"/>
          <w:color w:val="auto"/>
        </w:rPr>
        <w:t xml:space="preserve">In weighing these outcomes against each other, the evidence points more towards an improvement in the tools of adaptation governance, than a shift in the politics of adaptation governance, as COP30. On the demand side the indicator framework is genuinely strengthening the regime's ability to track progress, while the finance target represents a long-term political commitment. On the strength side, none of the three outcomes addresses the structural drivers of the three decades of incrementalism: first, that finance is voluntary; second, that loans are dominant over grants; and third, that decision-making power is concentrated in donor-controlled institutions, as described by </w:t>
      </w:r>
      <w:proofErr w:type="spellStart"/>
      <w:r w:rsidRPr="000804A4">
        <w:rPr>
          <w:rFonts w:cs="Times New Roman"/>
          <w:color w:val="auto"/>
        </w:rPr>
        <w:t>Ciplet</w:t>
      </w:r>
      <w:proofErr w:type="spellEnd"/>
      <w:r w:rsidRPr="000804A4">
        <w:rPr>
          <w:rFonts w:cs="Times New Roman"/>
          <w:color w:val="auto"/>
        </w:rPr>
        <w:t xml:space="preserve"> et al. (2022). The Belém package, in brief, alters what the regime can see and promises, but not who has the power or how the money flows.</w:t>
      </w:r>
    </w:p>
    <w:p w14:paraId="08E8399E" w14:textId="77777777" w:rsidR="006F3588" w:rsidRPr="00E23F02" w:rsidRDefault="00000000" w:rsidP="00E23F02">
      <w:pPr>
        <w:rPr>
          <w:rFonts w:cs="Times New Roman"/>
          <w:color w:val="auto"/>
        </w:rPr>
      </w:pPr>
      <w:r w:rsidRPr="00E23F02">
        <w:rPr>
          <w:rFonts w:cs="Times New Roman"/>
          <w:color w:val="auto"/>
        </w:rPr>
        <w:t xml:space="preserve">A PESTEL reading, set out in full in Appendix A, reinforces this cautious judgement by highlighting how many of the binding constraints lie outside the technical domain. The </w:t>
      </w:r>
      <w:r w:rsidRPr="00E23F02">
        <w:rPr>
          <w:rFonts w:cs="Times New Roman"/>
          <w:color w:val="auto"/>
        </w:rPr>
        <w:lastRenderedPageBreak/>
        <w:t>political factor is especially significant, because the credibility of any long-term finance pledge depends on the continuity of donor governments, and the willingness of major economies to withdraw from or dilute climate commitments when domestic politics shift undermines every target (Newell &amp; Taylor, 2020; Nasiritousi et al., 2024). The corresponding SWOT analysis in Appendix B summarises the same picture, presenting the indicators as the clearest strength, the absence of binding accountability as the defining weakness, and donor political discontinuity as the central threat. Read together, these tools suggest that Belém is best characterised as incrementalism with better instruments rather than a decisive break from the past.</w:t>
      </w:r>
    </w:p>
    <w:p w14:paraId="4FF713B3" w14:textId="77777777" w:rsidR="006F3588" w:rsidRPr="00E23F02" w:rsidRDefault="00000000" w:rsidP="00E23F02">
      <w:pPr>
        <w:pStyle w:val="Heading1"/>
      </w:pPr>
      <w:bookmarkStart w:id="13" w:name="_Toc236357367"/>
      <w:r w:rsidRPr="00E23F02">
        <w:t>6. Discussion: Where the Literature Agrees and Disagrees</w:t>
      </w:r>
      <w:bookmarkEnd w:id="13"/>
    </w:p>
    <w:p w14:paraId="3E211AEC" w14:textId="3F994BDB" w:rsidR="006F3588" w:rsidRPr="00E23F02" w:rsidRDefault="004A4CDC" w:rsidP="004A4CDC">
      <w:pPr>
        <w:rPr>
          <w:rFonts w:cs="Times New Roman"/>
          <w:color w:val="auto"/>
        </w:rPr>
      </w:pPr>
      <w:r w:rsidRPr="004A4CDC">
        <w:rPr>
          <w:rFonts w:cs="Times New Roman"/>
          <w:color w:val="auto"/>
        </w:rPr>
        <w:t>The consensus is that political commitment has always been ahead of operational delivery, which has in turn been ahead of measurable results, leaving the poorest countries to bear the brunt of the burden (</w:t>
      </w:r>
      <w:proofErr w:type="spellStart"/>
      <w:r w:rsidRPr="004A4CDC">
        <w:rPr>
          <w:rFonts w:cs="Times New Roman"/>
          <w:color w:val="auto"/>
        </w:rPr>
        <w:t>Weikmans</w:t>
      </w:r>
      <w:proofErr w:type="spellEnd"/>
      <w:r w:rsidRPr="004A4CDC">
        <w:rPr>
          <w:rFonts w:cs="Times New Roman"/>
          <w:color w:val="auto"/>
        </w:rPr>
        <w:t xml:space="preserve"> &amp; Roberts, 2019; </w:t>
      </w:r>
      <w:proofErr w:type="spellStart"/>
      <w:r w:rsidRPr="004A4CDC">
        <w:rPr>
          <w:rFonts w:cs="Times New Roman"/>
          <w:color w:val="auto"/>
        </w:rPr>
        <w:t>Ciplet</w:t>
      </w:r>
      <w:proofErr w:type="spellEnd"/>
      <w:r w:rsidRPr="004A4CDC">
        <w:rPr>
          <w:rFonts w:cs="Times New Roman"/>
          <w:color w:val="auto"/>
        </w:rPr>
        <w:t xml:space="preserve"> et al., 2022). The convergence is interesting because it extends across authors who write in the field of political economy, adaptation science and adaptation finance, indicating that the convergence is not an artifact of a particular disciplinary perspective.</w:t>
      </w:r>
      <w:r>
        <w:rPr>
          <w:rFonts w:cs="Times New Roman"/>
          <w:color w:val="auto"/>
        </w:rPr>
        <w:t xml:space="preserve"> </w:t>
      </w:r>
      <w:r w:rsidRPr="004A4CDC">
        <w:rPr>
          <w:rFonts w:cs="Times New Roman"/>
          <w:color w:val="auto"/>
        </w:rPr>
        <w:t xml:space="preserve">Where differences of opinion do occur, they are usually ones of emphasis, not of principle, and any explanation of such differences is an expression of critical engagement. In the case of Weiler et al. (2018), who suggest that donors do reward vulnerability to a certain extent when deciding how to allocate adaptation assistance, the contrast with </w:t>
      </w:r>
      <w:proofErr w:type="spellStart"/>
      <w:r w:rsidRPr="004A4CDC">
        <w:rPr>
          <w:rFonts w:cs="Times New Roman"/>
          <w:color w:val="auto"/>
        </w:rPr>
        <w:t>Ciplet</w:t>
      </w:r>
      <w:proofErr w:type="spellEnd"/>
      <w:r w:rsidRPr="004A4CDC">
        <w:rPr>
          <w:rFonts w:cs="Times New Roman"/>
          <w:color w:val="auto"/>
        </w:rPr>
        <w:t xml:space="preserve"> et al. (2022) who focus on structural injustice and dependency is illustrative, and stems from the fact that the former test a particular statistical model of bilateral flows, whereas the latter apply a more critical lens. Likewise, the more data-cautious approach of </w:t>
      </w:r>
      <w:proofErr w:type="spellStart"/>
      <w:r w:rsidRPr="004A4CDC">
        <w:rPr>
          <w:rFonts w:cs="Times New Roman"/>
          <w:color w:val="auto"/>
        </w:rPr>
        <w:t>Biesbroek</w:t>
      </w:r>
      <w:proofErr w:type="spellEnd"/>
      <w:r w:rsidRPr="004A4CDC">
        <w:rPr>
          <w:rFonts w:cs="Times New Roman"/>
          <w:color w:val="auto"/>
        </w:rPr>
        <w:t xml:space="preserve"> et al. (2025) and the more policy-optimistic approach of Nowak et al. (2024) have different areas of focus: global datasets versus national policy documents. It is important to understand that these roles are not mutually exclusive, but rather complementary, and that the only way to get a more comprehensive view is to listen to both authors without being critical.</w:t>
      </w:r>
    </w:p>
    <w:p w14:paraId="17129319" w14:textId="77777777" w:rsidR="006F3588" w:rsidRPr="00E23F02" w:rsidRDefault="00000000" w:rsidP="00E23F02">
      <w:pPr>
        <w:pStyle w:val="Heading1"/>
      </w:pPr>
      <w:bookmarkStart w:id="14" w:name="_Toc236357368"/>
      <w:r w:rsidRPr="00E23F02">
        <w:lastRenderedPageBreak/>
        <w:t>7. Conclusion and Recommendations</w:t>
      </w:r>
      <w:bookmarkEnd w:id="14"/>
    </w:p>
    <w:p w14:paraId="3EA1E4DF" w14:textId="77777777" w:rsidR="006F3588" w:rsidRPr="00E23F02" w:rsidRDefault="00000000" w:rsidP="00E23F02">
      <w:pPr>
        <w:rPr>
          <w:rFonts w:cs="Times New Roman"/>
          <w:color w:val="auto"/>
        </w:rPr>
      </w:pPr>
      <w:r w:rsidRPr="00E23F02">
        <w:rPr>
          <w:rFonts w:cs="Times New Roman"/>
          <w:color w:val="auto"/>
        </w:rPr>
        <w:t>On the first task, the evidence indicates that previous COP meetings built an increasingly elaborate architecture for adaptation without ever closing the gap between ambition and delivery. From the aspirational Global Goal on Adaptation at Paris, through the Glasgow work programme and finance pledge, to the UAE Framework and the Baku finance goal, each conference added specificity while deferring the hardest questions of adequate, accessible and grant-based finance (Depledge et al., 2022; Jiang et al., 2025). The overall verdict is one of steady procedural progress accompanied by a persistent and widening delivery gap.</w:t>
      </w:r>
    </w:p>
    <w:p w14:paraId="63D62117" w14:textId="77777777" w:rsidR="006F3588" w:rsidRPr="00E23F02" w:rsidRDefault="00000000" w:rsidP="00E23F02">
      <w:pPr>
        <w:rPr>
          <w:rFonts w:cs="Times New Roman"/>
          <w:color w:val="auto"/>
        </w:rPr>
      </w:pPr>
      <w:r w:rsidRPr="00E23F02">
        <w:rPr>
          <w:rFonts w:cs="Times New Roman"/>
          <w:color w:val="auto"/>
        </w:rPr>
        <w:t>On the second task, COP30 is best judged as a meaningful improvement in the instruments of adaptation governance rather than a genuine turning point, because its indicators, finance target and Accelerator sharpen the regime's tools without altering the political economy that has produced decades of incrementalism (Ciplet et al., 2022; Nasiritousi et al., 2024). Three evidence-based recommendations follow directly from this analysis. First, a dedicated adaptation finance sub-goal with a binding grants ratio would prevent adaptation from being crowded out by mitigation and would ease the debt burden on vulnerable states (Kalaidjian &amp; Robinson, 2022). Second, wealthy countries should directly fund the national monitoring systems that the new indicators require, since without that investment the framework cannot function (Biesbroek et al., 2025; Nowak et al., 2024). Third, the regime should adopt a common definition of adaptation finance and stronger accountability, so that reported figures become trustworthy and pledges become enforceable (Weikmans &amp; Roberts, 2019). Whether COP30 ultimately marks a turning point will depend less on the elegance of its instruments than on the political will to use them.</w:t>
      </w:r>
    </w:p>
    <w:p w14:paraId="28C066A5" w14:textId="77777777" w:rsidR="006F3588" w:rsidRPr="00E23F02" w:rsidRDefault="00000000" w:rsidP="00E23F02">
      <w:pPr>
        <w:rPr>
          <w:rFonts w:cs="Times New Roman"/>
          <w:color w:val="auto"/>
        </w:rPr>
      </w:pPr>
      <w:r w:rsidRPr="00E23F02">
        <w:rPr>
          <w:rFonts w:cs="Times New Roman"/>
          <w:color w:val="auto"/>
        </w:rPr>
        <w:br w:type="page"/>
      </w:r>
    </w:p>
    <w:p w14:paraId="782E8202" w14:textId="77777777" w:rsidR="006F3588" w:rsidRPr="00E23F02" w:rsidRDefault="00000000" w:rsidP="00E23F02">
      <w:pPr>
        <w:pStyle w:val="Heading1"/>
      </w:pPr>
      <w:bookmarkStart w:id="15" w:name="_Toc236357369"/>
      <w:r w:rsidRPr="00E23F02">
        <w:lastRenderedPageBreak/>
        <w:t>References</w:t>
      </w:r>
      <w:bookmarkEnd w:id="15"/>
    </w:p>
    <w:p w14:paraId="2B3E7E2A" w14:textId="77777777" w:rsidR="006F3588" w:rsidRPr="00E23F02" w:rsidRDefault="00000000" w:rsidP="00E23F02">
      <w:pPr>
        <w:ind w:left="720" w:hanging="720"/>
        <w:rPr>
          <w:rFonts w:cs="Times New Roman"/>
          <w:color w:val="auto"/>
          <w:sz w:val="28"/>
          <w:szCs w:val="24"/>
        </w:rPr>
      </w:pPr>
      <w:proofErr w:type="spellStart"/>
      <w:r w:rsidRPr="00E23F02">
        <w:rPr>
          <w:rFonts w:cs="Times New Roman"/>
          <w:color w:val="auto"/>
          <w:szCs w:val="24"/>
        </w:rPr>
        <w:t>Biesbroek</w:t>
      </w:r>
      <w:proofErr w:type="spellEnd"/>
      <w:r w:rsidRPr="00E23F02">
        <w:rPr>
          <w:rFonts w:cs="Times New Roman"/>
          <w:color w:val="auto"/>
          <w:szCs w:val="24"/>
        </w:rPr>
        <w:t>, R., Mirbach, C., Sietsma, A. and Garschagen, M. (2025) ‘Assessment of existing datasets for tracking progress towards the Global Goal on Adaptation (and beyond)’, Climate Policy. Available at: https://doi.org/10.1080/14693062.2025.2517644</w:t>
      </w:r>
    </w:p>
    <w:p w14:paraId="177AD96B"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Ciplet, D., Falzon, D., Uri, I., Robinson, S.-A., Weikmans, R. and Roberts, J.T. (2022) ‘The unequal geographies of climate finance: climate injustice and dependency in the world system’, Political Geography, 99, 102769. Available at: https://doi.org/10.1016/j.polgeo.2022.102769</w:t>
      </w:r>
    </w:p>
    <w:p w14:paraId="5EF38E46"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Depledge, J., Saldivia, M. and Peñasco, C. (2022) ‘Glass half full or glass half empty?: the 2021 Glasgow Climate Conference’, Climate Policy, 22(2), pp. 147–157. Available at: https://doi.org/10.1080/14693062.2022.2038482</w:t>
      </w:r>
    </w:p>
    <w:p w14:paraId="40A5FA4E"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Dilling, L., Prakash, A., Zommers, Z., Ahmad, F., Singh, N., de Wit, S., Nalau, J., Daly, M. and Bowman, K. (2019) ‘Is adaptation success a flawed concept?’, Nature Climate Change, 9, pp. 572–574. Available at: https://doi.org/10.1038/s41558-019-0539-0</w:t>
      </w:r>
    </w:p>
    <w:p w14:paraId="3A806B3C"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Jiang, T., Su, B., Kundzewicz, Z.W. and Zhao, W. (2025) ‘New global climate actions: insight from COP29’, National Science Review, 12(3), nwae475. Available at: https://doi.org/10.1093/nsr/nwae475</w:t>
      </w:r>
    </w:p>
    <w:p w14:paraId="6B9EC206"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Kalaidjian, E. and Robinson, S.-A. (2022) ‘Reviewing the nature and pitfalls of multilateral adaptation finance for small island developing states’, Climate Risk Management, 36, 100432. Available at: https://doi.org/10.1016/j.crm.2022.100432</w:t>
      </w:r>
    </w:p>
    <w:p w14:paraId="4486493B"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Malik, I.H. and Ford, J.D. (2024) ‘Addressing the climate change adaptation gap: key themes and future directions’, Climate, 12(2), 24. Available at: https://doi.org/10.3390/cli12020024</w:t>
      </w:r>
    </w:p>
    <w:p w14:paraId="6EB42962"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 xml:space="preserve">McGinn, A. and Isenhour, C. (2021) ‘Negotiating the future of the Adaptation Fund: on the politics of defining and defending justice in the post-Paris Agreement period’, </w:t>
      </w:r>
      <w:r w:rsidRPr="00E23F02">
        <w:rPr>
          <w:rFonts w:cs="Times New Roman"/>
          <w:color w:val="auto"/>
          <w:szCs w:val="24"/>
        </w:rPr>
        <w:lastRenderedPageBreak/>
        <w:t>Climate Policy, 21(3), pp. 383–395. Available at: https://doi.org/10.1080/14693062.2021.1871875</w:t>
      </w:r>
    </w:p>
    <w:p w14:paraId="10A48359"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Nasiritousi, N., Buylova, A., Fridahl, M. and Reischl, G. (2024) ‘Making the UNFCCC fit for purpose: a research agenda on vested interests and green spiralling’, Global Policy, 15(2), pp. 487–494. Available at: https://doi.org/10.1111/1758-5899.13356</w:t>
      </w:r>
    </w:p>
    <w:p w14:paraId="124FB2CB"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Newell, P. and Taylor, O. (2020) ‘Fiddling while the planet burns? COP25 in perspective’, Globalizations, 17(4), pp. 580–592. Available at: https://doi.org/10.1080/14747731.2020.1726127</w:t>
      </w:r>
    </w:p>
    <w:p w14:paraId="168AD7D6"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Nowak, A.C., Njuguna, L., Ramirez-Villegas, J., Reidsma, P., Crumpler, K. and Rosenstock, T.S. (2024) ‘Enhanced policy adequacy facilitates national climate adaptation tracking across Africa’, Nature Climate Change, 14(8), pp. 787–788. Available at: https://doi.org/10.1038/s41558-024-02055-6</w:t>
      </w:r>
    </w:p>
    <w:p w14:paraId="6786E829"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Omukuti, J., Barrett, S., White, P.C.L., Marchant, R. and Averchenkova, A. (2022) ‘The green climate fund and its shortcomings in local delivery of adaptation finance’, Climate Policy, 22(9–10), pp. 1225–1240. Available at: https://doi.org/10.1080/14693062.2022.2093152</w:t>
      </w:r>
    </w:p>
    <w:p w14:paraId="3D85484F"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Orlove, B. (2022) ‘The concept of adaptation’, Annual Review of Environment and Resources, 47, pp. 535–581. Available at: https://doi.org/10.1146/annurev-environ-112320-095719</w:t>
      </w:r>
    </w:p>
    <w:p w14:paraId="3D33C941"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Pauw, W.P., Moslener, U., Zamarioli, L.H., Amerasinghe, N., Atela, J., Affana, J.P.B., Buchner, B., Klein, R.J.T., Mbeva, K.L., Puri, J., Roberts, J.T., Shawoo, Z., Watson, C. and Weikmans, R. (2022) ‘Post-2025 climate finance target: how much more and how much better?’, Climate Policy, 22(9–10), pp. 1241–1251. Available at: https://doi.org/10.1080/14693062.2022.2114985</w:t>
      </w:r>
    </w:p>
    <w:p w14:paraId="06BC9231"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 xml:space="preserve">Singh, C., Iyer, S., New, M.G., Few, R., Kuchimanchi, B., Segnon, A.C. and Morchain, D. (2022) ‘Interrogating “effectiveness” in climate change adaptation: 11 guiding </w:t>
      </w:r>
      <w:r w:rsidRPr="00E23F02">
        <w:rPr>
          <w:rFonts w:cs="Times New Roman"/>
          <w:color w:val="auto"/>
          <w:szCs w:val="24"/>
        </w:rPr>
        <w:lastRenderedPageBreak/>
        <w:t>principles for adaptation research and practice’, Climate and Development, 14(7), pp. 650–664. Available at: https://doi.org/10.1080/17565529.2021.1964937</w:t>
      </w:r>
    </w:p>
    <w:p w14:paraId="0B411189"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Theokritoff, E., Thomas, A., Lissner, T. and Schleussner, C.-F. (2023) ‘Interacting adaptation constraints in the Caribbean highlight the importance of sustained adaptation finance’, Climate Risk Management, 39, 100483. Available at: https://doi.org/10.1016/j.crm.2023.100483</w:t>
      </w:r>
    </w:p>
    <w:p w14:paraId="5A4A5CEE"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Weikmans, R. and Roberts, J.T. (2019) ‘The international climate finance accounting muddle: is there hope on the horizon?’, Climate and Development, 11(2), pp. 97–111. Available at: https://doi.org/10.1080/17565529.2017.1410087</w:t>
      </w:r>
    </w:p>
    <w:p w14:paraId="71DBFE16" w14:textId="77777777" w:rsidR="006F3588" w:rsidRPr="00E23F02" w:rsidRDefault="00000000" w:rsidP="00E23F02">
      <w:pPr>
        <w:ind w:left="720" w:hanging="720"/>
        <w:rPr>
          <w:rFonts w:cs="Times New Roman"/>
          <w:color w:val="auto"/>
          <w:sz w:val="28"/>
          <w:szCs w:val="24"/>
        </w:rPr>
      </w:pPr>
      <w:r w:rsidRPr="00E23F02">
        <w:rPr>
          <w:rFonts w:cs="Times New Roman"/>
          <w:color w:val="auto"/>
          <w:szCs w:val="24"/>
        </w:rPr>
        <w:t>Weiler, F., Klöck, C. and Dornan, M. (2018) ‘Vulnerability, good governance, or donor interests? The allocation of aid for climate change adaptation’, World Development, 104, pp. 65–77. Available at: https://doi.org/10.1016/j.worlddev.2017.11.001</w:t>
      </w:r>
    </w:p>
    <w:p w14:paraId="1FAF73DA" w14:textId="77777777" w:rsidR="006F3588" w:rsidRPr="00E23F02" w:rsidRDefault="00000000" w:rsidP="00E23F02">
      <w:pPr>
        <w:rPr>
          <w:rFonts w:cs="Times New Roman"/>
          <w:color w:val="auto"/>
          <w:sz w:val="28"/>
          <w:szCs w:val="24"/>
        </w:rPr>
      </w:pPr>
      <w:r w:rsidRPr="00E23F02">
        <w:rPr>
          <w:rFonts w:cs="Times New Roman"/>
          <w:color w:val="auto"/>
          <w:sz w:val="28"/>
          <w:szCs w:val="24"/>
        </w:rPr>
        <w:br w:type="page"/>
      </w:r>
    </w:p>
    <w:p w14:paraId="28FC2E5D" w14:textId="77777777" w:rsidR="006F3588" w:rsidRPr="00E23F02" w:rsidRDefault="00000000" w:rsidP="00E23F02">
      <w:pPr>
        <w:pStyle w:val="Heading1"/>
      </w:pPr>
      <w:bookmarkStart w:id="16" w:name="_Toc236357370"/>
      <w:r w:rsidRPr="00E23F02">
        <w:lastRenderedPageBreak/>
        <w:t>Appendix A: PESTEL Analysis of the Adaptation Regime After COP30</w:t>
      </w:r>
      <w:bookmarkEnd w:id="16"/>
    </w:p>
    <w:tbl>
      <w:tblPr>
        <w:tblStyle w:val="ListTable4-Accent6"/>
        <w:tblW w:w="0" w:type="auto"/>
        <w:tblLook w:val="04A0" w:firstRow="1" w:lastRow="0" w:firstColumn="1" w:lastColumn="0" w:noHBand="0" w:noVBand="1"/>
      </w:tblPr>
      <w:tblGrid>
        <w:gridCol w:w="1572"/>
        <w:gridCol w:w="7284"/>
      </w:tblGrid>
      <w:tr w:rsidR="006F3588" w:rsidRPr="00E23F02" w14:paraId="3BE0AF8E" w14:textId="77777777" w:rsidTr="00E23F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4" w:type="dxa"/>
          </w:tcPr>
          <w:p w14:paraId="6D8B7A27" w14:textId="77777777" w:rsidR="006F3588" w:rsidRPr="00E23F02" w:rsidRDefault="00000000" w:rsidP="00E23F02">
            <w:pPr>
              <w:spacing w:before="40"/>
              <w:jc w:val="left"/>
              <w:rPr>
                <w:rFonts w:cs="Times New Roman"/>
                <w:color w:val="FFFFFF" w:themeColor="background1"/>
                <w:szCs w:val="28"/>
              </w:rPr>
            </w:pPr>
            <w:r w:rsidRPr="00E23F02">
              <w:rPr>
                <w:rFonts w:cs="Times New Roman"/>
                <w:color w:val="FFFFFF" w:themeColor="background1"/>
                <w:szCs w:val="28"/>
              </w:rPr>
              <w:t>Factor</w:t>
            </w:r>
          </w:p>
        </w:tc>
        <w:tc>
          <w:tcPr>
            <w:tcW w:w="7920" w:type="dxa"/>
          </w:tcPr>
          <w:p w14:paraId="1ADA183D" w14:textId="77777777" w:rsidR="006F3588" w:rsidRPr="00E23F02" w:rsidRDefault="00000000" w:rsidP="00E23F02">
            <w:pPr>
              <w:spacing w:before="40"/>
              <w:jc w:val="left"/>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8"/>
              </w:rPr>
            </w:pPr>
            <w:r w:rsidRPr="00E23F02">
              <w:rPr>
                <w:rFonts w:cs="Times New Roman"/>
                <w:color w:val="FFFFFF" w:themeColor="background1"/>
                <w:szCs w:val="28"/>
              </w:rPr>
              <w:t>Assessment of the post-COP30 adaptation regime</w:t>
            </w:r>
          </w:p>
        </w:tc>
      </w:tr>
      <w:tr w:rsidR="006F3588" w:rsidRPr="00E23F02" w14:paraId="761DD829" w14:textId="77777777" w:rsidTr="00E23F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4" w:type="dxa"/>
          </w:tcPr>
          <w:p w14:paraId="35BBBACB" w14:textId="77777777" w:rsidR="006F3588" w:rsidRPr="00E23F02" w:rsidRDefault="00000000" w:rsidP="00E23F02">
            <w:pPr>
              <w:spacing w:before="40"/>
              <w:jc w:val="left"/>
              <w:rPr>
                <w:rFonts w:cs="Times New Roman"/>
                <w:color w:val="auto"/>
              </w:rPr>
            </w:pPr>
            <w:r w:rsidRPr="00E23F02">
              <w:rPr>
                <w:rFonts w:cs="Times New Roman"/>
                <w:b w:val="0"/>
                <w:color w:val="auto"/>
                <w:sz w:val="21"/>
              </w:rPr>
              <w:t>Political</w:t>
            </w:r>
          </w:p>
        </w:tc>
        <w:tc>
          <w:tcPr>
            <w:tcW w:w="7920" w:type="dxa"/>
          </w:tcPr>
          <w:p w14:paraId="7DF9E046"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Credibility of finance pledges depends on donor-government continuity; withdrawal or dilution of commitments by major economies undermines targets (Newell &amp; Taylor, 2020; Nasiritousi et al., 2024).</w:t>
            </w:r>
          </w:p>
        </w:tc>
      </w:tr>
      <w:tr w:rsidR="006F3588" w:rsidRPr="00E23F02" w14:paraId="2A3BF4B1" w14:textId="77777777" w:rsidTr="00E23F02">
        <w:tc>
          <w:tcPr>
            <w:cnfStyle w:val="001000000000" w:firstRow="0" w:lastRow="0" w:firstColumn="1" w:lastColumn="0" w:oddVBand="0" w:evenVBand="0" w:oddHBand="0" w:evenHBand="0" w:firstRowFirstColumn="0" w:firstRowLastColumn="0" w:lastRowFirstColumn="0" w:lastRowLastColumn="0"/>
            <w:tcW w:w="1584" w:type="dxa"/>
          </w:tcPr>
          <w:p w14:paraId="71FA8B1D" w14:textId="77777777" w:rsidR="006F3588" w:rsidRPr="00E23F02" w:rsidRDefault="00000000" w:rsidP="00E23F02">
            <w:pPr>
              <w:spacing w:before="40"/>
              <w:jc w:val="left"/>
              <w:rPr>
                <w:rFonts w:cs="Times New Roman"/>
                <w:color w:val="auto"/>
              </w:rPr>
            </w:pPr>
            <w:r w:rsidRPr="00E23F02">
              <w:rPr>
                <w:rFonts w:cs="Times New Roman"/>
                <w:b w:val="0"/>
                <w:color w:val="auto"/>
                <w:sz w:val="21"/>
              </w:rPr>
              <w:t>Economic</w:t>
            </w:r>
          </w:p>
        </w:tc>
        <w:tc>
          <w:tcPr>
            <w:tcW w:w="7920" w:type="dxa"/>
          </w:tcPr>
          <w:p w14:paraId="33B7B8DE"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Tripling finance to US$300bn by 2035 is economically plausible in aggregate but requires growth far above the historical trend; private finance shuns adaptation for lack of returns (Pauw et al., 2022).</w:t>
            </w:r>
          </w:p>
        </w:tc>
      </w:tr>
      <w:tr w:rsidR="006F3588" w:rsidRPr="00E23F02" w14:paraId="37CA2F2D" w14:textId="77777777" w:rsidTr="00E23F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4" w:type="dxa"/>
          </w:tcPr>
          <w:p w14:paraId="5926EE2F" w14:textId="77777777" w:rsidR="006F3588" w:rsidRPr="00E23F02" w:rsidRDefault="00000000" w:rsidP="00E23F02">
            <w:pPr>
              <w:spacing w:before="40"/>
              <w:jc w:val="left"/>
              <w:rPr>
                <w:rFonts w:cs="Times New Roman"/>
                <w:color w:val="auto"/>
              </w:rPr>
            </w:pPr>
            <w:r w:rsidRPr="00E23F02">
              <w:rPr>
                <w:rFonts w:cs="Times New Roman"/>
                <w:b w:val="0"/>
                <w:color w:val="auto"/>
                <w:sz w:val="21"/>
              </w:rPr>
              <w:t>Social</w:t>
            </w:r>
          </w:p>
        </w:tc>
        <w:tc>
          <w:tcPr>
            <w:tcW w:w="7920" w:type="dxa"/>
          </w:tcPr>
          <w:p w14:paraId="458C70A4"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Loan-based finance shifts fiscal burden onto vulnerable populations; distributive justice concerns remain unaddressed (Ciplet et al., 2022; Kalaidjian &amp; Robinson, 2022).</w:t>
            </w:r>
          </w:p>
        </w:tc>
      </w:tr>
      <w:tr w:rsidR="006F3588" w:rsidRPr="00E23F02" w14:paraId="24F2A6BF" w14:textId="77777777" w:rsidTr="00E23F02">
        <w:tc>
          <w:tcPr>
            <w:cnfStyle w:val="001000000000" w:firstRow="0" w:lastRow="0" w:firstColumn="1" w:lastColumn="0" w:oddVBand="0" w:evenVBand="0" w:oddHBand="0" w:evenHBand="0" w:firstRowFirstColumn="0" w:firstRowLastColumn="0" w:lastRowFirstColumn="0" w:lastRowLastColumn="0"/>
            <w:tcW w:w="1584" w:type="dxa"/>
          </w:tcPr>
          <w:p w14:paraId="6280A4E4" w14:textId="77777777" w:rsidR="006F3588" w:rsidRPr="00E23F02" w:rsidRDefault="00000000" w:rsidP="00E23F02">
            <w:pPr>
              <w:spacing w:before="40"/>
              <w:jc w:val="left"/>
              <w:rPr>
                <w:rFonts w:cs="Times New Roman"/>
                <w:color w:val="auto"/>
              </w:rPr>
            </w:pPr>
            <w:r w:rsidRPr="00E23F02">
              <w:rPr>
                <w:rFonts w:cs="Times New Roman"/>
                <w:b w:val="0"/>
                <w:color w:val="auto"/>
                <w:sz w:val="21"/>
              </w:rPr>
              <w:t>Technological</w:t>
            </w:r>
          </w:p>
        </w:tc>
        <w:tc>
          <w:tcPr>
            <w:tcW w:w="7920" w:type="dxa"/>
          </w:tcPr>
          <w:p w14:paraId="7C42ACF8"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Fifty-nine indicators and earth-observation data offer new tracking capacity, but require national monitoring systems that remain unfunded (Biesbroek et al., 2025; Nowak et al., 2024).</w:t>
            </w:r>
          </w:p>
        </w:tc>
      </w:tr>
      <w:tr w:rsidR="006F3588" w:rsidRPr="00E23F02" w14:paraId="438A2631" w14:textId="77777777" w:rsidTr="00E23F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4" w:type="dxa"/>
          </w:tcPr>
          <w:p w14:paraId="0BF3C295" w14:textId="77777777" w:rsidR="006F3588" w:rsidRPr="00E23F02" w:rsidRDefault="00000000" w:rsidP="00E23F02">
            <w:pPr>
              <w:spacing w:before="40"/>
              <w:jc w:val="left"/>
              <w:rPr>
                <w:rFonts w:cs="Times New Roman"/>
                <w:color w:val="auto"/>
              </w:rPr>
            </w:pPr>
            <w:r w:rsidRPr="00E23F02">
              <w:rPr>
                <w:rFonts w:cs="Times New Roman"/>
                <w:b w:val="0"/>
                <w:color w:val="auto"/>
                <w:sz w:val="21"/>
              </w:rPr>
              <w:t>Environmental</w:t>
            </w:r>
          </w:p>
        </w:tc>
        <w:tc>
          <w:tcPr>
            <w:tcW w:w="7920" w:type="dxa"/>
          </w:tcPr>
          <w:p w14:paraId="217C95C3"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Intensifying climate impacts raise adaptation needs faster than finance grows, widening the gap (Malik &amp; Ford, 2024).</w:t>
            </w:r>
          </w:p>
        </w:tc>
      </w:tr>
      <w:tr w:rsidR="006F3588" w:rsidRPr="00E23F02" w14:paraId="0F01C981" w14:textId="77777777" w:rsidTr="00E23F02">
        <w:tc>
          <w:tcPr>
            <w:cnfStyle w:val="001000000000" w:firstRow="0" w:lastRow="0" w:firstColumn="1" w:lastColumn="0" w:oddVBand="0" w:evenVBand="0" w:oddHBand="0" w:evenHBand="0" w:firstRowFirstColumn="0" w:firstRowLastColumn="0" w:lastRowFirstColumn="0" w:lastRowLastColumn="0"/>
            <w:tcW w:w="1584" w:type="dxa"/>
          </w:tcPr>
          <w:p w14:paraId="25E8032A" w14:textId="77777777" w:rsidR="006F3588" w:rsidRPr="00E23F02" w:rsidRDefault="00000000" w:rsidP="00E23F02">
            <w:pPr>
              <w:spacing w:before="40"/>
              <w:jc w:val="left"/>
              <w:rPr>
                <w:rFonts w:cs="Times New Roman"/>
                <w:color w:val="auto"/>
              </w:rPr>
            </w:pPr>
            <w:r w:rsidRPr="00E23F02">
              <w:rPr>
                <w:rFonts w:cs="Times New Roman"/>
                <w:b w:val="0"/>
                <w:color w:val="auto"/>
                <w:sz w:val="21"/>
              </w:rPr>
              <w:t>Legal</w:t>
            </w:r>
          </w:p>
        </w:tc>
        <w:tc>
          <w:tcPr>
            <w:tcW w:w="7920" w:type="dxa"/>
          </w:tcPr>
          <w:p w14:paraId="50CE222C"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The regime remains voluntary and non-binding, with no compliance mechanism linking indicator performance to finance delivery (Nasiritousi et al., 2024).</w:t>
            </w:r>
          </w:p>
        </w:tc>
      </w:tr>
    </w:tbl>
    <w:p w14:paraId="529C1355" w14:textId="77777777" w:rsidR="006F3588" w:rsidRPr="00E23F02" w:rsidRDefault="006F3588" w:rsidP="00E23F02">
      <w:pPr>
        <w:rPr>
          <w:rFonts w:cs="Times New Roman"/>
          <w:color w:val="auto"/>
        </w:rPr>
      </w:pPr>
    </w:p>
    <w:p w14:paraId="489E89EE" w14:textId="77777777" w:rsidR="006F3588" w:rsidRPr="00E23F02" w:rsidRDefault="00000000" w:rsidP="00E23F02">
      <w:pPr>
        <w:jc w:val="center"/>
        <w:rPr>
          <w:rFonts w:cs="Times New Roman"/>
          <w:color w:val="auto"/>
        </w:rPr>
      </w:pPr>
      <w:r w:rsidRPr="00E23F02">
        <w:rPr>
          <w:rFonts w:cs="Times New Roman"/>
          <w:i/>
          <w:color w:val="auto"/>
          <w:sz w:val="20"/>
        </w:rPr>
        <w:t>Appendix A. PESTEL analysis of the factors shaping adaptation prospects after COP30.</w:t>
      </w:r>
    </w:p>
    <w:p w14:paraId="051E5870" w14:textId="77777777" w:rsidR="006F3588" w:rsidRPr="00E23F02" w:rsidRDefault="00000000" w:rsidP="00E23F02">
      <w:pPr>
        <w:rPr>
          <w:rFonts w:cs="Times New Roman"/>
          <w:color w:val="auto"/>
        </w:rPr>
      </w:pPr>
      <w:r w:rsidRPr="00E23F02">
        <w:rPr>
          <w:rFonts w:cs="Times New Roman"/>
          <w:color w:val="auto"/>
        </w:rPr>
        <w:br w:type="page"/>
      </w:r>
    </w:p>
    <w:p w14:paraId="78338684" w14:textId="77777777" w:rsidR="006F3588" w:rsidRPr="00E23F02" w:rsidRDefault="00000000" w:rsidP="00E23F02">
      <w:pPr>
        <w:pStyle w:val="Heading1"/>
      </w:pPr>
      <w:bookmarkStart w:id="17" w:name="_Toc236357371"/>
      <w:r w:rsidRPr="00E23F02">
        <w:lastRenderedPageBreak/>
        <w:t>Appendix B: SWOT Analysis of the COP30 Belém Adaptation Package</w:t>
      </w:r>
      <w:bookmarkEnd w:id="17"/>
    </w:p>
    <w:tbl>
      <w:tblPr>
        <w:tblStyle w:val="ListTable4-Accent3"/>
        <w:tblW w:w="0" w:type="auto"/>
        <w:tblLook w:val="04A0" w:firstRow="1" w:lastRow="0" w:firstColumn="1" w:lastColumn="0" w:noHBand="0" w:noVBand="1"/>
      </w:tblPr>
      <w:tblGrid>
        <w:gridCol w:w="1192"/>
        <w:gridCol w:w="3816"/>
        <w:gridCol w:w="3848"/>
      </w:tblGrid>
      <w:tr w:rsidR="006F3588" w:rsidRPr="00E23F02" w14:paraId="468A7227" w14:textId="77777777" w:rsidTr="00E23F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6" w:type="dxa"/>
          </w:tcPr>
          <w:p w14:paraId="6BBC813E" w14:textId="77777777" w:rsidR="006F3588" w:rsidRPr="00E23F02" w:rsidRDefault="006F3588" w:rsidP="00E23F02">
            <w:pPr>
              <w:spacing w:before="40"/>
              <w:jc w:val="left"/>
              <w:rPr>
                <w:rFonts w:cs="Times New Roman"/>
                <w:color w:val="FFFFFF" w:themeColor="background1"/>
                <w:szCs w:val="28"/>
              </w:rPr>
            </w:pPr>
          </w:p>
        </w:tc>
        <w:tc>
          <w:tcPr>
            <w:tcW w:w="4752" w:type="dxa"/>
          </w:tcPr>
          <w:p w14:paraId="39B71B23" w14:textId="77777777" w:rsidR="006F3588" w:rsidRPr="00E23F02" w:rsidRDefault="00000000" w:rsidP="00E23F02">
            <w:pPr>
              <w:spacing w:before="40"/>
              <w:jc w:val="left"/>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8"/>
              </w:rPr>
            </w:pPr>
            <w:r w:rsidRPr="00E23F02">
              <w:rPr>
                <w:rFonts w:cs="Times New Roman"/>
                <w:color w:val="FFFFFF" w:themeColor="background1"/>
                <w:szCs w:val="28"/>
              </w:rPr>
              <w:t>Positive</w:t>
            </w:r>
          </w:p>
        </w:tc>
        <w:tc>
          <w:tcPr>
            <w:tcW w:w="4752" w:type="dxa"/>
          </w:tcPr>
          <w:p w14:paraId="4098F20B" w14:textId="77777777" w:rsidR="006F3588" w:rsidRPr="00E23F02" w:rsidRDefault="00000000" w:rsidP="00E23F02">
            <w:pPr>
              <w:spacing w:before="40"/>
              <w:jc w:val="left"/>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8"/>
              </w:rPr>
            </w:pPr>
            <w:r w:rsidRPr="00E23F02">
              <w:rPr>
                <w:rFonts w:cs="Times New Roman"/>
                <w:color w:val="FFFFFF" w:themeColor="background1"/>
                <w:szCs w:val="28"/>
              </w:rPr>
              <w:t>Negative</w:t>
            </w:r>
          </w:p>
        </w:tc>
      </w:tr>
      <w:tr w:rsidR="006F3588" w:rsidRPr="00E23F02" w14:paraId="7D67325D" w14:textId="77777777" w:rsidTr="00E23F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6" w:type="dxa"/>
          </w:tcPr>
          <w:p w14:paraId="484A1A0F" w14:textId="77777777" w:rsidR="006F3588" w:rsidRPr="00E23F02" w:rsidRDefault="00000000" w:rsidP="00E23F02">
            <w:pPr>
              <w:spacing w:before="40"/>
              <w:jc w:val="left"/>
              <w:rPr>
                <w:rFonts w:cs="Times New Roman"/>
                <w:color w:val="auto"/>
              </w:rPr>
            </w:pPr>
            <w:r w:rsidRPr="00E23F02">
              <w:rPr>
                <w:rFonts w:cs="Times New Roman"/>
                <w:b w:val="0"/>
                <w:color w:val="auto"/>
                <w:sz w:val="21"/>
              </w:rPr>
              <w:t>Internal</w:t>
            </w:r>
          </w:p>
        </w:tc>
        <w:tc>
          <w:tcPr>
            <w:tcW w:w="4752" w:type="dxa"/>
          </w:tcPr>
          <w:p w14:paraId="5DD68DC2"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Strengths: the fifty-nine Belém indicators give the Global Goal on Adaptation a structured measurement architecture for the first time; higher finance target signals sustained attention (Biesbroek et al., 2025).</w:t>
            </w:r>
          </w:p>
        </w:tc>
        <w:tc>
          <w:tcPr>
            <w:tcW w:w="4752" w:type="dxa"/>
          </w:tcPr>
          <w:p w14:paraId="0B09434A" w14:textId="77777777" w:rsidR="006F3588" w:rsidRPr="00E23F02" w:rsidRDefault="00000000" w:rsidP="00E23F02">
            <w:pPr>
              <w:spacing w:before="40"/>
              <w:jc w:val="left"/>
              <w:cnfStyle w:val="000000100000" w:firstRow="0" w:lastRow="0" w:firstColumn="0" w:lastColumn="0" w:oddVBand="0" w:evenVBand="0" w:oddHBand="1" w:evenHBand="0" w:firstRowFirstColumn="0" w:firstRowLastColumn="0" w:lastRowFirstColumn="0" w:lastRowLastColumn="0"/>
              <w:rPr>
                <w:rFonts w:cs="Times New Roman"/>
                <w:color w:val="auto"/>
              </w:rPr>
            </w:pPr>
            <w:r w:rsidRPr="00E23F02">
              <w:rPr>
                <w:rFonts w:cs="Times New Roman"/>
                <w:color w:val="auto"/>
                <w:sz w:val="21"/>
              </w:rPr>
              <w:t>Weaknesses: no binding accountability links indicators to finance; the Implementation Accelerator lacks dedicated funding and authority; adaptation still has no ring-fenced finance sub-goal (Nasiritousi et al., 2024).</w:t>
            </w:r>
          </w:p>
        </w:tc>
      </w:tr>
      <w:tr w:rsidR="006F3588" w:rsidRPr="00E23F02" w14:paraId="485AD155" w14:textId="77777777" w:rsidTr="00E23F02">
        <w:tc>
          <w:tcPr>
            <w:cnfStyle w:val="001000000000" w:firstRow="0" w:lastRow="0" w:firstColumn="1" w:lastColumn="0" w:oddVBand="0" w:evenVBand="0" w:oddHBand="0" w:evenHBand="0" w:firstRowFirstColumn="0" w:firstRowLastColumn="0" w:lastRowFirstColumn="0" w:lastRowLastColumn="0"/>
            <w:tcW w:w="1296" w:type="dxa"/>
          </w:tcPr>
          <w:p w14:paraId="7B041ABC" w14:textId="77777777" w:rsidR="006F3588" w:rsidRPr="00E23F02" w:rsidRDefault="00000000" w:rsidP="00E23F02">
            <w:pPr>
              <w:spacing w:before="40"/>
              <w:jc w:val="left"/>
              <w:rPr>
                <w:rFonts w:cs="Times New Roman"/>
                <w:color w:val="auto"/>
              </w:rPr>
            </w:pPr>
            <w:r w:rsidRPr="00E23F02">
              <w:rPr>
                <w:rFonts w:cs="Times New Roman"/>
                <w:b w:val="0"/>
                <w:color w:val="auto"/>
                <w:sz w:val="21"/>
              </w:rPr>
              <w:t>External</w:t>
            </w:r>
          </w:p>
        </w:tc>
        <w:tc>
          <w:tcPr>
            <w:tcW w:w="4752" w:type="dxa"/>
          </w:tcPr>
          <w:p w14:paraId="67828F5D"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Opportunities: improved national policies can build tracking foundations; earth-observation data can support indicators if capacity is funded (Nowak et al., 2024).</w:t>
            </w:r>
          </w:p>
        </w:tc>
        <w:tc>
          <w:tcPr>
            <w:tcW w:w="4752" w:type="dxa"/>
          </w:tcPr>
          <w:p w14:paraId="16C2C060" w14:textId="77777777" w:rsidR="006F3588" w:rsidRPr="00E23F02" w:rsidRDefault="00000000" w:rsidP="00E23F02">
            <w:pPr>
              <w:spacing w:before="40"/>
              <w:jc w:val="left"/>
              <w:cnfStyle w:val="000000000000" w:firstRow="0" w:lastRow="0" w:firstColumn="0" w:lastColumn="0" w:oddVBand="0" w:evenVBand="0" w:oddHBand="0" w:evenHBand="0" w:firstRowFirstColumn="0" w:firstRowLastColumn="0" w:lastRowFirstColumn="0" w:lastRowLastColumn="0"/>
              <w:rPr>
                <w:rFonts w:cs="Times New Roman"/>
                <w:color w:val="auto"/>
              </w:rPr>
            </w:pPr>
            <w:r w:rsidRPr="00E23F02">
              <w:rPr>
                <w:rFonts w:cs="Times New Roman"/>
                <w:color w:val="auto"/>
                <w:sz w:val="21"/>
              </w:rPr>
              <w:t>Threats: donor political discontinuity, tight fiscal budgets, dominance of loans over grants, and worsening impacts that outpace finance (Newell &amp; Taylor, 2020; Ciplet et al., 2022).</w:t>
            </w:r>
          </w:p>
        </w:tc>
      </w:tr>
    </w:tbl>
    <w:p w14:paraId="5F1D7508" w14:textId="77777777" w:rsidR="006F3588" w:rsidRPr="00E23F02" w:rsidRDefault="006F3588" w:rsidP="00E23F02">
      <w:pPr>
        <w:rPr>
          <w:rFonts w:cs="Times New Roman"/>
          <w:color w:val="auto"/>
        </w:rPr>
      </w:pPr>
    </w:p>
    <w:p w14:paraId="081F94DE" w14:textId="77777777" w:rsidR="006F3588" w:rsidRPr="00E23F02" w:rsidRDefault="00000000" w:rsidP="00E23F02">
      <w:pPr>
        <w:jc w:val="center"/>
        <w:rPr>
          <w:rFonts w:cs="Times New Roman"/>
          <w:color w:val="auto"/>
        </w:rPr>
      </w:pPr>
      <w:r w:rsidRPr="00E23F02">
        <w:rPr>
          <w:rFonts w:cs="Times New Roman"/>
          <w:i/>
          <w:color w:val="auto"/>
          <w:sz w:val="20"/>
        </w:rPr>
        <w:t>Appendix B. SWOT analysis of the COP30 Belém adaptation package.</w:t>
      </w:r>
    </w:p>
    <w:sectPr w:rsidR="006F3588" w:rsidRPr="00E23F02" w:rsidSect="000804A4">
      <w:footerReference w:type="default" r:id="rId12"/>
      <w:pgSz w:w="12240" w:h="15840"/>
      <w:pgMar w:top="1440" w:right="1800" w:bottom="1440" w:left="1800" w:header="720" w:footer="720" w:gutter="0"/>
      <w:pgBorders w:offsetFrom="page">
        <w:top w:val="dashed" w:sz="4" w:space="24" w:color="auto"/>
        <w:left w:val="dashed" w:sz="4" w:space="24" w:color="auto"/>
        <w:bottom w:val="dashed" w:sz="4" w:space="24" w:color="auto"/>
        <w:right w:val="dashed"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DCEF6" w14:textId="77777777" w:rsidR="00355848" w:rsidRDefault="00355848">
      <w:pPr>
        <w:spacing w:after="0" w:line="240" w:lineRule="auto"/>
      </w:pPr>
      <w:r>
        <w:separator/>
      </w:r>
    </w:p>
  </w:endnote>
  <w:endnote w:type="continuationSeparator" w:id="0">
    <w:p w14:paraId="062F4689" w14:textId="77777777" w:rsidR="00355848" w:rsidRDefault="00355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C7196" w14:textId="77777777" w:rsidR="006F3588" w:rsidRDefault="00000000">
    <w:pPr>
      <w:pStyle w:val="Footer"/>
      <w:jc w:val="center"/>
    </w:pPr>
    <w:r>
      <w:rPr>
        <w:sz w:val="20"/>
      </w:rPr>
      <w:fldChar w:fldCharType="begin"/>
    </w:r>
    <w:r>
      <w:rPr>
        <w:sz w:val="20"/>
      </w:rPr>
      <w:instrText>PAGE</w:instrText>
    </w:r>
    <w:r w:rsidR="00E23F02">
      <w:rPr>
        <w:sz w:val="20"/>
      </w:rPr>
      <w:fldChar w:fldCharType="separate"/>
    </w:r>
    <w:r w:rsidR="00E23F02">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36900" w14:textId="77777777" w:rsidR="00355848" w:rsidRDefault="00355848">
      <w:pPr>
        <w:spacing w:after="0" w:line="240" w:lineRule="auto"/>
      </w:pPr>
      <w:r>
        <w:separator/>
      </w:r>
    </w:p>
  </w:footnote>
  <w:footnote w:type="continuationSeparator" w:id="0">
    <w:p w14:paraId="40184DA7" w14:textId="77777777" w:rsidR="00355848" w:rsidRDefault="003558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62640287">
    <w:abstractNumId w:val="8"/>
  </w:num>
  <w:num w:numId="2" w16cid:durableId="1120300804">
    <w:abstractNumId w:val="6"/>
  </w:num>
  <w:num w:numId="3" w16cid:durableId="1434210212">
    <w:abstractNumId w:val="5"/>
  </w:num>
  <w:num w:numId="4" w16cid:durableId="739791627">
    <w:abstractNumId w:val="4"/>
  </w:num>
  <w:num w:numId="5" w16cid:durableId="1284531786">
    <w:abstractNumId w:val="7"/>
  </w:num>
  <w:num w:numId="6" w16cid:durableId="2129619958">
    <w:abstractNumId w:val="3"/>
  </w:num>
  <w:num w:numId="7" w16cid:durableId="1712606535">
    <w:abstractNumId w:val="2"/>
  </w:num>
  <w:num w:numId="8" w16cid:durableId="35861636">
    <w:abstractNumId w:val="1"/>
  </w:num>
  <w:num w:numId="9" w16cid:durableId="26420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04A4"/>
    <w:rsid w:val="0015074B"/>
    <w:rsid w:val="0029639D"/>
    <w:rsid w:val="00326F90"/>
    <w:rsid w:val="00355848"/>
    <w:rsid w:val="004A4CDC"/>
    <w:rsid w:val="006F3588"/>
    <w:rsid w:val="009E0090"/>
    <w:rsid w:val="00AA1D8D"/>
    <w:rsid w:val="00B47730"/>
    <w:rsid w:val="00CB0664"/>
    <w:rsid w:val="00E23F0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700E2E"/>
  <w14:defaultImageDpi w14:val="300"/>
  <w15:docId w15:val="{5AE813A7-2B17-48B3-B711-71B35DF15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jc w:val="both"/>
    </w:pPr>
    <w:rPr>
      <w:rFonts w:ascii="Times New Roman" w:eastAsia="Times New Roman" w:hAnsi="Times New Roman"/>
      <w:color w:val="1A1A1A"/>
      <w:sz w:val="24"/>
    </w:rPr>
  </w:style>
  <w:style w:type="paragraph" w:styleId="Heading1">
    <w:name w:val="heading 1"/>
    <w:basedOn w:val="Normal"/>
    <w:next w:val="Normal"/>
    <w:link w:val="Heading1Char"/>
    <w:uiPriority w:val="9"/>
    <w:qFormat/>
    <w:rsid w:val="00E23F02"/>
    <w:pPr>
      <w:keepNext/>
      <w:keepLines/>
      <w:spacing w:before="280"/>
      <w:outlineLvl w:val="0"/>
    </w:pPr>
    <w:rPr>
      <w:rFonts w:eastAsiaTheme="majorEastAsia" w:cs="Times New Roman"/>
      <w:b/>
      <w:bCs/>
      <w:color w:val="auto"/>
      <w:sz w:val="32"/>
      <w:szCs w:val="32"/>
    </w:rPr>
  </w:style>
  <w:style w:type="paragraph" w:styleId="Heading2">
    <w:name w:val="heading 2"/>
    <w:basedOn w:val="Normal"/>
    <w:next w:val="Normal"/>
    <w:link w:val="Heading2Char"/>
    <w:uiPriority w:val="9"/>
    <w:unhideWhenUsed/>
    <w:qFormat/>
    <w:rsid w:val="00E23F02"/>
    <w:pPr>
      <w:keepNext/>
      <w:keepLines/>
      <w:spacing w:before="280"/>
      <w:outlineLvl w:val="1"/>
    </w:pPr>
    <w:rPr>
      <w:rFonts w:eastAsiaTheme="majorEastAsia" w:cs="Times New Roman"/>
      <w:b/>
      <w:bCs/>
      <w:color w:val="auto"/>
      <w:sz w:val="28"/>
      <w:szCs w:val="28"/>
    </w:rPr>
  </w:style>
  <w:style w:type="paragraph" w:styleId="Heading3">
    <w:name w:val="heading 3"/>
    <w:basedOn w:val="Normal"/>
    <w:next w:val="Normal"/>
    <w:link w:val="Heading3Char"/>
    <w:uiPriority w:val="9"/>
    <w:unhideWhenUsed/>
    <w:qFormat/>
    <w:rsid w:val="00FC693F"/>
    <w:pPr>
      <w:keepNext/>
      <w:keepLines/>
      <w:spacing w:before="280" w:after="120"/>
      <w:outlineLvl w:val="2"/>
    </w:pPr>
    <w:rPr>
      <w:rFonts w:asciiTheme="majorHAnsi" w:eastAsiaTheme="majorEastAsia" w:hAnsiTheme="majorHAnsi" w:cstheme="majorBidi"/>
      <w:b/>
      <w:bCs/>
      <w:color w:val="33333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23F02"/>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E23F02"/>
    <w:rPr>
      <w:rFonts w:ascii="Times New Roman" w:eastAsiaTheme="majorEastAsia" w:hAnsi="Times New Roman" w:cs="Times New Roman"/>
      <w:b/>
      <w:bCs/>
      <w:sz w:val="28"/>
      <w:szCs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120" w:line="240" w:lineRule="auto"/>
      <w:contextualSpacing/>
    </w:pPr>
    <w:rPr>
      <w:rFonts w:asciiTheme="majorHAnsi" w:eastAsiaTheme="majorEastAsia" w:hAnsiTheme="majorHAnsi" w:cstheme="majorBidi"/>
      <w:b/>
      <w:color w:val="1F3A5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ListTable4-Accent3">
    <w:name w:val="List Table 4 Accent 3"/>
    <w:basedOn w:val="TableNormal"/>
    <w:uiPriority w:val="49"/>
    <w:rsid w:val="00E23F02"/>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tcBorders>
        <w:shd w:val="clear" w:color="auto" w:fill="9BBB59" w:themeFill="accent3"/>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ListTable4-Accent5">
    <w:name w:val="List Table 4 Accent 5"/>
    <w:basedOn w:val="TableNormal"/>
    <w:uiPriority w:val="49"/>
    <w:rsid w:val="00E23F02"/>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tcBorders>
        <w:shd w:val="clear" w:color="auto" w:fill="4BACC6" w:themeFill="accent5"/>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4-Accent6">
    <w:name w:val="List Table 4 Accent 6"/>
    <w:basedOn w:val="TableNormal"/>
    <w:uiPriority w:val="49"/>
    <w:rsid w:val="00E23F0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tcBorders>
        <w:shd w:val="clear" w:color="auto" w:fill="F79646" w:themeFill="accent6"/>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1">
    <w:name w:val="toc 1"/>
    <w:basedOn w:val="Normal"/>
    <w:next w:val="Normal"/>
    <w:autoRedefine/>
    <w:uiPriority w:val="39"/>
    <w:unhideWhenUsed/>
    <w:rsid w:val="00E23F02"/>
    <w:pPr>
      <w:spacing w:after="100"/>
    </w:pPr>
  </w:style>
  <w:style w:type="paragraph" w:styleId="TOC2">
    <w:name w:val="toc 2"/>
    <w:basedOn w:val="Normal"/>
    <w:next w:val="Normal"/>
    <w:autoRedefine/>
    <w:uiPriority w:val="39"/>
    <w:unhideWhenUsed/>
    <w:rsid w:val="00E23F02"/>
    <w:pPr>
      <w:spacing w:after="100"/>
      <w:ind w:left="240"/>
    </w:pPr>
  </w:style>
  <w:style w:type="character" w:styleId="Hyperlink">
    <w:name w:val="Hyperlink"/>
    <w:basedOn w:val="DefaultParagraphFont"/>
    <w:uiPriority w:val="99"/>
    <w:unhideWhenUsed/>
    <w:rsid w:val="00E23F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20</Pages>
  <Words>5408</Words>
  <Characters>30830</Characters>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36166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Zakir Ullah</dc:creator>
  <cp:keywords/>
  <cp:revision>4</cp:revision>
  <dcterms:created xsi:type="dcterms:W3CDTF">2013-12-23T23:15:00Z</dcterms:created>
  <dcterms:modified xsi:type="dcterms:W3CDTF">2026-07-30T21:39:00Z</dcterms:modified>
  <cp:category/>
</cp:coreProperties>
</file>