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7D5479" w14:textId="77777777" w:rsidR="00CA6C6E" w:rsidRPr="00A85BFE" w:rsidRDefault="00CA6C6E" w:rsidP="00CA6C6E">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233F898C" wp14:editId="578C913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6379DF">
        <w:rPr>
          <w:rFonts w:ascii="Arial" w:hAnsi="Arial" w:cs="Arial"/>
          <w:b/>
          <w:sz w:val="28"/>
          <w:szCs w:val="28"/>
        </w:rPr>
        <w:t>GA36b</w:t>
      </w:r>
    </w:p>
    <w:p w14:paraId="311E5AEF" w14:textId="77777777" w:rsidR="00CA6C6E" w:rsidRPr="00A406E5" w:rsidRDefault="00CA6C6E" w:rsidP="00CA6C6E">
      <w:pPr>
        <w:rPr>
          <w:rFonts w:ascii="Arial" w:hAnsi="Arial" w:cs="Arial"/>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CA6C6E" w:rsidRPr="00A406E5" w14:paraId="5100FDD7" w14:textId="77777777" w:rsidTr="00CA6C6E">
        <w:tc>
          <w:tcPr>
            <w:tcW w:w="8624" w:type="dxa"/>
            <w:shd w:val="clear" w:color="auto" w:fill="C0C0C0"/>
          </w:tcPr>
          <w:p w14:paraId="74934668" w14:textId="77777777" w:rsidR="00CA6C6E" w:rsidRPr="00A406E5" w:rsidRDefault="00CA6C6E" w:rsidP="00EB3537">
            <w:pPr>
              <w:pStyle w:val="Heading4"/>
              <w:rPr>
                <w:rFonts w:ascii="Arial" w:hAnsi="Arial" w:cs="Arial"/>
                <w:b/>
              </w:rPr>
            </w:pPr>
            <w:r>
              <w:rPr>
                <w:rFonts w:ascii="Arial" w:hAnsi="Arial" w:cs="Arial"/>
                <w:b/>
              </w:rPr>
              <w:t>LEVEL 5</w:t>
            </w:r>
            <w:r w:rsidRPr="00A406E5">
              <w:rPr>
                <w:rFonts w:ascii="Arial" w:hAnsi="Arial" w:cs="Arial"/>
                <w:b/>
              </w:rPr>
              <w:t xml:space="preserve"> ASSESSMENT SPECIFICATION </w:t>
            </w:r>
          </w:p>
        </w:tc>
      </w:tr>
    </w:tbl>
    <w:p w14:paraId="2E16F6E6" w14:textId="77777777" w:rsidR="00CA6C6E" w:rsidRPr="00A406E5" w:rsidRDefault="00CA6C6E" w:rsidP="00CA6C6E">
      <w:pPr>
        <w:jc w:val="center"/>
        <w:rPr>
          <w:rFonts w:ascii="Arial" w:hAnsi="Arial" w:cs="Arial"/>
          <w:b/>
          <w:i/>
          <w:sz w:val="32"/>
        </w:rPr>
      </w:pPr>
    </w:p>
    <w:tbl>
      <w:tblPr>
        <w:tblW w:w="881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1163"/>
      </w:tblGrid>
      <w:tr w:rsidR="00CA6C6E" w:rsidRPr="00A406E5" w14:paraId="25D5E219" w14:textId="77777777" w:rsidTr="00CA6C6E">
        <w:tc>
          <w:tcPr>
            <w:tcW w:w="2093" w:type="dxa"/>
            <w:shd w:val="pct15" w:color="auto" w:fill="auto"/>
          </w:tcPr>
          <w:p w14:paraId="420AAE92" w14:textId="77777777" w:rsidR="00CA6C6E" w:rsidRPr="00A406E5" w:rsidRDefault="00CA6C6E" w:rsidP="00EB353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ED7E8CA" w14:textId="385FDF05" w:rsidR="00CA6C6E" w:rsidRPr="00A406E5" w:rsidRDefault="00CA6C6E" w:rsidP="00EB3537">
            <w:pPr>
              <w:spacing w:before="120" w:after="120"/>
              <w:jc w:val="both"/>
              <w:rPr>
                <w:rFonts w:ascii="Arial" w:hAnsi="Arial" w:cs="Arial"/>
                <w:b/>
                <w:sz w:val="22"/>
                <w:szCs w:val="22"/>
              </w:rPr>
            </w:pPr>
            <w:r>
              <w:rPr>
                <w:rFonts w:ascii="Arial" w:hAnsi="Arial" w:cs="Arial"/>
                <w:b/>
                <w:sz w:val="22"/>
                <w:szCs w:val="22"/>
              </w:rPr>
              <w:t>Sarah Louise Hoffmann</w:t>
            </w:r>
          </w:p>
        </w:tc>
        <w:tc>
          <w:tcPr>
            <w:tcW w:w="2268" w:type="dxa"/>
            <w:shd w:val="clear" w:color="auto" w:fill="D9D9D9"/>
          </w:tcPr>
          <w:p w14:paraId="2C0A4761" w14:textId="77777777" w:rsidR="00CA6C6E" w:rsidRPr="00A406E5" w:rsidRDefault="00CA6C6E" w:rsidP="00EB3537">
            <w:pPr>
              <w:spacing w:before="120" w:after="120"/>
              <w:jc w:val="both"/>
              <w:rPr>
                <w:rFonts w:ascii="Arial" w:hAnsi="Arial" w:cs="Arial"/>
                <w:b/>
                <w:sz w:val="22"/>
                <w:szCs w:val="22"/>
              </w:rPr>
            </w:pPr>
            <w:r w:rsidRPr="00A406E5">
              <w:rPr>
                <w:rFonts w:ascii="Arial" w:hAnsi="Arial" w:cs="Arial"/>
                <w:b/>
                <w:sz w:val="22"/>
                <w:szCs w:val="22"/>
              </w:rPr>
              <w:t>Student ID number:</w:t>
            </w:r>
          </w:p>
        </w:tc>
        <w:tc>
          <w:tcPr>
            <w:tcW w:w="1163" w:type="dxa"/>
          </w:tcPr>
          <w:p w14:paraId="21611E58" w14:textId="7BE2E6DA" w:rsidR="00CA6C6E" w:rsidRPr="00A406E5" w:rsidRDefault="00CA6C6E" w:rsidP="00EB3537">
            <w:pPr>
              <w:spacing w:before="120" w:after="120"/>
              <w:jc w:val="both"/>
              <w:rPr>
                <w:rFonts w:ascii="Arial" w:hAnsi="Arial" w:cs="Arial"/>
                <w:b/>
                <w:sz w:val="22"/>
                <w:szCs w:val="22"/>
              </w:rPr>
            </w:pPr>
            <w:r>
              <w:rPr>
                <w:rFonts w:ascii="Arial" w:hAnsi="Arial" w:cs="Arial"/>
                <w:b/>
                <w:sz w:val="22"/>
                <w:szCs w:val="22"/>
              </w:rPr>
              <w:t>2315599</w:t>
            </w:r>
          </w:p>
        </w:tc>
      </w:tr>
      <w:tr w:rsidR="00CA6C6E" w:rsidRPr="00A406E5" w14:paraId="36C44D8A" w14:textId="77777777" w:rsidTr="00CA6C6E">
        <w:tc>
          <w:tcPr>
            <w:tcW w:w="2093" w:type="dxa"/>
            <w:shd w:val="pct15" w:color="auto" w:fill="auto"/>
          </w:tcPr>
          <w:p w14:paraId="194FA18A" w14:textId="77777777" w:rsidR="00CA6C6E" w:rsidRPr="00A406E5" w:rsidRDefault="00CA6C6E" w:rsidP="00EB3537">
            <w:pPr>
              <w:spacing w:before="120" w:after="120"/>
              <w:jc w:val="both"/>
              <w:rPr>
                <w:rFonts w:ascii="Arial" w:hAnsi="Arial" w:cs="Arial"/>
                <w:b/>
                <w:sz w:val="22"/>
                <w:szCs w:val="22"/>
              </w:rPr>
            </w:pPr>
            <w:r w:rsidRPr="00A406E5">
              <w:rPr>
                <w:rFonts w:ascii="Arial" w:hAnsi="Arial" w:cs="Arial"/>
                <w:b/>
                <w:sz w:val="22"/>
                <w:szCs w:val="22"/>
              </w:rPr>
              <w:t>Programme:</w:t>
            </w:r>
          </w:p>
        </w:tc>
        <w:tc>
          <w:tcPr>
            <w:tcW w:w="6724" w:type="dxa"/>
            <w:gridSpan w:val="3"/>
          </w:tcPr>
          <w:p w14:paraId="1EF4F76A" w14:textId="77777777" w:rsidR="00CA6C6E" w:rsidRPr="00A406E5" w:rsidRDefault="00CA6C6E" w:rsidP="00EB3537">
            <w:pPr>
              <w:spacing w:before="120" w:after="120"/>
              <w:jc w:val="both"/>
              <w:rPr>
                <w:rFonts w:ascii="Arial" w:hAnsi="Arial" w:cs="Arial"/>
                <w:b/>
                <w:sz w:val="22"/>
                <w:szCs w:val="22"/>
              </w:rPr>
            </w:pPr>
            <w:r>
              <w:rPr>
                <w:rFonts w:ascii="Arial" w:hAnsi="Arial" w:cs="Arial"/>
                <w:b/>
                <w:sz w:val="22"/>
                <w:szCs w:val="22"/>
              </w:rPr>
              <w:t>LLB Law and Legal Practice</w:t>
            </w:r>
          </w:p>
        </w:tc>
      </w:tr>
      <w:tr w:rsidR="00CA6C6E" w:rsidRPr="00A406E5" w14:paraId="3F454732" w14:textId="77777777" w:rsidTr="00CA6C6E">
        <w:tc>
          <w:tcPr>
            <w:tcW w:w="2093" w:type="dxa"/>
            <w:shd w:val="pct15" w:color="auto" w:fill="auto"/>
          </w:tcPr>
          <w:p w14:paraId="23DF6B2B" w14:textId="77777777" w:rsidR="00CA6C6E" w:rsidRPr="00A406E5" w:rsidRDefault="00CA6C6E" w:rsidP="00EB3537">
            <w:pPr>
              <w:spacing w:before="120" w:after="120"/>
              <w:jc w:val="both"/>
              <w:rPr>
                <w:rFonts w:ascii="Arial" w:hAnsi="Arial" w:cs="Arial"/>
                <w:b/>
                <w:sz w:val="22"/>
                <w:szCs w:val="22"/>
              </w:rPr>
            </w:pPr>
            <w:r w:rsidRPr="00A406E5">
              <w:rPr>
                <w:rFonts w:ascii="Arial" w:hAnsi="Arial" w:cs="Arial"/>
                <w:b/>
                <w:sz w:val="22"/>
                <w:szCs w:val="22"/>
              </w:rPr>
              <w:t>Module:</w:t>
            </w:r>
          </w:p>
        </w:tc>
        <w:tc>
          <w:tcPr>
            <w:tcW w:w="6724" w:type="dxa"/>
            <w:gridSpan w:val="3"/>
            <w:shd w:val="clear" w:color="auto" w:fill="auto"/>
          </w:tcPr>
          <w:p w14:paraId="4D1F27C3" w14:textId="77777777" w:rsidR="00CA6C6E" w:rsidRPr="00A406E5" w:rsidRDefault="00CA6C6E" w:rsidP="00EB3537">
            <w:pPr>
              <w:spacing w:before="120" w:after="120"/>
              <w:jc w:val="both"/>
              <w:rPr>
                <w:rFonts w:ascii="Arial" w:hAnsi="Arial" w:cs="Arial"/>
                <w:b/>
                <w:sz w:val="22"/>
                <w:szCs w:val="22"/>
              </w:rPr>
            </w:pPr>
            <w:r>
              <w:rPr>
                <w:rFonts w:ascii="Arial" w:hAnsi="Arial" w:cs="Arial"/>
                <w:b/>
                <w:sz w:val="22"/>
                <w:szCs w:val="22"/>
              </w:rPr>
              <w:t>Civil Litigation</w:t>
            </w:r>
          </w:p>
        </w:tc>
      </w:tr>
      <w:tr w:rsidR="00CA6C6E" w:rsidRPr="00A406E5" w14:paraId="4EC10835" w14:textId="77777777" w:rsidTr="00CA6C6E">
        <w:tc>
          <w:tcPr>
            <w:tcW w:w="2093" w:type="dxa"/>
            <w:shd w:val="pct15" w:color="auto" w:fill="auto"/>
          </w:tcPr>
          <w:p w14:paraId="5FC91D75" w14:textId="77777777" w:rsidR="00CA6C6E" w:rsidRPr="00A406E5" w:rsidRDefault="00CA6C6E" w:rsidP="00EB353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17BF89B" w14:textId="77777777" w:rsidR="00CA6C6E" w:rsidRPr="00A406E5" w:rsidRDefault="00CA6C6E" w:rsidP="00EB3537">
            <w:pPr>
              <w:spacing w:before="120" w:after="120"/>
              <w:jc w:val="both"/>
              <w:rPr>
                <w:rFonts w:ascii="Arial" w:hAnsi="Arial" w:cs="Arial"/>
                <w:b/>
                <w:sz w:val="22"/>
                <w:szCs w:val="22"/>
              </w:rPr>
            </w:pPr>
            <w:r>
              <w:rPr>
                <w:rFonts w:ascii="Arial" w:hAnsi="Arial" w:cs="Arial"/>
                <w:b/>
                <w:sz w:val="22"/>
                <w:szCs w:val="22"/>
              </w:rPr>
              <w:t>BMLW5016</w:t>
            </w:r>
          </w:p>
        </w:tc>
        <w:tc>
          <w:tcPr>
            <w:tcW w:w="2268" w:type="dxa"/>
            <w:shd w:val="clear" w:color="auto" w:fill="D9D9D9"/>
          </w:tcPr>
          <w:p w14:paraId="4BFD29C0" w14:textId="3039A582" w:rsidR="00CA6C6E" w:rsidRPr="004D5E9B" w:rsidRDefault="00CA6C6E" w:rsidP="00EB3537">
            <w:pPr>
              <w:pStyle w:val="Heading2"/>
              <w:rPr>
                <w:rFonts w:ascii="Arial" w:hAnsi="Arial" w:cs="Arial"/>
                <w:sz w:val="22"/>
                <w:szCs w:val="22"/>
              </w:rPr>
            </w:pPr>
          </w:p>
        </w:tc>
        <w:tc>
          <w:tcPr>
            <w:tcW w:w="1163" w:type="dxa"/>
          </w:tcPr>
          <w:p w14:paraId="4A37839D" w14:textId="511510FD" w:rsidR="00CA6C6E" w:rsidRPr="00A406E5" w:rsidRDefault="00CA6C6E" w:rsidP="00EB3537">
            <w:pPr>
              <w:spacing w:before="120" w:after="120"/>
              <w:jc w:val="both"/>
              <w:rPr>
                <w:rFonts w:ascii="Arial" w:hAnsi="Arial" w:cs="Arial"/>
                <w:b/>
                <w:sz w:val="22"/>
                <w:szCs w:val="22"/>
              </w:rPr>
            </w:pPr>
          </w:p>
        </w:tc>
      </w:tr>
      <w:tr w:rsidR="00CA6C6E" w:rsidRPr="00A406E5" w14:paraId="0718B142" w14:textId="77777777" w:rsidTr="00CA6C6E">
        <w:tc>
          <w:tcPr>
            <w:tcW w:w="2093" w:type="dxa"/>
            <w:shd w:val="pct15" w:color="auto" w:fill="auto"/>
          </w:tcPr>
          <w:p w14:paraId="3D1CDECB" w14:textId="77777777" w:rsidR="00CA6C6E" w:rsidRPr="00A406E5" w:rsidRDefault="00CA6C6E" w:rsidP="00EB353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79BE418" w14:textId="77777777" w:rsidR="00CA6C6E" w:rsidRPr="00A406E5" w:rsidRDefault="00CA6C6E" w:rsidP="00EB3537">
            <w:pPr>
              <w:spacing w:before="120" w:after="120"/>
              <w:jc w:val="both"/>
              <w:rPr>
                <w:rFonts w:ascii="Arial" w:hAnsi="Arial" w:cs="Arial"/>
                <w:b/>
                <w:sz w:val="22"/>
                <w:szCs w:val="22"/>
              </w:rPr>
            </w:pPr>
            <w:r>
              <w:rPr>
                <w:rFonts w:ascii="Arial" w:hAnsi="Arial" w:cs="Arial"/>
                <w:b/>
                <w:sz w:val="22"/>
                <w:szCs w:val="22"/>
              </w:rPr>
              <w:t>Advice to Client</w:t>
            </w:r>
          </w:p>
        </w:tc>
        <w:tc>
          <w:tcPr>
            <w:tcW w:w="2268" w:type="dxa"/>
            <w:shd w:val="pct15" w:color="auto" w:fill="auto"/>
          </w:tcPr>
          <w:p w14:paraId="528A3819" w14:textId="77777777" w:rsidR="00CA6C6E" w:rsidRPr="00A406E5" w:rsidRDefault="00CA6C6E" w:rsidP="00EB3537">
            <w:pPr>
              <w:spacing w:before="120" w:after="120"/>
              <w:jc w:val="both"/>
              <w:rPr>
                <w:rFonts w:ascii="Arial" w:hAnsi="Arial" w:cs="Arial"/>
                <w:b/>
                <w:sz w:val="22"/>
                <w:szCs w:val="22"/>
              </w:rPr>
            </w:pPr>
            <w:r>
              <w:rPr>
                <w:rFonts w:ascii="Arial" w:hAnsi="Arial" w:cs="Arial"/>
                <w:b/>
                <w:sz w:val="22"/>
                <w:szCs w:val="22"/>
              </w:rPr>
              <w:t>Word count (or equivalent):</w:t>
            </w:r>
          </w:p>
        </w:tc>
        <w:tc>
          <w:tcPr>
            <w:tcW w:w="1163" w:type="dxa"/>
          </w:tcPr>
          <w:p w14:paraId="1B96E695" w14:textId="77777777" w:rsidR="00CA6C6E" w:rsidRPr="00A406E5" w:rsidRDefault="00CA6C6E" w:rsidP="00EB3537">
            <w:pPr>
              <w:spacing w:before="120" w:after="120"/>
              <w:jc w:val="both"/>
              <w:rPr>
                <w:rFonts w:ascii="Arial" w:hAnsi="Arial" w:cs="Arial"/>
                <w:b/>
                <w:sz w:val="22"/>
                <w:szCs w:val="22"/>
              </w:rPr>
            </w:pPr>
            <w:r>
              <w:rPr>
                <w:rFonts w:ascii="Arial" w:hAnsi="Arial" w:cs="Arial"/>
                <w:b/>
                <w:sz w:val="22"/>
                <w:szCs w:val="22"/>
              </w:rPr>
              <w:t>2000</w:t>
            </w:r>
          </w:p>
        </w:tc>
      </w:tr>
    </w:tbl>
    <w:p w14:paraId="5FDD14AB" w14:textId="77777777" w:rsidR="00CA6C6E" w:rsidRPr="00A406E5" w:rsidRDefault="00CA6C6E" w:rsidP="00CA6C6E">
      <w:pPr>
        <w:rPr>
          <w:rFonts w:ascii="Arial" w:hAnsi="Arial" w:cs="Arial"/>
          <w:sz w:val="32"/>
        </w:rPr>
      </w:pPr>
    </w:p>
    <w:p w14:paraId="3F6EDBDB" w14:textId="77777777" w:rsidR="00CA6C6E" w:rsidRPr="00A406E5" w:rsidRDefault="00CA6C6E" w:rsidP="00CA6C6E">
      <w:pPr>
        <w:rPr>
          <w:rFonts w:ascii="Arial" w:hAnsi="Arial" w:cs="Arial"/>
          <w:sz w:val="32"/>
        </w:rPr>
      </w:pPr>
    </w:p>
    <w:p w14:paraId="1AF54471" w14:textId="77777777" w:rsidR="00CA6C6E" w:rsidRPr="00A406E5" w:rsidRDefault="00CA6C6E" w:rsidP="00CA6C6E">
      <w:pPr>
        <w:rPr>
          <w:rFonts w:ascii="Arial" w:hAnsi="Arial" w:cs="Arial"/>
          <w:sz w:val="32"/>
        </w:rPr>
      </w:pPr>
    </w:p>
    <w:p w14:paraId="4E4F5B65" w14:textId="77777777" w:rsidR="00CA6C6E" w:rsidRDefault="00CA6C6E" w:rsidP="00CA6C6E">
      <w:pPr>
        <w:rPr>
          <w:rFonts w:ascii="Arial" w:hAnsi="Arial" w:cs="Arial"/>
          <w:sz w:val="32"/>
        </w:rPr>
      </w:pPr>
      <w:r>
        <w:rPr>
          <w:rFonts w:ascii="Arial" w:hAnsi="Arial" w:cs="Arial"/>
          <w:sz w:val="32"/>
        </w:rPr>
        <w:br w:type="page"/>
      </w:r>
    </w:p>
    <w:sdt>
      <w:sdtPr>
        <w:rPr>
          <w:rFonts w:asciiTheme="minorHAnsi" w:eastAsia="Times New Roman" w:hAnsiTheme="minorHAnsi" w:cs="Times New Roman"/>
          <w:color w:val="auto"/>
          <w:sz w:val="24"/>
          <w:szCs w:val="24"/>
        </w:rPr>
        <w:id w:val="467022720"/>
        <w:docPartObj>
          <w:docPartGallery w:val="Table of Contents"/>
          <w:docPartUnique/>
        </w:docPartObj>
      </w:sdtPr>
      <w:sdtEndPr>
        <w:rPr>
          <w:b/>
          <w:bCs/>
        </w:rPr>
      </w:sdtEndPr>
      <w:sdtContent>
        <w:p w14:paraId="4B8BF256" w14:textId="3FFAA727" w:rsidR="00801AAF" w:rsidRPr="008B094E" w:rsidRDefault="00801AAF">
          <w:pPr>
            <w:pStyle w:val="TOCHeading"/>
            <w:rPr>
              <w:rFonts w:asciiTheme="minorHAnsi" w:hAnsiTheme="minorHAnsi"/>
              <w:sz w:val="24"/>
              <w:szCs w:val="24"/>
            </w:rPr>
          </w:pPr>
          <w:r w:rsidRPr="008B094E">
            <w:rPr>
              <w:rFonts w:asciiTheme="minorHAnsi" w:hAnsiTheme="minorHAnsi"/>
              <w:sz w:val="24"/>
              <w:szCs w:val="24"/>
            </w:rPr>
            <w:t>Contents</w:t>
          </w:r>
        </w:p>
        <w:p w14:paraId="4BD764F9" w14:textId="22271FA8" w:rsidR="008B094E" w:rsidRPr="008B094E" w:rsidRDefault="00801AAF">
          <w:pPr>
            <w:pStyle w:val="TOC2"/>
            <w:tabs>
              <w:tab w:val="right" w:leader="dot" w:pos="9016"/>
            </w:tabs>
            <w:rPr>
              <w:rFonts w:asciiTheme="minorHAnsi" w:eastAsiaTheme="minorEastAsia" w:hAnsiTheme="minorHAnsi" w:cstheme="minorBidi"/>
              <w:noProof/>
              <w:kern w:val="2"/>
              <w:sz w:val="24"/>
              <w:szCs w:val="24"/>
              <w14:ligatures w14:val="standardContextual"/>
            </w:rPr>
          </w:pPr>
          <w:r w:rsidRPr="008B094E">
            <w:rPr>
              <w:rFonts w:asciiTheme="minorHAnsi" w:hAnsiTheme="minorHAnsi"/>
              <w:sz w:val="24"/>
              <w:szCs w:val="24"/>
            </w:rPr>
            <w:fldChar w:fldCharType="begin"/>
          </w:r>
          <w:r w:rsidRPr="008B094E">
            <w:rPr>
              <w:rFonts w:asciiTheme="minorHAnsi" w:hAnsiTheme="minorHAnsi"/>
              <w:sz w:val="24"/>
              <w:szCs w:val="24"/>
            </w:rPr>
            <w:instrText xml:space="preserve"> TOC \o "1-3" \h \z \u </w:instrText>
          </w:r>
          <w:r w:rsidRPr="008B094E">
            <w:rPr>
              <w:rFonts w:asciiTheme="minorHAnsi" w:hAnsiTheme="minorHAnsi"/>
              <w:sz w:val="24"/>
              <w:szCs w:val="24"/>
            </w:rPr>
            <w:fldChar w:fldCharType="separate"/>
          </w:r>
          <w:hyperlink w:anchor="_Toc191811624" w:history="1">
            <w:r w:rsidR="008B094E" w:rsidRPr="008B094E">
              <w:rPr>
                <w:rStyle w:val="Hyperlink"/>
                <w:rFonts w:asciiTheme="minorHAnsi" w:hAnsiTheme="minorHAnsi"/>
                <w:noProof/>
                <w:sz w:val="24"/>
                <w:szCs w:val="24"/>
              </w:rPr>
              <w:t>Task 1</w:t>
            </w:r>
            <w:r w:rsidR="008B094E" w:rsidRPr="008B094E">
              <w:rPr>
                <w:rFonts w:asciiTheme="minorHAnsi" w:hAnsiTheme="minorHAnsi"/>
                <w:noProof/>
                <w:webHidden/>
                <w:sz w:val="24"/>
                <w:szCs w:val="24"/>
              </w:rPr>
              <w:tab/>
            </w:r>
            <w:r w:rsidR="008B094E" w:rsidRPr="008B094E">
              <w:rPr>
                <w:rFonts w:asciiTheme="minorHAnsi" w:hAnsiTheme="minorHAnsi"/>
                <w:noProof/>
                <w:webHidden/>
                <w:sz w:val="24"/>
                <w:szCs w:val="24"/>
              </w:rPr>
              <w:fldChar w:fldCharType="begin"/>
            </w:r>
            <w:r w:rsidR="008B094E" w:rsidRPr="008B094E">
              <w:rPr>
                <w:rFonts w:asciiTheme="minorHAnsi" w:hAnsiTheme="minorHAnsi"/>
                <w:noProof/>
                <w:webHidden/>
                <w:sz w:val="24"/>
                <w:szCs w:val="24"/>
              </w:rPr>
              <w:instrText xml:space="preserve"> PAGEREF _Toc191811624 \h </w:instrText>
            </w:r>
            <w:r w:rsidR="008B094E" w:rsidRPr="008B094E">
              <w:rPr>
                <w:rFonts w:asciiTheme="minorHAnsi" w:hAnsiTheme="minorHAnsi"/>
                <w:noProof/>
                <w:webHidden/>
                <w:sz w:val="24"/>
                <w:szCs w:val="24"/>
              </w:rPr>
            </w:r>
            <w:r w:rsidR="008B094E" w:rsidRPr="008B094E">
              <w:rPr>
                <w:rFonts w:asciiTheme="minorHAnsi" w:hAnsiTheme="minorHAnsi"/>
                <w:noProof/>
                <w:webHidden/>
                <w:sz w:val="24"/>
                <w:szCs w:val="24"/>
              </w:rPr>
              <w:fldChar w:fldCharType="separate"/>
            </w:r>
            <w:r w:rsidR="00C9740B">
              <w:rPr>
                <w:rFonts w:asciiTheme="minorHAnsi" w:hAnsiTheme="minorHAnsi"/>
                <w:noProof/>
                <w:webHidden/>
                <w:sz w:val="24"/>
                <w:szCs w:val="24"/>
              </w:rPr>
              <w:t>3</w:t>
            </w:r>
            <w:r w:rsidR="008B094E" w:rsidRPr="008B094E">
              <w:rPr>
                <w:rFonts w:asciiTheme="minorHAnsi" w:hAnsiTheme="minorHAnsi"/>
                <w:noProof/>
                <w:webHidden/>
                <w:sz w:val="24"/>
                <w:szCs w:val="24"/>
              </w:rPr>
              <w:fldChar w:fldCharType="end"/>
            </w:r>
          </w:hyperlink>
        </w:p>
        <w:p w14:paraId="21498BB6" w14:textId="6C860F55" w:rsidR="008B094E" w:rsidRPr="008B094E" w:rsidRDefault="008B094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1811625" w:history="1">
            <w:r w:rsidRPr="008B094E">
              <w:rPr>
                <w:rStyle w:val="Hyperlink"/>
                <w:rFonts w:asciiTheme="minorHAnsi" w:hAnsiTheme="minorHAnsi"/>
                <w:noProof/>
                <w:sz w:val="24"/>
                <w:szCs w:val="24"/>
              </w:rPr>
              <w:t>Task 2</w:t>
            </w:r>
            <w:r w:rsidRPr="008B094E">
              <w:rPr>
                <w:rFonts w:asciiTheme="minorHAnsi" w:hAnsiTheme="minorHAnsi"/>
                <w:noProof/>
                <w:webHidden/>
                <w:sz w:val="24"/>
                <w:szCs w:val="24"/>
              </w:rPr>
              <w:tab/>
            </w:r>
            <w:r w:rsidRPr="008B094E">
              <w:rPr>
                <w:rFonts w:asciiTheme="minorHAnsi" w:hAnsiTheme="minorHAnsi"/>
                <w:noProof/>
                <w:webHidden/>
                <w:sz w:val="24"/>
                <w:szCs w:val="24"/>
              </w:rPr>
              <w:fldChar w:fldCharType="begin"/>
            </w:r>
            <w:r w:rsidRPr="008B094E">
              <w:rPr>
                <w:rFonts w:asciiTheme="minorHAnsi" w:hAnsiTheme="minorHAnsi"/>
                <w:noProof/>
                <w:webHidden/>
                <w:sz w:val="24"/>
                <w:szCs w:val="24"/>
              </w:rPr>
              <w:instrText xml:space="preserve"> PAGEREF _Toc191811625 \h </w:instrText>
            </w:r>
            <w:r w:rsidRPr="008B094E">
              <w:rPr>
                <w:rFonts w:asciiTheme="minorHAnsi" w:hAnsiTheme="minorHAnsi"/>
                <w:noProof/>
                <w:webHidden/>
                <w:sz w:val="24"/>
                <w:szCs w:val="24"/>
              </w:rPr>
            </w:r>
            <w:r w:rsidRPr="008B094E">
              <w:rPr>
                <w:rFonts w:asciiTheme="minorHAnsi" w:hAnsiTheme="minorHAnsi"/>
                <w:noProof/>
                <w:webHidden/>
                <w:sz w:val="24"/>
                <w:szCs w:val="24"/>
              </w:rPr>
              <w:fldChar w:fldCharType="separate"/>
            </w:r>
            <w:r w:rsidR="00C9740B">
              <w:rPr>
                <w:rFonts w:asciiTheme="minorHAnsi" w:hAnsiTheme="minorHAnsi"/>
                <w:noProof/>
                <w:webHidden/>
                <w:sz w:val="24"/>
                <w:szCs w:val="24"/>
              </w:rPr>
              <w:t>6</w:t>
            </w:r>
            <w:r w:rsidRPr="008B094E">
              <w:rPr>
                <w:rFonts w:asciiTheme="minorHAnsi" w:hAnsiTheme="minorHAnsi"/>
                <w:noProof/>
                <w:webHidden/>
                <w:sz w:val="24"/>
                <w:szCs w:val="24"/>
              </w:rPr>
              <w:fldChar w:fldCharType="end"/>
            </w:r>
          </w:hyperlink>
        </w:p>
        <w:p w14:paraId="1D818422" w14:textId="24454D62" w:rsidR="008B094E" w:rsidRPr="008B094E" w:rsidRDefault="008B094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1811626" w:history="1">
            <w:r w:rsidRPr="008B094E">
              <w:rPr>
                <w:rStyle w:val="Hyperlink"/>
                <w:rFonts w:asciiTheme="minorHAnsi" w:hAnsiTheme="minorHAnsi"/>
                <w:noProof/>
                <w:sz w:val="24"/>
                <w:szCs w:val="24"/>
              </w:rPr>
              <w:t>Table of Cases</w:t>
            </w:r>
            <w:r w:rsidRPr="008B094E">
              <w:rPr>
                <w:rFonts w:asciiTheme="minorHAnsi" w:hAnsiTheme="minorHAnsi"/>
                <w:noProof/>
                <w:webHidden/>
                <w:sz w:val="24"/>
                <w:szCs w:val="24"/>
              </w:rPr>
              <w:tab/>
            </w:r>
            <w:r w:rsidRPr="008B094E">
              <w:rPr>
                <w:rFonts w:asciiTheme="minorHAnsi" w:hAnsiTheme="minorHAnsi"/>
                <w:noProof/>
                <w:webHidden/>
                <w:sz w:val="24"/>
                <w:szCs w:val="24"/>
              </w:rPr>
              <w:fldChar w:fldCharType="begin"/>
            </w:r>
            <w:r w:rsidRPr="008B094E">
              <w:rPr>
                <w:rFonts w:asciiTheme="minorHAnsi" w:hAnsiTheme="minorHAnsi"/>
                <w:noProof/>
                <w:webHidden/>
                <w:sz w:val="24"/>
                <w:szCs w:val="24"/>
              </w:rPr>
              <w:instrText xml:space="preserve"> PAGEREF _Toc191811626 \h </w:instrText>
            </w:r>
            <w:r w:rsidRPr="008B094E">
              <w:rPr>
                <w:rFonts w:asciiTheme="minorHAnsi" w:hAnsiTheme="minorHAnsi"/>
                <w:noProof/>
                <w:webHidden/>
                <w:sz w:val="24"/>
                <w:szCs w:val="24"/>
              </w:rPr>
            </w:r>
            <w:r w:rsidRPr="008B094E">
              <w:rPr>
                <w:rFonts w:asciiTheme="minorHAnsi" w:hAnsiTheme="minorHAnsi"/>
                <w:noProof/>
                <w:webHidden/>
                <w:sz w:val="24"/>
                <w:szCs w:val="24"/>
              </w:rPr>
              <w:fldChar w:fldCharType="separate"/>
            </w:r>
            <w:r w:rsidR="00C9740B">
              <w:rPr>
                <w:rFonts w:asciiTheme="minorHAnsi" w:hAnsiTheme="minorHAnsi"/>
                <w:noProof/>
                <w:webHidden/>
                <w:sz w:val="24"/>
                <w:szCs w:val="24"/>
              </w:rPr>
              <w:t>10</w:t>
            </w:r>
            <w:r w:rsidRPr="008B094E">
              <w:rPr>
                <w:rFonts w:asciiTheme="minorHAnsi" w:hAnsiTheme="minorHAnsi"/>
                <w:noProof/>
                <w:webHidden/>
                <w:sz w:val="24"/>
                <w:szCs w:val="24"/>
              </w:rPr>
              <w:fldChar w:fldCharType="end"/>
            </w:r>
          </w:hyperlink>
        </w:p>
        <w:p w14:paraId="0CB6DCFA" w14:textId="1C30BA5A" w:rsidR="008B094E" w:rsidRPr="008B094E" w:rsidRDefault="008B094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1811627" w:history="1">
            <w:r w:rsidRPr="008B094E">
              <w:rPr>
                <w:rStyle w:val="Hyperlink"/>
                <w:rFonts w:asciiTheme="minorHAnsi" w:hAnsiTheme="minorHAnsi"/>
                <w:noProof/>
                <w:sz w:val="24"/>
                <w:szCs w:val="24"/>
              </w:rPr>
              <w:t>Table of Legislation</w:t>
            </w:r>
            <w:r w:rsidRPr="008B094E">
              <w:rPr>
                <w:rFonts w:asciiTheme="minorHAnsi" w:hAnsiTheme="minorHAnsi"/>
                <w:noProof/>
                <w:webHidden/>
                <w:sz w:val="24"/>
                <w:szCs w:val="24"/>
              </w:rPr>
              <w:tab/>
            </w:r>
            <w:r w:rsidRPr="008B094E">
              <w:rPr>
                <w:rFonts w:asciiTheme="minorHAnsi" w:hAnsiTheme="minorHAnsi"/>
                <w:noProof/>
                <w:webHidden/>
                <w:sz w:val="24"/>
                <w:szCs w:val="24"/>
              </w:rPr>
              <w:fldChar w:fldCharType="begin"/>
            </w:r>
            <w:r w:rsidRPr="008B094E">
              <w:rPr>
                <w:rFonts w:asciiTheme="minorHAnsi" w:hAnsiTheme="minorHAnsi"/>
                <w:noProof/>
                <w:webHidden/>
                <w:sz w:val="24"/>
                <w:szCs w:val="24"/>
              </w:rPr>
              <w:instrText xml:space="preserve"> PAGEREF _Toc191811627 \h </w:instrText>
            </w:r>
            <w:r w:rsidRPr="008B094E">
              <w:rPr>
                <w:rFonts w:asciiTheme="minorHAnsi" w:hAnsiTheme="minorHAnsi"/>
                <w:noProof/>
                <w:webHidden/>
                <w:sz w:val="24"/>
                <w:szCs w:val="24"/>
              </w:rPr>
            </w:r>
            <w:r w:rsidRPr="008B094E">
              <w:rPr>
                <w:rFonts w:asciiTheme="minorHAnsi" w:hAnsiTheme="minorHAnsi"/>
                <w:noProof/>
                <w:webHidden/>
                <w:sz w:val="24"/>
                <w:szCs w:val="24"/>
              </w:rPr>
              <w:fldChar w:fldCharType="separate"/>
            </w:r>
            <w:r w:rsidR="00C9740B">
              <w:rPr>
                <w:rFonts w:asciiTheme="minorHAnsi" w:hAnsiTheme="minorHAnsi"/>
                <w:noProof/>
                <w:webHidden/>
                <w:sz w:val="24"/>
                <w:szCs w:val="24"/>
              </w:rPr>
              <w:t>11</w:t>
            </w:r>
            <w:r w:rsidRPr="008B094E">
              <w:rPr>
                <w:rFonts w:asciiTheme="minorHAnsi" w:hAnsiTheme="minorHAnsi"/>
                <w:noProof/>
                <w:webHidden/>
                <w:sz w:val="24"/>
                <w:szCs w:val="24"/>
              </w:rPr>
              <w:fldChar w:fldCharType="end"/>
            </w:r>
          </w:hyperlink>
        </w:p>
        <w:p w14:paraId="5E482761" w14:textId="3D1EEC0C" w:rsidR="008B094E" w:rsidRPr="008B094E" w:rsidRDefault="008B094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1811628" w:history="1">
            <w:r w:rsidRPr="008B094E">
              <w:rPr>
                <w:rStyle w:val="Hyperlink"/>
                <w:rFonts w:asciiTheme="minorHAnsi" w:hAnsiTheme="minorHAnsi"/>
                <w:noProof/>
                <w:sz w:val="24"/>
                <w:szCs w:val="24"/>
              </w:rPr>
              <w:t>References</w:t>
            </w:r>
            <w:r w:rsidRPr="008B094E">
              <w:rPr>
                <w:rFonts w:asciiTheme="minorHAnsi" w:hAnsiTheme="minorHAnsi"/>
                <w:noProof/>
                <w:webHidden/>
                <w:sz w:val="24"/>
                <w:szCs w:val="24"/>
              </w:rPr>
              <w:tab/>
            </w:r>
            <w:r w:rsidRPr="008B094E">
              <w:rPr>
                <w:rFonts w:asciiTheme="minorHAnsi" w:hAnsiTheme="minorHAnsi"/>
                <w:noProof/>
                <w:webHidden/>
                <w:sz w:val="24"/>
                <w:szCs w:val="24"/>
              </w:rPr>
              <w:fldChar w:fldCharType="begin"/>
            </w:r>
            <w:r w:rsidRPr="008B094E">
              <w:rPr>
                <w:rFonts w:asciiTheme="minorHAnsi" w:hAnsiTheme="minorHAnsi"/>
                <w:noProof/>
                <w:webHidden/>
                <w:sz w:val="24"/>
                <w:szCs w:val="24"/>
              </w:rPr>
              <w:instrText xml:space="preserve"> PAGEREF _Toc191811628 \h </w:instrText>
            </w:r>
            <w:r w:rsidRPr="008B094E">
              <w:rPr>
                <w:rFonts w:asciiTheme="minorHAnsi" w:hAnsiTheme="minorHAnsi"/>
                <w:noProof/>
                <w:webHidden/>
                <w:sz w:val="24"/>
                <w:szCs w:val="24"/>
              </w:rPr>
            </w:r>
            <w:r w:rsidRPr="008B094E">
              <w:rPr>
                <w:rFonts w:asciiTheme="minorHAnsi" w:hAnsiTheme="minorHAnsi"/>
                <w:noProof/>
                <w:webHidden/>
                <w:sz w:val="24"/>
                <w:szCs w:val="24"/>
              </w:rPr>
              <w:fldChar w:fldCharType="separate"/>
            </w:r>
            <w:r w:rsidR="00C9740B">
              <w:rPr>
                <w:rFonts w:asciiTheme="minorHAnsi" w:hAnsiTheme="minorHAnsi"/>
                <w:noProof/>
                <w:webHidden/>
                <w:sz w:val="24"/>
                <w:szCs w:val="24"/>
              </w:rPr>
              <w:t>12</w:t>
            </w:r>
            <w:r w:rsidRPr="008B094E">
              <w:rPr>
                <w:rFonts w:asciiTheme="minorHAnsi" w:hAnsiTheme="minorHAnsi"/>
                <w:noProof/>
                <w:webHidden/>
                <w:sz w:val="24"/>
                <w:szCs w:val="24"/>
              </w:rPr>
              <w:fldChar w:fldCharType="end"/>
            </w:r>
          </w:hyperlink>
        </w:p>
        <w:p w14:paraId="52DCA595" w14:textId="111B95CC" w:rsidR="00801AAF" w:rsidRPr="00511D71" w:rsidRDefault="00801AAF">
          <w:pPr>
            <w:rPr>
              <w:rFonts w:asciiTheme="minorHAnsi" w:hAnsiTheme="minorHAnsi"/>
              <w:sz w:val="24"/>
              <w:szCs w:val="24"/>
            </w:rPr>
          </w:pPr>
          <w:r w:rsidRPr="008B094E">
            <w:rPr>
              <w:rFonts w:asciiTheme="minorHAnsi" w:hAnsiTheme="minorHAnsi"/>
              <w:b/>
              <w:bCs/>
              <w:sz w:val="24"/>
              <w:szCs w:val="24"/>
            </w:rPr>
            <w:fldChar w:fldCharType="end"/>
          </w:r>
        </w:p>
      </w:sdtContent>
    </w:sdt>
    <w:p w14:paraId="68190832" w14:textId="0FFBD7A1" w:rsidR="00003A9B" w:rsidRDefault="00003A9B">
      <w:pPr>
        <w:spacing w:after="160" w:line="278" w:lineRule="auto"/>
      </w:pPr>
      <w:r>
        <w:br w:type="page"/>
      </w:r>
    </w:p>
    <w:p w14:paraId="2A5D4B9F" w14:textId="5EBF331F" w:rsidR="00CA6C6E" w:rsidRDefault="00003A9B" w:rsidP="00801AAF">
      <w:pPr>
        <w:pStyle w:val="Heading2"/>
      </w:pPr>
      <w:bookmarkStart w:id="0" w:name="_Toc191811624"/>
      <w:r>
        <w:lastRenderedPageBreak/>
        <w:t>Task 1</w:t>
      </w:r>
      <w:bookmarkEnd w:id="0"/>
      <w:r>
        <w:t xml:space="preserve"> </w:t>
      </w:r>
    </w:p>
    <w:p w14:paraId="3CB1B249" w14:textId="77777777" w:rsidR="00003A9B" w:rsidRDefault="00003A9B"/>
    <w:p w14:paraId="1DC9F735" w14:textId="0444939F" w:rsidR="00003A9B" w:rsidRPr="003539A6" w:rsidRDefault="00003A9B">
      <w:pPr>
        <w:rPr>
          <w:rFonts w:asciiTheme="minorHAnsi" w:hAnsiTheme="minorHAnsi"/>
          <w:b/>
          <w:bCs/>
          <w:sz w:val="24"/>
          <w:szCs w:val="24"/>
        </w:rPr>
      </w:pPr>
      <w:r w:rsidRPr="003539A6">
        <w:rPr>
          <w:rFonts w:asciiTheme="minorHAnsi" w:hAnsiTheme="minorHAnsi"/>
          <w:b/>
          <w:bCs/>
          <w:sz w:val="24"/>
          <w:szCs w:val="24"/>
        </w:rPr>
        <w:t>Draft letter of advice</w:t>
      </w:r>
      <w:r w:rsidR="00801AAF" w:rsidRPr="003539A6">
        <w:rPr>
          <w:rFonts w:asciiTheme="minorHAnsi" w:hAnsiTheme="minorHAnsi"/>
          <w:b/>
          <w:bCs/>
          <w:sz w:val="24"/>
          <w:szCs w:val="24"/>
        </w:rPr>
        <w:t xml:space="preserve"> - client care letter </w:t>
      </w:r>
    </w:p>
    <w:p w14:paraId="40F0B67A" w14:textId="77777777" w:rsidR="00801AAF" w:rsidRPr="00DC7415" w:rsidRDefault="00801AAF">
      <w:pPr>
        <w:rPr>
          <w:rFonts w:asciiTheme="minorHAnsi" w:hAnsiTheme="minorHAnsi"/>
          <w:sz w:val="24"/>
          <w:szCs w:val="24"/>
        </w:rPr>
      </w:pPr>
    </w:p>
    <w:p w14:paraId="73B4E1DD" w14:textId="77777777" w:rsidR="00AC2A41" w:rsidRDefault="00AC2A41" w:rsidP="00CE4CC5">
      <w:pPr>
        <w:spacing w:line="480" w:lineRule="auto"/>
        <w:jc w:val="both"/>
        <w:rPr>
          <w:rFonts w:asciiTheme="minorHAnsi" w:hAnsiTheme="minorHAnsi"/>
          <w:sz w:val="24"/>
          <w:szCs w:val="24"/>
        </w:rPr>
      </w:pPr>
      <w:r>
        <w:rPr>
          <w:rFonts w:asciiTheme="minorHAnsi" w:hAnsiTheme="minorHAnsi"/>
          <w:sz w:val="24"/>
          <w:szCs w:val="24"/>
        </w:rPr>
        <w:t xml:space="preserve">Dear Ms Wayne </w:t>
      </w:r>
    </w:p>
    <w:p w14:paraId="6BAFAF46" w14:textId="543B7DA4" w:rsidR="00AC2A41" w:rsidRDefault="00AC2A41" w:rsidP="004811AF">
      <w:pPr>
        <w:spacing w:line="360" w:lineRule="auto"/>
        <w:jc w:val="both"/>
        <w:rPr>
          <w:rFonts w:asciiTheme="minorHAnsi" w:hAnsiTheme="minorHAnsi"/>
          <w:sz w:val="24"/>
          <w:szCs w:val="24"/>
        </w:rPr>
      </w:pPr>
      <w:r>
        <w:rPr>
          <w:rFonts w:asciiTheme="minorHAnsi" w:hAnsiTheme="minorHAnsi"/>
          <w:sz w:val="24"/>
          <w:szCs w:val="24"/>
        </w:rPr>
        <w:t>Further to our recent initial appointment with you</w:t>
      </w:r>
      <w:r w:rsidR="00026BDA">
        <w:rPr>
          <w:rFonts w:asciiTheme="minorHAnsi" w:hAnsiTheme="minorHAnsi"/>
          <w:sz w:val="24"/>
          <w:szCs w:val="24"/>
        </w:rPr>
        <w:t xml:space="preserve"> where we discussed your</w:t>
      </w:r>
      <w:r w:rsidR="003D7721">
        <w:rPr>
          <w:rFonts w:asciiTheme="minorHAnsi" w:hAnsiTheme="minorHAnsi"/>
          <w:sz w:val="24"/>
          <w:szCs w:val="24"/>
        </w:rPr>
        <w:t xml:space="preserve"> potential claim after an incident. </w:t>
      </w:r>
    </w:p>
    <w:p w14:paraId="2741B875" w14:textId="77777777" w:rsidR="0062648B" w:rsidRDefault="0062648B" w:rsidP="004811AF">
      <w:pPr>
        <w:spacing w:line="360" w:lineRule="auto"/>
        <w:jc w:val="both"/>
        <w:rPr>
          <w:rFonts w:asciiTheme="minorHAnsi" w:hAnsiTheme="minorHAnsi"/>
          <w:sz w:val="24"/>
          <w:szCs w:val="24"/>
        </w:rPr>
      </w:pPr>
    </w:p>
    <w:p w14:paraId="5E9AB44F" w14:textId="6147286D" w:rsidR="003D7721" w:rsidRDefault="003D7721" w:rsidP="004811AF">
      <w:pPr>
        <w:spacing w:line="360" w:lineRule="auto"/>
        <w:jc w:val="both"/>
        <w:rPr>
          <w:rFonts w:asciiTheme="minorHAnsi" w:hAnsiTheme="minorHAnsi"/>
          <w:sz w:val="24"/>
          <w:szCs w:val="24"/>
        </w:rPr>
      </w:pPr>
      <w:r>
        <w:rPr>
          <w:rFonts w:asciiTheme="minorHAnsi" w:hAnsiTheme="minorHAnsi"/>
          <w:sz w:val="24"/>
          <w:szCs w:val="24"/>
        </w:rPr>
        <w:t xml:space="preserve">During the meeting you disclosed to us that you </w:t>
      </w:r>
      <w:r w:rsidRPr="003D7721">
        <w:rPr>
          <w:rFonts w:asciiTheme="minorHAnsi" w:hAnsiTheme="minorHAnsi"/>
          <w:sz w:val="24"/>
          <w:szCs w:val="24"/>
        </w:rPr>
        <w:t>a union member</w:t>
      </w:r>
      <w:r>
        <w:rPr>
          <w:rFonts w:asciiTheme="minorHAnsi" w:hAnsiTheme="minorHAnsi"/>
          <w:sz w:val="24"/>
          <w:szCs w:val="24"/>
        </w:rPr>
        <w:t xml:space="preserve"> of UNISON. Please be advised that Unions will often recommend solicitors who are experienced in handling specific cases. Some unions will offer prepaid legal services. You are not obligated to instruct the solicitor offered by your union as </w:t>
      </w:r>
      <w:r w:rsidRPr="003D7721">
        <w:rPr>
          <w:rFonts w:asciiTheme="minorHAnsi" w:hAnsiTheme="minorHAnsi"/>
          <w:sz w:val="24"/>
          <w:szCs w:val="24"/>
        </w:rPr>
        <w:t xml:space="preserve">generally </w:t>
      </w:r>
      <w:r>
        <w:rPr>
          <w:rFonts w:asciiTheme="minorHAnsi" w:hAnsiTheme="minorHAnsi"/>
          <w:sz w:val="24"/>
          <w:szCs w:val="24"/>
        </w:rPr>
        <w:t xml:space="preserve">you </w:t>
      </w:r>
      <w:r w:rsidRPr="003D7721">
        <w:rPr>
          <w:rFonts w:asciiTheme="minorHAnsi" w:hAnsiTheme="minorHAnsi"/>
          <w:sz w:val="24"/>
          <w:szCs w:val="24"/>
        </w:rPr>
        <w:t>have the option to use a solicitor of your choic</w:t>
      </w:r>
      <w:r>
        <w:rPr>
          <w:rFonts w:asciiTheme="minorHAnsi" w:hAnsiTheme="minorHAnsi"/>
          <w:sz w:val="24"/>
          <w:szCs w:val="24"/>
        </w:rPr>
        <w:t>e.</w:t>
      </w:r>
      <w:r w:rsidR="000042CF">
        <w:rPr>
          <w:rFonts w:asciiTheme="minorHAnsi" w:hAnsiTheme="minorHAnsi"/>
          <w:sz w:val="24"/>
          <w:szCs w:val="24"/>
        </w:rPr>
        <w:t xml:space="preserve"> If you were to feel more comfortable with a solicitor that you have chosen yourself or have been recommended personal of if you feel that the solicitor appointed by the union is not handing your case effectively then you have the right to seek outside counsel. </w:t>
      </w:r>
      <w:r w:rsidR="0062648B">
        <w:rPr>
          <w:rFonts w:asciiTheme="minorHAnsi" w:hAnsiTheme="minorHAnsi"/>
          <w:sz w:val="24"/>
          <w:szCs w:val="24"/>
        </w:rPr>
        <w:t xml:space="preserve">We would recommend that you speak to your Union representative in relation to what your options </w:t>
      </w:r>
      <w:r w:rsidR="00D773E3">
        <w:rPr>
          <w:rFonts w:asciiTheme="minorHAnsi" w:hAnsiTheme="minorHAnsi"/>
          <w:sz w:val="24"/>
          <w:szCs w:val="24"/>
        </w:rPr>
        <w:t xml:space="preserve">would be and whether they would be able to assist you in this road traffic accident case. </w:t>
      </w:r>
    </w:p>
    <w:p w14:paraId="145273FA" w14:textId="77777777" w:rsidR="0062648B" w:rsidRPr="003D7721" w:rsidRDefault="0062648B" w:rsidP="004811AF">
      <w:pPr>
        <w:spacing w:line="360" w:lineRule="auto"/>
        <w:jc w:val="both"/>
        <w:rPr>
          <w:rFonts w:asciiTheme="minorHAnsi" w:hAnsiTheme="minorHAnsi"/>
          <w:sz w:val="24"/>
          <w:szCs w:val="24"/>
        </w:rPr>
      </w:pPr>
    </w:p>
    <w:p w14:paraId="0469E4E3" w14:textId="21299118" w:rsidR="00D773E3" w:rsidRPr="00D773E3" w:rsidRDefault="000042CF" w:rsidP="004811AF">
      <w:pPr>
        <w:tabs>
          <w:tab w:val="num" w:pos="720"/>
        </w:tabs>
        <w:spacing w:line="360" w:lineRule="auto"/>
        <w:jc w:val="both"/>
        <w:rPr>
          <w:rFonts w:asciiTheme="minorHAnsi" w:hAnsiTheme="minorHAnsi"/>
          <w:sz w:val="24"/>
          <w:szCs w:val="24"/>
        </w:rPr>
      </w:pPr>
      <w:r>
        <w:rPr>
          <w:rFonts w:asciiTheme="minorHAnsi" w:hAnsiTheme="minorHAnsi"/>
          <w:sz w:val="24"/>
          <w:szCs w:val="24"/>
        </w:rPr>
        <w:t xml:space="preserve">In </w:t>
      </w:r>
      <w:r w:rsidR="00140655">
        <w:rPr>
          <w:rFonts w:asciiTheme="minorHAnsi" w:hAnsiTheme="minorHAnsi"/>
          <w:sz w:val="24"/>
          <w:szCs w:val="24"/>
        </w:rPr>
        <w:t>addition,</w:t>
      </w:r>
      <w:r>
        <w:rPr>
          <w:rFonts w:asciiTheme="minorHAnsi" w:hAnsiTheme="minorHAnsi"/>
          <w:sz w:val="24"/>
          <w:szCs w:val="24"/>
        </w:rPr>
        <w:t xml:space="preserve"> at the meeting, you also disclosed that you have household insurance</w:t>
      </w:r>
      <w:r w:rsidR="00D8359A">
        <w:rPr>
          <w:rFonts w:asciiTheme="minorHAnsi" w:hAnsiTheme="minorHAnsi"/>
          <w:sz w:val="24"/>
          <w:szCs w:val="24"/>
        </w:rPr>
        <w:t xml:space="preserve">. We would recommend that you contact your insurance provider to </w:t>
      </w:r>
      <w:r w:rsidR="00D71876" w:rsidRPr="00D773E3">
        <w:rPr>
          <w:rFonts w:asciiTheme="minorHAnsi" w:hAnsiTheme="minorHAnsi"/>
          <w:sz w:val="24"/>
          <w:szCs w:val="24"/>
        </w:rPr>
        <w:t>check the terms and conditions of your policy to understand what is covered and any exclusions that may appl</w:t>
      </w:r>
      <w:r w:rsidR="00D71876">
        <w:rPr>
          <w:rFonts w:asciiTheme="minorHAnsi" w:hAnsiTheme="minorHAnsi"/>
          <w:sz w:val="24"/>
          <w:szCs w:val="24"/>
        </w:rPr>
        <w:t xml:space="preserve">y. </w:t>
      </w:r>
      <w:r w:rsidR="00D773E3" w:rsidRPr="00D773E3">
        <w:rPr>
          <w:rFonts w:asciiTheme="minorHAnsi" w:hAnsiTheme="minorHAnsi"/>
          <w:sz w:val="24"/>
          <w:szCs w:val="24"/>
        </w:rPr>
        <w:t>Using a solicitor under your household insurance can be a convenient and cost-effective way to handle legal issues. Many home insurance policies include legal expenses cover, which can help with legal costs for issues such as personal injury claims, employment disputes, property conflicts, and consumer contract disagreements</w:t>
      </w:r>
      <w:r w:rsidR="001955BE">
        <w:rPr>
          <w:rFonts w:asciiTheme="minorHAnsi" w:hAnsiTheme="minorHAnsi"/>
          <w:sz w:val="24"/>
          <w:szCs w:val="24"/>
        </w:rPr>
        <w:t>. Current</w:t>
      </w:r>
      <w:r w:rsidR="00F42FE8">
        <w:rPr>
          <w:rFonts w:asciiTheme="minorHAnsi" w:hAnsiTheme="minorHAnsi"/>
          <w:sz w:val="24"/>
          <w:szCs w:val="24"/>
        </w:rPr>
        <w:t xml:space="preserve">ly the coverage limit is up to £100,000 per claim but please be aware that this can vary depending on your policy. </w:t>
      </w:r>
      <w:r w:rsidR="000E3475" w:rsidRPr="00D773E3">
        <w:rPr>
          <w:rFonts w:asciiTheme="minorHAnsi" w:hAnsiTheme="minorHAnsi"/>
          <w:sz w:val="24"/>
          <w:szCs w:val="24"/>
        </w:rPr>
        <w:t>Wh</w:t>
      </w:r>
      <w:r w:rsidR="000E3475">
        <w:rPr>
          <w:rFonts w:asciiTheme="minorHAnsi" w:hAnsiTheme="minorHAnsi"/>
          <w:sz w:val="24"/>
          <w:szCs w:val="24"/>
        </w:rPr>
        <w:t>ile</w:t>
      </w:r>
      <w:r w:rsidR="00F42FE8" w:rsidRPr="00D773E3">
        <w:rPr>
          <w:rFonts w:asciiTheme="minorHAnsi" w:hAnsiTheme="minorHAnsi"/>
          <w:sz w:val="24"/>
          <w:szCs w:val="24"/>
        </w:rPr>
        <w:t xml:space="preserve"> the insurance </w:t>
      </w:r>
      <w:r w:rsidR="00615080">
        <w:rPr>
          <w:rFonts w:asciiTheme="minorHAnsi" w:hAnsiTheme="minorHAnsi"/>
          <w:sz w:val="24"/>
          <w:szCs w:val="24"/>
        </w:rPr>
        <w:t xml:space="preserve">could </w:t>
      </w:r>
      <w:r w:rsidR="00F42FE8" w:rsidRPr="00D773E3">
        <w:rPr>
          <w:rFonts w:asciiTheme="minorHAnsi" w:hAnsiTheme="minorHAnsi"/>
          <w:sz w:val="24"/>
          <w:szCs w:val="24"/>
        </w:rPr>
        <w:t>cover</w:t>
      </w:r>
      <w:r w:rsidR="00615080">
        <w:rPr>
          <w:rFonts w:asciiTheme="minorHAnsi" w:hAnsiTheme="minorHAnsi"/>
          <w:sz w:val="24"/>
          <w:szCs w:val="24"/>
        </w:rPr>
        <w:t xml:space="preserve"> </w:t>
      </w:r>
      <w:r w:rsidR="00F42FE8" w:rsidRPr="00D773E3">
        <w:rPr>
          <w:rFonts w:asciiTheme="minorHAnsi" w:hAnsiTheme="minorHAnsi"/>
          <w:sz w:val="24"/>
          <w:szCs w:val="24"/>
        </w:rPr>
        <w:t xml:space="preserve">legal fees, there may be some costs you need to pay upfront, which </w:t>
      </w:r>
      <w:r w:rsidR="00615080">
        <w:rPr>
          <w:rFonts w:asciiTheme="minorHAnsi" w:hAnsiTheme="minorHAnsi"/>
          <w:sz w:val="24"/>
          <w:szCs w:val="24"/>
        </w:rPr>
        <w:t>may</w:t>
      </w:r>
      <w:r w:rsidR="00F42FE8" w:rsidRPr="00D773E3">
        <w:rPr>
          <w:rFonts w:asciiTheme="minorHAnsi" w:hAnsiTheme="minorHAnsi"/>
          <w:sz w:val="24"/>
          <w:szCs w:val="24"/>
        </w:rPr>
        <w:t xml:space="preserve"> be reimbursed later</w:t>
      </w:r>
      <w:r w:rsidR="00615080">
        <w:rPr>
          <w:rFonts w:asciiTheme="minorHAnsi" w:hAnsiTheme="minorHAnsi"/>
          <w:sz w:val="24"/>
          <w:szCs w:val="24"/>
        </w:rPr>
        <w:t xml:space="preserve">. </w:t>
      </w:r>
      <w:r w:rsidR="00F12DFC">
        <w:rPr>
          <w:rFonts w:asciiTheme="minorHAnsi" w:hAnsiTheme="minorHAnsi"/>
          <w:sz w:val="24"/>
          <w:szCs w:val="24"/>
        </w:rPr>
        <w:t xml:space="preserve">Please contact your insurer’s legal helpline directly to access your situation. </w:t>
      </w:r>
    </w:p>
    <w:p w14:paraId="0E2DF215" w14:textId="77777777" w:rsidR="000E3475" w:rsidRDefault="000E3475" w:rsidP="004811AF">
      <w:pPr>
        <w:spacing w:line="360" w:lineRule="auto"/>
        <w:jc w:val="both"/>
        <w:rPr>
          <w:rFonts w:asciiTheme="minorHAnsi" w:hAnsiTheme="minorHAnsi"/>
          <w:sz w:val="24"/>
          <w:szCs w:val="24"/>
        </w:rPr>
      </w:pPr>
    </w:p>
    <w:p w14:paraId="24CC6EE8" w14:textId="4EB14EEE" w:rsidR="008F359F" w:rsidRDefault="001F40C5" w:rsidP="004811AF">
      <w:pPr>
        <w:spacing w:line="360" w:lineRule="auto"/>
        <w:jc w:val="both"/>
        <w:rPr>
          <w:rFonts w:asciiTheme="minorHAnsi" w:hAnsiTheme="minorHAnsi"/>
          <w:sz w:val="24"/>
          <w:szCs w:val="24"/>
        </w:rPr>
      </w:pPr>
      <w:r>
        <w:rPr>
          <w:rFonts w:asciiTheme="minorHAnsi" w:hAnsiTheme="minorHAnsi"/>
          <w:sz w:val="24"/>
          <w:szCs w:val="24"/>
        </w:rPr>
        <w:lastRenderedPageBreak/>
        <w:t xml:space="preserve">Legal aid or </w:t>
      </w:r>
      <w:r w:rsidR="00A81BE8">
        <w:rPr>
          <w:rFonts w:asciiTheme="minorHAnsi" w:hAnsiTheme="minorHAnsi"/>
          <w:sz w:val="24"/>
          <w:szCs w:val="24"/>
        </w:rPr>
        <w:t>p</w:t>
      </w:r>
      <w:r>
        <w:rPr>
          <w:rFonts w:asciiTheme="minorHAnsi" w:hAnsiTheme="minorHAnsi"/>
          <w:sz w:val="24"/>
          <w:szCs w:val="24"/>
        </w:rPr>
        <w:t xml:space="preserve">ublic funding </w:t>
      </w:r>
      <w:r w:rsidR="00A81BE8">
        <w:rPr>
          <w:rFonts w:asciiTheme="minorHAnsi" w:hAnsiTheme="minorHAnsi"/>
          <w:sz w:val="24"/>
          <w:szCs w:val="24"/>
        </w:rPr>
        <w:t xml:space="preserve">under the Community Legal Service is not available in claims for damages for personal injury or death. </w:t>
      </w:r>
      <w:r w:rsidR="00BC456C">
        <w:rPr>
          <w:rFonts w:asciiTheme="minorHAnsi" w:hAnsiTheme="minorHAnsi"/>
          <w:sz w:val="24"/>
          <w:szCs w:val="24"/>
        </w:rPr>
        <w:t>(</w:t>
      </w:r>
      <w:r w:rsidR="006521DE">
        <w:rPr>
          <w:rFonts w:asciiTheme="minorHAnsi" w:hAnsiTheme="minorHAnsi"/>
          <w:sz w:val="24"/>
          <w:szCs w:val="24"/>
        </w:rPr>
        <w:t>LASPO, 2012, s.46(2).)</w:t>
      </w:r>
    </w:p>
    <w:p w14:paraId="6F878692" w14:textId="77777777" w:rsidR="008F359F" w:rsidRDefault="008F359F" w:rsidP="004811AF">
      <w:pPr>
        <w:spacing w:line="360" w:lineRule="auto"/>
        <w:jc w:val="both"/>
        <w:rPr>
          <w:rFonts w:asciiTheme="minorHAnsi" w:hAnsiTheme="minorHAnsi"/>
          <w:sz w:val="24"/>
          <w:szCs w:val="24"/>
        </w:rPr>
      </w:pPr>
    </w:p>
    <w:p w14:paraId="0F2E664A" w14:textId="51C78D60" w:rsidR="00D773E3" w:rsidRDefault="000E3475" w:rsidP="004811AF">
      <w:pPr>
        <w:spacing w:line="360" w:lineRule="auto"/>
        <w:jc w:val="both"/>
        <w:rPr>
          <w:rFonts w:asciiTheme="minorHAnsi" w:hAnsiTheme="minorHAnsi"/>
          <w:sz w:val="24"/>
          <w:szCs w:val="24"/>
        </w:rPr>
      </w:pPr>
      <w:r>
        <w:rPr>
          <w:rFonts w:asciiTheme="minorHAnsi" w:hAnsiTheme="minorHAnsi"/>
          <w:sz w:val="24"/>
          <w:szCs w:val="24"/>
        </w:rPr>
        <w:t>If the</w:t>
      </w:r>
      <w:r w:rsidR="003539A6">
        <w:rPr>
          <w:rFonts w:asciiTheme="minorHAnsi" w:hAnsiTheme="minorHAnsi"/>
          <w:sz w:val="24"/>
          <w:szCs w:val="24"/>
        </w:rPr>
        <w:t xml:space="preserve"> above two option</w:t>
      </w:r>
      <w:r w:rsidR="00F90489">
        <w:rPr>
          <w:rFonts w:asciiTheme="minorHAnsi" w:hAnsiTheme="minorHAnsi"/>
          <w:sz w:val="24"/>
          <w:szCs w:val="24"/>
        </w:rPr>
        <w:t>s</w:t>
      </w:r>
      <w:r w:rsidR="003539A6">
        <w:rPr>
          <w:rFonts w:asciiTheme="minorHAnsi" w:hAnsiTheme="minorHAnsi"/>
          <w:sz w:val="24"/>
          <w:szCs w:val="24"/>
        </w:rPr>
        <w:t xml:space="preserve"> are not suitable and you would prefer to instruct us to act in your </w:t>
      </w:r>
      <w:proofErr w:type="gramStart"/>
      <w:r w:rsidR="003539A6">
        <w:rPr>
          <w:rFonts w:asciiTheme="minorHAnsi" w:hAnsiTheme="minorHAnsi"/>
          <w:sz w:val="24"/>
          <w:szCs w:val="24"/>
        </w:rPr>
        <w:t>case</w:t>
      </w:r>
      <w:proofErr w:type="gramEnd"/>
      <w:r w:rsidR="003539A6">
        <w:rPr>
          <w:rFonts w:asciiTheme="minorHAnsi" w:hAnsiTheme="minorHAnsi"/>
          <w:sz w:val="24"/>
          <w:szCs w:val="24"/>
        </w:rPr>
        <w:t xml:space="preserve"> then p</w:t>
      </w:r>
      <w:r w:rsidR="00C240BB">
        <w:rPr>
          <w:rFonts w:asciiTheme="minorHAnsi" w:hAnsiTheme="minorHAnsi"/>
          <w:sz w:val="24"/>
          <w:szCs w:val="24"/>
        </w:rPr>
        <w:t xml:space="preserve">lease read the enclosed and let us know if you have any queries. </w:t>
      </w:r>
    </w:p>
    <w:p w14:paraId="53F7768C" w14:textId="77777777" w:rsidR="0062648B" w:rsidRDefault="0062648B" w:rsidP="004811AF">
      <w:pPr>
        <w:spacing w:line="360" w:lineRule="auto"/>
        <w:jc w:val="both"/>
        <w:rPr>
          <w:rFonts w:asciiTheme="minorHAnsi" w:hAnsiTheme="minorHAnsi"/>
          <w:sz w:val="24"/>
          <w:szCs w:val="24"/>
        </w:rPr>
      </w:pPr>
    </w:p>
    <w:p w14:paraId="10BD02BA" w14:textId="7A25A332" w:rsidR="00801AAF" w:rsidRPr="00DC7415" w:rsidRDefault="00DC7415" w:rsidP="004811AF">
      <w:pPr>
        <w:spacing w:line="360" w:lineRule="auto"/>
        <w:jc w:val="both"/>
        <w:rPr>
          <w:rFonts w:asciiTheme="minorHAnsi" w:hAnsiTheme="minorHAnsi"/>
          <w:sz w:val="24"/>
          <w:szCs w:val="24"/>
        </w:rPr>
      </w:pPr>
      <w:r w:rsidRPr="00DC7415">
        <w:rPr>
          <w:rFonts w:asciiTheme="minorHAnsi" w:hAnsiTheme="minorHAnsi"/>
          <w:sz w:val="24"/>
          <w:szCs w:val="24"/>
        </w:rPr>
        <w:t xml:space="preserve">As required by the Law Society, we enclose our Terms of Business letter in duplicate. We apologise for the somewhat formal nature of the letter but trust that you will appreciate that this is a professional requirement. If you are happy with the Terms of </w:t>
      </w:r>
      <w:r w:rsidR="00063598" w:rsidRPr="00DC7415">
        <w:rPr>
          <w:rFonts w:asciiTheme="minorHAnsi" w:hAnsiTheme="minorHAnsi"/>
          <w:sz w:val="24"/>
          <w:szCs w:val="24"/>
        </w:rPr>
        <w:t>Business,</w:t>
      </w:r>
      <w:r w:rsidRPr="00DC7415">
        <w:rPr>
          <w:rFonts w:asciiTheme="minorHAnsi" w:hAnsiTheme="minorHAnsi"/>
          <w:sz w:val="24"/>
          <w:szCs w:val="24"/>
        </w:rPr>
        <w:t xml:space="preserve"> then please return one copy of the signed letter. </w:t>
      </w:r>
      <w:r w:rsidR="006C4B1C">
        <w:rPr>
          <w:rFonts w:asciiTheme="minorHAnsi" w:hAnsiTheme="minorHAnsi"/>
          <w:sz w:val="24"/>
          <w:szCs w:val="24"/>
        </w:rPr>
        <w:t>(SRA Code of Conduct for Solicitors 2019, para 8.7).</w:t>
      </w:r>
    </w:p>
    <w:p w14:paraId="602E80F7" w14:textId="77777777" w:rsidR="00DC7415" w:rsidRPr="00DC7415" w:rsidRDefault="00DC7415" w:rsidP="004811AF">
      <w:pPr>
        <w:spacing w:line="360" w:lineRule="auto"/>
        <w:jc w:val="both"/>
        <w:rPr>
          <w:rFonts w:asciiTheme="minorHAnsi" w:hAnsiTheme="minorHAnsi"/>
          <w:sz w:val="24"/>
          <w:szCs w:val="24"/>
        </w:rPr>
      </w:pPr>
    </w:p>
    <w:p w14:paraId="3CBA1415" w14:textId="12557918" w:rsidR="00DC7415" w:rsidRPr="00DC7415" w:rsidRDefault="00DC7415" w:rsidP="004811AF">
      <w:pPr>
        <w:spacing w:line="360" w:lineRule="auto"/>
        <w:jc w:val="both"/>
        <w:rPr>
          <w:rFonts w:asciiTheme="minorHAnsi" w:hAnsiTheme="minorHAnsi"/>
          <w:sz w:val="24"/>
          <w:szCs w:val="24"/>
        </w:rPr>
      </w:pPr>
      <w:r w:rsidRPr="00DC7415">
        <w:rPr>
          <w:rFonts w:asciiTheme="minorHAnsi" w:hAnsiTheme="minorHAnsi"/>
          <w:sz w:val="24"/>
          <w:szCs w:val="24"/>
        </w:rPr>
        <w:t xml:space="preserve">In respect of the funding of your claim, </w:t>
      </w:r>
      <w:r w:rsidR="00C240BB">
        <w:rPr>
          <w:rFonts w:asciiTheme="minorHAnsi" w:hAnsiTheme="minorHAnsi"/>
          <w:sz w:val="24"/>
          <w:szCs w:val="24"/>
        </w:rPr>
        <w:t>we</w:t>
      </w:r>
      <w:r w:rsidRPr="00DC7415">
        <w:rPr>
          <w:rFonts w:asciiTheme="minorHAnsi" w:hAnsiTheme="minorHAnsi"/>
          <w:sz w:val="24"/>
          <w:szCs w:val="24"/>
        </w:rPr>
        <w:t xml:space="preserve"> a</w:t>
      </w:r>
      <w:r w:rsidR="00D13E55">
        <w:rPr>
          <w:rFonts w:asciiTheme="minorHAnsi" w:hAnsiTheme="minorHAnsi"/>
          <w:sz w:val="24"/>
          <w:szCs w:val="24"/>
        </w:rPr>
        <w:t>re</w:t>
      </w:r>
      <w:r w:rsidRPr="00DC7415">
        <w:rPr>
          <w:rFonts w:asciiTheme="minorHAnsi" w:hAnsiTheme="minorHAnsi"/>
          <w:sz w:val="24"/>
          <w:szCs w:val="24"/>
        </w:rPr>
        <w:t xml:space="preserve"> prepared to offer you a Conditional Fee Agreement known as a “No Win, No Fee” Agreement. Please carefully read through the Conditional Fee Agreement and Law Society Conditions and, if you are happy, please sign and return the Conditional Fee Agreement. </w:t>
      </w:r>
    </w:p>
    <w:p w14:paraId="10CA45EC" w14:textId="77777777" w:rsidR="00DC7415" w:rsidRDefault="00DC7415" w:rsidP="004811AF">
      <w:pPr>
        <w:spacing w:line="360" w:lineRule="auto"/>
        <w:jc w:val="both"/>
        <w:rPr>
          <w:rFonts w:asciiTheme="minorHAnsi" w:hAnsiTheme="minorHAnsi"/>
          <w:sz w:val="24"/>
          <w:szCs w:val="24"/>
        </w:rPr>
      </w:pPr>
    </w:p>
    <w:p w14:paraId="715B5EF4" w14:textId="022CB102" w:rsidR="007B4085" w:rsidRDefault="00DC7415" w:rsidP="004811AF">
      <w:pPr>
        <w:spacing w:line="360" w:lineRule="auto"/>
        <w:jc w:val="both"/>
        <w:rPr>
          <w:rFonts w:asciiTheme="minorHAnsi" w:hAnsiTheme="minorHAnsi"/>
          <w:sz w:val="24"/>
          <w:szCs w:val="24"/>
        </w:rPr>
      </w:pPr>
      <w:r w:rsidRPr="004811AF">
        <w:rPr>
          <w:rFonts w:asciiTheme="minorHAnsi" w:hAnsiTheme="minorHAnsi"/>
          <w:sz w:val="24"/>
          <w:szCs w:val="24"/>
        </w:rPr>
        <w:t>We confirm that if your claim is successful and is deal with pursuant to the</w:t>
      </w:r>
      <w:r w:rsidR="005634EF">
        <w:rPr>
          <w:rFonts w:asciiTheme="minorHAnsi" w:hAnsiTheme="minorHAnsi"/>
          <w:sz w:val="24"/>
          <w:szCs w:val="24"/>
        </w:rPr>
        <w:t xml:space="preserve"> Mini</w:t>
      </w:r>
      <w:r w:rsidR="001C49C9">
        <w:rPr>
          <w:rFonts w:asciiTheme="minorHAnsi" w:hAnsiTheme="minorHAnsi"/>
          <w:sz w:val="24"/>
          <w:szCs w:val="24"/>
        </w:rPr>
        <w:t>stry of J</w:t>
      </w:r>
      <w:r w:rsidR="005C3A76">
        <w:rPr>
          <w:rFonts w:asciiTheme="minorHAnsi" w:hAnsiTheme="minorHAnsi"/>
          <w:sz w:val="24"/>
          <w:szCs w:val="24"/>
        </w:rPr>
        <w:t>ust</w:t>
      </w:r>
      <w:r w:rsidR="001C49C9">
        <w:rPr>
          <w:rFonts w:asciiTheme="minorHAnsi" w:hAnsiTheme="minorHAnsi"/>
          <w:sz w:val="24"/>
          <w:szCs w:val="24"/>
        </w:rPr>
        <w:t>ice</w:t>
      </w:r>
      <w:r w:rsidRPr="004811AF">
        <w:rPr>
          <w:rFonts w:asciiTheme="minorHAnsi" w:hAnsiTheme="minorHAnsi"/>
          <w:sz w:val="24"/>
          <w:szCs w:val="24"/>
        </w:rPr>
        <w:t xml:space="preserve"> </w:t>
      </w:r>
      <w:r w:rsidR="005C3A76">
        <w:rPr>
          <w:rFonts w:asciiTheme="minorHAnsi" w:hAnsiTheme="minorHAnsi"/>
          <w:sz w:val="24"/>
          <w:szCs w:val="24"/>
        </w:rPr>
        <w:t>(</w:t>
      </w:r>
      <w:r w:rsidRPr="004811AF">
        <w:rPr>
          <w:rFonts w:asciiTheme="minorHAnsi" w:hAnsiTheme="minorHAnsi"/>
          <w:sz w:val="24"/>
          <w:szCs w:val="24"/>
        </w:rPr>
        <w:t>MOJ</w:t>
      </w:r>
      <w:r w:rsidR="005C3A76">
        <w:rPr>
          <w:rFonts w:asciiTheme="minorHAnsi" w:hAnsiTheme="minorHAnsi"/>
          <w:sz w:val="24"/>
          <w:szCs w:val="24"/>
        </w:rPr>
        <w:t xml:space="preserve">) </w:t>
      </w:r>
      <w:r w:rsidRPr="004811AF">
        <w:rPr>
          <w:rFonts w:asciiTheme="minorHAnsi" w:hAnsiTheme="minorHAnsi"/>
          <w:sz w:val="24"/>
          <w:szCs w:val="24"/>
        </w:rPr>
        <w:t xml:space="preserve">RTA Fast Track Process, we will </w:t>
      </w:r>
      <w:r w:rsidR="00227D12" w:rsidRPr="004811AF">
        <w:rPr>
          <w:rFonts w:asciiTheme="minorHAnsi" w:hAnsiTheme="minorHAnsi"/>
          <w:sz w:val="24"/>
          <w:szCs w:val="24"/>
        </w:rPr>
        <w:t>be p</w:t>
      </w:r>
      <w:r w:rsidRPr="004811AF">
        <w:rPr>
          <w:rFonts w:asciiTheme="minorHAnsi" w:hAnsiTheme="minorHAnsi"/>
          <w:sz w:val="24"/>
          <w:szCs w:val="24"/>
        </w:rPr>
        <w:t xml:space="preserve">aid a fixed fee by the </w:t>
      </w:r>
      <w:r w:rsidR="00CE4CC5" w:rsidRPr="004811AF">
        <w:rPr>
          <w:rFonts w:asciiTheme="minorHAnsi" w:hAnsiTheme="minorHAnsi"/>
          <w:sz w:val="24"/>
          <w:szCs w:val="24"/>
        </w:rPr>
        <w:t>insurers</w:t>
      </w:r>
      <w:r w:rsidRPr="004811AF">
        <w:rPr>
          <w:rFonts w:asciiTheme="minorHAnsi" w:hAnsiTheme="minorHAnsi"/>
          <w:sz w:val="24"/>
          <w:szCs w:val="24"/>
        </w:rPr>
        <w:t xml:space="preserve"> of </w:t>
      </w:r>
      <w:r w:rsidR="00CE4CC5" w:rsidRPr="004811AF">
        <w:rPr>
          <w:rFonts w:asciiTheme="minorHAnsi" w:hAnsiTheme="minorHAnsi"/>
          <w:sz w:val="24"/>
          <w:szCs w:val="24"/>
        </w:rPr>
        <w:t>typically</w:t>
      </w:r>
      <w:r w:rsidRPr="004811AF">
        <w:rPr>
          <w:rFonts w:asciiTheme="minorHAnsi" w:hAnsiTheme="minorHAnsi"/>
          <w:sz w:val="24"/>
          <w:szCs w:val="24"/>
        </w:rPr>
        <w:t xml:space="preserve"> £500.00 plus VAT in respect of our base costs plus the cost of a medical report </w:t>
      </w:r>
      <w:r w:rsidR="00CE4CC5" w:rsidRPr="004811AF">
        <w:rPr>
          <w:rFonts w:asciiTheme="minorHAnsi" w:hAnsiTheme="minorHAnsi"/>
          <w:sz w:val="24"/>
          <w:szCs w:val="24"/>
        </w:rPr>
        <w:t xml:space="preserve">as long as your claim for </w:t>
      </w:r>
      <w:r w:rsidRPr="004811AF">
        <w:rPr>
          <w:rFonts w:asciiTheme="minorHAnsi" w:hAnsiTheme="minorHAnsi"/>
          <w:sz w:val="24"/>
          <w:szCs w:val="24"/>
        </w:rPr>
        <w:t xml:space="preserve"> pain, suffering and loss of amenity is worth more than £5,000 or the overall value of your claim is worth more than £10,000. Please </w:t>
      </w:r>
      <w:r w:rsidR="00CE4CC5" w:rsidRPr="004811AF">
        <w:rPr>
          <w:rFonts w:asciiTheme="minorHAnsi" w:hAnsiTheme="minorHAnsi"/>
          <w:sz w:val="24"/>
          <w:szCs w:val="24"/>
        </w:rPr>
        <w:t xml:space="preserve">note that if your claim for pain, suffering and loss of amenity is worth less than £5,000 or the total value of your claim is worth less than £10,000 you will only be able to recover the cost of a medical report from the insurers but nothing in respect of our base costs. Our base costs are likely to be in the region of £1,800 plus VAT. </w:t>
      </w:r>
      <w:r w:rsidR="00E05702" w:rsidRPr="004811AF">
        <w:rPr>
          <w:rFonts w:asciiTheme="minorHAnsi" w:hAnsiTheme="minorHAnsi"/>
          <w:sz w:val="24"/>
          <w:szCs w:val="24"/>
        </w:rPr>
        <w:t>(CPR paras</w:t>
      </w:r>
      <w:r w:rsidR="00AC4168" w:rsidRPr="004811AF">
        <w:rPr>
          <w:rFonts w:asciiTheme="minorHAnsi" w:hAnsiTheme="minorHAnsi"/>
          <w:sz w:val="24"/>
          <w:szCs w:val="24"/>
        </w:rPr>
        <w:t xml:space="preserve"> 3.6-3.9). </w:t>
      </w:r>
      <w:r w:rsidR="00CE4CC5" w:rsidRPr="004811AF">
        <w:rPr>
          <w:rFonts w:asciiTheme="minorHAnsi" w:hAnsiTheme="minorHAnsi"/>
          <w:sz w:val="24"/>
          <w:szCs w:val="24"/>
        </w:rPr>
        <w:t>However please note that you will be not responsible for our base costs in this case.</w:t>
      </w:r>
      <w:r w:rsidR="00063598" w:rsidRPr="004811AF">
        <w:rPr>
          <w:rFonts w:asciiTheme="minorHAnsi" w:hAnsiTheme="minorHAnsi"/>
          <w:sz w:val="24"/>
          <w:szCs w:val="24"/>
        </w:rPr>
        <w:t xml:space="preserve"> </w:t>
      </w:r>
      <w:r w:rsidR="00C26BA9" w:rsidRPr="004811AF">
        <w:rPr>
          <w:rFonts w:asciiTheme="minorHAnsi" w:hAnsiTheme="minorHAnsi"/>
          <w:sz w:val="24"/>
          <w:szCs w:val="24"/>
        </w:rPr>
        <w:t>Any claim where the damages are expected to exceed £25,000 will generally be allocated to the multi-track. However, claims below this threshold may still be allocated to the multi-track depending on other factors that the court will consider.</w:t>
      </w:r>
      <w:r w:rsidR="00C26BA9" w:rsidRPr="00C26BA9">
        <w:rPr>
          <w:rFonts w:asciiTheme="minorHAnsi" w:hAnsiTheme="minorHAnsi"/>
          <w:sz w:val="24"/>
          <w:szCs w:val="24"/>
        </w:rPr>
        <w:t xml:space="preserve"> The £25,000 limit was raised on 6 April 2009 from the previous £15,000 threshold. The general guidelines for allocation are outlined in </w:t>
      </w:r>
      <w:r w:rsidR="00C26BA9">
        <w:rPr>
          <w:rFonts w:asciiTheme="minorHAnsi" w:hAnsiTheme="minorHAnsi"/>
          <w:sz w:val="24"/>
          <w:szCs w:val="24"/>
        </w:rPr>
        <w:t>(</w:t>
      </w:r>
      <w:r w:rsidR="00C26BA9" w:rsidRPr="00C26BA9">
        <w:rPr>
          <w:rFonts w:asciiTheme="minorHAnsi" w:hAnsiTheme="minorHAnsi"/>
          <w:sz w:val="24"/>
          <w:szCs w:val="24"/>
        </w:rPr>
        <w:t>CPR paras 26.7 and 26.8</w:t>
      </w:r>
      <w:r w:rsidR="000A61B8">
        <w:rPr>
          <w:rFonts w:asciiTheme="minorHAnsi" w:hAnsiTheme="minorHAnsi"/>
          <w:sz w:val="24"/>
          <w:szCs w:val="24"/>
        </w:rPr>
        <w:t>)</w:t>
      </w:r>
      <w:r w:rsidR="00C26BA9" w:rsidRPr="00C26BA9">
        <w:rPr>
          <w:rFonts w:asciiTheme="minorHAnsi" w:hAnsiTheme="minorHAnsi"/>
          <w:sz w:val="24"/>
          <w:szCs w:val="24"/>
        </w:rPr>
        <w:t xml:space="preserve">. In addition to the claim's value, other factors such as the </w:t>
      </w:r>
      <w:r w:rsidR="00C26BA9" w:rsidRPr="00C26BA9">
        <w:rPr>
          <w:rFonts w:asciiTheme="minorHAnsi" w:hAnsiTheme="minorHAnsi"/>
          <w:sz w:val="24"/>
          <w:szCs w:val="24"/>
        </w:rPr>
        <w:lastRenderedPageBreak/>
        <w:t>nature of the remedy sought (e.g., therapy or medical procedures), the value of any counterclaim, and any related claims will also influence how the case is allocated.</w:t>
      </w:r>
    </w:p>
    <w:p w14:paraId="6F9743DE" w14:textId="77777777" w:rsidR="007B4085" w:rsidRDefault="007B4085" w:rsidP="004811AF">
      <w:pPr>
        <w:spacing w:line="360" w:lineRule="auto"/>
        <w:jc w:val="both"/>
        <w:rPr>
          <w:rFonts w:asciiTheme="minorHAnsi" w:hAnsiTheme="minorHAnsi"/>
          <w:sz w:val="24"/>
          <w:szCs w:val="24"/>
        </w:rPr>
      </w:pPr>
    </w:p>
    <w:p w14:paraId="1B374CCA" w14:textId="34C7E9A6" w:rsidR="00DC7415" w:rsidRDefault="00063598" w:rsidP="004811AF">
      <w:pPr>
        <w:spacing w:line="360" w:lineRule="auto"/>
        <w:jc w:val="both"/>
        <w:rPr>
          <w:rFonts w:asciiTheme="minorHAnsi" w:hAnsiTheme="minorHAnsi"/>
          <w:sz w:val="24"/>
          <w:szCs w:val="24"/>
        </w:rPr>
      </w:pPr>
      <w:r>
        <w:rPr>
          <w:rFonts w:asciiTheme="minorHAnsi" w:hAnsiTheme="minorHAnsi"/>
          <w:sz w:val="24"/>
          <w:szCs w:val="24"/>
        </w:rPr>
        <w:t xml:space="preserve">At a cost of £500 payable by you, we will put in place After the Event (ATE) Insurance. Please be advised that this is legal expense insurance covers legal costs and expenses involved in litigation cases. This is purchase after an incident or a cause of action has occurred but prior to significant legal costs being incurred by the parties.  If you claim were to be </w:t>
      </w:r>
      <w:r w:rsidR="00F65060">
        <w:rPr>
          <w:rFonts w:asciiTheme="minorHAnsi" w:hAnsiTheme="minorHAnsi"/>
          <w:sz w:val="24"/>
          <w:szCs w:val="24"/>
        </w:rPr>
        <w:t>unsuccessful</w:t>
      </w:r>
      <w:r>
        <w:rPr>
          <w:rFonts w:asciiTheme="minorHAnsi" w:hAnsiTheme="minorHAnsi"/>
          <w:sz w:val="24"/>
          <w:szCs w:val="24"/>
        </w:rPr>
        <w:t xml:space="preserve"> then the After the Event </w:t>
      </w:r>
      <w:r w:rsidR="00F65060">
        <w:rPr>
          <w:rFonts w:asciiTheme="minorHAnsi" w:hAnsiTheme="minorHAnsi"/>
          <w:sz w:val="24"/>
          <w:szCs w:val="24"/>
        </w:rPr>
        <w:t>Insurance</w:t>
      </w:r>
      <w:r>
        <w:rPr>
          <w:rFonts w:asciiTheme="minorHAnsi" w:hAnsiTheme="minorHAnsi"/>
          <w:sz w:val="24"/>
          <w:szCs w:val="24"/>
        </w:rPr>
        <w:t xml:space="preserve"> would cover the cost as you the claimant must pay to the defendant. T</w:t>
      </w:r>
      <w:r w:rsidR="00F65060">
        <w:rPr>
          <w:rFonts w:asciiTheme="minorHAnsi" w:hAnsiTheme="minorHAnsi"/>
          <w:sz w:val="24"/>
          <w:szCs w:val="24"/>
        </w:rPr>
        <w:t xml:space="preserve">he cost includes </w:t>
      </w:r>
      <w:r w:rsidR="00FF075D">
        <w:rPr>
          <w:rFonts w:asciiTheme="minorHAnsi" w:hAnsiTheme="minorHAnsi"/>
          <w:sz w:val="24"/>
          <w:szCs w:val="24"/>
        </w:rPr>
        <w:t>solicitors’</w:t>
      </w:r>
      <w:r w:rsidR="00F65060">
        <w:rPr>
          <w:rFonts w:asciiTheme="minorHAnsi" w:hAnsiTheme="minorHAnsi"/>
          <w:sz w:val="24"/>
          <w:szCs w:val="24"/>
        </w:rPr>
        <w:t xml:space="preserve"> fees, court fees, counsel fees and obtaining medical expert report. </w:t>
      </w:r>
      <w:r>
        <w:rPr>
          <w:rFonts w:asciiTheme="minorHAnsi" w:hAnsiTheme="minorHAnsi"/>
          <w:sz w:val="24"/>
          <w:szCs w:val="24"/>
        </w:rPr>
        <w:t xml:space="preserve"> </w:t>
      </w:r>
      <w:r w:rsidR="00F65060">
        <w:rPr>
          <w:rFonts w:asciiTheme="minorHAnsi" w:hAnsiTheme="minorHAnsi"/>
          <w:sz w:val="24"/>
          <w:szCs w:val="24"/>
        </w:rPr>
        <w:t xml:space="preserve">Whilst we appreciate that it may seem unfair for you to pay this cost, it would ensure that </w:t>
      </w:r>
      <w:proofErr w:type="gramStart"/>
      <w:r w:rsidR="00F65060">
        <w:rPr>
          <w:rFonts w:asciiTheme="minorHAnsi" w:hAnsiTheme="minorHAnsi"/>
          <w:sz w:val="24"/>
          <w:szCs w:val="24"/>
        </w:rPr>
        <w:t>in the event that</w:t>
      </w:r>
      <w:proofErr w:type="gramEnd"/>
      <w:r w:rsidR="00F65060">
        <w:rPr>
          <w:rFonts w:asciiTheme="minorHAnsi" w:hAnsiTheme="minorHAnsi"/>
          <w:sz w:val="24"/>
          <w:szCs w:val="24"/>
        </w:rPr>
        <w:t xml:space="preserve"> your claim I unsuccessful then you will not have to pay anything further as the insurance will cover this. As you have disclosed that you have savings, may we suggest that you fund the ATE insurance from these savings as you have no disposable income as present. It is unknown at this stage whether the defendant of the other vehicle was insured at the time </w:t>
      </w:r>
      <w:r w:rsidR="00F65060" w:rsidRPr="00AC2A41">
        <w:rPr>
          <w:rFonts w:asciiTheme="minorHAnsi" w:hAnsiTheme="minorHAnsi"/>
          <w:sz w:val="24"/>
          <w:szCs w:val="24"/>
        </w:rPr>
        <w:t xml:space="preserve">of the incident. </w:t>
      </w:r>
      <w:r w:rsidR="00B82882">
        <w:rPr>
          <w:rFonts w:asciiTheme="minorHAnsi" w:hAnsiTheme="minorHAnsi"/>
          <w:sz w:val="24"/>
          <w:szCs w:val="24"/>
        </w:rPr>
        <w:t>(CPR</w:t>
      </w:r>
      <w:r w:rsidR="00CB220E">
        <w:rPr>
          <w:rFonts w:asciiTheme="minorHAnsi" w:hAnsiTheme="minorHAnsi"/>
          <w:sz w:val="24"/>
          <w:szCs w:val="24"/>
        </w:rPr>
        <w:t>, r44.3(2)).</w:t>
      </w:r>
    </w:p>
    <w:p w14:paraId="0E4ACCA1" w14:textId="77777777" w:rsidR="0062648B" w:rsidRPr="00AC2A41" w:rsidRDefault="0062648B" w:rsidP="004811AF">
      <w:pPr>
        <w:spacing w:line="360" w:lineRule="auto"/>
        <w:jc w:val="both"/>
        <w:rPr>
          <w:rFonts w:asciiTheme="minorHAnsi" w:hAnsiTheme="minorHAnsi"/>
          <w:sz w:val="24"/>
          <w:szCs w:val="24"/>
        </w:rPr>
      </w:pPr>
    </w:p>
    <w:p w14:paraId="1318021D" w14:textId="394FB863" w:rsidR="00DC7415" w:rsidRDefault="00F65060" w:rsidP="004811AF">
      <w:pPr>
        <w:spacing w:line="360" w:lineRule="auto"/>
        <w:jc w:val="both"/>
        <w:rPr>
          <w:rFonts w:asciiTheme="minorHAnsi" w:hAnsiTheme="minorHAnsi"/>
          <w:sz w:val="24"/>
          <w:szCs w:val="24"/>
        </w:rPr>
      </w:pPr>
      <w:r w:rsidRPr="00AC2A41">
        <w:rPr>
          <w:rFonts w:asciiTheme="minorHAnsi" w:hAnsiTheme="minorHAnsi"/>
          <w:sz w:val="24"/>
          <w:szCs w:val="24"/>
        </w:rPr>
        <w:t xml:space="preserve">If you lose your </w:t>
      </w:r>
      <w:r w:rsidR="00FF075D" w:rsidRPr="00AC2A41">
        <w:rPr>
          <w:rFonts w:asciiTheme="minorHAnsi" w:hAnsiTheme="minorHAnsi"/>
          <w:sz w:val="24"/>
          <w:szCs w:val="24"/>
        </w:rPr>
        <w:t>claim,</w:t>
      </w:r>
      <w:r w:rsidRPr="00AC2A41">
        <w:rPr>
          <w:rFonts w:asciiTheme="minorHAnsi" w:hAnsiTheme="minorHAnsi"/>
          <w:sz w:val="24"/>
          <w:szCs w:val="24"/>
        </w:rPr>
        <w:t xml:space="preserve"> you will normally </w:t>
      </w:r>
      <w:r w:rsidR="00AC2A41" w:rsidRPr="00AC2A41">
        <w:rPr>
          <w:rFonts w:asciiTheme="minorHAnsi" w:hAnsiTheme="minorHAnsi"/>
          <w:sz w:val="24"/>
          <w:szCs w:val="24"/>
        </w:rPr>
        <w:t>have</w:t>
      </w:r>
      <w:r w:rsidRPr="00AC2A41">
        <w:rPr>
          <w:rFonts w:asciiTheme="minorHAnsi" w:hAnsiTheme="minorHAnsi"/>
          <w:sz w:val="24"/>
          <w:szCs w:val="24"/>
        </w:rPr>
        <w:t xml:space="preserve"> the benefit of Qualified One-Way Cost Shifting so the court will not usually enforce an order for costs again you unless proceedings have been struck out, or the claim is fundamentally honest or the claim incudes a claim for the financial benefit of someone else. If you lose then you do not pay our </w:t>
      </w:r>
      <w:proofErr w:type="gramStart"/>
      <w:r w:rsidRPr="00AC2A41">
        <w:rPr>
          <w:rFonts w:asciiTheme="minorHAnsi" w:hAnsiTheme="minorHAnsi"/>
          <w:sz w:val="24"/>
          <w:szCs w:val="24"/>
        </w:rPr>
        <w:t>charges</w:t>
      </w:r>
      <w:proofErr w:type="gramEnd"/>
      <w:r w:rsidRPr="00AC2A41">
        <w:rPr>
          <w:rFonts w:asciiTheme="minorHAnsi" w:hAnsiTheme="minorHAnsi"/>
          <w:sz w:val="24"/>
          <w:szCs w:val="24"/>
        </w:rPr>
        <w:t xml:space="preserve"> but we may require you to pay our expenses and disbursements which will be covered by the ATE insurance. </w:t>
      </w:r>
    </w:p>
    <w:p w14:paraId="0E74A20A" w14:textId="77777777" w:rsidR="00B2471B" w:rsidRDefault="00B2471B" w:rsidP="00AC2A41">
      <w:pPr>
        <w:spacing w:line="360" w:lineRule="auto"/>
        <w:jc w:val="both"/>
        <w:rPr>
          <w:rFonts w:asciiTheme="minorHAnsi" w:hAnsiTheme="minorHAnsi"/>
          <w:sz w:val="24"/>
          <w:szCs w:val="24"/>
        </w:rPr>
      </w:pPr>
    </w:p>
    <w:p w14:paraId="60B33D6A" w14:textId="77777777" w:rsidR="00B2471B" w:rsidRPr="00AC2A41" w:rsidRDefault="00B2471B" w:rsidP="00AC2A41">
      <w:pPr>
        <w:spacing w:line="360" w:lineRule="auto"/>
        <w:jc w:val="both"/>
        <w:rPr>
          <w:rFonts w:asciiTheme="minorHAnsi" w:hAnsiTheme="minorHAnsi"/>
          <w:sz w:val="24"/>
          <w:szCs w:val="24"/>
        </w:rPr>
      </w:pPr>
    </w:p>
    <w:p w14:paraId="2BFD1158" w14:textId="73C7FE47" w:rsidR="004811AF" w:rsidRDefault="004811AF">
      <w:pPr>
        <w:spacing w:after="160" w:line="278" w:lineRule="auto"/>
      </w:pPr>
      <w:r>
        <w:br w:type="page"/>
      </w:r>
    </w:p>
    <w:p w14:paraId="70B0FB54" w14:textId="5A3D963C" w:rsidR="00801AAF" w:rsidRDefault="00801AAF" w:rsidP="00801AAF">
      <w:pPr>
        <w:pStyle w:val="Heading2"/>
      </w:pPr>
      <w:bookmarkStart w:id="1" w:name="_Toc191811625"/>
      <w:r w:rsidRPr="00542E98">
        <w:lastRenderedPageBreak/>
        <w:t>Task 2</w:t>
      </w:r>
      <w:bookmarkEnd w:id="1"/>
      <w:r>
        <w:t xml:space="preserve"> </w:t>
      </w:r>
    </w:p>
    <w:p w14:paraId="6F943753" w14:textId="77777777" w:rsidR="00AB3308" w:rsidRDefault="00AB3308" w:rsidP="004A6C84">
      <w:pPr>
        <w:spacing w:after="870" w:line="360" w:lineRule="auto"/>
        <w:jc w:val="both"/>
        <w:rPr>
          <w:rFonts w:ascii="Arial" w:hAnsi="Arial" w:cs="Arial"/>
          <w:sz w:val="24"/>
          <w:szCs w:val="24"/>
        </w:rPr>
      </w:pPr>
    </w:p>
    <w:p w14:paraId="6D26CCE1" w14:textId="08C40698" w:rsidR="00CF2279" w:rsidRPr="00AB3308" w:rsidRDefault="0090270E" w:rsidP="00AB3308">
      <w:pPr>
        <w:spacing w:after="870" w:line="360" w:lineRule="auto"/>
        <w:jc w:val="both"/>
        <w:rPr>
          <w:rFonts w:asciiTheme="minorHAnsi" w:hAnsiTheme="minorHAnsi" w:cs="Arial"/>
          <w:sz w:val="24"/>
          <w:szCs w:val="24"/>
        </w:rPr>
      </w:pPr>
      <w:r w:rsidRPr="00AB3308">
        <w:rPr>
          <w:rFonts w:asciiTheme="minorHAnsi" w:hAnsiTheme="minorHAnsi" w:cs="Arial"/>
          <w:sz w:val="24"/>
          <w:szCs w:val="24"/>
        </w:rPr>
        <w:t>Dear Andrew</w:t>
      </w:r>
      <w:r w:rsidR="00AB3308" w:rsidRPr="00AB3308">
        <w:rPr>
          <w:rFonts w:asciiTheme="minorHAnsi" w:hAnsiTheme="minorHAnsi" w:cs="Arial"/>
          <w:sz w:val="24"/>
          <w:szCs w:val="24"/>
        </w:rPr>
        <w:t>,</w:t>
      </w:r>
    </w:p>
    <w:p w14:paraId="2B49667A" w14:textId="268EF6ED" w:rsidR="000A6D08" w:rsidRDefault="0090270E" w:rsidP="00AB3308">
      <w:pPr>
        <w:spacing w:after="870" w:line="360" w:lineRule="auto"/>
        <w:jc w:val="both"/>
        <w:rPr>
          <w:rFonts w:asciiTheme="minorHAnsi" w:hAnsiTheme="minorHAnsi" w:cs="Arial"/>
          <w:sz w:val="24"/>
          <w:szCs w:val="24"/>
        </w:rPr>
      </w:pPr>
      <w:r w:rsidRPr="00AB3308">
        <w:rPr>
          <w:rFonts w:asciiTheme="minorHAnsi" w:hAnsiTheme="minorHAnsi" w:cs="Arial"/>
          <w:sz w:val="24"/>
          <w:szCs w:val="24"/>
        </w:rPr>
        <w:t xml:space="preserve">Following your initial </w:t>
      </w:r>
      <w:r w:rsidR="00322A0C" w:rsidRPr="00AB3308">
        <w:rPr>
          <w:rFonts w:asciiTheme="minorHAnsi" w:hAnsiTheme="minorHAnsi" w:cs="Arial"/>
          <w:sz w:val="24"/>
          <w:szCs w:val="24"/>
        </w:rPr>
        <w:t xml:space="preserve">meeting with Michelle </w:t>
      </w:r>
      <w:r w:rsidR="00720C32" w:rsidRPr="00AB3308">
        <w:rPr>
          <w:rFonts w:asciiTheme="minorHAnsi" w:hAnsiTheme="minorHAnsi" w:cs="Arial"/>
          <w:sz w:val="24"/>
          <w:szCs w:val="24"/>
        </w:rPr>
        <w:t>Wayne,</w:t>
      </w:r>
      <w:r w:rsidR="00421E02" w:rsidRPr="00AB3308">
        <w:rPr>
          <w:rFonts w:asciiTheme="minorHAnsi" w:hAnsiTheme="minorHAnsi" w:cs="Arial"/>
          <w:sz w:val="24"/>
          <w:szCs w:val="24"/>
        </w:rPr>
        <w:t xml:space="preserve"> </w:t>
      </w:r>
      <w:r w:rsidR="000A6D08" w:rsidRPr="00AB3308">
        <w:rPr>
          <w:rFonts w:asciiTheme="minorHAnsi" w:hAnsiTheme="minorHAnsi" w:cs="Arial"/>
          <w:sz w:val="24"/>
          <w:szCs w:val="24"/>
        </w:rPr>
        <w:t xml:space="preserve">we require the following information </w:t>
      </w:r>
      <w:r w:rsidR="0073167C" w:rsidRPr="00AB3308">
        <w:rPr>
          <w:rFonts w:asciiTheme="minorHAnsi" w:hAnsiTheme="minorHAnsi" w:cs="Arial"/>
          <w:sz w:val="24"/>
          <w:szCs w:val="24"/>
        </w:rPr>
        <w:t xml:space="preserve">from </w:t>
      </w:r>
      <w:r w:rsidR="00421E02" w:rsidRPr="00AB3308">
        <w:rPr>
          <w:rFonts w:asciiTheme="minorHAnsi" w:hAnsiTheme="minorHAnsi" w:cs="Arial"/>
          <w:sz w:val="24"/>
          <w:szCs w:val="24"/>
        </w:rPr>
        <w:t>her</w:t>
      </w:r>
      <w:r w:rsidR="00C9740B">
        <w:rPr>
          <w:rFonts w:asciiTheme="minorHAnsi" w:hAnsiTheme="minorHAnsi" w:cs="Arial"/>
          <w:sz w:val="24"/>
          <w:szCs w:val="24"/>
        </w:rPr>
        <w:t xml:space="preserve"> as </w:t>
      </w:r>
      <w:proofErr w:type="gramStart"/>
      <w:r w:rsidR="00C9740B">
        <w:rPr>
          <w:rFonts w:asciiTheme="minorHAnsi" w:hAnsiTheme="minorHAnsi" w:cs="Arial"/>
          <w:sz w:val="24"/>
          <w:szCs w:val="24"/>
        </w:rPr>
        <w:t>follows:-</w:t>
      </w:r>
      <w:proofErr w:type="gramEnd"/>
    </w:p>
    <w:p w14:paraId="4D7A4DAA" w14:textId="3CDA4A58" w:rsidR="00385ECE" w:rsidRPr="00C9424F" w:rsidRDefault="00385ECE" w:rsidP="00AB3308">
      <w:pPr>
        <w:spacing w:after="870" w:line="360" w:lineRule="auto"/>
        <w:jc w:val="both"/>
        <w:rPr>
          <w:rFonts w:asciiTheme="minorHAnsi" w:hAnsiTheme="minorHAnsi" w:cs="Arial"/>
          <w:b/>
          <w:bCs/>
          <w:sz w:val="24"/>
          <w:szCs w:val="24"/>
          <w:u w:val="single"/>
        </w:rPr>
      </w:pPr>
      <w:r w:rsidRPr="00C9424F">
        <w:rPr>
          <w:rFonts w:asciiTheme="minorHAnsi" w:hAnsiTheme="minorHAnsi" w:cs="Arial"/>
          <w:b/>
          <w:bCs/>
          <w:sz w:val="24"/>
          <w:szCs w:val="24"/>
          <w:u w:val="single"/>
        </w:rPr>
        <w:t>Keys points</w:t>
      </w:r>
      <w:r w:rsidR="00C9740B">
        <w:rPr>
          <w:rFonts w:asciiTheme="minorHAnsi" w:hAnsiTheme="minorHAnsi" w:cs="Arial"/>
          <w:b/>
          <w:bCs/>
          <w:sz w:val="24"/>
          <w:szCs w:val="24"/>
          <w:u w:val="single"/>
        </w:rPr>
        <w:t xml:space="preserve"> </w:t>
      </w:r>
    </w:p>
    <w:p w14:paraId="26D49E5F" w14:textId="4CA1E49B" w:rsidR="006300F3" w:rsidRPr="00421E02" w:rsidRDefault="00421E02" w:rsidP="00AB3308">
      <w:pPr>
        <w:pStyle w:val="ListParagraph"/>
        <w:numPr>
          <w:ilvl w:val="0"/>
          <w:numId w:val="9"/>
        </w:numPr>
        <w:spacing w:after="870" w:line="360" w:lineRule="auto"/>
        <w:jc w:val="both"/>
        <w:rPr>
          <w:rFonts w:ascii="Arial" w:hAnsi="Arial" w:cs="Arial"/>
          <w:sz w:val="24"/>
          <w:szCs w:val="24"/>
        </w:rPr>
      </w:pPr>
      <w:r w:rsidRPr="00421E02">
        <w:rPr>
          <w:rFonts w:ascii="Arial" w:hAnsi="Arial" w:cs="Arial"/>
          <w:sz w:val="24"/>
          <w:szCs w:val="24"/>
        </w:rPr>
        <w:t>T</w:t>
      </w:r>
      <w:r w:rsidR="0073167C" w:rsidRPr="00421E02">
        <w:rPr>
          <w:rFonts w:ascii="Arial" w:hAnsi="Arial" w:cs="Arial"/>
          <w:sz w:val="24"/>
          <w:szCs w:val="24"/>
        </w:rPr>
        <w:t xml:space="preserve">o provide us with the date of the accident to ensure that we have not exceeded the limitation period </w:t>
      </w:r>
      <w:r w:rsidR="00904B3B">
        <w:rPr>
          <w:rFonts w:ascii="Arial" w:hAnsi="Arial" w:cs="Arial"/>
          <w:sz w:val="24"/>
          <w:szCs w:val="24"/>
        </w:rPr>
        <w:t>(</w:t>
      </w:r>
      <w:r w:rsidR="00FF768A">
        <w:rPr>
          <w:rFonts w:ascii="Arial" w:hAnsi="Arial" w:cs="Arial"/>
          <w:sz w:val="24"/>
          <w:szCs w:val="24"/>
        </w:rPr>
        <w:t xml:space="preserve">Limitation Act </w:t>
      </w:r>
      <w:r w:rsidR="00DB7A46">
        <w:rPr>
          <w:rFonts w:ascii="Arial" w:hAnsi="Arial" w:cs="Arial"/>
          <w:sz w:val="24"/>
          <w:szCs w:val="24"/>
        </w:rPr>
        <w:t>[</w:t>
      </w:r>
      <w:r w:rsidR="00FF768A">
        <w:rPr>
          <w:rFonts w:ascii="Arial" w:hAnsi="Arial" w:cs="Arial"/>
          <w:sz w:val="24"/>
          <w:szCs w:val="24"/>
        </w:rPr>
        <w:t>1980</w:t>
      </w:r>
      <w:r w:rsidR="00DB7A46">
        <w:rPr>
          <w:rFonts w:ascii="Arial" w:hAnsi="Arial" w:cs="Arial"/>
          <w:sz w:val="24"/>
          <w:szCs w:val="24"/>
        </w:rPr>
        <w:t>])</w:t>
      </w:r>
      <w:r w:rsidR="00FF768A" w:rsidRPr="00F7479A">
        <w:rPr>
          <w:rFonts w:ascii="Arial" w:hAnsi="Arial" w:cs="Arial"/>
          <w:b/>
          <w:bCs/>
          <w:sz w:val="24"/>
          <w:szCs w:val="24"/>
        </w:rPr>
        <w:t>.</w:t>
      </w:r>
      <w:r w:rsidR="00385ECE">
        <w:rPr>
          <w:rFonts w:ascii="Arial" w:hAnsi="Arial" w:cs="Arial"/>
          <w:b/>
          <w:bCs/>
          <w:sz w:val="24"/>
          <w:szCs w:val="24"/>
        </w:rPr>
        <w:t xml:space="preserve"> </w:t>
      </w:r>
      <w:r w:rsidR="00F7479A">
        <w:rPr>
          <w:rFonts w:ascii="Arial" w:hAnsi="Arial" w:cs="Arial"/>
          <w:sz w:val="24"/>
          <w:szCs w:val="24"/>
        </w:rPr>
        <w:t xml:space="preserve">As this is </w:t>
      </w:r>
      <w:r w:rsidR="00E81287">
        <w:rPr>
          <w:rFonts w:ascii="Arial" w:hAnsi="Arial" w:cs="Arial"/>
          <w:sz w:val="24"/>
          <w:szCs w:val="24"/>
        </w:rPr>
        <w:t xml:space="preserve">a personal </w:t>
      </w:r>
      <w:r w:rsidR="00DB0796">
        <w:rPr>
          <w:rFonts w:ascii="Arial" w:hAnsi="Arial" w:cs="Arial"/>
          <w:sz w:val="24"/>
          <w:szCs w:val="24"/>
        </w:rPr>
        <w:t>injury</w:t>
      </w:r>
      <w:r w:rsidR="00E81287">
        <w:rPr>
          <w:rFonts w:ascii="Arial" w:hAnsi="Arial" w:cs="Arial"/>
          <w:sz w:val="24"/>
          <w:szCs w:val="24"/>
        </w:rPr>
        <w:t xml:space="preserve"> claim then the </w:t>
      </w:r>
      <w:r w:rsidR="00DB0796">
        <w:rPr>
          <w:rFonts w:ascii="Arial" w:hAnsi="Arial" w:cs="Arial"/>
          <w:sz w:val="24"/>
          <w:szCs w:val="24"/>
        </w:rPr>
        <w:t>limitation</w:t>
      </w:r>
      <w:r w:rsidR="00E81287">
        <w:rPr>
          <w:rFonts w:ascii="Arial" w:hAnsi="Arial" w:cs="Arial"/>
          <w:sz w:val="24"/>
          <w:szCs w:val="24"/>
        </w:rPr>
        <w:t xml:space="preserve"> period is 3 years form the date of the accident. In other claims then </w:t>
      </w:r>
      <w:r w:rsidR="00DB0796">
        <w:rPr>
          <w:rFonts w:ascii="Arial" w:hAnsi="Arial" w:cs="Arial"/>
          <w:sz w:val="24"/>
          <w:szCs w:val="24"/>
        </w:rPr>
        <w:t>the</w:t>
      </w:r>
      <w:r w:rsidR="00E81287">
        <w:rPr>
          <w:rFonts w:ascii="Arial" w:hAnsi="Arial" w:cs="Arial"/>
          <w:sz w:val="24"/>
          <w:szCs w:val="24"/>
        </w:rPr>
        <w:t xml:space="preserve"> limit is 6 years for debt. As per the (cite </w:t>
      </w:r>
      <w:r w:rsidR="00DB0796">
        <w:rPr>
          <w:rFonts w:ascii="Arial" w:hAnsi="Arial" w:cs="Arial"/>
          <w:sz w:val="24"/>
          <w:szCs w:val="24"/>
        </w:rPr>
        <w:t>legislation</w:t>
      </w:r>
      <w:r w:rsidR="00E81287">
        <w:rPr>
          <w:rFonts w:ascii="Arial" w:hAnsi="Arial" w:cs="Arial"/>
          <w:sz w:val="24"/>
          <w:szCs w:val="24"/>
        </w:rPr>
        <w:t xml:space="preserve"> here) </w:t>
      </w:r>
      <w:r w:rsidR="009179ED">
        <w:rPr>
          <w:rFonts w:ascii="Arial" w:hAnsi="Arial" w:cs="Arial"/>
          <w:sz w:val="24"/>
          <w:szCs w:val="24"/>
        </w:rPr>
        <w:t xml:space="preserve">For </w:t>
      </w:r>
      <w:r w:rsidR="009179ED" w:rsidRPr="009179ED">
        <w:rPr>
          <w:rFonts w:ascii="Arial" w:hAnsi="Arial" w:cs="Arial"/>
          <w:sz w:val="24"/>
          <w:szCs w:val="24"/>
        </w:rPr>
        <w:t xml:space="preserve">the purposes of the </w:t>
      </w:r>
      <w:r w:rsidR="009179ED" w:rsidRPr="00F754AC">
        <w:rPr>
          <w:rFonts w:ascii="Arial" w:hAnsi="Arial" w:cs="Arial"/>
          <w:sz w:val="24"/>
          <w:szCs w:val="24"/>
        </w:rPr>
        <w:t xml:space="preserve">Limitation Act </w:t>
      </w:r>
      <w:r w:rsidR="00F754AC">
        <w:rPr>
          <w:rFonts w:ascii="Arial" w:hAnsi="Arial" w:cs="Arial"/>
          <w:sz w:val="24"/>
          <w:szCs w:val="24"/>
        </w:rPr>
        <w:t>[</w:t>
      </w:r>
      <w:r w:rsidR="009179ED" w:rsidRPr="00F754AC">
        <w:rPr>
          <w:rFonts w:ascii="Arial" w:hAnsi="Arial" w:cs="Arial"/>
          <w:sz w:val="24"/>
          <w:szCs w:val="24"/>
        </w:rPr>
        <w:t>1980</w:t>
      </w:r>
      <w:r w:rsidR="00F754AC">
        <w:rPr>
          <w:rFonts w:ascii="Arial" w:hAnsi="Arial" w:cs="Arial"/>
          <w:sz w:val="24"/>
          <w:szCs w:val="24"/>
        </w:rPr>
        <w:t>]</w:t>
      </w:r>
      <w:r w:rsidR="009179ED" w:rsidRPr="00F754AC">
        <w:rPr>
          <w:rFonts w:ascii="Arial" w:hAnsi="Arial" w:cs="Arial"/>
          <w:sz w:val="24"/>
          <w:szCs w:val="24"/>
        </w:rPr>
        <w:t xml:space="preserve"> </w:t>
      </w:r>
      <w:r w:rsidR="009179ED" w:rsidRPr="009179ED">
        <w:rPr>
          <w:rFonts w:ascii="Arial" w:hAnsi="Arial" w:cs="Arial"/>
          <w:sz w:val="24"/>
          <w:szCs w:val="24"/>
        </w:rPr>
        <w:t>a claim is “brought”, and time will stop running</w:t>
      </w:r>
      <w:r w:rsidR="00DB0796">
        <w:rPr>
          <w:rFonts w:ascii="Arial" w:hAnsi="Arial" w:cs="Arial"/>
          <w:sz w:val="24"/>
          <w:szCs w:val="24"/>
        </w:rPr>
        <w:t>.</w:t>
      </w:r>
    </w:p>
    <w:p w14:paraId="558A7FB9" w14:textId="4261E7ED" w:rsidR="000A6D08" w:rsidRPr="00421E02" w:rsidRDefault="000A6D08" w:rsidP="004A6C84">
      <w:pPr>
        <w:pStyle w:val="ListParagraph"/>
        <w:numPr>
          <w:ilvl w:val="0"/>
          <w:numId w:val="9"/>
        </w:numPr>
        <w:spacing w:after="870" w:line="360" w:lineRule="auto"/>
        <w:jc w:val="both"/>
        <w:rPr>
          <w:rFonts w:ascii="Arial" w:hAnsi="Arial" w:cs="Arial"/>
          <w:sz w:val="24"/>
          <w:szCs w:val="24"/>
        </w:rPr>
      </w:pPr>
      <w:r w:rsidRPr="00421E02">
        <w:rPr>
          <w:rFonts w:ascii="Arial" w:hAnsi="Arial" w:cs="Arial"/>
          <w:sz w:val="24"/>
          <w:szCs w:val="24"/>
        </w:rPr>
        <w:t xml:space="preserve">Provide us with </w:t>
      </w:r>
      <w:r w:rsidR="0006782E" w:rsidRPr="00421E02">
        <w:rPr>
          <w:rFonts w:ascii="Arial" w:hAnsi="Arial" w:cs="Arial"/>
          <w:sz w:val="24"/>
          <w:szCs w:val="24"/>
        </w:rPr>
        <w:t>up-to-date</w:t>
      </w:r>
      <w:r w:rsidRPr="00421E02">
        <w:rPr>
          <w:rFonts w:ascii="Arial" w:hAnsi="Arial" w:cs="Arial"/>
          <w:sz w:val="24"/>
          <w:szCs w:val="24"/>
        </w:rPr>
        <w:t xml:space="preserve"> payslips and confirmation if she has had time off work </w:t>
      </w:r>
    </w:p>
    <w:p w14:paraId="40AED120" w14:textId="61D1366F" w:rsidR="000A6D08" w:rsidRPr="00421E02" w:rsidRDefault="000A6D08" w:rsidP="004A6C84">
      <w:pPr>
        <w:pStyle w:val="ListParagraph"/>
        <w:numPr>
          <w:ilvl w:val="0"/>
          <w:numId w:val="9"/>
        </w:numPr>
        <w:spacing w:after="870" w:line="360" w:lineRule="auto"/>
        <w:jc w:val="both"/>
        <w:rPr>
          <w:rFonts w:ascii="Arial" w:hAnsi="Arial" w:cs="Arial"/>
          <w:sz w:val="24"/>
          <w:szCs w:val="24"/>
        </w:rPr>
      </w:pPr>
      <w:r w:rsidRPr="00421E02">
        <w:rPr>
          <w:rFonts w:ascii="Arial" w:hAnsi="Arial" w:cs="Arial"/>
          <w:sz w:val="24"/>
          <w:szCs w:val="24"/>
        </w:rPr>
        <w:t xml:space="preserve">Whether </w:t>
      </w:r>
      <w:r w:rsidR="0006782E" w:rsidRPr="00421E02">
        <w:rPr>
          <w:rFonts w:ascii="Arial" w:hAnsi="Arial" w:cs="Arial"/>
          <w:sz w:val="24"/>
          <w:szCs w:val="24"/>
        </w:rPr>
        <w:t xml:space="preserve">she has applied for benefits if she has been unable to work </w:t>
      </w:r>
    </w:p>
    <w:p w14:paraId="54965F70" w14:textId="66849907" w:rsidR="0006782E" w:rsidRDefault="0072443E" w:rsidP="004A6C84">
      <w:pPr>
        <w:pStyle w:val="ListParagraph"/>
        <w:numPr>
          <w:ilvl w:val="0"/>
          <w:numId w:val="9"/>
        </w:numPr>
        <w:spacing w:after="870" w:line="360" w:lineRule="auto"/>
        <w:jc w:val="both"/>
        <w:rPr>
          <w:rFonts w:ascii="Arial" w:hAnsi="Arial" w:cs="Arial"/>
          <w:sz w:val="24"/>
          <w:szCs w:val="24"/>
        </w:rPr>
      </w:pPr>
      <w:r w:rsidRPr="00421E02">
        <w:rPr>
          <w:rFonts w:ascii="Arial" w:hAnsi="Arial" w:cs="Arial"/>
          <w:sz w:val="24"/>
          <w:szCs w:val="24"/>
        </w:rPr>
        <w:t xml:space="preserve">Details of any medical appointments she </w:t>
      </w:r>
      <w:r w:rsidR="004A6C84">
        <w:rPr>
          <w:rFonts w:ascii="Arial" w:hAnsi="Arial" w:cs="Arial"/>
          <w:sz w:val="24"/>
          <w:szCs w:val="24"/>
        </w:rPr>
        <w:t xml:space="preserve">has </w:t>
      </w:r>
      <w:r w:rsidRPr="00421E02">
        <w:rPr>
          <w:rFonts w:ascii="Arial" w:hAnsi="Arial" w:cs="Arial"/>
          <w:sz w:val="24"/>
          <w:szCs w:val="24"/>
        </w:rPr>
        <w:t>attend</w:t>
      </w:r>
      <w:r w:rsidR="004A6C84">
        <w:rPr>
          <w:rFonts w:ascii="Arial" w:hAnsi="Arial" w:cs="Arial"/>
          <w:sz w:val="24"/>
          <w:szCs w:val="24"/>
        </w:rPr>
        <w:t>ed</w:t>
      </w:r>
      <w:r w:rsidRPr="00421E02">
        <w:rPr>
          <w:rFonts w:ascii="Arial" w:hAnsi="Arial" w:cs="Arial"/>
          <w:sz w:val="24"/>
          <w:szCs w:val="24"/>
        </w:rPr>
        <w:t>. This would include if she attend</w:t>
      </w:r>
      <w:r w:rsidR="004A6C84">
        <w:rPr>
          <w:rFonts w:ascii="Arial" w:hAnsi="Arial" w:cs="Arial"/>
          <w:sz w:val="24"/>
          <w:szCs w:val="24"/>
        </w:rPr>
        <w:t>ed</w:t>
      </w:r>
      <w:r w:rsidRPr="00421E02">
        <w:rPr>
          <w:rFonts w:ascii="Arial" w:hAnsi="Arial" w:cs="Arial"/>
          <w:sz w:val="24"/>
          <w:szCs w:val="24"/>
        </w:rPr>
        <w:t xml:space="preserve"> A&amp;E at her local hospital following the incident We would need her to sign a form of authority allowing us to obtain her medical records form hospital and GP. This may take some time so the sooner we obtain this information then the better. </w:t>
      </w:r>
    </w:p>
    <w:p w14:paraId="2EA23A32" w14:textId="083286CF" w:rsidR="00B1050B" w:rsidRDefault="00B1050B" w:rsidP="004A6C84">
      <w:pPr>
        <w:pStyle w:val="ListParagraph"/>
        <w:numPr>
          <w:ilvl w:val="0"/>
          <w:numId w:val="9"/>
        </w:numPr>
        <w:spacing w:after="870" w:line="360" w:lineRule="auto"/>
        <w:jc w:val="both"/>
        <w:rPr>
          <w:rFonts w:ascii="Arial" w:hAnsi="Arial" w:cs="Arial"/>
          <w:sz w:val="24"/>
          <w:szCs w:val="24"/>
        </w:rPr>
      </w:pPr>
      <w:r>
        <w:rPr>
          <w:rFonts w:ascii="Arial" w:hAnsi="Arial" w:cs="Arial"/>
          <w:sz w:val="24"/>
          <w:szCs w:val="24"/>
        </w:rPr>
        <w:t xml:space="preserve">We need confirmation as to whether the police are involved. Were they in attendance at the scene? We would need to obtain a crime reference number. </w:t>
      </w:r>
      <w:r w:rsidR="002B0B89">
        <w:rPr>
          <w:rFonts w:ascii="Arial" w:hAnsi="Arial" w:cs="Arial"/>
          <w:sz w:val="24"/>
          <w:szCs w:val="24"/>
        </w:rPr>
        <w:t xml:space="preserve">We need to </w:t>
      </w:r>
      <w:r w:rsidR="00806D2D" w:rsidRPr="00806D2D">
        <w:rPr>
          <w:rFonts w:ascii="Arial" w:hAnsi="Arial" w:cs="Arial"/>
          <w:sz w:val="24"/>
          <w:szCs w:val="24"/>
        </w:rPr>
        <w:t xml:space="preserve">obtain a copy of the police </w:t>
      </w:r>
      <w:r w:rsidR="004A6C84" w:rsidRPr="00806D2D">
        <w:rPr>
          <w:rFonts w:ascii="Arial" w:hAnsi="Arial" w:cs="Arial"/>
          <w:sz w:val="24"/>
          <w:szCs w:val="24"/>
        </w:rPr>
        <w:t>report,</w:t>
      </w:r>
      <w:r w:rsidR="00806D2D" w:rsidRPr="00806D2D">
        <w:rPr>
          <w:rFonts w:ascii="Arial" w:hAnsi="Arial" w:cs="Arial"/>
          <w:sz w:val="24"/>
          <w:szCs w:val="24"/>
        </w:rPr>
        <w:t xml:space="preserve"> or any documentation related to the accident, which may help in determining the insurance status of the other driver. </w:t>
      </w:r>
    </w:p>
    <w:p w14:paraId="3F645F9D" w14:textId="2B3983DE" w:rsidR="00951B81" w:rsidRDefault="00951B81" w:rsidP="004A6C84">
      <w:pPr>
        <w:pStyle w:val="ListParagraph"/>
        <w:numPr>
          <w:ilvl w:val="0"/>
          <w:numId w:val="9"/>
        </w:numPr>
        <w:spacing w:after="870" w:line="360" w:lineRule="auto"/>
        <w:jc w:val="both"/>
        <w:rPr>
          <w:rFonts w:ascii="Arial" w:hAnsi="Arial" w:cs="Arial"/>
          <w:sz w:val="24"/>
          <w:szCs w:val="24"/>
        </w:rPr>
      </w:pPr>
      <w:r>
        <w:rPr>
          <w:rFonts w:ascii="Arial" w:hAnsi="Arial" w:cs="Arial"/>
          <w:sz w:val="24"/>
          <w:szCs w:val="24"/>
        </w:rPr>
        <w:lastRenderedPageBreak/>
        <w:t xml:space="preserve">Were there any witnesses? If </w:t>
      </w:r>
      <w:proofErr w:type="gramStart"/>
      <w:r>
        <w:rPr>
          <w:rFonts w:ascii="Arial" w:hAnsi="Arial" w:cs="Arial"/>
          <w:sz w:val="24"/>
          <w:szCs w:val="24"/>
        </w:rPr>
        <w:t>so</w:t>
      </w:r>
      <w:proofErr w:type="gramEnd"/>
      <w:r>
        <w:rPr>
          <w:rFonts w:ascii="Arial" w:hAnsi="Arial" w:cs="Arial"/>
          <w:sz w:val="24"/>
          <w:szCs w:val="24"/>
        </w:rPr>
        <w:t xml:space="preserve"> then we would need their details in order to c</w:t>
      </w:r>
      <w:r w:rsidRPr="00951B81">
        <w:rPr>
          <w:rFonts w:ascii="Arial" w:hAnsi="Arial" w:cs="Arial"/>
          <w:sz w:val="24"/>
          <w:szCs w:val="24"/>
        </w:rPr>
        <w:t xml:space="preserve">ollect statements from </w:t>
      </w:r>
      <w:r>
        <w:rPr>
          <w:rFonts w:ascii="Arial" w:hAnsi="Arial" w:cs="Arial"/>
          <w:sz w:val="24"/>
          <w:szCs w:val="24"/>
        </w:rPr>
        <w:t>them</w:t>
      </w:r>
      <w:r w:rsidRPr="00951B81">
        <w:rPr>
          <w:rFonts w:ascii="Arial" w:hAnsi="Arial" w:cs="Arial"/>
          <w:sz w:val="24"/>
          <w:szCs w:val="24"/>
        </w:rPr>
        <w:t xml:space="preserve"> who can verify </w:t>
      </w:r>
      <w:r w:rsidR="00594435">
        <w:rPr>
          <w:rFonts w:ascii="Arial" w:hAnsi="Arial" w:cs="Arial"/>
          <w:sz w:val="24"/>
          <w:szCs w:val="24"/>
        </w:rPr>
        <w:t>our</w:t>
      </w:r>
      <w:r w:rsidRPr="00951B81">
        <w:rPr>
          <w:rFonts w:ascii="Arial" w:hAnsi="Arial" w:cs="Arial"/>
          <w:sz w:val="24"/>
          <w:szCs w:val="24"/>
        </w:rPr>
        <w:t xml:space="preserve"> client’s injuries.</w:t>
      </w:r>
    </w:p>
    <w:p w14:paraId="226AFEFE" w14:textId="611CC02C" w:rsidR="00920DF8" w:rsidRDefault="00920DF8" w:rsidP="004A6C84">
      <w:pPr>
        <w:pStyle w:val="ListParagraph"/>
        <w:numPr>
          <w:ilvl w:val="0"/>
          <w:numId w:val="9"/>
        </w:numPr>
        <w:spacing w:after="870" w:line="360" w:lineRule="auto"/>
        <w:jc w:val="both"/>
        <w:rPr>
          <w:rFonts w:ascii="Arial" w:hAnsi="Arial" w:cs="Arial"/>
          <w:sz w:val="24"/>
          <w:szCs w:val="24"/>
        </w:rPr>
      </w:pPr>
      <w:r>
        <w:rPr>
          <w:rFonts w:ascii="Arial" w:hAnsi="Arial" w:cs="Arial"/>
          <w:sz w:val="24"/>
          <w:szCs w:val="24"/>
        </w:rPr>
        <w:t xml:space="preserve">Depending on the value of the potential claims – PI – Practice Direction7 claims – County court or High Court? </w:t>
      </w:r>
      <w:r w:rsidR="007E5EF6">
        <w:rPr>
          <w:rFonts w:ascii="Arial" w:hAnsi="Arial" w:cs="Arial"/>
          <w:sz w:val="24"/>
          <w:szCs w:val="24"/>
        </w:rPr>
        <w:t xml:space="preserve"> All claims to be sent to CCMCC – </w:t>
      </w:r>
    </w:p>
    <w:p w14:paraId="702C2E54" w14:textId="5AF4B489" w:rsidR="003D157A" w:rsidRDefault="003D157A" w:rsidP="004A6C84">
      <w:pPr>
        <w:pStyle w:val="ListParagraph"/>
        <w:numPr>
          <w:ilvl w:val="0"/>
          <w:numId w:val="9"/>
        </w:numPr>
        <w:spacing w:after="870" w:line="360" w:lineRule="auto"/>
        <w:jc w:val="both"/>
        <w:rPr>
          <w:rFonts w:ascii="Arial" w:hAnsi="Arial" w:cs="Arial"/>
          <w:sz w:val="24"/>
          <w:szCs w:val="24"/>
        </w:rPr>
      </w:pPr>
      <w:r>
        <w:rPr>
          <w:rFonts w:ascii="Arial" w:hAnsi="Arial" w:cs="Arial"/>
          <w:sz w:val="24"/>
          <w:szCs w:val="24"/>
        </w:rPr>
        <w:t xml:space="preserve">N1 form – part 7 </w:t>
      </w:r>
    </w:p>
    <w:p w14:paraId="6ECD57E2" w14:textId="1F8A5598" w:rsidR="00314061" w:rsidRDefault="00A038B1" w:rsidP="004A6C84">
      <w:pPr>
        <w:pStyle w:val="ListParagraph"/>
        <w:numPr>
          <w:ilvl w:val="0"/>
          <w:numId w:val="9"/>
        </w:numPr>
        <w:spacing w:after="870" w:line="360" w:lineRule="auto"/>
        <w:jc w:val="both"/>
        <w:rPr>
          <w:rFonts w:ascii="Arial" w:hAnsi="Arial" w:cs="Arial"/>
          <w:sz w:val="24"/>
          <w:szCs w:val="24"/>
        </w:rPr>
      </w:pPr>
      <w:r>
        <w:rPr>
          <w:rFonts w:ascii="Arial" w:hAnsi="Arial" w:cs="Arial"/>
          <w:sz w:val="24"/>
          <w:szCs w:val="24"/>
        </w:rPr>
        <w:t xml:space="preserve">Uploading to the portal </w:t>
      </w:r>
    </w:p>
    <w:p w14:paraId="358321E8" w14:textId="506F7493" w:rsidR="00486DD3" w:rsidRDefault="00486DD3" w:rsidP="004A6C84">
      <w:pPr>
        <w:pStyle w:val="ListParagraph"/>
        <w:numPr>
          <w:ilvl w:val="0"/>
          <w:numId w:val="9"/>
        </w:numPr>
        <w:spacing w:after="870" w:line="360" w:lineRule="auto"/>
        <w:jc w:val="both"/>
        <w:rPr>
          <w:rFonts w:ascii="Arial" w:hAnsi="Arial" w:cs="Arial"/>
          <w:sz w:val="24"/>
          <w:szCs w:val="24"/>
        </w:rPr>
      </w:pPr>
      <w:proofErr w:type="gramStart"/>
      <w:r>
        <w:rPr>
          <w:rFonts w:ascii="Arial" w:hAnsi="Arial" w:cs="Arial"/>
          <w:sz w:val="24"/>
          <w:szCs w:val="24"/>
        </w:rPr>
        <w:t>Particulars of</w:t>
      </w:r>
      <w:proofErr w:type="gramEnd"/>
      <w:r>
        <w:rPr>
          <w:rFonts w:ascii="Arial" w:hAnsi="Arial" w:cs="Arial"/>
          <w:sz w:val="24"/>
          <w:szCs w:val="24"/>
        </w:rPr>
        <w:t xml:space="preserve"> claim to follow </w:t>
      </w:r>
    </w:p>
    <w:p w14:paraId="4669F0AD" w14:textId="0BD7CE39" w:rsidR="00552BD1" w:rsidRDefault="00552BD1" w:rsidP="004A6C84">
      <w:pPr>
        <w:pStyle w:val="ListParagraph"/>
        <w:numPr>
          <w:ilvl w:val="0"/>
          <w:numId w:val="9"/>
        </w:numPr>
        <w:spacing w:after="870" w:line="360" w:lineRule="auto"/>
        <w:jc w:val="both"/>
        <w:rPr>
          <w:rFonts w:ascii="Arial" w:hAnsi="Arial" w:cs="Arial"/>
          <w:sz w:val="24"/>
          <w:szCs w:val="24"/>
        </w:rPr>
      </w:pPr>
      <w:r w:rsidRPr="00552BD1">
        <w:rPr>
          <w:rFonts w:ascii="Arial" w:hAnsi="Arial" w:cs="Arial"/>
          <w:sz w:val="24"/>
          <w:szCs w:val="24"/>
        </w:rPr>
        <w:t>para 13 PD-PACP</w:t>
      </w:r>
      <w:r>
        <w:rPr>
          <w:rFonts w:ascii="Arial" w:hAnsi="Arial" w:cs="Arial"/>
          <w:sz w:val="24"/>
          <w:szCs w:val="24"/>
        </w:rPr>
        <w:t xml:space="preserve"> – pre action protocol has been complied with </w:t>
      </w:r>
    </w:p>
    <w:p w14:paraId="7D6BAC9C" w14:textId="27054741" w:rsidR="00A67738" w:rsidRDefault="00A67738" w:rsidP="004A6C84">
      <w:pPr>
        <w:pStyle w:val="ListParagraph"/>
        <w:numPr>
          <w:ilvl w:val="0"/>
          <w:numId w:val="9"/>
        </w:numPr>
        <w:spacing w:after="870" w:line="360" w:lineRule="auto"/>
        <w:jc w:val="both"/>
        <w:rPr>
          <w:rFonts w:ascii="Arial" w:hAnsi="Arial" w:cs="Arial"/>
          <w:b/>
          <w:bCs/>
          <w:sz w:val="24"/>
          <w:szCs w:val="24"/>
        </w:rPr>
      </w:pPr>
      <w:r>
        <w:rPr>
          <w:rFonts w:ascii="Arial" w:hAnsi="Arial" w:cs="Arial"/>
          <w:sz w:val="24"/>
          <w:szCs w:val="24"/>
        </w:rPr>
        <w:t xml:space="preserve">Has Defendant instructed solicitors? </w:t>
      </w:r>
    </w:p>
    <w:p w14:paraId="48591148" w14:textId="7E7F939D" w:rsidR="00534EC0" w:rsidRPr="00983BA8" w:rsidRDefault="00534EC0" w:rsidP="004A6C84">
      <w:pPr>
        <w:pStyle w:val="ListParagraph"/>
        <w:numPr>
          <w:ilvl w:val="0"/>
          <w:numId w:val="9"/>
        </w:numPr>
        <w:spacing w:after="870" w:line="360" w:lineRule="auto"/>
        <w:jc w:val="both"/>
        <w:rPr>
          <w:rFonts w:ascii="Arial" w:hAnsi="Arial" w:cs="Arial"/>
          <w:b/>
          <w:bCs/>
          <w:sz w:val="24"/>
          <w:szCs w:val="24"/>
        </w:rPr>
      </w:pPr>
      <w:r>
        <w:rPr>
          <w:rFonts w:ascii="Arial" w:hAnsi="Arial" w:cs="Arial"/>
          <w:sz w:val="24"/>
          <w:szCs w:val="24"/>
        </w:rPr>
        <w:t xml:space="preserve">If Ms Wayne wishes to instruct us fully then we are </w:t>
      </w:r>
      <w:proofErr w:type="gramStart"/>
      <w:r>
        <w:rPr>
          <w:rFonts w:ascii="Arial" w:hAnsi="Arial" w:cs="Arial"/>
          <w:sz w:val="24"/>
          <w:szCs w:val="24"/>
        </w:rPr>
        <w:t>provide</w:t>
      </w:r>
      <w:proofErr w:type="gramEnd"/>
      <w:r>
        <w:rPr>
          <w:rFonts w:ascii="Arial" w:hAnsi="Arial" w:cs="Arial"/>
          <w:sz w:val="24"/>
          <w:szCs w:val="24"/>
        </w:rPr>
        <w:t xml:space="preserve"> her with our full c</w:t>
      </w:r>
      <w:r w:rsidR="00751259">
        <w:rPr>
          <w:rFonts w:ascii="Arial" w:hAnsi="Arial" w:cs="Arial"/>
          <w:sz w:val="24"/>
          <w:szCs w:val="24"/>
        </w:rPr>
        <w:t>l</w:t>
      </w:r>
      <w:r>
        <w:rPr>
          <w:rFonts w:ascii="Arial" w:hAnsi="Arial" w:cs="Arial"/>
          <w:sz w:val="24"/>
          <w:szCs w:val="24"/>
        </w:rPr>
        <w:t xml:space="preserve">ient care letter in accordance with para 8.7 of the SRA Code of Conduct. </w:t>
      </w:r>
    </w:p>
    <w:p w14:paraId="12B77D2F" w14:textId="0D45A834" w:rsidR="00E363EF" w:rsidRDefault="008B094E" w:rsidP="004A6C84">
      <w:pPr>
        <w:spacing w:after="870" w:line="360" w:lineRule="auto"/>
        <w:jc w:val="both"/>
        <w:rPr>
          <w:rFonts w:ascii="Arial" w:hAnsi="Arial" w:cs="Arial"/>
          <w:sz w:val="24"/>
          <w:szCs w:val="24"/>
        </w:rPr>
      </w:pPr>
      <w:r w:rsidRPr="008B094E">
        <w:rPr>
          <w:rFonts w:ascii="Arial" w:hAnsi="Arial" w:cs="Arial"/>
          <w:sz w:val="24"/>
          <w:szCs w:val="24"/>
        </w:rPr>
        <w:t xml:space="preserve">Under the Road Traffic Act 1998 (s. 145), drivers must provide insurance details if liable for damage. Since we are unsure if the driver had insurance, I </w:t>
      </w:r>
      <w:proofErr w:type="gramStart"/>
      <w:r w:rsidRPr="008B094E">
        <w:rPr>
          <w:rFonts w:ascii="Arial" w:hAnsi="Arial" w:cs="Arial"/>
          <w:sz w:val="24"/>
          <w:szCs w:val="24"/>
        </w:rPr>
        <w:t>will</w:t>
      </w:r>
      <w:proofErr w:type="gramEnd"/>
      <w:r w:rsidRPr="008B094E">
        <w:rPr>
          <w:rFonts w:ascii="Arial" w:hAnsi="Arial" w:cs="Arial"/>
          <w:sz w:val="24"/>
          <w:szCs w:val="24"/>
        </w:rPr>
        <w:t xml:space="preserve"> draft a form for the Motor Insurers' Bureau (MIB) under the Drivers Agreement 2017 (cl. 13(1)), listing them as defendants. We must take all steps to obtain judgment against liable persons and allow the MIB to control subsequent actions (cl. 14). Unsatisfied judgments must be assigned to the MIB, which will pay the claimant if requirements are met. Following the Road Traffic Accident protocol (para 4.5), we cannot use the RTA Small Claims protocol if claiming to the MIB. After gathering evidence, we can submit a claim to the MIB, which may take six months or longer to investigate. If they accept liability, we can proceed with compensation negotiations.</w:t>
      </w:r>
      <w:r>
        <w:rPr>
          <w:rFonts w:ascii="Arial" w:hAnsi="Arial" w:cs="Arial"/>
          <w:sz w:val="24"/>
          <w:szCs w:val="24"/>
        </w:rPr>
        <w:t xml:space="preserve"> </w:t>
      </w:r>
      <w:proofErr w:type="gramStart"/>
      <w:r w:rsidR="00E363EF">
        <w:rPr>
          <w:rFonts w:ascii="Arial" w:hAnsi="Arial" w:cs="Arial"/>
          <w:sz w:val="24"/>
          <w:szCs w:val="24"/>
        </w:rPr>
        <w:t>However</w:t>
      </w:r>
      <w:proofErr w:type="gramEnd"/>
      <w:r w:rsidR="00E363EF">
        <w:rPr>
          <w:rFonts w:ascii="Arial" w:hAnsi="Arial" w:cs="Arial"/>
          <w:sz w:val="24"/>
          <w:szCs w:val="24"/>
        </w:rPr>
        <w:t xml:space="preserve"> if the driver of the vehicle is insured then we will be able to send a claim notification form (CNF</w:t>
      </w:r>
      <w:r w:rsidR="00140655">
        <w:rPr>
          <w:rFonts w:ascii="Arial" w:hAnsi="Arial" w:cs="Arial"/>
          <w:sz w:val="24"/>
          <w:szCs w:val="24"/>
        </w:rPr>
        <w:t>)</w:t>
      </w:r>
      <w:r w:rsidR="00385ECE">
        <w:rPr>
          <w:rFonts w:ascii="Arial" w:hAnsi="Arial" w:cs="Arial"/>
          <w:sz w:val="24"/>
          <w:szCs w:val="24"/>
        </w:rPr>
        <w:t xml:space="preserve"> </w:t>
      </w:r>
      <w:r w:rsidR="00E363EF">
        <w:rPr>
          <w:rFonts w:ascii="Arial" w:hAnsi="Arial" w:cs="Arial"/>
          <w:sz w:val="24"/>
          <w:szCs w:val="24"/>
        </w:rPr>
        <w:t xml:space="preserve">to the defendant’s insurance. They will then have 15 days </w:t>
      </w:r>
      <w:r w:rsidR="00F90649">
        <w:rPr>
          <w:rFonts w:ascii="Arial" w:hAnsi="Arial" w:cs="Arial"/>
          <w:sz w:val="24"/>
          <w:szCs w:val="24"/>
        </w:rPr>
        <w:t xml:space="preserve">admit or contest liability. </w:t>
      </w:r>
    </w:p>
    <w:p w14:paraId="7494FA70" w14:textId="14D5813D" w:rsidR="00C9424F" w:rsidRDefault="00C9424F" w:rsidP="00C9424F">
      <w:pPr>
        <w:spacing w:after="870" w:line="360" w:lineRule="auto"/>
        <w:jc w:val="both"/>
        <w:rPr>
          <w:rFonts w:ascii="Arial" w:hAnsi="Arial" w:cs="Arial"/>
          <w:sz w:val="24"/>
          <w:szCs w:val="24"/>
        </w:rPr>
      </w:pPr>
      <w:r>
        <w:rPr>
          <w:rFonts w:ascii="Arial" w:hAnsi="Arial" w:cs="Arial"/>
          <w:b/>
          <w:bCs/>
          <w:sz w:val="24"/>
          <w:szCs w:val="24"/>
          <w:u w:val="single"/>
        </w:rPr>
        <w:t>G</w:t>
      </w:r>
      <w:r w:rsidRPr="00385ECE">
        <w:rPr>
          <w:rFonts w:ascii="Arial" w:hAnsi="Arial" w:cs="Arial"/>
          <w:b/>
          <w:bCs/>
          <w:sz w:val="24"/>
          <w:szCs w:val="24"/>
          <w:u w:val="single"/>
        </w:rPr>
        <w:t>eneral</w:t>
      </w:r>
      <w:r>
        <w:rPr>
          <w:rFonts w:ascii="Arial" w:hAnsi="Arial" w:cs="Arial"/>
          <w:b/>
          <w:bCs/>
          <w:sz w:val="24"/>
          <w:szCs w:val="24"/>
          <w:u w:val="single"/>
        </w:rPr>
        <w:t>/special</w:t>
      </w:r>
      <w:r w:rsidRPr="00385ECE">
        <w:rPr>
          <w:rFonts w:ascii="Arial" w:hAnsi="Arial" w:cs="Arial"/>
          <w:b/>
          <w:bCs/>
          <w:sz w:val="24"/>
          <w:szCs w:val="24"/>
          <w:u w:val="single"/>
        </w:rPr>
        <w:t xml:space="preserve"> damages</w:t>
      </w:r>
      <w:r w:rsidRPr="00581261">
        <w:rPr>
          <w:rFonts w:ascii="Arial" w:hAnsi="Arial" w:cs="Arial"/>
          <w:sz w:val="24"/>
          <w:szCs w:val="24"/>
        </w:rPr>
        <w:t xml:space="preserve"> </w:t>
      </w:r>
    </w:p>
    <w:p w14:paraId="4F814F75" w14:textId="61C3E7CE" w:rsidR="00DB6488" w:rsidRDefault="00DB6488" w:rsidP="004A6C84">
      <w:pPr>
        <w:spacing w:after="870" w:line="360" w:lineRule="auto"/>
        <w:jc w:val="both"/>
        <w:rPr>
          <w:rFonts w:ascii="Arial" w:hAnsi="Arial" w:cs="Arial"/>
          <w:sz w:val="24"/>
          <w:szCs w:val="24"/>
        </w:rPr>
      </w:pPr>
      <w:r>
        <w:rPr>
          <w:rFonts w:ascii="Arial" w:hAnsi="Arial" w:cs="Arial"/>
          <w:sz w:val="24"/>
          <w:szCs w:val="24"/>
        </w:rPr>
        <w:t xml:space="preserve">Once we have received details of the medical </w:t>
      </w:r>
      <w:proofErr w:type="gramStart"/>
      <w:r>
        <w:rPr>
          <w:rFonts w:ascii="Arial" w:hAnsi="Arial" w:cs="Arial"/>
          <w:sz w:val="24"/>
          <w:szCs w:val="24"/>
        </w:rPr>
        <w:t>reports</w:t>
      </w:r>
      <w:proofErr w:type="gramEnd"/>
      <w:r>
        <w:rPr>
          <w:rFonts w:ascii="Arial" w:hAnsi="Arial" w:cs="Arial"/>
          <w:sz w:val="24"/>
          <w:szCs w:val="24"/>
        </w:rPr>
        <w:t xml:space="preserve"> we will then be able to start accessing for general damages and/or special damages. I have detailed below to set out the potential value of the </w:t>
      </w:r>
      <w:proofErr w:type="gramStart"/>
      <w:r>
        <w:rPr>
          <w:rFonts w:ascii="Arial" w:hAnsi="Arial" w:cs="Arial"/>
          <w:sz w:val="24"/>
          <w:szCs w:val="24"/>
        </w:rPr>
        <w:t>claim:-</w:t>
      </w:r>
      <w:proofErr w:type="gramEnd"/>
      <w:r>
        <w:rPr>
          <w:rFonts w:ascii="Arial" w:hAnsi="Arial" w:cs="Arial"/>
          <w:sz w:val="24"/>
          <w:szCs w:val="24"/>
        </w:rPr>
        <w:t xml:space="preserve"> </w:t>
      </w:r>
    </w:p>
    <w:p w14:paraId="559F792A" w14:textId="77777777" w:rsidR="008B094E" w:rsidRDefault="008B094E" w:rsidP="004A6C84">
      <w:pPr>
        <w:spacing w:after="870" w:line="360" w:lineRule="auto"/>
        <w:jc w:val="both"/>
        <w:rPr>
          <w:rFonts w:ascii="Arial" w:hAnsi="Arial" w:cs="Arial"/>
          <w:sz w:val="24"/>
          <w:szCs w:val="24"/>
        </w:rPr>
      </w:pPr>
    </w:p>
    <w:p w14:paraId="78D568FD" w14:textId="0C5D6479" w:rsidR="00DB6488" w:rsidRPr="00416F61" w:rsidRDefault="00581261" w:rsidP="00416F61">
      <w:pPr>
        <w:pStyle w:val="ListParagraph"/>
        <w:numPr>
          <w:ilvl w:val="0"/>
          <w:numId w:val="12"/>
        </w:numPr>
        <w:spacing w:after="870" w:line="360" w:lineRule="auto"/>
        <w:jc w:val="both"/>
        <w:rPr>
          <w:rFonts w:ascii="Arial" w:hAnsi="Arial" w:cs="Arial"/>
          <w:sz w:val="24"/>
          <w:szCs w:val="24"/>
        </w:rPr>
      </w:pPr>
      <w:r w:rsidRPr="00416F61">
        <w:rPr>
          <w:rFonts w:ascii="Arial" w:hAnsi="Arial" w:cs="Arial"/>
          <w:sz w:val="24"/>
          <w:szCs w:val="24"/>
        </w:rPr>
        <w:t>M</w:t>
      </w:r>
      <w:r w:rsidR="00DB6488" w:rsidRPr="00416F61">
        <w:rPr>
          <w:rFonts w:ascii="Arial" w:hAnsi="Arial" w:cs="Arial"/>
          <w:sz w:val="24"/>
          <w:szCs w:val="24"/>
        </w:rPr>
        <w:t>inor injuries such as soft tissue damage</w:t>
      </w:r>
      <w:r w:rsidRPr="00416F61">
        <w:rPr>
          <w:rFonts w:ascii="Arial" w:hAnsi="Arial" w:cs="Arial"/>
          <w:sz w:val="24"/>
          <w:szCs w:val="24"/>
        </w:rPr>
        <w:t>, whiplash then a ball part figure would be in the region of £1,000 - £6,000.</w:t>
      </w:r>
    </w:p>
    <w:p w14:paraId="3F488373" w14:textId="3A5270DC" w:rsidR="00297D3E" w:rsidRPr="00416F61" w:rsidRDefault="00581261" w:rsidP="00416F61">
      <w:pPr>
        <w:pStyle w:val="ListParagraph"/>
        <w:numPr>
          <w:ilvl w:val="0"/>
          <w:numId w:val="12"/>
        </w:numPr>
        <w:spacing w:after="870" w:line="360" w:lineRule="auto"/>
        <w:jc w:val="both"/>
        <w:rPr>
          <w:rFonts w:ascii="Arial" w:hAnsi="Arial" w:cs="Arial"/>
          <w:sz w:val="24"/>
          <w:szCs w:val="24"/>
        </w:rPr>
      </w:pPr>
      <w:r w:rsidRPr="00416F61">
        <w:rPr>
          <w:rFonts w:ascii="Arial" w:hAnsi="Arial" w:cs="Arial"/>
          <w:sz w:val="24"/>
          <w:szCs w:val="24"/>
        </w:rPr>
        <w:t xml:space="preserve">Moderate injuries such as </w:t>
      </w:r>
      <w:r w:rsidR="00BC5150" w:rsidRPr="00416F61">
        <w:rPr>
          <w:rFonts w:ascii="Arial" w:hAnsi="Arial" w:cs="Arial"/>
          <w:sz w:val="24"/>
          <w:szCs w:val="24"/>
        </w:rPr>
        <w:t xml:space="preserve">more sever sprains, </w:t>
      </w:r>
      <w:r w:rsidR="00A12A62" w:rsidRPr="00416F61">
        <w:rPr>
          <w:rFonts w:ascii="Arial" w:hAnsi="Arial" w:cs="Arial"/>
          <w:sz w:val="24"/>
          <w:szCs w:val="24"/>
        </w:rPr>
        <w:t xml:space="preserve">injuries that could lead to a temporary disability or fractures then </w:t>
      </w:r>
      <w:r w:rsidR="00297D3E" w:rsidRPr="00416F61">
        <w:rPr>
          <w:rFonts w:ascii="Arial" w:hAnsi="Arial" w:cs="Arial"/>
          <w:sz w:val="24"/>
          <w:szCs w:val="24"/>
        </w:rPr>
        <w:t>claims are in the region of £6,000 - £30,000</w:t>
      </w:r>
    </w:p>
    <w:p w14:paraId="7C39AA4C" w14:textId="2A1A3B6C" w:rsidR="00297D3E" w:rsidRPr="00416F61" w:rsidRDefault="00297D3E" w:rsidP="00416F61">
      <w:pPr>
        <w:pStyle w:val="ListParagraph"/>
        <w:numPr>
          <w:ilvl w:val="0"/>
          <w:numId w:val="12"/>
        </w:numPr>
        <w:spacing w:after="870" w:line="360" w:lineRule="auto"/>
        <w:jc w:val="both"/>
        <w:rPr>
          <w:rFonts w:ascii="Arial" w:hAnsi="Arial" w:cs="Arial"/>
          <w:sz w:val="24"/>
          <w:szCs w:val="24"/>
        </w:rPr>
      </w:pPr>
      <w:r w:rsidRPr="00416F61">
        <w:rPr>
          <w:rFonts w:ascii="Arial" w:hAnsi="Arial" w:cs="Arial"/>
          <w:sz w:val="24"/>
          <w:szCs w:val="24"/>
        </w:rPr>
        <w:t xml:space="preserve">Serious injuries </w:t>
      </w:r>
      <w:r w:rsidR="00E55F55" w:rsidRPr="00416F61">
        <w:rPr>
          <w:rFonts w:ascii="Arial" w:hAnsi="Arial" w:cs="Arial"/>
          <w:sz w:val="24"/>
          <w:szCs w:val="24"/>
        </w:rPr>
        <w:t>ending in a permanent disability or disfigurement or severe fractures then between £30,000 - £150,000</w:t>
      </w:r>
    </w:p>
    <w:p w14:paraId="1882F06C" w14:textId="00E4B341" w:rsidR="00016706" w:rsidRPr="00416F61" w:rsidRDefault="00016706" w:rsidP="00416F61">
      <w:pPr>
        <w:pStyle w:val="ListParagraph"/>
        <w:numPr>
          <w:ilvl w:val="0"/>
          <w:numId w:val="12"/>
        </w:numPr>
        <w:spacing w:after="870" w:line="360" w:lineRule="auto"/>
        <w:jc w:val="both"/>
        <w:rPr>
          <w:rFonts w:ascii="Arial" w:hAnsi="Arial" w:cs="Arial"/>
          <w:sz w:val="24"/>
          <w:szCs w:val="24"/>
        </w:rPr>
      </w:pPr>
      <w:r w:rsidRPr="00416F61">
        <w:rPr>
          <w:rFonts w:ascii="Arial" w:hAnsi="Arial" w:cs="Arial"/>
          <w:sz w:val="24"/>
          <w:szCs w:val="24"/>
        </w:rPr>
        <w:t xml:space="preserve">Catastrophic injuries resulting in life-changing injuries such as brain damage, a </w:t>
      </w:r>
      <w:r w:rsidR="0068209E" w:rsidRPr="00416F61">
        <w:rPr>
          <w:rFonts w:ascii="Arial" w:hAnsi="Arial" w:cs="Arial"/>
          <w:sz w:val="24"/>
          <w:szCs w:val="24"/>
        </w:rPr>
        <w:t>traumatic</w:t>
      </w:r>
      <w:r w:rsidRPr="00416F61">
        <w:rPr>
          <w:rFonts w:ascii="Arial" w:hAnsi="Arial" w:cs="Arial"/>
          <w:sz w:val="24"/>
          <w:szCs w:val="24"/>
        </w:rPr>
        <w:t xml:space="preserve"> brain i</w:t>
      </w:r>
      <w:r w:rsidR="0068209E" w:rsidRPr="00416F61">
        <w:rPr>
          <w:rFonts w:ascii="Arial" w:hAnsi="Arial" w:cs="Arial"/>
          <w:sz w:val="24"/>
          <w:szCs w:val="24"/>
        </w:rPr>
        <w:t>n</w:t>
      </w:r>
      <w:r w:rsidRPr="00416F61">
        <w:rPr>
          <w:rFonts w:ascii="Arial" w:hAnsi="Arial" w:cs="Arial"/>
          <w:sz w:val="24"/>
          <w:szCs w:val="24"/>
        </w:rPr>
        <w:t xml:space="preserve">jury or paralysis would in the region of £150,000 - £500,000 or even higher in the most extreme cases </w:t>
      </w:r>
    </w:p>
    <w:p w14:paraId="39402125" w14:textId="06780409" w:rsidR="00DB6488" w:rsidRDefault="00800546" w:rsidP="004A6C84">
      <w:pPr>
        <w:spacing w:after="870" w:line="360" w:lineRule="auto"/>
        <w:jc w:val="both"/>
        <w:rPr>
          <w:rFonts w:ascii="Arial" w:hAnsi="Arial" w:cs="Arial"/>
          <w:sz w:val="24"/>
          <w:szCs w:val="24"/>
        </w:rPr>
      </w:pPr>
      <w:r w:rsidRPr="00800546">
        <w:rPr>
          <w:rFonts w:ascii="Arial" w:hAnsi="Arial" w:cs="Arial"/>
          <w:sz w:val="24"/>
          <w:szCs w:val="24"/>
        </w:rPr>
        <w:t xml:space="preserve">In respect of special </w:t>
      </w:r>
      <w:proofErr w:type="gramStart"/>
      <w:r w:rsidRPr="00800546">
        <w:rPr>
          <w:rFonts w:ascii="Arial" w:hAnsi="Arial" w:cs="Arial"/>
          <w:sz w:val="24"/>
          <w:szCs w:val="24"/>
        </w:rPr>
        <w:t>damages</w:t>
      </w:r>
      <w:proofErr w:type="gramEnd"/>
      <w:r w:rsidR="003440B0">
        <w:rPr>
          <w:rFonts w:ascii="Arial" w:hAnsi="Arial" w:cs="Arial"/>
          <w:sz w:val="24"/>
          <w:szCs w:val="24"/>
        </w:rPr>
        <w:t xml:space="preserve"> we would need Ms Wayne to confirm i</w:t>
      </w:r>
      <w:r w:rsidR="00416F61">
        <w:rPr>
          <w:rFonts w:ascii="Arial" w:hAnsi="Arial" w:cs="Arial"/>
          <w:sz w:val="24"/>
          <w:szCs w:val="24"/>
        </w:rPr>
        <w:t>f</w:t>
      </w:r>
      <w:r w:rsidR="003440B0">
        <w:rPr>
          <w:rFonts w:ascii="Arial" w:hAnsi="Arial" w:cs="Arial"/>
          <w:sz w:val="24"/>
          <w:szCs w:val="24"/>
        </w:rPr>
        <w:t xml:space="preserve"> she has paid towards </w:t>
      </w:r>
      <w:r w:rsidR="00306A3C">
        <w:rPr>
          <w:rFonts w:ascii="Arial" w:hAnsi="Arial" w:cs="Arial"/>
          <w:sz w:val="24"/>
          <w:szCs w:val="24"/>
        </w:rPr>
        <w:t>the</w:t>
      </w:r>
      <w:r w:rsidRPr="00800546">
        <w:rPr>
          <w:rFonts w:ascii="Arial" w:hAnsi="Arial" w:cs="Arial"/>
          <w:sz w:val="24"/>
          <w:szCs w:val="24"/>
        </w:rPr>
        <w:t xml:space="preserve"> cost for</w:t>
      </w:r>
      <w:r w:rsidR="00416F61">
        <w:rPr>
          <w:rFonts w:ascii="Arial" w:hAnsi="Arial" w:cs="Arial"/>
          <w:sz w:val="24"/>
          <w:szCs w:val="24"/>
        </w:rPr>
        <w:t xml:space="preserve"> private</w:t>
      </w:r>
      <w:r w:rsidRPr="00800546">
        <w:rPr>
          <w:rFonts w:ascii="Arial" w:hAnsi="Arial" w:cs="Arial"/>
          <w:sz w:val="24"/>
          <w:szCs w:val="24"/>
        </w:rPr>
        <w:t xml:space="preserve"> treatments, therapies, or surgeries necessitated by the injury, and compensation for work absence or diminished earning capacity due to </w:t>
      </w:r>
      <w:r w:rsidR="00306A3C">
        <w:rPr>
          <w:rFonts w:ascii="Arial" w:hAnsi="Arial" w:cs="Arial"/>
          <w:sz w:val="24"/>
          <w:szCs w:val="24"/>
        </w:rPr>
        <w:t>her</w:t>
      </w:r>
      <w:r w:rsidRPr="00800546">
        <w:rPr>
          <w:rFonts w:ascii="Arial" w:hAnsi="Arial" w:cs="Arial"/>
          <w:sz w:val="24"/>
          <w:szCs w:val="24"/>
        </w:rPr>
        <w:t xml:space="preserve"> injury. </w:t>
      </w:r>
    </w:p>
    <w:p w14:paraId="01F85FB2" w14:textId="6F547536" w:rsidR="00C9740B" w:rsidRPr="00C9740B" w:rsidRDefault="00C9740B" w:rsidP="004A6C84">
      <w:pPr>
        <w:spacing w:after="870" w:line="360" w:lineRule="auto"/>
        <w:jc w:val="both"/>
        <w:rPr>
          <w:rFonts w:ascii="Arial" w:hAnsi="Arial" w:cs="Arial"/>
          <w:b/>
          <w:bCs/>
          <w:sz w:val="24"/>
          <w:szCs w:val="24"/>
          <w:u w:val="single"/>
        </w:rPr>
      </w:pPr>
      <w:r w:rsidRPr="00C9740B">
        <w:rPr>
          <w:rFonts w:ascii="Arial" w:hAnsi="Arial" w:cs="Arial"/>
          <w:b/>
          <w:bCs/>
          <w:sz w:val="24"/>
          <w:szCs w:val="24"/>
          <w:u w:val="single"/>
        </w:rPr>
        <w:t>Legislation</w:t>
      </w:r>
    </w:p>
    <w:p w14:paraId="7212045F" w14:textId="77777777" w:rsidR="00385ECE" w:rsidRPr="00385ECE" w:rsidRDefault="00385ECE" w:rsidP="00385ECE">
      <w:pPr>
        <w:spacing w:after="870" w:line="360" w:lineRule="auto"/>
        <w:jc w:val="both"/>
        <w:rPr>
          <w:rFonts w:ascii="Arial" w:hAnsi="Arial" w:cs="Arial"/>
          <w:sz w:val="24"/>
          <w:szCs w:val="24"/>
        </w:rPr>
      </w:pPr>
      <w:r w:rsidRPr="00385ECE">
        <w:rPr>
          <w:rFonts w:ascii="Arial" w:hAnsi="Arial" w:cs="Arial"/>
          <w:sz w:val="24"/>
          <w:szCs w:val="24"/>
        </w:rPr>
        <w:t>Under Section 143 of the Road Traffic Act 1988, anyone using a motor vehicle on a road or public place must have valid insurance covering third-party liabilities. It is illegal to drive or park a vehicle without insurance, and allowing someone else to use an uninsured vehicle is also an offence. Penalties for this offence can include fines, points on the driving license, or disqualification from driving.</w:t>
      </w:r>
    </w:p>
    <w:p w14:paraId="383EB762" w14:textId="77777777" w:rsidR="00385ECE" w:rsidRDefault="00385ECE" w:rsidP="00385ECE">
      <w:pPr>
        <w:spacing w:after="870" w:line="360" w:lineRule="auto"/>
        <w:jc w:val="both"/>
        <w:rPr>
          <w:rFonts w:ascii="Arial" w:hAnsi="Arial" w:cs="Arial"/>
          <w:sz w:val="24"/>
          <w:szCs w:val="24"/>
        </w:rPr>
      </w:pPr>
      <w:r w:rsidRPr="00385ECE">
        <w:rPr>
          <w:rFonts w:ascii="Arial" w:hAnsi="Arial" w:cs="Arial"/>
          <w:sz w:val="24"/>
          <w:szCs w:val="24"/>
        </w:rPr>
        <w:t xml:space="preserve">Section 152 of the Road Traffic Act 1988 requires notifying the insurer about legal proceedings within seven days of starting them. The insurer must be informed to take </w:t>
      </w:r>
      <w:r w:rsidRPr="00385ECE">
        <w:rPr>
          <w:rFonts w:ascii="Arial" w:hAnsi="Arial" w:cs="Arial"/>
          <w:sz w:val="24"/>
          <w:szCs w:val="24"/>
        </w:rPr>
        <w:lastRenderedPageBreak/>
        <w:t>appropriate action, with exceptions if the policy was cancelled before the event or if the insurer was not notified in time. These rules ensure all motor vehicle users are properly insured, protecting both drivers and third parties in case of accidents or incidents.</w:t>
      </w:r>
    </w:p>
    <w:p w14:paraId="06C03ABD" w14:textId="64621842" w:rsidR="008B094E" w:rsidRPr="00385ECE" w:rsidRDefault="008B094E" w:rsidP="00385ECE">
      <w:pPr>
        <w:spacing w:after="870" w:line="360" w:lineRule="auto"/>
        <w:jc w:val="both"/>
        <w:rPr>
          <w:rFonts w:ascii="Arial" w:hAnsi="Arial" w:cs="Arial"/>
          <w:b/>
          <w:bCs/>
          <w:sz w:val="24"/>
          <w:szCs w:val="24"/>
          <w:u w:val="single"/>
        </w:rPr>
      </w:pPr>
      <w:r w:rsidRPr="008B094E">
        <w:rPr>
          <w:rFonts w:ascii="Arial" w:hAnsi="Arial" w:cs="Arial"/>
          <w:b/>
          <w:bCs/>
          <w:sz w:val="24"/>
          <w:szCs w:val="24"/>
          <w:u w:val="single"/>
        </w:rPr>
        <w:t xml:space="preserve">Social Media </w:t>
      </w:r>
    </w:p>
    <w:p w14:paraId="4D7A554B" w14:textId="74DB8FB8" w:rsidR="00C3321B" w:rsidRDefault="000E3316" w:rsidP="00416F61">
      <w:pPr>
        <w:spacing w:after="870" w:line="360" w:lineRule="auto"/>
        <w:jc w:val="both"/>
        <w:rPr>
          <w:rFonts w:ascii="Arial" w:hAnsi="Arial" w:cs="Arial"/>
          <w:sz w:val="24"/>
          <w:szCs w:val="24"/>
        </w:rPr>
      </w:pPr>
      <w:r>
        <w:rPr>
          <w:rFonts w:ascii="Arial" w:hAnsi="Arial" w:cs="Arial"/>
          <w:sz w:val="24"/>
          <w:szCs w:val="24"/>
        </w:rPr>
        <w:t>We will need to point out to Ms Wayne t</w:t>
      </w:r>
      <w:r w:rsidR="008370E8">
        <w:rPr>
          <w:rFonts w:ascii="Arial" w:hAnsi="Arial" w:cs="Arial"/>
          <w:sz w:val="24"/>
          <w:szCs w:val="24"/>
        </w:rPr>
        <w:t xml:space="preserve">hat social media website such as X (formerly Twitter), Facebook, </w:t>
      </w:r>
      <w:r w:rsidR="003F2EB8">
        <w:rPr>
          <w:rFonts w:ascii="Arial" w:hAnsi="Arial" w:cs="Arial"/>
          <w:sz w:val="24"/>
          <w:szCs w:val="24"/>
        </w:rPr>
        <w:t>Instagram</w:t>
      </w:r>
      <w:r w:rsidR="008370E8">
        <w:rPr>
          <w:rFonts w:ascii="Arial" w:hAnsi="Arial" w:cs="Arial"/>
          <w:sz w:val="24"/>
          <w:szCs w:val="24"/>
        </w:rPr>
        <w:t xml:space="preserve"> and LinkedIn are regularly monitored by Defendant Insurers and Solicitors. </w:t>
      </w:r>
      <w:r w:rsidR="003F2EB8">
        <w:rPr>
          <w:rFonts w:ascii="Arial" w:hAnsi="Arial" w:cs="Arial"/>
          <w:sz w:val="24"/>
          <w:szCs w:val="24"/>
        </w:rPr>
        <w:t>Defendants</w:t>
      </w:r>
      <w:r w:rsidR="008370E8">
        <w:rPr>
          <w:rFonts w:ascii="Arial" w:hAnsi="Arial" w:cs="Arial"/>
          <w:sz w:val="24"/>
          <w:szCs w:val="24"/>
        </w:rPr>
        <w:t xml:space="preserve"> would </w:t>
      </w:r>
      <w:r w:rsidR="00986DDB">
        <w:rPr>
          <w:rFonts w:ascii="Arial" w:hAnsi="Arial" w:cs="Arial"/>
          <w:sz w:val="24"/>
          <w:szCs w:val="24"/>
        </w:rPr>
        <w:t xml:space="preserve">be particularly interested in any comments the claimant may may in relation to their claim, their injuries and current </w:t>
      </w:r>
      <w:r w:rsidR="003F2EB8">
        <w:rPr>
          <w:rFonts w:ascii="Arial" w:hAnsi="Arial" w:cs="Arial"/>
          <w:sz w:val="24"/>
          <w:szCs w:val="24"/>
        </w:rPr>
        <w:t>activities</w:t>
      </w:r>
      <w:r w:rsidR="00986DDB">
        <w:rPr>
          <w:rFonts w:ascii="Arial" w:hAnsi="Arial" w:cs="Arial"/>
          <w:sz w:val="24"/>
          <w:szCs w:val="24"/>
        </w:rPr>
        <w:t xml:space="preserve">. </w:t>
      </w:r>
      <w:r w:rsidR="000E6E94">
        <w:rPr>
          <w:rFonts w:ascii="Arial" w:hAnsi="Arial" w:cs="Arial"/>
          <w:sz w:val="24"/>
          <w:szCs w:val="24"/>
        </w:rPr>
        <w:t xml:space="preserve">For </w:t>
      </w:r>
      <w:r w:rsidR="003F2EB8">
        <w:rPr>
          <w:rFonts w:ascii="Arial" w:hAnsi="Arial" w:cs="Arial"/>
          <w:sz w:val="24"/>
          <w:szCs w:val="24"/>
        </w:rPr>
        <w:t>example,</w:t>
      </w:r>
      <w:r w:rsidR="000E6E94">
        <w:rPr>
          <w:rFonts w:ascii="Arial" w:hAnsi="Arial" w:cs="Arial"/>
          <w:sz w:val="24"/>
          <w:szCs w:val="24"/>
        </w:rPr>
        <w:t xml:space="preserve"> if the claimant was playing at a sports centre or at a gymnasium</w:t>
      </w:r>
      <w:r w:rsidR="003A2DED">
        <w:rPr>
          <w:rFonts w:ascii="Arial" w:hAnsi="Arial" w:cs="Arial"/>
          <w:sz w:val="24"/>
          <w:szCs w:val="24"/>
        </w:rPr>
        <w:t xml:space="preserve"> then the defendants may consider as to whether this contradicts </w:t>
      </w:r>
      <w:r w:rsidR="003F2EB8">
        <w:rPr>
          <w:rFonts w:ascii="Arial" w:hAnsi="Arial" w:cs="Arial"/>
          <w:sz w:val="24"/>
          <w:szCs w:val="24"/>
        </w:rPr>
        <w:t xml:space="preserve">the injuries may be suffering from. </w:t>
      </w:r>
      <w:r w:rsidR="00866237" w:rsidRPr="00866237">
        <w:rPr>
          <w:rFonts w:ascii="Arial" w:hAnsi="Arial" w:cs="Arial"/>
          <w:sz w:val="24"/>
          <w:szCs w:val="24"/>
        </w:rPr>
        <w:t xml:space="preserve">A </w:t>
      </w:r>
      <w:r w:rsidR="00866237">
        <w:rPr>
          <w:rFonts w:ascii="Arial" w:hAnsi="Arial" w:cs="Arial"/>
          <w:sz w:val="24"/>
          <w:szCs w:val="24"/>
        </w:rPr>
        <w:t xml:space="preserve">leading </w:t>
      </w:r>
      <w:r w:rsidR="00866237" w:rsidRPr="00866237">
        <w:rPr>
          <w:rFonts w:ascii="Arial" w:hAnsi="Arial" w:cs="Arial"/>
          <w:sz w:val="24"/>
          <w:szCs w:val="24"/>
        </w:rPr>
        <w:t xml:space="preserve">case </w:t>
      </w:r>
      <w:r w:rsidR="00866237">
        <w:rPr>
          <w:rFonts w:ascii="Arial" w:hAnsi="Arial" w:cs="Arial"/>
          <w:sz w:val="24"/>
          <w:szCs w:val="24"/>
        </w:rPr>
        <w:t xml:space="preserve">on this subject is </w:t>
      </w:r>
      <w:r w:rsidR="00866237" w:rsidRPr="00866237">
        <w:rPr>
          <w:rFonts w:ascii="Arial" w:hAnsi="Arial" w:cs="Arial"/>
          <w:sz w:val="24"/>
          <w:szCs w:val="24"/>
        </w:rPr>
        <w:t>where a claimant exaggerated personal injury claims through social media i</w:t>
      </w:r>
      <w:r w:rsidR="00866237">
        <w:rPr>
          <w:rFonts w:ascii="Arial" w:hAnsi="Arial" w:cs="Arial"/>
          <w:sz w:val="24"/>
          <w:szCs w:val="24"/>
        </w:rPr>
        <w:t xml:space="preserve">n the case of </w:t>
      </w:r>
      <w:r w:rsidR="00866237" w:rsidRPr="00866237">
        <w:rPr>
          <w:rFonts w:ascii="Arial" w:hAnsi="Arial" w:cs="Arial"/>
          <w:sz w:val="24"/>
          <w:szCs w:val="24"/>
        </w:rPr>
        <w:t>Hayward v Zurich Insurance Company plc</w:t>
      </w:r>
      <w:r w:rsidR="00B67B8D">
        <w:rPr>
          <w:rFonts w:ascii="Arial" w:hAnsi="Arial" w:cs="Arial"/>
          <w:sz w:val="24"/>
          <w:szCs w:val="24"/>
        </w:rPr>
        <w:t xml:space="preserve"> [2016]</w:t>
      </w:r>
      <w:r w:rsidR="00866237" w:rsidRPr="00866237">
        <w:rPr>
          <w:rFonts w:ascii="Arial" w:hAnsi="Arial" w:cs="Arial"/>
          <w:sz w:val="24"/>
          <w:szCs w:val="24"/>
        </w:rPr>
        <w:t xml:space="preserve">. In this </w:t>
      </w:r>
      <w:r w:rsidR="00B67B8D">
        <w:rPr>
          <w:rFonts w:ascii="Arial" w:hAnsi="Arial" w:cs="Arial"/>
          <w:sz w:val="24"/>
          <w:szCs w:val="24"/>
        </w:rPr>
        <w:t>case</w:t>
      </w:r>
      <w:r w:rsidR="00866237" w:rsidRPr="00866237">
        <w:rPr>
          <w:rFonts w:ascii="Arial" w:hAnsi="Arial" w:cs="Arial"/>
          <w:sz w:val="24"/>
          <w:szCs w:val="24"/>
        </w:rPr>
        <w:t>, the claimant's social media activity contradicted his assertions of severe back injuries, ultimately leading to the dismissal of his case and underscoring the significant impact of social media evidence in personal injury claims.</w:t>
      </w:r>
    </w:p>
    <w:p w14:paraId="7CDF838B" w14:textId="77777777" w:rsidR="008B094E" w:rsidRDefault="00385ECE" w:rsidP="00416F61">
      <w:pPr>
        <w:spacing w:after="870" w:line="360" w:lineRule="auto"/>
        <w:jc w:val="both"/>
        <w:rPr>
          <w:rFonts w:ascii="Arial" w:hAnsi="Arial" w:cs="Arial"/>
          <w:sz w:val="24"/>
          <w:szCs w:val="24"/>
        </w:rPr>
      </w:pPr>
      <w:r w:rsidRPr="008B094E">
        <w:rPr>
          <w:rFonts w:ascii="Arial" w:hAnsi="Arial" w:cs="Arial"/>
          <w:b/>
          <w:bCs/>
          <w:sz w:val="24"/>
          <w:szCs w:val="24"/>
          <w:u w:val="single"/>
        </w:rPr>
        <w:t>In summary</w:t>
      </w:r>
      <w:r>
        <w:rPr>
          <w:rFonts w:ascii="Arial" w:hAnsi="Arial" w:cs="Arial"/>
          <w:sz w:val="24"/>
          <w:szCs w:val="24"/>
        </w:rPr>
        <w:t xml:space="preserve"> </w:t>
      </w:r>
    </w:p>
    <w:p w14:paraId="12F3DD58" w14:textId="47DC66AC" w:rsidR="002421AC" w:rsidRPr="00800546" w:rsidRDefault="008B094E" w:rsidP="00416F61">
      <w:pPr>
        <w:spacing w:after="870" w:line="360" w:lineRule="auto"/>
        <w:jc w:val="both"/>
        <w:rPr>
          <w:rFonts w:ascii="Arial" w:hAnsi="Arial" w:cs="Arial"/>
          <w:sz w:val="24"/>
          <w:szCs w:val="24"/>
        </w:rPr>
      </w:pPr>
      <w:proofErr w:type="gramStart"/>
      <w:r>
        <w:rPr>
          <w:rFonts w:ascii="Arial" w:hAnsi="Arial" w:cs="Arial"/>
          <w:sz w:val="24"/>
          <w:szCs w:val="24"/>
        </w:rPr>
        <w:t>I</w:t>
      </w:r>
      <w:r w:rsidR="00385ECE">
        <w:rPr>
          <w:rFonts w:ascii="Arial" w:hAnsi="Arial" w:cs="Arial"/>
          <w:sz w:val="24"/>
          <w:szCs w:val="24"/>
        </w:rPr>
        <w:t>n order to</w:t>
      </w:r>
      <w:proofErr w:type="gramEnd"/>
      <w:r w:rsidR="00385ECE" w:rsidRPr="00385ECE">
        <w:rPr>
          <w:rFonts w:ascii="Arial" w:hAnsi="Arial" w:cs="Arial"/>
          <w:sz w:val="24"/>
          <w:szCs w:val="24"/>
        </w:rPr>
        <w:t xml:space="preserve"> proceed with the client's personal injury claim, we need to collect all accident details, including police reports, witness statements, and medical records. It's essential to verify the other driver's insurance status through the police or DVLA. If the driver is uninsured, we can file a claim with the Motor Insurers' Bureau (MIB). We must also consider time limits and complete all paperwork promptly. After gathering all information, we can file the claim, negotiate with the insurer, or take legal action to secure compensation.</w:t>
      </w:r>
    </w:p>
    <w:p w14:paraId="1B8F2F19" w14:textId="778F296E" w:rsidR="0090270E" w:rsidRPr="000623A9" w:rsidRDefault="0090270E" w:rsidP="0090270E">
      <w:pPr>
        <w:spacing w:after="870"/>
        <w:rPr>
          <w:rFonts w:ascii="Arial" w:hAnsi="Arial" w:cs="Arial"/>
          <w:color w:val="FF0000"/>
          <w:sz w:val="24"/>
          <w:szCs w:val="24"/>
        </w:rPr>
      </w:pPr>
    </w:p>
    <w:p w14:paraId="7F3958A7" w14:textId="77777777" w:rsidR="0021599B" w:rsidRDefault="00805089" w:rsidP="00805089">
      <w:pPr>
        <w:pStyle w:val="Heading2"/>
      </w:pPr>
      <w:bookmarkStart w:id="2" w:name="_Toc191811626"/>
      <w:r>
        <w:t xml:space="preserve">Table of </w:t>
      </w:r>
      <w:r w:rsidR="0021599B">
        <w:t>Cases</w:t>
      </w:r>
      <w:bookmarkEnd w:id="2"/>
    </w:p>
    <w:p w14:paraId="494F2DBA" w14:textId="77777777" w:rsidR="00AD7CA9" w:rsidRPr="00EA42F6" w:rsidRDefault="00AD7CA9">
      <w:pPr>
        <w:spacing w:after="160" w:line="278" w:lineRule="auto"/>
        <w:rPr>
          <w:rFonts w:ascii="Arial" w:hAnsi="Arial" w:cs="Arial"/>
          <w:sz w:val="24"/>
          <w:szCs w:val="24"/>
        </w:rPr>
      </w:pPr>
    </w:p>
    <w:p w14:paraId="316BD44B" w14:textId="78B3A062" w:rsidR="00AD7CA9" w:rsidRPr="00AD7CA9" w:rsidRDefault="00AD7CA9">
      <w:pPr>
        <w:spacing w:after="160" w:line="278" w:lineRule="auto"/>
        <w:rPr>
          <w:rFonts w:asciiTheme="minorHAnsi" w:hAnsiTheme="minorHAnsi"/>
          <w:sz w:val="24"/>
          <w:szCs w:val="24"/>
        </w:rPr>
      </w:pPr>
      <w:r w:rsidRPr="00AD7CA9">
        <w:rPr>
          <w:rFonts w:asciiTheme="minorHAnsi" w:hAnsiTheme="minorHAnsi"/>
          <w:sz w:val="24"/>
          <w:szCs w:val="24"/>
        </w:rPr>
        <w:t>Anderson v. General Motors [1999]</w:t>
      </w:r>
    </w:p>
    <w:p w14:paraId="10BC03A3" w14:textId="77777777" w:rsidR="00AD7CA9" w:rsidRPr="00AD7CA9" w:rsidRDefault="00AD7CA9">
      <w:pPr>
        <w:spacing w:after="160" w:line="278" w:lineRule="auto"/>
        <w:rPr>
          <w:rFonts w:asciiTheme="majorHAnsi" w:eastAsiaTheme="majorEastAsia" w:hAnsiTheme="majorHAnsi" w:cstheme="majorBidi"/>
          <w:color w:val="0F4761" w:themeColor="accent1" w:themeShade="BF"/>
          <w:sz w:val="32"/>
          <w:szCs w:val="32"/>
        </w:rPr>
      </w:pPr>
      <w:proofErr w:type="spellStart"/>
      <w:r w:rsidRPr="00AD7CA9">
        <w:rPr>
          <w:rFonts w:asciiTheme="minorHAnsi" w:hAnsiTheme="minorHAnsi"/>
          <w:sz w:val="24"/>
          <w:szCs w:val="24"/>
        </w:rPr>
        <w:t>Benyatov</w:t>
      </w:r>
      <w:proofErr w:type="spellEnd"/>
      <w:r w:rsidRPr="00AD7CA9">
        <w:rPr>
          <w:rFonts w:asciiTheme="minorHAnsi" w:hAnsiTheme="minorHAnsi"/>
          <w:sz w:val="24"/>
          <w:szCs w:val="24"/>
        </w:rPr>
        <w:t xml:space="preserve"> v Credit Suisse Securities (Europe) Ltd [2022]</w:t>
      </w:r>
    </w:p>
    <w:p w14:paraId="17E43525" w14:textId="72D92E1F" w:rsidR="00AD7CA9" w:rsidRPr="00AD7CA9" w:rsidRDefault="00AD7CA9">
      <w:pPr>
        <w:spacing w:after="160" w:line="278" w:lineRule="auto"/>
        <w:rPr>
          <w:rFonts w:asciiTheme="minorHAnsi" w:hAnsiTheme="minorHAnsi"/>
          <w:sz w:val="24"/>
          <w:szCs w:val="24"/>
        </w:rPr>
      </w:pPr>
      <w:r w:rsidRPr="00AD7CA9">
        <w:rPr>
          <w:rFonts w:asciiTheme="minorHAnsi" w:hAnsiTheme="minorHAnsi"/>
          <w:sz w:val="24"/>
          <w:szCs w:val="24"/>
        </w:rPr>
        <w:t>Chan v. Peters [2021]</w:t>
      </w:r>
    </w:p>
    <w:p w14:paraId="28D7975F" w14:textId="77777777" w:rsidR="00AD7CA9" w:rsidRPr="00AD7CA9" w:rsidRDefault="00AD7CA9">
      <w:pPr>
        <w:spacing w:after="160" w:line="278" w:lineRule="auto"/>
        <w:rPr>
          <w:rFonts w:ascii="Arial" w:hAnsi="Arial" w:cs="Arial"/>
          <w:sz w:val="24"/>
          <w:szCs w:val="24"/>
        </w:rPr>
      </w:pPr>
      <w:r w:rsidRPr="00AD7CA9">
        <w:rPr>
          <w:rFonts w:ascii="Arial" w:hAnsi="Arial" w:cs="Arial"/>
          <w:sz w:val="24"/>
          <w:szCs w:val="24"/>
        </w:rPr>
        <w:t>Hayward v Zurich Insurance Company plc [2016]</w:t>
      </w:r>
    </w:p>
    <w:p w14:paraId="71D6E390" w14:textId="17C57525" w:rsidR="00AD7CA9" w:rsidRPr="00AD7CA9" w:rsidRDefault="00AD7CA9">
      <w:pPr>
        <w:spacing w:after="160" w:line="278" w:lineRule="auto"/>
        <w:rPr>
          <w:rFonts w:ascii="Arial" w:hAnsi="Arial" w:cs="Arial"/>
          <w:sz w:val="24"/>
          <w:szCs w:val="24"/>
        </w:rPr>
      </w:pPr>
      <w:r w:rsidRPr="00AD7CA9">
        <w:rPr>
          <w:rFonts w:ascii="Arial" w:hAnsi="Arial" w:cs="Arial"/>
          <w:sz w:val="24"/>
          <w:szCs w:val="24"/>
        </w:rPr>
        <w:t>Liebeck v. McDonald's Restaurants [1994]</w:t>
      </w:r>
    </w:p>
    <w:p w14:paraId="5BE4F329" w14:textId="5FFB80A0" w:rsidR="00AD7CA9" w:rsidRPr="00AD7CA9" w:rsidRDefault="00AD7CA9">
      <w:pPr>
        <w:spacing w:after="160" w:line="278" w:lineRule="auto"/>
        <w:rPr>
          <w:rFonts w:asciiTheme="minorHAnsi" w:hAnsiTheme="minorHAnsi"/>
          <w:sz w:val="24"/>
          <w:szCs w:val="24"/>
        </w:rPr>
      </w:pPr>
      <w:r w:rsidRPr="00AD7CA9">
        <w:rPr>
          <w:rFonts w:asciiTheme="minorHAnsi" w:hAnsiTheme="minorHAnsi"/>
          <w:sz w:val="24"/>
          <w:szCs w:val="24"/>
        </w:rPr>
        <w:t>Lunt v. Khelifa [2002]</w:t>
      </w:r>
    </w:p>
    <w:p w14:paraId="795162CD" w14:textId="2423BBF6" w:rsidR="00AD7CA9" w:rsidRPr="00AD7CA9" w:rsidRDefault="00AD7CA9">
      <w:pPr>
        <w:spacing w:after="160" w:line="278" w:lineRule="auto"/>
        <w:rPr>
          <w:rFonts w:asciiTheme="minorHAnsi" w:hAnsiTheme="minorHAnsi"/>
          <w:sz w:val="24"/>
          <w:szCs w:val="24"/>
        </w:rPr>
      </w:pPr>
      <w:r w:rsidRPr="00AD7CA9">
        <w:rPr>
          <w:rFonts w:asciiTheme="minorHAnsi" w:hAnsiTheme="minorHAnsi"/>
          <w:sz w:val="24"/>
          <w:szCs w:val="24"/>
        </w:rPr>
        <w:t>Meadows v. Khan</w:t>
      </w:r>
      <w:r>
        <w:rPr>
          <w:rFonts w:asciiTheme="minorHAnsi" w:hAnsiTheme="minorHAnsi"/>
          <w:sz w:val="24"/>
          <w:szCs w:val="24"/>
        </w:rPr>
        <w:t xml:space="preserve"> </w:t>
      </w:r>
      <w:r w:rsidRPr="00AD7CA9">
        <w:rPr>
          <w:rFonts w:asciiTheme="minorHAnsi" w:hAnsiTheme="minorHAnsi"/>
          <w:sz w:val="24"/>
          <w:szCs w:val="24"/>
        </w:rPr>
        <w:t>[2021]</w:t>
      </w:r>
    </w:p>
    <w:p w14:paraId="42485CCA" w14:textId="77777777" w:rsidR="00AD7CA9" w:rsidRPr="00AD7CA9" w:rsidRDefault="00AD7CA9">
      <w:pPr>
        <w:spacing w:after="160" w:line="278" w:lineRule="auto"/>
        <w:rPr>
          <w:rFonts w:asciiTheme="minorHAnsi" w:hAnsiTheme="minorHAnsi"/>
          <w:sz w:val="24"/>
          <w:szCs w:val="24"/>
        </w:rPr>
      </w:pPr>
      <w:r w:rsidRPr="00AD7CA9">
        <w:rPr>
          <w:rFonts w:asciiTheme="minorHAnsi" w:hAnsiTheme="minorHAnsi"/>
          <w:i/>
          <w:iCs/>
          <w:sz w:val="24"/>
          <w:szCs w:val="24"/>
        </w:rPr>
        <w:t>Moore v Pointer</w:t>
      </w:r>
      <w:r w:rsidRPr="00AD7CA9">
        <w:rPr>
          <w:rFonts w:asciiTheme="minorHAnsi" w:hAnsiTheme="minorHAnsi"/>
          <w:sz w:val="24"/>
          <w:szCs w:val="24"/>
        </w:rPr>
        <w:t> [1975]</w:t>
      </w:r>
    </w:p>
    <w:p w14:paraId="6D1C9735" w14:textId="77777777" w:rsidR="00AD7CA9" w:rsidRDefault="00AD7CA9">
      <w:pPr>
        <w:spacing w:after="160" w:line="278" w:lineRule="auto"/>
        <w:rPr>
          <w:rFonts w:asciiTheme="minorHAnsi" w:hAnsiTheme="minorHAnsi"/>
          <w:sz w:val="24"/>
          <w:szCs w:val="24"/>
        </w:rPr>
      </w:pPr>
      <w:r w:rsidRPr="00AD7CA9">
        <w:rPr>
          <w:rFonts w:asciiTheme="minorHAnsi" w:hAnsiTheme="minorHAnsi"/>
          <w:sz w:val="24"/>
          <w:szCs w:val="24"/>
        </w:rPr>
        <w:t>Sarwar v Alam [2001]</w:t>
      </w:r>
    </w:p>
    <w:p w14:paraId="753D310A" w14:textId="34D7EAD5" w:rsidR="00BC31AB" w:rsidRPr="00BC31AB" w:rsidRDefault="00BC31AB">
      <w:pPr>
        <w:spacing w:after="160" w:line="278" w:lineRule="auto"/>
        <w:rPr>
          <w:rFonts w:asciiTheme="minorHAnsi" w:hAnsiTheme="minorHAnsi"/>
          <w:sz w:val="24"/>
          <w:szCs w:val="24"/>
        </w:rPr>
      </w:pPr>
      <w:r w:rsidRPr="00BC31AB">
        <w:rPr>
          <w:rFonts w:asciiTheme="minorHAnsi" w:hAnsiTheme="minorHAnsi"/>
          <w:sz w:val="24"/>
          <w:szCs w:val="24"/>
        </w:rPr>
        <w:t>Smith v Finch [2009]</w:t>
      </w:r>
    </w:p>
    <w:p w14:paraId="7CE1C6AF" w14:textId="77777777" w:rsidR="00AD7CA9" w:rsidRPr="00AD7CA9" w:rsidRDefault="00AD7CA9">
      <w:pPr>
        <w:spacing w:after="160" w:line="278" w:lineRule="auto"/>
        <w:rPr>
          <w:rFonts w:asciiTheme="minorHAnsi" w:hAnsiTheme="minorHAnsi"/>
          <w:sz w:val="24"/>
          <w:szCs w:val="24"/>
        </w:rPr>
      </w:pPr>
      <w:r w:rsidRPr="00AD7CA9">
        <w:rPr>
          <w:rFonts w:asciiTheme="minorHAnsi" w:hAnsiTheme="minorHAnsi"/>
          <w:sz w:val="24"/>
          <w:szCs w:val="24"/>
        </w:rPr>
        <w:t>St Helens Metropolitan BC v Barnes [2006]</w:t>
      </w:r>
    </w:p>
    <w:p w14:paraId="7C902048" w14:textId="77777777" w:rsidR="00AD7CA9" w:rsidRPr="00AD7CA9" w:rsidRDefault="00AD7CA9">
      <w:pPr>
        <w:spacing w:after="160" w:line="278" w:lineRule="auto"/>
        <w:rPr>
          <w:rFonts w:asciiTheme="minorHAnsi" w:hAnsiTheme="minorHAnsi"/>
          <w:sz w:val="24"/>
          <w:szCs w:val="24"/>
        </w:rPr>
      </w:pPr>
      <w:r w:rsidRPr="00AD7CA9">
        <w:rPr>
          <w:rFonts w:asciiTheme="minorHAnsi" w:hAnsiTheme="minorHAnsi"/>
          <w:sz w:val="24"/>
          <w:szCs w:val="24"/>
        </w:rPr>
        <w:t>Truex (a Solicitor) v Kitchin [2007]</w:t>
      </w:r>
    </w:p>
    <w:p w14:paraId="7F1A002B" w14:textId="61A8EBBD" w:rsidR="0021599B" w:rsidRDefault="0021599B">
      <w:pPr>
        <w:spacing w:after="160" w:line="278" w:lineRule="auto"/>
        <w:rPr>
          <w:rFonts w:asciiTheme="majorHAnsi" w:eastAsiaTheme="majorEastAsia" w:hAnsiTheme="majorHAnsi" w:cstheme="majorBidi"/>
          <w:color w:val="0F4761" w:themeColor="accent1" w:themeShade="BF"/>
          <w:sz w:val="32"/>
          <w:szCs w:val="32"/>
        </w:rPr>
      </w:pPr>
      <w:r w:rsidRPr="001F2E69">
        <w:rPr>
          <w:rFonts w:asciiTheme="majorHAnsi" w:eastAsiaTheme="majorEastAsia" w:hAnsiTheme="majorHAnsi" w:cstheme="majorBidi"/>
          <w:color w:val="0F4761" w:themeColor="accent1" w:themeShade="BF"/>
          <w:sz w:val="32"/>
          <w:szCs w:val="32"/>
        </w:rPr>
        <w:br w:type="page"/>
      </w:r>
    </w:p>
    <w:p w14:paraId="46278974" w14:textId="77777777" w:rsidR="004B21D7" w:rsidRDefault="004B21D7">
      <w:pPr>
        <w:spacing w:after="160" w:line="278" w:lineRule="auto"/>
        <w:rPr>
          <w:rFonts w:asciiTheme="majorHAnsi" w:eastAsiaTheme="majorEastAsia" w:hAnsiTheme="majorHAnsi" w:cstheme="majorBidi"/>
          <w:color w:val="0F4761" w:themeColor="accent1" w:themeShade="BF"/>
          <w:sz w:val="32"/>
          <w:szCs w:val="32"/>
        </w:rPr>
      </w:pPr>
    </w:p>
    <w:p w14:paraId="0FB5ADF1" w14:textId="77777777" w:rsidR="004B21D7" w:rsidRPr="001F2E69" w:rsidRDefault="004B21D7">
      <w:pPr>
        <w:spacing w:after="160" w:line="278" w:lineRule="auto"/>
        <w:rPr>
          <w:rFonts w:asciiTheme="majorHAnsi" w:eastAsiaTheme="majorEastAsia" w:hAnsiTheme="majorHAnsi" w:cstheme="majorBidi"/>
          <w:color w:val="0F4761" w:themeColor="accent1" w:themeShade="BF"/>
          <w:sz w:val="32"/>
          <w:szCs w:val="32"/>
        </w:rPr>
      </w:pPr>
    </w:p>
    <w:p w14:paraId="42793BB3" w14:textId="77777777" w:rsidR="001B7EBD" w:rsidRDefault="008E5E47" w:rsidP="001F2E69">
      <w:pPr>
        <w:pStyle w:val="Heading2"/>
      </w:pPr>
      <w:bookmarkStart w:id="3" w:name="_Toc191811627"/>
      <w:r>
        <w:t>T</w:t>
      </w:r>
      <w:r w:rsidR="0021599B">
        <w:t>able of Legislation</w:t>
      </w:r>
      <w:bookmarkEnd w:id="3"/>
      <w:r w:rsidR="0021599B">
        <w:t xml:space="preserve"> </w:t>
      </w:r>
    </w:p>
    <w:p w14:paraId="0FD00880" w14:textId="77777777" w:rsidR="001B7EBD" w:rsidRDefault="001B7EBD" w:rsidP="001B7EBD"/>
    <w:p w14:paraId="015F8E2B" w14:textId="465E14B5" w:rsidR="007C2488" w:rsidRDefault="007C2488" w:rsidP="001B7EBD">
      <w:pPr>
        <w:rPr>
          <w:rFonts w:asciiTheme="minorHAnsi" w:hAnsiTheme="minorHAnsi"/>
          <w:sz w:val="24"/>
          <w:szCs w:val="24"/>
        </w:rPr>
      </w:pPr>
      <w:r>
        <w:rPr>
          <w:rFonts w:asciiTheme="minorHAnsi" w:hAnsiTheme="minorHAnsi"/>
          <w:sz w:val="24"/>
          <w:szCs w:val="24"/>
        </w:rPr>
        <w:t>CFA Order [2013]</w:t>
      </w:r>
    </w:p>
    <w:p w14:paraId="74D6CF0E" w14:textId="77777777" w:rsidR="00C74815" w:rsidRDefault="00C74815" w:rsidP="001B7EBD">
      <w:pPr>
        <w:rPr>
          <w:rFonts w:asciiTheme="minorHAnsi" w:hAnsiTheme="minorHAnsi"/>
          <w:sz w:val="24"/>
          <w:szCs w:val="24"/>
        </w:rPr>
      </w:pPr>
    </w:p>
    <w:p w14:paraId="49DDADAF" w14:textId="76D2175A" w:rsidR="007C2488" w:rsidRPr="007C2488" w:rsidRDefault="007C2488" w:rsidP="001B7EBD">
      <w:pPr>
        <w:rPr>
          <w:rFonts w:asciiTheme="minorHAnsi" w:hAnsiTheme="minorHAnsi"/>
          <w:sz w:val="24"/>
          <w:szCs w:val="24"/>
        </w:rPr>
      </w:pPr>
      <w:r w:rsidRPr="007C2488">
        <w:rPr>
          <w:rFonts w:asciiTheme="minorHAnsi" w:hAnsiTheme="minorHAnsi"/>
          <w:sz w:val="24"/>
          <w:szCs w:val="24"/>
        </w:rPr>
        <w:t>Civil Liability Act [2018]</w:t>
      </w:r>
    </w:p>
    <w:p w14:paraId="6E10EF4E" w14:textId="77777777" w:rsidR="00C74815" w:rsidRDefault="00C74815" w:rsidP="001B7EBD">
      <w:pPr>
        <w:rPr>
          <w:rFonts w:asciiTheme="minorHAnsi" w:hAnsiTheme="minorHAnsi"/>
          <w:sz w:val="24"/>
          <w:szCs w:val="24"/>
        </w:rPr>
      </w:pPr>
    </w:p>
    <w:p w14:paraId="585CF6E7" w14:textId="6FD2338F" w:rsidR="007C2488" w:rsidRDefault="007C2488" w:rsidP="001B7EBD">
      <w:pPr>
        <w:rPr>
          <w:rFonts w:asciiTheme="minorHAnsi" w:hAnsiTheme="minorHAnsi"/>
          <w:sz w:val="24"/>
          <w:szCs w:val="24"/>
        </w:rPr>
      </w:pPr>
      <w:r>
        <w:rPr>
          <w:rFonts w:asciiTheme="minorHAnsi" w:hAnsiTheme="minorHAnsi"/>
          <w:sz w:val="24"/>
          <w:szCs w:val="24"/>
        </w:rPr>
        <w:t>Civil Procedures Rules [1998]</w:t>
      </w:r>
    </w:p>
    <w:p w14:paraId="58EE2CE7" w14:textId="77777777" w:rsidR="00257C8E" w:rsidRDefault="00257C8E" w:rsidP="001B7EBD">
      <w:pPr>
        <w:rPr>
          <w:rFonts w:asciiTheme="minorHAnsi" w:hAnsiTheme="minorHAnsi"/>
          <w:sz w:val="24"/>
          <w:szCs w:val="24"/>
        </w:rPr>
      </w:pPr>
    </w:p>
    <w:p w14:paraId="07FDB5F7" w14:textId="0377D7B2" w:rsidR="00257C8E" w:rsidRDefault="00257C8E" w:rsidP="001B7EBD">
      <w:pPr>
        <w:rPr>
          <w:rFonts w:asciiTheme="minorHAnsi" w:hAnsiTheme="minorHAnsi"/>
          <w:sz w:val="24"/>
          <w:szCs w:val="24"/>
        </w:rPr>
      </w:pPr>
      <w:r w:rsidRPr="00257C8E">
        <w:rPr>
          <w:rFonts w:asciiTheme="minorHAnsi" w:hAnsiTheme="minorHAnsi"/>
          <w:sz w:val="24"/>
          <w:szCs w:val="24"/>
        </w:rPr>
        <w:t xml:space="preserve">Civil Proceedings and Family Proceedings Fees (Amendment) Order </w:t>
      </w:r>
      <w:r>
        <w:rPr>
          <w:rFonts w:asciiTheme="minorHAnsi" w:hAnsiTheme="minorHAnsi"/>
          <w:sz w:val="24"/>
          <w:szCs w:val="24"/>
        </w:rPr>
        <w:t>[</w:t>
      </w:r>
      <w:r w:rsidRPr="00257C8E">
        <w:rPr>
          <w:rFonts w:asciiTheme="minorHAnsi" w:hAnsiTheme="minorHAnsi"/>
          <w:sz w:val="24"/>
          <w:szCs w:val="24"/>
        </w:rPr>
        <w:t>2015</w:t>
      </w:r>
      <w:r>
        <w:rPr>
          <w:rFonts w:asciiTheme="minorHAnsi" w:hAnsiTheme="minorHAnsi"/>
          <w:sz w:val="24"/>
          <w:szCs w:val="24"/>
        </w:rPr>
        <w:t>]</w:t>
      </w:r>
    </w:p>
    <w:p w14:paraId="57CA6FF8" w14:textId="77777777" w:rsidR="00C74815" w:rsidRDefault="00C74815" w:rsidP="001B7EBD">
      <w:pPr>
        <w:rPr>
          <w:rFonts w:asciiTheme="minorHAnsi" w:hAnsiTheme="minorHAnsi"/>
          <w:sz w:val="24"/>
          <w:szCs w:val="24"/>
        </w:rPr>
      </w:pPr>
    </w:p>
    <w:p w14:paraId="0178E98B" w14:textId="1AB97501" w:rsidR="007C2488" w:rsidRDefault="007C2488" w:rsidP="001B7EBD">
      <w:pPr>
        <w:rPr>
          <w:rFonts w:asciiTheme="minorHAnsi" w:hAnsiTheme="minorHAnsi"/>
          <w:sz w:val="24"/>
          <w:szCs w:val="24"/>
        </w:rPr>
      </w:pPr>
      <w:r>
        <w:rPr>
          <w:rFonts w:asciiTheme="minorHAnsi" w:hAnsiTheme="minorHAnsi"/>
          <w:sz w:val="24"/>
          <w:szCs w:val="24"/>
        </w:rPr>
        <w:t>Courts and Legal Services Act [1990]</w:t>
      </w:r>
    </w:p>
    <w:p w14:paraId="5BBDE394" w14:textId="77777777" w:rsidR="00CC4D0D" w:rsidRDefault="00CC4D0D" w:rsidP="001B7EBD">
      <w:pPr>
        <w:rPr>
          <w:rFonts w:asciiTheme="minorHAnsi" w:hAnsiTheme="minorHAnsi"/>
          <w:sz w:val="24"/>
          <w:szCs w:val="24"/>
        </w:rPr>
      </w:pPr>
    </w:p>
    <w:p w14:paraId="3F1A378B" w14:textId="62F3A0A5" w:rsidR="00CC4D0D" w:rsidRPr="00CC4D0D" w:rsidRDefault="00CC4D0D" w:rsidP="001B7EBD">
      <w:pPr>
        <w:rPr>
          <w:rFonts w:asciiTheme="minorHAnsi" w:hAnsiTheme="minorHAnsi"/>
          <w:sz w:val="24"/>
          <w:szCs w:val="24"/>
        </w:rPr>
      </w:pPr>
      <w:r w:rsidRPr="00CC4D0D">
        <w:rPr>
          <w:rFonts w:asciiTheme="minorHAnsi" w:hAnsiTheme="minorHAnsi"/>
          <w:sz w:val="24"/>
          <w:szCs w:val="24"/>
        </w:rPr>
        <w:t>Human Rights Act [1998]</w:t>
      </w:r>
    </w:p>
    <w:p w14:paraId="1BC03FDA" w14:textId="77777777" w:rsidR="00C74815" w:rsidRDefault="00C74815" w:rsidP="001B7EBD">
      <w:pPr>
        <w:rPr>
          <w:rFonts w:asciiTheme="minorHAnsi" w:hAnsiTheme="minorHAnsi"/>
          <w:sz w:val="24"/>
          <w:szCs w:val="24"/>
        </w:rPr>
      </w:pPr>
    </w:p>
    <w:p w14:paraId="16A42302" w14:textId="0C365750" w:rsidR="007C2488" w:rsidRPr="007C2488" w:rsidRDefault="007C2488" w:rsidP="001B7EBD">
      <w:pPr>
        <w:rPr>
          <w:rFonts w:asciiTheme="minorHAnsi" w:hAnsiTheme="minorHAnsi"/>
          <w:sz w:val="24"/>
          <w:szCs w:val="24"/>
        </w:rPr>
      </w:pPr>
      <w:r w:rsidRPr="007C2488">
        <w:rPr>
          <w:rFonts w:asciiTheme="minorHAnsi" w:hAnsiTheme="minorHAnsi"/>
          <w:sz w:val="24"/>
          <w:szCs w:val="24"/>
        </w:rPr>
        <w:t>Law Reform (Personal Injuries) Act [1948]</w:t>
      </w:r>
    </w:p>
    <w:p w14:paraId="72A23747" w14:textId="77777777" w:rsidR="00C74815" w:rsidRDefault="00C74815" w:rsidP="001B7EBD">
      <w:pPr>
        <w:rPr>
          <w:rFonts w:asciiTheme="minorHAnsi" w:hAnsiTheme="minorHAnsi"/>
          <w:sz w:val="24"/>
          <w:szCs w:val="24"/>
        </w:rPr>
      </w:pPr>
    </w:p>
    <w:p w14:paraId="31DFCF55" w14:textId="395E52FB" w:rsidR="007C2488" w:rsidRDefault="007C2488" w:rsidP="001B7EBD">
      <w:pPr>
        <w:rPr>
          <w:rFonts w:asciiTheme="minorHAnsi" w:hAnsiTheme="minorHAnsi"/>
          <w:sz w:val="24"/>
          <w:szCs w:val="24"/>
        </w:rPr>
      </w:pPr>
      <w:r>
        <w:rPr>
          <w:rFonts w:asciiTheme="minorHAnsi" w:hAnsiTheme="minorHAnsi"/>
          <w:sz w:val="24"/>
          <w:szCs w:val="24"/>
        </w:rPr>
        <w:t>Limitation Act [1980]</w:t>
      </w:r>
    </w:p>
    <w:p w14:paraId="42F342CC" w14:textId="77777777" w:rsidR="00C74815" w:rsidRDefault="00C74815" w:rsidP="001B7EBD">
      <w:pPr>
        <w:rPr>
          <w:rFonts w:asciiTheme="minorHAnsi" w:hAnsiTheme="minorHAnsi"/>
          <w:sz w:val="24"/>
          <w:szCs w:val="24"/>
        </w:rPr>
      </w:pPr>
    </w:p>
    <w:p w14:paraId="7221B96B" w14:textId="542FA5AA" w:rsidR="007C2488" w:rsidRDefault="007C2488" w:rsidP="001B7EBD">
      <w:pPr>
        <w:rPr>
          <w:rFonts w:asciiTheme="minorHAnsi" w:hAnsiTheme="minorHAnsi"/>
          <w:sz w:val="24"/>
          <w:szCs w:val="24"/>
        </w:rPr>
      </w:pPr>
      <w:r>
        <w:rPr>
          <w:rFonts w:asciiTheme="minorHAnsi" w:hAnsiTheme="minorHAnsi"/>
          <w:sz w:val="24"/>
          <w:szCs w:val="24"/>
        </w:rPr>
        <w:t>Road Traffic [1988]</w:t>
      </w:r>
    </w:p>
    <w:p w14:paraId="550770A0" w14:textId="77777777" w:rsidR="00C74815" w:rsidRDefault="00C74815" w:rsidP="007C2488">
      <w:pPr>
        <w:rPr>
          <w:rFonts w:asciiTheme="minorHAnsi" w:hAnsiTheme="minorHAnsi"/>
          <w:sz w:val="24"/>
          <w:szCs w:val="24"/>
        </w:rPr>
      </w:pPr>
    </w:p>
    <w:p w14:paraId="12D335A6" w14:textId="197895BA" w:rsidR="007C2488" w:rsidRPr="007C2488" w:rsidRDefault="007C2488" w:rsidP="007C2488">
      <w:pPr>
        <w:rPr>
          <w:rFonts w:asciiTheme="minorHAnsi" w:hAnsiTheme="minorHAnsi"/>
          <w:sz w:val="24"/>
          <w:szCs w:val="24"/>
        </w:rPr>
      </w:pPr>
    </w:p>
    <w:p w14:paraId="1381BFC8" w14:textId="77777777" w:rsidR="007C2488" w:rsidRDefault="007C2488" w:rsidP="001B7EBD">
      <w:pPr>
        <w:rPr>
          <w:rFonts w:asciiTheme="minorHAnsi" w:hAnsiTheme="minorHAnsi"/>
          <w:sz w:val="24"/>
          <w:szCs w:val="24"/>
        </w:rPr>
      </w:pPr>
    </w:p>
    <w:p w14:paraId="307B3C41" w14:textId="77777777" w:rsidR="002229A7" w:rsidRDefault="002229A7" w:rsidP="001B7EBD">
      <w:pPr>
        <w:rPr>
          <w:rFonts w:asciiTheme="minorHAnsi" w:hAnsiTheme="minorHAnsi"/>
          <w:sz w:val="24"/>
          <w:szCs w:val="24"/>
        </w:rPr>
      </w:pPr>
    </w:p>
    <w:p w14:paraId="10965636" w14:textId="42FDB3F2" w:rsidR="002229A7" w:rsidRDefault="002229A7">
      <w:pPr>
        <w:spacing w:after="160" w:line="278" w:lineRule="auto"/>
        <w:rPr>
          <w:rFonts w:asciiTheme="majorHAnsi" w:eastAsiaTheme="majorEastAsia" w:hAnsiTheme="majorHAnsi" w:cstheme="majorBidi"/>
          <w:color w:val="0F4761" w:themeColor="accent1" w:themeShade="BF"/>
          <w:sz w:val="32"/>
          <w:szCs w:val="32"/>
        </w:rPr>
      </w:pPr>
      <w:r>
        <w:br w:type="page"/>
      </w:r>
    </w:p>
    <w:p w14:paraId="19ED2608" w14:textId="77777777" w:rsidR="001F2E69" w:rsidRDefault="001F2E69" w:rsidP="001F2E69">
      <w:pPr>
        <w:pStyle w:val="Heading2"/>
      </w:pPr>
    </w:p>
    <w:p w14:paraId="1B22A70F" w14:textId="61269526" w:rsidR="00801AAF" w:rsidRDefault="00801AAF" w:rsidP="00801AAF">
      <w:pPr>
        <w:pStyle w:val="Heading2"/>
      </w:pPr>
      <w:bookmarkStart w:id="4" w:name="_Toc191811628"/>
      <w:r>
        <w:t>References</w:t>
      </w:r>
      <w:bookmarkEnd w:id="4"/>
      <w:r>
        <w:t xml:space="preserve"> </w:t>
      </w:r>
    </w:p>
    <w:p w14:paraId="1372CD56" w14:textId="77777777" w:rsidR="00801AAF" w:rsidRDefault="00801AAF"/>
    <w:p w14:paraId="06C726F9" w14:textId="77777777" w:rsidR="006C517E" w:rsidRDefault="006C517E">
      <w:pPr>
        <w:rPr>
          <w:rFonts w:asciiTheme="minorHAnsi" w:hAnsiTheme="minorHAnsi"/>
          <w:sz w:val="24"/>
          <w:szCs w:val="24"/>
        </w:rPr>
      </w:pPr>
    </w:p>
    <w:p w14:paraId="1E8E7499" w14:textId="0C7A8CCD" w:rsidR="006C517E" w:rsidRDefault="006C517E">
      <w:pPr>
        <w:rPr>
          <w:rFonts w:asciiTheme="minorHAnsi" w:hAnsiTheme="minorHAnsi"/>
          <w:sz w:val="24"/>
          <w:szCs w:val="24"/>
        </w:rPr>
      </w:pPr>
      <w:r w:rsidRPr="006C517E">
        <w:rPr>
          <w:rFonts w:asciiTheme="minorHAnsi" w:hAnsiTheme="minorHAnsi"/>
          <w:sz w:val="24"/>
          <w:szCs w:val="24"/>
        </w:rPr>
        <w:t>Ashton, D., 2023. </w:t>
      </w:r>
      <w:r w:rsidRPr="006C517E">
        <w:rPr>
          <w:rFonts w:asciiTheme="minorHAnsi" w:hAnsiTheme="minorHAnsi"/>
          <w:i/>
          <w:iCs/>
          <w:sz w:val="24"/>
          <w:szCs w:val="24"/>
        </w:rPr>
        <w:t>Competition Damages Actions in the EU and the UK: Law and Practice</w:t>
      </w:r>
      <w:r w:rsidRPr="006C517E">
        <w:rPr>
          <w:rFonts w:asciiTheme="minorHAnsi" w:hAnsiTheme="minorHAnsi"/>
          <w:sz w:val="24"/>
          <w:szCs w:val="24"/>
        </w:rPr>
        <w:t>. Edward Elgar Publishing.</w:t>
      </w:r>
    </w:p>
    <w:p w14:paraId="51BAEDBC" w14:textId="77777777" w:rsidR="006C517E" w:rsidRDefault="006C517E">
      <w:pPr>
        <w:rPr>
          <w:rFonts w:asciiTheme="minorHAnsi" w:hAnsiTheme="minorHAnsi"/>
          <w:sz w:val="24"/>
          <w:szCs w:val="24"/>
        </w:rPr>
      </w:pPr>
    </w:p>
    <w:p w14:paraId="1AA81A1F" w14:textId="526D9A07" w:rsidR="00074A45" w:rsidRDefault="00074A45">
      <w:pPr>
        <w:rPr>
          <w:rFonts w:asciiTheme="minorHAnsi" w:hAnsiTheme="minorHAnsi"/>
          <w:sz w:val="24"/>
          <w:szCs w:val="24"/>
        </w:rPr>
      </w:pPr>
      <w:proofErr w:type="spellStart"/>
      <w:r w:rsidRPr="00074A45">
        <w:rPr>
          <w:rFonts w:asciiTheme="minorHAnsi" w:hAnsiTheme="minorHAnsi"/>
          <w:sz w:val="24"/>
          <w:szCs w:val="24"/>
        </w:rPr>
        <w:t>Bachani</w:t>
      </w:r>
      <w:proofErr w:type="spellEnd"/>
      <w:r w:rsidRPr="00074A45">
        <w:rPr>
          <w:rFonts w:asciiTheme="minorHAnsi" w:hAnsiTheme="minorHAnsi"/>
          <w:sz w:val="24"/>
          <w:szCs w:val="24"/>
        </w:rPr>
        <w:t>, A., Peden, M., Gururaj, G., Norton, R. and Hyder, A., 2017. Road traffic injuries.</w:t>
      </w:r>
    </w:p>
    <w:p w14:paraId="3E17FB83" w14:textId="77777777" w:rsidR="000D37B2" w:rsidRDefault="000D37B2">
      <w:pPr>
        <w:rPr>
          <w:rFonts w:asciiTheme="minorHAnsi" w:hAnsiTheme="minorHAnsi"/>
          <w:sz w:val="24"/>
          <w:szCs w:val="24"/>
        </w:rPr>
      </w:pPr>
    </w:p>
    <w:p w14:paraId="7F1334E0" w14:textId="00E602BB" w:rsidR="000D37B2" w:rsidRDefault="000D37B2">
      <w:pPr>
        <w:rPr>
          <w:rFonts w:asciiTheme="minorHAnsi" w:hAnsiTheme="minorHAnsi"/>
          <w:sz w:val="24"/>
          <w:szCs w:val="24"/>
        </w:rPr>
      </w:pPr>
      <w:r w:rsidRPr="000D37B2">
        <w:rPr>
          <w:rFonts w:asciiTheme="minorHAnsi" w:hAnsiTheme="minorHAnsi"/>
          <w:sz w:val="24"/>
          <w:szCs w:val="24"/>
        </w:rPr>
        <w:t>Blackstone, W., 2024. </w:t>
      </w:r>
      <w:r w:rsidRPr="000D37B2">
        <w:rPr>
          <w:rFonts w:asciiTheme="minorHAnsi" w:hAnsiTheme="minorHAnsi"/>
          <w:i/>
          <w:iCs/>
          <w:sz w:val="24"/>
          <w:szCs w:val="24"/>
        </w:rPr>
        <w:t>Commentaries on the Laws of England in Four Books: Vol. 2</w:t>
      </w:r>
      <w:r w:rsidRPr="000D37B2">
        <w:rPr>
          <w:rFonts w:asciiTheme="minorHAnsi" w:hAnsiTheme="minorHAnsi"/>
          <w:sz w:val="24"/>
          <w:szCs w:val="24"/>
        </w:rPr>
        <w:t xml:space="preserve">. </w:t>
      </w:r>
      <w:proofErr w:type="spellStart"/>
      <w:r w:rsidRPr="000D37B2">
        <w:rPr>
          <w:rFonts w:asciiTheme="minorHAnsi" w:hAnsiTheme="minorHAnsi"/>
          <w:sz w:val="24"/>
          <w:szCs w:val="24"/>
        </w:rPr>
        <w:t>BoD</w:t>
      </w:r>
      <w:proofErr w:type="spellEnd"/>
      <w:r w:rsidRPr="000D37B2">
        <w:rPr>
          <w:rFonts w:asciiTheme="minorHAnsi" w:hAnsiTheme="minorHAnsi"/>
          <w:sz w:val="24"/>
          <w:szCs w:val="24"/>
        </w:rPr>
        <w:t>–Books on Demand.</w:t>
      </w:r>
    </w:p>
    <w:p w14:paraId="7269C9B1" w14:textId="77777777" w:rsidR="00074A45" w:rsidRDefault="00074A45">
      <w:pPr>
        <w:rPr>
          <w:rFonts w:asciiTheme="minorHAnsi" w:hAnsiTheme="minorHAnsi"/>
          <w:sz w:val="24"/>
          <w:szCs w:val="24"/>
        </w:rPr>
      </w:pPr>
    </w:p>
    <w:p w14:paraId="38CC5C2C" w14:textId="3DFEC8CA" w:rsidR="00801AAF" w:rsidRDefault="00006958">
      <w:r w:rsidRPr="00BD5301">
        <w:rPr>
          <w:rFonts w:asciiTheme="minorHAnsi" w:hAnsiTheme="minorHAnsi"/>
          <w:sz w:val="24"/>
          <w:szCs w:val="24"/>
        </w:rPr>
        <w:t>Browne, K., 202</w:t>
      </w:r>
      <w:r w:rsidR="004F13FB">
        <w:rPr>
          <w:rFonts w:asciiTheme="minorHAnsi" w:hAnsiTheme="minorHAnsi"/>
          <w:sz w:val="24"/>
          <w:szCs w:val="24"/>
        </w:rPr>
        <w:t>3</w:t>
      </w:r>
      <w:r w:rsidRPr="00BD5301">
        <w:rPr>
          <w:rFonts w:asciiTheme="minorHAnsi" w:hAnsiTheme="minorHAnsi"/>
          <w:sz w:val="24"/>
          <w:szCs w:val="24"/>
        </w:rPr>
        <w:t>. </w:t>
      </w:r>
      <w:r w:rsidRPr="00BD5301">
        <w:rPr>
          <w:rFonts w:asciiTheme="minorHAnsi" w:hAnsiTheme="minorHAnsi"/>
          <w:i/>
          <w:iCs/>
          <w:sz w:val="24"/>
          <w:szCs w:val="24"/>
        </w:rPr>
        <w:t>Civil Litigation 202</w:t>
      </w:r>
      <w:r w:rsidR="004F13FB">
        <w:rPr>
          <w:rFonts w:asciiTheme="minorHAnsi" w:hAnsiTheme="minorHAnsi"/>
          <w:i/>
          <w:iCs/>
          <w:sz w:val="24"/>
          <w:szCs w:val="24"/>
        </w:rPr>
        <w:t>3</w:t>
      </w:r>
      <w:r w:rsidRPr="00BD5301">
        <w:rPr>
          <w:rFonts w:asciiTheme="minorHAnsi" w:hAnsiTheme="minorHAnsi"/>
          <w:i/>
          <w:iCs/>
          <w:sz w:val="24"/>
          <w:szCs w:val="24"/>
        </w:rPr>
        <w:t>/202</w:t>
      </w:r>
      <w:r w:rsidR="004F13FB">
        <w:rPr>
          <w:rFonts w:asciiTheme="minorHAnsi" w:hAnsiTheme="minorHAnsi"/>
          <w:i/>
          <w:iCs/>
          <w:sz w:val="24"/>
          <w:szCs w:val="24"/>
        </w:rPr>
        <w:t>4</w:t>
      </w:r>
      <w:r w:rsidRPr="00BD5301">
        <w:rPr>
          <w:rFonts w:asciiTheme="minorHAnsi" w:hAnsiTheme="minorHAnsi"/>
          <w:sz w:val="24"/>
          <w:szCs w:val="24"/>
        </w:rPr>
        <w:t>. College of Law Publishing</w:t>
      </w:r>
      <w:r w:rsidRPr="00006958">
        <w:t>.</w:t>
      </w:r>
    </w:p>
    <w:p w14:paraId="4693357D" w14:textId="77777777" w:rsidR="000623A9" w:rsidRPr="000623A9" w:rsidRDefault="000623A9">
      <w:pPr>
        <w:rPr>
          <w:rFonts w:asciiTheme="minorHAnsi" w:hAnsiTheme="minorHAnsi"/>
          <w:sz w:val="24"/>
          <w:szCs w:val="24"/>
        </w:rPr>
      </w:pPr>
    </w:p>
    <w:p w14:paraId="4AF2896F" w14:textId="28F98680" w:rsidR="000623A9" w:rsidRPr="000623A9" w:rsidRDefault="000623A9">
      <w:pPr>
        <w:rPr>
          <w:rFonts w:asciiTheme="minorHAnsi" w:hAnsiTheme="minorHAnsi"/>
          <w:sz w:val="24"/>
          <w:szCs w:val="24"/>
        </w:rPr>
      </w:pPr>
      <w:r w:rsidRPr="000623A9">
        <w:rPr>
          <w:rFonts w:asciiTheme="minorHAnsi" w:hAnsiTheme="minorHAnsi"/>
          <w:sz w:val="24"/>
          <w:szCs w:val="24"/>
        </w:rPr>
        <w:t>Buchan, A., Kennedy, J. and Woolf, E., 2014. </w:t>
      </w:r>
      <w:r w:rsidRPr="000623A9">
        <w:rPr>
          <w:rFonts w:asciiTheme="minorHAnsi" w:hAnsiTheme="minorHAnsi"/>
          <w:i/>
          <w:iCs/>
          <w:sz w:val="24"/>
          <w:szCs w:val="24"/>
        </w:rPr>
        <w:t>Personal injury practice</w:t>
      </w:r>
      <w:r w:rsidRPr="000623A9">
        <w:rPr>
          <w:rFonts w:asciiTheme="minorHAnsi" w:hAnsiTheme="minorHAnsi"/>
          <w:sz w:val="24"/>
          <w:szCs w:val="24"/>
        </w:rPr>
        <w:t>. Bloomsbury Publishing.</w:t>
      </w:r>
    </w:p>
    <w:p w14:paraId="6E7B1A69" w14:textId="77777777" w:rsidR="009306D4" w:rsidRDefault="009306D4"/>
    <w:p w14:paraId="3BED84E1" w14:textId="6AA75252" w:rsidR="009306D4" w:rsidRPr="009306D4" w:rsidRDefault="009306D4">
      <w:pPr>
        <w:rPr>
          <w:rFonts w:asciiTheme="minorHAnsi" w:hAnsiTheme="minorHAnsi"/>
          <w:sz w:val="24"/>
          <w:szCs w:val="24"/>
        </w:rPr>
      </w:pPr>
      <w:r w:rsidRPr="009306D4">
        <w:rPr>
          <w:rFonts w:asciiTheme="minorHAnsi" w:hAnsiTheme="minorHAnsi"/>
          <w:sz w:val="24"/>
          <w:szCs w:val="24"/>
        </w:rPr>
        <w:t>Chandler, P., 2003. </w:t>
      </w:r>
      <w:r w:rsidRPr="009306D4">
        <w:rPr>
          <w:rFonts w:asciiTheme="minorHAnsi" w:hAnsiTheme="minorHAnsi"/>
          <w:i/>
          <w:iCs/>
          <w:sz w:val="24"/>
          <w:szCs w:val="24"/>
        </w:rPr>
        <w:t>Waud's employment law: The practical guide for human resource managers, trade union officials, employers, employees and lawyers</w:t>
      </w:r>
      <w:r w:rsidRPr="009306D4">
        <w:rPr>
          <w:rFonts w:asciiTheme="minorHAnsi" w:hAnsiTheme="minorHAnsi"/>
          <w:sz w:val="24"/>
          <w:szCs w:val="24"/>
        </w:rPr>
        <w:t>. Kogan Page Publishers.</w:t>
      </w:r>
    </w:p>
    <w:p w14:paraId="6F8E02E4" w14:textId="77777777" w:rsidR="00801AAF" w:rsidRDefault="00801AAF"/>
    <w:p w14:paraId="673039CA" w14:textId="421547A8" w:rsidR="00801AAF" w:rsidRDefault="00354952" w:rsidP="00B410EB">
      <w:pPr>
        <w:spacing w:line="360" w:lineRule="auto"/>
        <w:rPr>
          <w:rFonts w:asciiTheme="minorHAnsi" w:hAnsiTheme="minorHAnsi"/>
          <w:sz w:val="24"/>
          <w:szCs w:val="24"/>
        </w:rPr>
      </w:pPr>
      <w:r w:rsidRPr="00B410EB">
        <w:rPr>
          <w:rFonts w:asciiTheme="minorHAnsi" w:hAnsiTheme="minorHAnsi"/>
          <w:sz w:val="24"/>
          <w:szCs w:val="24"/>
        </w:rPr>
        <w:t>Cunningham-Hill, S. and Elder, K., 2019. </w:t>
      </w:r>
      <w:r w:rsidRPr="00B410EB">
        <w:rPr>
          <w:rFonts w:asciiTheme="minorHAnsi" w:hAnsiTheme="minorHAnsi"/>
          <w:i/>
          <w:iCs/>
          <w:sz w:val="24"/>
          <w:szCs w:val="24"/>
        </w:rPr>
        <w:t>Civil Litigation 2019-2020</w:t>
      </w:r>
      <w:r w:rsidRPr="00B410EB">
        <w:rPr>
          <w:rFonts w:asciiTheme="minorHAnsi" w:hAnsiTheme="minorHAnsi"/>
          <w:sz w:val="24"/>
          <w:szCs w:val="24"/>
        </w:rPr>
        <w:t>. Legal Practice Course Manuals.</w:t>
      </w:r>
    </w:p>
    <w:p w14:paraId="3BDE54F1" w14:textId="77777777" w:rsidR="00DF6255" w:rsidRDefault="00DF6255" w:rsidP="00B410EB">
      <w:pPr>
        <w:spacing w:line="360" w:lineRule="auto"/>
        <w:rPr>
          <w:rFonts w:asciiTheme="minorHAnsi" w:hAnsiTheme="minorHAnsi"/>
          <w:sz w:val="24"/>
          <w:szCs w:val="24"/>
        </w:rPr>
      </w:pPr>
    </w:p>
    <w:p w14:paraId="13798D9D" w14:textId="0ABB3559" w:rsidR="00DF6255" w:rsidRPr="00B410EB" w:rsidRDefault="00DF6255" w:rsidP="00B410EB">
      <w:pPr>
        <w:spacing w:line="360" w:lineRule="auto"/>
        <w:rPr>
          <w:rFonts w:asciiTheme="minorHAnsi" w:hAnsiTheme="minorHAnsi"/>
          <w:sz w:val="24"/>
          <w:szCs w:val="24"/>
        </w:rPr>
      </w:pPr>
      <w:r w:rsidRPr="00DF6255">
        <w:rPr>
          <w:rFonts w:asciiTheme="minorHAnsi" w:hAnsiTheme="minorHAnsi"/>
          <w:sz w:val="24"/>
          <w:szCs w:val="24"/>
        </w:rPr>
        <w:t>Cunningham-Hill, S. and Elder, K., 2013. </w:t>
      </w:r>
      <w:r w:rsidRPr="00DF6255">
        <w:rPr>
          <w:rFonts w:asciiTheme="minorHAnsi" w:hAnsiTheme="minorHAnsi"/>
          <w:i/>
          <w:iCs/>
          <w:sz w:val="24"/>
          <w:szCs w:val="24"/>
        </w:rPr>
        <w:t>Civil Litigation Handbook 2013-2014</w:t>
      </w:r>
      <w:r w:rsidRPr="00DF6255">
        <w:rPr>
          <w:rFonts w:asciiTheme="minorHAnsi" w:hAnsiTheme="minorHAnsi"/>
          <w:sz w:val="24"/>
          <w:szCs w:val="24"/>
        </w:rPr>
        <w:t>. Oxford University Press, USA.</w:t>
      </w:r>
    </w:p>
    <w:p w14:paraId="2A151E3A" w14:textId="77777777" w:rsidR="00003A9B" w:rsidRDefault="00003A9B" w:rsidP="00B410EB">
      <w:pPr>
        <w:spacing w:line="360" w:lineRule="auto"/>
        <w:rPr>
          <w:rFonts w:asciiTheme="minorHAnsi" w:hAnsiTheme="minorHAnsi"/>
          <w:sz w:val="24"/>
          <w:szCs w:val="24"/>
        </w:rPr>
      </w:pPr>
    </w:p>
    <w:p w14:paraId="05D105B9" w14:textId="672F571B" w:rsidR="00002F00" w:rsidRDefault="00002F00" w:rsidP="00B410EB">
      <w:pPr>
        <w:spacing w:line="360" w:lineRule="auto"/>
        <w:rPr>
          <w:rFonts w:asciiTheme="minorHAnsi" w:hAnsiTheme="minorHAnsi"/>
          <w:sz w:val="24"/>
          <w:szCs w:val="24"/>
        </w:rPr>
      </w:pPr>
      <w:r>
        <w:rPr>
          <w:rFonts w:asciiTheme="minorHAnsi" w:hAnsiTheme="minorHAnsi"/>
          <w:sz w:val="24"/>
          <w:szCs w:val="24"/>
        </w:rPr>
        <w:t>Dyson, M</w:t>
      </w:r>
      <w:r w:rsidR="00BB05A1">
        <w:rPr>
          <w:rFonts w:asciiTheme="minorHAnsi" w:hAnsiTheme="minorHAnsi"/>
          <w:sz w:val="24"/>
          <w:szCs w:val="24"/>
        </w:rPr>
        <w:t xml:space="preserve">., 2022. </w:t>
      </w:r>
      <w:r w:rsidR="00BB05A1" w:rsidRPr="00BB05A1">
        <w:rPr>
          <w:rFonts w:asciiTheme="minorHAnsi" w:hAnsiTheme="minorHAnsi"/>
          <w:i/>
          <w:iCs/>
          <w:sz w:val="24"/>
          <w:szCs w:val="24"/>
        </w:rPr>
        <w:t>Criminal Law.</w:t>
      </w:r>
      <w:r w:rsidR="00BB05A1">
        <w:rPr>
          <w:rFonts w:asciiTheme="minorHAnsi" w:hAnsiTheme="minorHAnsi"/>
          <w:sz w:val="24"/>
          <w:szCs w:val="24"/>
        </w:rPr>
        <w:t xml:space="preserve"> Oxford University Press. </w:t>
      </w:r>
      <w:r w:rsidR="0077405F">
        <w:rPr>
          <w:rFonts w:asciiTheme="minorHAnsi" w:hAnsiTheme="minorHAnsi"/>
          <w:sz w:val="24"/>
          <w:szCs w:val="24"/>
        </w:rPr>
        <w:t>UK</w:t>
      </w:r>
      <w:r w:rsidR="00BB05A1">
        <w:rPr>
          <w:rFonts w:asciiTheme="minorHAnsi" w:hAnsiTheme="minorHAnsi"/>
          <w:sz w:val="24"/>
          <w:szCs w:val="24"/>
        </w:rPr>
        <w:t xml:space="preserve">. </w:t>
      </w:r>
    </w:p>
    <w:p w14:paraId="156A1739" w14:textId="77777777" w:rsidR="00002F00" w:rsidRDefault="00002F00" w:rsidP="00B410EB">
      <w:pPr>
        <w:spacing w:line="360" w:lineRule="auto"/>
        <w:rPr>
          <w:rFonts w:asciiTheme="minorHAnsi" w:hAnsiTheme="minorHAnsi"/>
          <w:sz w:val="24"/>
          <w:szCs w:val="24"/>
        </w:rPr>
      </w:pPr>
    </w:p>
    <w:p w14:paraId="088A55B6" w14:textId="489A668A" w:rsidR="00DF31BF" w:rsidRDefault="00DF31BF" w:rsidP="00B410EB">
      <w:pPr>
        <w:spacing w:line="360" w:lineRule="auto"/>
        <w:rPr>
          <w:rFonts w:asciiTheme="minorHAnsi" w:hAnsiTheme="minorHAnsi"/>
          <w:sz w:val="24"/>
          <w:szCs w:val="24"/>
        </w:rPr>
      </w:pPr>
      <w:r w:rsidRPr="00DF31BF">
        <w:rPr>
          <w:rFonts w:asciiTheme="minorHAnsi" w:hAnsiTheme="minorHAnsi"/>
          <w:sz w:val="24"/>
          <w:szCs w:val="24"/>
        </w:rPr>
        <w:t>Fordham, M., 2021. </w:t>
      </w:r>
      <w:r w:rsidRPr="00DF31BF">
        <w:rPr>
          <w:rFonts w:asciiTheme="minorHAnsi" w:hAnsiTheme="minorHAnsi"/>
          <w:i/>
          <w:iCs/>
          <w:sz w:val="24"/>
          <w:szCs w:val="24"/>
        </w:rPr>
        <w:t>Judicial review handbook</w:t>
      </w:r>
      <w:r w:rsidRPr="00DF31BF">
        <w:rPr>
          <w:rFonts w:asciiTheme="minorHAnsi" w:hAnsiTheme="minorHAnsi"/>
          <w:sz w:val="24"/>
          <w:szCs w:val="24"/>
        </w:rPr>
        <w:t>. Bloomsbury Publishing.</w:t>
      </w:r>
    </w:p>
    <w:p w14:paraId="2836484E" w14:textId="77777777" w:rsidR="00DF31BF" w:rsidRDefault="00DF31BF" w:rsidP="00B410EB">
      <w:pPr>
        <w:spacing w:line="360" w:lineRule="auto"/>
        <w:rPr>
          <w:rFonts w:asciiTheme="minorHAnsi" w:hAnsiTheme="minorHAnsi"/>
          <w:sz w:val="24"/>
          <w:szCs w:val="24"/>
        </w:rPr>
      </w:pPr>
    </w:p>
    <w:p w14:paraId="29F4E0BA" w14:textId="4640EF13" w:rsidR="009E0180" w:rsidRDefault="009E0180" w:rsidP="00B410EB">
      <w:pPr>
        <w:spacing w:line="360" w:lineRule="auto"/>
        <w:rPr>
          <w:rFonts w:asciiTheme="minorHAnsi" w:hAnsiTheme="minorHAnsi"/>
          <w:sz w:val="24"/>
          <w:szCs w:val="24"/>
        </w:rPr>
      </w:pPr>
      <w:r w:rsidRPr="009E0180">
        <w:rPr>
          <w:rFonts w:asciiTheme="minorHAnsi" w:hAnsiTheme="minorHAnsi"/>
          <w:sz w:val="24"/>
          <w:szCs w:val="24"/>
        </w:rPr>
        <w:t>Genn, H.G. and Genn, H., 2010. </w:t>
      </w:r>
      <w:r w:rsidRPr="009E0180">
        <w:rPr>
          <w:rFonts w:asciiTheme="minorHAnsi" w:hAnsiTheme="minorHAnsi"/>
          <w:i/>
          <w:iCs/>
          <w:sz w:val="24"/>
          <w:szCs w:val="24"/>
        </w:rPr>
        <w:t>Judging civil justice</w:t>
      </w:r>
      <w:r w:rsidRPr="009E0180">
        <w:rPr>
          <w:rFonts w:asciiTheme="minorHAnsi" w:hAnsiTheme="minorHAnsi"/>
          <w:sz w:val="24"/>
          <w:szCs w:val="24"/>
        </w:rPr>
        <w:t> (Vol. 60). Cambridge University Press.</w:t>
      </w:r>
    </w:p>
    <w:p w14:paraId="7FB2549A" w14:textId="77777777" w:rsidR="00086C7E" w:rsidRDefault="00086C7E" w:rsidP="00B410EB">
      <w:pPr>
        <w:spacing w:line="360" w:lineRule="auto"/>
        <w:rPr>
          <w:rFonts w:asciiTheme="minorHAnsi" w:hAnsiTheme="minorHAnsi"/>
          <w:sz w:val="24"/>
          <w:szCs w:val="24"/>
        </w:rPr>
      </w:pPr>
    </w:p>
    <w:p w14:paraId="6AEB4794" w14:textId="74EAA5F7" w:rsidR="00086C7E" w:rsidRDefault="00086C7E" w:rsidP="00B410EB">
      <w:pPr>
        <w:spacing w:line="360" w:lineRule="auto"/>
        <w:rPr>
          <w:rFonts w:asciiTheme="minorHAnsi" w:hAnsiTheme="minorHAnsi"/>
          <w:sz w:val="24"/>
          <w:szCs w:val="24"/>
        </w:rPr>
      </w:pPr>
      <w:r w:rsidRPr="00086C7E">
        <w:rPr>
          <w:rFonts w:asciiTheme="minorHAnsi" w:hAnsiTheme="minorHAnsi"/>
          <w:sz w:val="24"/>
          <w:szCs w:val="24"/>
        </w:rPr>
        <w:t>Greaves, I., Porter, K. and Garner, J., 2021. </w:t>
      </w:r>
      <w:r w:rsidRPr="00086C7E">
        <w:rPr>
          <w:rFonts w:asciiTheme="minorHAnsi" w:hAnsiTheme="minorHAnsi"/>
          <w:i/>
          <w:iCs/>
          <w:sz w:val="24"/>
          <w:szCs w:val="24"/>
        </w:rPr>
        <w:t>Trauma care manual</w:t>
      </w:r>
      <w:r w:rsidRPr="00086C7E">
        <w:rPr>
          <w:rFonts w:asciiTheme="minorHAnsi" w:hAnsiTheme="minorHAnsi"/>
          <w:sz w:val="24"/>
          <w:szCs w:val="24"/>
        </w:rPr>
        <w:t>. CRC Press.</w:t>
      </w:r>
    </w:p>
    <w:p w14:paraId="07E9B877" w14:textId="77777777" w:rsidR="009E0180" w:rsidRPr="00B410EB" w:rsidRDefault="009E0180" w:rsidP="00B410EB">
      <w:pPr>
        <w:spacing w:line="360" w:lineRule="auto"/>
        <w:rPr>
          <w:rFonts w:asciiTheme="minorHAnsi" w:hAnsiTheme="minorHAnsi"/>
          <w:sz w:val="24"/>
          <w:szCs w:val="24"/>
        </w:rPr>
      </w:pPr>
    </w:p>
    <w:p w14:paraId="20701075" w14:textId="0382B907" w:rsidR="00F34429" w:rsidRPr="00B410EB" w:rsidRDefault="00F34429" w:rsidP="00B410EB">
      <w:pPr>
        <w:spacing w:line="360" w:lineRule="auto"/>
        <w:rPr>
          <w:rFonts w:asciiTheme="minorHAnsi" w:hAnsiTheme="minorHAnsi"/>
          <w:sz w:val="24"/>
          <w:szCs w:val="24"/>
        </w:rPr>
      </w:pPr>
      <w:r w:rsidRPr="00B410EB">
        <w:rPr>
          <w:rFonts w:asciiTheme="minorHAnsi" w:hAnsiTheme="minorHAnsi"/>
          <w:sz w:val="24"/>
          <w:szCs w:val="24"/>
        </w:rPr>
        <w:t>Kane, A.W. and Dvoskin, J.A., 2011. </w:t>
      </w:r>
      <w:r w:rsidRPr="00B410EB">
        <w:rPr>
          <w:rFonts w:asciiTheme="minorHAnsi" w:hAnsiTheme="minorHAnsi"/>
          <w:i/>
          <w:iCs/>
          <w:sz w:val="24"/>
          <w:szCs w:val="24"/>
        </w:rPr>
        <w:t>Evaluation for personal injury claims</w:t>
      </w:r>
      <w:r w:rsidRPr="00B410EB">
        <w:rPr>
          <w:rFonts w:asciiTheme="minorHAnsi" w:hAnsiTheme="minorHAnsi"/>
          <w:sz w:val="24"/>
          <w:szCs w:val="24"/>
        </w:rPr>
        <w:t>. Oxford University Press.</w:t>
      </w:r>
    </w:p>
    <w:p w14:paraId="6295FB10" w14:textId="77777777" w:rsidR="0046087D" w:rsidRPr="00B410EB" w:rsidRDefault="0046087D" w:rsidP="00B410EB">
      <w:pPr>
        <w:spacing w:line="360" w:lineRule="auto"/>
        <w:rPr>
          <w:rFonts w:asciiTheme="minorHAnsi" w:hAnsiTheme="minorHAnsi"/>
          <w:sz w:val="24"/>
          <w:szCs w:val="24"/>
        </w:rPr>
      </w:pPr>
    </w:p>
    <w:p w14:paraId="18947158" w14:textId="6AB5FC1E" w:rsidR="00F613AC" w:rsidRPr="00B410EB" w:rsidRDefault="00F613AC" w:rsidP="00B410EB">
      <w:pPr>
        <w:spacing w:line="360" w:lineRule="auto"/>
        <w:rPr>
          <w:rFonts w:asciiTheme="minorHAnsi" w:hAnsiTheme="minorHAnsi"/>
          <w:sz w:val="24"/>
          <w:szCs w:val="24"/>
        </w:rPr>
      </w:pPr>
      <w:r w:rsidRPr="00B410EB">
        <w:rPr>
          <w:rFonts w:asciiTheme="minorHAnsi" w:hAnsiTheme="minorHAnsi"/>
          <w:sz w:val="24"/>
          <w:szCs w:val="24"/>
        </w:rPr>
        <w:t>Macleod, S. and Hodges, C., 2017. Redress schemes for personal injuries.</w:t>
      </w:r>
    </w:p>
    <w:p w14:paraId="4C8A24E3" w14:textId="77777777" w:rsidR="0046087D" w:rsidRDefault="0046087D"/>
    <w:p w14:paraId="6CEFB07F" w14:textId="77777777" w:rsidR="00316858" w:rsidRDefault="00316858" w:rsidP="00316858">
      <w:pPr>
        <w:rPr>
          <w:rFonts w:asciiTheme="minorHAnsi" w:hAnsiTheme="minorHAnsi"/>
          <w:sz w:val="24"/>
          <w:szCs w:val="24"/>
        </w:rPr>
      </w:pPr>
      <w:r w:rsidRPr="00DC036C">
        <w:rPr>
          <w:rFonts w:asciiTheme="minorHAnsi" w:hAnsiTheme="minorHAnsi"/>
          <w:sz w:val="24"/>
          <w:szCs w:val="24"/>
        </w:rPr>
        <w:t>Macgregor, L., Peacey, C. and Ridsdale, G., 2021. </w:t>
      </w:r>
      <w:r w:rsidRPr="00DC036C">
        <w:rPr>
          <w:rFonts w:asciiTheme="minorHAnsi" w:hAnsiTheme="minorHAnsi"/>
          <w:i/>
          <w:iCs/>
          <w:sz w:val="24"/>
          <w:szCs w:val="24"/>
        </w:rPr>
        <w:t>Civil Litigation</w:t>
      </w:r>
      <w:r w:rsidRPr="00DC036C">
        <w:rPr>
          <w:rFonts w:asciiTheme="minorHAnsi" w:hAnsiTheme="minorHAnsi"/>
          <w:sz w:val="24"/>
          <w:szCs w:val="24"/>
        </w:rPr>
        <w:t>. Oxford University Press.</w:t>
      </w:r>
    </w:p>
    <w:p w14:paraId="24690BA0" w14:textId="77777777" w:rsidR="00316858" w:rsidRDefault="00316858"/>
    <w:p w14:paraId="3C31746B" w14:textId="42A95861" w:rsidR="00E42BA5" w:rsidRDefault="00E42BA5">
      <w:pPr>
        <w:rPr>
          <w:rFonts w:asciiTheme="minorHAnsi" w:hAnsiTheme="minorHAnsi"/>
          <w:sz w:val="24"/>
          <w:szCs w:val="24"/>
        </w:rPr>
      </w:pPr>
      <w:r w:rsidRPr="00E42BA5">
        <w:rPr>
          <w:rFonts w:asciiTheme="minorHAnsi" w:hAnsiTheme="minorHAnsi"/>
          <w:sz w:val="24"/>
          <w:szCs w:val="24"/>
        </w:rPr>
        <w:t>Mardell, J., 2018. </w:t>
      </w:r>
      <w:r w:rsidRPr="00E42BA5">
        <w:rPr>
          <w:rFonts w:asciiTheme="minorHAnsi" w:hAnsiTheme="minorHAnsi"/>
          <w:i/>
          <w:iCs/>
          <w:sz w:val="24"/>
          <w:szCs w:val="24"/>
        </w:rPr>
        <w:t>Personal Injury and Clinical Negligence Litigation 2018</w:t>
      </w:r>
      <w:r w:rsidRPr="00E42BA5">
        <w:rPr>
          <w:rFonts w:asciiTheme="minorHAnsi" w:hAnsiTheme="minorHAnsi"/>
          <w:sz w:val="24"/>
          <w:szCs w:val="24"/>
        </w:rPr>
        <w:t>. College of Law Publishing.</w:t>
      </w:r>
    </w:p>
    <w:p w14:paraId="3854D19C" w14:textId="77777777" w:rsidR="00495486" w:rsidRDefault="00495486">
      <w:pPr>
        <w:rPr>
          <w:rFonts w:asciiTheme="minorHAnsi" w:hAnsiTheme="minorHAnsi"/>
          <w:sz w:val="24"/>
          <w:szCs w:val="24"/>
        </w:rPr>
      </w:pPr>
    </w:p>
    <w:p w14:paraId="1DD0B507" w14:textId="5C4DBE0E" w:rsidR="00495486" w:rsidRDefault="00495486">
      <w:pPr>
        <w:rPr>
          <w:rFonts w:asciiTheme="minorHAnsi" w:hAnsiTheme="minorHAnsi"/>
          <w:sz w:val="24"/>
          <w:szCs w:val="24"/>
        </w:rPr>
      </w:pPr>
      <w:r w:rsidRPr="00495486">
        <w:rPr>
          <w:rFonts w:asciiTheme="minorHAnsi" w:hAnsiTheme="minorHAnsi"/>
          <w:sz w:val="24"/>
          <w:szCs w:val="24"/>
        </w:rPr>
        <w:t>Matthews, J., 2024. </w:t>
      </w:r>
      <w:r w:rsidRPr="00495486">
        <w:rPr>
          <w:rFonts w:asciiTheme="minorHAnsi" w:hAnsiTheme="minorHAnsi"/>
          <w:i/>
          <w:iCs/>
          <w:sz w:val="24"/>
          <w:szCs w:val="24"/>
        </w:rPr>
        <w:t>How to Win Your Personal Injury Claim</w:t>
      </w:r>
      <w:r w:rsidRPr="00495486">
        <w:rPr>
          <w:rFonts w:asciiTheme="minorHAnsi" w:hAnsiTheme="minorHAnsi"/>
          <w:sz w:val="24"/>
          <w:szCs w:val="24"/>
        </w:rPr>
        <w:t xml:space="preserve">. </w:t>
      </w:r>
      <w:proofErr w:type="spellStart"/>
      <w:r w:rsidRPr="00495486">
        <w:rPr>
          <w:rFonts w:asciiTheme="minorHAnsi" w:hAnsiTheme="minorHAnsi"/>
          <w:sz w:val="24"/>
          <w:szCs w:val="24"/>
        </w:rPr>
        <w:t>Nolo</w:t>
      </w:r>
      <w:proofErr w:type="spellEnd"/>
      <w:r w:rsidRPr="00495486">
        <w:rPr>
          <w:rFonts w:asciiTheme="minorHAnsi" w:hAnsiTheme="minorHAnsi"/>
          <w:sz w:val="24"/>
          <w:szCs w:val="24"/>
        </w:rPr>
        <w:t>.</w:t>
      </w:r>
    </w:p>
    <w:p w14:paraId="7FD9F5DF" w14:textId="77777777" w:rsidR="004577BE" w:rsidRDefault="004577BE">
      <w:pPr>
        <w:rPr>
          <w:rFonts w:asciiTheme="minorHAnsi" w:hAnsiTheme="minorHAnsi"/>
          <w:sz w:val="24"/>
          <w:szCs w:val="24"/>
        </w:rPr>
      </w:pPr>
    </w:p>
    <w:p w14:paraId="72F0AD17" w14:textId="58FBA490" w:rsidR="004577BE" w:rsidRDefault="004577BE">
      <w:pPr>
        <w:rPr>
          <w:rFonts w:asciiTheme="minorHAnsi" w:hAnsiTheme="minorHAnsi"/>
          <w:sz w:val="24"/>
          <w:szCs w:val="24"/>
        </w:rPr>
      </w:pPr>
      <w:proofErr w:type="spellStart"/>
      <w:r w:rsidRPr="004577BE">
        <w:rPr>
          <w:rFonts w:asciiTheme="minorHAnsi" w:hAnsiTheme="minorHAnsi"/>
          <w:sz w:val="24"/>
          <w:szCs w:val="24"/>
        </w:rPr>
        <w:t>Neocleous</w:t>
      </w:r>
      <w:proofErr w:type="spellEnd"/>
      <w:r w:rsidRPr="004577BE">
        <w:rPr>
          <w:rFonts w:asciiTheme="minorHAnsi" w:hAnsiTheme="minorHAnsi"/>
          <w:sz w:val="24"/>
          <w:szCs w:val="24"/>
        </w:rPr>
        <w:t>, M.W., 1997. </w:t>
      </w:r>
      <w:r w:rsidRPr="004577BE">
        <w:rPr>
          <w:rFonts w:asciiTheme="minorHAnsi" w:hAnsiTheme="minorHAnsi"/>
          <w:i/>
          <w:iCs/>
          <w:sz w:val="24"/>
          <w:szCs w:val="24"/>
        </w:rPr>
        <w:t>Personal Injury: Practice &amp; Procedure</w:t>
      </w:r>
      <w:r w:rsidRPr="004577BE">
        <w:rPr>
          <w:rFonts w:asciiTheme="minorHAnsi" w:hAnsiTheme="minorHAnsi"/>
          <w:sz w:val="24"/>
          <w:szCs w:val="24"/>
        </w:rPr>
        <w:t>. Psychology Press.</w:t>
      </w:r>
    </w:p>
    <w:p w14:paraId="16AC2284" w14:textId="77777777" w:rsidR="005973E4" w:rsidRDefault="005973E4">
      <w:pPr>
        <w:rPr>
          <w:rFonts w:asciiTheme="minorHAnsi" w:hAnsiTheme="minorHAnsi"/>
          <w:sz w:val="24"/>
          <w:szCs w:val="24"/>
        </w:rPr>
      </w:pPr>
    </w:p>
    <w:p w14:paraId="0A41398E" w14:textId="283F729A" w:rsidR="005973E4" w:rsidRDefault="005973E4">
      <w:pPr>
        <w:rPr>
          <w:rFonts w:asciiTheme="minorHAnsi" w:hAnsiTheme="minorHAnsi"/>
          <w:sz w:val="24"/>
          <w:szCs w:val="24"/>
        </w:rPr>
      </w:pPr>
      <w:r w:rsidRPr="005973E4">
        <w:rPr>
          <w:rFonts w:asciiTheme="minorHAnsi" w:hAnsiTheme="minorHAnsi"/>
          <w:sz w:val="24"/>
          <w:szCs w:val="24"/>
        </w:rPr>
        <w:t>Padfield, A., 2016. </w:t>
      </w:r>
      <w:r w:rsidRPr="005973E4">
        <w:rPr>
          <w:rFonts w:asciiTheme="minorHAnsi" w:hAnsiTheme="minorHAnsi"/>
          <w:i/>
          <w:iCs/>
          <w:sz w:val="24"/>
          <w:szCs w:val="24"/>
        </w:rPr>
        <w:t>Insurance claims</w:t>
      </w:r>
      <w:r w:rsidRPr="005973E4">
        <w:rPr>
          <w:rFonts w:asciiTheme="minorHAnsi" w:hAnsiTheme="minorHAnsi"/>
          <w:sz w:val="24"/>
          <w:szCs w:val="24"/>
        </w:rPr>
        <w:t>. Bloomsbury Publishing.</w:t>
      </w:r>
    </w:p>
    <w:p w14:paraId="3976DA2F" w14:textId="77777777" w:rsidR="00DF6255" w:rsidRDefault="00DF6255">
      <w:pPr>
        <w:rPr>
          <w:rFonts w:asciiTheme="minorHAnsi" w:hAnsiTheme="minorHAnsi"/>
          <w:sz w:val="24"/>
          <w:szCs w:val="24"/>
        </w:rPr>
      </w:pPr>
    </w:p>
    <w:p w14:paraId="67A78AA3" w14:textId="5C512AF9" w:rsidR="00DF6255" w:rsidRDefault="00DF6255">
      <w:pPr>
        <w:rPr>
          <w:rFonts w:asciiTheme="minorHAnsi" w:hAnsiTheme="minorHAnsi"/>
          <w:sz w:val="24"/>
          <w:szCs w:val="24"/>
        </w:rPr>
      </w:pPr>
      <w:r w:rsidRPr="00DF6255">
        <w:rPr>
          <w:rFonts w:asciiTheme="minorHAnsi" w:hAnsiTheme="minorHAnsi"/>
          <w:sz w:val="24"/>
          <w:szCs w:val="24"/>
        </w:rPr>
        <w:t>Reid, C. ed., 2013. </w:t>
      </w:r>
      <w:r w:rsidRPr="00DF6255">
        <w:rPr>
          <w:rFonts w:asciiTheme="minorHAnsi" w:hAnsiTheme="minorHAnsi"/>
          <w:i/>
          <w:iCs/>
          <w:sz w:val="24"/>
          <w:szCs w:val="24"/>
        </w:rPr>
        <w:t>Civil Litigation</w:t>
      </w:r>
      <w:r w:rsidRPr="00DF6255">
        <w:rPr>
          <w:rFonts w:asciiTheme="minorHAnsi" w:hAnsiTheme="minorHAnsi"/>
          <w:sz w:val="24"/>
          <w:szCs w:val="24"/>
        </w:rPr>
        <w:t>. Oxford University Press, USA.</w:t>
      </w:r>
    </w:p>
    <w:p w14:paraId="7FF87B40" w14:textId="77777777" w:rsidR="00DC036C" w:rsidRDefault="00DC036C">
      <w:pPr>
        <w:rPr>
          <w:rFonts w:asciiTheme="minorHAnsi" w:hAnsiTheme="minorHAnsi"/>
          <w:sz w:val="24"/>
          <w:szCs w:val="24"/>
        </w:rPr>
      </w:pPr>
    </w:p>
    <w:p w14:paraId="434B1C2D" w14:textId="77777777" w:rsidR="00316858" w:rsidRDefault="00316858">
      <w:pPr>
        <w:rPr>
          <w:rFonts w:asciiTheme="minorHAnsi" w:hAnsiTheme="minorHAnsi"/>
          <w:sz w:val="24"/>
          <w:szCs w:val="24"/>
        </w:rPr>
      </w:pPr>
    </w:p>
    <w:p w14:paraId="094FE121" w14:textId="214C9675" w:rsidR="00316858" w:rsidRDefault="00316858">
      <w:pPr>
        <w:rPr>
          <w:rFonts w:asciiTheme="minorHAnsi" w:hAnsiTheme="minorHAnsi"/>
          <w:sz w:val="24"/>
          <w:szCs w:val="24"/>
        </w:rPr>
      </w:pPr>
      <w:r w:rsidRPr="00316858">
        <w:rPr>
          <w:rFonts w:asciiTheme="minorHAnsi" w:hAnsiTheme="minorHAnsi"/>
          <w:sz w:val="24"/>
          <w:szCs w:val="24"/>
        </w:rPr>
        <w:t>Sime, S., 2013. </w:t>
      </w:r>
      <w:r w:rsidRPr="00316858">
        <w:rPr>
          <w:rFonts w:asciiTheme="minorHAnsi" w:hAnsiTheme="minorHAnsi"/>
          <w:i/>
          <w:iCs/>
          <w:sz w:val="24"/>
          <w:szCs w:val="24"/>
        </w:rPr>
        <w:t>A practical approach to civil procedure</w:t>
      </w:r>
      <w:r w:rsidRPr="00316858">
        <w:rPr>
          <w:rFonts w:asciiTheme="minorHAnsi" w:hAnsiTheme="minorHAnsi"/>
          <w:sz w:val="24"/>
          <w:szCs w:val="24"/>
        </w:rPr>
        <w:t>. Oxford University Press, USA.</w:t>
      </w:r>
    </w:p>
    <w:p w14:paraId="4CF121F1" w14:textId="77777777" w:rsidR="00DD1452" w:rsidRDefault="00DD1452">
      <w:pPr>
        <w:rPr>
          <w:rFonts w:asciiTheme="minorHAnsi" w:hAnsiTheme="minorHAnsi"/>
          <w:sz w:val="24"/>
          <w:szCs w:val="24"/>
        </w:rPr>
      </w:pPr>
    </w:p>
    <w:p w14:paraId="4E760F8B" w14:textId="3B78CF10" w:rsidR="00DD1452" w:rsidRPr="00E42BA5" w:rsidRDefault="00DD1452">
      <w:pPr>
        <w:rPr>
          <w:rFonts w:asciiTheme="minorHAnsi" w:hAnsiTheme="minorHAnsi"/>
          <w:sz w:val="24"/>
          <w:szCs w:val="24"/>
        </w:rPr>
      </w:pPr>
      <w:proofErr w:type="spellStart"/>
      <w:r w:rsidRPr="00DD1452">
        <w:rPr>
          <w:rFonts w:asciiTheme="minorHAnsi" w:hAnsiTheme="minorHAnsi"/>
          <w:sz w:val="24"/>
          <w:szCs w:val="24"/>
        </w:rPr>
        <w:t>Walkland</w:t>
      </w:r>
      <w:proofErr w:type="spellEnd"/>
      <w:r w:rsidRPr="00DD1452">
        <w:rPr>
          <w:rFonts w:asciiTheme="minorHAnsi" w:hAnsiTheme="minorHAnsi"/>
          <w:sz w:val="24"/>
          <w:szCs w:val="24"/>
        </w:rPr>
        <w:t>, S.A., 2021. </w:t>
      </w:r>
      <w:r w:rsidRPr="00DD1452">
        <w:rPr>
          <w:rFonts w:asciiTheme="minorHAnsi" w:hAnsiTheme="minorHAnsi"/>
          <w:i/>
          <w:iCs/>
          <w:sz w:val="24"/>
          <w:szCs w:val="24"/>
        </w:rPr>
        <w:t>The legislative process in Great Britain</w:t>
      </w:r>
      <w:r w:rsidRPr="00DD1452">
        <w:rPr>
          <w:rFonts w:asciiTheme="minorHAnsi" w:hAnsiTheme="minorHAnsi"/>
          <w:sz w:val="24"/>
          <w:szCs w:val="24"/>
        </w:rPr>
        <w:t>. Routledge.</w:t>
      </w:r>
    </w:p>
    <w:sectPr w:rsidR="00DD1452" w:rsidRPr="00E42B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4A6027"/>
    <w:multiLevelType w:val="multilevel"/>
    <w:tmpl w:val="06740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8D2530"/>
    <w:multiLevelType w:val="hybridMultilevel"/>
    <w:tmpl w:val="D916DE56"/>
    <w:lvl w:ilvl="0" w:tplc="44200602">
      <w:start w:val="1"/>
      <w:numFmt w:val="bullet"/>
      <w:lvlText w:val=""/>
      <w:lvlJc w:val="left"/>
      <w:pPr>
        <w:tabs>
          <w:tab w:val="num" w:pos="720"/>
        </w:tabs>
        <w:ind w:left="720" w:hanging="360"/>
      </w:pPr>
      <w:rPr>
        <w:rFonts w:ascii="Wingdings 3" w:hAnsi="Wingdings 3" w:hint="default"/>
      </w:rPr>
    </w:lvl>
    <w:lvl w:ilvl="1" w:tplc="ED7C511E">
      <w:start w:val="1"/>
      <w:numFmt w:val="bullet"/>
      <w:lvlText w:val=""/>
      <w:lvlJc w:val="left"/>
      <w:pPr>
        <w:tabs>
          <w:tab w:val="num" w:pos="1440"/>
        </w:tabs>
        <w:ind w:left="1440" w:hanging="360"/>
      </w:pPr>
      <w:rPr>
        <w:rFonts w:ascii="Wingdings 3" w:hAnsi="Wingdings 3" w:hint="default"/>
      </w:rPr>
    </w:lvl>
    <w:lvl w:ilvl="2" w:tplc="548CE582">
      <w:numFmt w:val="bullet"/>
      <w:lvlText w:val=""/>
      <w:lvlJc w:val="left"/>
      <w:pPr>
        <w:tabs>
          <w:tab w:val="num" w:pos="2160"/>
        </w:tabs>
        <w:ind w:left="2160" w:hanging="360"/>
      </w:pPr>
      <w:rPr>
        <w:rFonts w:ascii="Wingdings 3" w:hAnsi="Wingdings 3" w:hint="default"/>
      </w:rPr>
    </w:lvl>
    <w:lvl w:ilvl="3" w:tplc="6ECAD0DA" w:tentative="1">
      <w:start w:val="1"/>
      <w:numFmt w:val="bullet"/>
      <w:lvlText w:val=""/>
      <w:lvlJc w:val="left"/>
      <w:pPr>
        <w:tabs>
          <w:tab w:val="num" w:pos="2880"/>
        </w:tabs>
        <w:ind w:left="2880" w:hanging="360"/>
      </w:pPr>
      <w:rPr>
        <w:rFonts w:ascii="Wingdings 3" w:hAnsi="Wingdings 3" w:hint="default"/>
      </w:rPr>
    </w:lvl>
    <w:lvl w:ilvl="4" w:tplc="C1B0190A" w:tentative="1">
      <w:start w:val="1"/>
      <w:numFmt w:val="bullet"/>
      <w:lvlText w:val=""/>
      <w:lvlJc w:val="left"/>
      <w:pPr>
        <w:tabs>
          <w:tab w:val="num" w:pos="3600"/>
        </w:tabs>
        <w:ind w:left="3600" w:hanging="360"/>
      </w:pPr>
      <w:rPr>
        <w:rFonts w:ascii="Wingdings 3" w:hAnsi="Wingdings 3" w:hint="default"/>
      </w:rPr>
    </w:lvl>
    <w:lvl w:ilvl="5" w:tplc="DA30F350" w:tentative="1">
      <w:start w:val="1"/>
      <w:numFmt w:val="bullet"/>
      <w:lvlText w:val=""/>
      <w:lvlJc w:val="left"/>
      <w:pPr>
        <w:tabs>
          <w:tab w:val="num" w:pos="4320"/>
        </w:tabs>
        <w:ind w:left="4320" w:hanging="360"/>
      </w:pPr>
      <w:rPr>
        <w:rFonts w:ascii="Wingdings 3" w:hAnsi="Wingdings 3" w:hint="default"/>
      </w:rPr>
    </w:lvl>
    <w:lvl w:ilvl="6" w:tplc="FC8AE4B0" w:tentative="1">
      <w:start w:val="1"/>
      <w:numFmt w:val="bullet"/>
      <w:lvlText w:val=""/>
      <w:lvlJc w:val="left"/>
      <w:pPr>
        <w:tabs>
          <w:tab w:val="num" w:pos="5040"/>
        </w:tabs>
        <w:ind w:left="5040" w:hanging="360"/>
      </w:pPr>
      <w:rPr>
        <w:rFonts w:ascii="Wingdings 3" w:hAnsi="Wingdings 3" w:hint="default"/>
      </w:rPr>
    </w:lvl>
    <w:lvl w:ilvl="7" w:tplc="D058393C" w:tentative="1">
      <w:start w:val="1"/>
      <w:numFmt w:val="bullet"/>
      <w:lvlText w:val=""/>
      <w:lvlJc w:val="left"/>
      <w:pPr>
        <w:tabs>
          <w:tab w:val="num" w:pos="5760"/>
        </w:tabs>
        <w:ind w:left="5760" w:hanging="360"/>
      </w:pPr>
      <w:rPr>
        <w:rFonts w:ascii="Wingdings 3" w:hAnsi="Wingdings 3" w:hint="default"/>
      </w:rPr>
    </w:lvl>
    <w:lvl w:ilvl="8" w:tplc="31480EAE"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308C39C6"/>
    <w:multiLevelType w:val="multilevel"/>
    <w:tmpl w:val="5144F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4F5DF6"/>
    <w:multiLevelType w:val="hybridMultilevel"/>
    <w:tmpl w:val="C9CC1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AB092B"/>
    <w:multiLevelType w:val="multilevel"/>
    <w:tmpl w:val="F0F0D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1C0ED6"/>
    <w:multiLevelType w:val="multilevel"/>
    <w:tmpl w:val="D792B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C2A271D"/>
    <w:multiLevelType w:val="multilevel"/>
    <w:tmpl w:val="7EF86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D797366"/>
    <w:multiLevelType w:val="multilevel"/>
    <w:tmpl w:val="E5161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EEF7CD8"/>
    <w:multiLevelType w:val="hybridMultilevel"/>
    <w:tmpl w:val="9D7E6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4C5925"/>
    <w:multiLevelType w:val="multilevel"/>
    <w:tmpl w:val="537C4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CED418A"/>
    <w:multiLevelType w:val="hybridMultilevel"/>
    <w:tmpl w:val="E08AB854"/>
    <w:lvl w:ilvl="0" w:tplc="08090001">
      <w:start w:val="1"/>
      <w:numFmt w:val="bullet"/>
      <w:lvlText w:val=""/>
      <w:lvlJc w:val="left"/>
      <w:pPr>
        <w:ind w:left="720" w:hanging="360"/>
      </w:pPr>
      <w:rPr>
        <w:rFonts w:ascii="Symbol" w:hAnsi="Symbol" w:hint="default"/>
      </w:rPr>
    </w:lvl>
    <w:lvl w:ilvl="1" w:tplc="F926AD2E">
      <w:numFmt w:val="bullet"/>
      <w:lvlText w:val="•"/>
      <w:lvlJc w:val="left"/>
      <w:pPr>
        <w:ind w:left="1440" w:hanging="360"/>
      </w:pPr>
      <w:rPr>
        <w:rFonts w:ascii="Segoe UI" w:eastAsia="Times New Roman" w:hAnsi="Segoe UI" w:cs="Segoe U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994026"/>
    <w:multiLevelType w:val="hybridMultilevel"/>
    <w:tmpl w:val="73142310"/>
    <w:lvl w:ilvl="0" w:tplc="7F8EE41A">
      <w:start w:val="1"/>
      <w:numFmt w:val="bullet"/>
      <w:lvlText w:val=""/>
      <w:lvlJc w:val="left"/>
      <w:pPr>
        <w:tabs>
          <w:tab w:val="num" w:pos="720"/>
        </w:tabs>
        <w:ind w:left="720" w:hanging="360"/>
      </w:pPr>
      <w:rPr>
        <w:rFonts w:ascii="Wingdings 3" w:hAnsi="Wingdings 3" w:hint="default"/>
      </w:rPr>
    </w:lvl>
    <w:lvl w:ilvl="1" w:tplc="3CF4E9A6">
      <w:start w:val="1"/>
      <w:numFmt w:val="bullet"/>
      <w:lvlText w:val=""/>
      <w:lvlJc w:val="left"/>
      <w:pPr>
        <w:tabs>
          <w:tab w:val="num" w:pos="1440"/>
        </w:tabs>
        <w:ind w:left="1440" w:hanging="360"/>
      </w:pPr>
      <w:rPr>
        <w:rFonts w:ascii="Wingdings 3" w:hAnsi="Wingdings 3" w:hint="default"/>
      </w:rPr>
    </w:lvl>
    <w:lvl w:ilvl="2" w:tplc="2E362E8E" w:tentative="1">
      <w:start w:val="1"/>
      <w:numFmt w:val="bullet"/>
      <w:lvlText w:val=""/>
      <w:lvlJc w:val="left"/>
      <w:pPr>
        <w:tabs>
          <w:tab w:val="num" w:pos="2160"/>
        </w:tabs>
        <w:ind w:left="2160" w:hanging="360"/>
      </w:pPr>
      <w:rPr>
        <w:rFonts w:ascii="Wingdings 3" w:hAnsi="Wingdings 3" w:hint="default"/>
      </w:rPr>
    </w:lvl>
    <w:lvl w:ilvl="3" w:tplc="48AE984E" w:tentative="1">
      <w:start w:val="1"/>
      <w:numFmt w:val="bullet"/>
      <w:lvlText w:val=""/>
      <w:lvlJc w:val="left"/>
      <w:pPr>
        <w:tabs>
          <w:tab w:val="num" w:pos="2880"/>
        </w:tabs>
        <w:ind w:left="2880" w:hanging="360"/>
      </w:pPr>
      <w:rPr>
        <w:rFonts w:ascii="Wingdings 3" w:hAnsi="Wingdings 3" w:hint="default"/>
      </w:rPr>
    </w:lvl>
    <w:lvl w:ilvl="4" w:tplc="4D540802" w:tentative="1">
      <w:start w:val="1"/>
      <w:numFmt w:val="bullet"/>
      <w:lvlText w:val=""/>
      <w:lvlJc w:val="left"/>
      <w:pPr>
        <w:tabs>
          <w:tab w:val="num" w:pos="3600"/>
        </w:tabs>
        <w:ind w:left="3600" w:hanging="360"/>
      </w:pPr>
      <w:rPr>
        <w:rFonts w:ascii="Wingdings 3" w:hAnsi="Wingdings 3" w:hint="default"/>
      </w:rPr>
    </w:lvl>
    <w:lvl w:ilvl="5" w:tplc="703C08F4" w:tentative="1">
      <w:start w:val="1"/>
      <w:numFmt w:val="bullet"/>
      <w:lvlText w:val=""/>
      <w:lvlJc w:val="left"/>
      <w:pPr>
        <w:tabs>
          <w:tab w:val="num" w:pos="4320"/>
        </w:tabs>
        <w:ind w:left="4320" w:hanging="360"/>
      </w:pPr>
      <w:rPr>
        <w:rFonts w:ascii="Wingdings 3" w:hAnsi="Wingdings 3" w:hint="default"/>
      </w:rPr>
    </w:lvl>
    <w:lvl w:ilvl="6" w:tplc="D6483748" w:tentative="1">
      <w:start w:val="1"/>
      <w:numFmt w:val="bullet"/>
      <w:lvlText w:val=""/>
      <w:lvlJc w:val="left"/>
      <w:pPr>
        <w:tabs>
          <w:tab w:val="num" w:pos="5040"/>
        </w:tabs>
        <w:ind w:left="5040" w:hanging="360"/>
      </w:pPr>
      <w:rPr>
        <w:rFonts w:ascii="Wingdings 3" w:hAnsi="Wingdings 3" w:hint="default"/>
      </w:rPr>
    </w:lvl>
    <w:lvl w:ilvl="7" w:tplc="21DAF942" w:tentative="1">
      <w:start w:val="1"/>
      <w:numFmt w:val="bullet"/>
      <w:lvlText w:val=""/>
      <w:lvlJc w:val="left"/>
      <w:pPr>
        <w:tabs>
          <w:tab w:val="num" w:pos="5760"/>
        </w:tabs>
        <w:ind w:left="5760" w:hanging="360"/>
      </w:pPr>
      <w:rPr>
        <w:rFonts w:ascii="Wingdings 3" w:hAnsi="Wingdings 3" w:hint="default"/>
      </w:rPr>
    </w:lvl>
    <w:lvl w:ilvl="8" w:tplc="E2A69F7C" w:tentative="1">
      <w:start w:val="1"/>
      <w:numFmt w:val="bullet"/>
      <w:lvlText w:val=""/>
      <w:lvlJc w:val="left"/>
      <w:pPr>
        <w:tabs>
          <w:tab w:val="num" w:pos="6480"/>
        </w:tabs>
        <w:ind w:left="6480" w:hanging="360"/>
      </w:pPr>
      <w:rPr>
        <w:rFonts w:ascii="Wingdings 3" w:hAnsi="Wingdings 3" w:hint="default"/>
      </w:rPr>
    </w:lvl>
  </w:abstractNum>
  <w:abstractNum w:abstractNumId="12" w15:restartNumberingAfterBreak="0">
    <w:nsid w:val="7B2926F1"/>
    <w:multiLevelType w:val="hybridMultilevel"/>
    <w:tmpl w:val="3F68D2A4"/>
    <w:lvl w:ilvl="0" w:tplc="8B8CE2A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252FF12">
      <w:start w:val="1"/>
      <w:numFmt w:val="bullet"/>
      <w:lvlText w:val="o"/>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04AEF1F4">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B0788328">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8CA727C">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008A7E8">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142369E">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9FECAA18">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F78C41DE">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16cid:durableId="127170580">
    <w:abstractNumId w:val="12"/>
  </w:num>
  <w:num w:numId="2" w16cid:durableId="578715576">
    <w:abstractNumId w:val="10"/>
  </w:num>
  <w:num w:numId="3" w16cid:durableId="814220124">
    <w:abstractNumId w:val="9"/>
  </w:num>
  <w:num w:numId="4" w16cid:durableId="365908180">
    <w:abstractNumId w:val="7"/>
  </w:num>
  <w:num w:numId="5" w16cid:durableId="1320035897">
    <w:abstractNumId w:val="4"/>
  </w:num>
  <w:num w:numId="6" w16cid:durableId="636688904">
    <w:abstractNumId w:val="6"/>
  </w:num>
  <w:num w:numId="7" w16cid:durableId="210312004">
    <w:abstractNumId w:val="2"/>
  </w:num>
  <w:num w:numId="8" w16cid:durableId="2088458547">
    <w:abstractNumId w:val="11"/>
  </w:num>
  <w:num w:numId="9" w16cid:durableId="382145588">
    <w:abstractNumId w:val="8"/>
  </w:num>
  <w:num w:numId="10" w16cid:durableId="743527254">
    <w:abstractNumId w:val="0"/>
  </w:num>
  <w:num w:numId="11" w16cid:durableId="654265422">
    <w:abstractNumId w:val="5"/>
  </w:num>
  <w:num w:numId="12" w16cid:durableId="163209523">
    <w:abstractNumId w:val="3"/>
  </w:num>
  <w:num w:numId="13" w16cid:durableId="12303832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C6E"/>
    <w:rsid w:val="00002F00"/>
    <w:rsid w:val="00003A9B"/>
    <w:rsid w:val="000042CF"/>
    <w:rsid w:val="00006958"/>
    <w:rsid w:val="00016706"/>
    <w:rsid w:val="00026BDA"/>
    <w:rsid w:val="000403A4"/>
    <w:rsid w:val="000623A9"/>
    <w:rsid w:val="00063598"/>
    <w:rsid w:val="0006782E"/>
    <w:rsid w:val="00074A45"/>
    <w:rsid w:val="0008142E"/>
    <w:rsid w:val="00086C7E"/>
    <w:rsid w:val="000A61B8"/>
    <w:rsid w:val="000A6D08"/>
    <w:rsid w:val="000D37B2"/>
    <w:rsid w:val="000D4721"/>
    <w:rsid w:val="000E3316"/>
    <w:rsid w:val="000E3475"/>
    <w:rsid w:val="000E6E94"/>
    <w:rsid w:val="00140655"/>
    <w:rsid w:val="001414BA"/>
    <w:rsid w:val="00174E68"/>
    <w:rsid w:val="00181D34"/>
    <w:rsid w:val="001955BE"/>
    <w:rsid w:val="001A1ABF"/>
    <w:rsid w:val="001B4D76"/>
    <w:rsid w:val="001B7EBD"/>
    <w:rsid w:val="001C0D4A"/>
    <w:rsid w:val="001C49C9"/>
    <w:rsid w:val="001D1217"/>
    <w:rsid w:val="001D17EC"/>
    <w:rsid w:val="001E3DC6"/>
    <w:rsid w:val="001F2E69"/>
    <w:rsid w:val="001F40C5"/>
    <w:rsid w:val="00204601"/>
    <w:rsid w:val="00207015"/>
    <w:rsid w:val="0021599B"/>
    <w:rsid w:val="002229A7"/>
    <w:rsid w:val="00227D12"/>
    <w:rsid w:val="00234E7C"/>
    <w:rsid w:val="002421AC"/>
    <w:rsid w:val="00257C8E"/>
    <w:rsid w:val="00265092"/>
    <w:rsid w:val="002727D0"/>
    <w:rsid w:val="002736A6"/>
    <w:rsid w:val="00297D3E"/>
    <w:rsid w:val="002B0B89"/>
    <w:rsid w:val="002F23D3"/>
    <w:rsid w:val="00306A3C"/>
    <w:rsid w:val="00314061"/>
    <w:rsid w:val="00316858"/>
    <w:rsid w:val="00322A0C"/>
    <w:rsid w:val="00330562"/>
    <w:rsid w:val="003440B0"/>
    <w:rsid w:val="003539A6"/>
    <w:rsid w:val="00354952"/>
    <w:rsid w:val="00385ECE"/>
    <w:rsid w:val="003A1C30"/>
    <w:rsid w:val="003A2DED"/>
    <w:rsid w:val="003D157A"/>
    <w:rsid w:val="003D7721"/>
    <w:rsid w:val="003F2EB8"/>
    <w:rsid w:val="00416F61"/>
    <w:rsid w:val="00421E02"/>
    <w:rsid w:val="00440843"/>
    <w:rsid w:val="0045236A"/>
    <w:rsid w:val="004577BE"/>
    <w:rsid w:val="0046087D"/>
    <w:rsid w:val="004614D6"/>
    <w:rsid w:val="004811AF"/>
    <w:rsid w:val="00486DD3"/>
    <w:rsid w:val="00495486"/>
    <w:rsid w:val="004A6C84"/>
    <w:rsid w:val="004A79B4"/>
    <w:rsid w:val="004B1DD5"/>
    <w:rsid w:val="004B21D7"/>
    <w:rsid w:val="004B32FA"/>
    <w:rsid w:val="004D6597"/>
    <w:rsid w:val="004F13FB"/>
    <w:rsid w:val="004F7CEC"/>
    <w:rsid w:val="00511D71"/>
    <w:rsid w:val="00525B3B"/>
    <w:rsid w:val="00534EC0"/>
    <w:rsid w:val="00543680"/>
    <w:rsid w:val="00552BD1"/>
    <w:rsid w:val="005634EF"/>
    <w:rsid w:val="00581261"/>
    <w:rsid w:val="00594435"/>
    <w:rsid w:val="005973E4"/>
    <w:rsid w:val="005C3A76"/>
    <w:rsid w:val="005C3AF8"/>
    <w:rsid w:val="005D5F76"/>
    <w:rsid w:val="00615080"/>
    <w:rsid w:val="0062648B"/>
    <w:rsid w:val="006300F3"/>
    <w:rsid w:val="006521DE"/>
    <w:rsid w:val="0068209E"/>
    <w:rsid w:val="00694CEA"/>
    <w:rsid w:val="006C4B1C"/>
    <w:rsid w:val="006C517E"/>
    <w:rsid w:val="006D1893"/>
    <w:rsid w:val="00720C32"/>
    <w:rsid w:val="0072443E"/>
    <w:rsid w:val="0073167C"/>
    <w:rsid w:val="00745C6C"/>
    <w:rsid w:val="00751259"/>
    <w:rsid w:val="0077405F"/>
    <w:rsid w:val="00785D1F"/>
    <w:rsid w:val="007A7479"/>
    <w:rsid w:val="007B4085"/>
    <w:rsid w:val="007B7049"/>
    <w:rsid w:val="007C2488"/>
    <w:rsid w:val="007E5EF6"/>
    <w:rsid w:val="00800546"/>
    <w:rsid w:val="00800634"/>
    <w:rsid w:val="00801AAF"/>
    <w:rsid w:val="00805089"/>
    <w:rsid w:val="00806D2D"/>
    <w:rsid w:val="00814AEB"/>
    <w:rsid w:val="008370E8"/>
    <w:rsid w:val="00866237"/>
    <w:rsid w:val="008B094E"/>
    <w:rsid w:val="008B16C4"/>
    <w:rsid w:val="008B1A25"/>
    <w:rsid w:val="008E1F90"/>
    <w:rsid w:val="008E5E47"/>
    <w:rsid w:val="008F359F"/>
    <w:rsid w:val="0090270E"/>
    <w:rsid w:val="00904B3B"/>
    <w:rsid w:val="009176CD"/>
    <w:rsid w:val="009179ED"/>
    <w:rsid w:val="00920DF8"/>
    <w:rsid w:val="009306D4"/>
    <w:rsid w:val="00933294"/>
    <w:rsid w:val="00951B81"/>
    <w:rsid w:val="009602B9"/>
    <w:rsid w:val="0096307D"/>
    <w:rsid w:val="00983BA8"/>
    <w:rsid w:val="00986DDB"/>
    <w:rsid w:val="00996E03"/>
    <w:rsid w:val="009A1BD4"/>
    <w:rsid w:val="009C3BC4"/>
    <w:rsid w:val="009E0180"/>
    <w:rsid w:val="00A0087A"/>
    <w:rsid w:val="00A038B1"/>
    <w:rsid w:val="00A12A62"/>
    <w:rsid w:val="00A15F60"/>
    <w:rsid w:val="00A67738"/>
    <w:rsid w:val="00A705DD"/>
    <w:rsid w:val="00A81BE8"/>
    <w:rsid w:val="00A82496"/>
    <w:rsid w:val="00AB3308"/>
    <w:rsid w:val="00AC0BCE"/>
    <w:rsid w:val="00AC2A41"/>
    <w:rsid w:val="00AC4168"/>
    <w:rsid w:val="00AD7CA9"/>
    <w:rsid w:val="00B1050B"/>
    <w:rsid w:val="00B2471B"/>
    <w:rsid w:val="00B410EB"/>
    <w:rsid w:val="00B67B8D"/>
    <w:rsid w:val="00B70E4C"/>
    <w:rsid w:val="00B82882"/>
    <w:rsid w:val="00B904AB"/>
    <w:rsid w:val="00BA1847"/>
    <w:rsid w:val="00BB05A1"/>
    <w:rsid w:val="00BC31AB"/>
    <w:rsid w:val="00BC456C"/>
    <w:rsid w:val="00BC5150"/>
    <w:rsid w:val="00BD142C"/>
    <w:rsid w:val="00BD5301"/>
    <w:rsid w:val="00C038AE"/>
    <w:rsid w:val="00C240BB"/>
    <w:rsid w:val="00C26BA9"/>
    <w:rsid w:val="00C3321B"/>
    <w:rsid w:val="00C60A95"/>
    <w:rsid w:val="00C74815"/>
    <w:rsid w:val="00C75673"/>
    <w:rsid w:val="00C9424F"/>
    <w:rsid w:val="00C9740B"/>
    <w:rsid w:val="00CA6C6E"/>
    <w:rsid w:val="00CB220E"/>
    <w:rsid w:val="00CC4D0D"/>
    <w:rsid w:val="00CD41F1"/>
    <w:rsid w:val="00CE4CC5"/>
    <w:rsid w:val="00CF2279"/>
    <w:rsid w:val="00CF76B1"/>
    <w:rsid w:val="00CF7763"/>
    <w:rsid w:val="00D10927"/>
    <w:rsid w:val="00D13E55"/>
    <w:rsid w:val="00D60C61"/>
    <w:rsid w:val="00D71876"/>
    <w:rsid w:val="00D72812"/>
    <w:rsid w:val="00D773E3"/>
    <w:rsid w:val="00D77E43"/>
    <w:rsid w:val="00D8359A"/>
    <w:rsid w:val="00D86320"/>
    <w:rsid w:val="00DA079C"/>
    <w:rsid w:val="00DB0796"/>
    <w:rsid w:val="00DB6488"/>
    <w:rsid w:val="00DB7A46"/>
    <w:rsid w:val="00DC036C"/>
    <w:rsid w:val="00DC7415"/>
    <w:rsid w:val="00DD1452"/>
    <w:rsid w:val="00DF31BF"/>
    <w:rsid w:val="00DF6255"/>
    <w:rsid w:val="00E04265"/>
    <w:rsid w:val="00E05702"/>
    <w:rsid w:val="00E07321"/>
    <w:rsid w:val="00E16C21"/>
    <w:rsid w:val="00E23678"/>
    <w:rsid w:val="00E363EF"/>
    <w:rsid w:val="00E42BA5"/>
    <w:rsid w:val="00E55F55"/>
    <w:rsid w:val="00E60DD9"/>
    <w:rsid w:val="00E81287"/>
    <w:rsid w:val="00EA42F6"/>
    <w:rsid w:val="00EE3EAB"/>
    <w:rsid w:val="00F11543"/>
    <w:rsid w:val="00F12DFC"/>
    <w:rsid w:val="00F341CA"/>
    <w:rsid w:val="00F34429"/>
    <w:rsid w:val="00F42FE8"/>
    <w:rsid w:val="00F43429"/>
    <w:rsid w:val="00F613AC"/>
    <w:rsid w:val="00F65060"/>
    <w:rsid w:val="00F7479A"/>
    <w:rsid w:val="00F754AC"/>
    <w:rsid w:val="00F90489"/>
    <w:rsid w:val="00F90649"/>
    <w:rsid w:val="00F92730"/>
    <w:rsid w:val="00FF075D"/>
    <w:rsid w:val="00FF76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34067"/>
  <w15:chartTrackingRefBased/>
  <w15:docId w15:val="{878A0C34-C7F2-4DF7-B980-FF1433438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6C6E"/>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CA6C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CA6C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A6C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CA6C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A6C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A6C6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6C6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6C6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6C6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6C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A6C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A6C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A6C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6C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6C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6C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6C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6C6E"/>
    <w:rPr>
      <w:rFonts w:eastAsiaTheme="majorEastAsia" w:cstheme="majorBidi"/>
      <w:color w:val="272727" w:themeColor="text1" w:themeTint="D8"/>
    </w:rPr>
  </w:style>
  <w:style w:type="paragraph" w:styleId="Title">
    <w:name w:val="Title"/>
    <w:basedOn w:val="Normal"/>
    <w:next w:val="Normal"/>
    <w:link w:val="TitleChar"/>
    <w:uiPriority w:val="10"/>
    <w:qFormat/>
    <w:rsid w:val="00CA6C6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6C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6C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6C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6C6E"/>
    <w:pPr>
      <w:spacing w:before="160"/>
      <w:jc w:val="center"/>
    </w:pPr>
    <w:rPr>
      <w:i/>
      <w:iCs/>
      <w:color w:val="404040" w:themeColor="text1" w:themeTint="BF"/>
    </w:rPr>
  </w:style>
  <w:style w:type="character" w:customStyle="1" w:styleId="QuoteChar">
    <w:name w:val="Quote Char"/>
    <w:basedOn w:val="DefaultParagraphFont"/>
    <w:link w:val="Quote"/>
    <w:uiPriority w:val="29"/>
    <w:rsid w:val="00CA6C6E"/>
    <w:rPr>
      <w:i/>
      <w:iCs/>
      <w:color w:val="404040" w:themeColor="text1" w:themeTint="BF"/>
    </w:rPr>
  </w:style>
  <w:style w:type="paragraph" w:styleId="ListParagraph">
    <w:name w:val="List Paragraph"/>
    <w:basedOn w:val="Normal"/>
    <w:uiPriority w:val="34"/>
    <w:qFormat/>
    <w:rsid w:val="00CA6C6E"/>
    <w:pPr>
      <w:ind w:left="720"/>
      <w:contextualSpacing/>
    </w:pPr>
  </w:style>
  <w:style w:type="character" w:styleId="IntenseEmphasis">
    <w:name w:val="Intense Emphasis"/>
    <w:basedOn w:val="DefaultParagraphFont"/>
    <w:uiPriority w:val="21"/>
    <w:qFormat/>
    <w:rsid w:val="00CA6C6E"/>
    <w:rPr>
      <w:i/>
      <w:iCs/>
      <w:color w:val="0F4761" w:themeColor="accent1" w:themeShade="BF"/>
    </w:rPr>
  </w:style>
  <w:style w:type="paragraph" w:styleId="IntenseQuote">
    <w:name w:val="Intense Quote"/>
    <w:basedOn w:val="Normal"/>
    <w:next w:val="Normal"/>
    <w:link w:val="IntenseQuoteChar"/>
    <w:uiPriority w:val="30"/>
    <w:qFormat/>
    <w:rsid w:val="00CA6C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6C6E"/>
    <w:rPr>
      <w:i/>
      <w:iCs/>
      <w:color w:val="0F4761" w:themeColor="accent1" w:themeShade="BF"/>
    </w:rPr>
  </w:style>
  <w:style w:type="character" w:styleId="IntenseReference">
    <w:name w:val="Intense Reference"/>
    <w:basedOn w:val="DefaultParagraphFont"/>
    <w:uiPriority w:val="32"/>
    <w:qFormat/>
    <w:rsid w:val="00CA6C6E"/>
    <w:rPr>
      <w:b/>
      <w:bCs/>
      <w:smallCaps/>
      <w:color w:val="0F4761" w:themeColor="accent1" w:themeShade="BF"/>
      <w:spacing w:val="5"/>
    </w:rPr>
  </w:style>
  <w:style w:type="paragraph" w:styleId="Header">
    <w:name w:val="header"/>
    <w:basedOn w:val="Normal"/>
    <w:link w:val="HeaderChar"/>
    <w:rsid w:val="00CA6C6E"/>
    <w:pPr>
      <w:tabs>
        <w:tab w:val="center" w:pos="4153"/>
        <w:tab w:val="right" w:pos="8306"/>
      </w:tabs>
    </w:pPr>
  </w:style>
  <w:style w:type="character" w:customStyle="1" w:styleId="HeaderChar">
    <w:name w:val="Header Char"/>
    <w:basedOn w:val="DefaultParagraphFont"/>
    <w:link w:val="Header"/>
    <w:rsid w:val="00CA6C6E"/>
    <w:rPr>
      <w:rFonts w:ascii="Times New Roman" w:eastAsia="Times New Roman" w:hAnsi="Times New Roman" w:cs="Times New Roman"/>
      <w:kern w:val="0"/>
      <w:sz w:val="20"/>
      <w:szCs w:val="20"/>
      <w:lang w:eastAsia="en-GB"/>
      <w14:ligatures w14:val="none"/>
    </w:rPr>
  </w:style>
  <w:style w:type="paragraph" w:styleId="TOCHeading">
    <w:name w:val="TOC Heading"/>
    <w:basedOn w:val="Heading1"/>
    <w:next w:val="Normal"/>
    <w:uiPriority w:val="39"/>
    <w:unhideWhenUsed/>
    <w:qFormat/>
    <w:rsid w:val="00801AAF"/>
    <w:pPr>
      <w:spacing w:before="240" w:after="0" w:line="259" w:lineRule="auto"/>
      <w:outlineLvl w:val="9"/>
    </w:pPr>
    <w:rPr>
      <w:sz w:val="32"/>
      <w:szCs w:val="32"/>
    </w:rPr>
  </w:style>
  <w:style w:type="paragraph" w:styleId="TOC2">
    <w:name w:val="toc 2"/>
    <w:basedOn w:val="Normal"/>
    <w:next w:val="Normal"/>
    <w:autoRedefine/>
    <w:uiPriority w:val="39"/>
    <w:unhideWhenUsed/>
    <w:rsid w:val="00801AAF"/>
    <w:pPr>
      <w:spacing w:after="100"/>
      <w:ind w:left="200"/>
    </w:pPr>
  </w:style>
  <w:style w:type="character" w:styleId="Hyperlink">
    <w:name w:val="Hyperlink"/>
    <w:basedOn w:val="DefaultParagraphFont"/>
    <w:uiPriority w:val="99"/>
    <w:unhideWhenUsed/>
    <w:rsid w:val="00801AAF"/>
    <w:rPr>
      <w:color w:val="467886" w:themeColor="hyperlink"/>
      <w:u w:val="single"/>
    </w:rPr>
  </w:style>
  <w:style w:type="paragraph" w:styleId="TOC1">
    <w:name w:val="toc 1"/>
    <w:basedOn w:val="Normal"/>
    <w:next w:val="Normal"/>
    <w:autoRedefine/>
    <w:uiPriority w:val="39"/>
    <w:semiHidden/>
    <w:unhideWhenUsed/>
    <w:rsid w:val="00801AA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32597">
      <w:bodyDiv w:val="1"/>
      <w:marLeft w:val="0"/>
      <w:marRight w:val="0"/>
      <w:marTop w:val="0"/>
      <w:marBottom w:val="0"/>
      <w:divBdr>
        <w:top w:val="none" w:sz="0" w:space="0" w:color="auto"/>
        <w:left w:val="none" w:sz="0" w:space="0" w:color="auto"/>
        <w:bottom w:val="none" w:sz="0" w:space="0" w:color="auto"/>
        <w:right w:val="none" w:sz="0" w:space="0" w:color="auto"/>
      </w:divBdr>
    </w:div>
    <w:div w:id="47345761">
      <w:bodyDiv w:val="1"/>
      <w:marLeft w:val="0"/>
      <w:marRight w:val="0"/>
      <w:marTop w:val="0"/>
      <w:marBottom w:val="0"/>
      <w:divBdr>
        <w:top w:val="none" w:sz="0" w:space="0" w:color="auto"/>
        <w:left w:val="none" w:sz="0" w:space="0" w:color="auto"/>
        <w:bottom w:val="none" w:sz="0" w:space="0" w:color="auto"/>
        <w:right w:val="none" w:sz="0" w:space="0" w:color="auto"/>
      </w:divBdr>
    </w:div>
    <w:div w:id="226695136">
      <w:bodyDiv w:val="1"/>
      <w:marLeft w:val="0"/>
      <w:marRight w:val="0"/>
      <w:marTop w:val="0"/>
      <w:marBottom w:val="0"/>
      <w:divBdr>
        <w:top w:val="none" w:sz="0" w:space="0" w:color="auto"/>
        <w:left w:val="none" w:sz="0" w:space="0" w:color="auto"/>
        <w:bottom w:val="none" w:sz="0" w:space="0" w:color="auto"/>
        <w:right w:val="none" w:sz="0" w:space="0" w:color="auto"/>
      </w:divBdr>
    </w:div>
    <w:div w:id="332025349">
      <w:bodyDiv w:val="1"/>
      <w:marLeft w:val="0"/>
      <w:marRight w:val="0"/>
      <w:marTop w:val="0"/>
      <w:marBottom w:val="0"/>
      <w:divBdr>
        <w:top w:val="none" w:sz="0" w:space="0" w:color="auto"/>
        <w:left w:val="none" w:sz="0" w:space="0" w:color="auto"/>
        <w:bottom w:val="none" w:sz="0" w:space="0" w:color="auto"/>
        <w:right w:val="none" w:sz="0" w:space="0" w:color="auto"/>
      </w:divBdr>
    </w:div>
    <w:div w:id="608397185">
      <w:bodyDiv w:val="1"/>
      <w:marLeft w:val="0"/>
      <w:marRight w:val="0"/>
      <w:marTop w:val="0"/>
      <w:marBottom w:val="0"/>
      <w:divBdr>
        <w:top w:val="none" w:sz="0" w:space="0" w:color="auto"/>
        <w:left w:val="none" w:sz="0" w:space="0" w:color="auto"/>
        <w:bottom w:val="none" w:sz="0" w:space="0" w:color="auto"/>
        <w:right w:val="none" w:sz="0" w:space="0" w:color="auto"/>
      </w:divBdr>
    </w:div>
    <w:div w:id="669137496">
      <w:bodyDiv w:val="1"/>
      <w:marLeft w:val="0"/>
      <w:marRight w:val="0"/>
      <w:marTop w:val="0"/>
      <w:marBottom w:val="0"/>
      <w:divBdr>
        <w:top w:val="none" w:sz="0" w:space="0" w:color="auto"/>
        <w:left w:val="none" w:sz="0" w:space="0" w:color="auto"/>
        <w:bottom w:val="none" w:sz="0" w:space="0" w:color="auto"/>
        <w:right w:val="none" w:sz="0" w:space="0" w:color="auto"/>
      </w:divBdr>
    </w:div>
    <w:div w:id="704525110">
      <w:bodyDiv w:val="1"/>
      <w:marLeft w:val="0"/>
      <w:marRight w:val="0"/>
      <w:marTop w:val="0"/>
      <w:marBottom w:val="0"/>
      <w:divBdr>
        <w:top w:val="none" w:sz="0" w:space="0" w:color="auto"/>
        <w:left w:val="none" w:sz="0" w:space="0" w:color="auto"/>
        <w:bottom w:val="none" w:sz="0" w:space="0" w:color="auto"/>
        <w:right w:val="none" w:sz="0" w:space="0" w:color="auto"/>
      </w:divBdr>
      <w:divsChild>
        <w:div w:id="620920038">
          <w:marLeft w:val="1166"/>
          <w:marRight w:val="0"/>
          <w:marTop w:val="200"/>
          <w:marBottom w:val="0"/>
          <w:divBdr>
            <w:top w:val="none" w:sz="0" w:space="0" w:color="auto"/>
            <w:left w:val="none" w:sz="0" w:space="0" w:color="auto"/>
            <w:bottom w:val="none" w:sz="0" w:space="0" w:color="auto"/>
            <w:right w:val="none" w:sz="0" w:space="0" w:color="auto"/>
          </w:divBdr>
        </w:div>
        <w:div w:id="2123264843">
          <w:marLeft w:val="1800"/>
          <w:marRight w:val="0"/>
          <w:marTop w:val="200"/>
          <w:marBottom w:val="0"/>
          <w:divBdr>
            <w:top w:val="none" w:sz="0" w:space="0" w:color="auto"/>
            <w:left w:val="none" w:sz="0" w:space="0" w:color="auto"/>
            <w:bottom w:val="none" w:sz="0" w:space="0" w:color="auto"/>
            <w:right w:val="none" w:sz="0" w:space="0" w:color="auto"/>
          </w:divBdr>
        </w:div>
      </w:divsChild>
    </w:div>
    <w:div w:id="817693389">
      <w:bodyDiv w:val="1"/>
      <w:marLeft w:val="0"/>
      <w:marRight w:val="0"/>
      <w:marTop w:val="0"/>
      <w:marBottom w:val="0"/>
      <w:divBdr>
        <w:top w:val="none" w:sz="0" w:space="0" w:color="auto"/>
        <w:left w:val="none" w:sz="0" w:space="0" w:color="auto"/>
        <w:bottom w:val="none" w:sz="0" w:space="0" w:color="auto"/>
        <w:right w:val="none" w:sz="0" w:space="0" w:color="auto"/>
      </w:divBdr>
      <w:divsChild>
        <w:div w:id="495151596">
          <w:marLeft w:val="0"/>
          <w:marRight w:val="0"/>
          <w:marTop w:val="0"/>
          <w:marBottom w:val="0"/>
          <w:divBdr>
            <w:top w:val="none" w:sz="0" w:space="0" w:color="auto"/>
            <w:left w:val="none" w:sz="0" w:space="0" w:color="auto"/>
            <w:bottom w:val="none" w:sz="0" w:space="0" w:color="auto"/>
            <w:right w:val="none" w:sz="0" w:space="0" w:color="auto"/>
          </w:divBdr>
        </w:div>
        <w:div w:id="600988293">
          <w:marLeft w:val="0"/>
          <w:marRight w:val="0"/>
          <w:marTop w:val="0"/>
          <w:marBottom w:val="0"/>
          <w:divBdr>
            <w:top w:val="none" w:sz="0" w:space="0" w:color="auto"/>
            <w:left w:val="none" w:sz="0" w:space="0" w:color="auto"/>
            <w:bottom w:val="none" w:sz="0" w:space="0" w:color="auto"/>
            <w:right w:val="none" w:sz="0" w:space="0" w:color="auto"/>
          </w:divBdr>
        </w:div>
        <w:div w:id="779569467">
          <w:marLeft w:val="0"/>
          <w:marRight w:val="0"/>
          <w:marTop w:val="0"/>
          <w:marBottom w:val="0"/>
          <w:divBdr>
            <w:top w:val="none" w:sz="0" w:space="0" w:color="auto"/>
            <w:left w:val="none" w:sz="0" w:space="0" w:color="auto"/>
            <w:bottom w:val="none" w:sz="0" w:space="0" w:color="auto"/>
            <w:right w:val="none" w:sz="0" w:space="0" w:color="auto"/>
          </w:divBdr>
        </w:div>
        <w:div w:id="173302603">
          <w:marLeft w:val="0"/>
          <w:marRight w:val="0"/>
          <w:marTop w:val="0"/>
          <w:marBottom w:val="0"/>
          <w:divBdr>
            <w:top w:val="none" w:sz="0" w:space="0" w:color="auto"/>
            <w:left w:val="none" w:sz="0" w:space="0" w:color="auto"/>
            <w:bottom w:val="none" w:sz="0" w:space="0" w:color="auto"/>
            <w:right w:val="none" w:sz="0" w:space="0" w:color="auto"/>
          </w:divBdr>
        </w:div>
        <w:div w:id="1300720215">
          <w:marLeft w:val="0"/>
          <w:marRight w:val="0"/>
          <w:marTop w:val="0"/>
          <w:marBottom w:val="0"/>
          <w:divBdr>
            <w:top w:val="none" w:sz="0" w:space="0" w:color="auto"/>
            <w:left w:val="none" w:sz="0" w:space="0" w:color="auto"/>
            <w:bottom w:val="none" w:sz="0" w:space="0" w:color="auto"/>
            <w:right w:val="none" w:sz="0" w:space="0" w:color="auto"/>
          </w:divBdr>
        </w:div>
      </w:divsChild>
    </w:div>
    <w:div w:id="1284732648">
      <w:bodyDiv w:val="1"/>
      <w:marLeft w:val="0"/>
      <w:marRight w:val="0"/>
      <w:marTop w:val="0"/>
      <w:marBottom w:val="0"/>
      <w:divBdr>
        <w:top w:val="none" w:sz="0" w:space="0" w:color="auto"/>
        <w:left w:val="none" w:sz="0" w:space="0" w:color="auto"/>
        <w:bottom w:val="none" w:sz="0" w:space="0" w:color="auto"/>
        <w:right w:val="none" w:sz="0" w:space="0" w:color="auto"/>
      </w:divBdr>
      <w:divsChild>
        <w:div w:id="1843742797">
          <w:marLeft w:val="1166"/>
          <w:marRight w:val="0"/>
          <w:marTop w:val="200"/>
          <w:marBottom w:val="0"/>
          <w:divBdr>
            <w:top w:val="none" w:sz="0" w:space="0" w:color="auto"/>
            <w:left w:val="none" w:sz="0" w:space="0" w:color="auto"/>
            <w:bottom w:val="none" w:sz="0" w:space="0" w:color="auto"/>
            <w:right w:val="none" w:sz="0" w:space="0" w:color="auto"/>
          </w:divBdr>
        </w:div>
      </w:divsChild>
    </w:div>
    <w:div w:id="1559973740">
      <w:bodyDiv w:val="1"/>
      <w:marLeft w:val="0"/>
      <w:marRight w:val="0"/>
      <w:marTop w:val="0"/>
      <w:marBottom w:val="0"/>
      <w:divBdr>
        <w:top w:val="none" w:sz="0" w:space="0" w:color="auto"/>
        <w:left w:val="none" w:sz="0" w:space="0" w:color="auto"/>
        <w:bottom w:val="none" w:sz="0" w:space="0" w:color="auto"/>
        <w:right w:val="none" w:sz="0" w:space="0" w:color="auto"/>
      </w:divBdr>
      <w:divsChild>
        <w:div w:id="547957946">
          <w:marLeft w:val="0"/>
          <w:marRight w:val="0"/>
          <w:marTop w:val="0"/>
          <w:marBottom w:val="0"/>
          <w:divBdr>
            <w:top w:val="none" w:sz="0" w:space="0" w:color="auto"/>
            <w:left w:val="none" w:sz="0" w:space="0" w:color="auto"/>
            <w:bottom w:val="none" w:sz="0" w:space="0" w:color="auto"/>
            <w:right w:val="none" w:sz="0" w:space="0" w:color="auto"/>
          </w:divBdr>
        </w:div>
        <w:div w:id="1706518236">
          <w:marLeft w:val="0"/>
          <w:marRight w:val="0"/>
          <w:marTop w:val="0"/>
          <w:marBottom w:val="0"/>
          <w:divBdr>
            <w:top w:val="none" w:sz="0" w:space="0" w:color="auto"/>
            <w:left w:val="none" w:sz="0" w:space="0" w:color="auto"/>
            <w:bottom w:val="none" w:sz="0" w:space="0" w:color="auto"/>
            <w:right w:val="none" w:sz="0" w:space="0" w:color="auto"/>
          </w:divBdr>
        </w:div>
        <w:div w:id="560407997">
          <w:marLeft w:val="0"/>
          <w:marRight w:val="0"/>
          <w:marTop w:val="0"/>
          <w:marBottom w:val="0"/>
          <w:divBdr>
            <w:top w:val="none" w:sz="0" w:space="0" w:color="auto"/>
            <w:left w:val="none" w:sz="0" w:space="0" w:color="auto"/>
            <w:bottom w:val="none" w:sz="0" w:space="0" w:color="auto"/>
            <w:right w:val="none" w:sz="0" w:space="0" w:color="auto"/>
          </w:divBdr>
        </w:div>
        <w:div w:id="1449591355">
          <w:marLeft w:val="0"/>
          <w:marRight w:val="0"/>
          <w:marTop w:val="0"/>
          <w:marBottom w:val="0"/>
          <w:divBdr>
            <w:top w:val="none" w:sz="0" w:space="0" w:color="auto"/>
            <w:left w:val="none" w:sz="0" w:space="0" w:color="auto"/>
            <w:bottom w:val="none" w:sz="0" w:space="0" w:color="auto"/>
            <w:right w:val="none" w:sz="0" w:space="0" w:color="auto"/>
          </w:divBdr>
        </w:div>
        <w:div w:id="469632589">
          <w:marLeft w:val="0"/>
          <w:marRight w:val="0"/>
          <w:marTop w:val="0"/>
          <w:marBottom w:val="0"/>
          <w:divBdr>
            <w:top w:val="none" w:sz="0" w:space="0" w:color="auto"/>
            <w:left w:val="none" w:sz="0" w:space="0" w:color="auto"/>
            <w:bottom w:val="none" w:sz="0" w:space="0" w:color="auto"/>
            <w:right w:val="none" w:sz="0" w:space="0" w:color="auto"/>
          </w:divBdr>
        </w:div>
        <w:div w:id="1049568321">
          <w:marLeft w:val="0"/>
          <w:marRight w:val="0"/>
          <w:marTop w:val="0"/>
          <w:marBottom w:val="0"/>
          <w:divBdr>
            <w:top w:val="none" w:sz="0" w:space="0" w:color="auto"/>
            <w:left w:val="none" w:sz="0" w:space="0" w:color="auto"/>
            <w:bottom w:val="none" w:sz="0" w:space="0" w:color="auto"/>
            <w:right w:val="none" w:sz="0" w:space="0" w:color="auto"/>
          </w:divBdr>
        </w:div>
        <w:div w:id="1860700657">
          <w:marLeft w:val="0"/>
          <w:marRight w:val="0"/>
          <w:marTop w:val="0"/>
          <w:marBottom w:val="0"/>
          <w:divBdr>
            <w:top w:val="none" w:sz="0" w:space="0" w:color="auto"/>
            <w:left w:val="none" w:sz="0" w:space="0" w:color="auto"/>
            <w:bottom w:val="none" w:sz="0" w:space="0" w:color="auto"/>
            <w:right w:val="none" w:sz="0" w:space="0" w:color="auto"/>
          </w:divBdr>
        </w:div>
      </w:divsChild>
    </w:div>
    <w:div w:id="1677418138">
      <w:bodyDiv w:val="1"/>
      <w:marLeft w:val="0"/>
      <w:marRight w:val="0"/>
      <w:marTop w:val="0"/>
      <w:marBottom w:val="0"/>
      <w:divBdr>
        <w:top w:val="none" w:sz="0" w:space="0" w:color="auto"/>
        <w:left w:val="none" w:sz="0" w:space="0" w:color="auto"/>
        <w:bottom w:val="none" w:sz="0" w:space="0" w:color="auto"/>
        <w:right w:val="none" w:sz="0" w:space="0" w:color="auto"/>
      </w:divBdr>
      <w:divsChild>
        <w:div w:id="844366383">
          <w:marLeft w:val="0"/>
          <w:marRight w:val="0"/>
          <w:marTop w:val="0"/>
          <w:marBottom w:val="0"/>
          <w:divBdr>
            <w:top w:val="none" w:sz="0" w:space="0" w:color="auto"/>
            <w:left w:val="none" w:sz="0" w:space="0" w:color="auto"/>
            <w:bottom w:val="none" w:sz="0" w:space="0" w:color="auto"/>
            <w:right w:val="none" w:sz="0" w:space="0" w:color="auto"/>
          </w:divBdr>
        </w:div>
        <w:div w:id="1153521937">
          <w:marLeft w:val="0"/>
          <w:marRight w:val="0"/>
          <w:marTop w:val="0"/>
          <w:marBottom w:val="0"/>
          <w:divBdr>
            <w:top w:val="none" w:sz="0" w:space="0" w:color="auto"/>
            <w:left w:val="none" w:sz="0" w:space="0" w:color="auto"/>
            <w:bottom w:val="none" w:sz="0" w:space="0" w:color="auto"/>
            <w:right w:val="none" w:sz="0" w:space="0" w:color="auto"/>
          </w:divBdr>
        </w:div>
        <w:div w:id="301354965">
          <w:marLeft w:val="0"/>
          <w:marRight w:val="0"/>
          <w:marTop w:val="0"/>
          <w:marBottom w:val="0"/>
          <w:divBdr>
            <w:top w:val="none" w:sz="0" w:space="0" w:color="auto"/>
            <w:left w:val="none" w:sz="0" w:space="0" w:color="auto"/>
            <w:bottom w:val="none" w:sz="0" w:space="0" w:color="auto"/>
            <w:right w:val="none" w:sz="0" w:space="0" w:color="auto"/>
          </w:divBdr>
        </w:div>
        <w:div w:id="4794713">
          <w:marLeft w:val="0"/>
          <w:marRight w:val="0"/>
          <w:marTop w:val="0"/>
          <w:marBottom w:val="0"/>
          <w:divBdr>
            <w:top w:val="none" w:sz="0" w:space="0" w:color="auto"/>
            <w:left w:val="none" w:sz="0" w:space="0" w:color="auto"/>
            <w:bottom w:val="none" w:sz="0" w:space="0" w:color="auto"/>
            <w:right w:val="none" w:sz="0" w:space="0" w:color="auto"/>
          </w:divBdr>
        </w:div>
        <w:div w:id="1537742071">
          <w:marLeft w:val="0"/>
          <w:marRight w:val="0"/>
          <w:marTop w:val="0"/>
          <w:marBottom w:val="0"/>
          <w:divBdr>
            <w:top w:val="none" w:sz="0" w:space="0" w:color="auto"/>
            <w:left w:val="none" w:sz="0" w:space="0" w:color="auto"/>
            <w:bottom w:val="none" w:sz="0" w:space="0" w:color="auto"/>
            <w:right w:val="none" w:sz="0" w:space="0" w:color="auto"/>
          </w:divBdr>
        </w:div>
        <w:div w:id="2002392775">
          <w:marLeft w:val="0"/>
          <w:marRight w:val="0"/>
          <w:marTop w:val="0"/>
          <w:marBottom w:val="0"/>
          <w:divBdr>
            <w:top w:val="none" w:sz="0" w:space="0" w:color="auto"/>
            <w:left w:val="none" w:sz="0" w:space="0" w:color="auto"/>
            <w:bottom w:val="none" w:sz="0" w:space="0" w:color="auto"/>
            <w:right w:val="none" w:sz="0" w:space="0" w:color="auto"/>
          </w:divBdr>
        </w:div>
        <w:div w:id="1438793585">
          <w:marLeft w:val="0"/>
          <w:marRight w:val="0"/>
          <w:marTop w:val="0"/>
          <w:marBottom w:val="0"/>
          <w:divBdr>
            <w:top w:val="none" w:sz="0" w:space="0" w:color="auto"/>
            <w:left w:val="none" w:sz="0" w:space="0" w:color="auto"/>
            <w:bottom w:val="none" w:sz="0" w:space="0" w:color="auto"/>
            <w:right w:val="none" w:sz="0" w:space="0" w:color="auto"/>
          </w:divBdr>
        </w:div>
      </w:divsChild>
    </w:div>
    <w:div w:id="1825973625">
      <w:bodyDiv w:val="1"/>
      <w:marLeft w:val="0"/>
      <w:marRight w:val="0"/>
      <w:marTop w:val="0"/>
      <w:marBottom w:val="0"/>
      <w:divBdr>
        <w:top w:val="none" w:sz="0" w:space="0" w:color="auto"/>
        <w:left w:val="none" w:sz="0" w:space="0" w:color="auto"/>
        <w:bottom w:val="none" w:sz="0" w:space="0" w:color="auto"/>
        <w:right w:val="none" w:sz="0" w:space="0" w:color="auto"/>
      </w:divBdr>
    </w:div>
    <w:div w:id="1880237865">
      <w:bodyDiv w:val="1"/>
      <w:marLeft w:val="0"/>
      <w:marRight w:val="0"/>
      <w:marTop w:val="0"/>
      <w:marBottom w:val="0"/>
      <w:divBdr>
        <w:top w:val="none" w:sz="0" w:space="0" w:color="auto"/>
        <w:left w:val="none" w:sz="0" w:space="0" w:color="auto"/>
        <w:bottom w:val="none" w:sz="0" w:space="0" w:color="auto"/>
        <w:right w:val="none" w:sz="0" w:space="0" w:color="auto"/>
      </w:divBdr>
    </w:div>
    <w:div w:id="2016568540">
      <w:bodyDiv w:val="1"/>
      <w:marLeft w:val="0"/>
      <w:marRight w:val="0"/>
      <w:marTop w:val="0"/>
      <w:marBottom w:val="0"/>
      <w:divBdr>
        <w:top w:val="none" w:sz="0" w:space="0" w:color="auto"/>
        <w:left w:val="none" w:sz="0" w:space="0" w:color="auto"/>
        <w:bottom w:val="none" w:sz="0" w:space="0" w:color="auto"/>
        <w:right w:val="none" w:sz="0" w:space="0" w:color="auto"/>
      </w:divBdr>
    </w:div>
    <w:div w:id="2098669322">
      <w:bodyDiv w:val="1"/>
      <w:marLeft w:val="0"/>
      <w:marRight w:val="0"/>
      <w:marTop w:val="0"/>
      <w:marBottom w:val="0"/>
      <w:divBdr>
        <w:top w:val="none" w:sz="0" w:space="0" w:color="auto"/>
        <w:left w:val="none" w:sz="0" w:space="0" w:color="auto"/>
        <w:bottom w:val="none" w:sz="0" w:space="0" w:color="auto"/>
        <w:right w:val="none" w:sz="0" w:space="0" w:color="auto"/>
      </w:divBdr>
    </w:div>
    <w:div w:id="2099328306">
      <w:bodyDiv w:val="1"/>
      <w:marLeft w:val="0"/>
      <w:marRight w:val="0"/>
      <w:marTop w:val="0"/>
      <w:marBottom w:val="0"/>
      <w:divBdr>
        <w:top w:val="none" w:sz="0" w:space="0" w:color="auto"/>
        <w:left w:val="none" w:sz="0" w:space="0" w:color="auto"/>
        <w:bottom w:val="none" w:sz="0" w:space="0" w:color="auto"/>
        <w:right w:val="none" w:sz="0" w:space="0" w:color="auto"/>
      </w:divBdr>
      <w:divsChild>
        <w:div w:id="351613011">
          <w:marLeft w:val="0"/>
          <w:marRight w:val="0"/>
          <w:marTop w:val="0"/>
          <w:marBottom w:val="0"/>
          <w:divBdr>
            <w:top w:val="none" w:sz="0" w:space="0" w:color="auto"/>
            <w:left w:val="none" w:sz="0" w:space="0" w:color="auto"/>
            <w:bottom w:val="none" w:sz="0" w:space="0" w:color="auto"/>
            <w:right w:val="none" w:sz="0" w:space="0" w:color="auto"/>
          </w:divBdr>
        </w:div>
        <w:div w:id="1830558980">
          <w:marLeft w:val="0"/>
          <w:marRight w:val="0"/>
          <w:marTop w:val="0"/>
          <w:marBottom w:val="0"/>
          <w:divBdr>
            <w:top w:val="none" w:sz="0" w:space="0" w:color="auto"/>
            <w:left w:val="none" w:sz="0" w:space="0" w:color="auto"/>
            <w:bottom w:val="none" w:sz="0" w:space="0" w:color="auto"/>
            <w:right w:val="none" w:sz="0" w:space="0" w:color="auto"/>
          </w:divBdr>
        </w:div>
        <w:div w:id="2067996276">
          <w:marLeft w:val="0"/>
          <w:marRight w:val="0"/>
          <w:marTop w:val="0"/>
          <w:marBottom w:val="0"/>
          <w:divBdr>
            <w:top w:val="none" w:sz="0" w:space="0" w:color="auto"/>
            <w:left w:val="none" w:sz="0" w:space="0" w:color="auto"/>
            <w:bottom w:val="none" w:sz="0" w:space="0" w:color="auto"/>
            <w:right w:val="none" w:sz="0" w:space="0" w:color="auto"/>
          </w:divBdr>
        </w:div>
        <w:div w:id="1704595528">
          <w:marLeft w:val="0"/>
          <w:marRight w:val="0"/>
          <w:marTop w:val="0"/>
          <w:marBottom w:val="0"/>
          <w:divBdr>
            <w:top w:val="none" w:sz="0" w:space="0" w:color="auto"/>
            <w:left w:val="none" w:sz="0" w:space="0" w:color="auto"/>
            <w:bottom w:val="none" w:sz="0" w:space="0" w:color="auto"/>
            <w:right w:val="none" w:sz="0" w:space="0" w:color="auto"/>
          </w:divBdr>
        </w:div>
        <w:div w:id="8935411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cid:image001.png@01D0EA4A.2BD679A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95F90A-92E7-4C05-8A47-3BEBD00B6D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2365</Words>
  <Characters>13484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Hoffmann</dc:creator>
  <cp:keywords/>
  <dc:description/>
  <cp:lastModifiedBy>Sarah Hoffmann</cp:lastModifiedBy>
  <cp:revision>2</cp:revision>
  <dcterms:created xsi:type="dcterms:W3CDTF">2025-03-04T12:00:00Z</dcterms:created>
  <dcterms:modified xsi:type="dcterms:W3CDTF">2025-03-04T12:00:00Z</dcterms:modified>
</cp:coreProperties>
</file>