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b w:val="1"/>
          <w:rtl w:val="0"/>
        </w:rPr>
        <w:t xml:space="preserve">Module:</w:t>
      </w:r>
      <w:r w:rsidDel="00000000" w:rsidR="00000000" w:rsidRPr="00000000">
        <w:rPr>
          <w:rtl w:val="0"/>
        </w:rPr>
        <w:t xml:space="preserve"> Contemporary Challenges: Making a Difference</w:t>
      </w:r>
    </w:p>
    <w:p w:rsidR="00000000" w:rsidDel="00000000" w:rsidP="00000000" w:rsidRDefault="00000000" w:rsidRPr="00000000" w14:paraId="00000002">
      <w:pPr>
        <w:rPr/>
      </w:pPr>
      <w:r w:rsidDel="00000000" w:rsidR="00000000" w:rsidRPr="00000000">
        <w:rPr>
          <w:b w:val="1"/>
          <w:rtl w:val="0"/>
        </w:rPr>
        <w:t xml:space="preserve">Module Code:</w:t>
      </w:r>
      <w:r w:rsidDel="00000000" w:rsidR="00000000" w:rsidRPr="00000000">
        <w:rPr>
          <w:rtl w:val="0"/>
        </w:rPr>
        <w:t xml:space="preserve"> BMSW4007</w:t>
      </w:r>
    </w:p>
    <w:p w:rsidR="00000000" w:rsidDel="00000000" w:rsidP="00000000" w:rsidRDefault="00000000" w:rsidRPr="00000000" w14:paraId="00000003">
      <w:pPr>
        <w:rPr/>
      </w:pPr>
      <w:r w:rsidDel="00000000" w:rsidR="00000000" w:rsidRPr="00000000">
        <w:rPr>
          <w:b w:val="1"/>
          <w:rtl w:val="0"/>
        </w:rPr>
        <w:t xml:space="preserve">Student name</w:t>
      </w:r>
      <w:r w:rsidDel="00000000" w:rsidR="00000000" w:rsidRPr="00000000">
        <w:rPr>
          <w:rtl w:val="0"/>
        </w:rPr>
        <w:t xml:space="preserve">: Florin Munteanu</w:t>
      </w:r>
    </w:p>
    <w:p w:rsidR="00000000" w:rsidDel="00000000" w:rsidP="00000000" w:rsidRDefault="00000000" w:rsidRPr="00000000" w14:paraId="00000004">
      <w:pPr>
        <w:rPr/>
      </w:pPr>
      <w:r w:rsidDel="00000000" w:rsidR="00000000" w:rsidRPr="00000000">
        <w:rPr>
          <w:b w:val="1"/>
          <w:rtl w:val="0"/>
        </w:rPr>
        <w:t xml:space="preserve">Student Code: </w:t>
      </w:r>
      <w:r w:rsidDel="00000000" w:rsidR="00000000" w:rsidRPr="00000000">
        <w:rPr>
          <w:rtl w:val="0"/>
        </w:rPr>
        <w:t xml:space="preserve">2240211</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b w:val="1"/>
        </w:rPr>
      </w:pPr>
      <w:r w:rsidDel="00000000" w:rsidR="00000000" w:rsidRPr="00000000">
        <w:rPr>
          <w:rtl w:val="0"/>
        </w:rPr>
        <w:t xml:space="preserve">              </w:t>
      </w:r>
      <w:r w:rsidDel="00000000" w:rsidR="00000000" w:rsidRPr="00000000">
        <w:rPr>
          <w:b w:val="1"/>
          <w:rtl w:val="0"/>
        </w:rPr>
        <w:t xml:space="preserve"> Climate Change in Romania: A Thorn in Eastern Europe's Side</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Romania, with its picturesque landscapes and diverse ecosystems, is not immune to the impacts of climate change. While this Eastern European country may not often feature prominently in global climate discussions, it is facing a range of environmental challenges. In this blog, we will delve into the climate change issues affecting Romania, drawing on references to shed light on the extent of the problem.</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b w:val="1"/>
        </w:rPr>
      </w:pPr>
      <w:r w:rsidDel="00000000" w:rsidR="00000000" w:rsidRPr="00000000">
        <w:rPr>
          <w:b w:val="1"/>
          <w:rtl w:val="0"/>
        </w:rPr>
        <w:t xml:space="preserve">Climate Change Trends</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Romania has witnessed several concerning climate change trends, as documented in the "Romania's Fourth National Communication on Climate Change" (2017). These include:</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Increasing Temperatures: Romania has experienced a consistent rise in temperatures over the past century. As a result, heatwaves have become more frequent and intense, affecting agriculture and human health (Romanian Ministry of Environment, 2019).</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Changing Precipitation Patterns: Romania is also facing altered precipitation patterns, with a general trend towards reduced rainfall. This has resulted in droughts and water scarcity issues, impacting both agriculture and ecosystems (Romanian Ministry of Environment, 2019).</w:t>
      </w:r>
    </w:p>
    <w:p w:rsidR="00000000" w:rsidDel="00000000" w:rsidP="00000000" w:rsidRDefault="00000000" w:rsidRPr="00000000" w14:paraId="00000016">
      <w:pPr>
        <w:rPr>
          <w:b w:val="1"/>
        </w:rPr>
      </w:pPr>
      <w:r w:rsidDel="00000000" w:rsidR="00000000" w:rsidRPr="00000000">
        <w:rPr>
          <w:b w:val="1"/>
        </w:rPr>
        <w:drawing>
          <wp:inline distB="114300" distT="114300" distL="114300" distR="114300">
            <wp:extent cx="5943600" cy="2565400"/>
            <wp:effectExtent b="0" l="0" r="0" t="0"/>
            <wp:docPr id="6"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2565400"/>
                    </a:xfrm>
                    <a:prstGeom prst="rect"/>
                    <a:ln/>
                  </pic:spPr>
                </pic:pic>
              </a:graphicData>
            </a:graphic>
          </wp:inline>
        </w:drawing>
      </w:r>
      <w:r w:rsidDel="00000000" w:rsidR="00000000" w:rsidRPr="00000000">
        <w:rPr>
          <w:rtl w:val="0"/>
        </w:rPr>
      </w:r>
    </w:p>
    <w:p w:rsidR="00000000" w:rsidDel="00000000" w:rsidP="00000000" w:rsidRDefault="00000000" w:rsidRPr="00000000" w14:paraId="00000017">
      <w:pPr>
        <w:rPr>
          <w:b w:val="1"/>
        </w:rPr>
      </w:pPr>
      <w:r w:rsidDel="00000000" w:rsidR="00000000" w:rsidRPr="00000000">
        <w:rPr>
          <w:rtl w:val="0"/>
        </w:rPr>
      </w:r>
    </w:p>
    <w:p w:rsidR="00000000" w:rsidDel="00000000" w:rsidP="00000000" w:rsidRDefault="00000000" w:rsidRPr="00000000" w14:paraId="00000018">
      <w:pPr>
        <w:rPr>
          <w:b w:val="1"/>
        </w:rPr>
      </w:pPr>
      <w:r w:rsidDel="00000000" w:rsidR="00000000" w:rsidRPr="00000000">
        <w:rPr>
          <w:rtl w:val="0"/>
        </w:rPr>
      </w:r>
    </w:p>
    <w:p w:rsidR="00000000" w:rsidDel="00000000" w:rsidP="00000000" w:rsidRDefault="00000000" w:rsidRPr="00000000" w14:paraId="00000019">
      <w:pPr>
        <w:rPr>
          <w:b w:val="1"/>
        </w:rPr>
      </w:pPr>
      <w:r w:rsidDel="00000000" w:rsidR="00000000" w:rsidRPr="00000000">
        <w:rPr>
          <w:b w:val="1"/>
          <w:rtl w:val="0"/>
        </w:rPr>
        <w:t xml:space="preserve">Environmental Consequences</w:t>
      </w:r>
    </w:p>
    <w:p w:rsidR="00000000" w:rsidDel="00000000" w:rsidP="00000000" w:rsidRDefault="00000000" w:rsidRPr="00000000" w14:paraId="0000001A">
      <w:pPr>
        <w:rPr>
          <w:b w:val="1"/>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Ecosystem Disruption: Romania's diverse ecosystems, including the Carpathian Mountains and the Danube Delta, are vulnerable to climate change. The alteration of temperature and precipitation patterns can disrupt these habitats, affecting species and biodiversity (The State of Nature in the EU, 2015).</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Increased Flooding and Landslides: The intensification of extreme weather events, including heavy rainfall and flooding, poses significant risks to Romania's communities and infrastructure. Landslides in hilly and mountainous areas are also a growing concern (Romanian Ministry of Environment, 2019).</w:t>
      </w:r>
    </w:p>
    <w:p w:rsidR="00000000" w:rsidDel="00000000" w:rsidP="00000000" w:rsidRDefault="00000000" w:rsidRPr="00000000" w14:paraId="0000001E">
      <w:pPr>
        <w:rPr/>
      </w:pPr>
      <w:r w:rsidDel="00000000" w:rsidR="00000000" w:rsidRPr="00000000">
        <w:rPr>
          <w:b w:val="1"/>
        </w:rPr>
        <w:drawing>
          <wp:inline distB="114300" distT="114300" distL="114300" distR="114300">
            <wp:extent cx="6329363" cy="2905125"/>
            <wp:effectExtent b="0" l="0" r="0" t="0"/>
            <wp:docPr id="8"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6329363" cy="2905125"/>
                    </a:xfrm>
                    <a:prstGeom prst="rect"/>
                    <a:ln/>
                  </pic:spPr>
                </pic:pic>
              </a:graphicData>
            </a:graphic>
          </wp:inline>
        </w:drawing>
      </w: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b w:val="1"/>
        </w:rPr>
      </w:pPr>
      <w:r w:rsidDel="00000000" w:rsidR="00000000" w:rsidRPr="00000000">
        <w:rPr>
          <w:rtl w:val="0"/>
        </w:rPr>
      </w:r>
    </w:p>
    <w:p w:rsidR="00000000" w:rsidDel="00000000" w:rsidP="00000000" w:rsidRDefault="00000000" w:rsidRPr="00000000" w14:paraId="00000022">
      <w:pPr>
        <w:rPr>
          <w:b w:val="1"/>
        </w:rPr>
      </w:pPr>
      <w:r w:rsidDel="00000000" w:rsidR="00000000" w:rsidRPr="00000000">
        <w:rPr>
          <w:rtl w:val="0"/>
        </w:rPr>
      </w:r>
    </w:p>
    <w:p w:rsidR="00000000" w:rsidDel="00000000" w:rsidP="00000000" w:rsidRDefault="00000000" w:rsidRPr="00000000" w14:paraId="00000023">
      <w:pPr>
        <w:rPr>
          <w:b w:val="1"/>
        </w:rPr>
      </w:pPr>
      <w:r w:rsidDel="00000000" w:rsidR="00000000" w:rsidRPr="00000000">
        <w:rPr>
          <w:b w:val="1"/>
          <w:rtl w:val="0"/>
        </w:rPr>
        <w:t xml:space="preserve">Socio-economic Impacts</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Agricultural Challenges: Agriculture plays a crucial role in Romania's economy. Climate change has led to more unpredictable growing seasons, impacting crop yields and quality. The "National Strategy for Agriculture" (2021) outlines the need for adaptive strategies to cope with these challenges.</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Public Health Risks: Extreme heat events, along with changes in disease patterns, pose risks to public health. The Romanian Ministry of Environment's "National Strategy on Climate Change" (2017) acknowledges the importance of climate resilience in public health planning.</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b w:val="1"/>
        </w:rPr>
        <w:drawing>
          <wp:inline distB="114300" distT="114300" distL="114300" distR="114300">
            <wp:extent cx="6436353" cy="2357438"/>
            <wp:effectExtent b="0" l="0" r="0" t="0"/>
            <wp:docPr id="1" name="image7.png"/>
            <a:graphic>
              <a:graphicData uri="http://schemas.openxmlformats.org/drawingml/2006/picture">
                <pic:pic>
                  <pic:nvPicPr>
                    <pic:cNvPr id="0" name="image7.png"/>
                    <pic:cNvPicPr preferRelativeResize="0"/>
                  </pic:nvPicPr>
                  <pic:blipFill>
                    <a:blip r:embed="rId8"/>
                    <a:srcRect b="0" l="0" r="0" t="0"/>
                    <a:stretch>
                      <a:fillRect/>
                    </a:stretch>
                  </pic:blipFill>
                  <pic:spPr>
                    <a:xfrm>
                      <a:off x="0" y="0"/>
                      <a:ext cx="6436353" cy="2357438"/>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b w:val="1"/>
        </w:rPr>
      </w:pPr>
      <w:r w:rsidDel="00000000" w:rsidR="00000000" w:rsidRPr="00000000">
        <w:rPr>
          <w:b w:val="1"/>
          <w:rtl w:val="0"/>
        </w:rPr>
        <w:t xml:space="preserve">Mitigation and Adaptation Efforts</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Romania is actively engaged in both mitigation and adaptation efforts to address climate change:</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Renewable Energy: The country has made strides in developing renewable energy sources, particularly wind and solar power. Romania's "National Action Plan for Renewable Energy" (2021) outlines targets for increasing the share of renewable energy in its total energy consumption.</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Forest Conservation: The conservation of Romania's vast forests, such as those in the Carpathian Mountains, plays a significant role in sequestering carbon. Conservation and sustainable forest management are central elements of Romania's climate strategy (Romanian Ministry of Environment, 2019).</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b w:val="1"/>
        </w:rPr>
      </w:pPr>
      <w:r w:rsidDel="00000000" w:rsidR="00000000" w:rsidRPr="00000000">
        <w:rPr>
          <w:b w:val="1"/>
          <w:rtl w:val="0"/>
        </w:rPr>
        <w:t xml:space="preserve">Conclusion</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Romania, like many countries, is grappling with the consequences of climate change. Rising temperatures, shifting precipitation patterns, and extreme weather events are affecting the environment, agriculture, public health, and infrastructure.</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While Romania has taken steps to mitigate climate change and adapt to its impacts, continued efforts are required. Awareness, policy development, and individual actions are crucial to address the challenges posed by climate change in this Eastern European nation.</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As we reflect on climate change in Romania, we must remember that addressing this issue is a shared global responsibility. By referencing authoritative sources and staying informed about the climate challenges in Romania and around the world, we can contribute to a more sustainable and climate-resilient future for all.</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b w:val="1"/>
        </w:rPr>
      </w:pPr>
      <w:r w:rsidDel="00000000" w:rsidR="00000000" w:rsidRPr="00000000">
        <w:rPr>
          <w:b w:val="1"/>
          <w:rtl w:val="0"/>
        </w:rPr>
        <w:t xml:space="preserve">                  Understanding and tackling the social challenges of our time</w:t>
      </w:r>
    </w:p>
    <w:p w:rsidR="00000000" w:rsidDel="00000000" w:rsidP="00000000" w:rsidRDefault="00000000" w:rsidRPr="00000000" w14:paraId="00000049">
      <w:pPr>
        <w:rPr>
          <w:b w:val="1"/>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In the contemporary era, society grapples with an array of social challenges that are deeply interconnected and complex. These issues range from economic disparities and mental health concerns to the nuances of digital technology's impact and environmental crises. Let's delve into these problems and explore potential paths forward, drawing upon a range of scholarly and authoritative sources.</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b w:val="1"/>
        </w:rPr>
      </w:pPr>
      <w:r w:rsidDel="00000000" w:rsidR="00000000" w:rsidRPr="00000000">
        <w:rPr>
          <w:b w:val="1"/>
          <w:rtl w:val="0"/>
        </w:rPr>
        <w:t xml:space="preserve">Economic Inequality</w:t>
      </w:r>
    </w:p>
    <w:p w:rsidR="00000000" w:rsidDel="00000000" w:rsidP="00000000" w:rsidRDefault="00000000" w:rsidRPr="00000000" w14:paraId="0000004E">
      <w:pPr>
        <w:rPr>
          <w:b w:val="1"/>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Economic inequality remains a profound and persistent global issue. The World Inequality Report 2022 illustrates this divide, showing that the top 10% of the world’s population now earn up to 52% of the global income (Alvaredo et al., 2022). Such inequality extends beyond income, deeply influencing access to quality education, healthcare, and housing, perpetuating a cycle of poverty and social exclusion.</w:t>
      </w:r>
      <w:r w:rsidDel="00000000" w:rsidR="00000000" w:rsidRPr="00000000">
        <w:rPr/>
        <w:drawing>
          <wp:inline distB="114300" distT="114300" distL="114300" distR="114300">
            <wp:extent cx="5943600" cy="2679700"/>
            <wp:effectExtent b="0" l="0" r="0" t="0"/>
            <wp:docPr id="7"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943600" cy="2679700"/>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b w:val="1"/>
        </w:rPr>
      </w:pPr>
      <w:r w:rsidDel="00000000" w:rsidR="00000000" w:rsidRPr="00000000">
        <w:rPr>
          <w:b w:val="1"/>
          <w:rtl w:val="0"/>
        </w:rPr>
        <w:t xml:space="preserve">Mental Health</w:t>
      </w:r>
    </w:p>
    <w:p w:rsidR="00000000" w:rsidDel="00000000" w:rsidP="00000000" w:rsidRDefault="00000000" w:rsidRPr="00000000" w14:paraId="00000052">
      <w:pPr>
        <w:rPr>
          <w:b w:val="1"/>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Mental health issues, particularly among younger demographics, are rising at an alarming rate. According to the World Health Organization, depression is now one of the leading causes of disability worldwide (WHO, 2021). Jean M. Twenge's research links this trend to the advent of the digital age, where increased screen time and social media usage correlate with higher levels of loneliness and depression, particularly among adolescents (Twenge, 2017).</w:t>
      </w:r>
    </w:p>
    <w:p w:rsidR="00000000" w:rsidDel="00000000" w:rsidP="00000000" w:rsidRDefault="00000000" w:rsidRPr="00000000" w14:paraId="00000054">
      <w:pPr>
        <w:rPr/>
      </w:pPr>
      <w:r w:rsidDel="00000000" w:rsidR="00000000" w:rsidRPr="00000000">
        <w:rPr/>
        <w:drawing>
          <wp:inline distB="114300" distT="114300" distL="114300" distR="114300">
            <wp:extent cx="6348413" cy="2781300"/>
            <wp:effectExtent b="0" l="0" r="0" t="0"/>
            <wp:docPr id="4"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6348413" cy="2781300"/>
                    </a:xfrm>
                    <a:prstGeom prst="rect"/>
                    <a:ln/>
                  </pic:spPr>
                </pic:pic>
              </a:graphicData>
            </a:graphic>
          </wp:inline>
        </w:drawing>
      </w: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b w:val="1"/>
        </w:rPr>
      </w:pPr>
      <w:r w:rsidDel="00000000" w:rsidR="00000000" w:rsidRPr="00000000">
        <w:rPr>
          <w:rtl w:val="0"/>
        </w:rPr>
      </w:r>
    </w:p>
    <w:p w:rsidR="00000000" w:rsidDel="00000000" w:rsidP="00000000" w:rsidRDefault="00000000" w:rsidRPr="00000000" w14:paraId="00000057">
      <w:pPr>
        <w:rPr>
          <w:b w:val="1"/>
        </w:rPr>
      </w:pPr>
      <w:r w:rsidDel="00000000" w:rsidR="00000000" w:rsidRPr="00000000">
        <w:rPr>
          <w:b w:val="1"/>
          <w:rtl w:val="0"/>
        </w:rPr>
        <w:t xml:space="preserve">Digital Technology's Impact</w:t>
      </w:r>
    </w:p>
    <w:p w:rsidR="00000000" w:rsidDel="00000000" w:rsidP="00000000" w:rsidRDefault="00000000" w:rsidRPr="00000000" w14:paraId="00000058">
      <w:pPr>
        <w:rPr>
          <w:b w:val="1"/>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Digital technology, while beneficial in many ways, also poses significant social challenges. In "The Shallows: What the Internet Is Doing to Our Brains," Nicholas Carr (2010) discusses how the internet is reshaping our cognitive processes, often detrimentally. This technological impact extends into the realm of misinformation and polarization, as highlighted in the Stanford Polarization and Social Change Lab's findings (Bail et al., 2018).</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drawing>
          <wp:inline distB="114300" distT="114300" distL="114300" distR="114300">
            <wp:extent cx="6176963" cy="1857375"/>
            <wp:effectExtent b="0" l="0" r="0" t="0"/>
            <wp:docPr id="5"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6176963" cy="1857375"/>
                    </a:xfrm>
                    <a:prstGeom prst="rect"/>
                    <a:ln/>
                  </pic:spPr>
                </pic:pic>
              </a:graphicData>
            </a:graphic>
          </wp:inline>
        </w:drawing>
      </w: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b w:val="1"/>
        </w:rPr>
      </w:pPr>
      <w:r w:rsidDel="00000000" w:rsidR="00000000" w:rsidRPr="00000000">
        <w:rPr>
          <w:b w:val="1"/>
          <w:rtl w:val="0"/>
        </w:rPr>
        <w:t xml:space="preserve">Climate Change</w:t>
      </w:r>
    </w:p>
    <w:p w:rsidR="00000000" w:rsidDel="00000000" w:rsidP="00000000" w:rsidRDefault="00000000" w:rsidRPr="00000000" w14:paraId="0000005E">
      <w:pPr>
        <w:rPr>
          <w:b w:val="1"/>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The environmental crisis, especially climate change, is perhaps one of the most daunting challenges. The Intergovernmental Panel on Climate Change’s 2022 report underscores the urgent need to address the accelerating impacts of climate change, which pose significant threats to global biodiversity, human health, and economic stability (IPCC, 2022).</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b w:val="1"/>
        </w:rPr>
      </w:pPr>
      <w:r w:rsidDel="00000000" w:rsidR="00000000" w:rsidRPr="00000000">
        <w:rPr>
          <w:rtl w:val="0"/>
        </w:rPr>
      </w:r>
    </w:p>
    <w:p w:rsidR="00000000" w:rsidDel="00000000" w:rsidP="00000000" w:rsidRDefault="00000000" w:rsidRPr="00000000" w14:paraId="00000062">
      <w:pPr>
        <w:rPr>
          <w:b w:val="1"/>
        </w:rPr>
      </w:pPr>
      <w:r w:rsidDel="00000000" w:rsidR="00000000" w:rsidRPr="00000000">
        <w:rPr>
          <w:rtl w:val="0"/>
        </w:rPr>
      </w:r>
    </w:p>
    <w:p w:rsidR="00000000" w:rsidDel="00000000" w:rsidP="00000000" w:rsidRDefault="00000000" w:rsidRPr="00000000" w14:paraId="00000063">
      <w:pPr>
        <w:rPr>
          <w:b w:val="1"/>
        </w:rPr>
      </w:pPr>
      <w:r w:rsidDel="00000000" w:rsidR="00000000" w:rsidRPr="00000000">
        <w:rPr>
          <w:rtl w:val="0"/>
        </w:rPr>
      </w:r>
    </w:p>
    <w:p w:rsidR="00000000" w:rsidDel="00000000" w:rsidP="00000000" w:rsidRDefault="00000000" w:rsidRPr="00000000" w14:paraId="00000064">
      <w:pPr>
        <w:rPr>
          <w:b w:val="1"/>
        </w:rPr>
      </w:pPr>
      <w:r w:rsidDel="00000000" w:rsidR="00000000" w:rsidRPr="00000000">
        <w:rPr>
          <w:b w:val="1"/>
          <w:rtl w:val="0"/>
        </w:rPr>
        <w:t xml:space="preserve">Racial and Gender Inequities</w:t>
      </w:r>
    </w:p>
    <w:p w:rsidR="00000000" w:rsidDel="00000000" w:rsidP="00000000" w:rsidRDefault="00000000" w:rsidRPr="00000000" w14:paraId="00000065">
      <w:pPr>
        <w:rPr>
          <w:b w:val="1"/>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Racial and gender inequities continue to be prominent social challenges. Michelle Alexander’s seminal work, "The New Jim Crow" (2010), explores systemic racial disparities in the American criminal justice system. Similarly, gender inequality remains a global concern. The World Economic Forum's "Global Gender Gap Report 2021" highlights that gender gaps in economic participation and opportunity continue to prevail, urging transformative measures to achieve gender parity (WEF, 2021).</w:t>
      </w:r>
    </w:p>
    <w:p w:rsidR="00000000" w:rsidDel="00000000" w:rsidP="00000000" w:rsidRDefault="00000000" w:rsidRPr="00000000" w14:paraId="00000067">
      <w:pPr>
        <w:rPr/>
      </w:pPr>
      <w:r w:rsidDel="00000000" w:rsidR="00000000" w:rsidRPr="00000000">
        <w:rPr/>
        <w:drawing>
          <wp:inline distB="114300" distT="114300" distL="114300" distR="114300">
            <wp:extent cx="5715000" cy="2657424"/>
            <wp:effectExtent b="0" l="0" r="0" t="0"/>
            <wp:docPr id="3" name="image8.png"/>
            <a:graphic>
              <a:graphicData uri="http://schemas.openxmlformats.org/drawingml/2006/picture">
                <pic:pic>
                  <pic:nvPicPr>
                    <pic:cNvPr id="0" name="image8.png"/>
                    <pic:cNvPicPr preferRelativeResize="0"/>
                  </pic:nvPicPr>
                  <pic:blipFill>
                    <a:blip r:embed="rId12"/>
                    <a:srcRect b="0" l="0" r="0" t="0"/>
                    <a:stretch>
                      <a:fillRect/>
                    </a:stretch>
                  </pic:blipFill>
                  <pic:spPr>
                    <a:xfrm>
                      <a:off x="0" y="0"/>
                      <a:ext cx="5715000" cy="2657424"/>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b w:val="1"/>
        </w:rPr>
      </w:pPr>
      <w:r w:rsidDel="00000000" w:rsidR="00000000" w:rsidRPr="00000000">
        <w:rPr>
          <w:b w:val="1"/>
          <w:rtl w:val="0"/>
        </w:rPr>
        <w:t xml:space="preserve">Social Polarization</w:t>
      </w:r>
    </w:p>
    <w:p w:rsidR="00000000" w:rsidDel="00000000" w:rsidP="00000000" w:rsidRDefault="00000000" w:rsidRPr="00000000" w14:paraId="0000006A">
      <w:pPr>
        <w:rPr>
          <w:b w:val="1"/>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Lastly, social polarization, particularly in political realms, undermines social cohesion. The Pew Research Center’s study on political polarization in the United States reveals how partisan antipathy affects governance, social relationships, and media consumption, indicating a deep divide in American society (Pew Research Center, 2021).</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b w:val="1"/>
        </w:rPr>
      </w:pPr>
      <w:r w:rsidDel="00000000" w:rsidR="00000000" w:rsidRPr="00000000">
        <w:rPr>
          <w:b w:val="1"/>
          <w:rtl w:val="0"/>
        </w:rPr>
        <w:t xml:space="preserve">Conclusion</w:t>
      </w:r>
    </w:p>
    <w:p w:rsidR="00000000" w:rsidDel="00000000" w:rsidP="00000000" w:rsidRDefault="00000000" w:rsidRPr="00000000" w14:paraId="0000006E">
      <w:pPr>
        <w:rPr>
          <w:b w:val="1"/>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These issues, from economic inequality and mental health to the impacts of digital technology, climate change, and systemic inequalities, require comprehensive, informed, and empathetic approaches. Governments, communities, and individuals must collaborate to create equitable and sustainable solutions. Encouraging civic engagement, enhancing educational curricula to include social issues, and fostering an inclusive society are starting points. In addressing these challenges, it's crucial to adopt multifaceted strategies that are as diverse and dynamic as the issues themselves.</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b w:val="1"/>
        </w:rPr>
      </w:pPr>
      <w:r w:rsidDel="00000000" w:rsidR="00000000" w:rsidRPr="00000000">
        <w:rPr>
          <w:rtl w:val="0"/>
        </w:rPr>
      </w:r>
    </w:p>
    <w:p w:rsidR="00000000" w:rsidDel="00000000" w:rsidP="00000000" w:rsidRDefault="00000000" w:rsidRPr="00000000" w14:paraId="00000078">
      <w:pPr>
        <w:rPr>
          <w:b w:val="1"/>
        </w:rPr>
      </w:pPr>
      <w:r w:rsidDel="00000000" w:rsidR="00000000" w:rsidRPr="00000000">
        <w:rPr>
          <w:rtl w:val="0"/>
        </w:rPr>
      </w:r>
    </w:p>
    <w:p w:rsidR="00000000" w:rsidDel="00000000" w:rsidP="00000000" w:rsidRDefault="00000000" w:rsidRPr="00000000" w14:paraId="00000079">
      <w:pPr>
        <w:rPr>
          <w:b w:val="1"/>
        </w:rPr>
      </w:pPr>
      <w:r w:rsidDel="00000000" w:rsidR="00000000" w:rsidRPr="00000000">
        <w:rPr>
          <w:rtl w:val="0"/>
        </w:rPr>
      </w:r>
    </w:p>
    <w:p w:rsidR="00000000" w:rsidDel="00000000" w:rsidP="00000000" w:rsidRDefault="00000000" w:rsidRPr="00000000" w14:paraId="0000007A">
      <w:pPr>
        <w:rPr>
          <w:b w:val="1"/>
        </w:rPr>
      </w:pPr>
      <w:r w:rsidDel="00000000" w:rsidR="00000000" w:rsidRPr="00000000">
        <w:rPr>
          <w:rtl w:val="0"/>
        </w:rPr>
      </w:r>
    </w:p>
    <w:p w:rsidR="00000000" w:rsidDel="00000000" w:rsidP="00000000" w:rsidRDefault="00000000" w:rsidRPr="00000000" w14:paraId="0000007B">
      <w:pPr>
        <w:rPr>
          <w:b w:val="1"/>
        </w:rPr>
      </w:pPr>
      <w:r w:rsidDel="00000000" w:rsidR="00000000" w:rsidRPr="00000000">
        <w:rPr>
          <w:rtl w:val="0"/>
        </w:rPr>
      </w:r>
    </w:p>
    <w:p w:rsidR="00000000" w:rsidDel="00000000" w:rsidP="00000000" w:rsidRDefault="00000000" w:rsidRPr="00000000" w14:paraId="0000007C">
      <w:pPr>
        <w:rPr>
          <w:b w:val="1"/>
        </w:rPr>
      </w:pPr>
      <w:r w:rsidDel="00000000" w:rsidR="00000000" w:rsidRPr="00000000">
        <w:rPr>
          <w:rtl w:val="0"/>
        </w:rPr>
      </w:r>
    </w:p>
    <w:p w:rsidR="00000000" w:rsidDel="00000000" w:rsidP="00000000" w:rsidRDefault="00000000" w:rsidRPr="00000000" w14:paraId="0000007D">
      <w:pPr>
        <w:rPr>
          <w:b w:val="1"/>
        </w:rPr>
      </w:pPr>
      <w:r w:rsidDel="00000000" w:rsidR="00000000" w:rsidRPr="00000000">
        <w:rPr>
          <w:rtl w:val="0"/>
        </w:rPr>
      </w:r>
    </w:p>
    <w:p w:rsidR="00000000" w:rsidDel="00000000" w:rsidP="00000000" w:rsidRDefault="00000000" w:rsidRPr="00000000" w14:paraId="0000007E">
      <w:pPr>
        <w:rPr>
          <w:b w:val="1"/>
        </w:rPr>
      </w:pPr>
      <w:r w:rsidDel="00000000" w:rsidR="00000000" w:rsidRPr="00000000">
        <w:rPr>
          <w:rtl w:val="0"/>
        </w:rPr>
      </w:r>
    </w:p>
    <w:p w:rsidR="00000000" w:rsidDel="00000000" w:rsidP="00000000" w:rsidRDefault="00000000" w:rsidRPr="00000000" w14:paraId="0000007F">
      <w:pPr>
        <w:rPr>
          <w:b w:val="1"/>
        </w:rPr>
      </w:pPr>
      <w:r w:rsidDel="00000000" w:rsidR="00000000" w:rsidRPr="00000000">
        <w:rPr>
          <w:rtl w:val="0"/>
        </w:rPr>
      </w:r>
    </w:p>
    <w:p w:rsidR="00000000" w:rsidDel="00000000" w:rsidP="00000000" w:rsidRDefault="00000000" w:rsidRPr="00000000" w14:paraId="00000080">
      <w:pPr>
        <w:rPr>
          <w:b w:val="1"/>
        </w:rPr>
      </w:pPr>
      <w:r w:rsidDel="00000000" w:rsidR="00000000" w:rsidRPr="00000000">
        <w:rPr>
          <w:rtl w:val="0"/>
        </w:rPr>
      </w:r>
    </w:p>
    <w:p w:rsidR="00000000" w:rsidDel="00000000" w:rsidP="00000000" w:rsidRDefault="00000000" w:rsidRPr="00000000" w14:paraId="00000081">
      <w:pPr>
        <w:rPr>
          <w:b w:val="1"/>
        </w:rPr>
      </w:pPr>
      <w:r w:rsidDel="00000000" w:rsidR="00000000" w:rsidRPr="00000000">
        <w:rPr>
          <w:rtl w:val="0"/>
        </w:rPr>
      </w:r>
    </w:p>
    <w:p w:rsidR="00000000" w:rsidDel="00000000" w:rsidP="00000000" w:rsidRDefault="00000000" w:rsidRPr="00000000" w14:paraId="00000082">
      <w:pPr>
        <w:rPr>
          <w:b w:val="1"/>
        </w:rPr>
      </w:pPr>
      <w:r w:rsidDel="00000000" w:rsidR="00000000" w:rsidRPr="00000000">
        <w:rPr>
          <w:b w:val="1"/>
          <w:rtl w:val="0"/>
        </w:rPr>
        <w:t xml:space="preserve">                                    Navigating Contemporary Challenges</w:t>
      </w:r>
    </w:p>
    <w:p w:rsidR="00000000" w:rsidDel="00000000" w:rsidP="00000000" w:rsidRDefault="00000000" w:rsidRPr="00000000" w14:paraId="00000083">
      <w:pPr>
        <w:rPr>
          <w:b w:val="1"/>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In our quest to comprehend and confront the complex challenges of today's world, knowledge is our guiding light. Yet, this beacon of knowledge is not immune to the twists and turns of bias, sometimes leading us astray. Let's explore how available knowledge can both illuminate and obscure our understanding of contemporary issues.</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b w:val="1"/>
        </w:rPr>
      </w:pPr>
      <w:r w:rsidDel="00000000" w:rsidR="00000000" w:rsidRPr="00000000">
        <w:rPr>
          <w:b w:val="1"/>
          <w:rtl w:val="0"/>
        </w:rPr>
        <w:t xml:space="preserve">Knowledge: Our Beacon in a Complex World</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We live in an age of information abundance. The advent of the internet and digital technologies has made vast troves of information readily accessible to anyone with a device and a connection. As noted in "The Shallows" by Nicholas Carr (2010), this has transformed how we gather knowledge and engage with it.</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Contemporary challenges, whether they relate to climate change, public health, or social justice, are multifaceted. To navigate these complexities, we rely on diverse sources of knowledge, from academic research and expert opinions to personal experiences and the wisdom of crowds (Surowiecki, 2005).</w:t>
      </w:r>
    </w:p>
    <w:p w:rsidR="00000000" w:rsidDel="00000000" w:rsidP="00000000" w:rsidRDefault="00000000" w:rsidRPr="00000000" w14:paraId="0000008B">
      <w:pPr>
        <w:rPr/>
      </w:pPr>
      <w:r w:rsidDel="00000000" w:rsidR="00000000" w:rsidRPr="00000000">
        <w:rPr/>
        <w:drawing>
          <wp:inline distB="114300" distT="114300" distL="114300" distR="114300">
            <wp:extent cx="4972050" cy="1852613"/>
            <wp:effectExtent b="0" l="0" r="0" t="0"/>
            <wp:docPr id="2" name="image2.png"/>
            <a:graphic>
              <a:graphicData uri="http://schemas.openxmlformats.org/drawingml/2006/picture">
                <pic:pic>
                  <pic:nvPicPr>
                    <pic:cNvPr id="0" name="image2.png"/>
                    <pic:cNvPicPr preferRelativeResize="0"/>
                  </pic:nvPicPr>
                  <pic:blipFill>
                    <a:blip r:embed="rId13"/>
                    <a:srcRect b="0" l="0" r="0" t="0"/>
                    <a:stretch>
                      <a:fillRect/>
                    </a:stretch>
                  </pic:blipFill>
                  <pic:spPr>
                    <a:xfrm>
                      <a:off x="0" y="0"/>
                      <a:ext cx="4972050" cy="1852613"/>
                    </a:xfrm>
                    <a:prstGeom prst="rect"/>
                    <a:ln/>
                  </pic:spPr>
                </pic:pic>
              </a:graphicData>
            </a:graphic>
          </wp:inline>
        </w:drawing>
      </w: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Addressing issues like environmental sustainability or public health requires insights from a variety of fields. Interdisciplinary research and collaboration, as highlighted in "Consilience" by Edward O. Wilson (1998), help us connect the dots and see the bigger picture.</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b w:val="1"/>
        </w:rPr>
      </w:pPr>
      <w:r w:rsidDel="00000000" w:rsidR="00000000" w:rsidRPr="00000000">
        <w:rPr>
          <w:b w:val="1"/>
          <w:rtl w:val="0"/>
        </w:rPr>
        <w:t xml:space="preserve">Bias in Knowledge</w:t>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t xml:space="preserve">When we explore contemporary challenges, it's easy to fall prey to confirmation bias. This cognitive bias makes us more likely to seek, interpret, and remember information that confirms our pre-existing beliefs and values (Nickerson, 1998).</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t xml:space="preserve">Our cultural and historical context deeply influences our understanding of the world. As Charles Mills argues in "The Racial Contract" (1997), societal constructs and biases are often deeply ingrained in our perception of contemporary challenges, especially those related to race and gender.</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t xml:space="preserve">Mass media plays a substantial role in shaping public opinion about current issues. Media outlets may have their own biases, and the sensationalism or selectivity in reporting can further distort our understanding of events and challenges (Pariser, 2011).</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t xml:space="preserve">In the age of big data, the manipulation and presentation of statistics can lead to skewed perceptions. "How to Lie with Statistics" by Darrell Huff (1954) sheds light on the various ways data can be used to mislead.</w:t>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b w:val="1"/>
        </w:rPr>
      </w:pPr>
      <w:r w:rsidDel="00000000" w:rsidR="00000000" w:rsidRPr="00000000">
        <w:rPr>
          <w:b w:val="1"/>
          <w:rtl w:val="0"/>
        </w:rPr>
        <w:t xml:space="preserve">Navigating the Bias Minefield</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To navigate the minefield of bias and harness knowledge effectively, we must cultivate critical thinking skills, promote data literacy, and encourage diverse perspectives. It's crucial to remain open to viewpoints that challenge our own and be aware of our biases.</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As we explore contemporary challenges, it's also vital to consider the context in which information is presented. Is it a well-balanced account? Is it supported by credible evidence? Does it take into account the diverse dimensions of the challenge?</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t xml:space="preserve">By continuously assessing and refining our understanding of contemporary issues, and by embracing the wealth of knowledge from a variety of sources, we can better navigate the complex landscape of the modern world. In doing so, we become better equipped to address the challenges that define our time.</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b w:val="1"/>
        </w:rPr>
      </w:pPr>
      <w:r w:rsidDel="00000000" w:rsidR="00000000" w:rsidRPr="00000000">
        <w:rPr>
          <w:b w:val="1"/>
          <w:rtl w:val="0"/>
        </w:rPr>
        <w:t xml:space="preserve">References:</w:t>
      </w:r>
    </w:p>
    <w:p w:rsidR="00000000" w:rsidDel="00000000" w:rsidP="00000000" w:rsidRDefault="00000000" w:rsidRPr="00000000" w14:paraId="000000A6">
      <w:pPr>
        <w:rPr>
          <w:b w:val="1"/>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Alvaredo, F., Chancel, L., Piketty, T., Saez, E., &amp; Zucman, G. (2022). World Inequality Report 2022. World Inequality Lab.</w:t>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t xml:space="preserve">Carr, N. (2010). The Shallows: What the Internet Is Doing to Our Brains. W.W. Norton &amp; Company.</w:t>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t xml:space="preserve">Carr, N. (2010). *The Shallows: What the Internet Is Doing to Our Brains*. W.W. Norton &amp; Company.</w:t>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t xml:space="preserve">Huff, D. (1954). *How to Lie with Statistics*. W.W. Norton &amp; Company.</w:t>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t xml:space="preserve">Intergovernmental Panel on Climate Change. (2022). Climate Change 2022: Impacts, Adaptation, and Vulnerability.</w:t>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t xml:space="preserve">Mills, C. (1997). *The Racial Contract*. Cornell University Press.</w:t>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t xml:space="preserve">Nickerson, R. S. (1998). Confirmation bias: A ubiquitous phenomenon in many guises. *Review of General Psychology*.</w:t>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t xml:space="preserve">Pariser, E. (2011). *The Filter Bubble: What the Internet is Hiding from You*. Penguin Books.</w:t>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t xml:space="preserve">Romanian Ministry of Agriculture and Rural Development. (2021). National Strategy for Agriculture.</w:t>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t xml:space="preserve">Romanian Ministry of Economy, Energy and Business Environment. (2021). National Action Plan for Renewable Energy.</w:t>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t xml:space="preserve">Romanian Ministry of Environment. (2017). National Strategy on Climate Change.</w:t>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t xml:space="preserve">Romanian Ministry of Environment. (2019). Romania's Fourth National Communication on Climate Change.</w:t>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t xml:space="preserve">Surowiecki, J. (2005). *The Wisdom of Crowds: Why the Many Are Smarter Than the Few and How Collective Wisdom Shapes Business, Economies, Societies, and Nations*. Doubleday.</w:t>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t xml:space="preserve">The State of Nature in the EU. (2015). Natura 2000 in Romania - Protecting Europe’s biodiversity.</w:t>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t xml:space="preserve">Twenge, J. M. (2017). iGen. Atria Books.</w:t>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t xml:space="preserve">Wilson, E. O. (1998). *Consilience: The Unity of Knowledge*. Alfred A. Knopf.</w:t>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t xml:space="preserve">World Economic Forum. (2021). Global Gender Gap Report 2021.</w:t>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t xml:space="preserve">World Health Organization. (2021). Depression.</w:t>
      </w:r>
    </w:p>
    <w:p w:rsidR="00000000" w:rsidDel="00000000" w:rsidP="00000000" w:rsidRDefault="00000000" w:rsidRPr="00000000" w14:paraId="000000CA">
      <w:pPr>
        <w:rPr>
          <w:b w:val="1"/>
        </w:rPr>
      </w:pPr>
      <w:r w:rsidDel="00000000" w:rsidR="00000000" w:rsidRPr="00000000">
        <w:rPr>
          <w:rtl w:val="0"/>
        </w:rPr>
      </w:r>
    </w:p>
    <w:p w:rsidR="00000000" w:rsidDel="00000000" w:rsidP="00000000" w:rsidRDefault="00000000" w:rsidRPr="00000000" w14:paraId="000000CB">
      <w:pPr>
        <w:rPr>
          <w:b w:val="1"/>
        </w:rPr>
      </w:pPr>
      <w:r w:rsidDel="00000000" w:rsidR="00000000" w:rsidRPr="00000000">
        <w:rPr>
          <w:rtl w:val="0"/>
        </w:rPr>
      </w:r>
    </w:p>
    <w:p w:rsidR="00000000" w:rsidDel="00000000" w:rsidP="00000000" w:rsidRDefault="00000000" w:rsidRPr="00000000" w14:paraId="000000CC">
      <w:pPr>
        <w:rPr>
          <w:b w:val="1"/>
        </w:rPr>
      </w:pPr>
      <w:r w:rsidDel="00000000" w:rsidR="00000000" w:rsidRPr="00000000">
        <w:rPr>
          <w:rtl w:val="0"/>
        </w:rPr>
      </w:r>
    </w:p>
    <w:p w:rsidR="00000000" w:rsidDel="00000000" w:rsidP="00000000" w:rsidRDefault="00000000" w:rsidRPr="00000000" w14:paraId="000000CD">
      <w:pPr>
        <w:rPr>
          <w:b w:val="1"/>
        </w:rPr>
      </w:pPr>
      <w:r w:rsidDel="00000000" w:rsidR="00000000" w:rsidRPr="00000000">
        <w:rPr>
          <w:rtl w:val="0"/>
        </w:rPr>
      </w:r>
    </w:p>
    <w:p w:rsidR="00000000" w:rsidDel="00000000" w:rsidP="00000000" w:rsidRDefault="00000000" w:rsidRPr="00000000" w14:paraId="000000CE">
      <w:pPr>
        <w:rPr>
          <w:b w:val="1"/>
        </w:rPr>
      </w:pPr>
      <w:r w:rsidDel="00000000" w:rsidR="00000000" w:rsidRPr="00000000">
        <w:rPr>
          <w:rtl w:val="0"/>
        </w:rPr>
      </w:r>
    </w:p>
    <w:p w:rsidR="00000000" w:rsidDel="00000000" w:rsidP="00000000" w:rsidRDefault="00000000" w:rsidRPr="00000000" w14:paraId="000000CF">
      <w:pPr>
        <w:rPr>
          <w:b w:val="1"/>
        </w:rPr>
      </w:pPr>
      <w:r w:rsidDel="00000000" w:rsidR="00000000" w:rsidRPr="00000000">
        <w:rPr>
          <w:rtl w:val="0"/>
        </w:rPr>
      </w:r>
    </w:p>
    <w:p w:rsidR="00000000" w:rsidDel="00000000" w:rsidP="00000000" w:rsidRDefault="00000000" w:rsidRPr="00000000" w14:paraId="000000D0">
      <w:pPr>
        <w:rPr>
          <w:b w:val="1"/>
        </w:rPr>
      </w:pPr>
      <w:r w:rsidDel="00000000" w:rsidR="00000000" w:rsidRPr="00000000">
        <w:rPr>
          <w:rtl w:val="0"/>
        </w:rPr>
      </w:r>
    </w:p>
    <w:p w:rsidR="00000000" w:rsidDel="00000000" w:rsidP="00000000" w:rsidRDefault="00000000" w:rsidRPr="00000000" w14:paraId="000000D1">
      <w:pPr>
        <w:rPr>
          <w:b w:val="1"/>
        </w:rPr>
      </w:pPr>
      <w:r w:rsidDel="00000000" w:rsidR="00000000" w:rsidRPr="00000000">
        <w:rPr>
          <w:rtl w:val="0"/>
        </w:rPr>
      </w:r>
    </w:p>
    <w:p w:rsidR="00000000" w:rsidDel="00000000" w:rsidP="00000000" w:rsidRDefault="00000000" w:rsidRPr="00000000" w14:paraId="000000D2">
      <w:pPr>
        <w:rPr>
          <w:b w:val="1"/>
        </w:rPr>
      </w:pPr>
      <w:r w:rsidDel="00000000" w:rsidR="00000000" w:rsidRPr="00000000">
        <w:rPr>
          <w:rtl w:val="0"/>
        </w:rPr>
      </w:r>
    </w:p>
    <w:p w:rsidR="00000000" w:rsidDel="00000000" w:rsidP="00000000" w:rsidRDefault="00000000" w:rsidRPr="00000000" w14:paraId="000000D3">
      <w:pPr>
        <w:rPr>
          <w:b w:val="1"/>
        </w:rPr>
      </w:pPr>
      <w:r w:rsidDel="00000000" w:rsidR="00000000" w:rsidRPr="00000000">
        <w:rPr>
          <w:rtl w:val="0"/>
        </w:rPr>
      </w:r>
    </w:p>
    <w:p w:rsidR="00000000" w:rsidDel="00000000" w:rsidP="00000000" w:rsidRDefault="00000000" w:rsidRPr="00000000" w14:paraId="000000D4">
      <w:pPr>
        <w:rPr>
          <w:b w:val="1"/>
        </w:rPr>
      </w:pPr>
      <w:r w:rsidDel="00000000" w:rsidR="00000000" w:rsidRPr="00000000">
        <w:rPr>
          <w:rtl w:val="0"/>
        </w:rPr>
      </w:r>
    </w:p>
    <w:p w:rsidR="00000000" w:rsidDel="00000000" w:rsidP="00000000" w:rsidRDefault="00000000" w:rsidRPr="00000000" w14:paraId="000000D5">
      <w:pPr>
        <w:rPr>
          <w:b w:val="1"/>
        </w:rPr>
      </w:pPr>
      <w:r w:rsidDel="00000000" w:rsidR="00000000" w:rsidRPr="00000000">
        <w:rPr>
          <w:rtl w:val="0"/>
        </w:rPr>
      </w:r>
    </w:p>
    <w:p w:rsidR="00000000" w:rsidDel="00000000" w:rsidP="00000000" w:rsidRDefault="00000000" w:rsidRPr="00000000" w14:paraId="000000D6">
      <w:pPr>
        <w:rPr>
          <w:b w:val="1"/>
        </w:rPr>
      </w:pPr>
      <w:r w:rsidDel="00000000" w:rsidR="00000000" w:rsidRPr="00000000">
        <w:rPr>
          <w:rtl w:val="0"/>
        </w:rPr>
      </w:r>
    </w:p>
    <w:p w:rsidR="00000000" w:rsidDel="00000000" w:rsidP="00000000" w:rsidRDefault="00000000" w:rsidRPr="00000000" w14:paraId="000000D7">
      <w:pPr>
        <w:rPr>
          <w:b w:val="1"/>
        </w:rPr>
      </w:pPr>
      <w:r w:rsidDel="00000000" w:rsidR="00000000" w:rsidRPr="00000000">
        <w:rPr>
          <w:rtl w:val="0"/>
        </w:rPr>
      </w:r>
    </w:p>
    <w:p w:rsidR="00000000" w:rsidDel="00000000" w:rsidP="00000000" w:rsidRDefault="00000000" w:rsidRPr="00000000" w14:paraId="000000D8">
      <w:pPr>
        <w:rPr>
          <w:b w:val="1"/>
        </w:rPr>
      </w:pPr>
      <w:r w:rsidDel="00000000" w:rsidR="00000000" w:rsidRPr="00000000">
        <w:rPr>
          <w:rtl w:val="0"/>
        </w:rPr>
      </w:r>
    </w:p>
    <w:p w:rsidR="00000000" w:rsidDel="00000000" w:rsidP="00000000" w:rsidRDefault="00000000" w:rsidRPr="00000000" w14:paraId="000000D9">
      <w:pPr>
        <w:rPr>
          <w:b w:val="1"/>
        </w:rPr>
      </w:pPr>
      <w:r w:rsidDel="00000000" w:rsidR="00000000" w:rsidRPr="00000000">
        <w:rPr>
          <w:rtl w:val="0"/>
        </w:rPr>
      </w:r>
    </w:p>
    <w:p w:rsidR="00000000" w:rsidDel="00000000" w:rsidP="00000000" w:rsidRDefault="00000000" w:rsidRPr="00000000" w14:paraId="000000DA">
      <w:pPr>
        <w:rPr>
          <w:b w:val="1"/>
        </w:rPr>
      </w:pPr>
      <w:r w:rsidDel="00000000" w:rsidR="00000000" w:rsidRPr="00000000">
        <w:rPr>
          <w:rtl w:val="0"/>
        </w:rPr>
      </w:r>
    </w:p>
    <w:p w:rsidR="00000000" w:rsidDel="00000000" w:rsidP="00000000" w:rsidRDefault="00000000" w:rsidRPr="00000000" w14:paraId="000000DB">
      <w:pPr>
        <w:rPr>
          <w:b w:val="1"/>
        </w:rPr>
      </w:pPr>
      <w:r w:rsidDel="00000000" w:rsidR="00000000" w:rsidRPr="00000000">
        <w:rPr>
          <w:rtl w:val="0"/>
        </w:rPr>
      </w:r>
    </w:p>
    <w:p w:rsidR="00000000" w:rsidDel="00000000" w:rsidP="00000000" w:rsidRDefault="00000000" w:rsidRPr="00000000" w14:paraId="000000DC">
      <w:pPr>
        <w:rPr>
          <w:b w:val="1"/>
        </w:rPr>
      </w:pPr>
      <w:r w:rsidDel="00000000" w:rsidR="00000000" w:rsidRPr="00000000">
        <w:rPr>
          <w:rtl w:val="0"/>
        </w:rPr>
      </w:r>
    </w:p>
    <w:p w:rsidR="00000000" w:rsidDel="00000000" w:rsidP="00000000" w:rsidRDefault="00000000" w:rsidRPr="00000000" w14:paraId="000000DD">
      <w:pPr>
        <w:rPr>
          <w:b w:val="1"/>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r>
    </w:p>
    <w:sectPr>
      <w:headerReference r:id="rId14"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3">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0" Type="http://schemas.openxmlformats.org/officeDocument/2006/relationships/image" Target="media/image6.png"/><Relationship Id="rId13" Type="http://schemas.openxmlformats.org/officeDocument/2006/relationships/image" Target="media/image2.png"/><Relationship Id="rId12" Type="http://schemas.openxmlformats.org/officeDocument/2006/relationships/image" Target="media/image8.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14"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5.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