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B44C3" w14:textId="77777777" w:rsidR="009B442D" w:rsidRDefault="009B442D">
      <w:pPr>
        <w:pStyle w:val="Normal1"/>
        <w:jc w:val="center"/>
        <w:rPr>
          <w:b/>
          <w:sz w:val="32"/>
          <w:szCs w:val="32"/>
        </w:rPr>
      </w:pPr>
    </w:p>
    <w:p w14:paraId="05A9E148" w14:textId="77777777" w:rsidR="009B442D" w:rsidRDefault="009B442D">
      <w:pPr>
        <w:pStyle w:val="Normal1"/>
        <w:jc w:val="center"/>
        <w:rPr>
          <w:b/>
          <w:sz w:val="32"/>
          <w:szCs w:val="32"/>
        </w:rPr>
      </w:pPr>
    </w:p>
    <w:p w14:paraId="613444F8" w14:textId="77777777" w:rsidR="009B442D" w:rsidRDefault="009B442D">
      <w:pPr>
        <w:pStyle w:val="Normal1"/>
        <w:jc w:val="center"/>
        <w:rPr>
          <w:b/>
          <w:sz w:val="32"/>
          <w:szCs w:val="32"/>
        </w:rPr>
      </w:pPr>
    </w:p>
    <w:p w14:paraId="2D46D8AE" w14:textId="77777777" w:rsidR="009B442D" w:rsidRDefault="009B442D">
      <w:pPr>
        <w:pStyle w:val="Normal1"/>
        <w:jc w:val="center"/>
        <w:rPr>
          <w:b/>
          <w:sz w:val="32"/>
          <w:szCs w:val="32"/>
        </w:rPr>
      </w:pPr>
    </w:p>
    <w:p w14:paraId="11F344FC" w14:textId="77777777" w:rsidR="009B442D" w:rsidRDefault="009B442D">
      <w:pPr>
        <w:pStyle w:val="Normal1"/>
        <w:jc w:val="center"/>
        <w:rPr>
          <w:b/>
          <w:sz w:val="32"/>
          <w:szCs w:val="32"/>
        </w:rPr>
      </w:pPr>
    </w:p>
    <w:p w14:paraId="3CAA2CBF" w14:textId="77777777" w:rsidR="009B442D" w:rsidRDefault="009B442D">
      <w:pPr>
        <w:pStyle w:val="Normal1"/>
        <w:jc w:val="center"/>
        <w:rPr>
          <w:b/>
          <w:sz w:val="32"/>
          <w:szCs w:val="32"/>
        </w:rPr>
      </w:pPr>
    </w:p>
    <w:p w14:paraId="678373E0" w14:textId="77777777" w:rsidR="009B442D" w:rsidRDefault="009B442D">
      <w:pPr>
        <w:pStyle w:val="Normal1"/>
        <w:jc w:val="center"/>
        <w:rPr>
          <w:b/>
          <w:sz w:val="32"/>
          <w:szCs w:val="32"/>
        </w:rPr>
      </w:pPr>
    </w:p>
    <w:p w14:paraId="39014612" w14:textId="77777777" w:rsidR="009B442D" w:rsidRDefault="009B442D">
      <w:pPr>
        <w:pStyle w:val="Normal1"/>
        <w:jc w:val="center"/>
        <w:rPr>
          <w:b/>
          <w:sz w:val="32"/>
          <w:szCs w:val="32"/>
        </w:rPr>
      </w:pPr>
    </w:p>
    <w:p w14:paraId="00E9F763" w14:textId="77777777" w:rsidR="009B442D" w:rsidRDefault="009B442D">
      <w:pPr>
        <w:pStyle w:val="Normal1"/>
        <w:jc w:val="center"/>
        <w:rPr>
          <w:b/>
          <w:sz w:val="32"/>
          <w:szCs w:val="32"/>
        </w:rPr>
      </w:pPr>
    </w:p>
    <w:p w14:paraId="2AC43216" w14:textId="77777777" w:rsidR="009B442D" w:rsidRDefault="009B442D">
      <w:pPr>
        <w:pStyle w:val="Normal1"/>
        <w:jc w:val="center"/>
        <w:rPr>
          <w:b/>
          <w:sz w:val="32"/>
          <w:szCs w:val="32"/>
        </w:rPr>
      </w:pPr>
    </w:p>
    <w:p w14:paraId="43C23469" w14:textId="77777777" w:rsidR="009B442D" w:rsidRDefault="00000000">
      <w:pPr>
        <w:pStyle w:val="Normal1"/>
        <w:jc w:val="center"/>
        <w:rPr>
          <w:b/>
          <w:sz w:val="32"/>
          <w:szCs w:val="32"/>
        </w:rPr>
      </w:pPr>
      <w:r>
        <w:rPr>
          <w:b/>
          <w:sz w:val="32"/>
          <w:szCs w:val="32"/>
        </w:rPr>
        <w:t>International Financial Management</w:t>
      </w:r>
    </w:p>
    <w:p w14:paraId="0C616AE4" w14:textId="77777777" w:rsidR="009B442D" w:rsidRDefault="00000000">
      <w:pPr>
        <w:pStyle w:val="Normal1"/>
        <w:jc w:val="center"/>
        <w:rPr>
          <w:b/>
          <w:sz w:val="32"/>
          <w:szCs w:val="32"/>
        </w:rPr>
      </w:pPr>
      <w:r>
        <w:rPr>
          <w:b/>
          <w:sz w:val="32"/>
          <w:szCs w:val="32"/>
        </w:rPr>
        <w:t>LCBB6002</w:t>
      </w:r>
    </w:p>
    <w:p w14:paraId="7D9DA94D" w14:textId="404564EF" w:rsidR="00BC7501" w:rsidRDefault="00BC7501">
      <w:pPr>
        <w:pStyle w:val="Normal1"/>
        <w:jc w:val="center"/>
        <w:rPr>
          <w:b/>
          <w:sz w:val="32"/>
          <w:szCs w:val="32"/>
        </w:rPr>
      </w:pPr>
      <w:r>
        <w:rPr>
          <w:b/>
          <w:sz w:val="32"/>
          <w:szCs w:val="32"/>
        </w:rPr>
        <w:t>Student name: Dumitru Razvan Tudora</w:t>
      </w:r>
    </w:p>
    <w:p w14:paraId="01C7384A" w14:textId="701FEE74" w:rsidR="00BC7501" w:rsidRDefault="00BC7501">
      <w:pPr>
        <w:pStyle w:val="Normal1"/>
        <w:jc w:val="center"/>
        <w:rPr>
          <w:b/>
          <w:sz w:val="32"/>
          <w:szCs w:val="32"/>
        </w:rPr>
      </w:pPr>
      <w:r>
        <w:rPr>
          <w:b/>
          <w:sz w:val="32"/>
          <w:szCs w:val="32"/>
        </w:rPr>
        <w:t>Student ID: 1913294</w:t>
      </w:r>
    </w:p>
    <w:p w14:paraId="65313B73" w14:textId="41D8BFDC" w:rsidR="00C37663" w:rsidRDefault="00C37663">
      <w:pPr>
        <w:pStyle w:val="Normal1"/>
        <w:jc w:val="center"/>
        <w:rPr>
          <w:b/>
          <w:sz w:val="32"/>
          <w:szCs w:val="32"/>
        </w:rPr>
      </w:pPr>
      <w:r>
        <w:rPr>
          <w:b/>
          <w:sz w:val="32"/>
          <w:szCs w:val="32"/>
        </w:rPr>
        <w:t>BP</w:t>
      </w:r>
    </w:p>
    <w:p w14:paraId="104E543E" w14:textId="77777777" w:rsidR="009B442D" w:rsidRDefault="00000000">
      <w:pPr>
        <w:pStyle w:val="Normal1"/>
        <w:jc w:val="left"/>
        <w:rPr>
          <w:b/>
          <w:sz w:val="32"/>
          <w:szCs w:val="32"/>
        </w:rPr>
      </w:pPr>
      <w:r>
        <w:br w:type="page"/>
      </w:r>
    </w:p>
    <w:p w14:paraId="280296D5" w14:textId="77777777" w:rsidR="009B442D" w:rsidRDefault="00000000">
      <w:pPr>
        <w:pStyle w:val="Normal1"/>
        <w:jc w:val="center"/>
      </w:pPr>
      <w:r>
        <w:rPr>
          <w:b/>
          <w:sz w:val="32"/>
          <w:szCs w:val="32"/>
        </w:rPr>
        <w:lastRenderedPageBreak/>
        <w:t>Table Of Contents</w:t>
      </w:r>
    </w:p>
    <w:sdt>
      <w:sdtPr>
        <w:id w:val="1226659846"/>
        <w:docPartObj>
          <w:docPartGallery w:val="Table of Contents"/>
          <w:docPartUnique/>
        </w:docPartObj>
      </w:sdtPr>
      <w:sdtContent>
        <w:p w14:paraId="066127B9" w14:textId="77777777" w:rsidR="009B442D" w:rsidRDefault="00000000">
          <w:pPr>
            <w:pStyle w:val="Normal1"/>
            <w:widowControl w:val="0"/>
            <w:tabs>
              <w:tab w:val="right" w:leader="dot" w:pos="9025"/>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qxsqxtlt8ln9">
            <w:r>
              <w:rPr>
                <w:b/>
                <w:color w:val="000000"/>
              </w:rPr>
              <w:t>Introduction</w:t>
            </w:r>
            <w:r>
              <w:rPr>
                <w:b/>
                <w:color w:val="000000"/>
              </w:rPr>
              <w:tab/>
            </w:r>
          </w:hyperlink>
          <w:r>
            <w:fldChar w:fldCharType="begin"/>
          </w:r>
          <w:r>
            <w:instrText xml:space="preserve"> PAGEREF _qxsqxtlt8ln9 \h </w:instrText>
          </w:r>
          <w:r>
            <w:fldChar w:fldCharType="separate"/>
          </w:r>
          <w:r>
            <w:rPr>
              <w:b/>
            </w:rPr>
            <w:t>3</w:t>
          </w:r>
          <w:r>
            <w:fldChar w:fldCharType="end"/>
          </w:r>
        </w:p>
        <w:p w14:paraId="583D9C7A" w14:textId="77777777" w:rsidR="009B442D" w:rsidRDefault="00000000">
          <w:pPr>
            <w:pStyle w:val="Normal1"/>
            <w:widowControl w:val="0"/>
            <w:tabs>
              <w:tab w:val="right" w:leader="dot" w:pos="9025"/>
            </w:tabs>
            <w:spacing w:before="60"/>
            <w:jc w:val="left"/>
            <w:rPr>
              <w:b/>
              <w:color w:val="000000"/>
            </w:rPr>
          </w:pPr>
          <w:hyperlink w:anchor="_1h4b3iz6dnjr">
            <w:r>
              <w:rPr>
                <w:b/>
                <w:color w:val="000000"/>
              </w:rPr>
              <w:t>1) Critically analyses reasons why BP Corporation internationalized</w:t>
            </w:r>
            <w:r>
              <w:rPr>
                <w:b/>
                <w:color w:val="000000"/>
              </w:rPr>
              <w:tab/>
            </w:r>
          </w:hyperlink>
          <w:r>
            <w:fldChar w:fldCharType="begin"/>
          </w:r>
          <w:r>
            <w:instrText xml:space="preserve"> PAGEREF _1h4b3iz6dnjr \h </w:instrText>
          </w:r>
          <w:r>
            <w:fldChar w:fldCharType="separate"/>
          </w:r>
          <w:r>
            <w:rPr>
              <w:b/>
            </w:rPr>
            <w:t>3</w:t>
          </w:r>
          <w:r>
            <w:fldChar w:fldCharType="end"/>
          </w:r>
        </w:p>
        <w:p w14:paraId="4EA8DDF8" w14:textId="77777777" w:rsidR="009B442D" w:rsidRDefault="00000000">
          <w:pPr>
            <w:pStyle w:val="Normal1"/>
            <w:widowControl w:val="0"/>
            <w:tabs>
              <w:tab w:val="right" w:leader="dot" w:pos="9025"/>
            </w:tabs>
            <w:spacing w:before="60"/>
            <w:jc w:val="left"/>
            <w:rPr>
              <w:b/>
              <w:color w:val="000000"/>
            </w:rPr>
          </w:pPr>
          <w:hyperlink w:anchor="_yln6t9xipyf">
            <w:r>
              <w:rPr>
                <w:b/>
                <w:color w:val="000000"/>
              </w:rPr>
              <w:t>2) Critically analyses how country risks may affect BP’s investments opportunities in host countries;</w:t>
            </w:r>
            <w:r>
              <w:rPr>
                <w:b/>
                <w:color w:val="000000"/>
              </w:rPr>
              <w:tab/>
            </w:r>
          </w:hyperlink>
          <w:r>
            <w:fldChar w:fldCharType="begin"/>
          </w:r>
          <w:r>
            <w:instrText xml:space="preserve"> PAGEREF _yln6t9xipyf \h </w:instrText>
          </w:r>
          <w:r>
            <w:fldChar w:fldCharType="separate"/>
          </w:r>
          <w:r>
            <w:rPr>
              <w:b/>
            </w:rPr>
            <w:t>4</w:t>
          </w:r>
          <w:r>
            <w:fldChar w:fldCharType="end"/>
          </w:r>
        </w:p>
        <w:p w14:paraId="3F585147" w14:textId="084115BC" w:rsidR="009B442D" w:rsidRDefault="00000000">
          <w:pPr>
            <w:pStyle w:val="Normal1"/>
            <w:widowControl w:val="0"/>
            <w:tabs>
              <w:tab w:val="right" w:leader="dot" w:pos="9025"/>
            </w:tabs>
            <w:spacing w:before="60"/>
            <w:jc w:val="left"/>
            <w:rPr>
              <w:b/>
              <w:color w:val="000000"/>
            </w:rPr>
          </w:pPr>
          <w:hyperlink w:anchor="_z2tlcsj0e0k5">
            <w:r>
              <w:rPr>
                <w:b/>
                <w:color w:val="000000"/>
              </w:rPr>
              <w:t xml:space="preserve">3) Critically analyses and </w:t>
            </w:r>
            <w:r w:rsidR="00FB2237">
              <w:rPr>
                <w:b/>
                <w:color w:val="000000"/>
              </w:rPr>
              <w:t>estimation</w:t>
            </w:r>
            <w:r>
              <w:rPr>
                <w:b/>
                <w:color w:val="000000"/>
              </w:rPr>
              <w:t xml:space="preserve">s BP Corporation’s </w:t>
            </w:r>
            <w:r w:rsidR="00FB2237">
              <w:rPr>
                <w:b/>
                <w:color w:val="000000"/>
              </w:rPr>
              <w:t>point</w:t>
            </w:r>
            <w:r>
              <w:rPr>
                <w:b/>
                <w:color w:val="000000"/>
              </w:rPr>
              <w:t xml:space="preserve"> of finance</w:t>
            </w:r>
            <w:r>
              <w:rPr>
                <w:b/>
                <w:color w:val="000000"/>
              </w:rPr>
              <w:tab/>
            </w:r>
          </w:hyperlink>
          <w:r>
            <w:fldChar w:fldCharType="begin"/>
          </w:r>
          <w:r>
            <w:instrText xml:space="preserve"> PAGEREF _z2tlcsj0e0k5 \h </w:instrText>
          </w:r>
          <w:r>
            <w:fldChar w:fldCharType="separate"/>
          </w:r>
          <w:r>
            <w:rPr>
              <w:b/>
            </w:rPr>
            <w:t>5</w:t>
          </w:r>
          <w:r>
            <w:fldChar w:fldCharType="end"/>
          </w:r>
        </w:p>
        <w:p w14:paraId="3A32F6FF" w14:textId="1073BF35" w:rsidR="009B442D" w:rsidRDefault="00000000">
          <w:pPr>
            <w:pStyle w:val="Normal1"/>
            <w:widowControl w:val="0"/>
            <w:tabs>
              <w:tab w:val="right" w:leader="dot" w:pos="9025"/>
            </w:tabs>
            <w:spacing w:before="60"/>
            <w:jc w:val="left"/>
            <w:rPr>
              <w:b/>
              <w:color w:val="000000"/>
            </w:rPr>
          </w:pPr>
          <w:hyperlink w:anchor="_o6jcqi1k9bpv">
            <w:r>
              <w:rPr>
                <w:b/>
                <w:color w:val="000000"/>
              </w:rPr>
              <w:t xml:space="preserve">4) Critically analyses and </w:t>
            </w:r>
            <w:r w:rsidR="00FB2237">
              <w:rPr>
                <w:b/>
                <w:color w:val="000000"/>
              </w:rPr>
              <w:t>estimation</w:t>
            </w:r>
            <w:r>
              <w:rPr>
                <w:b/>
                <w:color w:val="000000"/>
              </w:rPr>
              <w:t>s the strategies that BP corporation has adopted in managing their financial risks;</w:t>
            </w:r>
            <w:r>
              <w:rPr>
                <w:b/>
                <w:color w:val="000000"/>
              </w:rPr>
              <w:tab/>
            </w:r>
          </w:hyperlink>
          <w:r>
            <w:fldChar w:fldCharType="begin"/>
          </w:r>
          <w:r>
            <w:instrText xml:space="preserve"> PAGEREF _o6jcqi1k9bpv \h </w:instrText>
          </w:r>
          <w:r>
            <w:fldChar w:fldCharType="separate"/>
          </w:r>
          <w:r>
            <w:rPr>
              <w:b/>
            </w:rPr>
            <w:t>7</w:t>
          </w:r>
          <w:r>
            <w:fldChar w:fldCharType="end"/>
          </w:r>
        </w:p>
        <w:p w14:paraId="503A652F" w14:textId="644B86EE" w:rsidR="009B442D" w:rsidRDefault="00000000">
          <w:pPr>
            <w:pStyle w:val="Normal1"/>
            <w:widowControl w:val="0"/>
            <w:tabs>
              <w:tab w:val="right" w:leader="dot" w:pos="9025"/>
            </w:tabs>
            <w:spacing w:before="60"/>
            <w:jc w:val="left"/>
            <w:rPr>
              <w:b/>
              <w:color w:val="000000"/>
            </w:rPr>
          </w:pPr>
          <w:hyperlink w:anchor="_dq7mzqehyeto">
            <w:r>
              <w:rPr>
                <w:b/>
                <w:color w:val="000000"/>
              </w:rPr>
              <w:t xml:space="preserve">5) Critically analyses and </w:t>
            </w:r>
            <w:r w:rsidR="00FB2237">
              <w:rPr>
                <w:b/>
                <w:color w:val="000000"/>
              </w:rPr>
              <w:t>estimation</w:t>
            </w:r>
            <w:r>
              <w:rPr>
                <w:b/>
                <w:color w:val="000000"/>
              </w:rPr>
              <w:t>s the effectiveness of issuing stocks internationally by BP Corporation in financing projects</w:t>
            </w:r>
            <w:r>
              <w:rPr>
                <w:b/>
                <w:color w:val="000000"/>
              </w:rPr>
              <w:tab/>
            </w:r>
          </w:hyperlink>
          <w:r>
            <w:fldChar w:fldCharType="begin"/>
          </w:r>
          <w:r>
            <w:instrText xml:space="preserve"> PAGEREF _dq7mzqehyeto \h </w:instrText>
          </w:r>
          <w:r>
            <w:fldChar w:fldCharType="separate"/>
          </w:r>
          <w:r>
            <w:rPr>
              <w:b/>
            </w:rPr>
            <w:t>8</w:t>
          </w:r>
          <w:r>
            <w:fldChar w:fldCharType="end"/>
          </w:r>
        </w:p>
        <w:p w14:paraId="6B48A007" w14:textId="77777777" w:rsidR="009B442D" w:rsidRDefault="00000000">
          <w:pPr>
            <w:pStyle w:val="Normal1"/>
            <w:widowControl w:val="0"/>
            <w:tabs>
              <w:tab w:val="right" w:leader="dot" w:pos="9025"/>
            </w:tabs>
            <w:spacing w:before="60"/>
            <w:jc w:val="left"/>
            <w:rPr>
              <w:b/>
              <w:color w:val="000000"/>
            </w:rPr>
          </w:pPr>
          <w:hyperlink w:anchor="_icuke2lgm6r4">
            <w:r>
              <w:rPr>
                <w:b/>
                <w:color w:val="000000"/>
              </w:rPr>
              <w:t>Recommendation</w:t>
            </w:r>
            <w:r>
              <w:rPr>
                <w:b/>
                <w:color w:val="000000"/>
              </w:rPr>
              <w:tab/>
            </w:r>
          </w:hyperlink>
          <w:r>
            <w:fldChar w:fldCharType="begin"/>
          </w:r>
          <w:r>
            <w:instrText xml:space="preserve"> PAGEREF _icuke2lgm6r4 \h </w:instrText>
          </w:r>
          <w:r>
            <w:fldChar w:fldCharType="separate"/>
          </w:r>
          <w:r>
            <w:rPr>
              <w:b/>
            </w:rPr>
            <w:t>9</w:t>
          </w:r>
          <w:r>
            <w:fldChar w:fldCharType="end"/>
          </w:r>
        </w:p>
        <w:p w14:paraId="5C301238" w14:textId="77777777" w:rsidR="009B442D" w:rsidRDefault="00000000">
          <w:pPr>
            <w:pStyle w:val="Normal1"/>
            <w:widowControl w:val="0"/>
            <w:tabs>
              <w:tab w:val="right" w:leader="dot" w:pos="9025"/>
            </w:tabs>
            <w:spacing w:before="60"/>
            <w:jc w:val="left"/>
            <w:rPr>
              <w:b/>
              <w:color w:val="000000"/>
            </w:rPr>
          </w:pPr>
          <w:hyperlink w:anchor="_16ajg7fvx5cn">
            <w:r>
              <w:rPr>
                <w:b/>
                <w:color w:val="000000"/>
              </w:rPr>
              <w:t>Conclusion</w:t>
            </w:r>
            <w:r>
              <w:rPr>
                <w:b/>
                <w:color w:val="000000"/>
              </w:rPr>
              <w:tab/>
            </w:r>
          </w:hyperlink>
          <w:r>
            <w:fldChar w:fldCharType="begin"/>
          </w:r>
          <w:r>
            <w:instrText xml:space="preserve"> PAGEREF _16ajg7fvx5cn \h </w:instrText>
          </w:r>
          <w:r>
            <w:fldChar w:fldCharType="separate"/>
          </w:r>
          <w:r>
            <w:rPr>
              <w:b/>
            </w:rPr>
            <w:t>9</w:t>
          </w:r>
          <w:r>
            <w:fldChar w:fldCharType="end"/>
          </w:r>
        </w:p>
        <w:p w14:paraId="3B37DAEA" w14:textId="77777777" w:rsidR="009B442D" w:rsidRDefault="00000000">
          <w:pPr>
            <w:pStyle w:val="Normal1"/>
            <w:widowControl w:val="0"/>
            <w:tabs>
              <w:tab w:val="right" w:leader="dot" w:pos="9025"/>
            </w:tabs>
            <w:spacing w:before="60"/>
            <w:jc w:val="left"/>
            <w:rPr>
              <w:b/>
              <w:color w:val="000000"/>
            </w:rPr>
          </w:pPr>
          <w:hyperlink w:anchor="_64vwjb273xzn">
            <w:r>
              <w:rPr>
                <w:b/>
                <w:color w:val="000000"/>
              </w:rPr>
              <w:t>Reference</w:t>
            </w:r>
            <w:r>
              <w:rPr>
                <w:b/>
                <w:color w:val="000000"/>
              </w:rPr>
              <w:tab/>
            </w:r>
          </w:hyperlink>
          <w:r>
            <w:fldChar w:fldCharType="begin"/>
          </w:r>
          <w:r>
            <w:instrText xml:space="preserve"> PAGEREF _64vwjb273xzn \h </w:instrText>
          </w:r>
          <w:r>
            <w:fldChar w:fldCharType="separate"/>
          </w:r>
          <w:r>
            <w:rPr>
              <w:b/>
            </w:rPr>
            <w:t>10</w:t>
          </w:r>
          <w:r>
            <w:fldChar w:fldCharType="end"/>
          </w:r>
          <w:r>
            <w:fldChar w:fldCharType="end"/>
          </w:r>
        </w:p>
      </w:sdtContent>
    </w:sdt>
    <w:p w14:paraId="68D6246A" w14:textId="77777777" w:rsidR="009B442D" w:rsidRDefault="00000000">
      <w:pPr>
        <w:pStyle w:val="Normal1"/>
        <w:jc w:val="center"/>
      </w:pPr>
      <w:r>
        <w:br w:type="page"/>
      </w:r>
    </w:p>
    <w:p w14:paraId="7A3FD570" w14:textId="77777777" w:rsidR="009B442D" w:rsidRDefault="00000000">
      <w:pPr>
        <w:pStyle w:val="Heading1"/>
      </w:pPr>
      <w:bookmarkStart w:id="0" w:name="_qxsqxtlt8ln9" w:colFirst="0" w:colLast="0"/>
      <w:bookmarkEnd w:id="0"/>
      <w:r>
        <w:lastRenderedPageBreak/>
        <w:t>Introduction</w:t>
      </w:r>
    </w:p>
    <w:p w14:paraId="7DEC2F35" w14:textId="25AD215E" w:rsidR="009B442D" w:rsidRDefault="00000000">
      <w:pPr>
        <w:pStyle w:val="Normal1"/>
      </w:pPr>
      <w:r>
        <w:t xml:space="preserve">British Petroleum is </w:t>
      </w:r>
      <w:r w:rsidR="00FB2237">
        <w:t xml:space="preserve"> </w:t>
      </w:r>
      <w:r>
        <w:t xml:space="preserve">bigger </w:t>
      </w:r>
      <w:r w:rsidR="00FB2237">
        <w:t>organisation</w:t>
      </w:r>
      <w:r>
        <w:t xml:space="preserve">in the whole </w:t>
      </w:r>
      <w:r w:rsidR="00FB2237">
        <w:t>globe</w:t>
      </w:r>
      <w:r>
        <w:t xml:space="preserve"> with better-rated business </w:t>
      </w:r>
      <w:r w:rsidR="00FB2237">
        <w:t>based</w:t>
      </w:r>
      <w:r>
        <w:t xml:space="preserve">s </w:t>
      </w:r>
      <w:r w:rsidR="00FB2237">
        <w:t>more than</w:t>
      </w:r>
      <w:r>
        <w:t xml:space="preserve"> the hydrocarbon-based </w:t>
      </w:r>
      <w:r w:rsidR="00FB2237">
        <w:t>chain of values</w:t>
      </w:r>
      <w:r>
        <w:t xml:space="preserve"> system. This method has gained investments and many </w:t>
      </w:r>
      <w:r w:rsidR="00FB2237">
        <w:t>tasks</w:t>
      </w:r>
      <w:r>
        <w:t xml:space="preserve">s in more than 80 nations and an asset-based valuation of 305 million. This is the </w:t>
      </w:r>
      <w:r w:rsidR="00FB2237">
        <w:t>3rd</w:t>
      </w:r>
      <w:r>
        <w:t xml:space="preserve">-largest oil and gas industry in the </w:t>
      </w:r>
      <w:r w:rsidR="00FB2237">
        <w:t>globe</w:t>
      </w:r>
      <w:r>
        <w:t xml:space="preserve">. The </w:t>
      </w:r>
      <w:r w:rsidR="00FB2237">
        <w:t>organisation</w:t>
      </w:r>
      <w:r>
        <w:t xml:space="preserve"> markets the products of the </w:t>
      </w:r>
      <w:r w:rsidR="00FB2237">
        <w:t>organisation</w:t>
      </w:r>
      <w:r>
        <w:t xml:space="preserve">’s brand name which is BP, Castrol, or Aral. In addition to this, the organization also had two more brands which are AMPM and Wild Bean Cafe. At the end of the year, the </w:t>
      </w:r>
      <w:r w:rsidR="00FB2237">
        <w:t>organisation</w:t>
      </w:r>
      <w:r>
        <w:t xml:space="preserve"> operates in more than 80 nations and more than 84000 employees are working there. </w:t>
      </w:r>
    </w:p>
    <w:p w14:paraId="68DBF877" w14:textId="2207EB1A" w:rsidR="009B442D" w:rsidRDefault="00000000">
      <w:pPr>
        <w:pStyle w:val="Normal1"/>
        <w:rPr>
          <w:b/>
        </w:rPr>
      </w:pPr>
      <w:r>
        <w:t xml:space="preserve">In the method of the analysis, it can be seen that the method of the analysis is based on the international financial management of the British Petroleum </w:t>
      </w:r>
      <w:r w:rsidR="00FB2237">
        <w:t>Organisation</w:t>
      </w:r>
      <w:r>
        <w:t xml:space="preserve">. On the method of analysis, a critical analysis of the </w:t>
      </w:r>
      <w:r w:rsidR="00FB2237">
        <w:t>organisation</w:t>
      </w:r>
      <w:r>
        <w:t xml:space="preserve">'s internationalized method is going to be discussed. How the nation risks being affected by the investment opportunities in the host countries are needed to be discussed. A proper analysis of the </w:t>
      </w:r>
      <w:r w:rsidR="00FB2237">
        <w:t>organisation</w:t>
      </w:r>
      <w:r>
        <w:t xml:space="preserve"> analyses and </w:t>
      </w:r>
      <w:r w:rsidR="00FB2237">
        <w:t>estimation</w:t>
      </w:r>
      <w:r>
        <w:t xml:space="preserve">s the BP corporation's </w:t>
      </w:r>
      <w:r w:rsidR="00FB2237">
        <w:t>point</w:t>
      </w:r>
      <w:r>
        <w:t xml:space="preserve"> of finance is also going to be discussed. Proper analysis and evaluation of the strategies that the BP </w:t>
      </w:r>
      <w:r w:rsidR="00FB2237">
        <w:t>organisation</w:t>
      </w:r>
      <w:r>
        <w:t xml:space="preserve"> is also adopting in managing the financial risks are also going to be discussed. In the final stage, proper analysis and evaluation of the effectiveness of issuing the stocks globally in evaluating the effectiveness in issuing stocks globally By the BP </w:t>
      </w:r>
      <w:r w:rsidR="00FB2237">
        <w:t>organisation</w:t>
      </w:r>
      <w:r>
        <w:t xml:space="preserve"> also needed to be analyzed. In this process, a recommendation is also going to be provided. </w:t>
      </w:r>
    </w:p>
    <w:p w14:paraId="59D7E2F1" w14:textId="77777777" w:rsidR="009B442D" w:rsidRDefault="00000000">
      <w:pPr>
        <w:pStyle w:val="Heading1"/>
        <w:numPr>
          <w:ilvl w:val="0"/>
          <w:numId w:val="3"/>
        </w:numPr>
      </w:pPr>
      <w:bookmarkStart w:id="1" w:name="_1h4b3iz6dnjr" w:colFirst="0" w:colLast="0"/>
      <w:bookmarkEnd w:id="1"/>
      <w:r>
        <w:t>Critically analyses reasons why BP Corporation internationalized</w:t>
      </w:r>
    </w:p>
    <w:p w14:paraId="4A2A1F1A" w14:textId="00822AB3" w:rsidR="009B442D" w:rsidRDefault="00000000">
      <w:pPr>
        <w:pStyle w:val="Normal1"/>
      </w:pPr>
      <w:r>
        <w:t xml:space="preserve"> The oil and gas production is expecting a reduction of at least one million barrels of oil in a day. In the levels of 2019. The Anglo-Persian Oil </w:t>
      </w:r>
      <w:r w:rsidR="00FB2237">
        <w:t>organisation</w:t>
      </w:r>
      <w:r>
        <w:t xml:space="preserve"> was mainly formed to take over the finance in </w:t>
      </w:r>
      <w:r w:rsidRPr="00BC7501">
        <w:rPr>
          <w:bCs/>
        </w:rPr>
        <w:t>getting</w:t>
      </w:r>
      <w:r>
        <w:rPr>
          <w:b/>
        </w:rPr>
        <w:t xml:space="preserve"> </w:t>
      </w:r>
      <w:r>
        <w:t xml:space="preserve">by the Iranian government to English investors. At </w:t>
      </w:r>
      <w:r w:rsidR="00FB2237">
        <w:t>1st</w:t>
      </w:r>
      <w:r>
        <w:t xml:space="preserve">, it was mainly drilled and mainly refining built at Abadan. Since 1980 the </w:t>
      </w:r>
      <w:r w:rsidR="00FB2237">
        <w:t>organisation</w:t>
      </w:r>
      <w:r>
        <w:t xml:space="preserve"> has been making oil from the northern sea fields. Most of the </w:t>
      </w:r>
      <w:r w:rsidR="00FB2237">
        <w:t>based</w:t>
      </w:r>
      <w:r>
        <w:t xml:space="preserve">s are in the Prudhoe Bay of Alaska in America. Most of the </w:t>
      </w:r>
      <w:r w:rsidR="00FB2237">
        <w:t>based</w:t>
      </w:r>
      <w:r>
        <w:t xml:space="preserve"> is in the UK where it was made in 1965. In 1970 the </w:t>
      </w:r>
      <w:r w:rsidR="00FB2237">
        <w:t>organisation</w:t>
      </w:r>
      <w:r>
        <w:t xml:space="preserve"> merged its assets with the standard </w:t>
      </w:r>
      <w:r w:rsidR="00FB2237">
        <w:t>organisation</w:t>
      </w:r>
      <w:r>
        <w:t xml:space="preserve"> in Ohio. The </w:t>
      </w:r>
      <w:r w:rsidR="00FB2237">
        <w:t>1st</w:t>
      </w:r>
      <w:r>
        <w:t xml:space="preserve"> oil wells were drilled at Masjed Soleyman. </w:t>
      </w:r>
    </w:p>
    <w:p w14:paraId="4CF80355" w14:textId="77777777" w:rsidR="009B442D" w:rsidRDefault="00000000">
      <w:pPr>
        <w:pStyle w:val="Normal1"/>
        <w:rPr>
          <w:b/>
        </w:rPr>
      </w:pPr>
      <w:r>
        <w:rPr>
          <w:b/>
        </w:rPr>
        <w:t>Integrating energy systems</w:t>
      </w:r>
    </w:p>
    <w:p w14:paraId="61A4BA61" w14:textId="6A314149" w:rsidR="009B442D" w:rsidRDefault="00000000">
      <w:pPr>
        <w:pStyle w:val="Normal1"/>
      </w:pPr>
      <w:r>
        <w:t xml:space="preserve">A ten-fold increasing rate in lower carbon investments by the year 2030. Which is going to be an 8-fold improvement in the year 2025. In the method of partnering with much more than ten to fifteen nations. In the method of decarbonization efforts and making the customer interactions about twenty million per day. The process of harnessing the collective capabilities </w:t>
      </w:r>
      <w:r>
        <w:lastRenderedPageBreak/>
        <w:t xml:space="preserve">as the energy systems transition is discussed. in helping more the customers of the organizations. That is why the </w:t>
      </w:r>
      <w:r w:rsidR="00FB2237">
        <w:t>organisation</w:t>
      </w:r>
      <w:r>
        <w:t xml:space="preserve"> makes creative valuations for the shareholders of the organization (Bp, 2023).</w:t>
      </w:r>
    </w:p>
    <w:p w14:paraId="078F07AA" w14:textId="77777777" w:rsidR="009B442D" w:rsidRDefault="00000000">
      <w:pPr>
        <w:pStyle w:val="Normal1"/>
        <w:rPr>
          <w:b/>
        </w:rPr>
      </w:pPr>
      <w:r>
        <w:rPr>
          <w:b/>
        </w:rPr>
        <w:t>Partnering with the organization, industries, and cities</w:t>
      </w:r>
    </w:p>
    <w:p w14:paraId="1525B1DE" w14:textId="3B746389" w:rsidR="009B442D" w:rsidRDefault="00000000">
      <w:pPr>
        <w:pStyle w:val="Normal1"/>
      </w:pPr>
      <w:r>
        <w:t xml:space="preserve">In the process of leveraging the connection and making the latest partnership. The organization is targeting mobile solutions and integrated energies in helping the organizations. It states in lowering the carbon rate that helps the organization in spreading through various spread out that leads to internationalization. In ten years the </w:t>
      </w:r>
      <w:r w:rsidR="00FB2237">
        <w:t>organisation</w:t>
      </w:r>
      <w:r>
        <w:t xml:space="preserve"> is targeting a yearly low investment tenfold. It is five billion a year which makes up an integrated portfolio of </w:t>
      </w:r>
      <w:r w:rsidR="00FB2237">
        <w:t>lower rated carbon</w:t>
      </w:r>
      <w:r>
        <w:t xml:space="preserve"> technologies. This included </w:t>
      </w:r>
      <w:r w:rsidR="00FB2237">
        <w:t>better</w:t>
      </w:r>
      <w:r>
        <w:t xml:space="preserve">' early positions and the bioenergy in hydrogen and CCUS. In 2030 this is mainly aiming to develop about 50GW of net renewable-making capacities. In partnering with organizations, cities, and industries helping strengthen it. After weeks the nation Russia annexed Crimea in the year 2014 the gas and oil sector was turning into a force in the forum of St Petersburg International Economic Sector (Thomas, 2022). </w:t>
      </w:r>
    </w:p>
    <w:p w14:paraId="62255276" w14:textId="4DD9BAC2" w:rsidR="009B442D" w:rsidRDefault="00000000">
      <w:pPr>
        <w:pStyle w:val="Normal1"/>
      </w:pPr>
      <w:r>
        <w:t xml:space="preserve">The strategy is building in three main elements in the activities and some of the three main </w:t>
      </w:r>
      <w:r w:rsidR="00FB2237">
        <w:t>point</w:t>
      </w:r>
      <w:r>
        <w:t xml:space="preserve"> of differentiation. In the process of underpinning the latest sustainability advocacies and frames for the policies which are supported with net zero. In the process of focusing, they are much lower in having a low carbon emitted efficiency. Mobility and resilience are also focused on the hydrocarbons (Hsieh, 2020). </w:t>
      </w:r>
    </w:p>
    <w:p w14:paraId="4CD95747" w14:textId="77777777" w:rsidR="009B442D" w:rsidRDefault="00000000">
      <w:pPr>
        <w:pStyle w:val="Heading1"/>
        <w:numPr>
          <w:ilvl w:val="0"/>
          <w:numId w:val="3"/>
        </w:numPr>
      </w:pPr>
      <w:bookmarkStart w:id="2" w:name="_yln6t9xipyf" w:colFirst="0" w:colLast="0"/>
      <w:bookmarkEnd w:id="2"/>
      <w:r>
        <w:t>Critically analyses how country risks may affect BP’s investments opportunities in host countries;</w:t>
      </w:r>
    </w:p>
    <w:p w14:paraId="48F61389" w14:textId="77777777" w:rsidR="009B442D" w:rsidRDefault="00000000">
      <w:pPr>
        <w:pStyle w:val="Normal1"/>
        <w:rPr>
          <w:b/>
        </w:rPr>
      </w:pPr>
      <w:r>
        <w:rPr>
          <w:b/>
        </w:rPr>
        <w:t xml:space="preserve">Political Risks </w:t>
      </w:r>
    </w:p>
    <w:p w14:paraId="23585952" w14:textId="7C153B95" w:rsidR="009B442D" w:rsidRDefault="00000000">
      <w:pPr>
        <w:pStyle w:val="Normal1"/>
      </w:pPr>
      <w:r>
        <w:t xml:space="preserve">Political risks are also </w:t>
      </w:r>
      <w:r w:rsidR="00FB2237">
        <w:t xml:space="preserve"> </w:t>
      </w:r>
      <w:r>
        <w:t xml:space="preserve">major risks in operating in the </w:t>
      </w:r>
      <w:r w:rsidR="00FB2237">
        <w:t>organisation</w:t>
      </w:r>
      <w:r>
        <w:t xml:space="preserve">. This is going to carry some implications in the strategic path which is adopted by the management system as the outer sector has been pressured by political factors by the organization. The war between Russia and Ukraine is affecting the supply. The </w:t>
      </w:r>
      <w:r w:rsidR="00FB2237">
        <w:t>organisation</w:t>
      </w:r>
      <w:r>
        <w:t xml:space="preserve"> is mainly shared as 19%. Which can be moved to by the instigated Russian attack on Ukraine. </w:t>
      </w:r>
    </w:p>
    <w:p w14:paraId="0F675D82" w14:textId="77777777" w:rsidR="009B442D" w:rsidRDefault="00000000">
      <w:pPr>
        <w:pStyle w:val="Normal1"/>
        <w:rPr>
          <w:b/>
        </w:rPr>
      </w:pPr>
      <w:r>
        <w:rPr>
          <w:b/>
        </w:rPr>
        <w:t>Economic risks</w:t>
      </w:r>
    </w:p>
    <w:p w14:paraId="0B7AF8FB" w14:textId="4FAEA6F0" w:rsidR="009B442D" w:rsidRDefault="00000000">
      <w:pPr>
        <w:pStyle w:val="Normal1"/>
      </w:pPr>
      <w:r>
        <w:t xml:space="preserve">Based on an economic condition in a </w:t>
      </w:r>
      <w:r w:rsidR="00FB2237">
        <w:t>organisation</w:t>
      </w:r>
      <w:r>
        <w:t xml:space="preserve"> is mainly affecting the business which is performing in a particular way. When there is an economic decreasing rate in an organization (Adamkasi, 2023). In that sector, the organization is suffering losses. In the process of owning and changing the purchasing structures of the customers and the altering prices of the service and the raw materials. The </w:t>
      </w:r>
      <w:r w:rsidR="00FB2237">
        <w:t>organisation</w:t>
      </w:r>
      <w:r>
        <w:t xml:space="preserve"> faces various losses in the declining energy prices. The previous prior is 10 dollars which later dropped to 5 dollars, </w:t>
      </w:r>
    </w:p>
    <w:p w14:paraId="07AE63DE" w14:textId="77777777" w:rsidR="009B442D" w:rsidRDefault="00000000">
      <w:pPr>
        <w:pStyle w:val="Normal1"/>
        <w:rPr>
          <w:b/>
        </w:rPr>
      </w:pPr>
      <w:r>
        <w:rPr>
          <w:b/>
        </w:rPr>
        <w:lastRenderedPageBreak/>
        <w:t>Social risks</w:t>
      </w:r>
    </w:p>
    <w:p w14:paraId="4839F558" w14:textId="2E5F158F" w:rsidR="009B442D" w:rsidRDefault="00000000">
      <w:pPr>
        <w:pStyle w:val="Normal1"/>
      </w:pPr>
      <w:r>
        <w:t xml:space="preserve">Many issues like demographic variables and also the customers liking and direct preference as the </w:t>
      </w:r>
      <w:r w:rsidR="00FB2237">
        <w:t>organisation</w:t>
      </w:r>
      <w:r>
        <w:t xml:space="preserve"> need to align the needed consumers and the products in maintaining aba; lancer revenue and sales. These special issues are the reason for losing the customer base and the marketing shares. On the other hand, this affects in reducing the sales of the </w:t>
      </w:r>
      <w:r w:rsidR="00FB2237">
        <w:t>organisation</w:t>
      </w:r>
      <w:r>
        <w:t xml:space="preserve">'s preference for electrical vehicles which results in lower sales of vehicles. </w:t>
      </w:r>
    </w:p>
    <w:p w14:paraId="7286058F" w14:textId="77777777" w:rsidR="009B442D" w:rsidRDefault="00000000">
      <w:pPr>
        <w:pStyle w:val="Normal1"/>
        <w:rPr>
          <w:b/>
        </w:rPr>
      </w:pPr>
      <w:r>
        <w:rPr>
          <w:b/>
        </w:rPr>
        <w:t>Technological risks</w:t>
      </w:r>
    </w:p>
    <w:p w14:paraId="1A9041ED" w14:textId="34D7330C" w:rsidR="009B442D" w:rsidRDefault="00000000">
      <w:pPr>
        <w:pStyle w:val="Normal1"/>
      </w:pPr>
      <w:r>
        <w:t xml:space="preserve">Most of the organizations of the gas and oil sectors are based on the usage of technologies in properly running a business. In the method of evolving artificial intelligence, the </w:t>
      </w:r>
      <w:r w:rsidR="00FB2237">
        <w:t>organisation</w:t>
      </w:r>
      <w:r>
        <w:t xml:space="preserve"> is dependent heavily on technologies. In competing with the current evolving business competition the </w:t>
      </w:r>
      <w:r w:rsidR="00FB2237">
        <w:t>organisation</w:t>
      </w:r>
      <w:r>
        <w:t xml:space="preserve"> also needs to improve its technologies with the latest investments and it needs to improve the management system. It is mainly needed about the harmful effects on the environment. </w:t>
      </w:r>
    </w:p>
    <w:p w14:paraId="2B3DE80E" w14:textId="77777777" w:rsidR="009B442D" w:rsidRDefault="00000000">
      <w:pPr>
        <w:pStyle w:val="Normal1"/>
        <w:rPr>
          <w:b/>
        </w:rPr>
      </w:pPr>
      <w:r>
        <w:rPr>
          <w:b/>
        </w:rPr>
        <w:t>Legal Issues</w:t>
      </w:r>
    </w:p>
    <w:p w14:paraId="00FC3B74" w14:textId="627C71D8" w:rsidR="009B442D" w:rsidRDefault="00000000">
      <w:pPr>
        <w:pStyle w:val="Normal1"/>
      </w:pPr>
      <w:r>
        <w:t xml:space="preserve">The needed licensing is mainly permitting that it governs each of the activities of gas and oil companies. This </w:t>
      </w:r>
      <w:r w:rsidR="00FB2237">
        <w:t>organisation</w:t>
      </w:r>
      <w:r>
        <w:t xml:space="preserve"> is mainly bound by the Petroleum Act which is going to elaborate on the areas where the oil production is mainly producing </w:t>
      </w:r>
      <w:r w:rsidR="00FB2237">
        <w:t>operating</w:t>
      </w:r>
      <w:r>
        <w:t xml:space="preserve"> process after this has been a concern in protection entities. Rather than this, the </w:t>
      </w:r>
      <w:r w:rsidR="00FB2237">
        <w:t>organisation</w:t>
      </w:r>
      <w:r>
        <w:t xml:space="preserve"> is also attached to a nature protection act. </w:t>
      </w:r>
      <w:r>
        <w:tab/>
      </w:r>
    </w:p>
    <w:p w14:paraId="678186DD" w14:textId="77777777" w:rsidR="009B442D" w:rsidRDefault="00000000">
      <w:pPr>
        <w:pStyle w:val="Normal1"/>
      </w:pPr>
      <w:r>
        <w:rPr>
          <w:b/>
        </w:rPr>
        <w:t>Environmental Factors</w:t>
      </w:r>
    </w:p>
    <w:p w14:paraId="6F1FAF30" w14:textId="5A38692E" w:rsidR="009B442D" w:rsidRDefault="00000000">
      <w:pPr>
        <w:pStyle w:val="Normal1"/>
      </w:pPr>
      <w:r>
        <w:t xml:space="preserve">The </w:t>
      </w:r>
      <w:r w:rsidR="00FB2237">
        <w:t>organisation</w:t>
      </w:r>
      <w:r>
        <w:t xml:space="preserve"> is mainly needed to balance the lower carbon emission about the sustainable process with diligence. British Petroleum is using many latest technologies which is a better reduction method in the process of carbon emission. In the case of the Gulf oil spill case, the </w:t>
      </w:r>
      <w:r w:rsidR="00FB2237">
        <w:t>organisation</w:t>
      </w:r>
      <w:r>
        <w:t xml:space="preserve"> needed to give a fine of about 18.7bn. That is why this can be used in higher-regulated departments. </w:t>
      </w:r>
    </w:p>
    <w:p w14:paraId="2D90C71D" w14:textId="56925BBE" w:rsidR="009B442D" w:rsidRDefault="00000000">
      <w:pPr>
        <w:pStyle w:val="Heading1"/>
        <w:numPr>
          <w:ilvl w:val="0"/>
          <w:numId w:val="3"/>
        </w:numPr>
      </w:pPr>
      <w:bookmarkStart w:id="3" w:name="_z2tlcsj0e0k5" w:colFirst="0" w:colLast="0"/>
      <w:bookmarkEnd w:id="3"/>
      <w:r>
        <w:t xml:space="preserve">Critically analyses and </w:t>
      </w:r>
      <w:r w:rsidR="00FB2237">
        <w:t>estimation</w:t>
      </w:r>
      <w:r>
        <w:t xml:space="preserve">s BP Corporation’s </w:t>
      </w:r>
      <w:r w:rsidR="00FB2237">
        <w:t>point</w:t>
      </w:r>
      <w:r>
        <w:t xml:space="preserve"> of finance</w:t>
      </w:r>
    </w:p>
    <w:p w14:paraId="263374FC" w14:textId="2BE283D2" w:rsidR="009B442D" w:rsidRDefault="00000000">
      <w:pPr>
        <w:pStyle w:val="Normal1"/>
      </w:pPr>
      <w:r>
        <w:t xml:space="preserve">The </w:t>
      </w:r>
      <w:r w:rsidR="00FB2237">
        <w:t>point</w:t>
      </w:r>
      <w:r>
        <w:t xml:space="preserve"> of finance are </w:t>
      </w:r>
      <w:r w:rsidR="00FB2237">
        <w:t xml:space="preserve"> major</w:t>
      </w:r>
      <w:r>
        <w:t xml:space="preserve"> aspects of a business to operate their business. In simpler terms, the </w:t>
      </w:r>
      <w:r w:rsidR="00FB2237">
        <w:t>finance source</w:t>
      </w:r>
      <w:r>
        <w:t xml:space="preserve"> is the core of the business activities of a </w:t>
      </w:r>
      <w:r w:rsidR="00FB2237">
        <w:t>organisation</w:t>
      </w:r>
      <w:r>
        <w:t xml:space="preserve">. Because of this, this aspect is </w:t>
      </w:r>
      <w:r w:rsidR="00FB2237">
        <w:t>major</w:t>
      </w:r>
      <w:r>
        <w:t xml:space="preserve"> for a </w:t>
      </w:r>
      <w:r w:rsidR="00FB2237">
        <w:t>organisation</w:t>
      </w:r>
      <w:r>
        <w:t xml:space="preserve"> (Study Smarter US, 2023). It is also the same for BP Plc. They also have different types of finance </w:t>
      </w:r>
      <w:r w:rsidR="00FB2237">
        <w:t>point</w:t>
      </w:r>
      <w:r>
        <w:t xml:space="preserve"> to fuel their operating activities. The </w:t>
      </w:r>
      <w:r w:rsidR="00FB2237">
        <w:t>point</w:t>
      </w:r>
      <w:r>
        <w:t xml:space="preserve"> of finance can be divided into two different aspects. One of them is an internal </w:t>
      </w:r>
      <w:r w:rsidR="00FB2237">
        <w:t>finance source</w:t>
      </w:r>
      <w:r>
        <w:t xml:space="preserve"> and the other one of an external </w:t>
      </w:r>
      <w:r w:rsidR="00FB2237">
        <w:t>finance source</w:t>
      </w:r>
      <w:r>
        <w:t>. Those two aspects of BP Plc are discussed below.</w:t>
      </w:r>
    </w:p>
    <w:p w14:paraId="1F1BAC09" w14:textId="7B1B2654" w:rsidR="009B442D" w:rsidRDefault="00000000">
      <w:pPr>
        <w:pStyle w:val="Normal1"/>
        <w:rPr>
          <w:b/>
        </w:rPr>
      </w:pPr>
      <w:r>
        <w:rPr>
          <w:b/>
        </w:rPr>
        <w:t xml:space="preserve">The internal </w:t>
      </w:r>
      <w:r w:rsidR="00FB2237">
        <w:rPr>
          <w:b/>
        </w:rPr>
        <w:t>finance source</w:t>
      </w:r>
      <w:r>
        <w:rPr>
          <w:b/>
        </w:rPr>
        <w:t xml:space="preserve"> of BP Plc</w:t>
      </w:r>
    </w:p>
    <w:p w14:paraId="03A38980" w14:textId="4D6734F8" w:rsidR="009B442D" w:rsidRDefault="00000000">
      <w:pPr>
        <w:pStyle w:val="Normal1"/>
      </w:pPr>
      <w:r>
        <w:lastRenderedPageBreak/>
        <w:t xml:space="preserve">The internal </w:t>
      </w:r>
      <w:r w:rsidR="00FB2237">
        <w:t>finance source</w:t>
      </w:r>
      <w:r>
        <w:t xml:space="preserve"> is the money that is generated by a </w:t>
      </w:r>
      <w:r w:rsidR="00FB2237">
        <w:t>organisation</w:t>
      </w:r>
      <w:r>
        <w:t xml:space="preserve"> through its activities. BP Plc has also this type of finance source. Details of these </w:t>
      </w:r>
      <w:r w:rsidR="00FB2237">
        <w:t>point</w:t>
      </w:r>
      <w:r>
        <w:t xml:space="preserve"> are given below.</w:t>
      </w:r>
    </w:p>
    <w:p w14:paraId="33DE97C4" w14:textId="2D2822C3" w:rsidR="009B442D" w:rsidRDefault="00000000">
      <w:pPr>
        <w:pStyle w:val="Normal1"/>
        <w:numPr>
          <w:ilvl w:val="0"/>
          <w:numId w:val="2"/>
        </w:numPr>
      </w:pPr>
      <w:r>
        <w:rPr>
          <w:b/>
          <w:u w:val="single"/>
        </w:rPr>
        <w:t>Owners capital</w:t>
      </w:r>
      <w:r>
        <w:t xml:space="preserve">:- This type of internal </w:t>
      </w:r>
      <w:r w:rsidR="00FB2237">
        <w:t>finance source</w:t>
      </w:r>
      <w:r>
        <w:t xml:space="preserve"> comes from the owner's funding. In other words, this funding is given by the preferred shareholders of a </w:t>
      </w:r>
      <w:r w:rsidR="00FB2237">
        <w:t>organisation</w:t>
      </w:r>
      <w:r>
        <w:t xml:space="preserve"> (Study Smarter US, 2023). As for BP Plc the total shareholders' capital is about GBP 68,992 Million in 2022 (The Wall Street Journal, 2023). It is significantly higher than the previous year. </w:t>
      </w:r>
    </w:p>
    <w:p w14:paraId="7D7110BE" w14:textId="2BA3E64B" w:rsidR="009B442D" w:rsidRDefault="00000000">
      <w:pPr>
        <w:pStyle w:val="Normal1"/>
        <w:numPr>
          <w:ilvl w:val="0"/>
          <w:numId w:val="2"/>
        </w:numPr>
      </w:pPr>
      <w:r>
        <w:rPr>
          <w:b/>
          <w:u w:val="single"/>
        </w:rPr>
        <w:t>Retained earnings</w:t>
      </w:r>
      <w:r>
        <w:t xml:space="preserve">:- In the terms of finance the retained profit is the percentage of profit, which is reserved for reinvesting in a business. In simpler terms, the retained profit is a part of the actual net profit of a </w:t>
      </w:r>
      <w:r w:rsidR="00FB2237">
        <w:t>organisation</w:t>
      </w:r>
      <w:r>
        <w:t xml:space="preserve">, which is used for raising capital for the </w:t>
      </w:r>
      <w:r w:rsidR="00FB2237">
        <w:t>organisation</w:t>
      </w:r>
      <w:r>
        <w:t xml:space="preserve"> (Study Smarter US, 2023). The amount of retained profit held by BP Plc in 2022 was GBP 51,491 million (The Wall Street Journal, 2023). This amount is lower than the previous financial year.</w:t>
      </w:r>
    </w:p>
    <w:p w14:paraId="759C415B" w14:textId="2C227C19" w:rsidR="009B442D" w:rsidRDefault="00000000">
      <w:pPr>
        <w:pStyle w:val="Normal1"/>
        <w:rPr>
          <w:b/>
        </w:rPr>
      </w:pPr>
      <w:r>
        <w:rPr>
          <w:b/>
        </w:rPr>
        <w:t xml:space="preserve">The external </w:t>
      </w:r>
      <w:r w:rsidR="00FB2237">
        <w:rPr>
          <w:b/>
        </w:rPr>
        <w:t>finance source</w:t>
      </w:r>
      <w:r>
        <w:rPr>
          <w:b/>
        </w:rPr>
        <w:t xml:space="preserve"> of BP Plc</w:t>
      </w:r>
    </w:p>
    <w:p w14:paraId="0684357A" w14:textId="131841A4" w:rsidR="009B442D" w:rsidRDefault="00000000">
      <w:pPr>
        <w:pStyle w:val="Normal1"/>
      </w:pPr>
      <w:r>
        <w:t xml:space="preserve">The external </w:t>
      </w:r>
      <w:r w:rsidR="00FB2237">
        <w:t>point</w:t>
      </w:r>
      <w:r>
        <w:t xml:space="preserve"> of financing are gathered from the outside of a business. Because of this reason, this type of financing is not directly related to the activities of a business. The external </w:t>
      </w:r>
      <w:r w:rsidR="00FB2237">
        <w:t>point</w:t>
      </w:r>
      <w:r>
        <w:t xml:space="preserve"> of BP Plc are given below.</w:t>
      </w:r>
    </w:p>
    <w:p w14:paraId="19042EB6" w14:textId="65FD9551" w:rsidR="009B442D" w:rsidRDefault="00000000">
      <w:pPr>
        <w:pStyle w:val="Normal1"/>
        <w:numPr>
          <w:ilvl w:val="0"/>
          <w:numId w:val="1"/>
        </w:numPr>
      </w:pPr>
      <w:r>
        <w:rPr>
          <w:b/>
          <w:u w:val="single"/>
        </w:rPr>
        <w:t>Sell of equity share</w:t>
      </w:r>
      <w:r>
        <w:t xml:space="preserve">:- This type of finance gathering is </w:t>
      </w:r>
      <w:r w:rsidR="00FB2237">
        <w:t xml:space="preserve"> </w:t>
      </w:r>
      <w:r>
        <w:t xml:space="preserve">common things for a business. In simpler terms, the sale of equity shares for gathering external </w:t>
      </w:r>
      <w:r w:rsidR="00FB2237">
        <w:t>point</w:t>
      </w:r>
      <w:r>
        <w:t xml:space="preserve"> of finance is common for a business (Study Smarter US, 2023). This type of share is also known as common shares, which can also be seen in the balance sheet of BP Plc. The amount for common shares of this </w:t>
      </w:r>
      <w:r w:rsidR="00FB2237">
        <w:t>organisation</w:t>
      </w:r>
      <w:r>
        <w:t xml:space="preserve"> is GBP 56,141 million, which can be observed in the 2022 financial year (The Wall Street Journal, 2023). </w:t>
      </w:r>
    </w:p>
    <w:p w14:paraId="5080C818" w14:textId="757B8D47" w:rsidR="009B442D" w:rsidRDefault="00000000">
      <w:pPr>
        <w:pStyle w:val="Normal1"/>
        <w:numPr>
          <w:ilvl w:val="0"/>
          <w:numId w:val="1"/>
        </w:numPr>
      </w:pPr>
      <w:r>
        <w:rPr>
          <w:b/>
          <w:u w:val="single"/>
        </w:rPr>
        <w:t>Loan</w:t>
      </w:r>
      <w:r>
        <w:t xml:space="preserve">:- This is also </w:t>
      </w:r>
      <w:r w:rsidR="00FB2237">
        <w:t xml:space="preserve"> </w:t>
      </w:r>
      <w:r>
        <w:t xml:space="preserve">most used ways of gathering finance for a </w:t>
      </w:r>
      <w:r w:rsidR="00FB2237">
        <w:t>organisation</w:t>
      </w:r>
      <w:r>
        <w:t xml:space="preserve">. It means gathering money by borrowing from </w:t>
      </w:r>
      <w:r w:rsidR="00FB2237">
        <w:t>3rd</w:t>
      </w:r>
      <w:r>
        <w:t xml:space="preserve"> parties (Study Smarter US, 2023). In the balance sheet of BP Plc, the amount for the long-term loan can be observed as GBP 41,427 million which can be seen in the 2022 financial year. The amount for a short-term loan of the </w:t>
      </w:r>
      <w:r w:rsidR="00FB2237">
        <w:t>organisation</w:t>
      </w:r>
      <w:r>
        <w:t xml:space="preserve"> is GBP 2,659 million in the financial year 2022 (The Wall Street Journal, 2023). The amount of this is significantly lower than the previous financial year of that </w:t>
      </w:r>
      <w:r w:rsidR="00FB2237">
        <w:t>organisation</w:t>
      </w:r>
      <w:r>
        <w:t xml:space="preserve">, which is good for the financial condition of the </w:t>
      </w:r>
      <w:r w:rsidR="00FB2237">
        <w:t>organisation</w:t>
      </w:r>
      <w:r>
        <w:t xml:space="preserve">. </w:t>
      </w:r>
    </w:p>
    <w:p w14:paraId="77892199" w14:textId="3B3873A5" w:rsidR="009B442D" w:rsidRDefault="00000000">
      <w:pPr>
        <w:pStyle w:val="Heading1"/>
        <w:numPr>
          <w:ilvl w:val="0"/>
          <w:numId w:val="3"/>
        </w:numPr>
      </w:pPr>
      <w:bookmarkStart w:id="4" w:name="_o6jcqi1k9bpv" w:colFirst="0" w:colLast="0"/>
      <w:bookmarkEnd w:id="4"/>
      <w:r>
        <w:lastRenderedPageBreak/>
        <w:t xml:space="preserve">Critically analyses and </w:t>
      </w:r>
      <w:r w:rsidR="00FB2237">
        <w:t>estimation</w:t>
      </w:r>
      <w:r>
        <w:t>s the strategies that BP corporation has adopted in managing their financial risks;</w:t>
      </w:r>
    </w:p>
    <w:p w14:paraId="62DAE576" w14:textId="441E5B0A" w:rsidR="009B442D" w:rsidRDefault="00000000">
      <w:pPr>
        <w:pStyle w:val="Normal1"/>
      </w:pPr>
      <w:r>
        <w:t xml:space="preserve">British Petroleum is mainly involved with various stages of the hydrocarbon chain values. The </w:t>
      </w:r>
      <w:r w:rsidR="00FB2237">
        <w:t>organisation</w:t>
      </w:r>
      <w:r>
        <w:t xml:space="preserve"> produces fuel and various products from hydrocarbons. The organization refines, blends, and processes hydrocarbons for making fuels, petrochemicals, and lubricants.  </w:t>
      </w:r>
    </w:p>
    <w:p w14:paraId="02A1DBE1" w14:textId="77777777" w:rsidR="009B442D" w:rsidRDefault="00000000">
      <w:pPr>
        <w:pStyle w:val="Normal1"/>
        <w:rPr>
          <w:b/>
        </w:rPr>
      </w:pPr>
      <w:r>
        <w:rPr>
          <w:b/>
        </w:rPr>
        <w:t>The risk management system of British Petroleum</w:t>
      </w:r>
    </w:p>
    <w:p w14:paraId="167CEB75" w14:textId="70FA584D" w:rsidR="009B442D" w:rsidRDefault="00000000">
      <w:pPr>
        <w:pStyle w:val="Normal1"/>
      </w:pPr>
      <w:r>
        <w:t xml:space="preserve">The </w:t>
      </w:r>
      <w:r w:rsidR="00FB2237">
        <w:t>organisation</w:t>
      </w:r>
      <w:r>
        <w:t xml:space="preserve"> BP has easier, more </w:t>
      </w:r>
      <w:r w:rsidR="00FB2237">
        <w:t>better</w:t>
      </w:r>
      <w:r>
        <w:t xml:space="preserve">, and </w:t>
      </w:r>
      <w:r w:rsidR="00FB2237">
        <w:t>proper</w:t>
      </w:r>
      <w:r>
        <w:t xml:space="preserve"> strategies for risk management techniques and the process of </w:t>
      </w:r>
      <w:r w:rsidR="00FB2237">
        <w:t>reporting risk</w:t>
      </w:r>
      <w:r>
        <w:t xml:space="preserve"> with the board. The system of risk management which is helping in the organization to have a </w:t>
      </w:r>
      <w:r w:rsidR="00FB2237">
        <w:t>proper</w:t>
      </w:r>
      <w:r>
        <w:t xml:space="preserve"> way of understanding the risks. This method is also helping in the process of assessing the needed risks of the exposure of the organization. The management system of risk management is mainly assisting the organization in the method of deciding about the proper possible routes in dealing with many types of occurring risks in the management system (Webdeveloper, 2023).</w:t>
      </w:r>
    </w:p>
    <w:p w14:paraId="51619B22" w14:textId="77777777" w:rsidR="009B442D" w:rsidRDefault="00000000">
      <w:pPr>
        <w:pStyle w:val="Normal1"/>
        <w:rPr>
          <w:b/>
        </w:rPr>
      </w:pPr>
      <w:r>
        <w:rPr>
          <w:b/>
        </w:rPr>
        <w:t>Financial Risks and the management system at British Petroleum</w:t>
      </w:r>
    </w:p>
    <w:p w14:paraId="2889379A" w14:textId="77777777" w:rsidR="009B442D" w:rsidRDefault="00000000">
      <w:pPr>
        <w:pStyle w:val="Normal1"/>
      </w:pPr>
      <w:r>
        <w:t xml:space="preserve">In the nation, the chief financial officer is also known as the CFO of a group that has been looking after the financial risks. In the advising procedure about the financial groups and the finance groups, the GFRC was chaired by the CFO which needed to include many of the senior executives including the group treasures and the heads with the tax, finance, and integrated supply system and the reading elements. The GFRC is mainly advising the group on the financial risks and properly rating financial risks in the governance framework. </w:t>
      </w:r>
    </w:p>
    <w:p w14:paraId="3326D707" w14:textId="6FADBE23" w:rsidR="009B442D" w:rsidRDefault="00000000">
      <w:pPr>
        <w:pStyle w:val="Normal1"/>
      </w:pPr>
      <w:r>
        <w:t xml:space="preserve">In having the financial risks, the </w:t>
      </w:r>
      <w:r w:rsidR="00FB2237">
        <w:t>organisation</w:t>
      </w:r>
      <w:r>
        <w:t xml:space="preserve"> Business Petroleum is mainly facing various risks like water security risks, political risks, legal risks, </w:t>
      </w:r>
      <w:r w:rsidR="00FB2237">
        <w:t>tasks</w:t>
      </w:r>
      <w:r>
        <w:t xml:space="preserve"> risks, exploration risks vehicle, and driving safety risks. The express has been opined in the organization which is also needed to be focused on the risks for a better rated financial performance and which is also needed to create the values for the shareholders. Having the various risks, the experts felt that the process of investments in British Petroleum is much more complex. The evolving process in the Russian political situation is not only going to affect British petroleum but also the oil majors are getting affected. </w:t>
      </w:r>
    </w:p>
    <w:p w14:paraId="7413F757" w14:textId="77777777" w:rsidR="009B442D" w:rsidRDefault="00000000">
      <w:pPr>
        <w:pStyle w:val="Normal1"/>
        <w:rPr>
          <w:b/>
        </w:rPr>
      </w:pPr>
      <w:r>
        <w:rPr>
          <w:b/>
        </w:rPr>
        <w:t>Strategy development in British Petroleum</w:t>
      </w:r>
    </w:p>
    <w:p w14:paraId="3D04AF9B" w14:textId="5638DB1A" w:rsidR="009B442D" w:rsidRDefault="00000000">
      <w:pPr>
        <w:pStyle w:val="Normal1"/>
      </w:pPr>
      <w:r>
        <w:t xml:space="preserve">In the process of strategy development, the </w:t>
      </w:r>
      <w:r w:rsidR="00FB2237">
        <w:t>organisation</w:t>
      </w:r>
      <w:r>
        <w:t xml:space="preserve"> British Petroleum is mainly reviewing the portfolio which is needed for the process of reviewing the portfolios and the plans of the capital development method. This method is mainly working by the visualization of the BP and the long-term price environment and a maintaining investment section. In having a framework </w:t>
      </w:r>
      <w:r>
        <w:lastRenderedPageBreak/>
        <w:t xml:space="preserve">that is mainly needed for ensuring the investment in the process of alignment with the strategies and the shareholder's valuation process. </w:t>
      </w:r>
    </w:p>
    <w:p w14:paraId="77D18F78" w14:textId="77777777" w:rsidR="009B442D" w:rsidRDefault="00000000">
      <w:pPr>
        <w:pStyle w:val="Normal1"/>
      </w:pPr>
      <w:r>
        <w:t xml:space="preserve">The management of BP also has growth about the expectation which is the aftermath of the pandemic that is boosting the transition pace in lower-rated carbon economies and the energy systems. The BP has revised its appraisal of the investment in the long-term assumption which is now an average of around 55BL which is a better-rated improvement (Bp, 2023). </w:t>
      </w:r>
    </w:p>
    <w:p w14:paraId="3D79D758" w14:textId="01CBBFA3" w:rsidR="009B442D" w:rsidRDefault="00000000">
      <w:pPr>
        <w:pStyle w:val="Heading1"/>
        <w:numPr>
          <w:ilvl w:val="0"/>
          <w:numId w:val="3"/>
        </w:numPr>
      </w:pPr>
      <w:bookmarkStart w:id="5" w:name="_dq7mzqehyeto" w:colFirst="0" w:colLast="0"/>
      <w:bookmarkEnd w:id="5"/>
      <w:r>
        <w:t xml:space="preserve">Critically analyses and </w:t>
      </w:r>
      <w:r w:rsidR="00FB2237">
        <w:t>estimation</w:t>
      </w:r>
      <w:r>
        <w:t>s the effectiveness of issuing stocks internationally by BP Corporation in financing projects</w:t>
      </w:r>
    </w:p>
    <w:p w14:paraId="0647226A" w14:textId="2BF96A03" w:rsidR="009B442D" w:rsidRDefault="00000000">
      <w:pPr>
        <w:pStyle w:val="Normal1"/>
        <w:rPr>
          <w:highlight w:val="white"/>
        </w:rPr>
      </w:pPr>
      <w:r>
        <w:t>In the organization, the stock is mainly lowered to 21.4bn. And the embracing rate is raised to 10%. The dividend is also needed to be improved to 6.61 cents as per the ordinary shares. In further the share was $2.75bn</w:t>
      </w:r>
      <w:r>
        <w:rPr>
          <w:highlight w:val="white"/>
        </w:rPr>
        <w:t xml:space="preserve"> sharing the buyback accounts. In the process of delivering the resilient hydrocarbons Cassia C startup, the </w:t>
      </w:r>
      <w:r w:rsidR="00FB2237">
        <w:rPr>
          <w:highlight w:val="white"/>
        </w:rPr>
        <w:t>1st</w:t>
      </w:r>
      <w:r>
        <w:rPr>
          <w:highlight w:val="white"/>
        </w:rPr>
        <w:t xml:space="preserve"> LNG cargo which is mainly loaded in a coral Sul FLNG. In a continuous process in the method of th transformation in an IEC. the accelerating strategy of the biogas strategies with the compilation of the Archaea Energy acquisition. </w:t>
      </w:r>
    </w:p>
    <w:p w14:paraId="71FFEF02" w14:textId="77777777" w:rsidR="009B442D" w:rsidRDefault="00000000">
      <w:pPr>
        <w:pStyle w:val="Normal1"/>
        <w:rPr>
          <w:b/>
          <w:highlight w:val="white"/>
        </w:rPr>
      </w:pPr>
      <w:r>
        <w:rPr>
          <w:b/>
          <w:highlight w:val="white"/>
        </w:rPr>
        <w:t>Replacement cost profit</w:t>
      </w:r>
    </w:p>
    <w:p w14:paraId="028109E7" w14:textId="58FFDA32" w:rsidR="009B442D" w:rsidRDefault="00000000">
      <w:pPr>
        <w:pStyle w:val="Normal1"/>
        <w:rPr>
          <w:highlight w:val="white"/>
        </w:rPr>
      </w:pPr>
      <w:r>
        <w:rPr>
          <w:highlight w:val="white"/>
        </w:rPr>
        <w:t xml:space="preserve">In the method of underlying the replacement cost profits for the </w:t>
      </w:r>
      <w:r w:rsidR="00FB2237">
        <w:rPr>
          <w:highlight w:val="white"/>
        </w:rPr>
        <w:t>sector</w:t>
      </w:r>
      <w:r>
        <w:rPr>
          <w:highlight w:val="white"/>
        </w:rPr>
        <w:t xml:space="preserve"> were 4.8 billion. As </w:t>
      </w:r>
      <w:r w:rsidR="00FB2237">
        <w:rPr>
          <w:highlight w:val="white"/>
        </w:rPr>
        <w:t>diffencisted</w:t>
      </w:r>
      <w:r>
        <w:rPr>
          <w:highlight w:val="white"/>
        </w:rPr>
        <w:t xml:space="preserve"> with the previous </w:t>
      </w:r>
      <w:r w:rsidR="00FB2237">
        <w:rPr>
          <w:highlight w:val="white"/>
        </w:rPr>
        <w:t>sector</w:t>
      </w:r>
      <w:r>
        <w:rPr>
          <w:highlight w:val="white"/>
        </w:rPr>
        <w:t xml:space="preserve"> it is 8.2 billion. As </w:t>
      </w:r>
      <w:r w:rsidR="00FB2237">
        <w:rPr>
          <w:highlight w:val="white"/>
        </w:rPr>
        <w:t>diffencisted</w:t>
      </w:r>
      <w:r>
        <w:rPr>
          <w:highlight w:val="white"/>
        </w:rPr>
        <w:t xml:space="preserve"> with the </w:t>
      </w:r>
      <w:r w:rsidR="00FB2237">
        <w:rPr>
          <w:highlight w:val="white"/>
        </w:rPr>
        <w:t>3rd</w:t>
      </w:r>
      <w:r>
        <w:rPr>
          <w:highlight w:val="white"/>
        </w:rPr>
        <w:t xml:space="preserve"> </w:t>
      </w:r>
      <w:r w:rsidR="00FB2237">
        <w:rPr>
          <w:highlight w:val="white"/>
        </w:rPr>
        <w:t>sector</w:t>
      </w:r>
      <w:r>
        <w:rPr>
          <w:highlight w:val="white"/>
        </w:rPr>
        <w:t xml:space="preserve"> the outcome is going to be affected by the lower affected gas trading and marketing and the trading outcome after the expectation scene in the </w:t>
      </w:r>
      <w:r w:rsidR="00FB2237">
        <w:rPr>
          <w:highlight w:val="white"/>
        </w:rPr>
        <w:t>3rd</w:t>
      </w:r>
      <w:r>
        <w:rPr>
          <w:highlight w:val="white"/>
        </w:rPr>
        <w:t xml:space="preserve"> </w:t>
      </w:r>
      <w:r w:rsidR="00FB2237">
        <w:rPr>
          <w:highlight w:val="white"/>
        </w:rPr>
        <w:t>sector</w:t>
      </w:r>
      <w:r>
        <w:rPr>
          <w:highlight w:val="white"/>
        </w:rPr>
        <w:t xml:space="preserve">. The gas realization and the lower oil are higher-level methods of refinery maintenance and turnaround activities. A lower-rated marketing element is </w:t>
      </w:r>
      <w:r w:rsidR="00FB2237">
        <w:rPr>
          <w:highlight w:val="white"/>
        </w:rPr>
        <w:t xml:space="preserve"> </w:t>
      </w:r>
      <w:r>
        <w:rPr>
          <w:highlight w:val="white"/>
        </w:rPr>
        <w:t>marginal volumes. A method of the underlying ETR is about 40%. In the final section, this brings a full-year underlying ETR of 34% (</w:t>
      </w:r>
      <w:r>
        <w:t>Bp, 2023)</w:t>
      </w:r>
      <w:r>
        <w:rPr>
          <w:highlight w:val="white"/>
        </w:rPr>
        <w:t xml:space="preserve">. </w:t>
      </w:r>
    </w:p>
    <w:p w14:paraId="2B65A53B" w14:textId="45FBF209" w:rsidR="009B442D" w:rsidRDefault="00000000">
      <w:pPr>
        <w:pStyle w:val="Normal1"/>
        <w:rPr>
          <w:highlight w:val="white"/>
        </w:rPr>
      </w:pPr>
      <w:r>
        <w:rPr>
          <w:highlight w:val="white"/>
        </w:rPr>
        <w:t xml:space="preserve">The </w:t>
      </w:r>
      <w:r w:rsidR="00FB2237">
        <w:rPr>
          <w:highlight w:val="white"/>
        </w:rPr>
        <w:t>stated</w:t>
      </w:r>
      <w:r>
        <w:rPr>
          <w:highlight w:val="white"/>
        </w:rPr>
        <w:t xml:space="preserve"> profit for the </w:t>
      </w:r>
      <w:r w:rsidR="00FB2237">
        <w:rPr>
          <w:highlight w:val="white"/>
        </w:rPr>
        <w:t>sector</w:t>
      </w:r>
      <w:r>
        <w:rPr>
          <w:highlight w:val="white"/>
        </w:rPr>
        <w:t xml:space="preserve"> is 10.8 billion As </w:t>
      </w:r>
      <w:r w:rsidR="00FB2237">
        <w:rPr>
          <w:highlight w:val="white"/>
        </w:rPr>
        <w:t>diffencisted</w:t>
      </w:r>
      <w:r>
        <w:rPr>
          <w:highlight w:val="white"/>
        </w:rPr>
        <w:t xml:space="preserve"> with the loss that is 2.2 billion in the </w:t>
      </w:r>
      <w:r w:rsidR="00FB2237">
        <w:rPr>
          <w:highlight w:val="white"/>
        </w:rPr>
        <w:t>3rd</w:t>
      </w:r>
      <w:r>
        <w:rPr>
          <w:highlight w:val="white"/>
        </w:rPr>
        <w:t xml:space="preserve"> section in 2022. The </w:t>
      </w:r>
      <w:r w:rsidR="00FB2237">
        <w:rPr>
          <w:highlight w:val="white"/>
        </w:rPr>
        <w:t>stated</w:t>
      </w:r>
      <w:r>
        <w:rPr>
          <w:highlight w:val="white"/>
        </w:rPr>
        <w:t xml:space="preserve"> outcome for the </w:t>
      </w:r>
      <w:r w:rsidR="00FB2237">
        <w:rPr>
          <w:highlight w:val="white"/>
        </w:rPr>
        <w:t>4th</w:t>
      </w:r>
      <w:r>
        <w:rPr>
          <w:highlight w:val="white"/>
        </w:rPr>
        <w:t xml:space="preserve"> section is also adjusted with the inventory in holding the losses about the net taxes which is 1.1 billion and an improvement in the process for </w:t>
      </w:r>
      <w:r w:rsidR="00FB2237">
        <w:rPr>
          <w:highlight w:val="white"/>
        </w:rPr>
        <w:t>balancing</w:t>
      </w:r>
      <w:r>
        <w:rPr>
          <w:highlight w:val="white"/>
        </w:rPr>
        <w:t xml:space="preserve"> the items net tax which is 7.1 billion in the method of deriving the method of the underlying replacements of the cost profits. The method of </w:t>
      </w:r>
      <w:r w:rsidR="00FB2237">
        <w:rPr>
          <w:highlight w:val="white"/>
        </w:rPr>
        <w:t>balancing</w:t>
      </w:r>
      <w:r>
        <w:rPr>
          <w:highlight w:val="white"/>
        </w:rPr>
        <w:t xml:space="preserve"> the needed fair values in the accounting affects about 13.2 billion before tax. In having a </w:t>
      </w:r>
      <w:r w:rsidR="00FB2237">
        <w:rPr>
          <w:highlight w:val="white"/>
        </w:rPr>
        <w:t>downgrading</w:t>
      </w:r>
      <w:r>
        <w:rPr>
          <w:highlight w:val="white"/>
        </w:rPr>
        <w:t xml:space="preserve"> rate of forwarding gas prices as </w:t>
      </w:r>
      <w:r w:rsidR="00FB2237">
        <w:rPr>
          <w:highlight w:val="white"/>
        </w:rPr>
        <w:t>diffencisted</w:t>
      </w:r>
      <w:r>
        <w:rPr>
          <w:highlight w:val="white"/>
        </w:rPr>
        <w:t xml:space="preserve"> at the end with the </w:t>
      </w:r>
      <w:r w:rsidR="00FB2237">
        <w:rPr>
          <w:highlight w:val="white"/>
        </w:rPr>
        <w:t>3rd</w:t>
      </w:r>
      <w:r>
        <w:rPr>
          <w:highlight w:val="white"/>
        </w:rPr>
        <w:t xml:space="preserve"> </w:t>
      </w:r>
      <w:r w:rsidR="00FB2237">
        <w:rPr>
          <w:highlight w:val="white"/>
        </w:rPr>
        <w:t>sector</w:t>
      </w:r>
      <w:r>
        <w:rPr>
          <w:highlight w:val="white"/>
        </w:rPr>
        <w:t xml:space="preserve">. </w:t>
      </w:r>
    </w:p>
    <w:p w14:paraId="758098C2" w14:textId="77777777" w:rsidR="009B442D" w:rsidRDefault="00000000">
      <w:pPr>
        <w:pStyle w:val="Normal1"/>
        <w:rPr>
          <w:b/>
          <w:highlight w:val="white"/>
        </w:rPr>
      </w:pPr>
      <w:r>
        <w:rPr>
          <w:b/>
          <w:highlight w:val="white"/>
        </w:rPr>
        <w:t>Net debt reduction</w:t>
      </w:r>
    </w:p>
    <w:p w14:paraId="61713087" w14:textId="2FCF2597" w:rsidR="009B442D" w:rsidRDefault="00000000">
      <w:pPr>
        <w:pStyle w:val="Normal1"/>
        <w:rPr>
          <w:highlight w:val="white"/>
        </w:rPr>
      </w:pPr>
      <w:r>
        <w:rPr>
          <w:highlight w:val="white"/>
        </w:rPr>
        <w:t xml:space="preserve">The operating cash flow in the </w:t>
      </w:r>
      <w:r w:rsidR="00FB2237">
        <w:rPr>
          <w:highlight w:val="white"/>
        </w:rPr>
        <w:t>sector</w:t>
      </w:r>
      <w:r>
        <w:rPr>
          <w:highlight w:val="white"/>
        </w:rPr>
        <w:t xml:space="preserve"> is 13.6 billion in the method of including a release of the working capital after </w:t>
      </w:r>
      <w:r w:rsidR="00FB2237">
        <w:rPr>
          <w:highlight w:val="white"/>
        </w:rPr>
        <w:t>balancing</w:t>
      </w:r>
      <w:r>
        <w:rPr>
          <w:highlight w:val="white"/>
        </w:rPr>
        <w:t xml:space="preserve"> the inventories in holding the losses and the fair values in the accounting effects and any other </w:t>
      </w:r>
      <w:r w:rsidR="00FB2237">
        <w:rPr>
          <w:highlight w:val="white"/>
        </w:rPr>
        <w:t>balancing</w:t>
      </w:r>
      <w:r>
        <w:rPr>
          <w:highlight w:val="white"/>
        </w:rPr>
        <w:t xml:space="preserve"> amount which is 4.2 billion. In the </w:t>
      </w:r>
      <w:r w:rsidR="00FB2237">
        <w:rPr>
          <w:highlight w:val="white"/>
        </w:rPr>
        <w:t>4th</w:t>
      </w:r>
      <w:r>
        <w:rPr>
          <w:highlight w:val="white"/>
        </w:rPr>
        <w:t xml:space="preserve"> </w:t>
      </w:r>
      <w:r w:rsidR="00FB2237">
        <w:rPr>
          <w:highlight w:val="white"/>
        </w:rPr>
        <w:t>sector</w:t>
      </w:r>
      <w:r>
        <w:rPr>
          <w:highlight w:val="white"/>
        </w:rPr>
        <w:t xml:space="preserve">, the </w:t>
      </w:r>
      <w:r>
        <w:rPr>
          <w:highlight w:val="white"/>
        </w:rPr>
        <w:lastRenderedPageBreak/>
        <w:t xml:space="preserve">capital expenditure and the full year are around 7.4 billion respectively. In using this method, the inorganic spending method amounts to 3.5 billion. In the full year of the </w:t>
      </w:r>
      <w:r w:rsidR="00FB2237">
        <w:rPr>
          <w:highlight w:val="white"/>
        </w:rPr>
        <w:t>4th</w:t>
      </w:r>
      <w:r>
        <w:rPr>
          <w:highlight w:val="white"/>
        </w:rPr>
        <w:t xml:space="preserve"> </w:t>
      </w:r>
      <w:r w:rsidR="00FB2237">
        <w:rPr>
          <w:highlight w:val="white"/>
        </w:rPr>
        <w:t>sector</w:t>
      </w:r>
      <w:r>
        <w:rPr>
          <w:highlight w:val="white"/>
        </w:rPr>
        <w:t xml:space="preserve">, this amount is included as 3 billion archaea energy. In the </w:t>
      </w:r>
      <w:r w:rsidR="00FB2237">
        <w:rPr>
          <w:highlight w:val="white"/>
        </w:rPr>
        <w:t>4th</w:t>
      </w:r>
      <w:r>
        <w:rPr>
          <w:highlight w:val="white"/>
        </w:rPr>
        <w:t xml:space="preserve"> section, the </w:t>
      </w:r>
      <w:r w:rsidR="00FB2237">
        <w:rPr>
          <w:highlight w:val="white"/>
        </w:rPr>
        <w:t>organisation</w:t>
      </w:r>
      <w:r>
        <w:rPr>
          <w:highlight w:val="white"/>
        </w:rPr>
        <w:t xml:space="preserve"> BP completed the share buybacks program that was announced in the </w:t>
      </w:r>
      <w:r w:rsidR="00FB2237">
        <w:rPr>
          <w:highlight w:val="white"/>
        </w:rPr>
        <w:t>3rd</w:t>
      </w:r>
      <w:r>
        <w:rPr>
          <w:highlight w:val="white"/>
        </w:rPr>
        <w:t xml:space="preserve"> </w:t>
      </w:r>
      <w:r w:rsidR="00FB2237">
        <w:rPr>
          <w:highlight w:val="white"/>
        </w:rPr>
        <w:t>sector</w:t>
      </w:r>
      <w:r>
        <w:rPr>
          <w:highlight w:val="white"/>
        </w:rPr>
        <w:t xml:space="preserve"> with the outcome on the year 2023 on February 3rd. </w:t>
      </w:r>
    </w:p>
    <w:p w14:paraId="4E5F942B" w14:textId="77777777" w:rsidR="009B442D" w:rsidRDefault="00000000">
      <w:pPr>
        <w:pStyle w:val="Heading1"/>
      </w:pPr>
      <w:bookmarkStart w:id="6" w:name="_icuke2lgm6r4" w:colFirst="0" w:colLast="0"/>
      <w:bookmarkEnd w:id="6"/>
      <w:r>
        <w:t>Recommendation</w:t>
      </w:r>
    </w:p>
    <w:p w14:paraId="43C40964" w14:textId="7BAF5F6C" w:rsidR="009B442D" w:rsidRDefault="00000000">
      <w:pPr>
        <w:pStyle w:val="Normal1"/>
      </w:pPr>
      <w:r>
        <w:t xml:space="preserve">The organisation is mainly needed to support the communities where the candidates the organisation can work in making better, preferable and much sustainable livelihoods. The </w:t>
      </w:r>
      <w:r w:rsidR="00FB2237">
        <w:t>organisation</w:t>
      </w:r>
      <w:r>
        <w:t xml:space="preserve"> also needed to focus on social investments for sustainably making the target. In having the actions the </w:t>
      </w:r>
      <w:r w:rsidR="00FB2237">
        <w:t>organisation</w:t>
      </w:r>
      <w:r>
        <w:t xml:space="preserve"> needs to target more than one million candidates. The </w:t>
      </w:r>
      <w:r w:rsidR="00FB2237">
        <w:t>organisation</w:t>
      </w:r>
      <w:r>
        <w:t xml:space="preserve"> is also needed to understand the competition and there is also some better method for the process. The candidate is also seeking out various visualisation and learning from them. </w:t>
      </w:r>
    </w:p>
    <w:p w14:paraId="52A91E03" w14:textId="77777777" w:rsidR="009B442D" w:rsidRDefault="00000000">
      <w:pPr>
        <w:pStyle w:val="Heading1"/>
      </w:pPr>
      <w:bookmarkStart w:id="7" w:name="_16ajg7fvx5cn" w:colFirst="0" w:colLast="0"/>
      <w:bookmarkEnd w:id="7"/>
      <w:r>
        <w:t>Conclusion</w:t>
      </w:r>
    </w:p>
    <w:p w14:paraId="3CF14D61" w14:textId="1FAB7EAE" w:rsidR="009B442D" w:rsidRDefault="00000000">
      <w:pPr>
        <w:pStyle w:val="Normal1"/>
        <w:rPr>
          <w:b/>
        </w:rPr>
      </w:pPr>
      <w:r>
        <w:t xml:space="preserve">On the method of the analysis, a critical analysis of the </w:t>
      </w:r>
      <w:r w:rsidR="00FB2237">
        <w:t>organisation</w:t>
      </w:r>
      <w:r>
        <w:t xml:space="preserve">'s internationalized method is properly discussed. How the nation risks being affected by the investment opportunities in the host countries are also discussed. A proper analysis of the </w:t>
      </w:r>
      <w:r w:rsidR="00FB2237">
        <w:t>organisation</w:t>
      </w:r>
      <w:r>
        <w:t xml:space="preserve"> analyses and </w:t>
      </w:r>
      <w:r w:rsidR="00FB2237">
        <w:t>estimation</w:t>
      </w:r>
      <w:r>
        <w:t xml:space="preserve">s the BP corporation's </w:t>
      </w:r>
      <w:r w:rsidR="00FB2237">
        <w:t>point</w:t>
      </w:r>
      <w:r>
        <w:t xml:space="preserve"> of finance is also discussed appropriately. Proper analysis and evaluation of the strategies that the BP </w:t>
      </w:r>
      <w:r w:rsidR="00FB2237">
        <w:t>organisation</w:t>
      </w:r>
      <w:r>
        <w:t xml:space="preserve"> is also adopting in managing the financial risks are discussed. In the final stage, proper analysis and evaluation of the effectiveness of issuing the stocks globally in evaluating the effectiveness in issuing stocks globally By the BP </w:t>
      </w:r>
      <w:r w:rsidR="00FB2237">
        <w:t>organisation</w:t>
      </w:r>
      <w:r>
        <w:t xml:space="preserve"> were also analysed. In this process, a recommendation is also provided in providing the </w:t>
      </w:r>
      <w:r w:rsidR="00FB2237">
        <w:t>organisation</w:t>
      </w:r>
      <w:r>
        <w:t xml:space="preserve"> with some better solutions for managing its current issues.  </w:t>
      </w:r>
      <w:r>
        <w:br w:type="page"/>
      </w:r>
    </w:p>
    <w:p w14:paraId="1032587C" w14:textId="77777777" w:rsidR="009B442D" w:rsidRDefault="00000000">
      <w:pPr>
        <w:pStyle w:val="Heading1"/>
      </w:pPr>
      <w:bookmarkStart w:id="8" w:name="_64vwjb273xzn" w:colFirst="0" w:colLast="0"/>
      <w:bookmarkEnd w:id="8"/>
      <w:r>
        <w:lastRenderedPageBreak/>
        <w:t>Reference</w:t>
      </w:r>
    </w:p>
    <w:p w14:paraId="2FE95570" w14:textId="77777777" w:rsidR="00482275" w:rsidRDefault="00482275">
      <w:pPr>
        <w:pStyle w:val="Normal1"/>
        <w:spacing w:before="240" w:after="240"/>
      </w:pPr>
      <w:r>
        <w:t xml:space="preserve">Adamkasi. (2023). </w:t>
      </w:r>
      <w:r>
        <w:rPr>
          <w:i/>
        </w:rPr>
        <w:t>Pestle analysis of British Petroleum – BP PLC: Free Pestel Analysis</w:t>
      </w:r>
      <w:r>
        <w:t xml:space="preserve">, </w:t>
      </w:r>
      <w:r>
        <w:rPr>
          <w:i/>
        </w:rPr>
        <w:t>Free PESTEL Analysis | Free PESTEL Analysis</w:t>
      </w:r>
      <w:r>
        <w:t xml:space="preserve">. Available at: https://freepestelanalysis.com/pestle-analysis-of-british-petroleum-bp-plc/ (Accessed: April 17, 2023). </w:t>
      </w:r>
    </w:p>
    <w:p w14:paraId="257F6D80" w14:textId="0E64D37A" w:rsidR="00482275" w:rsidRDefault="00482275">
      <w:pPr>
        <w:pStyle w:val="Normal1"/>
        <w:spacing w:before="240" w:after="240"/>
      </w:pPr>
      <w:r>
        <w:t xml:space="preserve">Bp. 2023. </w:t>
      </w:r>
      <w:r>
        <w:rPr>
          <w:i/>
        </w:rPr>
        <w:t xml:space="preserve">BP's </w:t>
      </w:r>
      <w:r w:rsidR="00FB2237">
        <w:rPr>
          <w:i/>
        </w:rPr>
        <w:t>4th</w:t>
      </w:r>
      <w:r>
        <w:rPr>
          <w:i/>
        </w:rPr>
        <w:t xml:space="preserve"> </w:t>
      </w:r>
      <w:r w:rsidR="00FB2237">
        <w:rPr>
          <w:i/>
        </w:rPr>
        <w:t>sector</w:t>
      </w:r>
      <w:r>
        <w:rPr>
          <w:i/>
        </w:rPr>
        <w:t xml:space="preserve"> and full year 2022 results: News and insights: Home</w:t>
      </w:r>
      <w:r>
        <w:t xml:space="preserve"> (no date) </w:t>
      </w:r>
      <w:r>
        <w:rPr>
          <w:i/>
        </w:rPr>
        <w:t>bp global</w:t>
      </w:r>
      <w:r>
        <w:t>. Available at: https://www.bp.com/en/global/corporate/news-and-insights/press-releases/</w:t>
      </w:r>
      <w:r w:rsidR="00FB2237">
        <w:t>4th</w:t>
      </w:r>
      <w:r>
        <w:t>-</w:t>
      </w:r>
      <w:r w:rsidR="00FB2237">
        <w:t>sector</w:t>
      </w:r>
      <w:r>
        <w:t xml:space="preserve">-2022-results.html (Accessed: April 17, 2023). </w:t>
      </w:r>
    </w:p>
    <w:p w14:paraId="249889BD" w14:textId="38459637" w:rsidR="00482275" w:rsidRDefault="00482275">
      <w:pPr>
        <w:pStyle w:val="Normal1"/>
        <w:spacing w:before="240" w:after="240"/>
      </w:pPr>
      <w:r>
        <w:t xml:space="preserve">Bp. 2023. </w:t>
      </w:r>
      <w:r>
        <w:rPr>
          <w:i/>
        </w:rPr>
        <w:t xml:space="preserve">From International Oil </w:t>
      </w:r>
      <w:r w:rsidR="00FB2237">
        <w:rPr>
          <w:i/>
        </w:rPr>
        <w:t>Organisation</w:t>
      </w:r>
      <w:r>
        <w:rPr>
          <w:i/>
        </w:rPr>
        <w:t xml:space="preserve"> to Integrated Energy </w:t>
      </w:r>
      <w:r w:rsidR="00FB2237">
        <w:rPr>
          <w:i/>
        </w:rPr>
        <w:t>Organisation</w:t>
      </w:r>
      <w:r>
        <w:rPr>
          <w:i/>
        </w:rPr>
        <w:t>: BP sets out the strategy for the decade of delivery towards net zero ambition: News and insights: Home</w:t>
      </w:r>
      <w:r>
        <w:t xml:space="preserve"> (2023) </w:t>
      </w:r>
      <w:r>
        <w:rPr>
          <w:i/>
        </w:rPr>
        <w:t>bp global</w:t>
      </w:r>
      <w:r>
        <w:t>. bp global. Available at: https://www.bp.com/en/global/corporate/news-and-insights/press-releases/from-international-oil-</w:t>
      </w:r>
      <w:r w:rsidR="00FB2237">
        <w:t>organisation</w:t>
      </w:r>
      <w:r>
        <w:t>-to-integrated-energy-</w:t>
      </w:r>
      <w:r w:rsidR="00FB2237">
        <w:t>organisation</w:t>
      </w:r>
      <w:r>
        <w:t xml:space="preserve">-bp-sets-out-strategy-for-decade-of-delivery-towards-net-zero-ambition.html (Accessed: April 17, 2023). </w:t>
      </w:r>
    </w:p>
    <w:p w14:paraId="0AE8E105" w14:textId="77777777" w:rsidR="00482275" w:rsidRDefault="00482275">
      <w:pPr>
        <w:pStyle w:val="Normal1"/>
        <w:spacing w:before="240" w:after="240"/>
      </w:pPr>
      <w:r>
        <w:t xml:space="preserve">Bp. 2023. </w:t>
      </w:r>
      <w:r>
        <w:rPr>
          <w:i/>
        </w:rPr>
        <w:t>Progressing strategy development, BP revises long-term price assumptions, reviews intangible assets and, as a result, expects non-cash impairments and write-offs: News and insights: Home</w:t>
      </w:r>
      <w:r>
        <w:t xml:space="preserve"> (2023) </w:t>
      </w:r>
      <w:r>
        <w:rPr>
          <w:i/>
        </w:rPr>
        <w:t>bp global</w:t>
      </w:r>
      <w:r>
        <w:t xml:space="preserve">. bp global. Available at: https://www.bp.com/en/global/corporate/news-and-insights/press-releases/bp-revises-long-term-price-assumptions.html (Accessed: April 17, 2023). </w:t>
      </w:r>
    </w:p>
    <w:p w14:paraId="230D29A0" w14:textId="16DC51D4" w:rsidR="00482275" w:rsidRDefault="00482275">
      <w:pPr>
        <w:pStyle w:val="Normal1"/>
        <w:spacing w:before="240" w:after="240"/>
      </w:pPr>
      <w:r>
        <w:t xml:space="preserve">Hsieh, L. (2020). </w:t>
      </w:r>
      <w:r>
        <w:rPr>
          <w:i/>
        </w:rPr>
        <w:t xml:space="preserve">BP introduces a strategy to transition into an international energy </w:t>
      </w:r>
      <w:r w:rsidR="00FB2237">
        <w:rPr>
          <w:i/>
        </w:rPr>
        <w:t>organisation</w:t>
      </w:r>
      <w:r>
        <w:t xml:space="preserve">, </w:t>
      </w:r>
      <w:r>
        <w:rPr>
          <w:i/>
        </w:rPr>
        <w:t>Drilling Contractor</w:t>
      </w:r>
      <w:r>
        <w:t>. Available at: https://drillingcontractor.org/bp-introduces-strategy-to-transition-into-an-international-energy-</w:t>
      </w:r>
      <w:r w:rsidR="00FB2237">
        <w:t>organisation</w:t>
      </w:r>
      <w:r>
        <w:t xml:space="preserve">-57457#:~:text=The%20strategy%20is%20built%20around,and%20resilient%20and%20focused%20hydrocarbons (Accessed: April 17, 2023). </w:t>
      </w:r>
    </w:p>
    <w:p w14:paraId="4B02AA6D" w14:textId="537D83F1" w:rsidR="00482275" w:rsidRDefault="00482275">
      <w:pPr>
        <w:pStyle w:val="Normal1"/>
        <w:spacing w:before="240" w:after="240"/>
      </w:pPr>
      <w:r>
        <w:t xml:space="preserve">Study Smarter US. (2023) </w:t>
      </w:r>
      <w:r w:rsidR="00FB2237">
        <w:rPr>
          <w:i/>
        </w:rPr>
        <w:t>Point</w:t>
      </w:r>
      <w:r>
        <w:rPr>
          <w:i/>
        </w:rPr>
        <w:t xml:space="preserve"> of finance</w:t>
      </w:r>
      <w:r>
        <w:t xml:space="preserve">, </w:t>
      </w:r>
      <w:r>
        <w:rPr>
          <w:i/>
        </w:rPr>
        <w:t>StudySmarter US</w:t>
      </w:r>
      <w:r>
        <w:t>. Available at: https://www.studysmarter.us/explanations/business-studies/financial-performance/</w:t>
      </w:r>
      <w:r w:rsidR="00FB2237">
        <w:t>point</w:t>
      </w:r>
      <w:r>
        <w:t>-of-finance/ (Accessed: April 17, 2023).</w:t>
      </w:r>
    </w:p>
    <w:p w14:paraId="4051067E" w14:textId="20C2A336" w:rsidR="00482275" w:rsidRDefault="00482275">
      <w:pPr>
        <w:pStyle w:val="Normal1"/>
        <w:spacing w:before="240" w:after="240"/>
      </w:pPr>
      <w:r>
        <w:t xml:space="preserve">The Wall Street Journal. (2023) </w:t>
      </w:r>
      <w:r>
        <w:rPr>
          <w:i/>
        </w:rPr>
        <w:t>The Wall Street Journal</w:t>
      </w:r>
      <w:r>
        <w:t xml:space="preserve">. Dow Jones &amp; </w:t>
      </w:r>
      <w:r w:rsidR="00FB2237">
        <w:t>Organisation</w:t>
      </w:r>
      <w:r>
        <w:t xml:space="preserve">. Available at: https://www.wsj.com/market-data/quotes/BP/financials/annual/balance-sheet (Accessed: April 17, 2023). </w:t>
      </w:r>
    </w:p>
    <w:p w14:paraId="7F72E304" w14:textId="77777777" w:rsidR="00482275" w:rsidRDefault="00482275">
      <w:pPr>
        <w:pStyle w:val="Normal1"/>
        <w:spacing w:before="240" w:after="240"/>
      </w:pPr>
      <w:r>
        <w:lastRenderedPageBreak/>
        <w:t xml:space="preserve">Thomas, H. (2022). </w:t>
      </w:r>
      <w:r>
        <w:rPr>
          <w:i/>
        </w:rPr>
        <w:t>Investors can no longer afford to ignore geopolitical risk</w:t>
      </w:r>
      <w:r>
        <w:t xml:space="preserve">, </w:t>
      </w:r>
      <w:r>
        <w:rPr>
          <w:i/>
        </w:rPr>
        <w:t>Subscribe to read | Financial Times</w:t>
      </w:r>
      <w:r>
        <w:t xml:space="preserve">. Financial Times. Available at: https://www.ft.com/content/1f2c3627-120b-4a09-93e5-4bf265eb76e1 (Accessed: April 17, 2023). </w:t>
      </w:r>
    </w:p>
    <w:p w14:paraId="757C0916" w14:textId="77777777" w:rsidR="00482275" w:rsidRDefault="00482275">
      <w:pPr>
        <w:pStyle w:val="Normal1"/>
        <w:spacing w:before="240" w:after="240"/>
      </w:pPr>
      <w:r>
        <w:t xml:space="preserve">Webdeveloper. (2023). </w:t>
      </w:r>
      <w:r>
        <w:rPr>
          <w:i/>
        </w:rPr>
        <w:t>Financial Risk Management at BP</w:t>
      </w:r>
      <w:r>
        <w:t xml:space="preserve">, </w:t>
      </w:r>
      <w:r>
        <w:rPr>
          <w:i/>
        </w:rPr>
        <w:t>Financial Risk Management at BP|Enterprise Risk Management|Case Study|Case Studies</w:t>
      </w:r>
      <w:r>
        <w:t xml:space="preserve">. Available at: https://www.icmrindia.org/casestudies/catalogue/Enterprise%20Risk%20Management/Financial%20Risk%20Management%20at%20BP-Excerpts.htm# (Accessed: April 17, 2023). </w:t>
      </w:r>
    </w:p>
    <w:p w14:paraId="380107AB" w14:textId="77777777" w:rsidR="009B442D" w:rsidRDefault="009B442D">
      <w:pPr>
        <w:pStyle w:val="Normal1"/>
        <w:spacing w:before="240" w:after="240"/>
      </w:pPr>
    </w:p>
    <w:sectPr w:rsidR="009B442D" w:rsidSect="00482275">
      <w:footerReference w:type="default" r:id="rId7"/>
      <w:footerReference w:type="firs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3E647" w14:textId="77777777" w:rsidR="006165FC" w:rsidRDefault="006165FC">
      <w:pPr>
        <w:spacing w:line="240" w:lineRule="auto"/>
      </w:pPr>
      <w:r>
        <w:separator/>
      </w:r>
    </w:p>
  </w:endnote>
  <w:endnote w:type="continuationSeparator" w:id="0">
    <w:p w14:paraId="0920DD97" w14:textId="77777777" w:rsidR="006165FC" w:rsidRDefault="006165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F7D0" w14:textId="77777777" w:rsidR="009B442D" w:rsidRDefault="00000000">
    <w:pPr>
      <w:pStyle w:val="Normal1"/>
      <w:jc w:val="right"/>
    </w:pPr>
    <w:r>
      <w:fldChar w:fldCharType="begin"/>
    </w:r>
    <w:r>
      <w:instrText>PAGE</w:instrText>
    </w:r>
    <w:r>
      <w:fldChar w:fldCharType="separate"/>
    </w:r>
    <w:r w:rsidR="00482275">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0D0AC" w14:textId="77777777" w:rsidR="009B442D" w:rsidRDefault="009B442D">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DEF8C" w14:textId="77777777" w:rsidR="006165FC" w:rsidRDefault="006165FC">
      <w:pPr>
        <w:spacing w:line="240" w:lineRule="auto"/>
      </w:pPr>
      <w:r>
        <w:separator/>
      </w:r>
    </w:p>
  </w:footnote>
  <w:footnote w:type="continuationSeparator" w:id="0">
    <w:p w14:paraId="7D5CDDB8" w14:textId="77777777" w:rsidR="006165FC" w:rsidRDefault="006165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7AF34"/>
    <w:multiLevelType w:val="hybridMultilevel"/>
    <w:tmpl w:val="00000000"/>
    <w:lvl w:ilvl="0" w:tplc="54C47A36">
      <w:start w:val="1"/>
      <w:numFmt w:val="lowerLetter"/>
      <w:lvlText w:val="%1)"/>
      <w:lvlJc w:val="left"/>
      <w:pPr>
        <w:ind w:left="720" w:hanging="360"/>
      </w:pPr>
      <w:rPr>
        <w:u w:val="none"/>
      </w:rPr>
    </w:lvl>
    <w:lvl w:ilvl="1" w:tplc="EBC47CF2">
      <w:start w:val="1"/>
      <w:numFmt w:val="lowerRoman"/>
      <w:lvlText w:val="%2)"/>
      <w:lvlJc w:val="right"/>
      <w:pPr>
        <w:ind w:left="1440" w:hanging="360"/>
      </w:pPr>
      <w:rPr>
        <w:u w:val="none"/>
      </w:rPr>
    </w:lvl>
    <w:lvl w:ilvl="2" w:tplc="CEF05E86">
      <w:start w:val="1"/>
      <w:numFmt w:val="decimal"/>
      <w:lvlText w:val="%3)"/>
      <w:lvlJc w:val="left"/>
      <w:pPr>
        <w:ind w:left="2160" w:hanging="360"/>
      </w:pPr>
      <w:rPr>
        <w:u w:val="none"/>
      </w:rPr>
    </w:lvl>
    <w:lvl w:ilvl="3" w:tplc="C6B6C104">
      <w:start w:val="1"/>
      <w:numFmt w:val="lowerLetter"/>
      <w:lvlText w:val="(%4)"/>
      <w:lvlJc w:val="left"/>
      <w:pPr>
        <w:ind w:left="2880" w:hanging="360"/>
      </w:pPr>
      <w:rPr>
        <w:u w:val="none"/>
      </w:rPr>
    </w:lvl>
    <w:lvl w:ilvl="4" w:tplc="47AC1E48">
      <w:start w:val="1"/>
      <w:numFmt w:val="lowerRoman"/>
      <w:lvlText w:val="(%5)"/>
      <w:lvlJc w:val="right"/>
      <w:pPr>
        <w:ind w:left="3600" w:hanging="360"/>
      </w:pPr>
      <w:rPr>
        <w:u w:val="none"/>
      </w:rPr>
    </w:lvl>
    <w:lvl w:ilvl="5" w:tplc="29B455BE">
      <w:start w:val="1"/>
      <w:numFmt w:val="decimal"/>
      <w:lvlText w:val="(%6)"/>
      <w:lvlJc w:val="left"/>
      <w:pPr>
        <w:ind w:left="4320" w:hanging="360"/>
      </w:pPr>
      <w:rPr>
        <w:u w:val="none"/>
      </w:rPr>
    </w:lvl>
    <w:lvl w:ilvl="6" w:tplc="D36EC920">
      <w:start w:val="1"/>
      <w:numFmt w:val="lowerLetter"/>
      <w:lvlText w:val="%7."/>
      <w:lvlJc w:val="left"/>
      <w:pPr>
        <w:ind w:left="5040" w:hanging="360"/>
      </w:pPr>
      <w:rPr>
        <w:u w:val="none"/>
      </w:rPr>
    </w:lvl>
    <w:lvl w:ilvl="7" w:tplc="84B6A7FC">
      <w:start w:val="1"/>
      <w:numFmt w:val="lowerRoman"/>
      <w:lvlText w:val="%8."/>
      <w:lvlJc w:val="right"/>
      <w:pPr>
        <w:ind w:left="5760" w:hanging="360"/>
      </w:pPr>
      <w:rPr>
        <w:u w:val="none"/>
      </w:rPr>
    </w:lvl>
    <w:lvl w:ilvl="8" w:tplc="DAF227AA">
      <w:start w:val="1"/>
      <w:numFmt w:val="decimal"/>
      <w:lvlText w:val="%9."/>
      <w:lvlJc w:val="left"/>
      <w:pPr>
        <w:ind w:left="6480" w:hanging="360"/>
      </w:pPr>
      <w:rPr>
        <w:u w:val="none"/>
      </w:rPr>
    </w:lvl>
  </w:abstractNum>
  <w:abstractNum w:abstractNumId="1" w15:restartNumberingAfterBreak="0">
    <w:nsid w:val="2596A5E8"/>
    <w:multiLevelType w:val="hybridMultilevel"/>
    <w:tmpl w:val="00000000"/>
    <w:lvl w:ilvl="0" w:tplc="545838FA">
      <w:start w:val="1"/>
      <w:numFmt w:val="lowerLetter"/>
      <w:lvlText w:val="%1)"/>
      <w:lvlJc w:val="left"/>
      <w:pPr>
        <w:ind w:left="720" w:hanging="360"/>
      </w:pPr>
      <w:rPr>
        <w:u w:val="none"/>
      </w:rPr>
    </w:lvl>
    <w:lvl w:ilvl="1" w:tplc="614E785A">
      <w:start w:val="1"/>
      <w:numFmt w:val="lowerRoman"/>
      <w:lvlText w:val="%2)"/>
      <w:lvlJc w:val="right"/>
      <w:pPr>
        <w:ind w:left="1440" w:hanging="360"/>
      </w:pPr>
      <w:rPr>
        <w:u w:val="none"/>
      </w:rPr>
    </w:lvl>
    <w:lvl w:ilvl="2" w:tplc="9BF6A14A">
      <w:start w:val="1"/>
      <w:numFmt w:val="decimal"/>
      <w:lvlText w:val="%3)"/>
      <w:lvlJc w:val="left"/>
      <w:pPr>
        <w:ind w:left="2160" w:hanging="360"/>
      </w:pPr>
      <w:rPr>
        <w:u w:val="none"/>
      </w:rPr>
    </w:lvl>
    <w:lvl w:ilvl="3" w:tplc="09FE90B6">
      <w:start w:val="1"/>
      <w:numFmt w:val="lowerLetter"/>
      <w:lvlText w:val="(%4)"/>
      <w:lvlJc w:val="left"/>
      <w:pPr>
        <w:ind w:left="2880" w:hanging="360"/>
      </w:pPr>
      <w:rPr>
        <w:u w:val="none"/>
      </w:rPr>
    </w:lvl>
    <w:lvl w:ilvl="4" w:tplc="257212E2">
      <w:start w:val="1"/>
      <w:numFmt w:val="lowerRoman"/>
      <w:lvlText w:val="(%5)"/>
      <w:lvlJc w:val="right"/>
      <w:pPr>
        <w:ind w:left="3600" w:hanging="360"/>
      </w:pPr>
      <w:rPr>
        <w:u w:val="none"/>
      </w:rPr>
    </w:lvl>
    <w:lvl w:ilvl="5" w:tplc="CA8008D0">
      <w:start w:val="1"/>
      <w:numFmt w:val="decimal"/>
      <w:lvlText w:val="(%6)"/>
      <w:lvlJc w:val="left"/>
      <w:pPr>
        <w:ind w:left="4320" w:hanging="360"/>
      </w:pPr>
      <w:rPr>
        <w:u w:val="none"/>
      </w:rPr>
    </w:lvl>
    <w:lvl w:ilvl="6" w:tplc="94D65786">
      <w:start w:val="1"/>
      <w:numFmt w:val="lowerLetter"/>
      <w:lvlText w:val="%7."/>
      <w:lvlJc w:val="left"/>
      <w:pPr>
        <w:ind w:left="5040" w:hanging="360"/>
      </w:pPr>
      <w:rPr>
        <w:u w:val="none"/>
      </w:rPr>
    </w:lvl>
    <w:lvl w:ilvl="7" w:tplc="03320D34">
      <w:start w:val="1"/>
      <w:numFmt w:val="lowerRoman"/>
      <w:lvlText w:val="%8."/>
      <w:lvlJc w:val="right"/>
      <w:pPr>
        <w:ind w:left="5760" w:hanging="360"/>
      </w:pPr>
      <w:rPr>
        <w:u w:val="none"/>
      </w:rPr>
    </w:lvl>
    <w:lvl w:ilvl="8" w:tplc="E0E4444A">
      <w:start w:val="1"/>
      <w:numFmt w:val="decimal"/>
      <w:lvlText w:val="%9."/>
      <w:lvlJc w:val="left"/>
      <w:pPr>
        <w:ind w:left="6480" w:hanging="360"/>
      </w:pPr>
      <w:rPr>
        <w:u w:val="none"/>
      </w:rPr>
    </w:lvl>
  </w:abstractNum>
  <w:abstractNum w:abstractNumId="2" w15:restartNumberingAfterBreak="0">
    <w:nsid w:val="6B2FBDE8"/>
    <w:multiLevelType w:val="hybridMultilevel"/>
    <w:tmpl w:val="00000000"/>
    <w:lvl w:ilvl="0" w:tplc="C5306D88">
      <w:start w:val="1"/>
      <w:numFmt w:val="decimal"/>
      <w:lvlText w:val="%1)"/>
      <w:lvlJc w:val="left"/>
      <w:pPr>
        <w:ind w:left="720" w:hanging="360"/>
      </w:pPr>
      <w:rPr>
        <w:u w:val="none"/>
      </w:rPr>
    </w:lvl>
    <w:lvl w:ilvl="1" w:tplc="641296A0">
      <w:start w:val="1"/>
      <w:numFmt w:val="lowerLetter"/>
      <w:lvlText w:val="%2)"/>
      <w:lvlJc w:val="left"/>
      <w:pPr>
        <w:ind w:left="1440" w:hanging="360"/>
      </w:pPr>
      <w:rPr>
        <w:u w:val="none"/>
      </w:rPr>
    </w:lvl>
    <w:lvl w:ilvl="2" w:tplc="06068D4E">
      <w:start w:val="1"/>
      <w:numFmt w:val="lowerRoman"/>
      <w:lvlText w:val="%3)"/>
      <w:lvlJc w:val="right"/>
      <w:pPr>
        <w:ind w:left="2160" w:hanging="360"/>
      </w:pPr>
      <w:rPr>
        <w:u w:val="none"/>
      </w:rPr>
    </w:lvl>
    <w:lvl w:ilvl="3" w:tplc="7EECB222">
      <w:start w:val="1"/>
      <w:numFmt w:val="decimal"/>
      <w:lvlText w:val="(%4)"/>
      <w:lvlJc w:val="left"/>
      <w:pPr>
        <w:ind w:left="2880" w:hanging="360"/>
      </w:pPr>
      <w:rPr>
        <w:u w:val="none"/>
      </w:rPr>
    </w:lvl>
    <w:lvl w:ilvl="4" w:tplc="568EEF3A">
      <w:start w:val="1"/>
      <w:numFmt w:val="lowerLetter"/>
      <w:lvlText w:val="(%5)"/>
      <w:lvlJc w:val="left"/>
      <w:pPr>
        <w:ind w:left="3600" w:hanging="360"/>
      </w:pPr>
      <w:rPr>
        <w:u w:val="none"/>
      </w:rPr>
    </w:lvl>
    <w:lvl w:ilvl="5" w:tplc="20F4B61C">
      <w:start w:val="1"/>
      <w:numFmt w:val="lowerRoman"/>
      <w:lvlText w:val="(%6)"/>
      <w:lvlJc w:val="right"/>
      <w:pPr>
        <w:ind w:left="4320" w:hanging="360"/>
      </w:pPr>
      <w:rPr>
        <w:u w:val="none"/>
      </w:rPr>
    </w:lvl>
    <w:lvl w:ilvl="6" w:tplc="CA083A68">
      <w:start w:val="1"/>
      <w:numFmt w:val="decimal"/>
      <w:lvlText w:val="%7."/>
      <w:lvlJc w:val="left"/>
      <w:pPr>
        <w:ind w:left="5040" w:hanging="360"/>
      </w:pPr>
      <w:rPr>
        <w:u w:val="none"/>
      </w:rPr>
    </w:lvl>
    <w:lvl w:ilvl="7" w:tplc="24CE5324">
      <w:start w:val="1"/>
      <w:numFmt w:val="lowerLetter"/>
      <w:lvlText w:val="%8."/>
      <w:lvlJc w:val="left"/>
      <w:pPr>
        <w:ind w:left="5760" w:hanging="360"/>
      </w:pPr>
      <w:rPr>
        <w:u w:val="none"/>
      </w:rPr>
    </w:lvl>
    <w:lvl w:ilvl="8" w:tplc="1E7614A2">
      <w:start w:val="1"/>
      <w:numFmt w:val="lowerRoman"/>
      <w:lvlText w:val="%9."/>
      <w:lvlJc w:val="right"/>
      <w:pPr>
        <w:ind w:left="6480" w:hanging="360"/>
      </w:pPr>
      <w:rPr>
        <w:u w:val="none"/>
      </w:rPr>
    </w:lvl>
  </w:abstractNum>
  <w:num w:numId="1" w16cid:durableId="313729266">
    <w:abstractNumId w:val="0"/>
  </w:num>
  <w:num w:numId="2" w16cid:durableId="597062959">
    <w:abstractNumId w:val="1"/>
  </w:num>
  <w:num w:numId="3" w16cid:durableId="12049008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42D"/>
    <w:rsid w:val="00092F03"/>
    <w:rsid w:val="001121DC"/>
    <w:rsid w:val="00482275"/>
    <w:rsid w:val="006165FC"/>
    <w:rsid w:val="009B442D"/>
    <w:rsid w:val="00B421DA"/>
    <w:rsid w:val="00BC7501"/>
    <w:rsid w:val="00C37663"/>
    <w:rsid w:val="00FB22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A39CF"/>
  <w15:docId w15:val="{94D7FC4F-6648-4C61-A83F-F75CEF26F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3256</Words>
  <Characters>18560</Characters>
  <Application>Microsoft Office Word</Application>
  <DocSecurity>0</DocSecurity>
  <Lines>154</Lines>
  <Paragraphs>43</Paragraphs>
  <ScaleCrop>false</ScaleCrop>
  <Company/>
  <LinksUpToDate>false</LinksUpToDate>
  <CharactersWithSpaces>21773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Dumitru Tudora (1913294)</cp:lastModifiedBy>
  <cp:revision>4</cp:revision>
  <dcterms:created xsi:type="dcterms:W3CDTF">2023-04-20T05:58:00Z</dcterms:created>
  <dcterms:modified xsi:type="dcterms:W3CDTF">2023-04-20T06:05:00Z</dcterms:modified>
</cp:coreProperties>
</file>