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C9E916" w14:textId="77777777" w:rsidR="009239EF" w:rsidRPr="00C362B0" w:rsidRDefault="009239EF" w:rsidP="005C7A31">
      <w:pPr>
        <w:spacing w:line="360" w:lineRule="auto"/>
        <w:jc w:val="center"/>
        <w:rPr>
          <w:rFonts w:ascii="Arial" w:hAnsi="Arial" w:cs="Arial"/>
          <w:b/>
          <w:bCs/>
          <w:sz w:val="28"/>
          <w:szCs w:val="24"/>
          <w:lang w:val="en-GB"/>
        </w:rPr>
      </w:pPr>
    </w:p>
    <w:p w14:paraId="483125A6" w14:textId="77777777" w:rsidR="009239EF" w:rsidRPr="00C362B0" w:rsidRDefault="009239EF" w:rsidP="005C7A31">
      <w:pPr>
        <w:spacing w:line="360" w:lineRule="auto"/>
        <w:jc w:val="center"/>
        <w:rPr>
          <w:rFonts w:ascii="Arial" w:hAnsi="Arial" w:cs="Arial"/>
          <w:b/>
          <w:bCs/>
          <w:sz w:val="28"/>
          <w:szCs w:val="24"/>
          <w:lang w:val="en-GB"/>
        </w:rPr>
      </w:pPr>
    </w:p>
    <w:p w14:paraId="5608FAE1" w14:textId="77777777" w:rsidR="009239EF" w:rsidRPr="00C362B0" w:rsidRDefault="009239EF" w:rsidP="005C7A31">
      <w:pPr>
        <w:spacing w:line="360" w:lineRule="auto"/>
        <w:jc w:val="center"/>
        <w:rPr>
          <w:rFonts w:ascii="Arial" w:hAnsi="Arial" w:cs="Arial"/>
          <w:b/>
          <w:bCs/>
          <w:sz w:val="28"/>
          <w:szCs w:val="24"/>
          <w:lang w:val="en-GB"/>
        </w:rPr>
      </w:pPr>
    </w:p>
    <w:p w14:paraId="5AE37517" w14:textId="77777777" w:rsidR="009239EF" w:rsidRPr="00C362B0" w:rsidRDefault="009239EF" w:rsidP="005C7A31">
      <w:pPr>
        <w:spacing w:line="360" w:lineRule="auto"/>
        <w:jc w:val="center"/>
        <w:rPr>
          <w:rFonts w:ascii="Arial" w:hAnsi="Arial" w:cs="Arial"/>
          <w:b/>
          <w:bCs/>
          <w:sz w:val="28"/>
          <w:szCs w:val="24"/>
          <w:lang w:val="en-GB"/>
        </w:rPr>
      </w:pPr>
    </w:p>
    <w:p w14:paraId="5A87A8F2" w14:textId="77777777" w:rsidR="009239EF" w:rsidRPr="00C362B0" w:rsidRDefault="009239EF" w:rsidP="005C7A31">
      <w:pPr>
        <w:spacing w:line="360" w:lineRule="auto"/>
        <w:jc w:val="center"/>
        <w:rPr>
          <w:rFonts w:ascii="Arial" w:hAnsi="Arial" w:cs="Arial"/>
          <w:b/>
          <w:bCs/>
          <w:sz w:val="28"/>
          <w:szCs w:val="24"/>
          <w:lang w:val="en-GB"/>
        </w:rPr>
      </w:pPr>
    </w:p>
    <w:p w14:paraId="3D14E661" w14:textId="4A6D3499" w:rsidR="005C7A31" w:rsidRPr="00C362B0" w:rsidRDefault="005C7A31" w:rsidP="005C7A31">
      <w:pPr>
        <w:spacing w:line="360" w:lineRule="auto"/>
        <w:jc w:val="center"/>
        <w:rPr>
          <w:rFonts w:ascii="Arial" w:hAnsi="Arial" w:cs="Arial"/>
          <w:b/>
          <w:bCs/>
          <w:sz w:val="28"/>
          <w:szCs w:val="24"/>
          <w:lang w:val="en-GB"/>
        </w:rPr>
      </w:pPr>
      <w:r w:rsidRPr="00C362B0">
        <w:rPr>
          <w:rFonts w:ascii="Arial" w:hAnsi="Arial" w:cs="Arial"/>
          <w:noProof/>
          <w:sz w:val="24"/>
          <w:szCs w:val="24"/>
          <w:lang w:val="en-GB" w:eastAsia="en-GB"/>
        </w:rPr>
        <w:drawing>
          <wp:anchor distT="0" distB="0" distL="114300" distR="114300" simplePos="0" relativeHeight="251659264" behindDoc="0" locked="0" layoutInCell="1" allowOverlap="1" wp14:anchorId="2119F453" wp14:editId="7BBED184">
            <wp:simplePos x="0" y="0"/>
            <wp:positionH relativeFrom="margin">
              <wp:align>center</wp:align>
            </wp:positionH>
            <wp:positionV relativeFrom="paragraph">
              <wp:posOffset>0</wp:posOffset>
            </wp:positionV>
            <wp:extent cx="3454400" cy="114554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65D6FE43" w14:textId="77777777" w:rsidR="005C7A31" w:rsidRPr="00C362B0" w:rsidRDefault="005C7A31" w:rsidP="005C7A31">
      <w:pPr>
        <w:spacing w:line="360" w:lineRule="auto"/>
        <w:jc w:val="center"/>
        <w:rPr>
          <w:rFonts w:ascii="Arial" w:hAnsi="Arial" w:cs="Arial"/>
          <w:b/>
          <w:bCs/>
          <w:sz w:val="28"/>
          <w:szCs w:val="24"/>
          <w:lang w:val="en-GB"/>
        </w:rPr>
      </w:pPr>
      <w:r w:rsidRPr="00C362B0">
        <w:rPr>
          <w:rFonts w:ascii="Arial" w:hAnsi="Arial" w:cs="Arial"/>
          <w:b/>
          <w:bCs/>
          <w:sz w:val="28"/>
          <w:szCs w:val="24"/>
          <w:lang w:val="en-GB"/>
        </w:rPr>
        <w:t>Master of Business Administration</w:t>
      </w:r>
    </w:p>
    <w:p w14:paraId="03E5472E" w14:textId="39E1CF67" w:rsidR="005C7A31" w:rsidRPr="00C362B0" w:rsidRDefault="005C7A31" w:rsidP="005C7A31">
      <w:pPr>
        <w:spacing w:line="360" w:lineRule="auto"/>
        <w:jc w:val="center"/>
        <w:rPr>
          <w:rFonts w:ascii="Arial" w:hAnsi="Arial" w:cs="Arial"/>
          <w:b/>
          <w:bCs/>
          <w:sz w:val="28"/>
          <w:szCs w:val="24"/>
          <w:lang w:val="en-GB"/>
        </w:rPr>
      </w:pPr>
      <w:r w:rsidRPr="00C362B0">
        <w:rPr>
          <w:rFonts w:ascii="Arial" w:hAnsi="Arial" w:cs="Arial"/>
          <w:b/>
          <w:bCs/>
          <w:sz w:val="28"/>
          <w:szCs w:val="24"/>
          <w:lang w:val="en-GB"/>
        </w:rPr>
        <w:t>Student Name:</w:t>
      </w:r>
      <w:r w:rsidRPr="00C362B0">
        <w:rPr>
          <w:rFonts w:ascii="Arial" w:hAnsi="Arial" w:cs="Arial"/>
          <w:sz w:val="28"/>
          <w:szCs w:val="24"/>
          <w:lang w:val="en-GB"/>
        </w:rPr>
        <w:t xml:space="preserve"> </w:t>
      </w:r>
      <w:proofErr w:type="spellStart"/>
      <w:r w:rsidRPr="00C362B0">
        <w:rPr>
          <w:rFonts w:ascii="Arial" w:hAnsi="Arial" w:cs="Arial"/>
          <w:b/>
          <w:sz w:val="28"/>
          <w:szCs w:val="24"/>
          <w:lang w:val="en-GB"/>
        </w:rPr>
        <w:t>Biplob</w:t>
      </w:r>
      <w:proofErr w:type="spellEnd"/>
      <w:r w:rsidRPr="00C362B0">
        <w:rPr>
          <w:rFonts w:ascii="Arial" w:hAnsi="Arial" w:cs="Arial"/>
          <w:b/>
          <w:sz w:val="28"/>
          <w:szCs w:val="24"/>
          <w:lang w:val="en-GB"/>
        </w:rPr>
        <w:t xml:space="preserve"> Das</w:t>
      </w:r>
    </w:p>
    <w:p w14:paraId="0DE86656" w14:textId="17659E10" w:rsidR="005C7A31" w:rsidRPr="00C362B0" w:rsidRDefault="005C7A31" w:rsidP="005C7A31">
      <w:pPr>
        <w:spacing w:line="360" w:lineRule="auto"/>
        <w:jc w:val="center"/>
        <w:rPr>
          <w:rFonts w:ascii="Arial" w:hAnsi="Arial" w:cs="Arial"/>
          <w:sz w:val="28"/>
          <w:szCs w:val="24"/>
          <w:lang w:val="en-GB"/>
        </w:rPr>
      </w:pPr>
      <w:r w:rsidRPr="00C362B0">
        <w:rPr>
          <w:rFonts w:ascii="Arial" w:hAnsi="Arial" w:cs="Arial"/>
          <w:b/>
          <w:bCs/>
          <w:sz w:val="28"/>
          <w:szCs w:val="24"/>
          <w:lang w:val="en-GB"/>
        </w:rPr>
        <w:t>Student Number:2424763</w:t>
      </w:r>
    </w:p>
    <w:p w14:paraId="27AAB4AE" w14:textId="74A85811" w:rsidR="005C7A31" w:rsidRPr="00C362B0" w:rsidRDefault="005C7A31" w:rsidP="005C7A31">
      <w:pPr>
        <w:spacing w:line="360" w:lineRule="auto"/>
        <w:jc w:val="center"/>
        <w:rPr>
          <w:rFonts w:ascii="Arial" w:hAnsi="Arial" w:cs="Arial"/>
          <w:b/>
          <w:bCs/>
          <w:sz w:val="28"/>
          <w:szCs w:val="24"/>
          <w:lang w:val="en-GB"/>
        </w:rPr>
      </w:pPr>
      <w:r w:rsidRPr="00C362B0">
        <w:rPr>
          <w:rFonts w:ascii="Arial" w:hAnsi="Arial" w:cs="Arial"/>
          <w:b/>
          <w:bCs/>
          <w:sz w:val="28"/>
          <w:szCs w:val="24"/>
          <w:lang w:val="en-GB"/>
        </w:rPr>
        <w:t>Module code: LCMB7037</w:t>
      </w:r>
    </w:p>
    <w:p w14:paraId="5AE23CF8" w14:textId="77777777" w:rsidR="005C7A31" w:rsidRPr="00C362B0" w:rsidRDefault="005C7A31" w:rsidP="005C7A31">
      <w:pPr>
        <w:spacing w:line="360" w:lineRule="auto"/>
        <w:jc w:val="center"/>
        <w:rPr>
          <w:rFonts w:ascii="Arial" w:hAnsi="Arial" w:cs="Arial"/>
          <w:b/>
          <w:bCs/>
          <w:sz w:val="28"/>
          <w:szCs w:val="24"/>
          <w:lang w:val="en-GB"/>
        </w:rPr>
      </w:pPr>
      <w:r w:rsidRPr="00C362B0">
        <w:rPr>
          <w:rFonts w:ascii="Arial" w:hAnsi="Arial" w:cs="Arial"/>
          <w:b/>
          <w:bCs/>
          <w:sz w:val="28"/>
          <w:szCs w:val="24"/>
          <w:lang w:val="en-GB"/>
        </w:rPr>
        <w:t>Module Name: Business Development Proposal</w:t>
      </w:r>
    </w:p>
    <w:p w14:paraId="3449D40E" w14:textId="7AF54D0C" w:rsidR="005C7A31" w:rsidRPr="00C362B0" w:rsidRDefault="005C7A31" w:rsidP="005C7A31">
      <w:pPr>
        <w:spacing w:line="360" w:lineRule="auto"/>
        <w:jc w:val="center"/>
        <w:rPr>
          <w:rFonts w:ascii="Arial" w:hAnsi="Arial" w:cs="Arial"/>
          <w:b/>
          <w:bCs/>
          <w:sz w:val="28"/>
          <w:szCs w:val="24"/>
          <w:lang w:val="en-GB"/>
        </w:rPr>
      </w:pPr>
      <w:r w:rsidRPr="00C362B0">
        <w:rPr>
          <w:rFonts w:ascii="Arial" w:hAnsi="Arial" w:cs="Arial"/>
          <w:b/>
          <w:bCs/>
          <w:sz w:val="28"/>
          <w:szCs w:val="24"/>
          <w:lang w:val="en-GB"/>
        </w:rPr>
        <w:t>Title: "</w:t>
      </w:r>
      <w:r w:rsidRPr="00C362B0">
        <w:rPr>
          <w:lang w:val="en-GB"/>
        </w:rPr>
        <w:t xml:space="preserve"> </w:t>
      </w:r>
      <w:proofErr w:type="spellStart"/>
      <w:r w:rsidR="00E726A2" w:rsidRPr="00C362B0">
        <w:rPr>
          <w:rFonts w:ascii="Arial" w:hAnsi="Arial" w:cs="Arial"/>
          <w:b/>
          <w:bCs/>
          <w:sz w:val="28"/>
          <w:szCs w:val="24"/>
          <w:lang w:val="en-GB"/>
        </w:rPr>
        <w:t>FitLife</w:t>
      </w:r>
      <w:proofErr w:type="spellEnd"/>
      <w:r w:rsidR="00E726A2" w:rsidRPr="00C362B0">
        <w:rPr>
          <w:rFonts w:ascii="Arial" w:hAnsi="Arial" w:cs="Arial"/>
          <w:b/>
          <w:bCs/>
          <w:sz w:val="28"/>
          <w:szCs w:val="24"/>
          <w:lang w:val="en-GB"/>
        </w:rPr>
        <w:t xml:space="preserve"> Smart Gym: Developing a Smart Fitness and Wellness Centre in </w:t>
      </w:r>
      <w:proofErr w:type="spellStart"/>
      <w:r w:rsidR="00E726A2" w:rsidRPr="00C362B0">
        <w:rPr>
          <w:rFonts w:ascii="Arial" w:hAnsi="Arial" w:cs="Arial"/>
          <w:b/>
          <w:bCs/>
          <w:sz w:val="28"/>
          <w:szCs w:val="24"/>
          <w:lang w:val="en-GB"/>
        </w:rPr>
        <w:t>Levenshulme</w:t>
      </w:r>
      <w:proofErr w:type="spellEnd"/>
      <w:r w:rsidR="00E726A2" w:rsidRPr="00C362B0">
        <w:rPr>
          <w:rFonts w:ascii="Arial" w:hAnsi="Arial" w:cs="Arial"/>
          <w:b/>
          <w:bCs/>
          <w:sz w:val="28"/>
          <w:szCs w:val="24"/>
          <w:lang w:val="en-GB"/>
        </w:rPr>
        <w:t xml:space="preserve"> Manchester, England, United Kingdom </w:t>
      </w:r>
      <w:r w:rsidRPr="00C362B0">
        <w:rPr>
          <w:rFonts w:ascii="Arial" w:hAnsi="Arial" w:cs="Arial"/>
          <w:b/>
          <w:bCs/>
          <w:sz w:val="28"/>
          <w:szCs w:val="24"/>
          <w:lang w:val="en-GB"/>
        </w:rPr>
        <w:t>"</w:t>
      </w:r>
    </w:p>
    <w:p w14:paraId="0F58EE63" w14:textId="46D79355" w:rsidR="005C7A31" w:rsidRPr="00C362B0" w:rsidRDefault="005C7A31" w:rsidP="005C7A31">
      <w:pPr>
        <w:spacing w:line="360" w:lineRule="auto"/>
        <w:jc w:val="center"/>
        <w:rPr>
          <w:rFonts w:ascii="Arial" w:hAnsi="Arial" w:cs="Arial"/>
          <w:b/>
          <w:bCs/>
          <w:sz w:val="28"/>
          <w:szCs w:val="24"/>
          <w:lang w:val="en-GB"/>
        </w:rPr>
      </w:pPr>
      <w:r w:rsidRPr="00C362B0">
        <w:rPr>
          <w:rFonts w:ascii="Arial" w:hAnsi="Arial" w:cs="Arial"/>
          <w:b/>
          <w:bCs/>
          <w:sz w:val="28"/>
          <w:szCs w:val="24"/>
          <w:lang w:val="en-GB"/>
        </w:rPr>
        <w:t xml:space="preserve">Supervisor: </w:t>
      </w:r>
      <w:proofErr w:type="spellStart"/>
      <w:r w:rsidRPr="00C362B0">
        <w:rPr>
          <w:rFonts w:ascii="Arial" w:hAnsi="Arial" w:cs="Arial"/>
          <w:b/>
          <w:bCs/>
          <w:sz w:val="28"/>
          <w:szCs w:val="24"/>
          <w:lang w:val="en-GB"/>
        </w:rPr>
        <w:t>Balendran</w:t>
      </w:r>
      <w:proofErr w:type="spellEnd"/>
      <w:r w:rsidRPr="00C362B0">
        <w:rPr>
          <w:rFonts w:ascii="Arial" w:hAnsi="Arial" w:cs="Arial"/>
          <w:b/>
          <w:bCs/>
          <w:sz w:val="28"/>
          <w:szCs w:val="24"/>
          <w:lang w:val="en-GB"/>
        </w:rPr>
        <w:t xml:space="preserve"> </w:t>
      </w:r>
      <w:proofErr w:type="spellStart"/>
      <w:r w:rsidRPr="00C362B0">
        <w:rPr>
          <w:rFonts w:ascii="Arial" w:hAnsi="Arial" w:cs="Arial"/>
          <w:b/>
          <w:bCs/>
          <w:sz w:val="28"/>
          <w:szCs w:val="24"/>
          <w:lang w:val="en-GB"/>
        </w:rPr>
        <w:t>Kandasamy</w:t>
      </w:r>
      <w:proofErr w:type="spellEnd"/>
    </w:p>
    <w:p w14:paraId="61BE0283" w14:textId="4E18EC87" w:rsidR="005C7A31" w:rsidRPr="00C362B0" w:rsidRDefault="005C7A31" w:rsidP="005C7A31">
      <w:pPr>
        <w:spacing w:line="360" w:lineRule="auto"/>
        <w:jc w:val="center"/>
        <w:rPr>
          <w:rFonts w:ascii="Arial" w:hAnsi="Arial" w:cs="Arial"/>
          <w:b/>
          <w:bCs/>
          <w:sz w:val="28"/>
          <w:szCs w:val="24"/>
          <w:lang w:val="en-GB"/>
        </w:rPr>
      </w:pPr>
      <w:r w:rsidRPr="00C362B0">
        <w:rPr>
          <w:rFonts w:ascii="Arial" w:hAnsi="Arial" w:cs="Arial"/>
          <w:b/>
          <w:bCs/>
          <w:sz w:val="28"/>
          <w:szCs w:val="24"/>
          <w:lang w:val="en-GB"/>
        </w:rPr>
        <w:t xml:space="preserve">Words Count: </w:t>
      </w:r>
    </w:p>
    <w:p w14:paraId="51733E6B" w14:textId="77777777" w:rsidR="005C7A31" w:rsidRPr="00C362B0" w:rsidRDefault="005C7A31" w:rsidP="005C7A31">
      <w:pPr>
        <w:spacing w:line="278" w:lineRule="auto"/>
        <w:rPr>
          <w:rFonts w:ascii="Arial" w:hAnsi="Arial" w:cs="Arial"/>
          <w:b/>
          <w:bCs/>
          <w:sz w:val="28"/>
          <w:szCs w:val="24"/>
          <w:lang w:val="en-GB"/>
        </w:rPr>
      </w:pPr>
      <w:r w:rsidRPr="00C362B0">
        <w:rPr>
          <w:rFonts w:ascii="Arial" w:hAnsi="Arial" w:cs="Arial"/>
          <w:b/>
          <w:bCs/>
          <w:sz w:val="28"/>
          <w:szCs w:val="24"/>
          <w:lang w:val="en-GB"/>
        </w:rPr>
        <w:br w:type="page"/>
      </w:r>
    </w:p>
    <w:p w14:paraId="4D2E7F1D" w14:textId="77777777" w:rsidR="005C7A31" w:rsidRPr="00C362B0" w:rsidRDefault="005C7A31" w:rsidP="005C7A31">
      <w:pPr>
        <w:pBdr>
          <w:top w:val="single" w:sz="4" w:space="1" w:color="auto"/>
          <w:left w:val="single" w:sz="4" w:space="4" w:color="auto"/>
          <w:bottom w:val="single" w:sz="4" w:space="31" w:color="auto"/>
          <w:right w:val="single" w:sz="4" w:space="4" w:color="auto"/>
        </w:pBdr>
        <w:spacing w:after="120"/>
        <w:rPr>
          <w:rFonts w:ascii="Arial" w:hAnsi="Arial" w:cs="Arial"/>
          <w:lang w:val="en-GB"/>
        </w:rPr>
        <w:sectPr w:rsidR="005C7A31" w:rsidRPr="00C362B0" w:rsidSect="00E23192">
          <w:pgSz w:w="11906" w:h="16838"/>
          <w:pgMar w:top="1440" w:right="1440" w:bottom="1440" w:left="1440" w:header="708" w:footer="708" w:gutter="0"/>
          <w:pgBorders w:display="firstPage" w:offsetFrom="page">
            <w:top w:val="stars" w:sz="12" w:space="24" w:color="auto"/>
            <w:left w:val="stars" w:sz="12" w:space="24" w:color="auto"/>
            <w:bottom w:val="stars" w:sz="12" w:space="24" w:color="auto"/>
            <w:right w:val="stars" w:sz="12" w:space="24" w:color="auto"/>
          </w:pgBorders>
          <w:cols w:space="708"/>
          <w:docGrid w:linePitch="360"/>
        </w:sectPr>
      </w:pPr>
    </w:p>
    <w:p w14:paraId="0BCF5920" w14:textId="77777777" w:rsidR="005C7A31" w:rsidRPr="00C362B0"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lang w:val="en-GB"/>
        </w:rPr>
      </w:pPr>
      <w:r w:rsidRPr="00C362B0">
        <w:rPr>
          <w:rFonts w:ascii="Arial" w:hAnsi="Arial" w:cs="Arial"/>
          <w:noProof/>
          <w:lang w:val="en-GB" w:eastAsia="en-GB"/>
        </w:rPr>
        <w:lastRenderedPageBreak/>
        <w:drawing>
          <wp:inline distT="0" distB="0" distL="0" distR="0" wp14:anchorId="6278AC16" wp14:editId="4A6EC100">
            <wp:extent cx="2844800" cy="11684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4800" cy="1168400"/>
                    </a:xfrm>
                    <a:prstGeom prst="rect">
                      <a:avLst/>
                    </a:prstGeom>
                    <a:noFill/>
                    <a:ln>
                      <a:noFill/>
                    </a:ln>
                  </pic:spPr>
                </pic:pic>
              </a:graphicData>
            </a:graphic>
          </wp:inline>
        </w:drawing>
      </w:r>
    </w:p>
    <w:p w14:paraId="2C9ACF15" w14:textId="77777777" w:rsidR="005C7A31" w:rsidRPr="00C362B0"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b/>
          <w:sz w:val="28"/>
          <w:szCs w:val="28"/>
          <w:lang w:val="en-GB"/>
        </w:rPr>
      </w:pPr>
    </w:p>
    <w:p w14:paraId="4A0723C8" w14:textId="77777777" w:rsidR="005C7A31" w:rsidRPr="00C362B0"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C362B0">
        <w:rPr>
          <w:rFonts w:ascii="Arial" w:hAnsi="Arial" w:cs="Arial"/>
          <w:b/>
          <w:sz w:val="28"/>
          <w:szCs w:val="28"/>
          <w:lang w:val="en-GB"/>
        </w:rPr>
        <w:t>Master’s Degrees by Examination and Dissertation</w:t>
      </w:r>
    </w:p>
    <w:p w14:paraId="0EF4909E" w14:textId="77777777" w:rsidR="005C7A31" w:rsidRPr="00C362B0" w:rsidRDefault="005C7A31" w:rsidP="005C7A31">
      <w:pPr>
        <w:pBdr>
          <w:top w:val="single" w:sz="4" w:space="1" w:color="auto"/>
          <w:left w:val="single" w:sz="4" w:space="4" w:color="auto"/>
          <w:bottom w:val="single" w:sz="4" w:space="31" w:color="auto"/>
          <w:right w:val="single" w:sz="4" w:space="4" w:color="auto"/>
        </w:pBdr>
        <w:spacing w:after="120"/>
        <w:jc w:val="center"/>
        <w:rPr>
          <w:rFonts w:ascii="Arial" w:hAnsi="Arial" w:cs="Arial"/>
          <w:sz w:val="28"/>
          <w:szCs w:val="28"/>
          <w:lang w:val="en-GB"/>
        </w:rPr>
      </w:pPr>
      <w:r w:rsidRPr="00C362B0">
        <w:rPr>
          <w:rFonts w:ascii="Arial" w:hAnsi="Arial" w:cs="Arial"/>
          <w:b/>
          <w:sz w:val="28"/>
          <w:szCs w:val="28"/>
          <w:lang w:val="en-GB"/>
        </w:rPr>
        <w:t>Declaration Form</w:t>
      </w:r>
    </w:p>
    <w:p w14:paraId="575CB286" w14:textId="77777777" w:rsidR="005C7A31" w:rsidRPr="00C362B0"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lang w:val="en-GB"/>
        </w:rPr>
      </w:pPr>
    </w:p>
    <w:p w14:paraId="1A399034" w14:textId="47150A79" w:rsidR="005C7A31" w:rsidRPr="00C362B0"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C362B0">
        <w:rPr>
          <w:rFonts w:ascii="Arial" w:hAnsi="Arial" w:cs="Arial"/>
          <w:sz w:val="24"/>
          <w:szCs w:val="24"/>
          <w:lang w:val="en-GB"/>
        </w:rPr>
        <w:t xml:space="preserve">I, </w:t>
      </w:r>
      <w:proofErr w:type="spellStart"/>
      <w:r w:rsidRPr="00C362B0">
        <w:rPr>
          <w:rFonts w:ascii="Arial" w:hAnsi="Arial" w:cs="Arial"/>
          <w:bCs/>
          <w:sz w:val="24"/>
          <w:szCs w:val="24"/>
          <w:lang w:val="en-GB"/>
        </w:rPr>
        <w:t>Biplob</w:t>
      </w:r>
      <w:proofErr w:type="spellEnd"/>
      <w:r w:rsidRPr="00C362B0">
        <w:rPr>
          <w:rFonts w:ascii="Arial" w:hAnsi="Arial" w:cs="Arial"/>
          <w:bCs/>
          <w:sz w:val="24"/>
          <w:szCs w:val="24"/>
          <w:lang w:val="en-GB"/>
        </w:rPr>
        <w:t xml:space="preserve"> Das</w:t>
      </w:r>
      <w:r w:rsidRPr="00C362B0">
        <w:rPr>
          <w:rFonts w:ascii="Arial" w:hAnsi="Arial" w:cs="Arial"/>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D5DE658" w14:textId="77777777" w:rsidR="005C7A31" w:rsidRPr="00C362B0"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C362B0">
        <w:rPr>
          <w:rFonts w:ascii="Arial" w:hAnsi="Arial" w:cs="Arial"/>
          <w:sz w:val="24"/>
          <w:szCs w:val="24"/>
          <w:lang w:val="en-GB"/>
        </w:rPr>
        <w:t xml:space="preserve"> </w:t>
      </w:r>
    </w:p>
    <w:p w14:paraId="065A9471" w14:textId="47D3BB3E" w:rsidR="005C7A31" w:rsidRPr="00C362B0" w:rsidRDefault="005C7A31"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C362B0">
        <w:rPr>
          <w:rFonts w:ascii="Arial" w:hAnsi="Arial" w:cs="Arial"/>
          <w:sz w:val="24"/>
          <w:szCs w:val="24"/>
          <w:lang w:val="en-GB"/>
        </w:rPr>
        <w:t xml:space="preserve">Signature: </w:t>
      </w:r>
      <w:proofErr w:type="spellStart"/>
      <w:r w:rsidRPr="00C362B0">
        <w:rPr>
          <w:rFonts w:ascii="Arial" w:hAnsi="Arial" w:cs="Arial"/>
          <w:sz w:val="24"/>
          <w:szCs w:val="24"/>
          <w:lang w:val="en-GB"/>
        </w:rPr>
        <w:t>Biplob</w:t>
      </w:r>
      <w:proofErr w:type="spellEnd"/>
      <w:r w:rsidRPr="00C362B0">
        <w:rPr>
          <w:rFonts w:ascii="Arial" w:hAnsi="Arial" w:cs="Arial"/>
          <w:sz w:val="24"/>
          <w:szCs w:val="24"/>
          <w:lang w:val="en-GB"/>
        </w:rPr>
        <w:t xml:space="preserve"> Das</w:t>
      </w:r>
    </w:p>
    <w:p w14:paraId="5BFD57B0" w14:textId="0F55D715" w:rsidR="005C7A31" w:rsidRPr="00C362B0" w:rsidRDefault="00316DB9" w:rsidP="005C7A31">
      <w:pPr>
        <w:pBdr>
          <w:top w:val="single" w:sz="4" w:space="1" w:color="auto"/>
          <w:left w:val="single" w:sz="4" w:space="4" w:color="auto"/>
          <w:bottom w:val="single" w:sz="4" w:space="31" w:color="auto"/>
          <w:right w:val="single" w:sz="4" w:space="4" w:color="auto"/>
        </w:pBdr>
        <w:spacing w:after="120" w:line="480" w:lineRule="auto"/>
        <w:rPr>
          <w:rFonts w:ascii="Arial" w:hAnsi="Arial" w:cs="Arial"/>
          <w:sz w:val="24"/>
          <w:szCs w:val="24"/>
          <w:lang w:val="en-GB"/>
        </w:rPr>
      </w:pPr>
      <w:r w:rsidRPr="00C362B0">
        <w:rPr>
          <w:rFonts w:ascii="Arial" w:hAnsi="Arial" w:cs="Arial"/>
          <w:sz w:val="24"/>
          <w:szCs w:val="24"/>
          <w:lang w:val="en-GB"/>
        </w:rPr>
        <w:t xml:space="preserve">Date:  </w:t>
      </w:r>
    </w:p>
    <w:p w14:paraId="2D11BD0D" w14:textId="7D4A4029" w:rsidR="00FB416B" w:rsidRPr="00C362B0" w:rsidRDefault="00FB416B" w:rsidP="004439A2">
      <w:pPr>
        <w:spacing w:line="360" w:lineRule="auto"/>
        <w:jc w:val="center"/>
        <w:rPr>
          <w:rFonts w:ascii="Arial" w:hAnsi="Arial" w:cs="Arial"/>
          <w:b/>
          <w:bCs/>
          <w:sz w:val="28"/>
          <w:szCs w:val="24"/>
          <w:lang w:val="en-GB"/>
        </w:rPr>
      </w:pPr>
    </w:p>
    <w:p w14:paraId="248C549D" w14:textId="1C380FF6" w:rsidR="005C7A31" w:rsidRPr="00C362B0" w:rsidRDefault="005C7A31" w:rsidP="004439A2">
      <w:pPr>
        <w:spacing w:line="360" w:lineRule="auto"/>
        <w:jc w:val="center"/>
        <w:rPr>
          <w:rFonts w:ascii="Arial" w:hAnsi="Arial" w:cs="Arial"/>
          <w:b/>
          <w:bCs/>
          <w:sz w:val="28"/>
          <w:szCs w:val="24"/>
          <w:lang w:val="en-GB"/>
        </w:rPr>
      </w:pPr>
    </w:p>
    <w:p w14:paraId="2DC914B4" w14:textId="7CF50949" w:rsidR="005C7A31" w:rsidRPr="00C362B0" w:rsidRDefault="005C7A31" w:rsidP="004439A2">
      <w:pPr>
        <w:spacing w:line="360" w:lineRule="auto"/>
        <w:jc w:val="center"/>
        <w:rPr>
          <w:rFonts w:ascii="Arial" w:hAnsi="Arial" w:cs="Arial"/>
          <w:b/>
          <w:bCs/>
          <w:sz w:val="28"/>
          <w:szCs w:val="24"/>
          <w:lang w:val="en-GB"/>
        </w:rPr>
      </w:pPr>
    </w:p>
    <w:p w14:paraId="68F9D89B" w14:textId="4F6C1302" w:rsidR="003E4183" w:rsidRPr="00C362B0" w:rsidRDefault="003E4183" w:rsidP="009D716D">
      <w:pPr>
        <w:jc w:val="both"/>
        <w:rPr>
          <w:rFonts w:ascii="Arial" w:hAnsi="Arial" w:cs="Arial"/>
          <w:sz w:val="24"/>
          <w:szCs w:val="24"/>
          <w:lang w:val="en-GB"/>
        </w:rPr>
      </w:pPr>
    </w:p>
    <w:p w14:paraId="02BC69DE" w14:textId="71FDF694" w:rsidR="003E4183" w:rsidRPr="00C362B0" w:rsidRDefault="003E4183" w:rsidP="003E4183">
      <w:pPr>
        <w:rPr>
          <w:rFonts w:ascii="Arial" w:hAnsi="Arial" w:cs="Arial"/>
          <w:sz w:val="24"/>
          <w:szCs w:val="24"/>
          <w:lang w:val="en-GB"/>
        </w:rPr>
      </w:pPr>
    </w:p>
    <w:p w14:paraId="36E9806E" w14:textId="4DDCE21C" w:rsidR="003E4183" w:rsidRPr="00C362B0" w:rsidRDefault="003E4183" w:rsidP="003E4183">
      <w:pPr>
        <w:rPr>
          <w:rFonts w:ascii="Arial" w:hAnsi="Arial" w:cs="Arial"/>
          <w:sz w:val="24"/>
          <w:szCs w:val="24"/>
          <w:lang w:val="en-GB"/>
        </w:rPr>
      </w:pPr>
    </w:p>
    <w:p w14:paraId="2DDB1D8C" w14:textId="4A0BB63E" w:rsidR="003E4183" w:rsidRPr="00C362B0" w:rsidRDefault="003E4183" w:rsidP="003E4183">
      <w:pPr>
        <w:rPr>
          <w:rFonts w:ascii="Arial" w:hAnsi="Arial" w:cs="Arial"/>
          <w:sz w:val="24"/>
          <w:szCs w:val="24"/>
          <w:lang w:val="en-GB"/>
        </w:rPr>
      </w:pPr>
    </w:p>
    <w:p w14:paraId="73548106" w14:textId="183A8310" w:rsidR="003E4183" w:rsidRPr="00C362B0" w:rsidRDefault="00B70B37" w:rsidP="003E4183">
      <w:pPr>
        <w:rPr>
          <w:rFonts w:ascii="Arial" w:hAnsi="Arial" w:cs="Arial"/>
          <w:sz w:val="24"/>
          <w:szCs w:val="24"/>
          <w:lang w:val="en-GB"/>
        </w:rPr>
      </w:pPr>
      <w:r w:rsidRPr="00C362B0">
        <w:rPr>
          <w:rFonts w:ascii="Arial" w:hAnsi="Arial" w:cs="Arial"/>
          <w:sz w:val="24"/>
          <w:szCs w:val="24"/>
          <w:lang w:val="en-GB"/>
        </w:rPr>
        <w:t xml:space="preserve"> </w:t>
      </w:r>
    </w:p>
    <w:p w14:paraId="16C323A0" w14:textId="625992D5" w:rsidR="00B70B37" w:rsidRPr="00C362B0" w:rsidRDefault="00B70B37" w:rsidP="003E4183">
      <w:pPr>
        <w:rPr>
          <w:rFonts w:ascii="Arial" w:hAnsi="Arial" w:cs="Arial"/>
          <w:sz w:val="24"/>
          <w:szCs w:val="24"/>
          <w:lang w:val="en-GB"/>
        </w:rPr>
      </w:pPr>
      <w:r w:rsidRPr="00C362B0">
        <w:rPr>
          <w:rFonts w:ascii="Arial" w:hAnsi="Arial" w:cs="Arial"/>
          <w:sz w:val="24"/>
          <w:szCs w:val="24"/>
          <w:lang w:val="en-GB"/>
        </w:rPr>
        <w:t xml:space="preserve"> </w:t>
      </w:r>
    </w:p>
    <w:sdt>
      <w:sdtPr>
        <w:rPr>
          <w:rFonts w:asciiTheme="minorHAnsi" w:eastAsiaTheme="minorHAnsi" w:hAnsiTheme="minorHAnsi" w:cs="Arial"/>
          <w:color w:val="auto"/>
          <w:sz w:val="24"/>
          <w:szCs w:val="24"/>
          <w:lang w:val="en-GB"/>
        </w:rPr>
        <w:id w:val="306138504"/>
        <w:docPartObj>
          <w:docPartGallery w:val="Table of Contents"/>
          <w:docPartUnique/>
        </w:docPartObj>
      </w:sdtPr>
      <w:sdtEndPr>
        <w:rPr>
          <w:rFonts w:ascii="Arial" w:hAnsi="Arial"/>
          <w:b/>
          <w:bCs/>
          <w:noProof/>
        </w:rPr>
      </w:sdtEndPr>
      <w:sdtContent>
        <w:p w14:paraId="573A7FA7" w14:textId="27E1086C" w:rsidR="00B70B37" w:rsidRPr="00FB3DE2" w:rsidRDefault="00B70B37" w:rsidP="00FB3DE2">
          <w:pPr>
            <w:pStyle w:val="TOCHeading"/>
            <w:spacing w:line="360" w:lineRule="auto"/>
            <w:jc w:val="both"/>
            <w:rPr>
              <w:rFonts w:cs="Arial"/>
              <w:sz w:val="24"/>
              <w:szCs w:val="24"/>
              <w:lang w:val="en-GB"/>
            </w:rPr>
          </w:pPr>
          <w:r w:rsidRPr="00FB3DE2">
            <w:rPr>
              <w:rFonts w:cs="Arial"/>
              <w:sz w:val="24"/>
              <w:szCs w:val="24"/>
              <w:lang w:val="en-GB"/>
            </w:rPr>
            <w:t>Contents</w:t>
          </w:r>
        </w:p>
        <w:p w14:paraId="4DDBC1A5" w14:textId="2F7E9BE0" w:rsidR="00692F51" w:rsidRPr="00692F51" w:rsidRDefault="00B70B37">
          <w:pPr>
            <w:pStyle w:val="TOC1"/>
            <w:tabs>
              <w:tab w:val="right" w:leader="dot" w:pos="9016"/>
            </w:tabs>
            <w:rPr>
              <w:rFonts w:ascii="Arial" w:eastAsiaTheme="minorEastAsia" w:hAnsi="Arial" w:cs="Arial"/>
              <w:noProof/>
              <w:sz w:val="24"/>
              <w:szCs w:val="24"/>
              <w:lang w:val="en-GB" w:eastAsia="en-GB"/>
            </w:rPr>
          </w:pPr>
          <w:r w:rsidRPr="000A6A23">
            <w:rPr>
              <w:rFonts w:ascii="Arial" w:hAnsi="Arial" w:cs="Arial"/>
              <w:sz w:val="24"/>
              <w:szCs w:val="24"/>
              <w:lang w:val="en-GB"/>
            </w:rPr>
            <w:fldChar w:fldCharType="begin"/>
          </w:r>
          <w:r w:rsidRPr="000A6A23">
            <w:rPr>
              <w:rFonts w:ascii="Arial" w:hAnsi="Arial" w:cs="Arial"/>
              <w:sz w:val="24"/>
              <w:szCs w:val="24"/>
              <w:lang w:val="en-GB"/>
            </w:rPr>
            <w:instrText xml:space="preserve"> TOC \o "1-3" \h \z \u </w:instrText>
          </w:r>
          <w:r w:rsidRPr="000A6A23">
            <w:rPr>
              <w:rFonts w:ascii="Arial" w:hAnsi="Arial" w:cs="Arial"/>
              <w:sz w:val="24"/>
              <w:szCs w:val="24"/>
              <w:lang w:val="en-GB"/>
            </w:rPr>
            <w:fldChar w:fldCharType="separate"/>
          </w:r>
          <w:hyperlink w:anchor="_Toc239091416" w:history="1">
            <w:r w:rsidR="00692F51" w:rsidRPr="00692F51">
              <w:rPr>
                <w:rStyle w:val="Hyperlink"/>
                <w:rFonts w:ascii="Arial" w:hAnsi="Arial" w:cs="Arial"/>
                <w:noProof/>
                <w:sz w:val="24"/>
                <w:szCs w:val="24"/>
                <w:lang w:val="en-GB" w:eastAsia="en-GB"/>
              </w:rPr>
              <w:t>Chapter 1: Introduction</w:t>
            </w:r>
            <w:r w:rsidR="00692F51" w:rsidRPr="00692F51">
              <w:rPr>
                <w:rFonts w:ascii="Arial" w:hAnsi="Arial" w:cs="Arial"/>
                <w:noProof/>
                <w:webHidden/>
                <w:sz w:val="24"/>
                <w:szCs w:val="24"/>
              </w:rPr>
              <w:tab/>
            </w:r>
            <w:r w:rsidR="00692F51" w:rsidRPr="00692F51">
              <w:rPr>
                <w:rFonts w:ascii="Arial" w:hAnsi="Arial" w:cs="Arial"/>
                <w:noProof/>
                <w:webHidden/>
                <w:sz w:val="24"/>
                <w:szCs w:val="24"/>
              </w:rPr>
              <w:fldChar w:fldCharType="begin"/>
            </w:r>
            <w:r w:rsidR="00692F51" w:rsidRPr="00692F51">
              <w:rPr>
                <w:rFonts w:ascii="Arial" w:hAnsi="Arial" w:cs="Arial"/>
                <w:noProof/>
                <w:webHidden/>
                <w:sz w:val="24"/>
                <w:szCs w:val="24"/>
              </w:rPr>
              <w:instrText xml:space="preserve"> PAGEREF _Toc239091416 \h </w:instrText>
            </w:r>
            <w:r w:rsidR="00692F51" w:rsidRPr="00692F51">
              <w:rPr>
                <w:rFonts w:ascii="Arial" w:hAnsi="Arial" w:cs="Arial"/>
                <w:noProof/>
                <w:webHidden/>
                <w:sz w:val="24"/>
                <w:szCs w:val="24"/>
              </w:rPr>
            </w:r>
            <w:r w:rsidR="00692F51" w:rsidRPr="00692F51">
              <w:rPr>
                <w:rFonts w:ascii="Arial" w:hAnsi="Arial" w:cs="Arial"/>
                <w:noProof/>
                <w:webHidden/>
                <w:sz w:val="24"/>
                <w:szCs w:val="24"/>
              </w:rPr>
              <w:fldChar w:fldCharType="separate"/>
            </w:r>
            <w:r w:rsidR="00692F51" w:rsidRPr="00692F51">
              <w:rPr>
                <w:rFonts w:ascii="Arial" w:hAnsi="Arial" w:cs="Arial"/>
                <w:noProof/>
                <w:webHidden/>
                <w:sz w:val="24"/>
                <w:szCs w:val="24"/>
              </w:rPr>
              <w:t>1</w:t>
            </w:r>
            <w:r w:rsidR="00692F51" w:rsidRPr="00692F51">
              <w:rPr>
                <w:rFonts w:ascii="Arial" w:hAnsi="Arial" w:cs="Arial"/>
                <w:noProof/>
                <w:webHidden/>
                <w:sz w:val="24"/>
                <w:szCs w:val="24"/>
              </w:rPr>
              <w:fldChar w:fldCharType="end"/>
            </w:r>
          </w:hyperlink>
        </w:p>
        <w:p w14:paraId="02A0AE89" w14:textId="3F9BC6A1"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17" w:history="1">
            <w:r w:rsidRPr="00692F51">
              <w:rPr>
                <w:rStyle w:val="Hyperlink"/>
                <w:rFonts w:ascii="Arial" w:hAnsi="Arial" w:cs="Arial"/>
                <w:noProof/>
                <w:sz w:val="24"/>
                <w:szCs w:val="24"/>
                <w:lang w:val="en-GB" w:eastAsia="en-GB"/>
              </w:rPr>
              <w:t>1.1 Background and Context</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_Toc239091417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w:t>
            </w:r>
            <w:r w:rsidRPr="00692F51">
              <w:rPr>
                <w:rFonts w:ascii="Arial" w:hAnsi="Arial" w:cs="Arial"/>
                <w:noProof/>
                <w:webHidden/>
                <w:sz w:val="24"/>
                <w:szCs w:val="24"/>
              </w:rPr>
              <w:fldChar w:fldCharType="end"/>
            </w:r>
          </w:hyperlink>
        </w:p>
        <w:p w14:paraId="69547E35" w14:textId="0FF0B6FB"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18" w:history="1">
            <w:r w:rsidRPr="00692F51">
              <w:rPr>
                <w:rStyle w:val="Hyperlink"/>
                <w:rFonts w:ascii="Arial" w:hAnsi="Arial" w:cs="Arial"/>
                <w:noProof/>
                <w:sz w:val="24"/>
                <w:szCs w:val="24"/>
                <w:lang w:val="en-GB" w:eastAsia="en-GB"/>
              </w:rPr>
              <w:t>1.2 Problem or Opportunity Statement</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_Toc239091418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w:t>
            </w:r>
            <w:r w:rsidRPr="00692F51">
              <w:rPr>
                <w:rFonts w:ascii="Arial" w:hAnsi="Arial" w:cs="Arial"/>
                <w:noProof/>
                <w:webHidden/>
                <w:sz w:val="24"/>
                <w:szCs w:val="24"/>
              </w:rPr>
              <w:fldChar w:fldCharType="end"/>
            </w:r>
          </w:hyperlink>
        </w:p>
        <w:p w14:paraId="697A992F" w14:textId="2C1F3BBC"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19" w:history="1">
            <w:r w:rsidRPr="00692F51">
              <w:rPr>
                <w:rStyle w:val="Hyperlink"/>
                <w:rFonts w:ascii="Arial" w:hAnsi="Arial" w:cs="Arial"/>
                <w:noProof/>
                <w:sz w:val="24"/>
                <w:szCs w:val="24"/>
                <w:lang w:val="en-GB" w:eastAsia="en-GB"/>
              </w:rPr>
              <w:t>1.3 Initial Observation of Demand</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_Toc239091419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2</w:t>
            </w:r>
            <w:r w:rsidRPr="00692F51">
              <w:rPr>
                <w:rFonts w:ascii="Arial" w:hAnsi="Arial" w:cs="Arial"/>
                <w:noProof/>
                <w:webHidden/>
                <w:sz w:val="24"/>
                <w:szCs w:val="24"/>
              </w:rPr>
              <w:fldChar w:fldCharType="end"/>
            </w:r>
          </w:hyperlink>
        </w:p>
        <w:p w14:paraId="1F53A06E" w14:textId="496666A4"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20" w:history="1">
            <w:r w:rsidRPr="00692F51">
              <w:rPr>
                <w:rStyle w:val="Hyperlink"/>
                <w:rFonts w:ascii="Arial" w:hAnsi="Arial" w:cs="Arial"/>
                <w:noProof/>
                <w:sz w:val="24"/>
                <w:szCs w:val="24"/>
                <w:lang w:val="en-GB" w:eastAsia="en-GB"/>
              </w:rPr>
              <w:t>1.4 Aim, Objectives and Research Questions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_Toc239091420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2</w:t>
            </w:r>
            <w:r w:rsidRPr="00692F51">
              <w:rPr>
                <w:rFonts w:ascii="Arial" w:hAnsi="Arial" w:cs="Arial"/>
                <w:noProof/>
                <w:webHidden/>
                <w:sz w:val="24"/>
                <w:szCs w:val="24"/>
              </w:rPr>
              <w:fldChar w:fldCharType="end"/>
            </w:r>
          </w:hyperlink>
        </w:p>
        <w:p w14:paraId="663E5534" w14:textId="4D76F163" w:rsidR="00692F51" w:rsidRPr="00692F51" w:rsidRDefault="00692F51">
          <w:pPr>
            <w:pStyle w:val="TOC3"/>
            <w:tabs>
              <w:tab w:val="right" w:leader="dot" w:pos="9016"/>
            </w:tabs>
            <w:rPr>
              <w:rFonts w:ascii="Arial" w:eastAsiaTheme="minorEastAsia" w:hAnsi="Arial" w:cs="Arial"/>
              <w:noProof/>
              <w:sz w:val="24"/>
              <w:szCs w:val="24"/>
              <w:lang w:val="en-GB" w:eastAsia="en-GB"/>
            </w:rPr>
          </w:pPr>
          <w:hyperlink w:anchor="_Toc239091421" w:history="1">
            <w:r w:rsidRPr="00692F51">
              <w:rPr>
                <w:rStyle w:val="Hyperlink"/>
                <w:rFonts w:ascii="Arial" w:hAnsi="Arial" w:cs="Arial"/>
                <w:noProof/>
                <w:sz w:val="24"/>
                <w:szCs w:val="24"/>
                <w:lang w:val="en-GB" w:eastAsia="en-GB"/>
              </w:rPr>
              <w:t>Aim</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_Toc239091421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2</w:t>
            </w:r>
            <w:r w:rsidRPr="00692F51">
              <w:rPr>
                <w:rFonts w:ascii="Arial" w:hAnsi="Arial" w:cs="Arial"/>
                <w:noProof/>
                <w:webHidden/>
                <w:sz w:val="24"/>
                <w:szCs w:val="24"/>
              </w:rPr>
              <w:fldChar w:fldCharType="end"/>
            </w:r>
          </w:hyperlink>
        </w:p>
        <w:p w14:paraId="0057A368" w14:textId="02366606" w:rsidR="00692F51" w:rsidRPr="00692F51" w:rsidRDefault="00692F51">
          <w:pPr>
            <w:pStyle w:val="TOC3"/>
            <w:tabs>
              <w:tab w:val="right" w:leader="dot" w:pos="9016"/>
            </w:tabs>
            <w:rPr>
              <w:rFonts w:ascii="Arial" w:eastAsiaTheme="minorEastAsia" w:hAnsi="Arial" w:cs="Arial"/>
              <w:noProof/>
              <w:sz w:val="24"/>
              <w:szCs w:val="24"/>
              <w:lang w:val="en-GB" w:eastAsia="en-GB"/>
            </w:rPr>
          </w:pPr>
          <w:hyperlink w:anchor="_Toc239091422" w:history="1">
            <w:r w:rsidRPr="00692F51">
              <w:rPr>
                <w:rStyle w:val="Hyperlink"/>
                <w:rFonts w:ascii="Arial" w:hAnsi="Arial" w:cs="Arial"/>
                <w:noProof/>
                <w:sz w:val="24"/>
                <w:szCs w:val="24"/>
                <w:lang w:val="en-GB" w:eastAsia="en-GB"/>
              </w:rPr>
              <w:t>Objectives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_Toc239091422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2</w:t>
            </w:r>
            <w:r w:rsidRPr="00692F51">
              <w:rPr>
                <w:rFonts w:ascii="Arial" w:hAnsi="Arial" w:cs="Arial"/>
                <w:noProof/>
                <w:webHidden/>
                <w:sz w:val="24"/>
                <w:szCs w:val="24"/>
              </w:rPr>
              <w:fldChar w:fldCharType="end"/>
            </w:r>
          </w:hyperlink>
        </w:p>
        <w:p w14:paraId="3D247565" w14:textId="4CCBC455" w:rsidR="00692F51" w:rsidRPr="00692F51" w:rsidRDefault="00692F51">
          <w:pPr>
            <w:pStyle w:val="TOC3"/>
            <w:tabs>
              <w:tab w:val="right" w:leader="dot" w:pos="9016"/>
            </w:tabs>
            <w:rPr>
              <w:rFonts w:ascii="Arial" w:eastAsiaTheme="minorEastAsia" w:hAnsi="Arial" w:cs="Arial"/>
              <w:noProof/>
              <w:sz w:val="24"/>
              <w:szCs w:val="24"/>
              <w:lang w:val="en-GB" w:eastAsia="en-GB"/>
            </w:rPr>
          </w:pPr>
          <w:hyperlink w:anchor="_Toc239091423" w:history="1">
            <w:r w:rsidRPr="00692F51">
              <w:rPr>
                <w:rStyle w:val="Hyperlink"/>
                <w:rFonts w:ascii="Arial" w:hAnsi="Arial" w:cs="Arial"/>
                <w:noProof/>
                <w:sz w:val="24"/>
                <w:szCs w:val="24"/>
                <w:lang w:val="en-GB" w:eastAsia="en-GB"/>
              </w:rPr>
              <w:t>Research Questions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_Toc239091423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3</w:t>
            </w:r>
            <w:r w:rsidRPr="00692F51">
              <w:rPr>
                <w:rFonts w:ascii="Arial" w:hAnsi="Arial" w:cs="Arial"/>
                <w:noProof/>
                <w:webHidden/>
                <w:sz w:val="24"/>
                <w:szCs w:val="24"/>
              </w:rPr>
              <w:fldChar w:fldCharType="end"/>
            </w:r>
          </w:hyperlink>
        </w:p>
        <w:p w14:paraId="3AB86867" w14:textId="7FF4E3DE"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24" w:history="1">
            <w:r w:rsidRPr="00692F51">
              <w:rPr>
                <w:rStyle w:val="Hyperlink"/>
                <w:rFonts w:ascii="Arial" w:hAnsi="Arial" w:cs="Arial"/>
                <w:noProof/>
                <w:sz w:val="24"/>
                <w:szCs w:val="24"/>
                <w:lang w:val="en-GB" w:eastAsia="en-GB"/>
              </w:rPr>
              <w:t>1.5 Scope and Boundaries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_Toc239091424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4</w:t>
            </w:r>
            <w:r w:rsidRPr="00692F51">
              <w:rPr>
                <w:rFonts w:ascii="Arial" w:hAnsi="Arial" w:cs="Arial"/>
                <w:noProof/>
                <w:webHidden/>
                <w:sz w:val="24"/>
                <w:szCs w:val="24"/>
              </w:rPr>
              <w:fldChar w:fldCharType="end"/>
            </w:r>
          </w:hyperlink>
        </w:p>
        <w:p w14:paraId="4F8A0EEF" w14:textId="23A3EB31"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25" w:history="1">
            <w:r w:rsidRPr="00692F51">
              <w:rPr>
                <w:rStyle w:val="Hyperlink"/>
                <w:rFonts w:ascii="Arial" w:hAnsi="Arial" w:cs="Arial"/>
                <w:noProof/>
                <w:sz w:val="24"/>
                <w:szCs w:val="24"/>
                <w:lang w:val="en-GB" w:eastAsia="en-GB"/>
              </w:rPr>
              <w:t>1.6 Structure of the Report</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_Toc239091425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4</w:t>
            </w:r>
            <w:r w:rsidRPr="00692F51">
              <w:rPr>
                <w:rFonts w:ascii="Arial" w:hAnsi="Arial" w:cs="Arial"/>
                <w:noProof/>
                <w:webHidden/>
                <w:sz w:val="24"/>
                <w:szCs w:val="24"/>
              </w:rPr>
              <w:fldChar w:fldCharType="end"/>
            </w:r>
          </w:hyperlink>
        </w:p>
        <w:p w14:paraId="7E6BC6A7" w14:textId="23F2E13A" w:rsidR="00692F51" w:rsidRPr="00692F51" w:rsidRDefault="00692F51">
          <w:pPr>
            <w:pStyle w:val="TOC1"/>
            <w:tabs>
              <w:tab w:val="right" w:leader="dot" w:pos="9016"/>
            </w:tabs>
            <w:rPr>
              <w:rFonts w:ascii="Arial" w:eastAsiaTheme="minorEastAsia" w:hAnsi="Arial" w:cs="Arial"/>
              <w:noProof/>
              <w:sz w:val="24"/>
              <w:szCs w:val="24"/>
              <w:lang w:val="en-GB" w:eastAsia="en-GB"/>
            </w:rPr>
          </w:pPr>
          <w:hyperlink w:anchor="_Toc239091426" w:history="1">
            <w:r w:rsidRPr="00692F51">
              <w:rPr>
                <w:rStyle w:val="Hyperlink"/>
                <w:rFonts w:ascii="Arial" w:eastAsia="Times New Roman" w:hAnsi="Arial" w:cs="Arial"/>
                <w:noProof/>
                <w:sz w:val="24"/>
                <w:szCs w:val="24"/>
                <w:lang w:val="en-GB" w:eastAsia="en-GB"/>
              </w:rPr>
              <w:t>Chapter 2: Company Description</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_Toc239091426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5</w:t>
            </w:r>
            <w:r w:rsidRPr="00692F51">
              <w:rPr>
                <w:rFonts w:ascii="Arial" w:hAnsi="Arial" w:cs="Arial"/>
                <w:noProof/>
                <w:webHidden/>
                <w:sz w:val="24"/>
                <w:szCs w:val="24"/>
              </w:rPr>
              <w:fldChar w:fldCharType="end"/>
            </w:r>
          </w:hyperlink>
        </w:p>
        <w:p w14:paraId="07B10116" w14:textId="2623FB96"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27" w:history="1">
            <w:r w:rsidRPr="00692F51">
              <w:rPr>
                <w:rStyle w:val="Hyperlink"/>
                <w:rFonts w:ascii="Arial" w:eastAsia="Times New Roman" w:hAnsi="Arial" w:cs="Arial"/>
                <w:noProof/>
                <w:sz w:val="24"/>
                <w:szCs w:val="24"/>
                <w:lang w:val="en-GB" w:eastAsia="en-GB"/>
              </w:rPr>
              <w:t>2.1 Business Identity and Legal Structure</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_Toc239091427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5</w:t>
            </w:r>
            <w:r w:rsidRPr="00692F51">
              <w:rPr>
                <w:rFonts w:ascii="Arial" w:hAnsi="Arial" w:cs="Arial"/>
                <w:noProof/>
                <w:webHidden/>
                <w:sz w:val="24"/>
                <w:szCs w:val="24"/>
              </w:rPr>
              <w:fldChar w:fldCharType="end"/>
            </w:r>
          </w:hyperlink>
        </w:p>
        <w:p w14:paraId="2C836BC1" w14:textId="1B5B8BBF"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28" w:history="1">
            <w:r w:rsidRPr="00692F51">
              <w:rPr>
                <w:rStyle w:val="Hyperlink"/>
                <w:rFonts w:ascii="Arial" w:eastAsia="Times New Roman" w:hAnsi="Arial" w:cs="Arial"/>
                <w:noProof/>
                <w:sz w:val="24"/>
                <w:szCs w:val="24"/>
                <w:lang w:val="en-GB" w:eastAsia="en-GB"/>
              </w:rPr>
              <w:t>2.2 Product and Service Offering</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_Toc239091428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5</w:t>
            </w:r>
            <w:r w:rsidRPr="00692F51">
              <w:rPr>
                <w:rFonts w:ascii="Arial" w:hAnsi="Arial" w:cs="Arial"/>
                <w:noProof/>
                <w:webHidden/>
                <w:sz w:val="24"/>
                <w:szCs w:val="24"/>
              </w:rPr>
              <w:fldChar w:fldCharType="end"/>
            </w:r>
          </w:hyperlink>
        </w:p>
        <w:p w14:paraId="48C99EE2" w14:textId="1063A92F"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29" w:history="1">
            <w:r w:rsidRPr="00692F51">
              <w:rPr>
                <w:rStyle w:val="Hyperlink"/>
                <w:rFonts w:ascii="Arial" w:eastAsia="Times New Roman" w:hAnsi="Arial" w:cs="Arial"/>
                <w:noProof/>
                <w:sz w:val="24"/>
                <w:szCs w:val="24"/>
                <w:lang w:val="en-GB" w:eastAsia="en-GB"/>
              </w:rPr>
              <w:t>2.3 Founding Idea</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_Toc239091429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5</w:t>
            </w:r>
            <w:r w:rsidRPr="00692F51">
              <w:rPr>
                <w:rFonts w:ascii="Arial" w:hAnsi="Arial" w:cs="Arial"/>
                <w:noProof/>
                <w:webHidden/>
                <w:sz w:val="24"/>
                <w:szCs w:val="24"/>
              </w:rPr>
              <w:fldChar w:fldCharType="end"/>
            </w:r>
          </w:hyperlink>
        </w:p>
        <w:p w14:paraId="79E120C9" w14:textId="3BE10CCF"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30" w:history="1">
            <w:r w:rsidRPr="00692F51">
              <w:rPr>
                <w:rStyle w:val="Hyperlink"/>
                <w:rFonts w:ascii="Arial" w:eastAsia="Times New Roman" w:hAnsi="Arial" w:cs="Arial"/>
                <w:noProof/>
                <w:sz w:val="24"/>
                <w:szCs w:val="24"/>
                <w:lang w:val="en-GB" w:eastAsia="en-GB"/>
              </w:rPr>
              <w:t>2.4 Mission, Vision and Core Values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_Toc239091430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6</w:t>
            </w:r>
            <w:r w:rsidRPr="00692F51">
              <w:rPr>
                <w:rFonts w:ascii="Arial" w:hAnsi="Arial" w:cs="Arial"/>
                <w:noProof/>
                <w:webHidden/>
                <w:sz w:val="24"/>
                <w:szCs w:val="24"/>
              </w:rPr>
              <w:fldChar w:fldCharType="end"/>
            </w:r>
          </w:hyperlink>
        </w:p>
        <w:p w14:paraId="4CB3B34F" w14:textId="3EADDD5C"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31" w:history="1">
            <w:r w:rsidRPr="00692F51">
              <w:rPr>
                <w:rStyle w:val="Hyperlink"/>
                <w:rFonts w:ascii="Arial" w:eastAsia="Times New Roman" w:hAnsi="Arial" w:cs="Arial"/>
                <w:noProof/>
                <w:sz w:val="24"/>
                <w:szCs w:val="24"/>
                <w:lang w:val="en-GB" w:eastAsia="en-GB"/>
              </w:rPr>
              <w:t>2.5 Business Objectives and Goals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_Toc239091431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6</w:t>
            </w:r>
            <w:r w:rsidRPr="00692F51">
              <w:rPr>
                <w:rFonts w:ascii="Arial" w:hAnsi="Arial" w:cs="Arial"/>
                <w:noProof/>
                <w:webHidden/>
                <w:sz w:val="24"/>
                <w:szCs w:val="24"/>
              </w:rPr>
              <w:fldChar w:fldCharType="end"/>
            </w:r>
          </w:hyperlink>
        </w:p>
        <w:p w14:paraId="24F2B3F2" w14:textId="45A7A487"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32" w:history="1">
            <w:r w:rsidRPr="00692F51">
              <w:rPr>
                <w:rStyle w:val="Hyperlink"/>
                <w:rFonts w:ascii="Arial" w:eastAsia="Times New Roman" w:hAnsi="Arial" w:cs="Arial"/>
                <w:noProof/>
                <w:sz w:val="24"/>
                <w:szCs w:val="24"/>
                <w:lang w:val="en-GB" w:eastAsia="en-GB"/>
              </w:rPr>
              <w:t>2.6 Alignment with Trends and Market Opportunity</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_Toc239091432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7</w:t>
            </w:r>
            <w:r w:rsidRPr="00692F51">
              <w:rPr>
                <w:rFonts w:ascii="Arial" w:hAnsi="Arial" w:cs="Arial"/>
                <w:noProof/>
                <w:webHidden/>
                <w:sz w:val="24"/>
                <w:szCs w:val="24"/>
              </w:rPr>
              <w:fldChar w:fldCharType="end"/>
            </w:r>
          </w:hyperlink>
        </w:p>
        <w:p w14:paraId="0DEE0104" w14:textId="507B38E2" w:rsidR="00692F51" w:rsidRPr="00692F51" w:rsidRDefault="00692F51">
          <w:pPr>
            <w:pStyle w:val="TOC1"/>
            <w:tabs>
              <w:tab w:val="right" w:leader="dot" w:pos="9016"/>
            </w:tabs>
            <w:rPr>
              <w:rFonts w:ascii="Arial" w:eastAsiaTheme="minorEastAsia" w:hAnsi="Arial" w:cs="Arial"/>
              <w:noProof/>
              <w:sz w:val="24"/>
              <w:szCs w:val="24"/>
              <w:lang w:val="en-GB" w:eastAsia="en-GB"/>
            </w:rPr>
          </w:pPr>
          <w:hyperlink w:anchor="_Toc239091433" w:history="1">
            <w:r w:rsidRPr="00692F51">
              <w:rPr>
                <w:rStyle w:val="Hyperlink"/>
                <w:rFonts w:ascii="Arial" w:eastAsia="Times New Roman" w:hAnsi="Arial" w:cs="Arial"/>
                <w:noProof/>
                <w:sz w:val="24"/>
                <w:szCs w:val="24"/>
                <w:lang w:val="en-GB" w:eastAsia="en-GB"/>
              </w:rPr>
              <w:t>3. Literature Review</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_Toc239091433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9</w:t>
            </w:r>
            <w:r w:rsidRPr="00692F51">
              <w:rPr>
                <w:rFonts w:ascii="Arial" w:hAnsi="Arial" w:cs="Arial"/>
                <w:noProof/>
                <w:webHidden/>
                <w:sz w:val="24"/>
                <w:szCs w:val="24"/>
              </w:rPr>
              <w:fldChar w:fldCharType="end"/>
            </w:r>
          </w:hyperlink>
        </w:p>
        <w:p w14:paraId="7EA9AF78" w14:textId="11076DDA"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34" w:history="1">
            <w:r w:rsidRPr="00692F51">
              <w:rPr>
                <w:rStyle w:val="Hyperlink"/>
                <w:rFonts w:ascii="Arial" w:eastAsia="Times New Roman" w:hAnsi="Arial" w:cs="Arial"/>
                <w:noProof/>
                <w:sz w:val="24"/>
                <w:szCs w:val="24"/>
                <w:lang w:val="en-GB" w:eastAsia="en-GB"/>
              </w:rPr>
              <w:t>3.1 Introduction to the Literature Review</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_Toc239091434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9</w:t>
            </w:r>
            <w:r w:rsidRPr="00692F51">
              <w:rPr>
                <w:rFonts w:ascii="Arial" w:hAnsi="Arial" w:cs="Arial"/>
                <w:noProof/>
                <w:webHidden/>
                <w:sz w:val="24"/>
                <w:szCs w:val="24"/>
              </w:rPr>
              <w:fldChar w:fldCharType="end"/>
            </w:r>
          </w:hyperlink>
        </w:p>
        <w:p w14:paraId="4EBD9790" w14:textId="2E90F2B3"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35" w:history="1">
            <w:r w:rsidRPr="00692F51">
              <w:rPr>
                <w:rStyle w:val="Hyperlink"/>
                <w:rFonts w:ascii="Arial" w:eastAsia="Times New Roman" w:hAnsi="Arial" w:cs="Arial"/>
                <w:noProof/>
                <w:sz w:val="24"/>
                <w:szCs w:val="24"/>
                <w:lang w:val="en-GB" w:eastAsia="en-GB"/>
              </w:rPr>
              <w:t>3.2 Technology Acceptance Model (TAM)</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_Toc239091435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9</w:t>
            </w:r>
            <w:r w:rsidRPr="00692F51">
              <w:rPr>
                <w:rFonts w:ascii="Arial" w:hAnsi="Arial" w:cs="Arial"/>
                <w:noProof/>
                <w:webHidden/>
                <w:sz w:val="24"/>
                <w:szCs w:val="24"/>
              </w:rPr>
              <w:fldChar w:fldCharType="end"/>
            </w:r>
          </w:hyperlink>
        </w:p>
        <w:p w14:paraId="5A6C4AA6" w14:textId="0FF5B606"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36" w:history="1">
            <w:r w:rsidRPr="00692F51">
              <w:rPr>
                <w:rStyle w:val="Hyperlink"/>
                <w:rFonts w:ascii="Arial" w:eastAsia="Times New Roman" w:hAnsi="Arial" w:cs="Arial"/>
                <w:noProof/>
                <w:sz w:val="24"/>
                <w:szCs w:val="24"/>
                <w:lang w:val="en-GB" w:eastAsia="en-GB"/>
              </w:rPr>
              <w:t>3.3 Health Belief Model (HBM)</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_Toc239091436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9</w:t>
            </w:r>
            <w:r w:rsidRPr="00692F51">
              <w:rPr>
                <w:rFonts w:ascii="Arial" w:hAnsi="Arial" w:cs="Arial"/>
                <w:noProof/>
                <w:webHidden/>
                <w:sz w:val="24"/>
                <w:szCs w:val="24"/>
              </w:rPr>
              <w:fldChar w:fldCharType="end"/>
            </w:r>
          </w:hyperlink>
        </w:p>
        <w:p w14:paraId="0778AC42" w14:textId="162B20A2"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37" w:history="1">
            <w:r w:rsidRPr="00692F51">
              <w:rPr>
                <w:rStyle w:val="Hyperlink"/>
                <w:rFonts w:ascii="Arial" w:hAnsi="Arial" w:cs="Arial"/>
                <w:noProof/>
                <w:sz w:val="24"/>
                <w:szCs w:val="24"/>
                <w:lang w:val="en-GB" w:eastAsia="en-GB"/>
              </w:rPr>
              <w:t>3.4 Self-Determination Theory (SDT</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_Toc239091437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10</w:t>
            </w:r>
            <w:r w:rsidRPr="00692F51">
              <w:rPr>
                <w:rFonts w:ascii="Arial" w:hAnsi="Arial" w:cs="Arial"/>
                <w:noProof/>
                <w:webHidden/>
                <w:sz w:val="24"/>
                <w:szCs w:val="24"/>
              </w:rPr>
              <w:fldChar w:fldCharType="end"/>
            </w:r>
          </w:hyperlink>
        </w:p>
        <w:p w14:paraId="3B750D4F" w14:textId="3FD726B9"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38" w:history="1">
            <w:r w:rsidRPr="00692F51">
              <w:rPr>
                <w:rStyle w:val="Hyperlink"/>
                <w:rFonts w:ascii="Arial" w:eastAsia="Times New Roman" w:hAnsi="Arial" w:cs="Arial"/>
                <w:noProof/>
                <w:sz w:val="24"/>
                <w:szCs w:val="24"/>
                <w:lang w:val="en-GB" w:eastAsia="en-GB"/>
              </w:rPr>
              <w:t>3.5 SERVQUAL and Service Quality Theory</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_Toc239091438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10</w:t>
            </w:r>
            <w:r w:rsidRPr="00692F51">
              <w:rPr>
                <w:rFonts w:ascii="Arial" w:hAnsi="Arial" w:cs="Arial"/>
                <w:noProof/>
                <w:webHidden/>
                <w:sz w:val="24"/>
                <w:szCs w:val="24"/>
              </w:rPr>
              <w:fldChar w:fldCharType="end"/>
            </w:r>
          </w:hyperlink>
        </w:p>
        <w:p w14:paraId="148C656C" w14:textId="1615F44D"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39" w:history="1">
            <w:r w:rsidRPr="00692F51">
              <w:rPr>
                <w:rStyle w:val="Hyperlink"/>
                <w:rFonts w:ascii="Arial" w:eastAsia="Times New Roman" w:hAnsi="Arial" w:cs="Arial"/>
                <w:noProof/>
                <w:sz w:val="24"/>
                <w:szCs w:val="24"/>
                <w:lang w:val="en-GB" w:eastAsia="en-GB"/>
              </w:rPr>
              <w:t>3.6 Strategic Frameworks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_Toc239091439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11</w:t>
            </w:r>
            <w:r w:rsidRPr="00692F51">
              <w:rPr>
                <w:rFonts w:ascii="Arial" w:hAnsi="Arial" w:cs="Arial"/>
                <w:noProof/>
                <w:webHidden/>
                <w:sz w:val="24"/>
                <w:szCs w:val="24"/>
              </w:rPr>
              <w:fldChar w:fldCharType="end"/>
            </w:r>
          </w:hyperlink>
        </w:p>
        <w:p w14:paraId="691B8BEA" w14:textId="06AA7EC3"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40" w:history="1">
            <w:r w:rsidRPr="00692F51">
              <w:rPr>
                <w:rStyle w:val="Hyperlink"/>
                <w:rFonts w:ascii="Arial" w:eastAsia="Times New Roman" w:hAnsi="Arial" w:cs="Arial"/>
                <w:noProof/>
                <w:sz w:val="24"/>
                <w:szCs w:val="24"/>
                <w:lang w:val="en-GB" w:eastAsia="en-GB"/>
              </w:rPr>
              <w:t>3.7 Chapter Summary</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_Toc239091440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11</w:t>
            </w:r>
            <w:r w:rsidRPr="00692F51">
              <w:rPr>
                <w:rFonts w:ascii="Arial" w:hAnsi="Arial" w:cs="Arial"/>
                <w:noProof/>
                <w:webHidden/>
                <w:sz w:val="24"/>
                <w:szCs w:val="24"/>
              </w:rPr>
              <w:fldChar w:fldCharType="end"/>
            </w:r>
          </w:hyperlink>
        </w:p>
        <w:p w14:paraId="60D38C3D" w14:textId="24768A08" w:rsidR="00692F51" w:rsidRPr="00692F51" w:rsidRDefault="00692F51">
          <w:pPr>
            <w:pStyle w:val="TOC1"/>
            <w:tabs>
              <w:tab w:val="right" w:leader="dot" w:pos="9016"/>
            </w:tabs>
            <w:rPr>
              <w:rFonts w:ascii="Arial" w:eastAsiaTheme="minorEastAsia" w:hAnsi="Arial" w:cs="Arial"/>
              <w:noProof/>
              <w:sz w:val="24"/>
              <w:szCs w:val="24"/>
              <w:lang w:val="en-GB" w:eastAsia="en-GB"/>
            </w:rPr>
          </w:pPr>
          <w:hyperlink w:anchor="_Toc239091441" w:history="1">
            <w:r w:rsidRPr="00692F51">
              <w:rPr>
                <w:rStyle w:val="Hyperlink"/>
                <w:rFonts w:ascii="Arial" w:hAnsi="Arial" w:cs="Arial"/>
                <w:noProof/>
                <w:sz w:val="24"/>
                <w:szCs w:val="24"/>
                <w:lang w:val="en-GB" w:eastAsia="en-GB"/>
              </w:rPr>
              <w:t>Chapter 4: Research Methodology</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_Toc239091441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12</w:t>
            </w:r>
            <w:r w:rsidRPr="00692F51">
              <w:rPr>
                <w:rFonts w:ascii="Arial" w:hAnsi="Arial" w:cs="Arial"/>
                <w:noProof/>
                <w:webHidden/>
                <w:sz w:val="24"/>
                <w:szCs w:val="24"/>
              </w:rPr>
              <w:fldChar w:fldCharType="end"/>
            </w:r>
          </w:hyperlink>
        </w:p>
        <w:p w14:paraId="2EB7E025" w14:textId="52801C0C"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42" w:history="1">
            <w:r w:rsidRPr="00692F51">
              <w:rPr>
                <w:rStyle w:val="Hyperlink"/>
                <w:rFonts w:ascii="Arial" w:hAnsi="Arial" w:cs="Arial"/>
                <w:noProof/>
                <w:sz w:val="24"/>
                <w:szCs w:val="24"/>
                <w:lang w:val="en-GB" w:eastAsia="en-GB"/>
              </w:rPr>
              <w:t>4.1 Research Approach</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_Toc239091442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12</w:t>
            </w:r>
            <w:r w:rsidRPr="00692F51">
              <w:rPr>
                <w:rFonts w:ascii="Arial" w:hAnsi="Arial" w:cs="Arial"/>
                <w:noProof/>
                <w:webHidden/>
                <w:sz w:val="24"/>
                <w:szCs w:val="24"/>
              </w:rPr>
              <w:fldChar w:fldCharType="end"/>
            </w:r>
          </w:hyperlink>
        </w:p>
        <w:p w14:paraId="5F1EB911" w14:textId="0F90C9F6"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43" w:history="1">
            <w:r w:rsidRPr="00692F51">
              <w:rPr>
                <w:rStyle w:val="Hyperlink"/>
                <w:rFonts w:ascii="Arial" w:hAnsi="Arial" w:cs="Arial"/>
                <w:noProof/>
                <w:sz w:val="24"/>
                <w:szCs w:val="24"/>
                <w:lang w:val="en-GB" w:eastAsia="en-GB"/>
              </w:rPr>
              <w:t>4.2 Data Sources and Search Strategy</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_Toc239091443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12</w:t>
            </w:r>
            <w:r w:rsidRPr="00692F51">
              <w:rPr>
                <w:rFonts w:ascii="Arial" w:hAnsi="Arial" w:cs="Arial"/>
                <w:noProof/>
                <w:webHidden/>
                <w:sz w:val="24"/>
                <w:szCs w:val="24"/>
              </w:rPr>
              <w:fldChar w:fldCharType="end"/>
            </w:r>
          </w:hyperlink>
        </w:p>
        <w:p w14:paraId="38AEA1E9" w14:textId="64A8880D"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44" w:history="1">
            <w:r w:rsidRPr="00692F51">
              <w:rPr>
                <w:rStyle w:val="Hyperlink"/>
                <w:rFonts w:ascii="Arial" w:hAnsi="Arial" w:cs="Arial"/>
                <w:noProof/>
                <w:sz w:val="24"/>
                <w:szCs w:val="24"/>
                <w:lang w:val="en-GB" w:eastAsia="en-GB"/>
              </w:rPr>
              <w:t>4.3 Quantitative and Qualitative Evidence</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_Toc239091444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13</w:t>
            </w:r>
            <w:r w:rsidRPr="00692F51">
              <w:rPr>
                <w:rFonts w:ascii="Arial" w:hAnsi="Arial" w:cs="Arial"/>
                <w:noProof/>
                <w:webHidden/>
                <w:sz w:val="24"/>
                <w:szCs w:val="24"/>
              </w:rPr>
              <w:fldChar w:fldCharType="end"/>
            </w:r>
          </w:hyperlink>
        </w:p>
        <w:p w14:paraId="1E862E3B" w14:textId="36599AEB"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45" w:history="1">
            <w:r w:rsidRPr="00692F51">
              <w:rPr>
                <w:rStyle w:val="Hyperlink"/>
                <w:rFonts w:ascii="Arial" w:hAnsi="Arial" w:cs="Arial"/>
                <w:noProof/>
                <w:sz w:val="24"/>
                <w:szCs w:val="24"/>
                <w:lang w:val="en-GB" w:eastAsia="en-GB"/>
              </w:rPr>
              <w:t>4.4 Data Analysis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_Toc239091445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13</w:t>
            </w:r>
            <w:r w:rsidRPr="00692F51">
              <w:rPr>
                <w:rFonts w:ascii="Arial" w:hAnsi="Arial" w:cs="Arial"/>
                <w:noProof/>
                <w:webHidden/>
                <w:sz w:val="24"/>
                <w:szCs w:val="24"/>
              </w:rPr>
              <w:fldChar w:fldCharType="end"/>
            </w:r>
          </w:hyperlink>
        </w:p>
        <w:p w14:paraId="1CA844F5" w14:textId="5688698E"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46" w:history="1">
            <w:r w:rsidRPr="00692F51">
              <w:rPr>
                <w:rStyle w:val="Hyperlink"/>
                <w:rFonts w:ascii="Arial" w:hAnsi="Arial" w:cs="Arial"/>
                <w:noProof/>
                <w:sz w:val="24"/>
                <w:szCs w:val="24"/>
                <w:lang w:val="en-GB" w:eastAsia="en-GB"/>
              </w:rPr>
              <w:t>4.5 Application of Models and Frameworks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_Toc239091446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14</w:t>
            </w:r>
            <w:r w:rsidRPr="00692F51">
              <w:rPr>
                <w:rFonts w:ascii="Arial" w:hAnsi="Arial" w:cs="Arial"/>
                <w:noProof/>
                <w:webHidden/>
                <w:sz w:val="24"/>
                <w:szCs w:val="24"/>
              </w:rPr>
              <w:fldChar w:fldCharType="end"/>
            </w:r>
          </w:hyperlink>
        </w:p>
        <w:p w14:paraId="7E6A3554" w14:textId="67BEA8EE"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47" w:history="1">
            <w:r w:rsidRPr="00692F51">
              <w:rPr>
                <w:rStyle w:val="Hyperlink"/>
                <w:rFonts w:ascii="Arial" w:hAnsi="Arial" w:cs="Arial"/>
                <w:noProof/>
                <w:sz w:val="24"/>
                <w:szCs w:val="24"/>
                <w:lang w:val="en-GB" w:eastAsia="en-GB"/>
              </w:rPr>
              <w:t>4.6 Reliability and Validity</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_Toc239091447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14</w:t>
            </w:r>
            <w:r w:rsidRPr="00692F51">
              <w:rPr>
                <w:rFonts w:ascii="Arial" w:hAnsi="Arial" w:cs="Arial"/>
                <w:noProof/>
                <w:webHidden/>
                <w:sz w:val="24"/>
                <w:szCs w:val="24"/>
              </w:rPr>
              <w:fldChar w:fldCharType="end"/>
            </w:r>
          </w:hyperlink>
        </w:p>
        <w:p w14:paraId="4B8CDEE9" w14:textId="1CC5C1DA"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48" w:history="1">
            <w:r w:rsidRPr="00692F51">
              <w:rPr>
                <w:rStyle w:val="Hyperlink"/>
                <w:rFonts w:ascii="Arial" w:hAnsi="Arial" w:cs="Arial"/>
                <w:noProof/>
                <w:sz w:val="24"/>
                <w:szCs w:val="24"/>
                <w:lang w:val="en-GB"/>
              </w:rPr>
              <w:t>4.7 Limitations and Ethical Considerations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_Toc239091448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15</w:t>
            </w:r>
            <w:r w:rsidRPr="00692F51">
              <w:rPr>
                <w:rFonts w:ascii="Arial" w:hAnsi="Arial" w:cs="Arial"/>
                <w:noProof/>
                <w:webHidden/>
                <w:sz w:val="24"/>
                <w:szCs w:val="24"/>
              </w:rPr>
              <w:fldChar w:fldCharType="end"/>
            </w:r>
          </w:hyperlink>
        </w:p>
        <w:p w14:paraId="7650732C" w14:textId="061C0932"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49" w:history="1">
            <w:r w:rsidRPr="00692F51">
              <w:rPr>
                <w:rStyle w:val="Hyperlink"/>
                <w:rFonts w:ascii="Arial" w:hAnsi="Arial" w:cs="Arial"/>
                <w:noProof/>
                <w:sz w:val="24"/>
                <w:szCs w:val="24"/>
                <w:lang w:val="en-GB" w:eastAsia="en-GB"/>
              </w:rPr>
              <w:t>4.8 Chapter Summary</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_Toc239091449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15</w:t>
            </w:r>
            <w:r w:rsidRPr="00692F51">
              <w:rPr>
                <w:rFonts w:ascii="Arial" w:hAnsi="Arial" w:cs="Arial"/>
                <w:noProof/>
                <w:webHidden/>
                <w:sz w:val="24"/>
                <w:szCs w:val="24"/>
              </w:rPr>
              <w:fldChar w:fldCharType="end"/>
            </w:r>
          </w:hyperlink>
        </w:p>
        <w:p w14:paraId="075F59B9" w14:textId="1F0BFE9C" w:rsidR="00692F51" w:rsidRPr="00692F51" w:rsidRDefault="00692F51">
          <w:pPr>
            <w:pStyle w:val="TOC1"/>
            <w:tabs>
              <w:tab w:val="right" w:leader="dot" w:pos="9016"/>
            </w:tabs>
            <w:rPr>
              <w:rFonts w:ascii="Arial" w:eastAsiaTheme="minorEastAsia" w:hAnsi="Arial" w:cs="Arial"/>
              <w:noProof/>
              <w:sz w:val="24"/>
              <w:szCs w:val="24"/>
              <w:lang w:val="en-GB" w:eastAsia="en-GB"/>
            </w:rPr>
          </w:pPr>
          <w:hyperlink w:anchor="_Toc239091450" w:history="1">
            <w:r w:rsidRPr="00692F51">
              <w:rPr>
                <w:rStyle w:val="Hyperlink"/>
                <w:rFonts w:ascii="Arial" w:eastAsia="Times New Roman" w:hAnsi="Arial" w:cs="Arial"/>
                <w:noProof/>
                <w:sz w:val="24"/>
                <w:szCs w:val="24"/>
                <w:lang w:val="en-GB" w:eastAsia="en-GB"/>
              </w:rPr>
              <w:t>Chapter 5 — Market Opportunity Analysis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_Toc239091450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16</w:t>
            </w:r>
            <w:r w:rsidRPr="00692F51">
              <w:rPr>
                <w:rFonts w:ascii="Arial" w:hAnsi="Arial" w:cs="Arial"/>
                <w:noProof/>
                <w:webHidden/>
                <w:sz w:val="24"/>
                <w:szCs w:val="24"/>
              </w:rPr>
              <w:fldChar w:fldCharType="end"/>
            </w:r>
          </w:hyperlink>
        </w:p>
        <w:p w14:paraId="7001AFB3" w14:textId="7B712197"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51" w:history="1">
            <w:r w:rsidRPr="00692F51">
              <w:rPr>
                <w:rStyle w:val="Hyperlink"/>
                <w:rFonts w:ascii="Arial" w:hAnsi="Arial" w:cs="Arial"/>
                <w:noProof/>
                <w:sz w:val="24"/>
                <w:szCs w:val="24"/>
                <w:lang w:val="en-GB"/>
              </w:rPr>
              <w:t>5.1 Scope and Market Definition</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_Toc239091451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16</w:t>
            </w:r>
            <w:r w:rsidRPr="00692F51">
              <w:rPr>
                <w:rFonts w:ascii="Arial" w:hAnsi="Arial" w:cs="Arial"/>
                <w:noProof/>
                <w:webHidden/>
                <w:sz w:val="24"/>
                <w:szCs w:val="24"/>
              </w:rPr>
              <w:fldChar w:fldCharType="end"/>
            </w:r>
          </w:hyperlink>
        </w:p>
        <w:p w14:paraId="0BBE474A" w14:textId="53698E51"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52" w:history="1">
            <w:r w:rsidRPr="00692F51">
              <w:rPr>
                <w:rStyle w:val="Hyperlink"/>
                <w:rFonts w:ascii="Arial" w:hAnsi="Arial" w:cs="Arial"/>
                <w:noProof/>
                <w:sz w:val="24"/>
                <w:szCs w:val="24"/>
                <w:lang w:val="en-GB"/>
              </w:rPr>
              <w:t>5.2 Market Size and Growth</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_Toc239091452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16</w:t>
            </w:r>
            <w:r w:rsidRPr="00692F51">
              <w:rPr>
                <w:rFonts w:ascii="Arial" w:hAnsi="Arial" w:cs="Arial"/>
                <w:noProof/>
                <w:webHidden/>
                <w:sz w:val="24"/>
                <w:szCs w:val="24"/>
              </w:rPr>
              <w:fldChar w:fldCharType="end"/>
            </w:r>
          </w:hyperlink>
        </w:p>
        <w:p w14:paraId="1DC18CAB" w14:textId="181C0D91"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53" w:history="1">
            <w:r w:rsidRPr="00692F51">
              <w:rPr>
                <w:rStyle w:val="Hyperlink"/>
                <w:rFonts w:ascii="Arial" w:hAnsi="Arial" w:cs="Arial"/>
                <w:noProof/>
                <w:sz w:val="24"/>
                <w:szCs w:val="24"/>
                <w:lang w:val="en-GB"/>
              </w:rPr>
              <w:t>5.3 Market Segmentation and Target Customer</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_Toc239091453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17</w:t>
            </w:r>
            <w:r w:rsidRPr="00692F51">
              <w:rPr>
                <w:rFonts w:ascii="Arial" w:hAnsi="Arial" w:cs="Arial"/>
                <w:noProof/>
                <w:webHidden/>
                <w:sz w:val="24"/>
                <w:szCs w:val="24"/>
              </w:rPr>
              <w:fldChar w:fldCharType="end"/>
            </w:r>
          </w:hyperlink>
        </w:p>
        <w:p w14:paraId="253E4B19" w14:textId="30654911"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54" w:history="1">
            <w:r w:rsidRPr="00692F51">
              <w:rPr>
                <w:rStyle w:val="Hyperlink"/>
                <w:rFonts w:ascii="Arial" w:eastAsia="Times New Roman" w:hAnsi="Arial" w:cs="Arial"/>
                <w:noProof/>
                <w:sz w:val="24"/>
                <w:szCs w:val="24"/>
                <w:lang w:val="en-GB" w:eastAsia="en-GB"/>
              </w:rPr>
              <w:t>5.4 Pain Points, Unmet Needs and Demand</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_Toc239091454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18</w:t>
            </w:r>
            <w:r w:rsidRPr="00692F51">
              <w:rPr>
                <w:rFonts w:ascii="Arial" w:hAnsi="Arial" w:cs="Arial"/>
                <w:noProof/>
                <w:webHidden/>
                <w:sz w:val="24"/>
                <w:szCs w:val="24"/>
              </w:rPr>
              <w:fldChar w:fldCharType="end"/>
            </w:r>
          </w:hyperlink>
        </w:p>
        <w:p w14:paraId="61D3C2CA" w14:textId="7E85253B"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55" w:history="1">
            <w:r w:rsidRPr="00692F51">
              <w:rPr>
                <w:rStyle w:val="Hyperlink"/>
                <w:rFonts w:ascii="Arial" w:eastAsia="Times New Roman" w:hAnsi="Arial" w:cs="Arial"/>
                <w:noProof/>
                <w:sz w:val="24"/>
                <w:szCs w:val="24"/>
                <w:lang w:val="en-GB" w:eastAsia="en-GB"/>
              </w:rPr>
              <w:t>5.5 Economic and Geographic Conditions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_Toc239091455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20</w:t>
            </w:r>
            <w:r w:rsidRPr="00692F51">
              <w:rPr>
                <w:rFonts w:ascii="Arial" w:hAnsi="Arial" w:cs="Arial"/>
                <w:noProof/>
                <w:webHidden/>
                <w:sz w:val="24"/>
                <w:szCs w:val="24"/>
              </w:rPr>
              <w:fldChar w:fldCharType="end"/>
            </w:r>
          </w:hyperlink>
        </w:p>
        <w:p w14:paraId="13E4AEE1" w14:textId="1F2EC7A4"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56" w:history="1">
            <w:r w:rsidRPr="00692F51">
              <w:rPr>
                <w:rStyle w:val="Hyperlink"/>
                <w:rFonts w:ascii="Arial" w:eastAsia="Times New Roman" w:hAnsi="Arial" w:cs="Arial"/>
                <w:noProof/>
                <w:sz w:val="24"/>
                <w:szCs w:val="24"/>
                <w:lang w:val="en-GB" w:eastAsia="en-GB"/>
              </w:rPr>
              <w:t>5.6 Research Findings and Opportunity Synthesis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_Toc239091456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21</w:t>
            </w:r>
            <w:r w:rsidRPr="00692F51">
              <w:rPr>
                <w:rFonts w:ascii="Arial" w:hAnsi="Arial" w:cs="Arial"/>
                <w:noProof/>
                <w:webHidden/>
                <w:sz w:val="24"/>
                <w:szCs w:val="24"/>
              </w:rPr>
              <w:fldChar w:fldCharType="end"/>
            </w:r>
          </w:hyperlink>
        </w:p>
        <w:p w14:paraId="4715AC01" w14:textId="2393A66C" w:rsidR="00692F51" w:rsidRPr="00692F51" w:rsidRDefault="00692F51">
          <w:pPr>
            <w:pStyle w:val="TOC1"/>
            <w:tabs>
              <w:tab w:val="right" w:leader="dot" w:pos="9016"/>
            </w:tabs>
            <w:rPr>
              <w:rFonts w:ascii="Arial" w:eastAsiaTheme="minorEastAsia" w:hAnsi="Arial" w:cs="Arial"/>
              <w:noProof/>
              <w:sz w:val="24"/>
              <w:szCs w:val="24"/>
              <w:lang w:val="en-GB" w:eastAsia="en-GB"/>
            </w:rPr>
          </w:pPr>
          <w:hyperlink w:anchor="_Toc239091457" w:history="1">
            <w:r w:rsidRPr="00692F51">
              <w:rPr>
                <w:rStyle w:val="Hyperlink"/>
                <w:rFonts w:ascii="Arial" w:eastAsia="Times New Roman" w:hAnsi="Arial" w:cs="Arial"/>
                <w:noProof/>
                <w:sz w:val="24"/>
                <w:szCs w:val="24"/>
                <w:lang w:val="en-GB" w:eastAsia="en-GB"/>
              </w:rPr>
              <w:t>Chapter 6 — Competitive Environment Analysis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_Toc239091457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22</w:t>
            </w:r>
            <w:r w:rsidRPr="00692F51">
              <w:rPr>
                <w:rFonts w:ascii="Arial" w:hAnsi="Arial" w:cs="Arial"/>
                <w:noProof/>
                <w:webHidden/>
                <w:sz w:val="24"/>
                <w:szCs w:val="24"/>
              </w:rPr>
              <w:fldChar w:fldCharType="end"/>
            </w:r>
          </w:hyperlink>
        </w:p>
        <w:p w14:paraId="25747A08" w14:textId="75A0ECF5"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58" w:history="1">
            <w:r w:rsidRPr="00692F51">
              <w:rPr>
                <w:rStyle w:val="Hyperlink"/>
                <w:rFonts w:ascii="Arial" w:eastAsia="Times New Roman" w:hAnsi="Arial" w:cs="Arial"/>
                <w:noProof/>
                <w:sz w:val="24"/>
                <w:szCs w:val="24"/>
                <w:lang w:val="en-GB" w:eastAsia="en-GB"/>
              </w:rPr>
              <w:t>6.1 Introduction</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_Toc239091458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22</w:t>
            </w:r>
            <w:r w:rsidRPr="00692F51">
              <w:rPr>
                <w:rFonts w:ascii="Arial" w:hAnsi="Arial" w:cs="Arial"/>
                <w:noProof/>
                <w:webHidden/>
                <w:sz w:val="24"/>
                <w:szCs w:val="24"/>
              </w:rPr>
              <w:fldChar w:fldCharType="end"/>
            </w:r>
          </w:hyperlink>
        </w:p>
        <w:p w14:paraId="007A4C51" w14:textId="08627EDE"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59" w:history="1">
            <w:r w:rsidRPr="00692F51">
              <w:rPr>
                <w:rStyle w:val="Hyperlink"/>
                <w:rFonts w:ascii="Arial" w:hAnsi="Arial" w:cs="Arial"/>
                <w:noProof/>
                <w:sz w:val="24"/>
                <w:szCs w:val="24"/>
                <w:lang w:val="en-GB" w:eastAsia="en-GB"/>
              </w:rPr>
              <w:t>6.2 Local Competitor Landscape</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_Toc239091459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22</w:t>
            </w:r>
            <w:r w:rsidRPr="00692F51">
              <w:rPr>
                <w:rFonts w:ascii="Arial" w:hAnsi="Arial" w:cs="Arial"/>
                <w:noProof/>
                <w:webHidden/>
                <w:sz w:val="24"/>
                <w:szCs w:val="24"/>
              </w:rPr>
              <w:fldChar w:fldCharType="end"/>
            </w:r>
          </w:hyperlink>
        </w:p>
        <w:p w14:paraId="6ECE76DF" w14:textId="7D859031"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60" w:history="1">
            <w:r w:rsidRPr="00692F51">
              <w:rPr>
                <w:rStyle w:val="Hyperlink"/>
                <w:rFonts w:ascii="Arial" w:hAnsi="Arial" w:cs="Arial"/>
                <w:noProof/>
                <w:sz w:val="24"/>
                <w:szCs w:val="24"/>
                <w:lang w:val="en-GB" w:eastAsia="en-GB"/>
              </w:rPr>
              <w:t>6.3 Competitor Strengths and Weaknesses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_Toc239091460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24</w:t>
            </w:r>
            <w:r w:rsidRPr="00692F51">
              <w:rPr>
                <w:rFonts w:ascii="Arial" w:hAnsi="Arial" w:cs="Arial"/>
                <w:noProof/>
                <w:webHidden/>
                <w:sz w:val="24"/>
                <w:szCs w:val="24"/>
              </w:rPr>
              <w:fldChar w:fldCharType="end"/>
            </w:r>
          </w:hyperlink>
        </w:p>
        <w:p w14:paraId="01B332BE" w14:textId="3D9A7B40"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61" w:history="1">
            <w:r w:rsidRPr="00692F51">
              <w:rPr>
                <w:rStyle w:val="Hyperlink"/>
                <w:rFonts w:ascii="Arial" w:hAnsi="Arial" w:cs="Arial"/>
                <w:noProof/>
                <w:sz w:val="24"/>
                <w:szCs w:val="24"/>
                <w:lang w:val="en-GB" w:eastAsia="en-GB"/>
              </w:rPr>
              <w:t>6.4 Strategic Positioning</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_Toc239091461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24</w:t>
            </w:r>
            <w:r w:rsidRPr="00692F51">
              <w:rPr>
                <w:rFonts w:ascii="Arial" w:hAnsi="Arial" w:cs="Arial"/>
                <w:noProof/>
                <w:webHidden/>
                <w:sz w:val="24"/>
                <w:szCs w:val="24"/>
              </w:rPr>
              <w:fldChar w:fldCharType="end"/>
            </w:r>
          </w:hyperlink>
        </w:p>
        <w:p w14:paraId="52AE4710" w14:textId="41435910"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62" w:history="1">
            <w:r w:rsidRPr="00692F51">
              <w:rPr>
                <w:rStyle w:val="Hyperlink"/>
                <w:rFonts w:ascii="Arial" w:hAnsi="Arial" w:cs="Arial"/>
                <w:noProof/>
                <w:sz w:val="24"/>
                <w:szCs w:val="24"/>
                <w:lang w:val="en-GB" w:eastAsia="en-GB"/>
              </w:rPr>
              <w:t>6.5 Porter’s Five Forces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_Toc239091462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25</w:t>
            </w:r>
            <w:r w:rsidRPr="00692F51">
              <w:rPr>
                <w:rFonts w:ascii="Arial" w:hAnsi="Arial" w:cs="Arial"/>
                <w:noProof/>
                <w:webHidden/>
                <w:sz w:val="24"/>
                <w:szCs w:val="24"/>
              </w:rPr>
              <w:fldChar w:fldCharType="end"/>
            </w:r>
          </w:hyperlink>
        </w:p>
        <w:p w14:paraId="02E918D2" w14:textId="66BFA6F2"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63" w:history="1">
            <w:r w:rsidRPr="00692F51">
              <w:rPr>
                <w:rStyle w:val="Hyperlink"/>
                <w:rFonts w:ascii="Arial" w:hAnsi="Arial" w:cs="Arial"/>
                <w:noProof/>
                <w:sz w:val="24"/>
                <w:szCs w:val="24"/>
                <w:lang w:val="en-GB" w:eastAsia="en-GB"/>
              </w:rPr>
              <w:t>6.6 PESTLE Analysis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_Toc239091463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27</w:t>
            </w:r>
            <w:r w:rsidRPr="00692F51">
              <w:rPr>
                <w:rFonts w:ascii="Arial" w:hAnsi="Arial" w:cs="Arial"/>
                <w:noProof/>
                <w:webHidden/>
                <w:sz w:val="24"/>
                <w:szCs w:val="24"/>
              </w:rPr>
              <w:fldChar w:fldCharType="end"/>
            </w:r>
          </w:hyperlink>
        </w:p>
        <w:p w14:paraId="4369D8E6" w14:textId="1E80C1E5"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64" w:history="1">
            <w:r w:rsidRPr="00692F51">
              <w:rPr>
                <w:rStyle w:val="Hyperlink"/>
                <w:rFonts w:ascii="Arial" w:hAnsi="Arial" w:cs="Arial"/>
                <w:noProof/>
                <w:sz w:val="24"/>
                <w:szCs w:val="24"/>
                <w:lang w:val="en-GB" w:eastAsia="en-GB"/>
              </w:rPr>
              <w:t>6.7 Key Success Factors and Industry Attractiveness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_Toc239091464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29</w:t>
            </w:r>
            <w:r w:rsidRPr="00692F51">
              <w:rPr>
                <w:rFonts w:ascii="Arial" w:hAnsi="Arial" w:cs="Arial"/>
                <w:noProof/>
                <w:webHidden/>
                <w:sz w:val="24"/>
                <w:szCs w:val="24"/>
              </w:rPr>
              <w:fldChar w:fldCharType="end"/>
            </w:r>
          </w:hyperlink>
        </w:p>
        <w:p w14:paraId="4EB2DAA1" w14:textId="6F42B53E"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65" w:history="1">
            <w:r w:rsidRPr="00692F51">
              <w:rPr>
                <w:rStyle w:val="Hyperlink"/>
                <w:rFonts w:ascii="Arial" w:hAnsi="Arial" w:cs="Arial"/>
                <w:noProof/>
                <w:sz w:val="24"/>
                <w:szCs w:val="24"/>
                <w:lang w:val="en-GB" w:eastAsia="en-GB"/>
              </w:rPr>
              <w:t>6.8 Market Gaps and Strategic Implications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_Toc239091465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30</w:t>
            </w:r>
            <w:r w:rsidRPr="00692F51">
              <w:rPr>
                <w:rFonts w:ascii="Arial" w:hAnsi="Arial" w:cs="Arial"/>
                <w:noProof/>
                <w:webHidden/>
                <w:sz w:val="24"/>
                <w:szCs w:val="24"/>
              </w:rPr>
              <w:fldChar w:fldCharType="end"/>
            </w:r>
          </w:hyperlink>
        </w:p>
        <w:p w14:paraId="3E7A329F" w14:textId="17DDBDAF"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66" w:history="1">
            <w:r w:rsidRPr="00692F51">
              <w:rPr>
                <w:rStyle w:val="Hyperlink"/>
                <w:rFonts w:ascii="Arial" w:hAnsi="Arial" w:cs="Arial"/>
                <w:noProof/>
                <w:sz w:val="24"/>
                <w:szCs w:val="24"/>
                <w:lang w:val="en-GB" w:eastAsia="en-GB"/>
              </w:rPr>
              <w:t>6.9 Chapter Summary</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_Toc239091466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31</w:t>
            </w:r>
            <w:r w:rsidRPr="00692F51">
              <w:rPr>
                <w:rFonts w:ascii="Arial" w:hAnsi="Arial" w:cs="Arial"/>
                <w:noProof/>
                <w:webHidden/>
                <w:sz w:val="24"/>
                <w:szCs w:val="24"/>
              </w:rPr>
              <w:fldChar w:fldCharType="end"/>
            </w:r>
          </w:hyperlink>
        </w:p>
        <w:p w14:paraId="70F4D952" w14:textId="6839E2E9" w:rsidR="00692F51" w:rsidRPr="00692F51" w:rsidRDefault="00692F51">
          <w:pPr>
            <w:pStyle w:val="TOC1"/>
            <w:tabs>
              <w:tab w:val="right" w:leader="dot" w:pos="9016"/>
            </w:tabs>
            <w:rPr>
              <w:rFonts w:ascii="Arial" w:eastAsiaTheme="minorEastAsia" w:hAnsi="Arial" w:cs="Arial"/>
              <w:noProof/>
              <w:sz w:val="24"/>
              <w:szCs w:val="24"/>
              <w:lang w:val="en-GB" w:eastAsia="en-GB"/>
            </w:rPr>
          </w:pPr>
          <w:hyperlink w:anchor="_Toc239091467" w:history="1">
            <w:r w:rsidRPr="00692F51">
              <w:rPr>
                <w:rStyle w:val="Hyperlink"/>
                <w:rFonts w:ascii="Arial" w:hAnsi="Arial" w:cs="Arial"/>
                <w:noProof/>
                <w:sz w:val="24"/>
                <w:szCs w:val="24"/>
              </w:rPr>
              <w:t>Chapter 7 — Business Strategy</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_Toc239091467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32</w:t>
            </w:r>
            <w:r w:rsidRPr="00692F51">
              <w:rPr>
                <w:rFonts w:ascii="Arial" w:hAnsi="Arial" w:cs="Arial"/>
                <w:noProof/>
                <w:webHidden/>
                <w:sz w:val="24"/>
                <w:szCs w:val="24"/>
              </w:rPr>
              <w:fldChar w:fldCharType="end"/>
            </w:r>
          </w:hyperlink>
        </w:p>
        <w:p w14:paraId="7C421DA4" w14:textId="2AD8B741"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68" w:history="1">
            <w:r w:rsidRPr="00692F51">
              <w:rPr>
                <w:rStyle w:val="Hyperlink"/>
                <w:rFonts w:ascii="Arial" w:eastAsia="Times New Roman" w:hAnsi="Arial" w:cs="Arial"/>
                <w:noProof/>
                <w:sz w:val="24"/>
                <w:szCs w:val="24"/>
                <w:lang w:val="en-GB" w:eastAsia="en-GB"/>
              </w:rPr>
              <w:t>7.1 Introduction and Strategic Framework</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_Toc239091468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32</w:t>
            </w:r>
            <w:r w:rsidRPr="00692F51">
              <w:rPr>
                <w:rFonts w:ascii="Arial" w:hAnsi="Arial" w:cs="Arial"/>
                <w:noProof/>
                <w:webHidden/>
                <w:sz w:val="24"/>
                <w:szCs w:val="24"/>
              </w:rPr>
              <w:fldChar w:fldCharType="end"/>
            </w:r>
          </w:hyperlink>
        </w:p>
        <w:p w14:paraId="0F780A5A" w14:textId="06AB791D"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69" w:history="1">
            <w:r w:rsidRPr="00692F51">
              <w:rPr>
                <w:rStyle w:val="Hyperlink"/>
                <w:rFonts w:ascii="Arial" w:eastAsia="Times New Roman" w:hAnsi="Arial" w:cs="Arial"/>
                <w:noProof/>
                <w:sz w:val="24"/>
                <w:szCs w:val="24"/>
                <w:lang w:val="en-GB" w:eastAsia="en-GB"/>
              </w:rPr>
              <w:t>7.2 Strategic Situation: External Analysis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_Toc239091469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32</w:t>
            </w:r>
            <w:r w:rsidRPr="00692F51">
              <w:rPr>
                <w:rFonts w:ascii="Arial" w:hAnsi="Arial" w:cs="Arial"/>
                <w:noProof/>
                <w:webHidden/>
                <w:sz w:val="24"/>
                <w:szCs w:val="24"/>
              </w:rPr>
              <w:fldChar w:fldCharType="end"/>
            </w:r>
          </w:hyperlink>
        </w:p>
        <w:p w14:paraId="0B31D639" w14:textId="7097B0E1"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70" w:history="1">
            <w:r w:rsidRPr="00692F51">
              <w:rPr>
                <w:rStyle w:val="Hyperlink"/>
                <w:rFonts w:ascii="Arial" w:eastAsia="Times New Roman" w:hAnsi="Arial" w:cs="Arial"/>
                <w:noProof/>
                <w:sz w:val="24"/>
                <w:szCs w:val="24"/>
                <w:lang w:val="en-GB" w:eastAsia="en-GB"/>
              </w:rPr>
              <w:t>7.3 Internal Analysis: VRIO</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_Toc239091470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33</w:t>
            </w:r>
            <w:r w:rsidRPr="00692F51">
              <w:rPr>
                <w:rFonts w:ascii="Arial" w:hAnsi="Arial" w:cs="Arial"/>
                <w:noProof/>
                <w:webHidden/>
                <w:sz w:val="24"/>
                <w:szCs w:val="24"/>
              </w:rPr>
              <w:fldChar w:fldCharType="end"/>
            </w:r>
          </w:hyperlink>
        </w:p>
        <w:p w14:paraId="11F3ECAD" w14:textId="19FA4C1B"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71" w:history="1">
            <w:r w:rsidRPr="00692F51">
              <w:rPr>
                <w:rStyle w:val="Hyperlink"/>
                <w:rFonts w:ascii="Arial" w:eastAsia="Times New Roman" w:hAnsi="Arial" w:cs="Arial"/>
                <w:noProof/>
                <w:sz w:val="24"/>
                <w:szCs w:val="24"/>
                <w:lang w:val="en-GB" w:eastAsia="en-GB"/>
              </w:rPr>
              <w:t>7.4 SWOT Analysis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_Toc239091471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35</w:t>
            </w:r>
            <w:r w:rsidRPr="00692F51">
              <w:rPr>
                <w:rFonts w:ascii="Arial" w:hAnsi="Arial" w:cs="Arial"/>
                <w:noProof/>
                <w:webHidden/>
                <w:sz w:val="24"/>
                <w:szCs w:val="24"/>
              </w:rPr>
              <w:fldChar w:fldCharType="end"/>
            </w:r>
          </w:hyperlink>
        </w:p>
        <w:p w14:paraId="55CB6384" w14:textId="04F2A5B9"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72" w:history="1">
            <w:r w:rsidRPr="00692F51">
              <w:rPr>
                <w:rStyle w:val="Hyperlink"/>
                <w:rFonts w:ascii="Arial" w:eastAsia="Times New Roman" w:hAnsi="Arial" w:cs="Arial"/>
                <w:noProof/>
                <w:sz w:val="24"/>
                <w:szCs w:val="24"/>
                <w:lang w:val="en-GB" w:eastAsia="en-GB"/>
              </w:rPr>
              <w:t>7.5 Strategy Selection</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_Toc239091472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36</w:t>
            </w:r>
            <w:r w:rsidRPr="00692F51">
              <w:rPr>
                <w:rFonts w:ascii="Arial" w:hAnsi="Arial" w:cs="Arial"/>
                <w:noProof/>
                <w:webHidden/>
                <w:sz w:val="24"/>
                <w:szCs w:val="24"/>
              </w:rPr>
              <w:fldChar w:fldCharType="end"/>
            </w:r>
          </w:hyperlink>
        </w:p>
        <w:p w14:paraId="76B5A168" w14:textId="41FA63D7"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73" w:history="1">
            <w:r w:rsidRPr="00692F51">
              <w:rPr>
                <w:rStyle w:val="Hyperlink"/>
                <w:rFonts w:ascii="Arial" w:hAnsi="Arial" w:cs="Arial"/>
                <w:noProof/>
                <w:sz w:val="24"/>
                <w:szCs w:val="24"/>
              </w:rPr>
              <w:t>7.6 Strategic Positioning</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_Toc239091473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37</w:t>
            </w:r>
            <w:r w:rsidRPr="00692F51">
              <w:rPr>
                <w:rFonts w:ascii="Arial" w:hAnsi="Arial" w:cs="Arial"/>
                <w:noProof/>
                <w:webHidden/>
                <w:sz w:val="24"/>
                <w:szCs w:val="24"/>
              </w:rPr>
              <w:fldChar w:fldCharType="end"/>
            </w:r>
          </w:hyperlink>
        </w:p>
        <w:p w14:paraId="30FE068C" w14:textId="427E3F25"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74" w:history="1">
            <w:r w:rsidRPr="00692F51">
              <w:rPr>
                <w:rStyle w:val="Hyperlink"/>
                <w:rFonts w:ascii="Arial" w:eastAsia="Times New Roman" w:hAnsi="Arial" w:cs="Arial"/>
                <w:noProof/>
                <w:sz w:val="24"/>
                <w:szCs w:val="24"/>
                <w:lang w:val="en-GB" w:eastAsia="en-GB"/>
              </w:rPr>
              <w:t>7.7 USP and Value Proposition</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_Toc239091474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38</w:t>
            </w:r>
            <w:r w:rsidRPr="00692F51">
              <w:rPr>
                <w:rFonts w:ascii="Arial" w:hAnsi="Arial" w:cs="Arial"/>
                <w:noProof/>
                <w:webHidden/>
                <w:sz w:val="24"/>
                <w:szCs w:val="24"/>
              </w:rPr>
              <w:fldChar w:fldCharType="end"/>
            </w:r>
          </w:hyperlink>
        </w:p>
        <w:p w14:paraId="1C4DF4C4" w14:textId="2EF11F32"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75" w:history="1">
            <w:r w:rsidRPr="00692F51">
              <w:rPr>
                <w:rStyle w:val="Hyperlink"/>
                <w:rFonts w:ascii="Arial" w:eastAsia="Times New Roman" w:hAnsi="Arial" w:cs="Arial"/>
                <w:noProof/>
                <w:sz w:val="24"/>
                <w:szCs w:val="24"/>
                <w:lang w:val="en-GB" w:eastAsia="en-GB"/>
              </w:rPr>
              <w:t>7.8 Competitive Advantage</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_Toc239091475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39</w:t>
            </w:r>
            <w:r w:rsidRPr="00692F51">
              <w:rPr>
                <w:rFonts w:ascii="Arial" w:hAnsi="Arial" w:cs="Arial"/>
                <w:noProof/>
                <w:webHidden/>
                <w:sz w:val="24"/>
                <w:szCs w:val="24"/>
              </w:rPr>
              <w:fldChar w:fldCharType="end"/>
            </w:r>
          </w:hyperlink>
        </w:p>
        <w:p w14:paraId="75B3B6C0" w14:textId="67A0043A"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76" w:history="1">
            <w:r w:rsidRPr="00692F51">
              <w:rPr>
                <w:rStyle w:val="Hyperlink"/>
                <w:rFonts w:ascii="Arial" w:eastAsia="Times New Roman" w:hAnsi="Arial" w:cs="Arial"/>
                <w:noProof/>
                <w:sz w:val="24"/>
                <w:szCs w:val="24"/>
                <w:lang w:val="en-GB" w:eastAsia="en-GB"/>
              </w:rPr>
              <w:t>7.9 Key Success Factors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_Toc239091476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40</w:t>
            </w:r>
            <w:r w:rsidRPr="00692F51">
              <w:rPr>
                <w:rFonts w:ascii="Arial" w:hAnsi="Arial" w:cs="Arial"/>
                <w:noProof/>
                <w:webHidden/>
                <w:sz w:val="24"/>
                <w:szCs w:val="24"/>
              </w:rPr>
              <w:fldChar w:fldCharType="end"/>
            </w:r>
          </w:hyperlink>
        </w:p>
        <w:p w14:paraId="0A76E2C2" w14:textId="04F639FC" w:rsidR="00692F51" w:rsidRPr="00692F51" w:rsidRDefault="00692F51">
          <w:pPr>
            <w:pStyle w:val="TOC1"/>
            <w:tabs>
              <w:tab w:val="right" w:leader="dot" w:pos="9016"/>
            </w:tabs>
            <w:rPr>
              <w:rFonts w:ascii="Arial" w:eastAsiaTheme="minorEastAsia" w:hAnsi="Arial" w:cs="Arial"/>
              <w:noProof/>
              <w:sz w:val="24"/>
              <w:szCs w:val="24"/>
              <w:lang w:val="en-GB" w:eastAsia="en-GB"/>
            </w:rPr>
          </w:pPr>
          <w:hyperlink w:anchor="_Toc239091477" w:history="1">
            <w:r w:rsidRPr="00692F51">
              <w:rPr>
                <w:rStyle w:val="Hyperlink"/>
                <w:rFonts w:ascii="Arial" w:hAnsi="Arial" w:cs="Arial"/>
                <w:noProof/>
                <w:sz w:val="24"/>
                <w:szCs w:val="24"/>
                <w:lang w:val="en-GB" w:eastAsia="en-GB"/>
              </w:rPr>
              <w:t>Chapter 8 — Business Model Canvas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_Toc239091477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42</w:t>
            </w:r>
            <w:r w:rsidRPr="00692F51">
              <w:rPr>
                <w:rFonts w:ascii="Arial" w:hAnsi="Arial" w:cs="Arial"/>
                <w:noProof/>
                <w:webHidden/>
                <w:sz w:val="24"/>
                <w:szCs w:val="24"/>
              </w:rPr>
              <w:fldChar w:fldCharType="end"/>
            </w:r>
          </w:hyperlink>
        </w:p>
        <w:p w14:paraId="0DE5DB76" w14:textId="696DF262"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78" w:history="1">
            <w:r w:rsidRPr="00692F51">
              <w:rPr>
                <w:rStyle w:val="Hyperlink"/>
                <w:rFonts w:ascii="Arial" w:hAnsi="Arial" w:cs="Arial"/>
                <w:noProof/>
                <w:sz w:val="24"/>
                <w:szCs w:val="24"/>
                <w:lang w:val="en-GB" w:eastAsia="en-GB"/>
              </w:rPr>
              <w:t>8.1 Model Overview and Strategic Alignment</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_Toc239091478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42</w:t>
            </w:r>
            <w:r w:rsidRPr="00692F51">
              <w:rPr>
                <w:rFonts w:ascii="Arial" w:hAnsi="Arial" w:cs="Arial"/>
                <w:noProof/>
                <w:webHidden/>
                <w:sz w:val="24"/>
                <w:szCs w:val="24"/>
              </w:rPr>
              <w:fldChar w:fldCharType="end"/>
            </w:r>
          </w:hyperlink>
        </w:p>
        <w:p w14:paraId="4620ED12" w14:textId="220280E5"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79" w:history="1">
            <w:r w:rsidRPr="00692F51">
              <w:rPr>
                <w:rStyle w:val="Hyperlink"/>
                <w:rFonts w:ascii="Arial" w:hAnsi="Arial" w:cs="Arial"/>
                <w:noProof/>
                <w:sz w:val="24"/>
                <w:szCs w:val="24"/>
                <w:lang w:val="en-GB" w:eastAsia="en-GB"/>
              </w:rPr>
              <w:t>8.2 Customer Segments and Value Proposition</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_Toc239091479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42</w:t>
            </w:r>
            <w:r w:rsidRPr="00692F51">
              <w:rPr>
                <w:rFonts w:ascii="Arial" w:hAnsi="Arial" w:cs="Arial"/>
                <w:noProof/>
                <w:webHidden/>
                <w:sz w:val="24"/>
                <w:szCs w:val="24"/>
              </w:rPr>
              <w:fldChar w:fldCharType="end"/>
            </w:r>
          </w:hyperlink>
        </w:p>
        <w:p w14:paraId="7833B602" w14:textId="30C30F75"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80" w:history="1">
            <w:r w:rsidRPr="00692F51">
              <w:rPr>
                <w:rStyle w:val="Hyperlink"/>
                <w:rFonts w:ascii="Arial" w:hAnsi="Arial" w:cs="Arial"/>
                <w:noProof/>
                <w:sz w:val="24"/>
                <w:szCs w:val="24"/>
                <w:lang w:val="en-GB" w:eastAsia="en-GB"/>
              </w:rPr>
              <w:t>8.3 Channels and Customer Relationships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_Toc239091480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43</w:t>
            </w:r>
            <w:r w:rsidRPr="00692F51">
              <w:rPr>
                <w:rFonts w:ascii="Arial" w:hAnsi="Arial" w:cs="Arial"/>
                <w:noProof/>
                <w:webHidden/>
                <w:sz w:val="24"/>
                <w:szCs w:val="24"/>
              </w:rPr>
              <w:fldChar w:fldCharType="end"/>
            </w:r>
          </w:hyperlink>
        </w:p>
        <w:p w14:paraId="72DA6F32" w14:textId="6BE1E3DC"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81" w:history="1">
            <w:r w:rsidRPr="00692F51">
              <w:rPr>
                <w:rStyle w:val="Hyperlink"/>
                <w:rFonts w:ascii="Arial" w:hAnsi="Arial" w:cs="Arial"/>
                <w:noProof/>
                <w:sz w:val="24"/>
                <w:szCs w:val="24"/>
                <w:lang w:val="en-GB" w:eastAsia="en-GB"/>
              </w:rPr>
              <w:t>8.5 Key Resources, Activities and Partnerships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_Toc239091481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44</w:t>
            </w:r>
            <w:r w:rsidRPr="00692F51">
              <w:rPr>
                <w:rFonts w:ascii="Arial" w:hAnsi="Arial" w:cs="Arial"/>
                <w:noProof/>
                <w:webHidden/>
                <w:sz w:val="24"/>
                <w:szCs w:val="24"/>
              </w:rPr>
              <w:fldChar w:fldCharType="end"/>
            </w:r>
          </w:hyperlink>
        </w:p>
        <w:p w14:paraId="40E8D6C3" w14:textId="3B74F5E8"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82" w:history="1">
            <w:r w:rsidRPr="00692F51">
              <w:rPr>
                <w:rStyle w:val="Hyperlink"/>
                <w:rFonts w:ascii="Arial" w:hAnsi="Arial" w:cs="Arial"/>
                <w:noProof/>
                <w:sz w:val="24"/>
                <w:szCs w:val="24"/>
                <w:lang w:val="en-GB" w:eastAsia="en-GB"/>
              </w:rPr>
              <w:t>8.6 Integration, Assumptions and Conclusion</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_Toc239091482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45</w:t>
            </w:r>
            <w:r w:rsidRPr="00692F51">
              <w:rPr>
                <w:rFonts w:ascii="Arial" w:hAnsi="Arial" w:cs="Arial"/>
                <w:noProof/>
                <w:webHidden/>
                <w:sz w:val="24"/>
                <w:szCs w:val="24"/>
              </w:rPr>
              <w:fldChar w:fldCharType="end"/>
            </w:r>
          </w:hyperlink>
        </w:p>
        <w:p w14:paraId="3F83CB96" w14:textId="0062329F" w:rsidR="00692F51" w:rsidRPr="00692F51" w:rsidRDefault="00692F51">
          <w:pPr>
            <w:pStyle w:val="TOC1"/>
            <w:tabs>
              <w:tab w:val="right" w:leader="dot" w:pos="9016"/>
            </w:tabs>
            <w:rPr>
              <w:rFonts w:ascii="Arial" w:eastAsiaTheme="minorEastAsia" w:hAnsi="Arial" w:cs="Arial"/>
              <w:noProof/>
              <w:sz w:val="24"/>
              <w:szCs w:val="24"/>
              <w:lang w:val="en-GB" w:eastAsia="en-GB"/>
            </w:rPr>
          </w:pPr>
          <w:hyperlink w:anchor="_Toc239091483" w:history="1">
            <w:r w:rsidRPr="00692F51">
              <w:rPr>
                <w:rStyle w:val="Hyperlink"/>
                <w:rFonts w:ascii="Arial" w:eastAsia="Times New Roman" w:hAnsi="Arial" w:cs="Arial"/>
                <w:noProof/>
                <w:sz w:val="24"/>
                <w:szCs w:val="24"/>
                <w:lang w:val="en-GB" w:eastAsia="en-GB"/>
              </w:rPr>
              <w:t>Chapter 9 — Financial, Marketing and Sales, and Human Capital Management Plan</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_Toc239091483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46</w:t>
            </w:r>
            <w:r w:rsidRPr="00692F51">
              <w:rPr>
                <w:rFonts w:ascii="Arial" w:hAnsi="Arial" w:cs="Arial"/>
                <w:noProof/>
                <w:webHidden/>
                <w:sz w:val="24"/>
                <w:szCs w:val="24"/>
              </w:rPr>
              <w:fldChar w:fldCharType="end"/>
            </w:r>
          </w:hyperlink>
        </w:p>
        <w:p w14:paraId="3E25FDAD" w14:textId="59E2C76B"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84" w:history="1">
            <w:r w:rsidRPr="00692F51">
              <w:rPr>
                <w:rStyle w:val="Hyperlink"/>
                <w:rFonts w:ascii="Arial" w:eastAsia="Times New Roman" w:hAnsi="Arial" w:cs="Arial"/>
                <w:noProof/>
                <w:sz w:val="24"/>
                <w:szCs w:val="24"/>
                <w:lang w:val="en-GB" w:eastAsia="en-GB"/>
              </w:rPr>
              <w:t>9.1 Integrated Plan Overview</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_Toc239091484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46</w:t>
            </w:r>
            <w:r w:rsidRPr="00692F51">
              <w:rPr>
                <w:rFonts w:ascii="Arial" w:hAnsi="Arial" w:cs="Arial"/>
                <w:noProof/>
                <w:webHidden/>
                <w:sz w:val="24"/>
                <w:szCs w:val="24"/>
              </w:rPr>
              <w:fldChar w:fldCharType="end"/>
            </w:r>
          </w:hyperlink>
        </w:p>
        <w:p w14:paraId="5281BAED" w14:textId="480010C3"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85" w:history="1">
            <w:r w:rsidRPr="00692F51">
              <w:rPr>
                <w:rStyle w:val="Hyperlink"/>
                <w:rFonts w:ascii="Arial" w:eastAsia="Times New Roman" w:hAnsi="Arial" w:cs="Arial"/>
                <w:noProof/>
                <w:sz w:val="24"/>
                <w:szCs w:val="24"/>
                <w:lang w:val="en-GB" w:eastAsia="en-GB"/>
              </w:rPr>
              <w:t>9.2 Financial Plan</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_Toc239091485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46</w:t>
            </w:r>
            <w:r w:rsidRPr="00692F51">
              <w:rPr>
                <w:rFonts w:ascii="Arial" w:hAnsi="Arial" w:cs="Arial"/>
                <w:noProof/>
                <w:webHidden/>
                <w:sz w:val="24"/>
                <w:szCs w:val="24"/>
              </w:rPr>
              <w:fldChar w:fldCharType="end"/>
            </w:r>
          </w:hyperlink>
        </w:p>
        <w:p w14:paraId="55ECF136" w14:textId="42C2AF03"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86" w:history="1">
            <w:r w:rsidRPr="00692F51">
              <w:rPr>
                <w:rStyle w:val="Hyperlink"/>
                <w:rFonts w:ascii="Arial" w:eastAsia="Times New Roman" w:hAnsi="Arial" w:cs="Arial"/>
                <w:noProof/>
                <w:sz w:val="24"/>
                <w:szCs w:val="24"/>
                <w:lang w:val="en-GB" w:eastAsia="en-GB"/>
              </w:rPr>
              <w:t>9.3 Marketing and Sales Plan</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_Toc239091486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50</w:t>
            </w:r>
            <w:r w:rsidRPr="00692F51">
              <w:rPr>
                <w:rFonts w:ascii="Arial" w:hAnsi="Arial" w:cs="Arial"/>
                <w:noProof/>
                <w:webHidden/>
                <w:sz w:val="24"/>
                <w:szCs w:val="24"/>
              </w:rPr>
              <w:fldChar w:fldCharType="end"/>
            </w:r>
          </w:hyperlink>
        </w:p>
        <w:p w14:paraId="7DEE79A8" w14:textId="3FE72F86"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87" w:history="1">
            <w:r w:rsidRPr="00692F51">
              <w:rPr>
                <w:rStyle w:val="Hyperlink"/>
                <w:rFonts w:ascii="Arial" w:eastAsia="Times New Roman" w:hAnsi="Arial" w:cs="Arial"/>
                <w:noProof/>
                <w:sz w:val="24"/>
                <w:szCs w:val="24"/>
                <w:lang w:val="en-GB" w:eastAsia="en-GB"/>
              </w:rPr>
              <w:t>9.4 Human Capital Management Plan</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_Toc239091487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52</w:t>
            </w:r>
            <w:r w:rsidRPr="00692F51">
              <w:rPr>
                <w:rFonts w:ascii="Arial" w:hAnsi="Arial" w:cs="Arial"/>
                <w:noProof/>
                <w:webHidden/>
                <w:sz w:val="24"/>
                <w:szCs w:val="24"/>
              </w:rPr>
              <w:fldChar w:fldCharType="end"/>
            </w:r>
          </w:hyperlink>
        </w:p>
        <w:p w14:paraId="40BE2874" w14:textId="12AAE1EC"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88" w:history="1">
            <w:r w:rsidRPr="00692F51">
              <w:rPr>
                <w:rStyle w:val="Hyperlink"/>
                <w:rFonts w:ascii="Arial" w:eastAsia="Times New Roman" w:hAnsi="Arial" w:cs="Arial"/>
                <w:noProof/>
                <w:sz w:val="24"/>
                <w:szCs w:val="24"/>
                <w:lang w:val="en-GB" w:eastAsia="en-GB"/>
              </w:rPr>
              <w:t>9.5 Integration, Scalability and Conclusion</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_Toc239091488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53</w:t>
            </w:r>
            <w:r w:rsidRPr="00692F51">
              <w:rPr>
                <w:rFonts w:ascii="Arial" w:hAnsi="Arial" w:cs="Arial"/>
                <w:noProof/>
                <w:webHidden/>
                <w:sz w:val="24"/>
                <w:szCs w:val="24"/>
              </w:rPr>
              <w:fldChar w:fldCharType="end"/>
            </w:r>
          </w:hyperlink>
        </w:p>
        <w:p w14:paraId="5A22BEE2" w14:textId="1E9E0E46" w:rsidR="00692F51" w:rsidRPr="00692F51" w:rsidRDefault="00692F51">
          <w:pPr>
            <w:pStyle w:val="TOC1"/>
            <w:tabs>
              <w:tab w:val="right" w:leader="dot" w:pos="9016"/>
            </w:tabs>
            <w:rPr>
              <w:rFonts w:ascii="Arial" w:eastAsiaTheme="minorEastAsia" w:hAnsi="Arial" w:cs="Arial"/>
              <w:noProof/>
              <w:sz w:val="24"/>
              <w:szCs w:val="24"/>
              <w:lang w:val="en-GB" w:eastAsia="en-GB"/>
            </w:rPr>
          </w:pPr>
          <w:hyperlink w:anchor="_Toc239091489" w:history="1">
            <w:r w:rsidRPr="00692F51">
              <w:rPr>
                <w:rStyle w:val="Hyperlink"/>
                <w:rFonts w:ascii="Arial" w:eastAsia="Times New Roman" w:hAnsi="Arial" w:cs="Arial"/>
                <w:noProof/>
                <w:sz w:val="24"/>
                <w:szCs w:val="24"/>
                <w:lang w:val="en-GB" w:eastAsia="en-GB"/>
              </w:rPr>
              <w:t>Chapter 10 — Operations Plan</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_Toc239091489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55</w:t>
            </w:r>
            <w:r w:rsidRPr="00692F51">
              <w:rPr>
                <w:rFonts w:ascii="Arial" w:hAnsi="Arial" w:cs="Arial"/>
                <w:noProof/>
                <w:webHidden/>
                <w:sz w:val="24"/>
                <w:szCs w:val="24"/>
              </w:rPr>
              <w:fldChar w:fldCharType="end"/>
            </w:r>
          </w:hyperlink>
        </w:p>
        <w:p w14:paraId="0201CEA7" w14:textId="0F38A840"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90" w:history="1">
            <w:r w:rsidRPr="00692F51">
              <w:rPr>
                <w:rStyle w:val="Hyperlink"/>
                <w:rFonts w:ascii="Arial" w:eastAsia="Times New Roman" w:hAnsi="Arial" w:cs="Arial"/>
                <w:noProof/>
                <w:sz w:val="24"/>
                <w:szCs w:val="24"/>
                <w:lang w:val="en-GB" w:eastAsia="en-GB"/>
              </w:rPr>
              <w:t>10.1 Operating Model, Scope and Frameworks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_Toc239091490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55</w:t>
            </w:r>
            <w:r w:rsidRPr="00692F51">
              <w:rPr>
                <w:rFonts w:ascii="Arial" w:hAnsi="Arial" w:cs="Arial"/>
                <w:noProof/>
                <w:webHidden/>
                <w:sz w:val="24"/>
                <w:szCs w:val="24"/>
              </w:rPr>
              <w:fldChar w:fldCharType="end"/>
            </w:r>
          </w:hyperlink>
        </w:p>
        <w:p w14:paraId="1A619B63" w14:textId="4E315A49"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91" w:history="1">
            <w:r w:rsidRPr="00692F51">
              <w:rPr>
                <w:rStyle w:val="Hyperlink"/>
                <w:rFonts w:ascii="Arial" w:eastAsia="Times New Roman" w:hAnsi="Arial" w:cs="Arial"/>
                <w:noProof/>
                <w:sz w:val="24"/>
                <w:szCs w:val="24"/>
                <w:lang w:val="en-GB" w:eastAsia="en-GB"/>
              </w:rPr>
              <w:t>10.2 Operational Workflow and Capacity</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_Toc239091491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55</w:t>
            </w:r>
            <w:r w:rsidRPr="00692F51">
              <w:rPr>
                <w:rFonts w:ascii="Arial" w:hAnsi="Arial" w:cs="Arial"/>
                <w:noProof/>
                <w:webHidden/>
                <w:sz w:val="24"/>
                <w:szCs w:val="24"/>
              </w:rPr>
              <w:fldChar w:fldCharType="end"/>
            </w:r>
          </w:hyperlink>
        </w:p>
        <w:p w14:paraId="2D92D9B8" w14:textId="52FA173A"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92" w:history="1">
            <w:r w:rsidRPr="00692F51">
              <w:rPr>
                <w:rStyle w:val="Hyperlink"/>
                <w:rFonts w:ascii="Arial" w:eastAsia="Times New Roman" w:hAnsi="Arial" w:cs="Arial"/>
                <w:noProof/>
                <w:sz w:val="24"/>
                <w:szCs w:val="24"/>
                <w:lang w:val="en-GB" w:eastAsia="en-GB"/>
              </w:rPr>
              <w:t>10.3 Location, Facilities, Equipment and Technology</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_Toc239091492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56</w:t>
            </w:r>
            <w:r w:rsidRPr="00692F51">
              <w:rPr>
                <w:rFonts w:ascii="Arial" w:hAnsi="Arial" w:cs="Arial"/>
                <w:noProof/>
                <w:webHidden/>
                <w:sz w:val="24"/>
                <w:szCs w:val="24"/>
              </w:rPr>
              <w:fldChar w:fldCharType="end"/>
            </w:r>
          </w:hyperlink>
        </w:p>
        <w:p w14:paraId="75B72D86" w14:textId="296CE290"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93" w:history="1">
            <w:r w:rsidRPr="00692F51">
              <w:rPr>
                <w:rStyle w:val="Hyperlink"/>
                <w:rFonts w:ascii="Arial" w:eastAsia="Times New Roman" w:hAnsi="Arial" w:cs="Arial"/>
                <w:noProof/>
                <w:sz w:val="24"/>
                <w:szCs w:val="24"/>
                <w:lang w:val="en-GB" w:eastAsia="en-GB"/>
              </w:rPr>
              <w:t>10.4 Supply Chain, Procurement, Inventory and Logistics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_Toc239091493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56</w:t>
            </w:r>
            <w:r w:rsidRPr="00692F51">
              <w:rPr>
                <w:rFonts w:ascii="Arial" w:hAnsi="Arial" w:cs="Arial"/>
                <w:noProof/>
                <w:webHidden/>
                <w:sz w:val="24"/>
                <w:szCs w:val="24"/>
              </w:rPr>
              <w:fldChar w:fldCharType="end"/>
            </w:r>
          </w:hyperlink>
        </w:p>
        <w:p w14:paraId="0F5A6B0A" w14:textId="496AC4D7"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94" w:history="1">
            <w:r w:rsidRPr="00692F51">
              <w:rPr>
                <w:rStyle w:val="Hyperlink"/>
                <w:rFonts w:ascii="Arial" w:eastAsia="Times New Roman" w:hAnsi="Arial" w:cs="Arial"/>
                <w:noProof/>
                <w:sz w:val="24"/>
                <w:szCs w:val="24"/>
                <w:lang w:val="en-GB" w:eastAsia="en-GB"/>
              </w:rPr>
              <w:t>10.5 Quality, Compliance and Operational Controls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_Toc239091494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57</w:t>
            </w:r>
            <w:r w:rsidRPr="00692F51">
              <w:rPr>
                <w:rFonts w:ascii="Arial" w:hAnsi="Arial" w:cs="Arial"/>
                <w:noProof/>
                <w:webHidden/>
                <w:sz w:val="24"/>
                <w:szCs w:val="24"/>
              </w:rPr>
              <w:fldChar w:fldCharType="end"/>
            </w:r>
          </w:hyperlink>
        </w:p>
        <w:p w14:paraId="1AC90DC4" w14:textId="69DD5918" w:rsidR="00692F51" w:rsidRPr="00692F51" w:rsidRDefault="00692F51">
          <w:pPr>
            <w:pStyle w:val="TOC2"/>
            <w:tabs>
              <w:tab w:val="right" w:leader="dot" w:pos="9016"/>
            </w:tabs>
            <w:rPr>
              <w:rFonts w:ascii="Arial" w:eastAsiaTheme="minorEastAsia" w:hAnsi="Arial" w:cs="Arial"/>
              <w:noProof/>
              <w:sz w:val="24"/>
              <w:szCs w:val="24"/>
              <w:lang w:val="en-GB" w:eastAsia="en-GB"/>
            </w:rPr>
          </w:pPr>
          <w:hyperlink w:anchor="_Toc239091495" w:history="1">
            <w:r w:rsidRPr="00692F51">
              <w:rPr>
                <w:rStyle w:val="Hyperlink"/>
                <w:rFonts w:ascii="Arial" w:eastAsia="Times New Roman" w:hAnsi="Arial" w:cs="Arial"/>
                <w:noProof/>
                <w:sz w:val="24"/>
                <w:szCs w:val="24"/>
                <w:lang w:val="en-GB" w:eastAsia="en-GB"/>
              </w:rPr>
              <w:t>10.6 Operational Synthesis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_Toc239091495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58</w:t>
            </w:r>
            <w:r w:rsidRPr="00692F51">
              <w:rPr>
                <w:rFonts w:ascii="Arial" w:hAnsi="Arial" w:cs="Arial"/>
                <w:noProof/>
                <w:webHidden/>
                <w:sz w:val="24"/>
                <w:szCs w:val="24"/>
              </w:rPr>
              <w:fldChar w:fldCharType="end"/>
            </w:r>
          </w:hyperlink>
        </w:p>
        <w:p w14:paraId="2E21D559" w14:textId="440FB838" w:rsidR="00692F51" w:rsidRDefault="00692F51">
          <w:pPr>
            <w:pStyle w:val="TOC1"/>
            <w:tabs>
              <w:tab w:val="right" w:leader="dot" w:pos="9016"/>
            </w:tabs>
            <w:rPr>
              <w:rFonts w:eastAsiaTheme="minorEastAsia"/>
              <w:noProof/>
              <w:lang w:val="en-GB" w:eastAsia="en-GB"/>
            </w:rPr>
          </w:pPr>
          <w:hyperlink w:anchor="_Toc239091496" w:history="1">
            <w:r w:rsidRPr="00692F51">
              <w:rPr>
                <w:rStyle w:val="Hyperlink"/>
                <w:rFonts w:ascii="Arial" w:eastAsia="Times New Roman" w:hAnsi="Arial" w:cs="Arial"/>
                <w:noProof/>
                <w:sz w:val="24"/>
                <w:szCs w:val="24"/>
                <w:lang w:val="en-GB" w:eastAsia="en-GB"/>
              </w:rPr>
              <w:t>References</w:t>
            </w:r>
            <w:r w:rsidRPr="00692F51">
              <w:rPr>
                <w:rFonts w:ascii="Arial" w:hAnsi="Arial" w:cs="Arial"/>
                <w:noProof/>
                <w:webHidden/>
                <w:sz w:val="24"/>
                <w:szCs w:val="24"/>
              </w:rPr>
              <w:tab/>
            </w:r>
            <w:r w:rsidRPr="00692F51">
              <w:rPr>
                <w:rFonts w:ascii="Arial" w:hAnsi="Arial" w:cs="Arial"/>
                <w:noProof/>
                <w:webHidden/>
                <w:sz w:val="24"/>
                <w:szCs w:val="24"/>
              </w:rPr>
              <w:fldChar w:fldCharType="begin"/>
            </w:r>
            <w:r w:rsidRPr="00692F51">
              <w:rPr>
                <w:rFonts w:ascii="Arial" w:hAnsi="Arial" w:cs="Arial"/>
                <w:noProof/>
                <w:webHidden/>
                <w:sz w:val="24"/>
                <w:szCs w:val="24"/>
              </w:rPr>
              <w:instrText xml:space="preserve"> PAGEREF _Toc239091496 \h </w:instrText>
            </w:r>
            <w:r w:rsidRPr="00692F51">
              <w:rPr>
                <w:rFonts w:ascii="Arial" w:hAnsi="Arial" w:cs="Arial"/>
                <w:noProof/>
                <w:webHidden/>
                <w:sz w:val="24"/>
                <w:szCs w:val="24"/>
              </w:rPr>
            </w:r>
            <w:r w:rsidRPr="00692F51">
              <w:rPr>
                <w:rFonts w:ascii="Arial" w:hAnsi="Arial" w:cs="Arial"/>
                <w:noProof/>
                <w:webHidden/>
                <w:sz w:val="24"/>
                <w:szCs w:val="24"/>
              </w:rPr>
              <w:fldChar w:fldCharType="separate"/>
            </w:r>
            <w:r w:rsidRPr="00692F51">
              <w:rPr>
                <w:rFonts w:ascii="Arial" w:hAnsi="Arial" w:cs="Arial"/>
                <w:noProof/>
                <w:webHidden/>
                <w:sz w:val="24"/>
                <w:szCs w:val="24"/>
              </w:rPr>
              <w:t>59</w:t>
            </w:r>
            <w:r w:rsidRPr="00692F51">
              <w:rPr>
                <w:rFonts w:ascii="Arial" w:hAnsi="Arial" w:cs="Arial"/>
                <w:noProof/>
                <w:webHidden/>
                <w:sz w:val="24"/>
                <w:szCs w:val="24"/>
              </w:rPr>
              <w:fldChar w:fldCharType="end"/>
            </w:r>
          </w:hyperlink>
        </w:p>
        <w:p w14:paraId="344304E7" w14:textId="7AF616F5" w:rsidR="00BA34E4" w:rsidRPr="000A6A23" w:rsidRDefault="00B70B37" w:rsidP="000A6A23">
          <w:pPr>
            <w:spacing w:line="360" w:lineRule="auto"/>
            <w:jc w:val="both"/>
            <w:rPr>
              <w:rFonts w:ascii="Arial" w:hAnsi="Arial" w:cs="Arial"/>
              <w:sz w:val="24"/>
              <w:szCs w:val="24"/>
              <w:lang w:val="en-GB"/>
            </w:rPr>
          </w:pPr>
          <w:r w:rsidRPr="000A6A23">
            <w:rPr>
              <w:rFonts w:ascii="Arial" w:hAnsi="Arial" w:cs="Arial"/>
              <w:b/>
              <w:bCs/>
              <w:noProof/>
              <w:sz w:val="24"/>
              <w:szCs w:val="24"/>
              <w:lang w:val="en-GB"/>
            </w:rPr>
            <w:fldChar w:fldCharType="end"/>
          </w:r>
        </w:p>
      </w:sdtContent>
    </w:sdt>
    <w:p w14:paraId="3E4BB4F6" w14:textId="43E57D7F" w:rsidR="00BA34E4" w:rsidRDefault="00BA34E4" w:rsidP="003E4183">
      <w:pPr>
        <w:rPr>
          <w:rFonts w:ascii="Arial" w:hAnsi="Arial" w:cs="Arial"/>
          <w:sz w:val="24"/>
          <w:szCs w:val="24"/>
          <w:lang w:val="en-GB"/>
        </w:rPr>
      </w:pPr>
    </w:p>
    <w:p w14:paraId="560C456E" w14:textId="5024CB61" w:rsidR="00E031E9" w:rsidRDefault="00E031E9" w:rsidP="003E4183">
      <w:pPr>
        <w:rPr>
          <w:rFonts w:ascii="Arial" w:hAnsi="Arial" w:cs="Arial"/>
          <w:sz w:val="24"/>
          <w:szCs w:val="24"/>
          <w:lang w:val="en-GB"/>
        </w:rPr>
      </w:pPr>
    </w:p>
    <w:p w14:paraId="2E9B1F3B" w14:textId="39F655BF" w:rsidR="00E031E9" w:rsidRDefault="00E031E9" w:rsidP="003E4183">
      <w:pPr>
        <w:rPr>
          <w:rFonts w:ascii="Arial" w:hAnsi="Arial" w:cs="Arial"/>
          <w:sz w:val="24"/>
          <w:szCs w:val="24"/>
          <w:lang w:val="en-GB"/>
        </w:rPr>
      </w:pPr>
    </w:p>
    <w:p w14:paraId="3A444DB7" w14:textId="48AC6F9A" w:rsidR="00E031E9" w:rsidRDefault="00E031E9" w:rsidP="003E4183">
      <w:pPr>
        <w:rPr>
          <w:rFonts w:ascii="Arial" w:hAnsi="Arial" w:cs="Arial"/>
          <w:sz w:val="24"/>
          <w:szCs w:val="24"/>
          <w:lang w:val="en-GB"/>
        </w:rPr>
      </w:pPr>
    </w:p>
    <w:p w14:paraId="1A424A9A" w14:textId="425EAB31" w:rsidR="00E031E9" w:rsidRDefault="00E031E9" w:rsidP="003E4183">
      <w:pPr>
        <w:rPr>
          <w:rFonts w:ascii="Arial" w:hAnsi="Arial" w:cs="Arial"/>
          <w:sz w:val="24"/>
          <w:szCs w:val="24"/>
          <w:lang w:val="en-GB"/>
        </w:rPr>
      </w:pPr>
    </w:p>
    <w:p w14:paraId="44DA5BA7" w14:textId="3B411CAD" w:rsidR="00E031E9" w:rsidRDefault="00E031E9" w:rsidP="003E4183">
      <w:pPr>
        <w:rPr>
          <w:rFonts w:ascii="Arial" w:hAnsi="Arial" w:cs="Arial"/>
          <w:sz w:val="24"/>
          <w:szCs w:val="24"/>
          <w:lang w:val="en-GB"/>
        </w:rPr>
      </w:pPr>
    </w:p>
    <w:p w14:paraId="4BF5FC21" w14:textId="74B88227" w:rsidR="00DC6032" w:rsidRDefault="00DC6032" w:rsidP="003E4183">
      <w:pPr>
        <w:rPr>
          <w:rFonts w:ascii="Arial" w:hAnsi="Arial" w:cs="Arial"/>
          <w:sz w:val="24"/>
          <w:szCs w:val="24"/>
          <w:lang w:val="en-GB"/>
        </w:rPr>
      </w:pPr>
    </w:p>
    <w:p w14:paraId="6565FFA3" w14:textId="3F40E194" w:rsidR="00DC6032" w:rsidRDefault="00DC6032" w:rsidP="003E4183">
      <w:pPr>
        <w:rPr>
          <w:rFonts w:ascii="Arial" w:hAnsi="Arial" w:cs="Arial"/>
          <w:sz w:val="24"/>
          <w:szCs w:val="24"/>
          <w:lang w:val="en-GB"/>
        </w:rPr>
      </w:pPr>
    </w:p>
    <w:p w14:paraId="371ABDA3" w14:textId="75A7C0FD" w:rsidR="00DC6032" w:rsidRDefault="00DC6032" w:rsidP="003E4183">
      <w:pPr>
        <w:rPr>
          <w:rFonts w:ascii="Arial" w:hAnsi="Arial" w:cs="Arial"/>
          <w:sz w:val="24"/>
          <w:szCs w:val="24"/>
          <w:lang w:val="en-GB"/>
        </w:rPr>
      </w:pPr>
    </w:p>
    <w:p w14:paraId="3FA3A564" w14:textId="21FB843A" w:rsidR="00DC6032" w:rsidRDefault="00DC6032" w:rsidP="003E4183">
      <w:pPr>
        <w:rPr>
          <w:rFonts w:ascii="Arial" w:hAnsi="Arial" w:cs="Arial"/>
          <w:sz w:val="24"/>
          <w:szCs w:val="24"/>
          <w:lang w:val="en-GB"/>
        </w:rPr>
      </w:pPr>
    </w:p>
    <w:p w14:paraId="490C5819" w14:textId="4B02AFFE" w:rsidR="00DC6032" w:rsidRDefault="00DC6032" w:rsidP="003E4183">
      <w:pPr>
        <w:rPr>
          <w:rFonts w:ascii="Arial" w:hAnsi="Arial" w:cs="Arial"/>
          <w:sz w:val="24"/>
          <w:szCs w:val="24"/>
          <w:lang w:val="en-GB"/>
        </w:rPr>
      </w:pPr>
    </w:p>
    <w:p w14:paraId="41268402" w14:textId="4B9E6A01" w:rsidR="00DC6032" w:rsidRDefault="00DC6032" w:rsidP="003E4183">
      <w:pPr>
        <w:rPr>
          <w:rFonts w:ascii="Arial" w:hAnsi="Arial" w:cs="Arial"/>
          <w:sz w:val="24"/>
          <w:szCs w:val="24"/>
          <w:lang w:val="en-GB"/>
        </w:rPr>
      </w:pPr>
    </w:p>
    <w:p w14:paraId="17559862" w14:textId="77777777" w:rsidR="00DC6032" w:rsidRDefault="00DC6032" w:rsidP="003E4183">
      <w:pPr>
        <w:rPr>
          <w:rFonts w:ascii="Arial" w:hAnsi="Arial" w:cs="Arial"/>
          <w:sz w:val="24"/>
          <w:szCs w:val="24"/>
          <w:lang w:val="en-GB"/>
        </w:rPr>
      </w:pPr>
    </w:p>
    <w:p w14:paraId="74962601" w14:textId="1B35ABC0" w:rsidR="00E031E9" w:rsidRDefault="00E031E9" w:rsidP="003E4183">
      <w:pPr>
        <w:rPr>
          <w:rFonts w:ascii="Arial" w:hAnsi="Arial" w:cs="Arial"/>
          <w:sz w:val="24"/>
          <w:szCs w:val="24"/>
          <w:lang w:val="en-GB"/>
        </w:rPr>
      </w:pPr>
    </w:p>
    <w:p w14:paraId="750A9C6B" w14:textId="5E60C5EE" w:rsidR="00E031E9" w:rsidRDefault="00E031E9" w:rsidP="003E4183">
      <w:pPr>
        <w:rPr>
          <w:rFonts w:ascii="Arial" w:hAnsi="Arial" w:cs="Arial"/>
          <w:sz w:val="24"/>
          <w:szCs w:val="24"/>
          <w:lang w:val="en-GB"/>
        </w:rPr>
      </w:pPr>
    </w:p>
    <w:p w14:paraId="41961DFE" w14:textId="19B41A6C" w:rsidR="00E031E9" w:rsidRDefault="00E031E9" w:rsidP="003E4183">
      <w:pPr>
        <w:rPr>
          <w:rFonts w:ascii="Arial" w:hAnsi="Arial" w:cs="Arial"/>
          <w:sz w:val="24"/>
          <w:szCs w:val="24"/>
          <w:lang w:val="en-GB"/>
        </w:rPr>
      </w:pPr>
    </w:p>
    <w:p w14:paraId="2D667322" w14:textId="2C4FCA4D" w:rsidR="00E031E9" w:rsidRDefault="00E031E9" w:rsidP="003E4183">
      <w:pPr>
        <w:rPr>
          <w:rFonts w:ascii="Arial" w:hAnsi="Arial" w:cs="Arial"/>
          <w:sz w:val="24"/>
          <w:szCs w:val="24"/>
          <w:lang w:val="en-GB"/>
        </w:rPr>
      </w:pPr>
    </w:p>
    <w:p w14:paraId="0C10C7EA" w14:textId="77777777" w:rsidR="00E031E9" w:rsidRPr="00C362B0" w:rsidRDefault="00E031E9" w:rsidP="003E4183">
      <w:pPr>
        <w:rPr>
          <w:rFonts w:ascii="Arial" w:hAnsi="Arial" w:cs="Arial"/>
          <w:sz w:val="24"/>
          <w:szCs w:val="24"/>
          <w:lang w:val="en-GB"/>
        </w:rPr>
      </w:pPr>
    </w:p>
    <w:p w14:paraId="6A7B34F5" w14:textId="778CAF42" w:rsidR="003E4183" w:rsidRPr="00C362B0" w:rsidRDefault="003E4183" w:rsidP="003E4183">
      <w:pPr>
        <w:spacing w:line="360" w:lineRule="auto"/>
        <w:jc w:val="center"/>
        <w:rPr>
          <w:rFonts w:ascii="Arial" w:hAnsi="Arial" w:cs="Arial"/>
          <w:b/>
          <w:sz w:val="32"/>
          <w:szCs w:val="24"/>
          <w:lang w:val="en-GB"/>
        </w:rPr>
      </w:pPr>
      <w:r w:rsidRPr="00C362B0">
        <w:rPr>
          <w:rFonts w:ascii="Arial" w:hAnsi="Arial" w:cs="Arial"/>
          <w:b/>
          <w:sz w:val="32"/>
          <w:szCs w:val="24"/>
          <w:lang w:val="en-GB"/>
        </w:rPr>
        <w:lastRenderedPageBreak/>
        <w:t>List of Table</w:t>
      </w:r>
    </w:p>
    <w:p w14:paraId="471FAF13" w14:textId="3192CC64" w:rsidR="00DC6032" w:rsidRDefault="00DC6032">
      <w:pPr>
        <w:pStyle w:val="TableofFigures"/>
        <w:tabs>
          <w:tab w:val="right" w:leader="dot" w:pos="9016"/>
        </w:tabs>
        <w:rPr>
          <w:rFonts w:eastAsiaTheme="minorEastAsia"/>
          <w:noProof/>
          <w:lang w:val="en-GB" w:eastAsia="en-GB"/>
        </w:rPr>
      </w:pPr>
      <w:r>
        <w:rPr>
          <w:rFonts w:ascii="Arial" w:hAnsi="Arial" w:cs="Arial"/>
          <w:sz w:val="24"/>
          <w:szCs w:val="24"/>
          <w:lang w:val="en-GB"/>
        </w:rPr>
        <w:fldChar w:fldCharType="begin"/>
      </w:r>
      <w:r>
        <w:rPr>
          <w:rFonts w:ascii="Arial" w:hAnsi="Arial" w:cs="Arial"/>
          <w:sz w:val="24"/>
          <w:szCs w:val="24"/>
          <w:lang w:val="en-GB"/>
        </w:rPr>
        <w:instrText xml:space="preserve"> TOC \h \z \c "Table" </w:instrText>
      </w:r>
      <w:r>
        <w:rPr>
          <w:rFonts w:ascii="Arial" w:hAnsi="Arial" w:cs="Arial"/>
          <w:sz w:val="24"/>
          <w:szCs w:val="24"/>
          <w:lang w:val="en-GB"/>
        </w:rPr>
        <w:fldChar w:fldCharType="separate"/>
      </w:r>
      <w:hyperlink w:anchor="_Toc239091497" w:history="1">
        <w:r w:rsidRPr="00CE4C55">
          <w:rPr>
            <w:rStyle w:val="Hyperlink"/>
            <w:rFonts w:ascii="Arial" w:hAnsi="Arial" w:cs="Arial"/>
            <w:noProof/>
            <w:lang w:val="en-GB"/>
          </w:rPr>
          <w:t>Table 1.Alignment</w:t>
        </w:r>
        <w:r>
          <w:rPr>
            <w:noProof/>
            <w:webHidden/>
          </w:rPr>
          <w:tab/>
        </w:r>
        <w:r>
          <w:rPr>
            <w:noProof/>
            <w:webHidden/>
          </w:rPr>
          <w:fldChar w:fldCharType="begin"/>
        </w:r>
        <w:r>
          <w:rPr>
            <w:noProof/>
            <w:webHidden/>
          </w:rPr>
          <w:instrText xml:space="preserve"> PAGEREF _Toc239091497 \h </w:instrText>
        </w:r>
        <w:r>
          <w:rPr>
            <w:noProof/>
            <w:webHidden/>
          </w:rPr>
        </w:r>
        <w:r>
          <w:rPr>
            <w:noProof/>
            <w:webHidden/>
          </w:rPr>
          <w:fldChar w:fldCharType="separate"/>
        </w:r>
        <w:r>
          <w:rPr>
            <w:noProof/>
            <w:webHidden/>
          </w:rPr>
          <w:t>3</w:t>
        </w:r>
        <w:r>
          <w:rPr>
            <w:noProof/>
            <w:webHidden/>
          </w:rPr>
          <w:fldChar w:fldCharType="end"/>
        </w:r>
      </w:hyperlink>
    </w:p>
    <w:p w14:paraId="258C4CB6" w14:textId="69C31AB9" w:rsidR="00DC6032" w:rsidRDefault="00DC6032">
      <w:pPr>
        <w:pStyle w:val="TableofFigures"/>
        <w:tabs>
          <w:tab w:val="right" w:leader="dot" w:pos="9016"/>
        </w:tabs>
        <w:rPr>
          <w:rFonts w:eastAsiaTheme="minorEastAsia"/>
          <w:noProof/>
          <w:lang w:val="en-GB" w:eastAsia="en-GB"/>
        </w:rPr>
      </w:pPr>
      <w:hyperlink w:anchor="_Toc239091498" w:history="1">
        <w:r w:rsidRPr="00CE4C55">
          <w:rPr>
            <w:rStyle w:val="Hyperlink"/>
            <w:rFonts w:ascii="Arial" w:hAnsi="Arial" w:cs="Arial"/>
            <w:noProof/>
            <w:lang w:val="en-GB"/>
          </w:rPr>
          <w:t>Table 2.Business Objectives and Goals</w:t>
        </w:r>
        <w:r>
          <w:rPr>
            <w:noProof/>
            <w:webHidden/>
          </w:rPr>
          <w:tab/>
        </w:r>
        <w:r>
          <w:rPr>
            <w:noProof/>
            <w:webHidden/>
          </w:rPr>
          <w:fldChar w:fldCharType="begin"/>
        </w:r>
        <w:r>
          <w:rPr>
            <w:noProof/>
            <w:webHidden/>
          </w:rPr>
          <w:instrText xml:space="preserve"> PAGEREF _Toc239091498 \h </w:instrText>
        </w:r>
        <w:r>
          <w:rPr>
            <w:noProof/>
            <w:webHidden/>
          </w:rPr>
        </w:r>
        <w:r>
          <w:rPr>
            <w:noProof/>
            <w:webHidden/>
          </w:rPr>
          <w:fldChar w:fldCharType="separate"/>
        </w:r>
        <w:r>
          <w:rPr>
            <w:noProof/>
            <w:webHidden/>
          </w:rPr>
          <w:t>6</w:t>
        </w:r>
        <w:r>
          <w:rPr>
            <w:noProof/>
            <w:webHidden/>
          </w:rPr>
          <w:fldChar w:fldCharType="end"/>
        </w:r>
      </w:hyperlink>
    </w:p>
    <w:p w14:paraId="1267AFAC" w14:textId="415BCD4D" w:rsidR="00DC6032" w:rsidRDefault="00DC6032">
      <w:pPr>
        <w:pStyle w:val="TableofFigures"/>
        <w:tabs>
          <w:tab w:val="right" w:leader="dot" w:pos="9016"/>
        </w:tabs>
        <w:rPr>
          <w:rFonts w:eastAsiaTheme="minorEastAsia"/>
          <w:noProof/>
          <w:lang w:val="en-GB" w:eastAsia="en-GB"/>
        </w:rPr>
      </w:pPr>
      <w:hyperlink w:anchor="_Toc239091499" w:history="1">
        <w:r w:rsidRPr="00CE4C55">
          <w:rPr>
            <w:rStyle w:val="Hyperlink"/>
            <w:rFonts w:ascii="Arial" w:hAnsi="Arial" w:cs="Arial"/>
            <w:noProof/>
            <w:lang w:val="en-GB"/>
          </w:rPr>
          <w:t>Table 3.Application of Models and Frameworks</w:t>
        </w:r>
        <w:r>
          <w:rPr>
            <w:noProof/>
            <w:webHidden/>
          </w:rPr>
          <w:tab/>
        </w:r>
        <w:r>
          <w:rPr>
            <w:noProof/>
            <w:webHidden/>
          </w:rPr>
          <w:fldChar w:fldCharType="begin"/>
        </w:r>
        <w:r>
          <w:rPr>
            <w:noProof/>
            <w:webHidden/>
          </w:rPr>
          <w:instrText xml:space="preserve"> PAGEREF _Toc239091499 \h </w:instrText>
        </w:r>
        <w:r>
          <w:rPr>
            <w:noProof/>
            <w:webHidden/>
          </w:rPr>
        </w:r>
        <w:r>
          <w:rPr>
            <w:noProof/>
            <w:webHidden/>
          </w:rPr>
          <w:fldChar w:fldCharType="separate"/>
        </w:r>
        <w:r>
          <w:rPr>
            <w:noProof/>
            <w:webHidden/>
          </w:rPr>
          <w:t>14</w:t>
        </w:r>
        <w:r>
          <w:rPr>
            <w:noProof/>
            <w:webHidden/>
          </w:rPr>
          <w:fldChar w:fldCharType="end"/>
        </w:r>
      </w:hyperlink>
    </w:p>
    <w:p w14:paraId="2ECB0CE3" w14:textId="4AF53D6D" w:rsidR="00DC6032" w:rsidRDefault="00DC6032">
      <w:pPr>
        <w:pStyle w:val="TableofFigures"/>
        <w:tabs>
          <w:tab w:val="right" w:leader="dot" w:pos="9016"/>
        </w:tabs>
        <w:rPr>
          <w:rFonts w:eastAsiaTheme="minorEastAsia"/>
          <w:noProof/>
          <w:lang w:val="en-GB" w:eastAsia="en-GB"/>
        </w:rPr>
      </w:pPr>
      <w:hyperlink w:anchor="_Toc239091500" w:history="1">
        <w:r w:rsidRPr="00CE4C55">
          <w:rPr>
            <w:rStyle w:val="Hyperlink"/>
            <w:rFonts w:ascii="Arial" w:hAnsi="Arial" w:cs="Arial"/>
            <w:noProof/>
          </w:rPr>
          <w:t>Table 4.: Local Competitive Landscape</w:t>
        </w:r>
        <w:r>
          <w:rPr>
            <w:noProof/>
            <w:webHidden/>
          </w:rPr>
          <w:tab/>
        </w:r>
        <w:r>
          <w:rPr>
            <w:noProof/>
            <w:webHidden/>
          </w:rPr>
          <w:fldChar w:fldCharType="begin"/>
        </w:r>
        <w:r>
          <w:rPr>
            <w:noProof/>
            <w:webHidden/>
          </w:rPr>
          <w:instrText xml:space="preserve"> PAGEREF _Toc239091500 \h </w:instrText>
        </w:r>
        <w:r>
          <w:rPr>
            <w:noProof/>
            <w:webHidden/>
          </w:rPr>
        </w:r>
        <w:r>
          <w:rPr>
            <w:noProof/>
            <w:webHidden/>
          </w:rPr>
          <w:fldChar w:fldCharType="separate"/>
        </w:r>
        <w:r>
          <w:rPr>
            <w:noProof/>
            <w:webHidden/>
          </w:rPr>
          <w:t>23</w:t>
        </w:r>
        <w:r>
          <w:rPr>
            <w:noProof/>
            <w:webHidden/>
          </w:rPr>
          <w:fldChar w:fldCharType="end"/>
        </w:r>
      </w:hyperlink>
    </w:p>
    <w:p w14:paraId="3EBA2B2B" w14:textId="463B049E" w:rsidR="00DC6032" w:rsidRDefault="00DC6032">
      <w:pPr>
        <w:pStyle w:val="TableofFigures"/>
        <w:tabs>
          <w:tab w:val="right" w:leader="dot" w:pos="9016"/>
        </w:tabs>
        <w:rPr>
          <w:rFonts w:eastAsiaTheme="minorEastAsia"/>
          <w:noProof/>
          <w:lang w:val="en-GB" w:eastAsia="en-GB"/>
        </w:rPr>
      </w:pPr>
      <w:hyperlink w:anchor="_Toc239091501" w:history="1">
        <w:r w:rsidRPr="00CE4C55">
          <w:rPr>
            <w:rStyle w:val="Hyperlink"/>
            <w:rFonts w:ascii="Arial" w:hAnsi="Arial" w:cs="Arial"/>
            <w:noProof/>
          </w:rPr>
          <w:t>Table 5.PESTLE Analysis</w:t>
        </w:r>
        <w:r>
          <w:rPr>
            <w:noProof/>
            <w:webHidden/>
          </w:rPr>
          <w:tab/>
        </w:r>
        <w:r>
          <w:rPr>
            <w:noProof/>
            <w:webHidden/>
          </w:rPr>
          <w:fldChar w:fldCharType="begin"/>
        </w:r>
        <w:r>
          <w:rPr>
            <w:noProof/>
            <w:webHidden/>
          </w:rPr>
          <w:instrText xml:space="preserve"> PAGEREF _Toc239091501 \h </w:instrText>
        </w:r>
        <w:r>
          <w:rPr>
            <w:noProof/>
            <w:webHidden/>
          </w:rPr>
        </w:r>
        <w:r>
          <w:rPr>
            <w:noProof/>
            <w:webHidden/>
          </w:rPr>
          <w:fldChar w:fldCharType="separate"/>
        </w:r>
        <w:r>
          <w:rPr>
            <w:noProof/>
            <w:webHidden/>
          </w:rPr>
          <w:t>27</w:t>
        </w:r>
        <w:r>
          <w:rPr>
            <w:noProof/>
            <w:webHidden/>
          </w:rPr>
          <w:fldChar w:fldCharType="end"/>
        </w:r>
      </w:hyperlink>
    </w:p>
    <w:p w14:paraId="0716EE23" w14:textId="6277DECF" w:rsidR="00DC6032" w:rsidRDefault="00DC6032">
      <w:pPr>
        <w:pStyle w:val="TableofFigures"/>
        <w:tabs>
          <w:tab w:val="right" w:leader="dot" w:pos="9016"/>
        </w:tabs>
        <w:rPr>
          <w:rFonts w:eastAsiaTheme="minorEastAsia"/>
          <w:noProof/>
          <w:lang w:val="en-GB" w:eastAsia="en-GB"/>
        </w:rPr>
      </w:pPr>
      <w:hyperlink w:anchor="_Toc239091502" w:history="1">
        <w:r w:rsidRPr="00CE4C55">
          <w:rPr>
            <w:rStyle w:val="Hyperlink"/>
            <w:rFonts w:ascii="Arial" w:hAnsi="Arial" w:cs="Arial"/>
            <w:noProof/>
          </w:rPr>
          <w:t>Table 6.Key Success Factors</w:t>
        </w:r>
        <w:r>
          <w:rPr>
            <w:noProof/>
            <w:webHidden/>
          </w:rPr>
          <w:tab/>
        </w:r>
        <w:r>
          <w:rPr>
            <w:noProof/>
            <w:webHidden/>
          </w:rPr>
          <w:fldChar w:fldCharType="begin"/>
        </w:r>
        <w:r>
          <w:rPr>
            <w:noProof/>
            <w:webHidden/>
          </w:rPr>
          <w:instrText xml:space="preserve"> PAGEREF _Toc239091502 \h </w:instrText>
        </w:r>
        <w:r>
          <w:rPr>
            <w:noProof/>
            <w:webHidden/>
          </w:rPr>
        </w:r>
        <w:r>
          <w:rPr>
            <w:noProof/>
            <w:webHidden/>
          </w:rPr>
          <w:fldChar w:fldCharType="separate"/>
        </w:r>
        <w:r>
          <w:rPr>
            <w:noProof/>
            <w:webHidden/>
          </w:rPr>
          <w:t>29</w:t>
        </w:r>
        <w:r>
          <w:rPr>
            <w:noProof/>
            <w:webHidden/>
          </w:rPr>
          <w:fldChar w:fldCharType="end"/>
        </w:r>
      </w:hyperlink>
    </w:p>
    <w:p w14:paraId="15BA5C34" w14:textId="6F9B798D" w:rsidR="00DC6032" w:rsidRDefault="00DC6032">
      <w:pPr>
        <w:pStyle w:val="TableofFigures"/>
        <w:tabs>
          <w:tab w:val="right" w:leader="dot" w:pos="9016"/>
        </w:tabs>
        <w:rPr>
          <w:rFonts w:eastAsiaTheme="minorEastAsia"/>
          <w:noProof/>
          <w:lang w:val="en-GB" w:eastAsia="en-GB"/>
        </w:rPr>
      </w:pPr>
      <w:hyperlink w:anchor="_Toc239091503" w:history="1">
        <w:r w:rsidRPr="00CE4C55">
          <w:rPr>
            <w:rStyle w:val="Hyperlink"/>
            <w:rFonts w:ascii="Arial" w:hAnsi="Arial" w:cs="Arial"/>
            <w:noProof/>
          </w:rPr>
          <w:t>Table 7.Internal Analysis: VRIO</w:t>
        </w:r>
        <w:r>
          <w:rPr>
            <w:noProof/>
            <w:webHidden/>
          </w:rPr>
          <w:tab/>
        </w:r>
        <w:r>
          <w:rPr>
            <w:noProof/>
            <w:webHidden/>
          </w:rPr>
          <w:fldChar w:fldCharType="begin"/>
        </w:r>
        <w:r>
          <w:rPr>
            <w:noProof/>
            <w:webHidden/>
          </w:rPr>
          <w:instrText xml:space="preserve"> PAGEREF _Toc239091503 \h </w:instrText>
        </w:r>
        <w:r>
          <w:rPr>
            <w:noProof/>
            <w:webHidden/>
          </w:rPr>
        </w:r>
        <w:r>
          <w:rPr>
            <w:noProof/>
            <w:webHidden/>
          </w:rPr>
          <w:fldChar w:fldCharType="separate"/>
        </w:r>
        <w:r>
          <w:rPr>
            <w:noProof/>
            <w:webHidden/>
          </w:rPr>
          <w:t>33</w:t>
        </w:r>
        <w:r>
          <w:rPr>
            <w:noProof/>
            <w:webHidden/>
          </w:rPr>
          <w:fldChar w:fldCharType="end"/>
        </w:r>
      </w:hyperlink>
    </w:p>
    <w:p w14:paraId="2970062B" w14:textId="3AFA7871" w:rsidR="00DC6032" w:rsidRDefault="00DC6032">
      <w:pPr>
        <w:pStyle w:val="TableofFigures"/>
        <w:tabs>
          <w:tab w:val="right" w:leader="dot" w:pos="9016"/>
        </w:tabs>
        <w:rPr>
          <w:rFonts w:eastAsiaTheme="minorEastAsia"/>
          <w:noProof/>
          <w:lang w:val="en-GB" w:eastAsia="en-GB"/>
        </w:rPr>
      </w:pPr>
      <w:hyperlink w:anchor="_Toc239091504" w:history="1">
        <w:r w:rsidRPr="00CE4C55">
          <w:rPr>
            <w:rStyle w:val="Hyperlink"/>
            <w:rFonts w:ascii="Arial" w:hAnsi="Arial" w:cs="Arial"/>
            <w:noProof/>
          </w:rPr>
          <w:t>Table 8.Strategy Selection</w:t>
        </w:r>
        <w:r>
          <w:rPr>
            <w:noProof/>
            <w:webHidden/>
          </w:rPr>
          <w:tab/>
        </w:r>
        <w:r>
          <w:rPr>
            <w:noProof/>
            <w:webHidden/>
          </w:rPr>
          <w:fldChar w:fldCharType="begin"/>
        </w:r>
        <w:r>
          <w:rPr>
            <w:noProof/>
            <w:webHidden/>
          </w:rPr>
          <w:instrText xml:space="preserve"> PAGEREF _Toc239091504 \h </w:instrText>
        </w:r>
        <w:r>
          <w:rPr>
            <w:noProof/>
            <w:webHidden/>
          </w:rPr>
        </w:r>
        <w:r>
          <w:rPr>
            <w:noProof/>
            <w:webHidden/>
          </w:rPr>
          <w:fldChar w:fldCharType="separate"/>
        </w:r>
        <w:r>
          <w:rPr>
            <w:noProof/>
            <w:webHidden/>
          </w:rPr>
          <w:t>36</w:t>
        </w:r>
        <w:r>
          <w:rPr>
            <w:noProof/>
            <w:webHidden/>
          </w:rPr>
          <w:fldChar w:fldCharType="end"/>
        </w:r>
      </w:hyperlink>
    </w:p>
    <w:p w14:paraId="49A959D7" w14:textId="5798ADF2" w:rsidR="00DC6032" w:rsidRDefault="00DC6032">
      <w:pPr>
        <w:pStyle w:val="TableofFigures"/>
        <w:tabs>
          <w:tab w:val="right" w:leader="dot" w:pos="9016"/>
        </w:tabs>
        <w:rPr>
          <w:rFonts w:eastAsiaTheme="minorEastAsia"/>
          <w:noProof/>
          <w:lang w:val="en-GB" w:eastAsia="en-GB"/>
        </w:rPr>
      </w:pPr>
      <w:hyperlink w:anchor="_Toc239091505" w:history="1">
        <w:r w:rsidRPr="00CE4C55">
          <w:rPr>
            <w:rStyle w:val="Hyperlink"/>
            <w:rFonts w:ascii="Arial" w:hAnsi="Arial" w:cs="Arial"/>
            <w:noProof/>
          </w:rPr>
          <w:t>Table 9.The preceding analysis</w:t>
        </w:r>
        <w:r>
          <w:rPr>
            <w:noProof/>
            <w:webHidden/>
          </w:rPr>
          <w:tab/>
        </w:r>
        <w:r>
          <w:rPr>
            <w:noProof/>
            <w:webHidden/>
          </w:rPr>
          <w:fldChar w:fldCharType="begin"/>
        </w:r>
        <w:r>
          <w:rPr>
            <w:noProof/>
            <w:webHidden/>
          </w:rPr>
          <w:instrText xml:space="preserve"> PAGEREF _Toc239091505 \h </w:instrText>
        </w:r>
        <w:r>
          <w:rPr>
            <w:noProof/>
            <w:webHidden/>
          </w:rPr>
        </w:r>
        <w:r>
          <w:rPr>
            <w:noProof/>
            <w:webHidden/>
          </w:rPr>
          <w:fldChar w:fldCharType="separate"/>
        </w:r>
        <w:r>
          <w:rPr>
            <w:noProof/>
            <w:webHidden/>
          </w:rPr>
          <w:t>38</w:t>
        </w:r>
        <w:r>
          <w:rPr>
            <w:noProof/>
            <w:webHidden/>
          </w:rPr>
          <w:fldChar w:fldCharType="end"/>
        </w:r>
      </w:hyperlink>
    </w:p>
    <w:p w14:paraId="00E86C1E" w14:textId="5245F498" w:rsidR="00DC6032" w:rsidRDefault="00DC6032">
      <w:pPr>
        <w:pStyle w:val="TableofFigures"/>
        <w:tabs>
          <w:tab w:val="right" w:leader="dot" w:pos="9016"/>
        </w:tabs>
        <w:rPr>
          <w:rFonts w:eastAsiaTheme="minorEastAsia"/>
          <w:noProof/>
          <w:lang w:val="en-GB" w:eastAsia="en-GB"/>
        </w:rPr>
      </w:pPr>
      <w:hyperlink w:anchor="_Toc239091506" w:history="1">
        <w:r w:rsidRPr="00CE4C55">
          <w:rPr>
            <w:rStyle w:val="Hyperlink"/>
            <w:rFonts w:ascii="Arial" w:hAnsi="Arial" w:cs="Arial"/>
            <w:noProof/>
          </w:rPr>
          <w:t>Table 10.Key Success Factors</w:t>
        </w:r>
        <w:r>
          <w:rPr>
            <w:noProof/>
            <w:webHidden/>
          </w:rPr>
          <w:tab/>
        </w:r>
        <w:r>
          <w:rPr>
            <w:noProof/>
            <w:webHidden/>
          </w:rPr>
          <w:fldChar w:fldCharType="begin"/>
        </w:r>
        <w:r>
          <w:rPr>
            <w:noProof/>
            <w:webHidden/>
          </w:rPr>
          <w:instrText xml:space="preserve"> PAGEREF _Toc239091506 \h </w:instrText>
        </w:r>
        <w:r>
          <w:rPr>
            <w:noProof/>
            <w:webHidden/>
          </w:rPr>
        </w:r>
        <w:r>
          <w:rPr>
            <w:noProof/>
            <w:webHidden/>
          </w:rPr>
          <w:fldChar w:fldCharType="separate"/>
        </w:r>
        <w:r>
          <w:rPr>
            <w:noProof/>
            <w:webHidden/>
          </w:rPr>
          <w:t>40</w:t>
        </w:r>
        <w:r>
          <w:rPr>
            <w:noProof/>
            <w:webHidden/>
          </w:rPr>
          <w:fldChar w:fldCharType="end"/>
        </w:r>
      </w:hyperlink>
    </w:p>
    <w:p w14:paraId="6F887AA9" w14:textId="235D3B10" w:rsidR="00DC6032" w:rsidRDefault="00DC6032">
      <w:pPr>
        <w:pStyle w:val="TableofFigures"/>
        <w:tabs>
          <w:tab w:val="right" w:leader="dot" w:pos="9016"/>
        </w:tabs>
        <w:rPr>
          <w:rFonts w:eastAsiaTheme="minorEastAsia"/>
          <w:noProof/>
          <w:lang w:val="en-GB" w:eastAsia="en-GB"/>
        </w:rPr>
      </w:pPr>
      <w:hyperlink w:anchor="_Toc239091507" w:history="1">
        <w:r w:rsidRPr="00CE4C55">
          <w:rPr>
            <w:rStyle w:val="Hyperlink"/>
            <w:rFonts w:ascii="Arial" w:hAnsi="Arial" w:cs="Arial"/>
            <w:noProof/>
          </w:rPr>
          <w:t>Table 11.Revenue Streams and Membership Model</w:t>
        </w:r>
        <w:r>
          <w:rPr>
            <w:noProof/>
            <w:webHidden/>
          </w:rPr>
          <w:tab/>
        </w:r>
        <w:r>
          <w:rPr>
            <w:noProof/>
            <w:webHidden/>
          </w:rPr>
          <w:fldChar w:fldCharType="begin"/>
        </w:r>
        <w:r>
          <w:rPr>
            <w:noProof/>
            <w:webHidden/>
          </w:rPr>
          <w:instrText xml:space="preserve"> PAGEREF _Toc239091507 \h </w:instrText>
        </w:r>
        <w:r>
          <w:rPr>
            <w:noProof/>
            <w:webHidden/>
          </w:rPr>
        </w:r>
        <w:r>
          <w:rPr>
            <w:noProof/>
            <w:webHidden/>
          </w:rPr>
          <w:fldChar w:fldCharType="separate"/>
        </w:r>
        <w:r>
          <w:rPr>
            <w:noProof/>
            <w:webHidden/>
          </w:rPr>
          <w:t>43</w:t>
        </w:r>
        <w:r>
          <w:rPr>
            <w:noProof/>
            <w:webHidden/>
          </w:rPr>
          <w:fldChar w:fldCharType="end"/>
        </w:r>
      </w:hyperlink>
    </w:p>
    <w:p w14:paraId="61D69556" w14:textId="3E3A8776" w:rsidR="00DC6032" w:rsidRDefault="00DC6032">
      <w:pPr>
        <w:pStyle w:val="TableofFigures"/>
        <w:tabs>
          <w:tab w:val="right" w:leader="dot" w:pos="9016"/>
        </w:tabs>
        <w:rPr>
          <w:rFonts w:eastAsiaTheme="minorEastAsia"/>
          <w:noProof/>
          <w:lang w:val="en-GB" w:eastAsia="en-GB"/>
        </w:rPr>
      </w:pPr>
      <w:hyperlink w:anchor="_Toc239091508" w:history="1">
        <w:r w:rsidRPr="00CE4C55">
          <w:rPr>
            <w:rStyle w:val="Hyperlink"/>
            <w:rFonts w:ascii="Arial" w:hAnsi="Arial" w:cs="Arial"/>
            <w:noProof/>
          </w:rPr>
          <w:t>Table 12.Start-up investment &amp; funding.</w:t>
        </w:r>
        <w:r>
          <w:rPr>
            <w:noProof/>
            <w:webHidden/>
          </w:rPr>
          <w:tab/>
        </w:r>
        <w:r>
          <w:rPr>
            <w:noProof/>
            <w:webHidden/>
          </w:rPr>
          <w:fldChar w:fldCharType="begin"/>
        </w:r>
        <w:r>
          <w:rPr>
            <w:noProof/>
            <w:webHidden/>
          </w:rPr>
          <w:instrText xml:space="preserve"> PAGEREF _Toc239091508 \h </w:instrText>
        </w:r>
        <w:r>
          <w:rPr>
            <w:noProof/>
            <w:webHidden/>
          </w:rPr>
        </w:r>
        <w:r>
          <w:rPr>
            <w:noProof/>
            <w:webHidden/>
          </w:rPr>
          <w:fldChar w:fldCharType="separate"/>
        </w:r>
        <w:r>
          <w:rPr>
            <w:noProof/>
            <w:webHidden/>
          </w:rPr>
          <w:t>47</w:t>
        </w:r>
        <w:r>
          <w:rPr>
            <w:noProof/>
            <w:webHidden/>
          </w:rPr>
          <w:fldChar w:fldCharType="end"/>
        </w:r>
      </w:hyperlink>
    </w:p>
    <w:p w14:paraId="002BF7DC" w14:textId="63E514F4" w:rsidR="00DC6032" w:rsidRDefault="00DC6032">
      <w:pPr>
        <w:pStyle w:val="TableofFigures"/>
        <w:tabs>
          <w:tab w:val="right" w:leader="dot" w:pos="9016"/>
        </w:tabs>
        <w:rPr>
          <w:rFonts w:eastAsiaTheme="minorEastAsia"/>
          <w:noProof/>
          <w:lang w:val="en-GB" w:eastAsia="en-GB"/>
        </w:rPr>
      </w:pPr>
      <w:hyperlink w:anchor="_Toc239091509" w:history="1">
        <w:r w:rsidRPr="00CE4C55">
          <w:rPr>
            <w:rStyle w:val="Hyperlink"/>
            <w:rFonts w:ascii="Arial" w:hAnsi="Arial" w:cs="Arial"/>
            <w:noProof/>
          </w:rPr>
          <w:t>Table 13.Revenue and profitability forecast</w:t>
        </w:r>
        <w:r>
          <w:rPr>
            <w:noProof/>
            <w:webHidden/>
          </w:rPr>
          <w:tab/>
        </w:r>
        <w:r>
          <w:rPr>
            <w:noProof/>
            <w:webHidden/>
          </w:rPr>
          <w:fldChar w:fldCharType="begin"/>
        </w:r>
        <w:r>
          <w:rPr>
            <w:noProof/>
            <w:webHidden/>
          </w:rPr>
          <w:instrText xml:space="preserve"> PAGEREF _Toc239091509 \h </w:instrText>
        </w:r>
        <w:r>
          <w:rPr>
            <w:noProof/>
            <w:webHidden/>
          </w:rPr>
        </w:r>
        <w:r>
          <w:rPr>
            <w:noProof/>
            <w:webHidden/>
          </w:rPr>
          <w:fldChar w:fldCharType="separate"/>
        </w:r>
        <w:r>
          <w:rPr>
            <w:noProof/>
            <w:webHidden/>
          </w:rPr>
          <w:t>48</w:t>
        </w:r>
        <w:r>
          <w:rPr>
            <w:noProof/>
            <w:webHidden/>
          </w:rPr>
          <w:fldChar w:fldCharType="end"/>
        </w:r>
      </w:hyperlink>
    </w:p>
    <w:p w14:paraId="6C0DB49B" w14:textId="1696EBBB" w:rsidR="003E4183" w:rsidRPr="00C362B0" w:rsidRDefault="00DC6032" w:rsidP="009D716D">
      <w:pPr>
        <w:spacing w:line="360" w:lineRule="auto"/>
        <w:jc w:val="both"/>
        <w:rPr>
          <w:rFonts w:ascii="Arial" w:hAnsi="Arial" w:cs="Arial"/>
          <w:sz w:val="24"/>
          <w:szCs w:val="24"/>
          <w:lang w:val="en-GB"/>
        </w:rPr>
      </w:pPr>
      <w:r>
        <w:rPr>
          <w:rFonts w:ascii="Arial" w:hAnsi="Arial" w:cs="Arial"/>
          <w:sz w:val="24"/>
          <w:szCs w:val="24"/>
          <w:lang w:val="en-GB"/>
        </w:rPr>
        <w:fldChar w:fldCharType="end"/>
      </w:r>
    </w:p>
    <w:p w14:paraId="21FCCA8A" w14:textId="5C08AC2F" w:rsidR="00F77588" w:rsidRPr="00F77588" w:rsidRDefault="003E4183" w:rsidP="00F77588">
      <w:pPr>
        <w:spacing w:line="360" w:lineRule="auto"/>
        <w:jc w:val="center"/>
        <w:rPr>
          <w:rFonts w:ascii="Arial" w:hAnsi="Arial" w:cs="Arial"/>
          <w:b/>
          <w:sz w:val="28"/>
          <w:szCs w:val="24"/>
          <w:lang w:val="en-GB"/>
        </w:rPr>
      </w:pPr>
      <w:r w:rsidRPr="00C362B0">
        <w:rPr>
          <w:rFonts w:ascii="Arial" w:hAnsi="Arial" w:cs="Arial"/>
          <w:b/>
          <w:sz w:val="28"/>
          <w:szCs w:val="24"/>
          <w:lang w:val="en-GB"/>
        </w:rPr>
        <w:t>List of Figure</w:t>
      </w:r>
    </w:p>
    <w:p w14:paraId="2B6EB2EB" w14:textId="2549BEC6" w:rsidR="00DC6032" w:rsidRDefault="00DC6032">
      <w:pPr>
        <w:pStyle w:val="TableofFigures"/>
        <w:tabs>
          <w:tab w:val="right" w:leader="dot" w:pos="9016"/>
        </w:tabs>
        <w:rPr>
          <w:rFonts w:eastAsiaTheme="minorEastAsia"/>
          <w:noProof/>
          <w:lang w:val="en-GB" w:eastAsia="en-GB"/>
        </w:rPr>
      </w:pPr>
      <w:r>
        <w:rPr>
          <w:rFonts w:ascii="Arial" w:hAnsi="Arial" w:cs="Arial"/>
          <w:sz w:val="24"/>
          <w:szCs w:val="24"/>
          <w:lang w:val="en-GB"/>
        </w:rPr>
        <w:fldChar w:fldCharType="begin"/>
      </w:r>
      <w:r>
        <w:rPr>
          <w:rFonts w:ascii="Arial" w:hAnsi="Arial" w:cs="Arial"/>
          <w:sz w:val="24"/>
          <w:szCs w:val="24"/>
          <w:lang w:val="en-GB"/>
        </w:rPr>
        <w:instrText xml:space="preserve"> TOC \h \z \c "Figure" </w:instrText>
      </w:r>
      <w:r>
        <w:rPr>
          <w:rFonts w:ascii="Arial" w:hAnsi="Arial" w:cs="Arial"/>
          <w:sz w:val="24"/>
          <w:szCs w:val="24"/>
          <w:lang w:val="en-GB"/>
        </w:rPr>
        <w:fldChar w:fldCharType="separate"/>
      </w:r>
      <w:hyperlink w:anchor="_Toc239091510" w:history="1">
        <w:r w:rsidRPr="000005B9">
          <w:rPr>
            <w:rStyle w:val="Hyperlink"/>
            <w:rFonts w:ascii="Arial" w:hAnsi="Arial" w:cs="Arial"/>
            <w:noProof/>
          </w:rPr>
          <w:t>Figure 1: Proposed Competitive Positioning Map</w:t>
        </w:r>
        <w:r>
          <w:rPr>
            <w:noProof/>
            <w:webHidden/>
          </w:rPr>
          <w:tab/>
        </w:r>
        <w:r>
          <w:rPr>
            <w:noProof/>
            <w:webHidden/>
          </w:rPr>
          <w:fldChar w:fldCharType="begin"/>
        </w:r>
        <w:r>
          <w:rPr>
            <w:noProof/>
            <w:webHidden/>
          </w:rPr>
          <w:instrText xml:space="preserve"> PAGEREF _Toc239091510 \h </w:instrText>
        </w:r>
        <w:r>
          <w:rPr>
            <w:noProof/>
            <w:webHidden/>
          </w:rPr>
        </w:r>
        <w:r>
          <w:rPr>
            <w:noProof/>
            <w:webHidden/>
          </w:rPr>
          <w:fldChar w:fldCharType="separate"/>
        </w:r>
        <w:r>
          <w:rPr>
            <w:noProof/>
            <w:webHidden/>
          </w:rPr>
          <w:t>25</w:t>
        </w:r>
        <w:r>
          <w:rPr>
            <w:noProof/>
            <w:webHidden/>
          </w:rPr>
          <w:fldChar w:fldCharType="end"/>
        </w:r>
      </w:hyperlink>
    </w:p>
    <w:p w14:paraId="50D2B6CA" w14:textId="6E0D4B92" w:rsidR="00DC6032" w:rsidRDefault="00DC6032">
      <w:pPr>
        <w:pStyle w:val="TableofFigures"/>
        <w:tabs>
          <w:tab w:val="right" w:leader="dot" w:pos="9016"/>
        </w:tabs>
        <w:rPr>
          <w:rFonts w:eastAsiaTheme="minorEastAsia"/>
          <w:noProof/>
          <w:lang w:val="en-GB" w:eastAsia="en-GB"/>
        </w:rPr>
      </w:pPr>
      <w:hyperlink w:anchor="_Toc239091511" w:history="1">
        <w:r w:rsidRPr="000005B9">
          <w:rPr>
            <w:rStyle w:val="Hyperlink"/>
            <w:rFonts w:ascii="Arial" w:hAnsi="Arial" w:cs="Arial"/>
            <w:noProof/>
          </w:rPr>
          <w:t>Figure 2.: FitLife Operational Process</w:t>
        </w:r>
        <w:r>
          <w:rPr>
            <w:noProof/>
            <w:webHidden/>
          </w:rPr>
          <w:tab/>
        </w:r>
        <w:r>
          <w:rPr>
            <w:noProof/>
            <w:webHidden/>
          </w:rPr>
          <w:fldChar w:fldCharType="begin"/>
        </w:r>
        <w:r>
          <w:rPr>
            <w:noProof/>
            <w:webHidden/>
          </w:rPr>
          <w:instrText xml:space="preserve"> PAGEREF _Toc239091511 \h </w:instrText>
        </w:r>
        <w:r>
          <w:rPr>
            <w:noProof/>
            <w:webHidden/>
          </w:rPr>
        </w:r>
        <w:r>
          <w:rPr>
            <w:noProof/>
            <w:webHidden/>
          </w:rPr>
          <w:fldChar w:fldCharType="separate"/>
        </w:r>
        <w:r>
          <w:rPr>
            <w:noProof/>
            <w:webHidden/>
          </w:rPr>
          <w:t>55</w:t>
        </w:r>
        <w:r>
          <w:rPr>
            <w:noProof/>
            <w:webHidden/>
          </w:rPr>
          <w:fldChar w:fldCharType="end"/>
        </w:r>
      </w:hyperlink>
    </w:p>
    <w:p w14:paraId="21D8E3F0" w14:textId="436224C4" w:rsidR="00F77588" w:rsidRPr="00F77588" w:rsidRDefault="00DC6032" w:rsidP="009D716D">
      <w:pPr>
        <w:spacing w:line="360" w:lineRule="auto"/>
        <w:jc w:val="both"/>
        <w:rPr>
          <w:rFonts w:ascii="Arial" w:hAnsi="Arial" w:cs="Arial"/>
          <w:sz w:val="24"/>
          <w:szCs w:val="24"/>
          <w:lang w:val="en-GB"/>
        </w:rPr>
        <w:sectPr w:rsidR="00F77588" w:rsidRPr="00F77588" w:rsidSect="00E23192">
          <w:footerReference w:type="default" r:id="rId11"/>
          <w:pgSz w:w="11906" w:h="16838"/>
          <w:pgMar w:top="1440" w:right="1440" w:bottom="1440" w:left="1440" w:header="708" w:footer="708" w:gutter="0"/>
          <w:pgNumType w:fmt="lowerRoman" w:start="1"/>
          <w:cols w:space="708"/>
          <w:docGrid w:linePitch="360"/>
        </w:sectPr>
      </w:pPr>
      <w:r>
        <w:rPr>
          <w:rFonts w:ascii="Arial" w:hAnsi="Arial" w:cs="Arial"/>
          <w:sz w:val="24"/>
          <w:szCs w:val="24"/>
          <w:lang w:val="en-GB"/>
        </w:rPr>
        <w:fldChar w:fldCharType="end"/>
      </w:r>
      <w:bookmarkStart w:id="0" w:name="_GoBack"/>
      <w:bookmarkEnd w:id="0"/>
    </w:p>
    <w:p w14:paraId="78F0A70D" w14:textId="77777777" w:rsidR="009414C5" w:rsidRPr="00C362B0" w:rsidRDefault="009414C5" w:rsidP="004C2484">
      <w:pPr>
        <w:pStyle w:val="Heading1"/>
        <w:jc w:val="center"/>
        <w:rPr>
          <w:lang w:val="en-GB" w:eastAsia="en-GB"/>
        </w:rPr>
      </w:pPr>
      <w:bookmarkStart w:id="1" w:name="_Toc239091416"/>
      <w:r w:rsidRPr="00C362B0">
        <w:rPr>
          <w:lang w:val="en-GB" w:eastAsia="en-GB"/>
        </w:rPr>
        <w:lastRenderedPageBreak/>
        <w:t>Chapter 1: Introduction</w:t>
      </w:r>
      <w:bookmarkEnd w:id="1"/>
    </w:p>
    <w:p w14:paraId="5F80AD96" w14:textId="7103CC6D" w:rsidR="009414C5" w:rsidRPr="00C362B0" w:rsidRDefault="00873848" w:rsidP="004C2484">
      <w:pPr>
        <w:pStyle w:val="Heading2"/>
        <w:rPr>
          <w:lang w:val="en-GB" w:eastAsia="en-GB"/>
        </w:rPr>
      </w:pPr>
      <w:bookmarkStart w:id="2" w:name="_Toc239091417"/>
      <w:r w:rsidRPr="00C362B0">
        <w:rPr>
          <w:lang w:val="en-GB" w:eastAsia="en-GB"/>
        </w:rPr>
        <w:t>1.1 Background and Context</w:t>
      </w:r>
      <w:bookmarkEnd w:id="2"/>
    </w:p>
    <w:p w14:paraId="468C2C01" w14:textId="015A2A58" w:rsidR="009414C5" w:rsidRPr="00C362B0" w:rsidRDefault="009E3967" w:rsidP="009414C5">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The fitness and wellness industry is one of the major consumer and service sectors in the UK. According to the 2025 UK Health and Fitness Market Report, there were 11.5 million members, 5,607 clubs and £5.7 billion in sector revenue in 2024, representing 6.1% growth in membership from the previous year (</w:t>
      </w:r>
      <w:proofErr w:type="spellStart"/>
      <w:r w:rsidRPr="00C362B0">
        <w:rPr>
          <w:rFonts w:ascii="Arial" w:hAnsi="Arial" w:cs="Arial"/>
          <w:sz w:val="24"/>
          <w:szCs w:val="24"/>
          <w:lang w:val="en-GB" w:eastAsia="en-GB"/>
        </w:rPr>
        <w:t>ukactive</w:t>
      </w:r>
      <w:proofErr w:type="spellEnd"/>
      <w:r w:rsidRPr="00C362B0">
        <w:rPr>
          <w:rFonts w:ascii="Arial" w:hAnsi="Arial" w:cs="Arial"/>
          <w:sz w:val="24"/>
          <w:szCs w:val="24"/>
          <w:lang w:val="en-GB" w:eastAsia="en-GB"/>
        </w:rPr>
        <w:t xml:space="preserve">, 2025). The sector is also supported by wider health trends, as in 2024–25, 64.6% of adults in England met the recommended level of physical activity, although significant inequalities remain between population groups (Sport England, 2026).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provides a relevant local setting for investigation. In 2021, the ward had 19,647 residents and 7,234 households, with 57.9% of households being single-family households and 30.2% being one-person households. The ward is also socially diverse, with 27.1% of residents born in the Middle East and Asia, while 61% of households were deprived in at least one dimension (Manchester City Council, 2024). </w:t>
      </w:r>
      <w:r w:rsidR="00AD05FC" w:rsidRPr="00C362B0">
        <w:rPr>
          <w:rFonts w:ascii="Arial" w:hAnsi="Arial" w:cs="Arial"/>
          <w:sz w:val="24"/>
          <w:szCs w:val="24"/>
          <w:lang w:val="en-GB" w:eastAsia="en-GB"/>
        </w:rPr>
        <w:t>These characteristics are important when considering affordability, purchasing power and local health needs, particularly given the ward’s socioeconomic inequalities and the wider importance of physical activity to population health (Manchester City Council, 2024; Sport England, 2026)</w:t>
      </w:r>
      <w:r w:rsidRPr="00C362B0">
        <w:rPr>
          <w:rFonts w:ascii="Arial" w:hAnsi="Arial" w:cs="Arial"/>
          <w:sz w:val="24"/>
          <w:szCs w:val="24"/>
          <w:lang w:val="en-GB" w:eastAsia="en-GB"/>
        </w:rPr>
        <w:t xml:space="preserve">. The area is also served by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railway station and several Bee Network bus services</w:t>
      </w:r>
      <w:r w:rsidR="00F11316" w:rsidRPr="00C362B0">
        <w:rPr>
          <w:lang w:val="en-GB"/>
        </w:rPr>
        <w:t xml:space="preserve"> </w:t>
      </w:r>
      <w:r w:rsidR="00F11316" w:rsidRPr="00C362B0">
        <w:rPr>
          <w:rFonts w:ascii="Arial" w:hAnsi="Arial" w:cs="Arial"/>
          <w:sz w:val="24"/>
          <w:szCs w:val="24"/>
          <w:lang w:val="en-GB" w:eastAsia="en-GB"/>
        </w:rPr>
        <w:t>(Transport for Greater Manchester, 2026)</w:t>
      </w:r>
      <w:r w:rsidRPr="00C362B0">
        <w:rPr>
          <w:rFonts w:ascii="Arial" w:hAnsi="Arial" w:cs="Arial"/>
          <w:sz w:val="24"/>
          <w:szCs w:val="24"/>
          <w:lang w:val="en-GB" w:eastAsia="en-GB"/>
        </w:rPr>
        <w:t xml:space="preserve">. Therefore, the combination of population, household characteristics, diversity, deprivation, accessibility and wider fitness trends provides a basis for investigating the commercial potential of AI-powered coaching, wearable technology and hybrid fitness services in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rather than assuming local demand or viability</w:t>
      </w:r>
      <w:r w:rsidR="004C2484" w:rsidRPr="00C362B0">
        <w:rPr>
          <w:rFonts w:ascii="Arial" w:hAnsi="Arial" w:cs="Arial"/>
          <w:sz w:val="24"/>
          <w:szCs w:val="24"/>
          <w:lang w:val="en-GB" w:eastAsia="en-GB"/>
        </w:rPr>
        <w:t>.</w:t>
      </w:r>
    </w:p>
    <w:p w14:paraId="11F64174" w14:textId="1FD470C5" w:rsidR="009414C5" w:rsidRPr="00C362B0" w:rsidRDefault="009414C5" w:rsidP="004C2484">
      <w:pPr>
        <w:pStyle w:val="Heading2"/>
        <w:rPr>
          <w:lang w:val="en-GB" w:eastAsia="en-GB"/>
        </w:rPr>
      </w:pPr>
      <w:bookmarkStart w:id="3" w:name="_Toc239091418"/>
      <w:r w:rsidRPr="00C362B0">
        <w:rPr>
          <w:lang w:val="en-GB" w:eastAsia="en-GB"/>
        </w:rPr>
        <w:t>1.2 Problem or Opportunity Statement</w:t>
      </w:r>
      <w:bookmarkEnd w:id="3"/>
    </w:p>
    <w:p w14:paraId="53FC03C4" w14:textId="58EF87E3" w:rsidR="009414C5" w:rsidRPr="00C362B0" w:rsidRDefault="00AB38F4" w:rsidP="009414C5">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Conventional gyms can provide equipment and relatively low-cost access, but the level of personalised support and integration between physical training and digital health data varies between providers. The local competitive market also shows that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cannot assume a gap simply because it proposes technology-enabled services. </w:t>
      </w:r>
      <w:proofErr w:type="spellStart"/>
      <w:r w:rsidRPr="00C362B0">
        <w:rPr>
          <w:rFonts w:ascii="Arial" w:hAnsi="Arial" w:cs="Arial"/>
          <w:sz w:val="24"/>
          <w:szCs w:val="24"/>
          <w:lang w:val="en-GB" w:eastAsia="en-GB"/>
        </w:rPr>
        <w:t>Jetts</w:t>
      </w:r>
      <w:proofErr w:type="spellEnd"/>
      <w:r w:rsidRPr="00C362B0">
        <w:rPr>
          <w:rFonts w:ascii="Arial" w:hAnsi="Arial" w:cs="Arial"/>
          <w:sz w:val="24"/>
          <w:szCs w:val="24"/>
          <w:lang w:val="en-GB" w:eastAsia="en-GB"/>
        </w:rPr>
        <w:t xml:space="preserve">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offers 24/7 access, group classes, personal training and connected gym equipment for £32.95 per month, while </w:t>
      </w:r>
      <w:proofErr w:type="spellStart"/>
      <w:r w:rsidRPr="00C362B0">
        <w:rPr>
          <w:rFonts w:ascii="Arial" w:hAnsi="Arial" w:cs="Arial"/>
          <w:sz w:val="24"/>
          <w:szCs w:val="24"/>
          <w:lang w:val="en-GB" w:eastAsia="en-GB"/>
        </w:rPr>
        <w:t>PureGym’s</w:t>
      </w:r>
      <w:proofErr w:type="spellEnd"/>
      <w:r w:rsidRPr="00C362B0">
        <w:rPr>
          <w:rFonts w:ascii="Arial" w:hAnsi="Arial" w:cs="Arial"/>
          <w:sz w:val="24"/>
          <w:szCs w:val="24"/>
          <w:lang w:val="en-GB" w:eastAsia="en-GB"/>
        </w:rPr>
        <w:t xml:space="preserve"> gyms serving the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area offer flexible memberships from £17.99 per month. This suggests that </w:t>
      </w:r>
      <w:r w:rsidRPr="00C362B0">
        <w:rPr>
          <w:rFonts w:ascii="Arial" w:hAnsi="Arial" w:cs="Arial"/>
          <w:sz w:val="24"/>
          <w:szCs w:val="24"/>
          <w:lang w:val="en-GB" w:eastAsia="en-GB"/>
        </w:rPr>
        <w:lastRenderedPageBreak/>
        <w:t xml:space="preserve">affordability, flexibility and technology are already available within the wider local market. The potential opportunity for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therefore lies in whether the combination of AI-assisted personalisation, wearable-supported monitoring and human coaching can provide sufficient additional value for local customers. This must be assessed against local purchasing power, competitor provision, pricing, accessibility and premises costs rather than assumed from national fitness trends</w:t>
      </w:r>
      <w:r w:rsidR="003238BC" w:rsidRPr="00C362B0">
        <w:rPr>
          <w:rFonts w:ascii="Arial" w:hAnsi="Arial" w:cs="Arial"/>
          <w:sz w:val="24"/>
          <w:szCs w:val="24"/>
          <w:lang w:val="en-GB" w:eastAsia="en-GB"/>
        </w:rPr>
        <w:t>.</w:t>
      </w:r>
    </w:p>
    <w:p w14:paraId="7D4C00FF" w14:textId="461F8BF9" w:rsidR="009414C5" w:rsidRPr="00C362B0" w:rsidRDefault="009414C5" w:rsidP="004C2484">
      <w:pPr>
        <w:pStyle w:val="Heading2"/>
        <w:rPr>
          <w:lang w:val="en-GB" w:eastAsia="en-GB"/>
        </w:rPr>
      </w:pPr>
      <w:bookmarkStart w:id="4" w:name="_Toc239091419"/>
      <w:r w:rsidRPr="00C362B0">
        <w:rPr>
          <w:lang w:val="en-GB" w:eastAsia="en-GB"/>
        </w:rPr>
        <w:t>1.3 Initial Observation of Demand</w:t>
      </w:r>
      <w:bookmarkEnd w:id="4"/>
    </w:p>
    <w:p w14:paraId="12B71072" w14:textId="19C37955" w:rsidR="009414C5" w:rsidRPr="00C362B0" w:rsidRDefault="00855D08" w:rsidP="009414C5">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There is some preliminary secondary evidence of the scale and dynamics of the market. In 2024, there were 11.5 million UK health and fitness club members and £5.7 billion in sector revenue (</w:t>
      </w:r>
      <w:proofErr w:type="spellStart"/>
      <w:r w:rsidRPr="00C362B0">
        <w:rPr>
          <w:rFonts w:ascii="Arial" w:hAnsi="Arial" w:cs="Arial"/>
          <w:sz w:val="24"/>
          <w:szCs w:val="24"/>
          <w:lang w:val="en-GB" w:eastAsia="en-GB"/>
        </w:rPr>
        <w:t>ukactive</w:t>
      </w:r>
      <w:proofErr w:type="spellEnd"/>
      <w:r w:rsidRPr="00C362B0">
        <w:rPr>
          <w:rFonts w:ascii="Arial" w:hAnsi="Arial" w:cs="Arial"/>
          <w:sz w:val="24"/>
          <w:szCs w:val="24"/>
          <w:lang w:val="en-GB" w:eastAsia="en-GB"/>
        </w:rPr>
        <w:t xml:space="preserve">, 2025). The continued growth of the UK market indicates wider consumer engagement with fitness services, but national evidence alone cannot establish demand for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Smart Gym in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Local demand must therefore be assessed against </w:t>
      </w:r>
      <w:proofErr w:type="spellStart"/>
      <w:r w:rsidRPr="00C362B0">
        <w:rPr>
          <w:rFonts w:ascii="Arial" w:hAnsi="Arial" w:cs="Arial"/>
          <w:sz w:val="24"/>
          <w:szCs w:val="24"/>
          <w:lang w:val="en-GB" w:eastAsia="en-GB"/>
        </w:rPr>
        <w:t>Levenshulme’s</w:t>
      </w:r>
      <w:proofErr w:type="spellEnd"/>
      <w:r w:rsidRPr="00C362B0">
        <w:rPr>
          <w:rFonts w:ascii="Arial" w:hAnsi="Arial" w:cs="Arial"/>
          <w:sz w:val="24"/>
          <w:szCs w:val="24"/>
          <w:lang w:val="en-GB" w:eastAsia="en-GB"/>
        </w:rPr>
        <w:t xml:space="preserve"> demographic and socioeconomic characteristics, customer affordability, health and physical activity needs, competitor provision, pricing, accessibility and suitable premises. The initial evidence consequently indicates an opportunity requiring further investigation, rather than confirming local demand or commercial viability</w:t>
      </w:r>
      <w:r w:rsidR="003B45A8" w:rsidRPr="00C362B0">
        <w:rPr>
          <w:rFonts w:ascii="Arial" w:hAnsi="Arial" w:cs="Arial"/>
          <w:sz w:val="24"/>
          <w:szCs w:val="24"/>
          <w:lang w:val="en-GB" w:eastAsia="en-GB"/>
        </w:rPr>
        <w:t>.</w:t>
      </w:r>
    </w:p>
    <w:p w14:paraId="13FEA003" w14:textId="77777777" w:rsidR="009414C5" w:rsidRPr="00C362B0" w:rsidRDefault="009414C5" w:rsidP="004C2484">
      <w:pPr>
        <w:pStyle w:val="Heading2"/>
        <w:rPr>
          <w:lang w:val="en-GB" w:eastAsia="en-GB"/>
        </w:rPr>
      </w:pPr>
      <w:bookmarkStart w:id="5" w:name="_Toc239091420"/>
      <w:r w:rsidRPr="00C362B0">
        <w:rPr>
          <w:lang w:val="en-GB" w:eastAsia="en-GB"/>
        </w:rPr>
        <w:t>1.4 Aim, Objectives and Research Questions</w:t>
      </w:r>
      <w:bookmarkEnd w:id="5"/>
    </w:p>
    <w:p w14:paraId="71D83780" w14:textId="0DD6BB6B" w:rsidR="009414C5" w:rsidRPr="00C362B0" w:rsidRDefault="00873848" w:rsidP="004C2484">
      <w:pPr>
        <w:pStyle w:val="Heading3"/>
        <w:rPr>
          <w:lang w:val="en-GB" w:eastAsia="en-GB"/>
        </w:rPr>
      </w:pPr>
      <w:bookmarkStart w:id="6" w:name="_Toc239091421"/>
      <w:r w:rsidRPr="00C362B0">
        <w:rPr>
          <w:lang w:val="en-GB" w:eastAsia="en-GB"/>
        </w:rPr>
        <w:t>Aim</w:t>
      </w:r>
      <w:bookmarkEnd w:id="6"/>
    </w:p>
    <w:p w14:paraId="46E2C8F8" w14:textId="3E769B2C" w:rsidR="009414C5" w:rsidRPr="00C362B0" w:rsidRDefault="00BE031E" w:rsidP="009414C5">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To develop and evaluate a commercially feasible business model for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Smart Gym, a smart fitness and wellness centre proposed for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Manchester, United Kingdom.</w:t>
      </w:r>
    </w:p>
    <w:p w14:paraId="0544A412" w14:textId="77777777" w:rsidR="009414C5" w:rsidRPr="00C362B0" w:rsidRDefault="009414C5" w:rsidP="004C2484">
      <w:pPr>
        <w:pStyle w:val="Heading3"/>
        <w:rPr>
          <w:lang w:val="en-GB" w:eastAsia="en-GB"/>
        </w:rPr>
      </w:pPr>
      <w:bookmarkStart w:id="7" w:name="_Toc239091422"/>
      <w:r w:rsidRPr="00C362B0">
        <w:rPr>
          <w:lang w:val="en-GB" w:eastAsia="en-GB"/>
        </w:rPr>
        <w:t>Objectives</w:t>
      </w:r>
      <w:bookmarkEnd w:id="7"/>
    </w:p>
    <w:p w14:paraId="53EA04F1" w14:textId="77777777" w:rsidR="00EC65FA" w:rsidRPr="00C362B0" w:rsidRDefault="00EC65FA" w:rsidP="00EC65FA">
      <w:pPr>
        <w:pStyle w:val="ListParagraph"/>
        <w:numPr>
          <w:ilvl w:val="0"/>
          <w:numId w:val="4"/>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To analyse current UK fitness and wellness market trends and assess their relevance to the proposed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Smart Gym in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w:t>
      </w:r>
    </w:p>
    <w:p w14:paraId="53CC859D" w14:textId="77777777" w:rsidR="00EC65FA" w:rsidRPr="00C362B0" w:rsidRDefault="00EC65FA" w:rsidP="00EC65FA">
      <w:pPr>
        <w:pStyle w:val="ListParagraph"/>
        <w:numPr>
          <w:ilvl w:val="0"/>
          <w:numId w:val="4"/>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To identify customer needs, preferences and affordability considerations relevant to personalised and technology-enabled fitness services.</w:t>
      </w:r>
    </w:p>
    <w:p w14:paraId="682EBFBC" w14:textId="77777777" w:rsidR="00EC65FA" w:rsidRPr="00C362B0" w:rsidRDefault="00EC65FA" w:rsidP="00EC65FA">
      <w:pPr>
        <w:pStyle w:val="ListParagraph"/>
        <w:numPr>
          <w:ilvl w:val="0"/>
          <w:numId w:val="4"/>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To evaluate the competitive environment in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and the wider Manchester catchment, including competitor services, pricing, accessibility and technological provision.</w:t>
      </w:r>
    </w:p>
    <w:p w14:paraId="647E781F" w14:textId="77777777" w:rsidR="00EC65FA" w:rsidRPr="00C362B0" w:rsidRDefault="00EC65FA" w:rsidP="00EC65FA">
      <w:pPr>
        <w:pStyle w:val="ListParagraph"/>
        <w:numPr>
          <w:ilvl w:val="0"/>
          <w:numId w:val="4"/>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lastRenderedPageBreak/>
        <w:t xml:space="preserve">To assess the commercial and financial conditions required for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Smart Gym to achieve commercial feasibility.</w:t>
      </w:r>
    </w:p>
    <w:p w14:paraId="05B33418" w14:textId="6C8FC2C9" w:rsidR="009414C5" w:rsidRPr="00C362B0" w:rsidRDefault="00EC65FA" w:rsidP="00EC65FA">
      <w:pPr>
        <w:pStyle w:val="ListParagraph"/>
        <w:numPr>
          <w:ilvl w:val="0"/>
          <w:numId w:val="4"/>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To develop an evidence-based implementation strategy for the proposed business, informed by market, competitor, financial and operational analysis</w:t>
      </w:r>
      <w:r w:rsidR="009414C5" w:rsidRPr="00C362B0">
        <w:rPr>
          <w:rFonts w:ascii="Arial" w:hAnsi="Arial" w:cs="Arial"/>
          <w:sz w:val="24"/>
          <w:szCs w:val="24"/>
          <w:lang w:val="en-GB" w:eastAsia="en-GB"/>
        </w:rPr>
        <w:t>.</w:t>
      </w:r>
    </w:p>
    <w:p w14:paraId="6EB31C15" w14:textId="7E7E6FEB" w:rsidR="009414C5" w:rsidRPr="00C362B0" w:rsidRDefault="009414C5" w:rsidP="004C2484">
      <w:pPr>
        <w:pStyle w:val="Heading3"/>
        <w:rPr>
          <w:lang w:val="en-GB" w:eastAsia="en-GB"/>
        </w:rPr>
      </w:pPr>
      <w:bookmarkStart w:id="8" w:name="_Toc239091423"/>
      <w:r w:rsidRPr="00C362B0">
        <w:rPr>
          <w:lang w:val="en-GB" w:eastAsia="en-GB"/>
        </w:rPr>
        <w:t>Research Questions</w:t>
      </w:r>
      <w:bookmarkEnd w:id="8"/>
    </w:p>
    <w:p w14:paraId="5F1A529B" w14:textId="2DA61685" w:rsidR="009414C5" w:rsidRPr="00C362B0" w:rsidRDefault="009414C5" w:rsidP="004C2484">
      <w:pPr>
        <w:pStyle w:val="ListParagraph"/>
        <w:numPr>
          <w:ilvl w:val="0"/>
          <w:numId w:val="5"/>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RQ1. What UK fitness and wellness market trends are relevant to the proposed </w:t>
      </w:r>
      <w:proofErr w:type="spellStart"/>
      <w:r w:rsidRPr="00C362B0">
        <w:rPr>
          <w:rFonts w:ascii="Arial" w:hAnsi="Arial" w:cs="Arial"/>
          <w:sz w:val="24"/>
          <w:szCs w:val="24"/>
          <w:lang w:val="en-GB" w:eastAsia="en-GB"/>
        </w:rPr>
        <w:t>Fi</w:t>
      </w:r>
      <w:r w:rsidR="004C2484" w:rsidRPr="00C362B0">
        <w:rPr>
          <w:rFonts w:ascii="Arial" w:hAnsi="Arial" w:cs="Arial"/>
          <w:sz w:val="24"/>
          <w:szCs w:val="24"/>
          <w:lang w:val="en-GB" w:eastAsia="en-GB"/>
        </w:rPr>
        <w:t>tLife</w:t>
      </w:r>
      <w:proofErr w:type="spellEnd"/>
      <w:r w:rsidR="004C2484" w:rsidRPr="00C362B0">
        <w:rPr>
          <w:rFonts w:ascii="Arial" w:hAnsi="Arial" w:cs="Arial"/>
          <w:sz w:val="24"/>
          <w:szCs w:val="24"/>
          <w:lang w:val="en-GB" w:eastAsia="en-GB"/>
        </w:rPr>
        <w:t xml:space="preserve"> Smart Gym in </w:t>
      </w:r>
      <w:proofErr w:type="spellStart"/>
      <w:r w:rsidR="004C2484" w:rsidRPr="00C362B0">
        <w:rPr>
          <w:rFonts w:ascii="Arial" w:hAnsi="Arial" w:cs="Arial"/>
          <w:sz w:val="24"/>
          <w:szCs w:val="24"/>
          <w:lang w:val="en-GB" w:eastAsia="en-GB"/>
        </w:rPr>
        <w:t>Levenshulme</w:t>
      </w:r>
      <w:proofErr w:type="spellEnd"/>
      <w:r w:rsidR="004C2484" w:rsidRPr="00C362B0">
        <w:rPr>
          <w:rFonts w:ascii="Arial" w:hAnsi="Arial" w:cs="Arial"/>
          <w:sz w:val="24"/>
          <w:szCs w:val="24"/>
          <w:lang w:val="en-GB" w:eastAsia="en-GB"/>
        </w:rPr>
        <w:t>?</w:t>
      </w:r>
    </w:p>
    <w:p w14:paraId="707AB739" w14:textId="77777777" w:rsidR="00EC65FA" w:rsidRPr="00C362B0" w:rsidRDefault="009414C5" w:rsidP="00EC65FA">
      <w:pPr>
        <w:pStyle w:val="ListParagraph"/>
        <w:numPr>
          <w:ilvl w:val="0"/>
          <w:numId w:val="5"/>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RQ2. </w:t>
      </w:r>
      <w:r w:rsidR="00EC65FA" w:rsidRPr="00C362B0">
        <w:rPr>
          <w:rFonts w:ascii="Arial" w:hAnsi="Arial" w:cs="Arial"/>
          <w:sz w:val="24"/>
          <w:szCs w:val="24"/>
          <w:lang w:val="en-GB" w:eastAsia="en-GB"/>
        </w:rPr>
        <w:t xml:space="preserve">What customer needs, preferences and affordability considerations should </w:t>
      </w:r>
      <w:proofErr w:type="spellStart"/>
      <w:r w:rsidR="00EC65FA" w:rsidRPr="00C362B0">
        <w:rPr>
          <w:rFonts w:ascii="Arial" w:hAnsi="Arial" w:cs="Arial"/>
          <w:sz w:val="24"/>
          <w:szCs w:val="24"/>
          <w:lang w:val="en-GB" w:eastAsia="en-GB"/>
        </w:rPr>
        <w:t>FitLife</w:t>
      </w:r>
      <w:proofErr w:type="spellEnd"/>
      <w:r w:rsidR="00EC65FA" w:rsidRPr="00C362B0">
        <w:rPr>
          <w:rFonts w:ascii="Arial" w:hAnsi="Arial" w:cs="Arial"/>
          <w:sz w:val="24"/>
          <w:szCs w:val="24"/>
          <w:lang w:val="en-GB" w:eastAsia="en-GB"/>
        </w:rPr>
        <w:t xml:space="preserve"> Smart Gym address?</w:t>
      </w:r>
    </w:p>
    <w:p w14:paraId="2065D505" w14:textId="2B582B1D" w:rsidR="009414C5" w:rsidRPr="00C362B0" w:rsidRDefault="009414C5" w:rsidP="00EC65FA">
      <w:pPr>
        <w:pStyle w:val="ListParagraph"/>
        <w:numPr>
          <w:ilvl w:val="0"/>
          <w:numId w:val="5"/>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RQ3. How competitive is the local fitness market, and how do competitor prices and services affect </w:t>
      </w:r>
      <w:proofErr w:type="spellStart"/>
      <w:r w:rsidRPr="00C362B0">
        <w:rPr>
          <w:rFonts w:ascii="Arial" w:hAnsi="Arial" w:cs="Arial"/>
          <w:sz w:val="24"/>
          <w:szCs w:val="24"/>
          <w:lang w:val="en-GB" w:eastAsia="en-GB"/>
        </w:rPr>
        <w:t>F</w:t>
      </w:r>
      <w:r w:rsidR="004C2484" w:rsidRPr="00C362B0">
        <w:rPr>
          <w:rFonts w:ascii="Arial" w:hAnsi="Arial" w:cs="Arial"/>
          <w:sz w:val="24"/>
          <w:szCs w:val="24"/>
          <w:lang w:val="en-GB" w:eastAsia="en-GB"/>
        </w:rPr>
        <w:t>itLife</w:t>
      </w:r>
      <w:proofErr w:type="spellEnd"/>
      <w:r w:rsidR="004C2484" w:rsidRPr="00C362B0">
        <w:rPr>
          <w:rFonts w:ascii="Arial" w:hAnsi="Arial" w:cs="Arial"/>
          <w:sz w:val="24"/>
          <w:szCs w:val="24"/>
          <w:lang w:val="en-GB" w:eastAsia="en-GB"/>
        </w:rPr>
        <w:t xml:space="preserve"> Smart Gym's positioning?</w:t>
      </w:r>
    </w:p>
    <w:p w14:paraId="76E3372F" w14:textId="5582CA70" w:rsidR="009414C5" w:rsidRPr="00C362B0" w:rsidRDefault="009414C5" w:rsidP="00EC65FA">
      <w:pPr>
        <w:pStyle w:val="ListParagraph"/>
        <w:numPr>
          <w:ilvl w:val="0"/>
          <w:numId w:val="5"/>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RQ4. </w:t>
      </w:r>
      <w:r w:rsidR="00EC65FA" w:rsidRPr="00C362B0">
        <w:rPr>
          <w:rFonts w:ascii="Arial" w:hAnsi="Arial" w:cs="Arial"/>
          <w:sz w:val="24"/>
          <w:szCs w:val="24"/>
          <w:lang w:val="en-GB" w:eastAsia="en-GB"/>
        </w:rPr>
        <w:t xml:space="preserve">What commercial and financial conditions would be required for </w:t>
      </w:r>
      <w:proofErr w:type="spellStart"/>
      <w:r w:rsidR="00EC65FA" w:rsidRPr="00C362B0">
        <w:rPr>
          <w:rFonts w:ascii="Arial" w:hAnsi="Arial" w:cs="Arial"/>
          <w:sz w:val="24"/>
          <w:szCs w:val="24"/>
          <w:lang w:val="en-GB" w:eastAsia="en-GB"/>
        </w:rPr>
        <w:t>FitLife</w:t>
      </w:r>
      <w:proofErr w:type="spellEnd"/>
      <w:r w:rsidR="00EC65FA" w:rsidRPr="00C362B0">
        <w:rPr>
          <w:rFonts w:ascii="Arial" w:hAnsi="Arial" w:cs="Arial"/>
          <w:sz w:val="24"/>
          <w:szCs w:val="24"/>
          <w:lang w:val="en-GB" w:eastAsia="en-GB"/>
        </w:rPr>
        <w:t xml:space="preserve"> Smart Gym to achieve commercial feasibility?</w:t>
      </w:r>
    </w:p>
    <w:p w14:paraId="3A16C196" w14:textId="7EEE3442" w:rsidR="004C2484" w:rsidRPr="00C362B0" w:rsidRDefault="009414C5" w:rsidP="004C2484">
      <w:pPr>
        <w:pStyle w:val="ListParagraph"/>
        <w:numPr>
          <w:ilvl w:val="0"/>
          <w:numId w:val="5"/>
        </w:num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RQ5. What implementation approach could support a realistic launch of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Smart Gym?</w:t>
      </w:r>
    </w:p>
    <w:p w14:paraId="77F59831" w14:textId="2A4CB18D" w:rsidR="004C2484" w:rsidRPr="00C362B0" w:rsidRDefault="004C2484" w:rsidP="004C2484">
      <w:pPr>
        <w:pStyle w:val="Caption"/>
        <w:keepNext/>
        <w:jc w:val="both"/>
        <w:rPr>
          <w:rFonts w:ascii="Arial" w:hAnsi="Arial" w:cs="Arial"/>
          <w:sz w:val="24"/>
          <w:lang w:val="en-GB"/>
        </w:rPr>
      </w:pPr>
      <w:bookmarkStart w:id="9" w:name="_Toc239091497"/>
      <w:r w:rsidRPr="00C362B0">
        <w:rPr>
          <w:rFonts w:ascii="Arial" w:hAnsi="Arial" w:cs="Arial"/>
          <w:sz w:val="24"/>
          <w:lang w:val="en-GB"/>
        </w:rPr>
        <w:t xml:space="preserve">Table </w:t>
      </w:r>
      <w:r w:rsidRPr="00C362B0">
        <w:rPr>
          <w:rFonts w:ascii="Arial" w:hAnsi="Arial" w:cs="Arial"/>
          <w:sz w:val="24"/>
          <w:lang w:val="en-GB"/>
        </w:rPr>
        <w:fldChar w:fldCharType="begin"/>
      </w:r>
      <w:r w:rsidRPr="00C362B0">
        <w:rPr>
          <w:rFonts w:ascii="Arial" w:hAnsi="Arial" w:cs="Arial"/>
          <w:sz w:val="24"/>
          <w:lang w:val="en-GB"/>
        </w:rPr>
        <w:instrText xml:space="preserve"> SEQ Table \* ARABIC </w:instrText>
      </w:r>
      <w:r w:rsidRPr="00C362B0">
        <w:rPr>
          <w:rFonts w:ascii="Arial" w:hAnsi="Arial" w:cs="Arial"/>
          <w:sz w:val="24"/>
          <w:lang w:val="en-GB"/>
        </w:rPr>
        <w:fldChar w:fldCharType="separate"/>
      </w:r>
      <w:r w:rsidR="00415D83">
        <w:rPr>
          <w:rFonts w:ascii="Arial" w:hAnsi="Arial" w:cs="Arial"/>
          <w:noProof/>
          <w:sz w:val="24"/>
          <w:lang w:val="en-GB"/>
        </w:rPr>
        <w:t>1</w:t>
      </w:r>
      <w:r w:rsidRPr="00C362B0">
        <w:rPr>
          <w:rFonts w:ascii="Arial" w:hAnsi="Arial" w:cs="Arial"/>
          <w:sz w:val="24"/>
          <w:lang w:val="en-GB"/>
        </w:rPr>
        <w:fldChar w:fldCharType="end"/>
      </w:r>
      <w:r w:rsidRPr="00C362B0">
        <w:rPr>
          <w:rFonts w:ascii="Arial" w:hAnsi="Arial" w:cs="Arial"/>
          <w:sz w:val="24"/>
          <w:lang w:val="en-GB"/>
        </w:rPr>
        <w:t>.Alignment</w:t>
      </w:r>
      <w:bookmarkEnd w:id="9"/>
    </w:p>
    <w:tbl>
      <w:tblPr>
        <w:tblStyle w:val="TableGrid"/>
        <w:tblW w:w="0" w:type="auto"/>
        <w:tblLook w:val="04A0" w:firstRow="1" w:lastRow="0" w:firstColumn="1" w:lastColumn="0" w:noHBand="0" w:noVBand="1"/>
      </w:tblPr>
      <w:tblGrid>
        <w:gridCol w:w="4508"/>
        <w:gridCol w:w="4508"/>
      </w:tblGrid>
      <w:tr w:rsidR="009F5F32" w:rsidRPr="00C362B0" w14:paraId="479415E7" w14:textId="77777777" w:rsidTr="009F5F32">
        <w:tc>
          <w:tcPr>
            <w:tcW w:w="4508" w:type="dxa"/>
          </w:tcPr>
          <w:p w14:paraId="58B9EA56" w14:textId="77777777" w:rsidR="009F5F32" w:rsidRPr="00C362B0" w:rsidRDefault="009F5F32" w:rsidP="007B5D82">
            <w:pPr>
              <w:spacing w:before="240" w:line="360" w:lineRule="auto"/>
              <w:jc w:val="both"/>
              <w:rPr>
                <w:rFonts w:ascii="Arial" w:hAnsi="Arial" w:cs="Arial"/>
                <w:b/>
                <w:sz w:val="24"/>
                <w:szCs w:val="24"/>
                <w:lang w:val="en-GB" w:eastAsia="en-GB"/>
              </w:rPr>
            </w:pPr>
            <w:r w:rsidRPr="00C362B0">
              <w:rPr>
                <w:rFonts w:ascii="Arial" w:hAnsi="Arial" w:cs="Arial"/>
                <w:b/>
                <w:sz w:val="24"/>
                <w:szCs w:val="24"/>
                <w:lang w:val="en-GB" w:eastAsia="en-GB"/>
              </w:rPr>
              <w:t>Objective</w:t>
            </w:r>
          </w:p>
        </w:tc>
        <w:tc>
          <w:tcPr>
            <w:tcW w:w="4508" w:type="dxa"/>
          </w:tcPr>
          <w:p w14:paraId="6F5FC1A0" w14:textId="77777777" w:rsidR="009F5F32" w:rsidRPr="00C362B0" w:rsidRDefault="009F5F32" w:rsidP="007B5D82">
            <w:pPr>
              <w:spacing w:before="240" w:line="360" w:lineRule="auto"/>
              <w:jc w:val="both"/>
              <w:rPr>
                <w:rFonts w:ascii="Arial" w:hAnsi="Arial" w:cs="Arial"/>
                <w:b/>
                <w:sz w:val="24"/>
                <w:szCs w:val="24"/>
                <w:lang w:val="en-GB" w:eastAsia="en-GB"/>
              </w:rPr>
            </w:pPr>
            <w:r w:rsidRPr="00C362B0">
              <w:rPr>
                <w:rFonts w:ascii="Arial" w:hAnsi="Arial" w:cs="Arial"/>
                <w:b/>
                <w:sz w:val="24"/>
                <w:szCs w:val="24"/>
                <w:lang w:val="en-GB" w:eastAsia="en-GB"/>
              </w:rPr>
              <w:t>Research Question</w:t>
            </w:r>
          </w:p>
        </w:tc>
      </w:tr>
      <w:tr w:rsidR="009F5F32" w:rsidRPr="00C362B0" w14:paraId="59DD5C63" w14:textId="77777777" w:rsidTr="009F5F32">
        <w:tc>
          <w:tcPr>
            <w:tcW w:w="4508" w:type="dxa"/>
          </w:tcPr>
          <w:p w14:paraId="171925A6" w14:textId="77777777" w:rsidR="009F5F32" w:rsidRPr="00C362B0" w:rsidRDefault="009F5F32"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Objective 1: Analyse the market</w:t>
            </w:r>
          </w:p>
        </w:tc>
        <w:tc>
          <w:tcPr>
            <w:tcW w:w="4508" w:type="dxa"/>
          </w:tcPr>
          <w:p w14:paraId="3AC605E8" w14:textId="77777777" w:rsidR="009F5F32" w:rsidRPr="00C362B0" w:rsidRDefault="009F5F32"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RQ1</w:t>
            </w:r>
          </w:p>
        </w:tc>
      </w:tr>
      <w:tr w:rsidR="009F5F32" w:rsidRPr="00C362B0" w14:paraId="68574C83" w14:textId="77777777" w:rsidTr="009F5F32">
        <w:tc>
          <w:tcPr>
            <w:tcW w:w="4508" w:type="dxa"/>
          </w:tcPr>
          <w:p w14:paraId="1C2E2A44" w14:textId="77777777" w:rsidR="009F5F32" w:rsidRPr="00C362B0" w:rsidRDefault="009F5F32"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Objective 2: Identify customer needs</w:t>
            </w:r>
          </w:p>
        </w:tc>
        <w:tc>
          <w:tcPr>
            <w:tcW w:w="4508" w:type="dxa"/>
          </w:tcPr>
          <w:p w14:paraId="3218468D" w14:textId="77777777" w:rsidR="009F5F32" w:rsidRPr="00C362B0" w:rsidRDefault="009F5F32"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RQ2</w:t>
            </w:r>
          </w:p>
        </w:tc>
      </w:tr>
      <w:tr w:rsidR="009F5F32" w:rsidRPr="00C362B0" w14:paraId="19936BA9" w14:textId="77777777" w:rsidTr="009F5F32">
        <w:tc>
          <w:tcPr>
            <w:tcW w:w="4508" w:type="dxa"/>
          </w:tcPr>
          <w:p w14:paraId="781F2DC1" w14:textId="77777777" w:rsidR="009F5F32" w:rsidRPr="00C362B0" w:rsidRDefault="009F5F32"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Objective 3: Evaluate competitors</w:t>
            </w:r>
          </w:p>
        </w:tc>
        <w:tc>
          <w:tcPr>
            <w:tcW w:w="4508" w:type="dxa"/>
          </w:tcPr>
          <w:p w14:paraId="5F2B4218" w14:textId="77777777" w:rsidR="009F5F32" w:rsidRPr="00C362B0" w:rsidRDefault="009F5F32"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RQ3</w:t>
            </w:r>
          </w:p>
        </w:tc>
      </w:tr>
      <w:tr w:rsidR="009F5F32" w:rsidRPr="00C362B0" w14:paraId="09274FF7" w14:textId="77777777" w:rsidTr="009F5F32">
        <w:tc>
          <w:tcPr>
            <w:tcW w:w="4508" w:type="dxa"/>
          </w:tcPr>
          <w:p w14:paraId="4795FD2C" w14:textId="77777777" w:rsidR="009F5F32" w:rsidRPr="00C362B0" w:rsidRDefault="009F5F32"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Objective 4: Assess commercial and financial feasibility</w:t>
            </w:r>
          </w:p>
        </w:tc>
        <w:tc>
          <w:tcPr>
            <w:tcW w:w="4508" w:type="dxa"/>
          </w:tcPr>
          <w:p w14:paraId="601E6576" w14:textId="77777777" w:rsidR="009F5F32" w:rsidRPr="00C362B0" w:rsidRDefault="009F5F32"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RQ4</w:t>
            </w:r>
          </w:p>
        </w:tc>
      </w:tr>
      <w:tr w:rsidR="009F5F32" w:rsidRPr="00C362B0" w14:paraId="08BED05C" w14:textId="77777777" w:rsidTr="009F5F32">
        <w:tc>
          <w:tcPr>
            <w:tcW w:w="4508" w:type="dxa"/>
          </w:tcPr>
          <w:p w14:paraId="44336004" w14:textId="77777777" w:rsidR="009F5F32" w:rsidRPr="00C362B0" w:rsidRDefault="009F5F32"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Objective 5: Develop implementation strategy</w:t>
            </w:r>
          </w:p>
        </w:tc>
        <w:tc>
          <w:tcPr>
            <w:tcW w:w="4508" w:type="dxa"/>
          </w:tcPr>
          <w:p w14:paraId="01F75685" w14:textId="77777777" w:rsidR="009F5F32" w:rsidRPr="00C362B0" w:rsidRDefault="009F5F32"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RQ5</w:t>
            </w:r>
          </w:p>
        </w:tc>
      </w:tr>
    </w:tbl>
    <w:p w14:paraId="292FD01C" w14:textId="63B15684" w:rsidR="009414C5" w:rsidRPr="00C362B0" w:rsidRDefault="009414C5" w:rsidP="009414C5">
      <w:pPr>
        <w:spacing w:before="240" w:line="360" w:lineRule="auto"/>
        <w:jc w:val="both"/>
        <w:rPr>
          <w:rFonts w:ascii="Arial" w:hAnsi="Arial" w:cs="Arial"/>
          <w:sz w:val="24"/>
          <w:szCs w:val="24"/>
          <w:lang w:val="en-GB" w:eastAsia="en-GB"/>
        </w:rPr>
      </w:pPr>
    </w:p>
    <w:p w14:paraId="4A159CCA" w14:textId="184349A5" w:rsidR="009414C5" w:rsidRPr="00C362B0" w:rsidRDefault="009414C5" w:rsidP="003D393B">
      <w:pPr>
        <w:pStyle w:val="Heading2"/>
        <w:rPr>
          <w:lang w:val="en-GB" w:eastAsia="en-GB"/>
        </w:rPr>
      </w:pPr>
      <w:bookmarkStart w:id="10" w:name="_Toc239091424"/>
      <w:r w:rsidRPr="00C362B0">
        <w:rPr>
          <w:lang w:val="en-GB" w:eastAsia="en-GB"/>
        </w:rPr>
        <w:lastRenderedPageBreak/>
        <w:t>1.5 Scope and Boundaries</w:t>
      </w:r>
      <w:bookmarkEnd w:id="10"/>
    </w:p>
    <w:p w14:paraId="635D7CCD" w14:textId="71E28E8E" w:rsidR="009414C5" w:rsidRPr="00C362B0" w:rsidRDefault="00153F74" w:rsidP="009414C5">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The proposal explores the UK fitness and wellness sector, with a specific focus on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and the wider Manchester catchment area. It includes secondary research data such as government statistics, industry reports, competitor data, customer and affordability evidence, and commercial property information. The envisioned service is an intelligent fitness service combining physical and digital provision. Primary surveys and interviews are omitted, as are detailed post-launch expansion beyond the feasibility and implementation horizon of the proposal and international expansion.</w:t>
      </w:r>
    </w:p>
    <w:p w14:paraId="7F85497B" w14:textId="29C71B09" w:rsidR="009414C5" w:rsidRPr="00C362B0" w:rsidRDefault="003D393B" w:rsidP="003D393B">
      <w:pPr>
        <w:pStyle w:val="Heading2"/>
        <w:rPr>
          <w:lang w:val="en-GB" w:eastAsia="en-GB"/>
        </w:rPr>
      </w:pPr>
      <w:bookmarkStart w:id="11" w:name="_Toc239091425"/>
      <w:r w:rsidRPr="00C362B0">
        <w:rPr>
          <w:lang w:val="en-GB" w:eastAsia="en-GB"/>
        </w:rPr>
        <w:t>1.6 Structure of the Report</w:t>
      </w:r>
      <w:bookmarkEnd w:id="11"/>
    </w:p>
    <w:p w14:paraId="0DD5C543" w14:textId="0C44490A" w:rsidR="005F5171" w:rsidRPr="00C362B0" w:rsidRDefault="000E68F1" w:rsidP="009414C5">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This proposal follows the required BDP structure. Chapter 1: Introduction introduces the business opportunity and research direction. Chapter 2: Company Description presents the proposed business. Chapter 3: Literature Review develops the theoretical and academic foundation, while Chapter 4: Research Methodology explains the research approach. Chapter 5: Market Opportunity Analysis and Chapter 6: Competitive Environment Analysis assess the external opportunity. Chapter 7: Business Strategy, Chapter 8: Business Model Canvas, Chapter 9: Financial, Marketing and Sales, and Human Capital Management Plan, Chapter 10: Operations Plan, Chapter 11: Feasibility Analysis, Chapter 12: Implementation Plan, Chapter 13: Conclusion and Recommendations, and Chapter 14: Reflection complete the proposal</w:t>
      </w:r>
      <w:r w:rsidR="004E1A81" w:rsidRPr="00C362B0">
        <w:rPr>
          <w:rFonts w:ascii="Arial" w:hAnsi="Arial" w:cs="Arial"/>
          <w:sz w:val="24"/>
          <w:szCs w:val="24"/>
          <w:lang w:val="en-GB" w:eastAsia="en-GB"/>
        </w:rPr>
        <w:t>.</w:t>
      </w:r>
    </w:p>
    <w:p w14:paraId="0AEFD48B" w14:textId="04FF0C57" w:rsidR="004F7E53" w:rsidRPr="00C362B0" w:rsidRDefault="004F7E53" w:rsidP="00137567">
      <w:pPr>
        <w:spacing w:before="240" w:line="360" w:lineRule="auto"/>
        <w:jc w:val="both"/>
        <w:rPr>
          <w:rFonts w:ascii="Arial" w:hAnsi="Arial" w:cs="Arial"/>
          <w:sz w:val="24"/>
          <w:szCs w:val="24"/>
          <w:lang w:val="en-GB" w:eastAsia="en-GB"/>
        </w:rPr>
      </w:pPr>
    </w:p>
    <w:p w14:paraId="478922D2" w14:textId="444DA1E3" w:rsidR="00C72CC9" w:rsidRPr="00C362B0" w:rsidRDefault="00C72CC9" w:rsidP="00137567">
      <w:pPr>
        <w:spacing w:before="240" w:line="360" w:lineRule="auto"/>
        <w:jc w:val="both"/>
        <w:rPr>
          <w:rFonts w:ascii="Arial" w:hAnsi="Arial" w:cs="Arial"/>
          <w:sz w:val="24"/>
          <w:szCs w:val="24"/>
          <w:lang w:val="en-GB" w:eastAsia="en-GB"/>
        </w:rPr>
      </w:pPr>
    </w:p>
    <w:p w14:paraId="7148632C" w14:textId="5F26D49D" w:rsidR="00C72CC9" w:rsidRPr="00C362B0" w:rsidRDefault="00C72CC9" w:rsidP="00137567">
      <w:pPr>
        <w:spacing w:before="240" w:line="360" w:lineRule="auto"/>
        <w:jc w:val="both"/>
        <w:rPr>
          <w:rFonts w:ascii="Arial" w:hAnsi="Arial" w:cs="Arial"/>
          <w:sz w:val="24"/>
          <w:szCs w:val="24"/>
          <w:lang w:val="en-GB" w:eastAsia="en-GB"/>
        </w:rPr>
      </w:pPr>
    </w:p>
    <w:p w14:paraId="6FB76EE9" w14:textId="3C543DC8" w:rsidR="00C72CC9" w:rsidRPr="00C362B0" w:rsidRDefault="00C72CC9" w:rsidP="00137567">
      <w:pPr>
        <w:spacing w:before="240" w:line="360" w:lineRule="auto"/>
        <w:jc w:val="both"/>
        <w:rPr>
          <w:rFonts w:ascii="Arial" w:hAnsi="Arial" w:cs="Arial"/>
          <w:sz w:val="24"/>
          <w:szCs w:val="24"/>
          <w:lang w:val="en-GB" w:eastAsia="en-GB"/>
        </w:rPr>
      </w:pPr>
    </w:p>
    <w:p w14:paraId="06D2F85A" w14:textId="0A87A8EE" w:rsidR="00C72CC9" w:rsidRPr="00C362B0" w:rsidRDefault="00C72CC9" w:rsidP="00137567">
      <w:pPr>
        <w:spacing w:before="240" w:line="360" w:lineRule="auto"/>
        <w:jc w:val="both"/>
        <w:rPr>
          <w:rFonts w:ascii="Arial" w:hAnsi="Arial" w:cs="Arial"/>
          <w:sz w:val="24"/>
          <w:szCs w:val="24"/>
          <w:lang w:val="en-GB" w:eastAsia="en-GB"/>
        </w:rPr>
      </w:pPr>
    </w:p>
    <w:p w14:paraId="1168785F" w14:textId="6386282B" w:rsidR="00C72CC9" w:rsidRPr="00C362B0" w:rsidRDefault="00C72CC9" w:rsidP="00137567">
      <w:pPr>
        <w:spacing w:before="240" w:line="360" w:lineRule="auto"/>
        <w:jc w:val="both"/>
        <w:rPr>
          <w:rFonts w:ascii="Arial" w:hAnsi="Arial" w:cs="Arial"/>
          <w:sz w:val="24"/>
          <w:szCs w:val="24"/>
          <w:lang w:val="en-GB" w:eastAsia="en-GB"/>
        </w:rPr>
      </w:pPr>
    </w:p>
    <w:p w14:paraId="3AB9681A" w14:textId="242C2694" w:rsidR="00C72CC9" w:rsidRPr="00C362B0" w:rsidRDefault="00C72CC9" w:rsidP="00137567">
      <w:pPr>
        <w:spacing w:before="240" w:line="360" w:lineRule="auto"/>
        <w:jc w:val="both"/>
        <w:rPr>
          <w:rFonts w:ascii="Arial" w:hAnsi="Arial" w:cs="Arial"/>
          <w:sz w:val="24"/>
          <w:szCs w:val="24"/>
          <w:lang w:val="en-GB" w:eastAsia="en-GB"/>
        </w:rPr>
      </w:pPr>
    </w:p>
    <w:p w14:paraId="633CA4CB" w14:textId="77777777" w:rsidR="00974D5F" w:rsidRPr="00C362B0" w:rsidRDefault="00974D5F" w:rsidP="0023208B">
      <w:pPr>
        <w:pStyle w:val="Heading1"/>
        <w:jc w:val="center"/>
        <w:rPr>
          <w:rFonts w:eastAsia="Times New Roman"/>
          <w:lang w:val="en-GB" w:eastAsia="en-GB"/>
        </w:rPr>
      </w:pPr>
      <w:bookmarkStart w:id="12" w:name="_Toc239091426"/>
      <w:r w:rsidRPr="00C362B0">
        <w:rPr>
          <w:rFonts w:eastAsia="Times New Roman"/>
          <w:lang w:val="en-GB" w:eastAsia="en-GB"/>
        </w:rPr>
        <w:lastRenderedPageBreak/>
        <w:t>Chapter 2: Company Description</w:t>
      </w:r>
      <w:bookmarkEnd w:id="12"/>
    </w:p>
    <w:p w14:paraId="74EC1D14" w14:textId="1A4495EA" w:rsidR="00974D5F" w:rsidRPr="00C362B0" w:rsidRDefault="00974D5F" w:rsidP="0023208B">
      <w:pPr>
        <w:pStyle w:val="Heading2"/>
        <w:rPr>
          <w:rFonts w:eastAsia="Times New Roman"/>
          <w:lang w:val="en-GB" w:eastAsia="en-GB"/>
        </w:rPr>
      </w:pPr>
      <w:bookmarkStart w:id="13" w:name="_Toc239091427"/>
      <w:r w:rsidRPr="00C362B0">
        <w:rPr>
          <w:rFonts w:eastAsia="Times New Roman"/>
          <w:lang w:val="en-GB" w:eastAsia="en-GB"/>
        </w:rPr>
        <w:t>2.1 Business Identity and Legal Structure</w:t>
      </w:r>
      <w:bookmarkEnd w:id="13"/>
    </w:p>
    <w:p w14:paraId="11AE141B" w14:textId="14152603" w:rsidR="00974D5F" w:rsidRPr="00C362B0" w:rsidRDefault="001A5991" w:rsidP="0023208B">
      <w:p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Smart Gym is a proposed smart fitness and wellness centre intended to operate in </w:t>
      </w:r>
      <w:proofErr w:type="spellStart"/>
      <w:r w:rsidRPr="00C362B0">
        <w:rPr>
          <w:rFonts w:ascii="Arial" w:eastAsia="Times New Roman" w:hAnsi="Arial" w:cs="Arial"/>
          <w:sz w:val="24"/>
          <w:szCs w:val="24"/>
          <w:lang w:val="en-GB" w:eastAsia="en-GB"/>
        </w:rPr>
        <w:t>Levenshulme</w:t>
      </w:r>
      <w:proofErr w:type="spellEnd"/>
      <w:r w:rsidRPr="00C362B0">
        <w:rPr>
          <w:rFonts w:ascii="Arial" w:eastAsia="Times New Roman" w:hAnsi="Arial" w:cs="Arial"/>
          <w:sz w:val="24"/>
          <w:szCs w:val="24"/>
          <w:lang w:val="en-GB" w:eastAsia="en-GB"/>
        </w:rPr>
        <w:t>, Manchester, United Kingdom</w:t>
      </w:r>
      <w:r w:rsidR="00751DB9" w:rsidRPr="00C362B0">
        <w:rPr>
          <w:rFonts w:ascii="Arial" w:eastAsia="Times New Roman" w:hAnsi="Arial" w:cs="Arial"/>
          <w:sz w:val="24"/>
          <w:szCs w:val="24"/>
          <w:lang w:val="en-GB" w:eastAsia="en-GB"/>
        </w:rPr>
        <w:t xml:space="preserve">. </w:t>
      </w:r>
      <w:r w:rsidRPr="00C362B0">
        <w:rPr>
          <w:rFonts w:ascii="Arial" w:eastAsia="Times New Roman" w:hAnsi="Arial" w:cs="Arial"/>
          <w:sz w:val="24"/>
          <w:szCs w:val="24"/>
          <w:lang w:val="en-GB" w:eastAsia="en-GB"/>
        </w:rPr>
        <w:t>The venture is proposed to operate as a Private Limited Company (Ltd), subject to the outcome of the feasibility and implementation analysis</w:t>
      </w:r>
      <w:r w:rsidR="00751DB9" w:rsidRPr="00C362B0">
        <w:rPr>
          <w:rFonts w:ascii="Arial" w:eastAsia="Times New Roman" w:hAnsi="Arial" w:cs="Arial"/>
          <w:sz w:val="24"/>
          <w:szCs w:val="24"/>
          <w:lang w:val="en-GB" w:eastAsia="en-GB"/>
        </w:rPr>
        <w:t xml:space="preserve">. It suits an emerging business as it gives the shareholders limited liability and allows for a recognised corporate identity, as well as investment and controlled growth (Companies House, 2024). </w:t>
      </w:r>
      <w:r w:rsidR="004A5857" w:rsidRPr="00C362B0">
        <w:rPr>
          <w:rFonts w:ascii="Arial" w:eastAsia="Times New Roman" w:hAnsi="Arial" w:cs="Arial"/>
          <w:sz w:val="24"/>
          <w:szCs w:val="24"/>
          <w:lang w:val="en-GB" w:eastAsia="en-GB"/>
        </w:rPr>
        <w:t xml:space="preserve">The location also has commercially available premises, with current </w:t>
      </w:r>
      <w:proofErr w:type="spellStart"/>
      <w:r w:rsidR="004A5857" w:rsidRPr="00C362B0">
        <w:rPr>
          <w:rFonts w:ascii="Arial" w:eastAsia="Times New Roman" w:hAnsi="Arial" w:cs="Arial"/>
          <w:sz w:val="24"/>
          <w:szCs w:val="24"/>
          <w:lang w:val="en-GB" w:eastAsia="en-GB"/>
        </w:rPr>
        <w:t>Levenshulme</w:t>
      </w:r>
      <w:proofErr w:type="spellEnd"/>
      <w:r w:rsidR="004A5857" w:rsidRPr="00C362B0">
        <w:rPr>
          <w:rFonts w:ascii="Arial" w:eastAsia="Times New Roman" w:hAnsi="Arial" w:cs="Arial"/>
          <w:sz w:val="24"/>
          <w:szCs w:val="24"/>
          <w:lang w:val="en-GB" w:eastAsia="en-GB"/>
        </w:rPr>
        <w:t xml:space="preserve"> listings indicating examples of approximately £1,000–£1,200 per month, although suitability, size and final rental cost will require further assessment (</w:t>
      </w:r>
      <w:proofErr w:type="spellStart"/>
      <w:r w:rsidR="004A5857" w:rsidRPr="00C362B0">
        <w:rPr>
          <w:rFonts w:ascii="Arial" w:eastAsia="Times New Roman" w:hAnsi="Arial" w:cs="Arial"/>
          <w:sz w:val="24"/>
          <w:szCs w:val="24"/>
          <w:lang w:val="en-GB" w:eastAsia="en-GB"/>
        </w:rPr>
        <w:t>Rightmove</w:t>
      </w:r>
      <w:proofErr w:type="spellEnd"/>
      <w:r w:rsidR="004A5857" w:rsidRPr="00C362B0">
        <w:rPr>
          <w:rFonts w:ascii="Arial" w:eastAsia="Times New Roman" w:hAnsi="Arial" w:cs="Arial"/>
          <w:sz w:val="24"/>
          <w:szCs w:val="24"/>
          <w:lang w:val="en-GB" w:eastAsia="en-GB"/>
        </w:rPr>
        <w:t>, 2026).</w:t>
      </w:r>
    </w:p>
    <w:p w14:paraId="3F1877C5" w14:textId="25B11E29" w:rsidR="00974D5F" w:rsidRPr="00C362B0" w:rsidRDefault="00974D5F" w:rsidP="0023208B">
      <w:pPr>
        <w:pStyle w:val="Heading2"/>
        <w:rPr>
          <w:rFonts w:eastAsia="Times New Roman"/>
          <w:lang w:val="en-GB" w:eastAsia="en-GB"/>
        </w:rPr>
      </w:pPr>
      <w:bookmarkStart w:id="14" w:name="_Toc239091428"/>
      <w:r w:rsidRPr="00C362B0">
        <w:rPr>
          <w:rFonts w:eastAsia="Times New Roman"/>
          <w:lang w:val="en-GB" w:eastAsia="en-GB"/>
        </w:rPr>
        <w:t>2.2 Product and Service Offering</w:t>
      </w:r>
      <w:bookmarkEnd w:id="14"/>
    </w:p>
    <w:p w14:paraId="747F67AB" w14:textId="3F90CD73" w:rsidR="00C65039" w:rsidRPr="00C362B0" w:rsidRDefault="00C65039" w:rsidP="0023208B">
      <w:p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Smart Gym will integrate physical gym resources and personalized digital resources. Core services will comprise fitness assessment, AI-assisted coaching, personal training, group classes, nutrition consultation, wellness coaching and corporate wellness programmes. Members can use a mobile app to set their objectives and preferences, sync their compatible Apple Watch, Fitbit and Garmin data, and get AI-driven workout suggestions</w:t>
      </w:r>
      <w:r w:rsidR="0023208B" w:rsidRPr="00C362B0">
        <w:rPr>
          <w:rFonts w:ascii="Arial" w:eastAsia="Times New Roman" w:hAnsi="Arial" w:cs="Arial"/>
          <w:sz w:val="24"/>
          <w:szCs w:val="24"/>
          <w:lang w:val="en-GB" w:eastAsia="en-GB"/>
        </w:rPr>
        <w:t xml:space="preserve"> and progress updates.</w:t>
      </w:r>
    </w:p>
    <w:p w14:paraId="13DD41F0" w14:textId="0806D2E4" w:rsidR="00C65039" w:rsidRPr="00C362B0" w:rsidRDefault="00445244"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The system will use member-approved data, including activity levels, training history and fitness goals, to generate personalised workout recommendations and progress updates. AI recommendations will remain under qualified human supervision, with trainers monitoring progress, reviewing plans and providing professional advice where required. Combination Access will allow members to combine in-gym sessions with online coaching. The goal is therefore a mid-market offering based on affordability, personalisation, human support and technology, rather than access to equipment alone</w:t>
      </w:r>
      <w:r w:rsidR="0023208B" w:rsidRPr="00C362B0">
        <w:rPr>
          <w:rFonts w:ascii="Arial" w:eastAsia="Times New Roman" w:hAnsi="Arial" w:cs="Arial"/>
          <w:sz w:val="24"/>
          <w:szCs w:val="24"/>
          <w:lang w:val="en-GB" w:eastAsia="en-GB"/>
        </w:rPr>
        <w:t>.</w:t>
      </w:r>
    </w:p>
    <w:p w14:paraId="25F0347E" w14:textId="62CD16C3" w:rsidR="00C65039" w:rsidRPr="00C362B0" w:rsidRDefault="00C65039" w:rsidP="0023208B">
      <w:pPr>
        <w:pStyle w:val="Heading2"/>
        <w:rPr>
          <w:rFonts w:eastAsia="Times New Roman"/>
          <w:lang w:val="en-GB" w:eastAsia="en-GB"/>
        </w:rPr>
      </w:pPr>
      <w:bookmarkStart w:id="15" w:name="_Toc239091429"/>
      <w:r w:rsidRPr="00C362B0">
        <w:rPr>
          <w:rFonts w:eastAsia="Times New Roman"/>
          <w:lang w:val="en-GB" w:eastAsia="en-GB"/>
        </w:rPr>
        <w:t>2.3 Founding Idea</w:t>
      </w:r>
      <w:bookmarkEnd w:id="15"/>
    </w:p>
    <w:p w14:paraId="202BAA84" w14:textId="3B50896C" w:rsidR="00974D5F" w:rsidRPr="00C362B0" w:rsidRDefault="00F26FF1"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The idea emerged from secondary research into the UK fitness market and the potential for a differentiated mid-market proposition between low-cost self-service gyms and higher-cost personalised fitness services</w:t>
      </w:r>
      <w:r w:rsidR="00C65039" w:rsidRPr="00C362B0">
        <w:rPr>
          <w:rFonts w:ascii="Arial" w:eastAsia="Times New Roman" w:hAnsi="Arial" w:cs="Arial"/>
          <w:sz w:val="24"/>
          <w:szCs w:val="24"/>
          <w:lang w:val="en-GB" w:eastAsia="en-GB"/>
        </w:rPr>
        <w:t xml:space="preserve">. Established demand can be seen </w:t>
      </w:r>
      <w:r w:rsidR="00C65039" w:rsidRPr="00C362B0">
        <w:rPr>
          <w:rFonts w:ascii="Arial" w:eastAsia="Times New Roman" w:hAnsi="Arial" w:cs="Arial"/>
          <w:sz w:val="24"/>
          <w:szCs w:val="24"/>
          <w:lang w:val="en-GB" w:eastAsia="en-GB"/>
        </w:rPr>
        <w:lastRenderedPageBreak/>
        <w:t xml:space="preserve">from the growth in membership in the UK, with </w:t>
      </w:r>
      <w:proofErr w:type="spellStart"/>
      <w:r w:rsidR="00C65039" w:rsidRPr="00C362B0">
        <w:rPr>
          <w:rFonts w:ascii="Arial" w:eastAsia="Times New Roman" w:hAnsi="Arial" w:cs="Arial"/>
          <w:sz w:val="24"/>
          <w:szCs w:val="24"/>
          <w:lang w:val="en-GB" w:eastAsia="en-GB"/>
        </w:rPr>
        <w:t>Jetts</w:t>
      </w:r>
      <w:proofErr w:type="spellEnd"/>
      <w:r w:rsidR="00C65039" w:rsidRPr="00C362B0">
        <w:rPr>
          <w:rFonts w:ascii="Arial" w:eastAsia="Times New Roman" w:hAnsi="Arial" w:cs="Arial"/>
          <w:sz w:val="24"/>
          <w:szCs w:val="24"/>
          <w:lang w:val="en-GB" w:eastAsia="en-GB"/>
        </w:rPr>
        <w:t xml:space="preserve"> </w:t>
      </w:r>
      <w:proofErr w:type="spellStart"/>
      <w:r w:rsidR="00C65039" w:rsidRPr="00C362B0">
        <w:rPr>
          <w:rFonts w:ascii="Arial" w:eastAsia="Times New Roman" w:hAnsi="Arial" w:cs="Arial"/>
          <w:sz w:val="24"/>
          <w:szCs w:val="24"/>
          <w:lang w:val="en-GB" w:eastAsia="en-GB"/>
        </w:rPr>
        <w:t>Levenshulme</w:t>
      </w:r>
      <w:proofErr w:type="spellEnd"/>
      <w:r w:rsidR="00C65039" w:rsidRPr="00C362B0">
        <w:rPr>
          <w:rFonts w:ascii="Arial" w:eastAsia="Times New Roman" w:hAnsi="Arial" w:cs="Arial"/>
          <w:sz w:val="24"/>
          <w:szCs w:val="24"/>
          <w:lang w:val="en-GB" w:eastAsia="en-GB"/>
        </w:rPr>
        <w:t xml:space="preserve"> already comprising of 24/7 access, classes, personal training and connected equipment all for £32.95 per month (</w:t>
      </w:r>
      <w:proofErr w:type="spellStart"/>
      <w:r w:rsidR="00C65039" w:rsidRPr="00C362B0">
        <w:rPr>
          <w:rFonts w:ascii="Arial" w:eastAsia="Times New Roman" w:hAnsi="Arial" w:cs="Arial"/>
          <w:sz w:val="24"/>
          <w:szCs w:val="24"/>
          <w:lang w:val="en-GB" w:eastAsia="en-GB"/>
        </w:rPr>
        <w:t>Jetts</w:t>
      </w:r>
      <w:proofErr w:type="spellEnd"/>
      <w:r w:rsidR="00C65039" w:rsidRPr="00C362B0">
        <w:rPr>
          <w:rFonts w:ascii="Arial" w:eastAsia="Times New Roman" w:hAnsi="Arial" w:cs="Arial"/>
          <w:sz w:val="24"/>
          <w:szCs w:val="24"/>
          <w:lang w:val="en-GB" w:eastAsia="en-GB"/>
        </w:rPr>
        <w:t xml:space="preserve"> 2026). </w:t>
      </w:r>
      <w:r w:rsidR="00226606" w:rsidRPr="00C362B0">
        <w:rPr>
          <w:rFonts w:ascii="Arial" w:eastAsia="Times New Roman" w:hAnsi="Arial" w:cs="Arial"/>
          <w:sz w:val="24"/>
          <w:szCs w:val="24"/>
          <w:lang w:val="en-GB" w:eastAsia="en-GB"/>
        </w:rPr>
        <w:t xml:space="preserve">This indicates that low cost, extended access and connected technology alone may not provide sufficient differentiation for </w:t>
      </w:r>
      <w:proofErr w:type="spellStart"/>
      <w:r w:rsidR="00226606" w:rsidRPr="00C362B0">
        <w:rPr>
          <w:rFonts w:ascii="Arial" w:eastAsia="Times New Roman" w:hAnsi="Arial" w:cs="Arial"/>
          <w:sz w:val="24"/>
          <w:szCs w:val="24"/>
          <w:lang w:val="en-GB" w:eastAsia="en-GB"/>
        </w:rPr>
        <w:t>FitLife</w:t>
      </w:r>
      <w:proofErr w:type="spellEnd"/>
      <w:r w:rsidR="00C65039" w:rsidRPr="00C362B0">
        <w:rPr>
          <w:rFonts w:ascii="Arial" w:eastAsia="Times New Roman" w:hAnsi="Arial" w:cs="Arial"/>
          <w:sz w:val="24"/>
          <w:szCs w:val="24"/>
          <w:lang w:val="en-GB" w:eastAsia="en-GB"/>
        </w:rPr>
        <w:t xml:space="preserve">. </w:t>
      </w:r>
      <w:r w:rsidR="003657C6" w:rsidRPr="00C362B0">
        <w:rPr>
          <w:rFonts w:ascii="Arial" w:eastAsia="Times New Roman" w:hAnsi="Arial" w:cs="Arial"/>
          <w:sz w:val="24"/>
          <w:szCs w:val="24"/>
          <w:lang w:val="en-GB" w:eastAsia="en-GB"/>
        </w:rPr>
        <w:t>The concept is therefore to test whether integrated AI-assisted coaching, wearable-supported monitoring and human support can provide sufficient additional value</w:t>
      </w:r>
      <w:r w:rsidR="00C65039" w:rsidRPr="00C362B0">
        <w:rPr>
          <w:rFonts w:ascii="Arial" w:eastAsia="Times New Roman" w:hAnsi="Arial" w:cs="Arial"/>
          <w:sz w:val="24"/>
          <w:szCs w:val="24"/>
          <w:lang w:val="en-GB" w:eastAsia="en-GB"/>
        </w:rPr>
        <w:t>.</w:t>
      </w:r>
    </w:p>
    <w:p w14:paraId="203DD0DF" w14:textId="41DB1F17" w:rsidR="00974D5F" w:rsidRPr="00C362B0" w:rsidRDefault="00974D5F" w:rsidP="0023208B">
      <w:pPr>
        <w:pStyle w:val="Heading2"/>
        <w:rPr>
          <w:rFonts w:eastAsia="Times New Roman"/>
          <w:lang w:val="en-GB" w:eastAsia="en-GB"/>
        </w:rPr>
      </w:pPr>
      <w:bookmarkStart w:id="16" w:name="_Toc239091430"/>
      <w:r w:rsidRPr="00C362B0">
        <w:rPr>
          <w:rFonts w:eastAsia="Times New Roman"/>
          <w:lang w:val="en-GB" w:eastAsia="en-GB"/>
        </w:rPr>
        <w:t>2.4 Mission, Vision and Core Values</w:t>
      </w:r>
      <w:bookmarkEnd w:id="16"/>
    </w:p>
    <w:p w14:paraId="79FED9F4" w14:textId="5D89F7B7" w:rsidR="00974D5F" w:rsidRPr="00C362B0" w:rsidRDefault="00974D5F"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Mission:</w:t>
      </w:r>
      <w:r w:rsidRPr="00C362B0">
        <w:rPr>
          <w:rFonts w:ascii="Arial" w:eastAsia="Times New Roman" w:hAnsi="Arial" w:cs="Arial"/>
          <w:sz w:val="24"/>
          <w:szCs w:val="24"/>
          <w:lang w:val="en-GB" w:eastAsia="en-GB"/>
        </w:rPr>
        <w:t xml:space="preserve"> To improve individual health and wellbeing through affordable, personalised and technology-enabled fitness and wellness services that suppor</w:t>
      </w:r>
      <w:r w:rsidR="0023208B" w:rsidRPr="00C362B0">
        <w:rPr>
          <w:rFonts w:ascii="Arial" w:eastAsia="Times New Roman" w:hAnsi="Arial" w:cs="Arial"/>
          <w:sz w:val="24"/>
          <w:szCs w:val="24"/>
          <w:lang w:val="en-GB" w:eastAsia="en-GB"/>
        </w:rPr>
        <w:t>t sustainable lifestyle change.</w:t>
      </w:r>
    </w:p>
    <w:p w14:paraId="2CDEEC99" w14:textId="77BAD2C5" w:rsidR="00974D5F" w:rsidRPr="00C362B0" w:rsidRDefault="00974D5F"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Vision:</w:t>
      </w:r>
      <w:r w:rsidRPr="00C362B0">
        <w:rPr>
          <w:rFonts w:ascii="Arial" w:eastAsia="Times New Roman" w:hAnsi="Arial" w:cs="Arial"/>
          <w:sz w:val="24"/>
          <w:szCs w:val="24"/>
          <w:lang w:val="en-GB" w:eastAsia="en-GB"/>
        </w:rPr>
        <w:t xml:space="preserve"> To become a recognised smart fitness and wellness provider in Manchester, known for personalised customer experiences, responsible innovation and long-ter</w:t>
      </w:r>
      <w:r w:rsidR="0023208B" w:rsidRPr="00C362B0">
        <w:rPr>
          <w:rFonts w:ascii="Arial" w:eastAsia="Times New Roman" w:hAnsi="Arial" w:cs="Arial"/>
          <w:sz w:val="24"/>
          <w:szCs w:val="24"/>
          <w:lang w:val="en-GB" w:eastAsia="en-GB"/>
        </w:rPr>
        <w:t>m wellbeing.</w:t>
      </w:r>
    </w:p>
    <w:p w14:paraId="27BED0DE" w14:textId="7BDC0DE2" w:rsidR="00974D5F" w:rsidRPr="00C362B0" w:rsidRDefault="0023208B" w:rsidP="0023208B">
      <w:pPr>
        <w:spacing w:before="100" w:beforeAutospacing="1" w:after="100" w:afterAutospacing="1" w:line="360" w:lineRule="auto"/>
        <w:jc w:val="both"/>
        <w:rPr>
          <w:rFonts w:ascii="Arial" w:eastAsia="Times New Roman" w:hAnsi="Arial" w:cs="Arial"/>
          <w:b/>
          <w:sz w:val="24"/>
          <w:szCs w:val="24"/>
          <w:lang w:val="en-GB" w:eastAsia="en-GB"/>
        </w:rPr>
      </w:pPr>
      <w:r w:rsidRPr="00C362B0">
        <w:rPr>
          <w:rFonts w:ascii="Arial" w:eastAsia="Times New Roman" w:hAnsi="Arial" w:cs="Arial"/>
          <w:b/>
          <w:sz w:val="24"/>
          <w:szCs w:val="24"/>
          <w:lang w:val="en-GB" w:eastAsia="en-GB"/>
        </w:rPr>
        <w:t>Core Values:</w:t>
      </w:r>
    </w:p>
    <w:p w14:paraId="5E5FA3D9" w14:textId="77777777" w:rsidR="00974D5F" w:rsidRPr="00C362B0" w:rsidRDefault="00974D5F" w:rsidP="0023208B">
      <w:pPr>
        <w:pStyle w:val="ListParagraph"/>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 xml:space="preserve">Innovation </w:t>
      </w:r>
      <w:r w:rsidRPr="00C362B0">
        <w:rPr>
          <w:rFonts w:ascii="Arial" w:eastAsia="Times New Roman" w:hAnsi="Arial" w:cs="Arial"/>
          <w:sz w:val="24"/>
          <w:szCs w:val="24"/>
          <w:lang w:val="en-GB" w:eastAsia="en-GB"/>
        </w:rPr>
        <w:t>– using technology purposefully to improve fitness experiences.</w:t>
      </w:r>
    </w:p>
    <w:p w14:paraId="161D9573" w14:textId="77777777" w:rsidR="00974D5F" w:rsidRPr="00C362B0" w:rsidRDefault="00974D5F" w:rsidP="0023208B">
      <w:pPr>
        <w:pStyle w:val="ListParagraph"/>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Customer Wellbeing</w:t>
      </w:r>
      <w:r w:rsidRPr="00C362B0">
        <w:rPr>
          <w:rFonts w:ascii="Arial" w:eastAsia="Times New Roman" w:hAnsi="Arial" w:cs="Arial"/>
          <w:sz w:val="24"/>
          <w:szCs w:val="24"/>
          <w:lang w:val="en-GB" w:eastAsia="en-GB"/>
        </w:rPr>
        <w:t xml:space="preserve"> – prioritising safe and holistic support.</w:t>
      </w:r>
    </w:p>
    <w:p w14:paraId="07FB198C" w14:textId="77777777" w:rsidR="00974D5F" w:rsidRPr="00C362B0" w:rsidRDefault="00974D5F" w:rsidP="0023208B">
      <w:pPr>
        <w:pStyle w:val="ListParagraph"/>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 xml:space="preserve">Inclusivity </w:t>
      </w:r>
      <w:r w:rsidRPr="00C362B0">
        <w:rPr>
          <w:rFonts w:ascii="Arial" w:eastAsia="Times New Roman" w:hAnsi="Arial" w:cs="Arial"/>
          <w:sz w:val="24"/>
          <w:szCs w:val="24"/>
          <w:lang w:val="en-GB" w:eastAsia="en-GB"/>
        </w:rPr>
        <w:t>– designing services for diverse local customers.</w:t>
      </w:r>
    </w:p>
    <w:p w14:paraId="470FCF40" w14:textId="77777777" w:rsidR="00974D5F" w:rsidRPr="00C362B0" w:rsidRDefault="00974D5F" w:rsidP="0023208B">
      <w:pPr>
        <w:pStyle w:val="ListParagraph"/>
        <w:numPr>
          <w:ilvl w:val="0"/>
          <w:numId w:val="6"/>
        </w:num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Sustainability</w:t>
      </w:r>
      <w:r w:rsidRPr="00C362B0">
        <w:rPr>
          <w:rFonts w:ascii="Arial" w:eastAsia="Times New Roman" w:hAnsi="Arial" w:cs="Arial"/>
          <w:sz w:val="24"/>
          <w:szCs w:val="24"/>
          <w:lang w:val="en-GB" w:eastAsia="en-GB"/>
        </w:rPr>
        <w:t xml:space="preserve"> – reducing unnecessary resource use while supporting long-term community wellbeing.</w:t>
      </w:r>
    </w:p>
    <w:p w14:paraId="2D512E04" w14:textId="18854A51" w:rsidR="00974D5F" w:rsidRPr="00C362B0" w:rsidRDefault="00974D5F" w:rsidP="0023208B">
      <w:pPr>
        <w:pStyle w:val="Heading2"/>
        <w:rPr>
          <w:rFonts w:eastAsia="Times New Roman"/>
          <w:lang w:val="en-GB" w:eastAsia="en-GB"/>
        </w:rPr>
      </w:pPr>
      <w:bookmarkStart w:id="17" w:name="_Toc239091431"/>
      <w:r w:rsidRPr="00C362B0">
        <w:rPr>
          <w:rFonts w:eastAsia="Times New Roman"/>
          <w:lang w:val="en-GB" w:eastAsia="en-GB"/>
        </w:rPr>
        <w:t>2.</w:t>
      </w:r>
      <w:r w:rsidR="0089526A" w:rsidRPr="00C362B0">
        <w:rPr>
          <w:rFonts w:eastAsia="Times New Roman"/>
          <w:lang w:val="en-GB" w:eastAsia="en-GB"/>
        </w:rPr>
        <w:t>5 Business Objectives and Goals</w:t>
      </w:r>
      <w:bookmarkEnd w:id="17"/>
    </w:p>
    <w:p w14:paraId="3F702594" w14:textId="4423A845" w:rsidR="00974D5F" w:rsidRPr="00C362B0" w:rsidRDefault="00A960C0" w:rsidP="0023208B">
      <w:p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Smart Gym has established the following provisional SMART objectives as measurable planning targets, which will be tested and justified through the subsequent market, financial, operational and implementation analyses:</w:t>
      </w:r>
    </w:p>
    <w:p w14:paraId="0702DD6F" w14:textId="71EA81D8" w:rsidR="0089526A" w:rsidRPr="00C362B0" w:rsidRDefault="0089526A" w:rsidP="0023208B">
      <w:pPr>
        <w:pStyle w:val="Caption"/>
        <w:keepNext/>
        <w:spacing w:line="360" w:lineRule="auto"/>
        <w:jc w:val="both"/>
        <w:rPr>
          <w:rFonts w:ascii="Arial" w:hAnsi="Arial" w:cs="Arial"/>
          <w:sz w:val="24"/>
          <w:szCs w:val="24"/>
          <w:lang w:val="en-GB"/>
        </w:rPr>
      </w:pPr>
      <w:bookmarkStart w:id="18" w:name="_Toc239091498"/>
      <w:r w:rsidRPr="00C362B0">
        <w:rPr>
          <w:rFonts w:ascii="Arial" w:hAnsi="Arial" w:cs="Arial"/>
          <w:sz w:val="24"/>
          <w:szCs w:val="24"/>
          <w:lang w:val="en-GB"/>
        </w:rPr>
        <w:t xml:space="preserve">Table </w:t>
      </w:r>
      <w:r w:rsidRPr="00C362B0">
        <w:rPr>
          <w:rFonts w:ascii="Arial" w:hAnsi="Arial" w:cs="Arial"/>
          <w:sz w:val="24"/>
          <w:szCs w:val="24"/>
          <w:lang w:val="en-GB"/>
        </w:rPr>
        <w:fldChar w:fldCharType="begin"/>
      </w:r>
      <w:r w:rsidRPr="00C362B0">
        <w:rPr>
          <w:rFonts w:ascii="Arial" w:hAnsi="Arial" w:cs="Arial"/>
          <w:sz w:val="24"/>
          <w:szCs w:val="24"/>
          <w:lang w:val="en-GB"/>
        </w:rPr>
        <w:instrText xml:space="preserve"> SEQ Table \* ARABIC </w:instrText>
      </w:r>
      <w:r w:rsidRPr="00C362B0">
        <w:rPr>
          <w:rFonts w:ascii="Arial" w:hAnsi="Arial" w:cs="Arial"/>
          <w:sz w:val="24"/>
          <w:szCs w:val="24"/>
          <w:lang w:val="en-GB"/>
        </w:rPr>
        <w:fldChar w:fldCharType="separate"/>
      </w:r>
      <w:r w:rsidR="00415D83">
        <w:rPr>
          <w:rFonts w:ascii="Arial" w:hAnsi="Arial" w:cs="Arial"/>
          <w:noProof/>
          <w:sz w:val="24"/>
          <w:szCs w:val="24"/>
          <w:lang w:val="en-GB"/>
        </w:rPr>
        <w:t>2</w:t>
      </w:r>
      <w:r w:rsidRPr="00C362B0">
        <w:rPr>
          <w:rFonts w:ascii="Arial" w:hAnsi="Arial" w:cs="Arial"/>
          <w:sz w:val="24"/>
          <w:szCs w:val="24"/>
          <w:lang w:val="en-GB"/>
        </w:rPr>
        <w:fldChar w:fldCharType="end"/>
      </w:r>
      <w:r w:rsidRPr="00C362B0">
        <w:rPr>
          <w:rFonts w:ascii="Arial" w:hAnsi="Arial" w:cs="Arial"/>
          <w:sz w:val="24"/>
          <w:szCs w:val="24"/>
          <w:lang w:val="en-GB"/>
        </w:rPr>
        <w:t>.Business Objectives and Goals</w:t>
      </w:r>
      <w:bookmarkEnd w:id="18"/>
    </w:p>
    <w:tbl>
      <w:tblPr>
        <w:tblStyle w:val="TableGrid"/>
        <w:tblW w:w="0" w:type="auto"/>
        <w:tblLook w:val="04A0" w:firstRow="1" w:lastRow="0" w:firstColumn="1" w:lastColumn="0" w:noHBand="0" w:noVBand="1"/>
      </w:tblPr>
      <w:tblGrid>
        <w:gridCol w:w="4508"/>
        <w:gridCol w:w="4508"/>
      </w:tblGrid>
      <w:tr w:rsidR="009F5F32" w:rsidRPr="00C362B0" w14:paraId="61A54C70" w14:textId="77777777" w:rsidTr="009F5F32">
        <w:tc>
          <w:tcPr>
            <w:tcW w:w="4508" w:type="dxa"/>
          </w:tcPr>
          <w:p w14:paraId="55D3D395" w14:textId="77777777" w:rsidR="009F5F32" w:rsidRPr="00C362B0" w:rsidRDefault="009F5F32" w:rsidP="0023208B">
            <w:pPr>
              <w:spacing w:before="100" w:beforeAutospacing="1" w:after="100" w:afterAutospacing="1" w:line="360" w:lineRule="auto"/>
              <w:jc w:val="both"/>
              <w:rPr>
                <w:rFonts w:ascii="Arial" w:eastAsia="Times New Roman" w:hAnsi="Arial" w:cs="Arial"/>
                <w:b/>
                <w:sz w:val="24"/>
                <w:szCs w:val="24"/>
                <w:lang w:val="en-GB" w:eastAsia="en-GB"/>
              </w:rPr>
            </w:pPr>
            <w:r w:rsidRPr="00C362B0">
              <w:rPr>
                <w:rFonts w:ascii="Arial" w:eastAsia="Times New Roman" w:hAnsi="Arial" w:cs="Arial"/>
                <w:b/>
                <w:sz w:val="24"/>
                <w:szCs w:val="24"/>
                <w:lang w:val="en-GB" w:eastAsia="en-GB"/>
              </w:rPr>
              <w:t>Objective</w:t>
            </w:r>
          </w:p>
        </w:tc>
        <w:tc>
          <w:tcPr>
            <w:tcW w:w="4508" w:type="dxa"/>
          </w:tcPr>
          <w:p w14:paraId="3A68CDA0" w14:textId="77777777" w:rsidR="009F5F32" w:rsidRPr="00C362B0" w:rsidRDefault="009F5F32" w:rsidP="0023208B">
            <w:pPr>
              <w:spacing w:before="100" w:beforeAutospacing="1" w:after="100" w:afterAutospacing="1" w:line="360" w:lineRule="auto"/>
              <w:jc w:val="both"/>
              <w:rPr>
                <w:rFonts w:ascii="Arial" w:eastAsia="Times New Roman" w:hAnsi="Arial" w:cs="Arial"/>
                <w:b/>
                <w:sz w:val="24"/>
                <w:szCs w:val="24"/>
                <w:lang w:val="en-GB" w:eastAsia="en-GB"/>
              </w:rPr>
            </w:pPr>
            <w:r w:rsidRPr="00C362B0">
              <w:rPr>
                <w:rFonts w:ascii="Arial" w:eastAsia="Times New Roman" w:hAnsi="Arial" w:cs="Arial"/>
                <w:b/>
                <w:sz w:val="24"/>
                <w:szCs w:val="24"/>
                <w:lang w:val="en-GB" w:eastAsia="en-GB"/>
              </w:rPr>
              <w:t>SMART Target</w:t>
            </w:r>
          </w:p>
        </w:tc>
      </w:tr>
      <w:tr w:rsidR="009F5F32" w:rsidRPr="00C362B0" w14:paraId="4F078301" w14:textId="77777777" w:rsidTr="009F5F32">
        <w:tc>
          <w:tcPr>
            <w:tcW w:w="4508" w:type="dxa"/>
          </w:tcPr>
          <w:p w14:paraId="1D72524F"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Launch</w:t>
            </w:r>
          </w:p>
        </w:tc>
        <w:tc>
          <w:tcPr>
            <w:tcW w:w="4508" w:type="dxa"/>
          </w:tcPr>
          <w:p w14:paraId="45CC7093"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Secure suitable premises, complete setup and commence trading by 30 June 2027, subject to feasibility approval.</w:t>
            </w:r>
          </w:p>
        </w:tc>
      </w:tr>
      <w:tr w:rsidR="009F5F32" w:rsidRPr="00C362B0" w14:paraId="7641FB5B" w14:textId="77777777" w:rsidTr="009F5F32">
        <w:tc>
          <w:tcPr>
            <w:tcW w:w="4508" w:type="dxa"/>
          </w:tcPr>
          <w:p w14:paraId="6E39A1C4"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lastRenderedPageBreak/>
              <w:t>Membership</w:t>
            </w:r>
          </w:p>
        </w:tc>
        <w:tc>
          <w:tcPr>
            <w:tcW w:w="4508" w:type="dxa"/>
          </w:tcPr>
          <w:p w14:paraId="33FFC554"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Reach 500 active paying members within 12 months of launch.</w:t>
            </w:r>
          </w:p>
        </w:tc>
      </w:tr>
      <w:tr w:rsidR="009F5F32" w:rsidRPr="00C362B0" w14:paraId="10B409E7" w14:textId="77777777" w:rsidTr="009F5F32">
        <w:tc>
          <w:tcPr>
            <w:tcW w:w="4508" w:type="dxa"/>
          </w:tcPr>
          <w:p w14:paraId="5C54DC13"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Customer satisfaction</w:t>
            </w:r>
          </w:p>
        </w:tc>
        <w:tc>
          <w:tcPr>
            <w:tcW w:w="4508" w:type="dxa"/>
          </w:tcPr>
          <w:p w14:paraId="3E8BB538"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Achieve at least 90% positive satisfaction responses by the end of Year 1, measured through routine digital feedback.</w:t>
            </w:r>
          </w:p>
        </w:tc>
      </w:tr>
      <w:tr w:rsidR="009F5F32" w:rsidRPr="00C362B0" w14:paraId="286BBC84" w14:textId="77777777" w:rsidTr="009F5F32">
        <w:tc>
          <w:tcPr>
            <w:tcW w:w="4508" w:type="dxa"/>
          </w:tcPr>
          <w:p w14:paraId="65EC8D40"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Financial performance</w:t>
            </w:r>
          </w:p>
        </w:tc>
        <w:tc>
          <w:tcPr>
            <w:tcW w:w="4508" w:type="dxa"/>
          </w:tcPr>
          <w:p w14:paraId="3EF3C224"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Reach operational break-even by the end of Year 2, with the required membership level confirmed through the financial model.</w:t>
            </w:r>
          </w:p>
        </w:tc>
      </w:tr>
      <w:tr w:rsidR="009F5F32" w:rsidRPr="00C362B0" w14:paraId="54BF79EC" w14:textId="77777777" w:rsidTr="009F5F32">
        <w:tc>
          <w:tcPr>
            <w:tcW w:w="4508" w:type="dxa"/>
          </w:tcPr>
          <w:p w14:paraId="482BDAD6"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Service quality</w:t>
            </w:r>
          </w:p>
        </w:tc>
        <w:tc>
          <w:tcPr>
            <w:tcW w:w="4508" w:type="dxa"/>
          </w:tcPr>
          <w:p w14:paraId="55771723"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Ensure at least 90% of new members receive digital </w:t>
            </w:r>
            <w:proofErr w:type="spellStart"/>
            <w:r w:rsidRPr="00C362B0">
              <w:rPr>
                <w:rFonts w:ascii="Arial" w:eastAsia="Times New Roman" w:hAnsi="Arial" w:cs="Arial"/>
                <w:sz w:val="24"/>
                <w:szCs w:val="24"/>
                <w:lang w:val="en-GB" w:eastAsia="en-GB"/>
              </w:rPr>
              <w:t>onboarding</w:t>
            </w:r>
            <w:proofErr w:type="spellEnd"/>
            <w:r w:rsidRPr="00C362B0">
              <w:rPr>
                <w:rFonts w:ascii="Arial" w:eastAsia="Times New Roman" w:hAnsi="Arial" w:cs="Arial"/>
                <w:sz w:val="24"/>
                <w:szCs w:val="24"/>
                <w:lang w:val="en-GB" w:eastAsia="en-GB"/>
              </w:rPr>
              <w:t xml:space="preserve"> and an initial personalised training plan within 30 days of joining.</w:t>
            </w:r>
          </w:p>
        </w:tc>
      </w:tr>
      <w:tr w:rsidR="009F5F32" w:rsidRPr="00C362B0" w14:paraId="0E920E9D" w14:textId="77777777" w:rsidTr="009F5F32">
        <w:tc>
          <w:tcPr>
            <w:tcW w:w="4508" w:type="dxa"/>
          </w:tcPr>
          <w:p w14:paraId="50B53544"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Growth</w:t>
            </w:r>
          </w:p>
        </w:tc>
        <w:tc>
          <w:tcPr>
            <w:tcW w:w="4508" w:type="dxa"/>
          </w:tcPr>
          <w:p w14:paraId="52C94612" w14:textId="77777777" w:rsidR="009F5F32" w:rsidRPr="00C362B0" w:rsidRDefault="009F5F32"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Complete a Greater Manchester expansion assessment by the end of Year 2, using financial, market and operational evidence before any expansion decision</w:t>
            </w:r>
          </w:p>
        </w:tc>
      </w:tr>
    </w:tbl>
    <w:p w14:paraId="4C83B25C" w14:textId="10CAA935" w:rsidR="00974D5F" w:rsidRPr="00C362B0" w:rsidRDefault="00974D5F" w:rsidP="0023208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These targets are measurable milestones rather than claims of guaranteed performance. Their achievability will be tested through the subsequent financial, marketing, human capit</w:t>
      </w:r>
      <w:r w:rsidR="0023208B" w:rsidRPr="00C362B0">
        <w:rPr>
          <w:rFonts w:ascii="Arial" w:eastAsia="Times New Roman" w:hAnsi="Arial" w:cs="Arial"/>
          <w:sz w:val="24"/>
          <w:szCs w:val="24"/>
          <w:lang w:val="en-GB" w:eastAsia="en-GB"/>
        </w:rPr>
        <w:t>al and implementation analyses.</w:t>
      </w:r>
    </w:p>
    <w:p w14:paraId="03E95377" w14:textId="45C12D16" w:rsidR="00974D5F" w:rsidRPr="00C362B0" w:rsidRDefault="00974D5F" w:rsidP="0023208B">
      <w:pPr>
        <w:pStyle w:val="Heading2"/>
        <w:rPr>
          <w:rFonts w:eastAsia="Times New Roman"/>
          <w:lang w:val="en-GB" w:eastAsia="en-GB"/>
        </w:rPr>
      </w:pPr>
      <w:bookmarkStart w:id="19" w:name="_Toc239091432"/>
      <w:r w:rsidRPr="00C362B0">
        <w:rPr>
          <w:rFonts w:eastAsia="Times New Roman"/>
          <w:lang w:val="en-GB" w:eastAsia="en-GB"/>
        </w:rPr>
        <w:t>2.6 Alignment with Trends and Market Opportuni</w:t>
      </w:r>
      <w:r w:rsidR="0023208B" w:rsidRPr="00C362B0">
        <w:rPr>
          <w:rFonts w:eastAsia="Times New Roman"/>
          <w:lang w:val="en-GB" w:eastAsia="en-GB"/>
        </w:rPr>
        <w:t>ty</w:t>
      </w:r>
      <w:bookmarkEnd w:id="19"/>
    </w:p>
    <w:p w14:paraId="348EAE0E" w14:textId="6A256AED" w:rsidR="00974D5F" w:rsidRPr="00C362B0" w:rsidRDefault="0023208B" w:rsidP="0023208B">
      <w:p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is in sync with the evolution of the industry towards technology-driven, personalized and flexible fitness. In 2024, the UK market had grown to 11.5 million members and in 2025, the total membership for the wider European market continued to increase (</w:t>
      </w:r>
      <w:proofErr w:type="spellStart"/>
      <w:r w:rsidRPr="00C362B0">
        <w:rPr>
          <w:rFonts w:ascii="Arial" w:eastAsia="Times New Roman" w:hAnsi="Arial" w:cs="Arial"/>
          <w:sz w:val="24"/>
          <w:szCs w:val="24"/>
          <w:lang w:val="en-GB" w:eastAsia="en-GB"/>
        </w:rPr>
        <w:t>ukactive</w:t>
      </w:r>
      <w:proofErr w:type="spellEnd"/>
      <w:r w:rsidRPr="00C362B0">
        <w:rPr>
          <w:rFonts w:ascii="Arial" w:eastAsia="Times New Roman" w:hAnsi="Arial" w:cs="Arial"/>
          <w:sz w:val="24"/>
          <w:szCs w:val="24"/>
          <w:lang w:val="en-GB" w:eastAsia="en-GB"/>
        </w:rPr>
        <w:t xml:space="preserve">, 2025; </w:t>
      </w:r>
      <w:proofErr w:type="spellStart"/>
      <w:r w:rsidRPr="00C362B0">
        <w:rPr>
          <w:rFonts w:ascii="Arial" w:eastAsia="Times New Roman" w:hAnsi="Arial" w:cs="Arial"/>
          <w:sz w:val="24"/>
          <w:szCs w:val="24"/>
          <w:lang w:val="en-GB" w:eastAsia="en-GB"/>
        </w:rPr>
        <w:t>EuropeActive</w:t>
      </w:r>
      <w:proofErr w:type="spellEnd"/>
      <w:r w:rsidRPr="00C362B0">
        <w:rPr>
          <w:rFonts w:ascii="Arial" w:eastAsia="Times New Roman" w:hAnsi="Arial" w:cs="Arial"/>
          <w:sz w:val="24"/>
          <w:szCs w:val="24"/>
          <w:lang w:val="en-GB" w:eastAsia="en-GB"/>
        </w:rPr>
        <w:t xml:space="preserve"> and Deloitte, 2026). The use of wearables and AI can aid data-informed personalisation, and hybrid delivery can offer more flexibility. But this is already happening in the local market: </w:t>
      </w:r>
      <w:proofErr w:type="spellStart"/>
      <w:r w:rsidRPr="00C362B0">
        <w:rPr>
          <w:rFonts w:ascii="Arial" w:eastAsia="Times New Roman" w:hAnsi="Arial" w:cs="Arial"/>
          <w:sz w:val="24"/>
          <w:szCs w:val="24"/>
          <w:lang w:val="en-GB" w:eastAsia="en-GB"/>
        </w:rPr>
        <w:t>Jetts</w:t>
      </w:r>
      <w:proofErr w:type="spellEnd"/>
      <w:r w:rsidRPr="00C362B0">
        <w:rPr>
          <w:rFonts w:ascii="Arial" w:eastAsia="Times New Roman" w:hAnsi="Arial" w:cs="Arial"/>
          <w:sz w:val="24"/>
          <w:szCs w:val="24"/>
          <w:lang w:val="en-GB" w:eastAsia="en-GB"/>
        </w:rPr>
        <w:t xml:space="preserve"> </w:t>
      </w:r>
      <w:proofErr w:type="spellStart"/>
      <w:r w:rsidRPr="00C362B0">
        <w:rPr>
          <w:rFonts w:ascii="Arial" w:eastAsia="Times New Roman" w:hAnsi="Arial" w:cs="Arial"/>
          <w:sz w:val="24"/>
          <w:szCs w:val="24"/>
          <w:lang w:val="en-GB" w:eastAsia="en-GB"/>
        </w:rPr>
        <w:t>Levenshulme</w:t>
      </w:r>
      <w:proofErr w:type="spellEnd"/>
      <w:r w:rsidRPr="00C362B0">
        <w:rPr>
          <w:rFonts w:ascii="Arial" w:eastAsia="Times New Roman" w:hAnsi="Arial" w:cs="Arial"/>
          <w:sz w:val="24"/>
          <w:szCs w:val="24"/>
          <w:lang w:val="en-GB" w:eastAsia="en-GB"/>
        </w:rPr>
        <w:t xml:space="preserve"> is a connected provider of equipment, classes and 24/7 access. </w:t>
      </w:r>
      <w:proofErr w:type="spellStart"/>
      <w:r w:rsidR="00F955BB" w:rsidRPr="00C362B0">
        <w:rPr>
          <w:rFonts w:ascii="Arial" w:eastAsia="Times New Roman" w:hAnsi="Arial" w:cs="Arial"/>
          <w:sz w:val="24"/>
          <w:szCs w:val="24"/>
          <w:lang w:val="en-GB" w:eastAsia="en-GB"/>
        </w:rPr>
        <w:t>FitLife</w:t>
      </w:r>
      <w:proofErr w:type="spellEnd"/>
      <w:r w:rsidR="00F955BB" w:rsidRPr="00C362B0">
        <w:rPr>
          <w:rFonts w:ascii="Arial" w:eastAsia="Times New Roman" w:hAnsi="Arial" w:cs="Arial"/>
          <w:sz w:val="24"/>
          <w:szCs w:val="24"/>
          <w:lang w:val="en-GB" w:eastAsia="en-GB"/>
        </w:rPr>
        <w:t xml:space="preserve"> will therefore need to demonstrate that its AI-assisted coaching, wearable integration, human support and </w:t>
      </w:r>
      <w:r w:rsidR="00F955BB" w:rsidRPr="00C362B0">
        <w:rPr>
          <w:rFonts w:ascii="Arial" w:eastAsia="Times New Roman" w:hAnsi="Arial" w:cs="Arial"/>
          <w:sz w:val="24"/>
          <w:szCs w:val="24"/>
          <w:lang w:val="en-GB" w:eastAsia="en-GB"/>
        </w:rPr>
        <w:lastRenderedPageBreak/>
        <w:t>pricing provide sufficient additional value. This is not assumed and will be assessed through the following chapters of the BDP</w:t>
      </w:r>
      <w:r w:rsidR="00974D5F" w:rsidRPr="00C362B0">
        <w:rPr>
          <w:rFonts w:ascii="Arial" w:eastAsia="Times New Roman" w:hAnsi="Arial" w:cs="Arial"/>
          <w:sz w:val="24"/>
          <w:szCs w:val="24"/>
          <w:lang w:val="en-GB" w:eastAsia="en-GB"/>
        </w:rPr>
        <w:t>.</w:t>
      </w:r>
    </w:p>
    <w:p w14:paraId="3883F43E" w14:textId="5220A574"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49782496" w14:textId="5051AB9C"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68314CEC" w14:textId="1AD836D1"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73BB9D8E" w14:textId="1A1B853A"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2CD2AEE1" w14:textId="2A1877F0"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07BE04D6" w14:textId="0D22E442"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0E9B6072" w14:textId="2DB5952D"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2A28A389" w14:textId="34071C9E"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0FE1A647" w14:textId="46E4CCC7"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5290CEE0" w14:textId="432ACAF7"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5BB932AE" w14:textId="6FF651EA"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57B15E24" w14:textId="4E9C839E"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65723324" w14:textId="2F86D1D1"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622C152B" w14:textId="19D3A945"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68118472" w14:textId="12C43D7B"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0D776636" w14:textId="30862565" w:rsidR="00396281" w:rsidRPr="00C362B0" w:rsidRDefault="00396281" w:rsidP="0023208B">
      <w:pPr>
        <w:spacing w:before="100" w:beforeAutospacing="1" w:after="100" w:afterAutospacing="1" w:line="360" w:lineRule="auto"/>
        <w:jc w:val="both"/>
        <w:rPr>
          <w:rFonts w:ascii="Arial" w:eastAsia="Times New Roman" w:hAnsi="Arial" w:cs="Arial"/>
          <w:sz w:val="24"/>
          <w:szCs w:val="24"/>
          <w:lang w:val="en-GB" w:eastAsia="en-GB"/>
        </w:rPr>
      </w:pPr>
    </w:p>
    <w:p w14:paraId="665C336D" w14:textId="759C3ECB" w:rsidR="00904BE5" w:rsidRPr="00C362B0" w:rsidRDefault="00EE5DE2" w:rsidP="00EE5DE2">
      <w:pPr>
        <w:pStyle w:val="Heading1"/>
        <w:jc w:val="center"/>
        <w:rPr>
          <w:rFonts w:eastAsia="Times New Roman"/>
          <w:lang w:val="en-GB" w:eastAsia="en-GB"/>
        </w:rPr>
      </w:pPr>
      <w:bookmarkStart w:id="20" w:name="_Toc239091433"/>
      <w:r w:rsidRPr="00C362B0">
        <w:rPr>
          <w:rFonts w:eastAsia="Times New Roman"/>
          <w:lang w:val="en-GB" w:eastAsia="en-GB"/>
        </w:rPr>
        <w:lastRenderedPageBreak/>
        <w:t>3</w:t>
      </w:r>
      <w:r w:rsidR="00904BE5" w:rsidRPr="00C362B0">
        <w:rPr>
          <w:rFonts w:eastAsia="Times New Roman"/>
          <w:lang w:val="en-GB" w:eastAsia="en-GB"/>
        </w:rPr>
        <w:t>. Literature Review</w:t>
      </w:r>
      <w:bookmarkEnd w:id="20"/>
    </w:p>
    <w:p w14:paraId="4BC47E6C" w14:textId="2EA6F31B" w:rsidR="00904BE5" w:rsidRPr="00C362B0" w:rsidRDefault="00EE5DE2" w:rsidP="00EE5DE2">
      <w:pPr>
        <w:pStyle w:val="Heading2"/>
        <w:rPr>
          <w:rFonts w:eastAsia="Times New Roman"/>
          <w:lang w:val="en-GB" w:eastAsia="en-GB"/>
        </w:rPr>
      </w:pPr>
      <w:bookmarkStart w:id="21" w:name="_Toc239091434"/>
      <w:r w:rsidRPr="00C362B0">
        <w:rPr>
          <w:rFonts w:eastAsia="Times New Roman"/>
          <w:lang w:val="en-GB" w:eastAsia="en-GB"/>
        </w:rPr>
        <w:t>3</w:t>
      </w:r>
      <w:r w:rsidR="00904BE5" w:rsidRPr="00C362B0">
        <w:rPr>
          <w:rFonts w:eastAsia="Times New Roman"/>
          <w:lang w:val="en-GB" w:eastAsia="en-GB"/>
        </w:rPr>
        <w:t>.1 Introduction to the Literature Review</w:t>
      </w:r>
      <w:bookmarkEnd w:id="21"/>
    </w:p>
    <w:p w14:paraId="537B665E" w14:textId="24A51D63" w:rsidR="00904BE5" w:rsidRPr="00C362B0" w:rsidRDefault="004A6E35" w:rsidP="00904BE5">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The literature review establishes the theoretical basis for evaluating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Smart Gym, focusing on the integration of artificial intelligence, wearable technology, personalised coaching and digital health support. TAM, HBM, SDT and SERVQUAL provide perspectives on technology acceptance, health behaviour, motivation and service quality. PESTLE, Porter’s Five Forces, VRIO, SWOT and the Business Model Canvas will support subsequent analysis of the external environment, competition, capabilities, strategy and value creation</w:t>
      </w:r>
      <w:r w:rsidR="00EE5DE2" w:rsidRPr="00C362B0">
        <w:rPr>
          <w:rFonts w:ascii="Arial" w:eastAsia="Times New Roman" w:hAnsi="Arial" w:cs="Arial"/>
          <w:sz w:val="24"/>
          <w:szCs w:val="24"/>
          <w:lang w:val="en-GB" w:eastAsia="en-GB"/>
        </w:rPr>
        <w:t>.</w:t>
      </w:r>
    </w:p>
    <w:p w14:paraId="3555D12F" w14:textId="08D4404B" w:rsidR="00904BE5" w:rsidRPr="00C362B0" w:rsidRDefault="00EE5DE2" w:rsidP="00EE5DE2">
      <w:pPr>
        <w:pStyle w:val="Heading2"/>
        <w:rPr>
          <w:rFonts w:eastAsia="Times New Roman"/>
          <w:lang w:val="en-GB" w:eastAsia="en-GB"/>
        </w:rPr>
      </w:pPr>
      <w:bookmarkStart w:id="22" w:name="_Toc239091435"/>
      <w:r w:rsidRPr="00C362B0">
        <w:rPr>
          <w:rFonts w:eastAsia="Times New Roman"/>
          <w:lang w:val="en-GB" w:eastAsia="en-GB"/>
        </w:rPr>
        <w:t>3</w:t>
      </w:r>
      <w:r w:rsidR="00904BE5" w:rsidRPr="00C362B0">
        <w:rPr>
          <w:rFonts w:eastAsia="Times New Roman"/>
          <w:lang w:val="en-GB" w:eastAsia="en-GB"/>
        </w:rPr>
        <w:t>.2 Technology Acceptance Model (TAM)</w:t>
      </w:r>
      <w:bookmarkEnd w:id="22"/>
    </w:p>
    <w:p w14:paraId="65D4B1C3" w14:textId="6C15CA1C" w:rsidR="007F00D9" w:rsidRPr="00C362B0" w:rsidRDefault="007F00D9" w:rsidP="007F00D9">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Davis’ (1989) Technology Acceptance Model (TAM) explains technology adoption through perceived usefulness and perceived ease of use. Perceived usefulness refers to whether users believe technology improves their performance, while perceived ease of use concerns the effort required to use it (Davis, 1989). Later research also supports the importance of these constructs in explaining digital technology adoption (</w:t>
      </w:r>
      <w:proofErr w:type="spellStart"/>
      <w:r w:rsidRPr="00C362B0">
        <w:rPr>
          <w:rFonts w:ascii="Arial" w:eastAsia="Times New Roman" w:hAnsi="Arial" w:cs="Arial"/>
          <w:sz w:val="24"/>
          <w:szCs w:val="24"/>
          <w:lang w:val="en-GB" w:eastAsia="en-GB"/>
        </w:rPr>
        <w:t>Venkatesh</w:t>
      </w:r>
      <w:proofErr w:type="spellEnd"/>
      <w:r w:rsidRPr="00C362B0">
        <w:rPr>
          <w:rFonts w:ascii="Arial" w:eastAsia="Times New Roman" w:hAnsi="Arial" w:cs="Arial"/>
          <w:sz w:val="24"/>
          <w:szCs w:val="24"/>
          <w:lang w:val="en-GB" w:eastAsia="en-GB"/>
        </w:rPr>
        <w:t xml:space="preserve"> and Davis, 2000).</w:t>
      </w:r>
    </w:p>
    <w:p w14:paraId="426B4083" w14:textId="1A8616BA" w:rsidR="007F00D9" w:rsidRPr="00C362B0" w:rsidRDefault="007F00D9" w:rsidP="007F00D9">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TAM is relevant to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because its mobile app, AI-powered coaching and wearable integration require customer acceptance. If users perceive AI workout recommendations and wearable monitoring as useful and easy to use, adoption may increase. Conversely, complex interfaces, excessive data requirements or unclear recommendations may reduce uptake</w:t>
      </w:r>
    </w:p>
    <w:p w14:paraId="6C581831" w14:textId="145C62F7" w:rsidR="00904BE5" w:rsidRPr="00C362B0" w:rsidRDefault="007F00D9" w:rsidP="007F00D9">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However, TAM primarily explains technology acceptance rather than sustained participation in physical fitness activities. Therefore, TAM alone cannot fully explain long-term engagement or retention. For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it will be complemented by Self-Determination Theory, which provides greater insight into motivation and continued participation</w:t>
      </w:r>
      <w:r w:rsidR="00DE1821" w:rsidRPr="00C362B0">
        <w:rPr>
          <w:rFonts w:ascii="Arial" w:eastAsia="Times New Roman" w:hAnsi="Arial" w:cs="Arial"/>
          <w:sz w:val="24"/>
          <w:szCs w:val="24"/>
          <w:lang w:val="en-GB" w:eastAsia="en-GB"/>
        </w:rPr>
        <w:t>.</w:t>
      </w:r>
    </w:p>
    <w:p w14:paraId="768F68B2" w14:textId="05B86A29" w:rsidR="00904BE5" w:rsidRPr="00C362B0" w:rsidRDefault="00EE5DE2" w:rsidP="00EE5DE2">
      <w:pPr>
        <w:pStyle w:val="Heading2"/>
        <w:rPr>
          <w:rFonts w:eastAsia="Times New Roman"/>
          <w:lang w:val="en-GB" w:eastAsia="en-GB"/>
        </w:rPr>
      </w:pPr>
      <w:bookmarkStart w:id="23" w:name="_Toc239091436"/>
      <w:r w:rsidRPr="00C362B0">
        <w:rPr>
          <w:rFonts w:eastAsia="Times New Roman"/>
          <w:lang w:val="en-GB" w:eastAsia="en-GB"/>
        </w:rPr>
        <w:t>3</w:t>
      </w:r>
      <w:r w:rsidR="00904BE5" w:rsidRPr="00C362B0">
        <w:rPr>
          <w:rFonts w:eastAsia="Times New Roman"/>
          <w:lang w:val="en-GB" w:eastAsia="en-GB"/>
        </w:rPr>
        <w:t>.3 Health Belief Model (HBM)</w:t>
      </w:r>
      <w:bookmarkEnd w:id="23"/>
    </w:p>
    <w:p w14:paraId="4572DDCD" w14:textId="210356E7" w:rsidR="002B623B" w:rsidRPr="00C362B0" w:rsidRDefault="004257F5" w:rsidP="002B623B">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The Health Belief Model (HBM) explains health-related behaviour through perceptions of susceptibility, severity, benefits, barriers, cues to action and self-efficacy </w:t>
      </w:r>
      <w:r w:rsidRPr="00C362B0">
        <w:rPr>
          <w:rFonts w:ascii="Arial" w:eastAsia="Times New Roman" w:hAnsi="Arial" w:cs="Arial"/>
          <w:sz w:val="24"/>
          <w:szCs w:val="24"/>
          <w:lang w:val="en-GB" w:eastAsia="en-GB"/>
        </w:rPr>
        <w:lastRenderedPageBreak/>
        <w:t>(</w:t>
      </w:r>
      <w:proofErr w:type="spellStart"/>
      <w:r w:rsidRPr="00C362B0">
        <w:rPr>
          <w:rFonts w:ascii="Arial" w:eastAsia="Times New Roman" w:hAnsi="Arial" w:cs="Arial"/>
          <w:sz w:val="24"/>
          <w:szCs w:val="24"/>
          <w:lang w:val="en-GB" w:eastAsia="en-GB"/>
        </w:rPr>
        <w:t>Rosenstock</w:t>
      </w:r>
      <w:proofErr w:type="spellEnd"/>
      <w:r w:rsidRPr="00C362B0">
        <w:rPr>
          <w:rFonts w:ascii="Arial" w:eastAsia="Times New Roman" w:hAnsi="Arial" w:cs="Arial"/>
          <w:sz w:val="24"/>
          <w:szCs w:val="24"/>
          <w:lang w:val="en-GB" w:eastAsia="en-GB"/>
        </w:rPr>
        <w:t xml:space="preserve">, </w:t>
      </w:r>
      <w:proofErr w:type="spellStart"/>
      <w:r w:rsidRPr="00C362B0">
        <w:rPr>
          <w:rFonts w:ascii="Arial" w:eastAsia="Times New Roman" w:hAnsi="Arial" w:cs="Arial"/>
          <w:sz w:val="24"/>
          <w:szCs w:val="24"/>
          <w:lang w:val="en-GB" w:eastAsia="en-GB"/>
        </w:rPr>
        <w:t>Strecher</w:t>
      </w:r>
      <w:proofErr w:type="spellEnd"/>
      <w:r w:rsidRPr="00C362B0">
        <w:rPr>
          <w:rFonts w:ascii="Arial" w:eastAsia="Times New Roman" w:hAnsi="Arial" w:cs="Arial"/>
          <w:sz w:val="24"/>
          <w:szCs w:val="24"/>
          <w:lang w:val="en-GB" w:eastAsia="en-GB"/>
        </w:rPr>
        <w:t xml:space="preserve"> and Becker, 1988). It suggests that individuals are more likely to adopt health behaviours when they recognise potential health risks, perceive these risks as serious, believe that action will provide benefits and consider barriers manageable. HBM is relevant to </w:t>
      </w:r>
      <w:proofErr w:type="spellStart"/>
      <w:r w:rsidRPr="00C362B0">
        <w:rPr>
          <w:rFonts w:ascii="Arial" w:eastAsia="Times New Roman" w:hAnsi="Arial" w:cs="Arial"/>
          <w:sz w:val="24"/>
          <w:szCs w:val="24"/>
          <w:lang w:val="en-GB" w:eastAsia="en-GB"/>
        </w:rPr>
        <w:t>FitLife’s</w:t>
      </w:r>
      <w:proofErr w:type="spellEnd"/>
      <w:r w:rsidRPr="00C362B0">
        <w:rPr>
          <w:rFonts w:ascii="Arial" w:eastAsia="Times New Roman" w:hAnsi="Arial" w:cs="Arial"/>
          <w:sz w:val="24"/>
          <w:szCs w:val="24"/>
          <w:lang w:val="en-GB" w:eastAsia="en-GB"/>
        </w:rPr>
        <w:t xml:space="preserve"> preventive health and wellness positioning because personalised fitness guidance and wellness coaching can highlight the benefits of regular exercise and healthier lifestyles. Personalised support may strengthen self-efficacy, while digital reminders and progress notifications can act as cues to action. However, affordability, time, motivation and accessibility may remain barriers. HBM focuses primarily on individual perceptions of health risks and benefits and may not fully explain social motivation or continued engagement with fitness services. Therefore, it is used alongside SDT to provide a broader understanding of customer behaviour</w:t>
      </w:r>
      <w:r w:rsidR="00EE5DE2" w:rsidRPr="00C362B0">
        <w:rPr>
          <w:rFonts w:ascii="Arial" w:eastAsia="Times New Roman" w:hAnsi="Arial" w:cs="Arial"/>
          <w:sz w:val="24"/>
          <w:szCs w:val="24"/>
          <w:lang w:val="en-GB" w:eastAsia="en-GB"/>
        </w:rPr>
        <w:t>.</w:t>
      </w:r>
    </w:p>
    <w:p w14:paraId="29EB727C" w14:textId="3E1D6360" w:rsidR="002B623B" w:rsidRPr="00C362B0" w:rsidRDefault="00EE5DE2" w:rsidP="002B623B">
      <w:pPr>
        <w:spacing w:before="100" w:beforeAutospacing="1" w:after="100" w:afterAutospacing="1" w:line="360" w:lineRule="auto"/>
        <w:jc w:val="both"/>
        <w:rPr>
          <w:rFonts w:ascii="Arial" w:eastAsia="Times New Roman" w:hAnsi="Arial" w:cs="Arial"/>
          <w:sz w:val="24"/>
          <w:szCs w:val="24"/>
          <w:lang w:val="en-GB" w:eastAsia="en-GB"/>
        </w:rPr>
      </w:pPr>
      <w:bookmarkStart w:id="24" w:name="_Toc239091437"/>
      <w:r w:rsidRPr="00C362B0">
        <w:rPr>
          <w:rStyle w:val="Heading2Char"/>
          <w:lang w:val="en-GB" w:eastAsia="en-GB"/>
        </w:rPr>
        <w:t>3</w:t>
      </w:r>
      <w:r w:rsidR="002B623B" w:rsidRPr="00C362B0">
        <w:rPr>
          <w:rStyle w:val="Heading2Char"/>
          <w:lang w:val="en-GB" w:eastAsia="en-GB"/>
        </w:rPr>
        <w:t>.4 Self-Determination Theory (SDT</w:t>
      </w:r>
      <w:bookmarkEnd w:id="24"/>
      <w:r w:rsidRPr="00C362B0">
        <w:rPr>
          <w:rFonts w:ascii="Arial" w:eastAsia="Times New Roman" w:hAnsi="Arial" w:cs="Arial"/>
          <w:sz w:val="24"/>
          <w:szCs w:val="24"/>
          <w:lang w:val="en-GB" w:eastAsia="en-GB"/>
        </w:rPr>
        <w:t>)</w:t>
      </w:r>
    </w:p>
    <w:p w14:paraId="33318C18" w14:textId="30A8445E" w:rsidR="00904BE5" w:rsidRPr="00C362B0" w:rsidRDefault="0024412D" w:rsidP="00904BE5">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Self-Determination Theory proposes that sustained motivation is influenced by three psychological needs: autonomy, competence and relatedness (Ryan and </w:t>
      </w:r>
      <w:proofErr w:type="spellStart"/>
      <w:r w:rsidRPr="00C362B0">
        <w:rPr>
          <w:rFonts w:ascii="Arial" w:eastAsia="Times New Roman" w:hAnsi="Arial" w:cs="Arial"/>
          <w:sz w:val="24"/>
          <w:szCs w:val="24"/>
          <w:lang w:val="en-GB" w:eastAsia="en-GB"/>
        </w:rPr>
        <w:t>Deci</w:t>
      </w:r>
      <w:proofErr w:type="spellEnd"/>
      <w:r w:rsidRPr="00C362B0">
        <w:rPr>
          <w:rFonts w:ascii="Arial" w:eastAsia="Times New Roman" w:hAnsi="Arial" w:cs="Arial"/>
          <w:sz w:val="24"/>
          <w:szCs w:val="24"/>
          <w:lang w:val="en-GB" w:eastAsia="en-GB"/>
        </w:rPr>
        <w:t xml:space="preserve">, 2020). Autonomy refers to having control over one’s actions, competence concerns feeling capable of achieving desired outcomes, and relatedness reflects meaningful social connection. SDT is highly relevant to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because motivation, engagement and retention are important for sustained gym participation. Personalised coaching can support autonomy by allowing members to select individual goals and activities, while AI-assisted progress monitoring and achievable recommendations can strengthen competence. Human trainers and group classes can promote relatedness through professional and social support. Nevertheless, SDT does not directly address technology acceptance or competitive conditions. It is therefore used alongside TAM and strategic frameworks to provide a broader explanation of customer engagement</w:t>
      </w:r>
      <w:r w:rsidR="00904BE5" w:rsidRPr="00C362B0">
        <w:rPr>
          <w:rFonts w:ascii="Arial" w:eastAsia="Times New Roman" w:hAnsi="Arial" w:cs="Arial"/>
          <w:sz w:val="24"/>
          <w:szCs w:val="24"/>
          <w:lang w:val="en-GB" w:eastAsia="en-GB"/>
        </w:rPr>
        <w:t>.</w:t>
      </w:r>
    </w:p>
    <w:p w14:paraId="1B16D7F4" w14:textId="2BA5527C" w:rsidR="00904BE5" w:rsidRPr="00C362B0" w:rsidRDefault="00EE5DE2" w:rsidP="00EE5DE2">
      <w:pPr>
        <w:pStyle w:val="Heading2"/>
        <w:rPr>
          <w:rFonts w:eastAsia="Times New Roman"/>
          <w:lang w:val="en-GB" w:eastAsia="en-GB"/>
        </w:rPr>
      </w:pPr>
      <w:bookmarkStart w:id="25" w:name="_Toc239091438"/>
      <w:r w:rsidRPr="00C362B0">
        <w:rPr>
          <w:rFonts w:eastAsia="Times New Roman"/>
          <w:lang w:val="en-GB" w:eastAsia="en-GB"/>
        </w:rPr>
        <w:t>3</w:t>
      </w:r>
      <w:r w:rsidR="00904BE5" w:rsidRPr="00C362B0">
        <w:rPr>
          <w:rFonts w:eastAsia="Times New Roman"/>
          <w:lang w:val="en-GB" w:eastAsia="en-GB"/>
        </w:rPr>
        <w:t>.5 SERVQUAL and Service Quality Theory</w:t>
      </w:r>
      <w:bookmarkEnd w:id="25"/>
    </w:p>
    <w:p w14:paraId="65943692" w14:textId="0A78C24B" w:rsidR="008B67AC" w:rsidRPr="00C362B0" w:rsidRDefault="00DA6228" w:rsidP="008B67AC">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The five dimensions of SERVQUAL are reliability, responsiveness, assurance, empathy and tangibles (</w:t>
      </w:r>
      <w:proofErr w:type="spellStart"/>
      <w:r w:rsidRPr="00C362B0">
        <w:rPr>
          <w:rFonts w:ascii="Arial" w:eastAsia="Times New Roman" w:hAnsi="Arial" w:cs="Arial"/>
          <w:sz w:val="24"/>
          <w:szCs w:val="24"/>
          <w:lang w:val="en-GB" w:eastAsia="en-GB"/>
        </w:rPr>
        <w:t>Parasuraman</w:t>
      </w:r>
      <w:proofErr w:type="spellEnd"/>
      <w:r w:rsidRPr="00C362B0">
        <w:rPr>
          <w:rFonts w:ascii="Arial" w:eastAsia="Times New Roman" w:hAnsi="Arial" w:cs="Arial"/>
          <w:sz w:val="24"/>
          <w:szCs w:val="24"/>
          <w:lang w:val="en-GB" w:eastAsia="en-GB"/>
        </w:rPr>
        <w:t xml:space="preserve">, </w:t>
      </w:r>
      <w:proofErr w:type="spellStart"/>
      <w:r w:rsidRPr="00C362B0">
        <w:rPr>
          <w:rFonts w:ascii="Arial" w:eastAsia="Times New Roman" w:hAnsi="Arial" w:cs="Arial"/>
          <w:sz w:val="24"/>
          <w:szCs w:val="24"/>
          <w:lang w:val="en-GB" w:eastAsia="en-GB"/>
        </w:rPr>
        <w:t>Zeithaml</w:t>
      </w:r>
      <w:proofErr w:type="spellEnd"/>
      <w:r w:rsidRPr="00C362B0">
        <w:rPr>
          <w:rFonts w:ascii="Arial" w:eastAsia="Times New Roman" w:hAnsi="Arial" w:cs="Arial"/>
          <w:sz w:val="24"/>
          <w:szCs w:val="24"/>
          <w:lang w:val="en-GB" w:eastAsia="en-GB"/>
        </w:rPr>
        <w:t xml:space="preserve"> and Berry, 1988). Reliability concerns delivering promised services, responsiveness concerns helping customers promptly, assurance reflects staff knowledge and professionalism, empathy concerns individual attention, and tangibles include physical facilities and equipment. SERVQUAL is </w:t>
      </w:r>
      <w:r w:rsidRPr="00C362B0">
        <w:rPr>
          <w:rFonts w:ascii="Arial" w:eastAsia="Times New Roman" w:hAnsi="Arial" w:cs="Arial"/>
          <w:sz w:val="24"/>
          <w:szCs w:val="24"/>
          <w:lang w:val="en-GB" w:eastAsia="en-GB"/>
        </w:rPr>
        <w:lastRenderedPageBreak/>
        <w:t xml:space="preserve">relevant to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because customer satisfaction will depend not only on technology but also on equipment reliability, staff behaviour, AI recommendation accuracy and personalised support. Human oversight of AI-generated recommendations can strengthen assurance, while personalised training can support empathy. SERVQUAL can therefore help assess service expectations and identify areas for differentiation. However, SERVQUAL was developed primarily for evaluating service quality and may require adaptation for </w:t>
      </w:r>
      <w:proofErr w:type="spellStart"/>
      <w:r w:rsidRPr="00C362B0">
        <w:rPr>
          <w:rFonts w:ascii="Arial" w:eastAsia="Times New Roman" w:hAnsi="Arial" w:cs="Arial"/>
          <w:sz w:val="24"/>
          <w:szCs w:val="24"/>
          <w:lang w:val="en-GB" w:eastAsia="en-GB"/>
        </w:rPr>
        <w:t>FitLife’s</w:t>
      </w:r>
      <w:proofErr w:type="spellEnd"/>
      <w:r w:rsidRPr="00C362B0">
        <w:rPr>
          <w:rFonts w:ascii="Arial" w:eastAsia="Times New Roman" w:hAnsi="Arial" w:cs="Arial"/>
          <w:sz w:val="24"/>
          <w:szCs w:val="24"/>
          <w:lang w:val="en-GB" w:eastAsia="en-GB"/>
        </w:rPr>
        <w:t xml:space="preserve"> hybrid model, combining physical services with AI, mobile applications and wearable technologies. Digital usability, technology reliability and data-related trust may therefore complement traditional SERVQUAL dimensions</w:t>
      </w:r>
      <w:r w:rsidR="00EE5DE2" w:rsidRPr="00C362B0">
        <w:rPr>
          <w:rFonts w:ascii="Arial" w:eastAsia="Times New Roman" w:hAnsi="Arial" w:cs="Arial"/>
          <w:sz w:val="24"/>
          <w:szCs w:val="24"/>
          <w:lang w:val="en-GB" w:eastAsia="en-GB"/>
        </w:rPr>
        <w:t>.</w:t>
      </w:r>
    </w:p>
    <w:p w14:paraId="1A9DE81F" w14:textId="62A7EE69" w:rsidR="008B67AC" w:rsidRPr="00C362B0" w:rsidRDefault="00EE5DE2" w:rsidP="00EE5DE2">
      <w:pPr>
        <w:pStyle w:val="Heading2"/>
        <w:rPr>
          <w:rFonts w:eastAsia="Times New Roman"/>
          <w:lang w:val="en-GB" w:eastAsia="en-GB"/>
        </w:rPr>
      </w:pPr>
      <w:bookmarkStart w:id="26" w:name="_Toc239091439"/>
      <w:r w:rsidRPr="00C362B0">
        <w:rPr>
          <w:rFonts w:eastAsia="Times New Roman"/>
          <w:lang w:val="en-GB" w:eastAsia="en-GB"/>
        </w:rPr>
        <w:t>3</w:t>
      </w:r>
      <w:r w:rsidR="008B67AC" w:rsidRPr="00C362B0">
        <w:rPr>
          <w:rFonts w:eastAsia="Times New Roman"/>
          <w:lang w:val="en-GB" w:eastAsia="en-GB"/>
        </w:rPr>
        <w:t>.6 Strategic Frameworks</w:t>
      </w:r>
      <w:bookmarkEnd w:id="26"/>
    </w:p>
    <w:p w14:paraId="1828A230" w14:textId="68B77EB5" w:rsidR="00AF6385" w:rsidRPr="00C362B0" w:rsidRDefault="00AF6385" w:rsidP="00EE109D">
      <w:pPr>
        <w:spacing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Several practical frameworks will support the later strategic analysis of </w:t>
      </w:r>
      <w:proofErr w:type="spellStart"/>
      <w:r w:rsidRPr="00C362B0">
        <w:rPr>
          <w:rFonts w:ascii="Arial" w:eastAsia="Times New Roman" w:hAnsi="Arial" w:cs="Arial"/>
          <w:sz w:val="24"/>
          <w:szCs w:val="24"/>
          <w:lang w:val="en-GB" w:eastAsia="en-GB"/>
        </w:rPr>
        <w:t>FitLife</w:t>
      </w:r>
      <w:proofErr w:type="spellEnd"/>
      <w:r w:rsidRPr="00C362B0">
        <w:rPr>
          <w:rFonts w:ascii="Arial" w:eastAsia="Times New Roman" w:hAnsi="Arial" w:cs="Arial"/>
          <w:sz w:val="24"/>
          <w:szCs w:val="24"/>
          <w:lang w:val="en-GB" w:eastAsia="en-GB"/>
        </w:rPr>
        <w:t xml:space="preserve"> Smart Gym.</w:t>
      </w:r>
    </w:p>
    <w:p w14:paraId="3DFBE390" w14:textId="661BF017" w:rsidR="00AF6385" w:rsidRPr="00C362B0" w:rsidRDefault="00AF6385" w:rsidP="00EE109D">
      <w:pPr>
        <w:spacing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PESTLE</w:t>
      </w:r>
      <w:r w:rsidRPr="00C362B0">
        <w:rPr>
          <w:rFonts w:ascii="Arial" w:eastAsia="Times New Roman" w:hAnsi="Arial" w:cs="Arial"/>
          <w:sz w:val="24"/>
          <w:szCs w:val="24"/>
          <w:lang w:val="en-GB" w:eastAsia="en-GB"/>
        </w:rPr>
        <w:t xml:space="preserve"> will assess the political, economic, social, technological, legal and environmental factors affecting </w:t>
      </w:r>
      <w:proofErr w:type="spellStart"/>
      <w:r w:rsidRPr="00C362B0">
        <w:rPr>
          <w:rFonts w:ascii="Arial" w:eastAsia="Times New Roman" w:hAnsi="Arial" w:cs="Arial"/>
          <w:sz w:val="24"/>
          <w:szCs w:val="24"/>
          <w:lang w:val="en-GB" w:eastAsia="en-GB"/>
        </w:rPr>
        <w:t>FitLife’s</w:t>
      </w:r>
      <w:proofErr w:type="spellEnd"/>
      <w:r w:rsidRPr="00C362B0">
        <w:rPr>
          <w:rFonts w:ascii="Arial" w:eastAsia="Times New Roman" w:hAnsi="Arial" w:cs="Arial"/>
          <w:sz w:val="24"/>
          <w:szCs w:val="24"/>
          <w:lang w:val="en-GB" w:eastAsia="en-GB"/>
        </w:rPr>
        <w:t xml:space="preserve"> external environment in Chapter 6.</w:t>
      </w:r>
    </w:p>
    <w:p w14:paraId="122DB05E" w14:textId="633C0CDE" w:rsidR="00AF6385" w:rsidRPr="00C362B0" w:rsidRDefault="00AF6385" w:rsidP="00EE109D">
      <w:pPr>
        <w:spacing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Porter’s Five Forces</w:t>
      </w:r>
      <w:r w:rsidRPr="00C362B0">
        <w:rPr>
          <w:rFonts w:ascii="Arial" w:eastAsia="Times New Roman" w:hAnsi="Arial" w:cs="Arial"/>
          <w:sz w:val="24"/>
          <w:szCs w:val="24"/>
          <w:lang w:val="en-GB" w:eastAsia="en-GB"/>
        </w:rPr>
        <w:t xml:space="preserve"> will evaluate competitive intensity, including rivalry, buyer and supplier power, substitutes and new entrants, in Chapter 6 (Porter, 1980).</w:t>
      </w:r>
    </w:p>
    <w:p w14:paraId="402B8DC9" w14:textId="53D5D5FB" w:rsidR="00AF6385" w:rsidRPr="00C362B0" w:rsidRDefault="00AF6385" w:rsidP="00EE109D">
      <w:pPr>
        <w:spacing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 xml:space="preserve">VRIO </w:t>
      </w:r>
      <w:r w:rsidRPr="00C362B0">
        <w:rPr>
          <w:rFonts w:ascii="Arial" w:eastAsia="Times New Roman" w:hAnsi="Arial" w:cs="Arial"/>
          <w:sz w:val="24"/>
          <w:szCs w:val="24"/>
          <w:lang w:val="en-GB" w:eastAsia="en-GB"/>
        </w:rPr>
        <w:t xml:space="preserve">will assess whether </w:t>
      </w:r>
      <w:proofErr w:type="spellStart"/>
      <w:r w:rsidRPr="00C362B0">
        <w:rPr>
          <w:rFonts w:ascii="Arial" w:eastAsia="Times New Roman" w:hAnsi="Arial" w:cs="Arial"/>
          <w:sz w:val="24"/>
          <w:szCs w:val="24"/>
          <w:lang w:val="en-GB" w:eastAsia="en-GB"/>
        </w:rPr>
        <w:t>FitLife’s</w:t>
      </w:r>
      <w:proofErr w:type="spellEnd"/>
      <w:r w:rsidRPr="00C362B0">
        <w:rPr>
          <w:rFonts w:ascii="Arial" w:eastAsia="Times New Roman" w:hAnsi="Arial" w:cs="Arial"/>
          <w:sz w:val="24"/>
          <w:szCs w:val="24"/>
          <w:lang w:val="en-GB" w:eastAsia="en-GB"/>
        </w:rPr>
        <w:t xml:space="preserve"> resources and capabilities, including AI technology, wearable integration and skilled employees, can support competitive advantage in Chapter 7 (Barney, 1991).</w:t>
      </w:r>
    </w:p>
    <w:p w14:paraId="1809C968" w14:textId="16B5B697" w:rsidR="00AF6385" w:rsidRPr="00C362B0" w:rsidRDefault="00AF6385" w:rsidP="00EE109D">
      <w:pPr>
        <w:spacing w:line="360" w:lineRule="auto"/>
        <w:jc w:val="both"/>
        <w:rPr>
          <w:rFonts w:ascii="Arial" w:eastAsia="Times New Roman" w:hAnsi="Arial" w:cs="Arial"/>
          <w:sz w:val="24"/>
          <w:szCs w:val="24"/>
          <w:lang w:val="en-GB" w:eastAsia="en-GB"/>
        </w:rPr>
      </w:pPr>
      <w:r w:rsidRPr="00C362B0">
        <w:rPr>
          <w:rFonts w:ascii="Arial" w:eastAsia="Times New Roman" w:hAnsi="Arial" w:cs="Arial"/>
          <w:b/>
          <w:sz w:val="24"/>
          <w:szCs w:val="24"/>
          <w:lang w:val="en-GB" w:eastAsia="en-GB"/>
        </w:rPr>
        <w:t>SWOT</w:t>
      </w:r>
      <w:r w:rsidRPr="00C362B0">
        <w:rPr>
          <w:rFonts w:ascii="Arial" w:eastAsia="Times New Roman" w:hAnsi="Arial" w:cs="Arial"/>
          <w:sz w:val="24"/>
          <w:szCs w:val="24"/>
          <w:lang w:val="en-GB" w:eastAsia="en-GB"/>
        </w:rPr>
        <w:t xml:space="preserve"> will synthesise </w:t>
      </w:r>
      <w:proofErr w:type="spellStart"/>
      <w:r w:rsidRPr="00C362B0">
        <w:rPr>
          <w:rFonts w:ascii="Arial" w:eastAsia="Times New Roman" w:hAnsi="Arial" w:cs="Arial"/>
          <w:sz w:val="24"/>
          <w:szCs w:val="24"/>
          <w:lang w:val="en-GB" w:eastAsia="en-GB"/>
        </w:rPr>
        <w:t>FitLife’s</w:t>
      </w:r>
      <w:proofErr w:type="spellEnd"/>
      <w:r w:rsidRPr="00C362B0">
        <w:rPr>
          <w:rFonts w:ascii="Arial" w:eastAsia="Times New Roman" w:hAnsi="Arial" w:cs="Arial"/>
          <w:sz w:val="24"/>
          <w:szCs w:val="24"/>
          <w:lang w:val="en-GB" w:eastAsia="en-GB"/>
        </w:rPr>
        <w:t xml:space="preserve"> internal strengths and weaknesses with external opportunities and threats to support strategic decision-making in Chapter 7.</w:t>
      </w:r>
    </w:p>
    <w:p w14:paraId="1681394F" w14:textId="54B9EA87" w:rsidR="005D1B65" w:rsidRPr="00C362B0" w:rsidRDefault="00AF6385" w:rsidP="00EE109D">
      <w:pPr>
        <w:spacing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Business Model Canvas will examine </w:t>
      </w:r>
      <w:proofErr w:type="spellStart"/>
      <w:r w:rsidRPr="00C362B0">
        <w:rPr>
          <w:rFonts w:ascii="Arial" w:eastAsia="Times New Roman" w:hAnsi="Arial" w:cs="Arial"/>
          <w:sz w:val="24"/>
          <w:szCs w:val="24"/>
          <w:lang w:val="en-GB" w:eastAsia="en-GB"/>
        </w:rPr>
        <w:t>FitLife’s</w:t>
      </w:r>
      <w:proofErr w:type="spellEnd"/>
      <w:r w:rsidRPr="00C362B0">
        <w:rPr>
          <w:rFonts w:ascii="Arial" w:eastAsia="Times New Roman" w:hAnsi="Arial" w:cs="Arial"/>
          <w:sz w:val="24"/>
          <w:szCs w:val="24"/>
          <w:lang w:val="en-GB" w:eastAsia="en-GB"/>
        </w:rPr>
        <w:t xml:space="preserve"> value creation, delivery and capture mechanisms in Chapter 8 (</w:t>
      </w:r>
      <w:proofErr w:type="spellStart"/>
      <w:r w:rsidRPr="00C362B0">
        <w:rPr>
          <w:rFonts w:ascii="Arial" w:eastAsia="Times New Roman" w:hAnsi="Arial" w:cs="Arial"/>
          <w:sz w:val="24"/>
          <w:szCs w:val="24"/>
          <w:lang w:val="en-GB" w:eastAsia="en-GB"/>
        </w:rPr>
        <w:t>Osterwalder</w:t>
      </w:r>
      <w:proofErr w:type="spellEnd"/>
      <w:r w:rsidRPr="00C362B0">
        <w:rPr>
          <w:rFonts w:ascii="Arial" w:eastAsia="Times New Roman" w:hAnsi="Arial" w:cs="Arial"/>
          <w:sz w:val="24"/>
          <w:szCs w:val="24"/>
          <w:lang w:val="en-GB" w:eastAsia="en-GB"/>
        </w:rPr>
        <w:t xml:space="preserve"> and </w:t>
      </w:r>
      <w:proofErr w:type="spellStart"/>
      <w:r w:rsidRPr="00C362B0">
        <w:rPr>
          <w:rFonts w:ascii="Arial" w:eastAsia="Times New Roman" w:hAnsi="Arial" w:cs="Arial"/>
          <w:sz w:val="24"/>
          <w:szCs w:val="24"/>
          <w:lang w:val="en-GB" w:eastAsia="en-GB"/>
        </w:rPr>
        <w:t>Pigneur</w:t>
      </w:r>
      <w:proofErr w:type="spellEnd"/>
      <w:r w:rsidRPr="00C362B0">
        <w:rPr>
          <w:rFonts w:ascii="Arial" w:eastAsia="Times New Roman" w:hAnsi="Arial" w:cs="Arial"/>
          <w:sz w:val="24"/>
          <w:szCs w:val="24"/>
          <w:lang w:val="en-GB" w:eastAsia="en-GB"/>
        </w:rPr>
        <w:t>, 2010).</w:t>
      </w:r>
    </w:p>
    <w:p w14:paraId="787F72FD" w14:textId="5FFCC76F" w:rsidR="005D1B65" w:rsidRPr="00C362B0" w:rsidRDefault="005D1B65" w:rsidP="005D1B65">
      <w:pPr>
        <w:pStyle w:val="Heading2"/>
        <w:rPr>
          <w:rFonts w:eastAsia="Times New Roman"/>
          <w:lang w:val="en-GB" w:eastAsia="en-GB"/>
        </w:rPr>
      </w:pPr>
      <w:bookmarkStart w:id="27" w:name="_Toc239091440"/>
      <w:r w:rsidRPr="00C362B0">
        <w:rPr>
          <w:rFonts w:eastAsia="Times New Roman"/>
          <w:lang w:val="en-GB" w:eastAsia="en-GB"/>
        </w:rPr>
        <w:t>3.7 Chapter Summary</w:t>
      </w:r>
      <w:bookmarkEnd w:id="27"/>
    </w:p>
    <w:p w14:paraId="40BE8907" w14:textId="5C5DC6B1" w:rsidR="00C80C9F" w:rsidRPr="00C362B0" w:rsidRDefault="003146AD" w:rsidP="00EE109D">
      <w:pPr>
        <w:spacing w:before="100" w:beforeAutospacing="1" w:after="100" w:afterAutospacing="1" w:line="360" w:lineRule="auto"/>
        <w:jc w:val="both"/>
        <w:rPr>
          <w:rFonts w:ascii="Arial" w:eastAsia="Times New Roman" w:hAnsi="Arial" w:cs="Arial"/>
          <w:sz w:val="24"/>
          <w:szCs w:val="24"/>
          <w:lang w:val="en-GB" w:eastAsia="en-GB"/>
        </w:rPr>
      </w:pPr>
      <w:r w:rsidRPr="00C362B0">
        <w:rPr>
          <w:rFonts w:ascii="Arial" w:eastAsia="Times New Roman" w:hAnsi="Arial" w:cs="Arial"/>
          <w:sz w:val="24"/>
          <w:szCs w:val="24"/>
          <w:lang w:val="en-GB" w:eastAsia="en-GB"/>
        </w:rPr>
        <w:t xml:space="preserve">The literature review establishes TAM as a basis </w:t>
      </w:r>
      <w:r w:rsidR="005D1B65" w:rsidRPr="00C362B0">
        <w:rPr>
          <w:rFonts w:ascii="Arial" w:eastAsia="Times New Roman" w:hAnsi="Arial" w:cs="Arial"/>
          <w:sz w:val="24"/>
          <w:szCs w:val="24"/>
          <w:lang w:val="en-GB" w:eastAsia="en-GB"/>
        </w:rPr>
        <w:t>for understanding technology acceptance, HBM for health-related behaviour, SDT for motivation and retention, and SERVQUAL for service quality. PESTLE and Porter’s Five Forces will support market and competitive analysis, while VRIO, SWOT and the Business Model Canvas will inform strategic and business-model develop</w:t>
      </w:r>
      <w:r w:rsidR="00EE109D" w:rsidRPr="00C362B0">
        <w:rPr>
          <w:rFonts w:ascii="Arial" w:eastAsia="Times New Roman" w:hAnsi="Arial" w:cs="Arial"/>
          <w:sz w:val="24"/>
          <w:szCs w:val="24"/>
          <w:lang w:val="en-GB" w:eastAsia="en-GB"/>
        </w:rPr>
        <w:t>ment in the subsequent chapters.</w:t>
      </w:r>
    </w:p>
    <w:p w14:paraId="40963EEC" w14:textId="60FBB026" w:rsidR="00C80C9F" w:rsidRPr="00C362B0" w:rsidRDefault="00336F5B" w:rsidP="00336F5B">
      <w:pPr>
        <w:pStyle w:val="Heading1"/>
        <w:jc w:val="center"/>
        <w:rPr>
          <w:lang w:val="en-GB" w:eastAsia="en-GB"/>
        </w:rPr>
      </w:pPr>
      <w:bookmarkStart w:id="28" w:name="_Toc239091441"/>
      <w:r w:rsidRPr="00C362B0">
        <w:rPr>
          <w:lang w:val="en-GB" w:eastAsia="en-GB"/>
        </w:rPr>
        <w:lastRenderedPageBreak/>
        <w:t>Chapter 4</w:t>
      </w:r>
      <w:r w:rsidR="00C80C9F" w:rsidRPr="00C362B0">
        <w:rPr>
          <w:lang w:val="en-GB" w:eastAsia="en-GB"/>
        </w:rPr>
        <w:t>: Research Methodology</w:t>
      </w:r>
      <w:bookmarkEnd w:id="28"/>
    </w:p>
    <w:p w14:paraId="5EF8AE49" w14:textId="3EBACE5E" w:rsidR="00C80C9F" w:rsidRPr="00C362B0" w:rsidRDefault="00336F5B" w:rsidP="00336F5B">
      <w:pPr>
        <w:pStyle w:val="Heading2"/>
        <w:rPr>
          <w:lang w:val="en-GB" w:eastAsia="en-GB"/>
        </w:rPr>
      </w:pPr>
      <w:bookmarkStart w:id="29" w:name="_Toc239091442"/>
      <w:r w:rsidRPr="00C362B0">
        <w:rPr>
          <w:lang w:val="en-GB" w:eastAsia="en-GB"/>
        </w:rPr>
        <w:t>4</w:t>
      </w:r>
      <w:r w:rsidR="00C80C9F" w:rsidRPr="00C362B0">
        <w:rPr>
          <w:lang w:val="en-GB" w:eastAsia="en-GB"/>
        </w:rPr>
        <w:t>.1 Research Approach</w:t>
      </w:r>
      <w:bookmarkEnd w:id="29"/>
    </w:p>
    <w:p w14:paraId="05431C76" w14:textId="44D8E66E" w:rsidR="00C80C9F" w:rsidRPr="00C362B0" w:rsidRDefault="009779F0" w:rsidP="00C80C9F">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This Business Development Proposal (BDP) will adopt a secondary research approach to evaluate the proposed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Smart Gym in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Manchester. Secondary research is appropriate because the proposal can draw on existing government statistics, industry reports, academic literature, competitor information and commercial market data without conducting primary research (Saunders, Lewis and Thornhill, 2019). The study will combine quantitative and qualitative secondary evidence within an exploratory and analytical approach to examine market conditions, customer needs, competition, financial feasibility and operations. The research process follows a structured sequence of source identification, screening, selection, data extraction, triangulation and analysis, supporting a transparent and replicable methodology</w:t>
      </w:r>
      <w:r w:rsidR="00C80C9F" w:rsidRPr="00C362B0">
        <w:rPr>
          <w:rFonts w:ascii="Arial" w:hAnsi="Arial" w:cs="Arial"/>
          <w:sz w:val="24"/>
          <w:szCs w:val="24"/>
          <w:lang w:val="en-GB" w:eastAsia="en-GB"/>
        </w:rPr>
        <w:t>.</w:t>
      </w:r>
    </w:p>
    <w:p w14:paraId="7AA78A98" w14:textId="52DE9F29" w:rsidR="00C80C9F" w:rsidRPr="00C362B0" w:rsidRDefault="00336F5B" w:rsidP="00336F5B">
      <w:pPr>
        <w:pStyle w:val="Heading2"/>
        <w:rPr>
          <w:lang w:val="en-GB" w:eastAsia="en-GB"/>
        </w:rPr>
      </w:pPr>
      <w:bookmarkStart w:id="30" w:name="_Toc239091443"/>
      <w:r w:rsidRPr="00C362B0">
        <w:rPr>
          <w:lang w:val="en-GB" w:eastAsia="en-GB"/>
        </w:rPr>
        <w:t>4</w:t>
      </w:r>
      <w:r w:rsidR="00C80C9F" w:rsidRPr="00C362B0">
        <w:rPr>
          <w:lang w:val="en-GB" w:eastAsia="en-GB"/>
        </w:rPr>
        <w:t xml:space="preserve">.2 </w:t>
      </w:r>
      <w:r w:rsidR="003546B9" w:rsidRPr="00C362B0">
        <w:rPr>
          <w:lang w:val="en-GB" w:eastAsia="en-GB"/>
        </w:rPr>
        <w:t>Data Sources and Search Strategy</w:t>
      </w:r>
      <w:bookmarkEnd w:id="30"/>
    </w:p>
    <w:p w14:paraId="06634E7D" w14:textId="36FF5DE0" w:rsidR="00D2684D" w:rsidRPr="00C362B0" w:rsidRDefault="00777E77" w:rsidP="00C80C9F">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The proposal will use secondary sources selected through a structured search strategy. Search terms will include “UK fitness industry”, “gym membership UK”, “digital fitness”, “AI fitness”, “wearable technology”, “personalised fitness”, “hybrid fitness”,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demographics”,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deprivation”, “Manchester physical activity”, “gym prices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“commercial property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and “fitness market Manchester”. The main evidence range will be 2020–2026, covering recent market and local developments. Geographical analysis will progress from the UK to Greater Manchester, Manchester and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 Sources will include ONS, Manchester City Council, Sport England, TfGM, </w:t>
      </w:r>
      <w:proofErr w:type="spellStart"/>
      <w:r w:rsidRPr="00C362B0">
        <w:rPr>
          <w:rFonts w:ascii="Arial" w:hAnsi="Arial" w:cs="Arial"/>
          <w:sz w:val="24"/>
          <w:szCs w:val="24"/>
          <w:lang w:val="en-GB" w:eastAsia="en-GB"/>
        </w:rPr>
        <w:t>ukactive</w:t>
      </w:r>
      <w:proofErr w:type="spellEnd"/>
      <w:r w:rsidRPr="00C362B0">
        <w:rPr>
          <w:rFonts w:ascii="Arial" w:hAnsi="Arial" w:cs="Arial"/>
          <w:sz w:val="24"/>
          <w:szCs w:val="24"/>
          <w:lang w:val="en-GB" w:eastAsia="en-GB"/>
        </w:rPr>
        <w:t xml:space="preserve">, </w:t>
      </w:r>
      <w:proofErr w:type="spellStart"/>
      <w:r w:rsidRPr="00C362B0">
        <w:rPr>
          <w:rFonts w:ascii="Arial" w:hAnsi="Arial" w:cs="Arial"/>
          <w:sz w:val="24"/>
          <w:szCs w:val="24"/>
          <w:lang w:val="en-GB" w:eastAsia="en-GB"/>
        </w:rPr>
        <w:t>EuropeActive</w:t>
      </w:r>
      <w:proofErr w:type="spellEnd"/>
      <w:r w:rsidRPr="00C362B0">
        <w:rPr>
          <w:rFonts w:ascii="Arial" w:hAnsi="Arial" w:cs="Arial"/>
          <w:sz w:val="24"/>
          <w:szCs w:val="24"/>
          <w:lang w:val="en-GB" w:eastAsia="en-GB"/>
        </w:rPr>
        <w:t xml:space="preserve">/Deloitte, </w:t>
      </w:r>
      <w:proofErr w:type="spellStart"/>
      <w:r w:rsidRPr="00C362B0">
        <w:rPr>
          <w:rFonts w:ascii="Arial" w:hAnsi="Arial" w:cs="Arial"/>
          <w:sz w:val="24"/>
          <w:szCs w:val="24"/>
          <w:lang w:val="en-GB" w:eastAsia="en-GB"/>
        </w:rPr>
        <w:t>Rightmove</w:t>
      </w:r>
      <w:proofErr w:type="spellEnd"/>
      <w:r w:rsidRPr="00C362B0">
        <w:rPr>
          <w:rFonts w:ascii="Arial" w:hAnsi="Arial" w:cs="Arial"/>
          <w:sz w:val="24"/>
          <w:szCs w:val="24"/>
          <w:lang w:val="en-GB" w:eastAsia="en-GB"/>
        </w:rPr>
        <w:t xml:space="preserve"> Commercial, Savills, competitor websites, academic journals and industry reports. Foundational sources such as Davis (1989), Porter (1980), Barney (1991) and </w:t>
      </w:r>
      <w:proofErr w:type="spellStart"/>
      <w:r w:rsidRPr="00C362B0">
        <w:rPr>
          <w:rFonts w:ascii="Arial" w:hAnsi="Arial" w:cs="Arial"/>
          <w:sz w:val="24"/>
          <w:szCs w:val="24"/>
          <w:lang w:val="en-GB" w:eastAsia="en-GB"/>
        </w:rPr>
        <w:t>Parasuraman</w:t>
      </w:r>
      <w:proofErr w:type="spellEnd"/>
      <w:r w:rsidRPr="00C362B0">
        <w:rPr>
          <w:rFonts w:ascii="Arial" w:hAnsi="Arial" w:cs="Arial"/>
          <w:sz w:val="24"/>
          <w:szCs w:val="24"/>
          <w:lang w:val="en-GB" w:eastAsia="en-GB"/>
        </w:rPr>
        <w:t xml:space="preserve">, </w:t>
      </w:r>
      <w:proofErr w:type="spellStart"/>
      <w:r w:rsidRPr="00C362B0">
        <w:rPr>
          <w:rFonts w:ascii="Arial" w:hAnsi="Arial" w:cs="Arial"/>
          <w:sz w:val="24"/>
          <w:szCs w:val="24"/>
          <w:lang w:val="en-GB" w:eastAsia="en-GB"/>
        </w:rPr>
        <w:t>Zeithaml</w:t>
      </w:r>
      <w:proofErr w:type="spellEnd"/>
      <w:r w:rsidRPr="00C362B0">
        <w:rPr>
          <w:rFonts w:ascii="Arial" w:hAnsi="Arial" w:cs="Arial"/>
          <w:sz w:val="24"/>
          <w:szCs w:val="24"/>
          <w:lang w:val="en-GB" w:eastAsia="en-GB"/>
        </w:rPr>
        <w:t xml:space="preserve"> and Berry (1988) will be retained where theoretically necessary. Competitors will be selected by proximity, service similarity, target-customer overlap and publicly available pricing information. Sources will be selected based on relevance to the research questions, </w:t>
      </w:r>
      <w:proofErr w:type="spellStart"/>
      <w:r w:rsidRPr="00C362B0">
        <w:rPr>
          <w:rFonts w:ascii="Arial" w:hAnsi="Arial" w:cs="Arial"/>
          <w:sz w:val="24"/>
          <w:szCs w:val="24"/>
          <w:lang w:val="en-GB" w:eastAsia="en-GB"/>
        </w:rPr>
        <w:t>recency</w:t>
      </w:r>
      <w:proofErr w:type="spellEnd"/>
      <w:r w:rsidRPr="00C362B0">
        <w:rPr>
          <w:rFonts w:ascii="Arial" w:hAnsi="Arial" w:cs="Arial"/>
          <w:sz w:val="24"/>
          <w:szCs w:val="24"/>
          <w:lang w:val="en-GB" w:eastAsia="en-GB"/>
        </w:rPr>
        <w:t xml:space="preserve">, geographical relevance, methodological transparency and authority. Government statistics, peer-reviewed academic research and recognised industry sources will receive priority. Source </w:t>
      </w:r>
      <w:r w:rsidRPr="00C362B0">
        <w:rPr>
          <w:rFonts w:ascii="Arial" w:hAnsi="Arial" w:cs="Arial"/>
          <w:sz w:val="24"/>
          <w:szCs w:val="24"/>
          <w:lang w:val="en-GB" w:eastAsia="en-GB"/>
        </w:rPr>
        <w:lastRenderedPageBreak/>
        <w:t>credibility will be assessed by considering the publisher, publication date, methodology, transparency of data and potential commercial interests</w:t>
      </w:r>
      <w:r w:rsidR="00D2684D" w:rsidRPr="00C362B0">
        <w:rPr>
          <w:rFonts w:ascii="Arial" w:hAnsi="Arial" w:cs="Arial"/>
          <w:sz w:val="24"/>
          <w:szCs w:val="24"/>
          <w:lang w:val="en-GB" w:eastAsia="en-GB"/>
        </w:rPr>
        <w:t>.</w:t>
      </w:r>
    </w:p>
    <w:p w14:paraId="494C7407" w14:textId="02973935" w:rsidR="00C80C9F" w:rsidRPr="00C362B0" w:rsidRDefault="00336F5B" w:rsidP="00336F5B">
      <w:pPr>
        <w:pStyle w:val="Heading2"/>
        <w:rPr>
          <w:lang w:val="en-GB" w:eastAsia="en-GB"/>
        </w:rPr>
      </w:pPr>
      <w:bookmarkStart w:id="31" w:name="_Toc239091444"/>
      <w:r w:rsidRPr="00C362B0">
        <w:rPr>
          <w:lang w:val="en-GB" w:eastAsia="en-GB"/>
        </w:rPr>
        <w:t>4</w:t>
      </w:r>
      <w:r w:rsidR="00C80C9F" w:rsidRPr="00C362B0">
        <w:rPr>
          <w:lang w:val="en-GB" w:eastAsia="en-GB"/>
        </w:rPr>
        <w:t>.3 Quantitative and Qualitative Evidence</w:t>
      </w:r>
      <w:bookmarkEnd w:id="31"/>
    </w:p>
    <w:p w14:paraId="344C18D3" w14:textId="1BF695D5" w:rsidR="007A3BC5" w:rsidRPr="00C362B0" w:rsidRDefault="00AA40C7" w:rsidP="007A3BC5">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The quantitative evidence will include population, household and deprivation data, physical activity levels, UK fitness membership and market revenue, competitor prices, commercial rent estimates, expected membership numbers, operating costs and projected revenue. These measures will support assessment of market conditions and </w:t>
      </w:r>
      <w:proofErr w:type="spellStart"/>
      <w:r w:rsidRPr="00C362B0">
        <w:rPr>
          <w:rFonts w:ascii="Arial" w:hAnsi="Arial" w:cs="Arial"/>
          <w:sz w:val="24"/>
          <w:szCs w:val="24"/>
          <w:lang w:val="en-GB" w:eastAsia="en-GB"/>
        </w:rPr>
        <w:t>FitLife’s</w:t>
      </w:r>
      <w:proofErr w:type="spellEnd"/>
      <w:r w:rsidRPr="00C362B0">
        <w:rPr>
          <w:rFonts w:ascii="Arial" w:hAnsi="Arial" w:cs="Arial"/>
          <w:sz w:val="24"/>
          <w:szCs w:val="24"/>
          <w:lang w:val="en-GB" w:eastAsia="en-GB"/>
        </w:rPr>
        <w:t xml:space="preserve"> financial requirements. Qualitative evidence will cover consumer preferences, AI-enabled fitness, wearable technology, digital wellness, personalised and hybrid fitness services, competitor positioning, service quality and strategic developments. Academic literature and industry reports will be reviewed to identify recurring themes and market developments. Combining both forms of evidence will provide measurable indicators alongside contextual understanding of customer needs, competitive positioning and industry change</w:t>
      </w:r>
      <w:r w:rsidR="007A3BC5" w:rsidRPr="00C362B0">
        <w:rPr>
          <w:rFonts w:ascii="Arial" w:hAnsi="Arial" w:cs="Arial"/>
          <w:sz w:val="24"/>
          <w:szCs w:val="24"/>
          <w:lang w:val="en-GB" w:eastAsia="en-GB"/>
        </w:rPr>
        <w:t>.</w:t>
      </w:r>
    </w:p>
    <w:p w14:paraId="66612C98" w14:textId="71B29732" w:rsidR="007A3BC5" w:rsidRPr="00C362B0" w:rsidRDefault="00336F5B" w:rsidP="00336F5B">
      <w:pPr>
        <w:pStyle w:val="Heading2"/>
        <w:rPr>
          <w:lang w:val="en-GB" w:eastAsia="en-GB"/>
        </w:rPr>
      </w:pPr>
      <w:bookmarkStart w:id="32" w:name="_Toc239091445"/>
      <w:r w:rsidRPr="00C362B0">
        <w:rPr>
          <w:lang w:val="en-GB" w:eastAsia="en-GB"/>
        </w:rPr>
        <w:t>4</w:t>
      </w:r>
      <w:r w:rsidR="007A3BC5" w:rsidRPr="00C362B0">
        <w:rPr>
          <w:lang w:val="en-GB" w:eastAsia="en-GB"/>
        </w:rPr>
        <w:t>.4 Data Analysis</w:t>
      </w:r>
      <w:bookmarkEnd w:id="32"/>
    </w:p>
    <w:p w14:paraId="24772162" w14:textId="51891463" w:rsidR="00DC0C90" w:rsidRPr="00C362B0" w:rsidRDefault="00DC0C90" w:rsidP="00DC0C90">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Several analytical methods will be applied according to the characteristics of the secondary data. Descriptive analysis will summarise demographic, market and pricing data using frequencies, percentages, averages and comparisons where appropriate. Comparative analysis will assess competitors according to membership price, opening/access arrangements, services, personal training, technology and market positioning. Trend analysis will compare data across different years to identify changes in fitness membership, market revenue, technology adoption and wellness trends.</w:t>
      </w:r>
    </w:p>
    <w:p w14:paraId="3E1291F5" w14:textId="649C5EA3" w:rsidR="00DC0C90" w:rsidRPr="00C362B0" w:rsidRDefault="00DC0C90" w:rsidP="00DC0C90">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Academic and industry literature will be examined using thematic analysis, following the stages of familiarisation, coding, categorisation, theme development and interpretation (Braun and Clarke, 2021). This will identify recurring themes relating to technology adoption, customer motivation, personalisation, service quality and health behaviour.</w:t>
      </w:r>
    </w:p>
    <w:p w14:paraId="0A0132BA" w14:textId="568AAE93" w:rsidR="00C80C9F" w:rsidRPr="00C362B0" w:rsidRDefault="00FB1459" w:rsidP="00DC0C90">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Financial analysis will develop three- to five-year projections using membership assumptions, average pricing and expected customer numbers to estimate revenue, alongside fixed and variable costs including rent, staffing, equipment and technology. Break-even membership will be estimated by dividing fixed operating costs by </w:t>
      </w:r>
      <w:r w:rsidRPr="00C362B0">
        <w:rPr>
          <w:rFonts w:ascii="Arial" w:hAnsi="Arial" w:cs="Arial"/>
          <w:sz w:val="24"/>
          <w:szCs w:val="24"/>
          <w:lang w:val="en-GB" w:eastAsia="en-GB"/>
        </w:rPr>
        <w:lastRenderedPageBreak/>
        <w:t>contribution per member. Sensitivity analysis will compare base-case, best-case and worst-case scenarios by varying membership numbers, pricing and operating costs to assess financial robustness</w:t>
      </w:r>
      <w:r w:rsidR="00C80C9F" w:rsidRPr="00C362B0">
        <w:rPr>
          <w:rFonts w:ascii="Arial" w:hAnsi="Arial" w:cs="Arial"/>
          <w:sz w:val="24"/>
          <w:szCs w:val="24"/>
          <w:lang w:val="en-GB" w:eastAsia="en-GB"/>
        </w:rPr>
        <w:t xml:space="preserve">. </w:t>
      </w:r>
    </w:p>
    <w:p w14:paraId="0B8EEEFB" w14:textId="506F8789" w:rsidR="00C80C9F" w:rsidRPr="00C362B0" w:rsidRDefault="00336F5B" w:rsidP="00336F5B">
      <w:pPr>
        <w:pStyle w:val="Heading2"/>
        <w:rPr>
          <w:lang w:val="en-GB" w:eastAsia="en-GB"/>
        </w:rPr>
      </w:pPr>
      <w:bookmarkStart w:id="33" w:name="_Toc239091446"/>
      <w:r w:rsidRPr="00C362B0">
        <w:rPr>
          <w:lang w:val="en-GB" w:eastAsia="en-GB"/>
        </w:rPr>
        <w:t>4</w:t>
      </w:r>
      <w:r w:rsidR="00C80C9F" w:rsidRPr="00C362B0">
        <w:rPr>
          <w:lang w:val="en-GB" w:eastAsia="en-GB"/>
        </w:rPr>
        <w:t>.5 Application of Models and Frameworks</w:t>
      </w:r>
      <w:bookmarkEnd w:id="33"/>
    </w:p>
    <w:p w14:paraId="1F47928D" w14:textId="0484D415" w:rsidR="00C80C9F" w:rsidRPr="00C362B0" w:rsidRDefault="00C80C9F" w:rsidP="00C80C9F">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The theoretical models introduced in the Literature Review will be directly connected to the subsequent analysis.</w:t>
      </w:r>
    </w:p>
    <w:p w14:paraId="6379BB41" w14:textId="2CC3F587" w:rsidR="001E339C" w:rsidRPr="00C362B0" w:rsidRDefault="001E339C" w:rsidP="001E339C">
      <w:pPr>
        <w:pStyle w:val="Caption"/>
        <w:keepNext/>
        <w:rPr>
          <w:rFonts w:ascii="Arial" w:hAnsi="Arial" w:cs="Arial"/>
          <w:sz w:val="24"/>
          <w:lang w:val="en-GB"/>
        </w:rPr>
      </w:pPr>
      <w:bookmarkStart w:id="34" w:name="_Toc239091499"/>
      <w:r w:rsidRPr="00C362B0">
        <w:rPr>
          <w:rFonts w:ascii="Arial" w:hAnsi="Arial" w:cs="Arial"/>
          <w:sz w:val="24"/>
          <w:lang w:val="en-GB"/>
        </w:rPr>
        <w:t xml:space="preserve">Table </w:t>
      </w:r>
      <w:r w:rsidRPr="00C362B0">
        <w:rPr>
          <w:rFonts w:ascii="Arial" w:hAnsi="Arial" w:cs="Arial"/>
          <w:sz w:val="24"/>
          <w:lang w:val="en-GB"/>
        </w:rPr>
        <w:fldChar w:fldCharType="begin"/>
      </w:r>
      <w:r w:rsidRPr="00C362B0">
        <w:rPr>
          <w:rFonts w:ascii="Arial" w:hAnsi="Arial" w:cs="Arial"/>
          <w:sz w:val="24"/>
          <w:lang w:val="en-GB"/>
        </w:rPr>
        <w:instrText xml:space="preserve"> SEQ Table \* ARABIC </w:instrText>
      </w:r>
      <w:r w:rsidRPr="00C362B0">
        <w:rPr>
          <w:rFonts w:ascii="Arial" w:hAnsi="Arial" w:cs="Arial"/>
          <w:sz w:val="24"/>
          <w:lang w:val="en-GB"/>
        </w:rPr>
        <w:fldChar w:fldCharType="separate"/>
      </w:r>
      <w:r w:rsidR="00415D83">
        <w:rPr>
          <w:rFonts w:ascii="Arial" w:hAnsi="Arial" w:cs="Arial"/>
          <w:noProof/>
          <w:sz w:val="24"/>
          <w:lang w:val="en-GB"/>
        </w:rPr>
        <w:t>3</w:t>
      </w:r>
      <w:r w:rsidRPr="00C362B0">
        <w:rPr>
          <w:rFonts w:ascii="Arial" w:hAnsi="Arial" w:cs="Arial"/>
          <w:sz w:val="24"/>
          <w:lang w:val="en-GB"/>
        </w:rPr>
        <w:fldChar w:fldCharType="end"/>
      </w:r>
      <w:r w:rsidRPr="00C362B0">
        <w:rPr>
          <w:rFonts w:ascii="Arial" w:hAnsi="Arial" w:cs="Arial"/>
          <w:sz w:val="24"/>
          <w:lang w:val="en-GB"/>
        </w:rPr>
        <w:t>.Application of Models and Frameworks</w:t>
      </w:r>
      <w:bookmarkEnd w:id="34"/>
    </w:p>
    <w:tbl>
      <w:tblPr>
        <w:tblStyle w:val="TableGrid"/>
        <w:tblW w:w="0" w:type="auto"/>
        <w:tblLook w:val="04A0" w:firstRow="1" w:lastRow="0" w:firstColumn="1" w:lastColumn="0" w:noHBand="0" w:noVBand="1"/>
      </w:tblPr>
      <w:tblGrid>
        <w:gridCol w:w="4508"/>
        <w:gridCol w:w="4508"/>
      </w:tblGrid>
      <w:tr w:rsidR="00313BDB" w:rsidRPr="00C362B0" w14:paraId="2B405E85" w14:textId="77777777" w:rsidTr="00313BDB">
        <w:tc>
          <w:tcPr>
            <w:tcW w:w="4508" w:type="dxa"/>
          </w:tcPr>
          <w:p w14:paraId="2F2696F1" w14:textId="77777777" w:rsidR="00313BDB" w:rsidRPr="00C362B0" w:rsidRDefault="00313BDB" w:rsidP="007B5D82">
            <w:pPr>
              <w:spacing w:before="240" w:line="360" w:lineRule="auto"/>
              <w:jc w:val="both"/>
              <w:rPr>
                <w:rFonts w:ascii="Arial" w:hAnsi="Arial" w:cs="Arial"/>
                <w:b/>
                <w:sz w:val="24"/>
                <w:szCs w:val="24"/>
                <w:lang w:val="en-GB" w:eastAsia="en-GB"/>
              </w:rPr>
            </w:pPr>
            <w:r w:rsidRPr="00C362B0">
              <w:rPr>
                <w:rFonts w:ascii="Arial" w:hAnsi="Arial" w:cs="Arial"/>
                <w:b/>
                <w:sz w:val="24"/>
                <w:szCs w:val="24"/>
                <w:lang w:val="en-GB" w:eastAsia="en-GB"/>
              </w:rPr>
              <w:t>Framework</w:t>
            </w:r>
          </w:p>
        </w:tc>
        <w:tc>
          <w:tcPr>
            <w:tcW w:w="4508" w:type="dxa"/>
          </w:tcPr>
          <w:p w14:paraId="76796C65" w14:textId="77777777" w:rsidR="00313BDB" w:rsidRPr="00C362B0" w:rsidRDefault="00313BDB" w:rsidP="007B5D82">
            <w:pPr>
              <w:spacing w:before="240" w:line="360" w:lineRule="auto"/>
              <w:jc w:val="both"/>
              <w:rPr>
                <w:rFonts w:ascii="Arial" w:hAnsi="Arial" w:cs="Arial"/>
                <w:b/>
                <w:sz w:val="24"/>
                <w:szCs w:val="24"/>
                <w:lang w:val="en-GB" w:eastAsia="en-GB"/>
              </w:rPr>
            </w:pPr>
            <w:r w:rsidRPr="00C362B0">
              <w:rPr>
                <w:rFonts w:ascii="Arial" w:hAnsi="Arial" w:cs="Arial"/>
                <w:b/>
                <w:sz w:val="24"/>
                <w:szCs w:val="24"/>
                <w:lang w:val="en-GB" w:eastAsia="en-GB"/>
              </w:rPr>
              <w:t>Application</w:t>
            </w:r>
          </w:p>
        </w:tc>
      </w:tr>
      <w:tr w:rsidR="00313BDB" w:rsidRPr="00C362B0" w14:paraId="376040D7" w14:textId="77777777" w:rsidTr="00313BDB">
        <w:tc>
          <w:tcPr>
            <w:tcW w:w="4508" w:type="dxa"/>
          </w:tcPr>
          <w:p w14:paraId="5F76E9A8"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TAM</w:t>
            </w:r>
          </w:p>
        </w:tc>
        <w:tc>
          <w:tcPr>
            <w:tcW w:w="4508" w:type="dxa"/>
          </w:tcPr>
          <w:p w14:paraId="6FEECDF6"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AI/digital adoption</w:t>
            </w:r>
          </w:p>
        </w:tc>
      </w:tr>
      <w:tr w:rsidR="00313BDB" w:rsidRPr="00C362B0" w14:paraId="12DA8B8C" w14:textId="77777777" w:rsidTr="00313BDB">
        <w:tc>
          <w:tcPr>
            <w:tcW w:w="4508" w:type="dxa"/>
          </w:tcPr>
          <w:p w14:paraId="02A4564B"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HBM</w:t>
            </w:r>
          </w:p>
        </w:tc>
        <w:tc>
          <w:tcPr>
            <w:tcW w:w="4508" w:type="dxa"/>
          </w:tcPr>
          <w:p w14:paraId="758F3B15"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Preventive health</w:t>
            </w:r>
          </w:p>
        </w:tc>
      </w:tr>
      <w:tr w:rsidR="00313BDB" w:rsidRPr="00C362B0" w14:paraId="45C1AF0D" w14:textId="77777777" w:rsidTr="00313BDB">
        <w:tc>
          <w:tcPr>
            <w:tcW w:w="4508" w:type="dxa"/>
          </w:tcPr>
          <w:p w14:paraId="65282817"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SDT</w:t>
            </w:r>
          </w:p>
        </w:tc>
        <w:tc>
          <w:tcPr>
            <w:tcW w:w="4508" w:type="dxa"/>
          </w:tcPr>
          <w:p w14:paraId="5096D6F7"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Motivation/retention</w:t>
            </w:r>
          </w:p>
        </w:tc>
      </w:tr>
      <w:tr w:rsidR="00313BDB" w:rsidRPr="00C362B0" w14:paraId="5F56CA2B" w14:textId="77777777" w:rsidTr="00313BDB">
        <w:tc>
          <w:tcPr>
            <w:tcW w:w="4508" w:type="dxa"/>
          </w:tcPr>
          <w:p w14:paraId="32656016"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SERVQUAL</w:t>
            </w:r>
          </w:p>
        </w:tc>
        <w:tc>
          <w:tcPr>
            <w:tcW w:w="4508" w:type="dxa"/>
          </w:tcPr>
          <w:p w14:paraId="76240813"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Service quality</w:t>
            </w:r>
          </w:p>
        </w:tc>
      </w:tr>
      <w:tr w:rsidR="00313BDB" w:rsidRPr="00C362B0" w14:paraId="760F01A9" w14:textId="77777777" w:rsidTr="00313BDB">
        <w:tc>
          <w:tcPr>
            <w:tcW w:w="4508" w:type="dxa"/>
          </w:tcPr>
          <w:p w14:paraId="1F96CAD6"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PESTLE</w:t>
            </w:r>
          </w:p>
        </w:tc>
        <w:tc>
          <w:tcPr>
            <w:tcW w:w="4508" w:type="dxa"/>
          </w:tcPr>
          <w:p w14:paraId="76F026D7"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Macro environment</w:t>
            </w:r>
          </w:p>
        </w:tc>
      </w:tr>
      <w:tr w:rsidR="00313BDB" w:rsidRPr="00C362B0" w14:paraId="6A50F055" w14:textId="77777777" w:rsidTr="00313BDB">
        <w:tc>
          <w:tcPr>
            <w:tcW w:w="4508" w:type="dxa"/>
          </w:tcPr>
          <w:p w14:paraId="38BF9E77"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Five Forces</w:t>
            </w:r>
          </w:p>
        </w:tc>
        <w:tc>
          <w:tcPr>
            <w:tcW w:w="4508" w:type="dxa"/>
          </w:tcPr>
          <w:p w14:paraId="2A2F0EA1"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Competition</w:t>
            </w:r>
          </w:p>
        </w:tc>
      </w:tr>
      <w:tr w:rsidR="00313BDB" w:rsidRPr="00C362B0" w14:paraId="237666A9" w14:textId="77777777" w:rsidTr="00313BDB">
        <w:tc>
          <w:tcPr>
            <w:tcW w:w="4508" w:type="dxa"/>
          </w:tcPr>
          <w:p w14:paraId="3E20CF69"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VRIO</w:t>
            </w:r>
          </w:p>
        </w:tc>
        <w:tc>
          <w:tcPr>
            <w:tcW w:w="4508" w:type="dxa"/>
          </w:tcPr>
          <w:p w14:paraId="0BC1C384"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Internal resources</w:t>
            </w:r>
          </w:p>
        </w:tc>
      </w:tr>
      <w:tr w:rsidR="00313BDB" w:rsidRPr="00C362B0" w14:paraId="0B095E80" w14:textId="77777777" w:rsidTr="00313BDB">
        <w:tc>
          <w:tcPr>
            <w:tcW w:w="4508" w:type="dxa"/>
          </w:tcPr>
          <w:p w14:paraId="104D34B8"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SWOT</w:t>
            </w:r>
          </w:p>
        </w:tc>
        <w:tc>
          <w:tcPr>
            <w:tcW w:w="4508" w:type="dxa"/>
          </w:tcPr>
          <w:p w14:paraId="7CEC29B7"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Strategic position</w:t>
            </w:r>
          </w:p>
        </w:tc>
      </w:tr>
      <w:tr w:rsidR="00313BDB" w:rsidRPr="00C362B0" w14:paraId="6CEFF279" w14:textId="77777777" w:rsidTr="00313BDB">
        <w:tc>
          <w:tcPr>
            <w:tcW w:w="4508" w:type="dxa"/>
          </w:tcPr>
          <w:p w14:paraId="017B0249"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BMC</w:t>
            </w:r>
          </w:p>
        </w:tc>
        <w:tc>
          <w:tcPr>
            <w:tcW w:w="4508" w:type="dxa"/>
          </w:tcPr>
          <w:p w14:paraId="67135D52" w14:textId="77777777" w:rsidR="00313BDB" w:rsidRPr="00C362B0" w:rsidRDefault="00313BDB" w:rsidP="007B5D82">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Value creation</w:t>
            </w:r>
          </w:p>
        </w:tc>
      </w:tr>
    </w:tbl>
    <w:p w14:paraId="4E52FB06" w14:textId="49BD78EC" w:rsidR="008C45E2" w:rsidRPr="00C362B0" w:rsidRDefault="008C45E2" w:rsidP="00336F5B">
      <w:pPr>
        <w:spacing w:before="240" w:line="360" w:lineRule="auto"/>
        <w:jc w:val="both"/>
        <w:rPr>
          <w:rFonts w:ascii="Arial" w:hAnsi="Arial" w:cs="Arial"/>
          <w:sz w:val="24"/>
          <w:szCs w:val="24"/>
          <w:lang w:val="en-GB" w:eastAsia="en-GB"/>
        </w:rPr>
      </w:pPr>
      <w:r w:rsidRPr="00C362B0">
        <w:rPr>
          <w:rFonts w:ascii="Arial" w:hAnsi="Arial" w:cs="Arial"/>
          <w:b/>
          <w:sz w:val="24"/>
          <w:szCs w:val="24"/>
          <w:lang w:val="en-GB" w:eastAsia="en-GB"/>
        </w:rPr>
        <w:t>Source:</w:t>
      </w:r>
      <w:r w:rsidRPr="00C362B0">
        <w:rPr>
          <w:rFonts w:ascii="Arial" w:hAnsi="Arial" w:cs="Arial"/>
          <w:sz w:val="24"/>
          <w:szCs w:val="24"/>
          <w:lang w:val="en-GB" w:eastAsia="en-GB"/>
        </w:rPr>
        <w:t xml:space="preserve"> Author's own framework based on Davis (1989), </w:t>
      </w:r>
      <w:proofErr w:type="spellStart"/>
      <w:r w:rsidRPr="00C362B0">
        <w:rPr>
          <w:rFonts w:ascii="Arial" w:hAnsi="Arial" w:cs="Arial"/>
          <w:sz w:val="24"/>
          <w:szCs w:val="24"/>
          <w:lang w:val="en-GB" w:eastAsia="en-GB"/>
        </w:rPr>
        <w:t>Rosenstock</w:t>
      </w:r>
      <w:proofErr w:type="spellEnd"/>
      <w:r w:rsidRPr="00C362B0">
        <w:rPr>
          <w:rFonts w:ascii="Arial" w:hAnsi="Arial" w:cs="Arial"/>
          <w:sz w:val="24"/>
          <w:szCs w:val="24"/>
          <w:lang w:val="en-GB" w:eastAsia="en-GB"/>
        </w:rPr>
        <w:t xml:space="preserve"> et al. (1988), Ryan and </w:t>
      </w:r>
      <w:proofErr w:type="spellStart"/>
      <w:r w:rsidRPr="00C362B0">
        <w:rPr>
          <w:rFonts w:ascii="Arial" w:hAnsi="Arial" w:cs="Arial"/>
          <w:sz w:val="24"/>
          <w:szCs w:val="24"/>
          <w:lang w:val="en-GB" w:eastAsia="en-GB"/>
        </w:rPr>
        <w:t>Deci</w:t>
      </w:r>
      <w:proofErr w:type="spellEnd"/>
      <w:r w:rsidRPr="00C362B0">
        <w:rPr>
          <w:rFonts w:ascii="Arial" w:hAnsi="Arial" w:cs="Arial"/>
          <w:sz w:val="24"/>
          <w:szCs w:val="24"/>
          <w:lang w:val="en-GB" w:eastAsia="en-GB"/>
        </w:rPr>
        <w:t xml:space="preserve"> (2020), </w:t>
      </w:r>
      <w:proofErr w:type="spellStart"/>
      <w:r w:rsidRPr="00C362B0">
        <w:rPr>
          <w:rFonts w:ascii="Arial" w:hAnsi="Arial" w:cs="Arial"/>
          <w:sz w:val="24"/>
          <w:szCs w:val="24"/>
          <w:lang w:val="en-GB" w:eastAsia="en-GB"/>
        </w:rPr>
        <w:t>Parasuraman</w:t>
      </w:r>
      <w:proofErr w:type="spellEnd"/>
      <w:r w:rsidRPr="00C362B0">
        <w:rPr>
          <w:rFonts w:ascii="Arial" w:hAnsi="Arial" w:cs="Arial"/>
          <w:sz w:val="24"/>
          <w:szCs w:val="24"/>
          <w:lang w:val="en-GB" w:eastAsia="en-GB"/>
        </w:rPr>
        <w:t xml:space="preserve"> et al. (1988), Porter (1980), Barney (1991) and </w:t>
      </w:r>
      <w:proofErr w:type="spellStart"/>
      <w:r w:rsidRPr="00C362B0">
        <w:rPr>
          <w:rFonts w:ascii="Arial" w:hAnsi="Arial" w:cs="Arial"/>
          <w:sz w:val="24"/>
          <w:szCs w:val="24"/>
          <w:lang w:val="en-GB" w:eastAsia="en-GB"/>
        </w:rPr>
        <w:t>Osterwalder</w:t>
      </w:r>
      <w:proofErr w:type="spellEnd"/>
      <w:r w:rsidRPr="00C362B0">
        <w:rPr>
          <w:rFonts w:ascii="Arial" w:hAnsi="Arial" w:cs="Arial"/>
          <w:sz w:val="24"/>
          <w:szCs w:val="24"/>
          <w:lang w:val="en-GB" w:eastAsia="en-GB"/>
        </w:rPr>
        <w:t xml:space="preserve"> and </w:t>
      </w:r>
      <w:proofErr w:type="spellStart"/>
      <w:r w:rsidRPr="00C362B0">
        <w:rPr>
          <w:rFonts w:ascii="Arial" w:hAnsi="Arial" w:cs="Arial"/>
          <w:sz w:val="24"/>
          <w:szCs w:val="24"/>
          <w:lang w:val="en-GB" w:eastAsia="en-GB"/>
        </w:rPr>
        <w:t>Pigneur</w:t>
      </w:r>
      <w:proofErr w:type="spellEnd"/>
      <w:r w:rsidRPr="00C362B0">
        <w:rPr>
          <w:rFonts w:ascii="Arial" w:hAnsi="Arial" w:cs="Arial"/>
          <w:sz w:val="24"/>
          <w:szCs w:val="24"/>
          <w:lang w:val="en-GB" w:eastAsia="en-GB"/>
        </w:rPr>
        <w:t xml:space="preserve"> (2010).</w:t>
      </w:r>
    </w:p>
    <w:p w14:paraId="6CBF9789" w14:textId="0F021739" w:rsidR="007A3BC5" w:rsidRPr="00C362B0" w:rsidRDefault="00336F5B" w:rsidP="00336F5B">
      <w:pPr>
        <w:pStyle w:val="Heading2"/>
        <w:rPr>
          <w:rFonts w:cs="Arial"/>
          <w:sz w:val="24"/>
          <w:szCs w:val="24"/>
          <w:lang w:val="en-GB" w:eastAsia="en-GB"/>
        </w:rPr>
      </w:pPr>
      <w:bookmarkStart w:id="35" w:name="_Toc239091447"/>
      <w:r w:rsidRPr="00C362B0">
        <w:rPr>
          <w:rFonts w:cs="Arial"/>
          <w:sz w:val="24"/>
          <w:szCs w:val="24"/>
          <w:lang w:val="en-GB" w:eastAsia="en-GB"/>
        </w:rPr>
        <w:t>4</w:t>
      </w:r>
      <w:r w:rsidR="007A3BC5" w:rsidRPr="00C362B0">
        <w:rPr>
          <w:lang w:val="en-GB" w:eastAsia="en-GB"/>
        </w:rPr>
        <w:t>.6 Reliability and Validity</w:t>
      </w:r>
      <w:bookmarkEnd w:id="35"/>
    </w:p>
    <w:p w14:paraId="0D2545D4" w14:textId="2D58397F" w:rsidR="007A3BC5" w:rsidRPr="00C362B0" w:rsidRDefault="00717BB1" w:rsidP="007A3BC5">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Data triangulation and multiple secondary sources will be used to strengthen reliability and validity by cross-checking evidence across government, industry, commercial and academic sources. Reliability concerns whether evidence is consistent and reproducible, while validity concerns whether the selected data appropriately measure </w:t>
      </w:r>
      <w:r w:rsidRPr="00C362B0">
        <w:rPr>
          <w:rFonts w:ascii="Arial" w:hAnsi="Arial" w:cs="Arial"/>
          <w:sz w:val="24"/>
          <w:szCs w:val="24"/>
          <w:lang w:val="en-GB" w:eastAsia="en-GB"/>
        </w:rPr>
        <w:lastRenderedPageBreak/>
        <w:t>the issue being analysed. Where conflicting figures are identified, differences in publication date, definitions and methodology will be examined, with the most authoritative and current source prioritised and significant discrepancies transparently reported. Competitor websites and commercial property listings may contain promotional or commercial bias; therefore, such information will be cross-checked against independent or alternative sources where available. Multiple sources will be used rather than relying on a single dataset. Government sources such as ONS and Manchester City Council, alongside Sport England, recognised industry reports and peer-reviewed academic literature, will provide the principal evidence base. Source dates will also be considered, particularly for changing membership prices and rental costs</w:t>
      </w:r>
      <w:r w:rsidR="007A3BC5" w:rsidRPr="00C362B0">
        <w:rPr>
          <w:rFonts w:ascii="Arial" w:hAnsi="Arial" w:cs="Arial"/>
          <w:sz w:val="24"/>
          <w:szCs w:val="24"/>
          <w:lang w:val="en-GB" w:eastAsia="en-GB"/>
        </w:rPr>
        <w:t xml:space="preserve">. </w:t>
      </w:r>
    </w:p>
    <w:p w14:paraId="69F48E96" w14:textId="4535A101" w:rsidR="007A3BC5" w:rsidRPr="00C362B0" w:rsidRDefault="00336F5B" w:rsidP="00336F5B">
      <w:pPr>
        <w:pStyle w:val="Heading2"/>
        <w:rPr>
          <w:lang w:val="en-GB"/>
        </w:rPr>
      </w:pPr>
      <w:bookmarkStart w:id="36" w:name="_Toc239091448"/>
      <w:r w:rsidRPr="00C362B0">
        <w:rPr>
          <w:lang w:val="en-GB"/>
        </w:rPr>
        <w:t>4</w:t>
      </w:r>
      <w:r w:rsidR="007A3BC5" w:rsidRPr="00C362B0">
        <w:rPr>
          <w:lang w:val="en-GB"/>
        </w:rPr>
        <w:t>.7 Limitations and Ethical Considerations</w:t>
      </w:r>
      <w:bookmarkEnd w:id="36"/>
    </w:p>
    <w:p w14:paraId="39C4647B" w14:textId="202043B0" w:rsidR="00C80C9F" w:rsidRPr="00C362B0" w:rsidRDefault="00E13C23" w:rsidP="00B97ACC">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The main limitation is the reliance on secondary data, particularly because </w:t>
      </w:r>
      <w:proofErr w:type="spellStart"/>
      <w:r w:rsidRPr="00C362B0">
        <w:rPr>
          <w:rFonts w:ascii="Arial" w:hAnsi="Arial" w:cs="Arial"/>
          <w:sz w:val="24"/>
          <w:szCs w:val="24"/>
          <w:lang w:val="en-GB" w:eastAsia="en-GB"/>
        </w:rPr>
        <w:t>Levenshulme</w:t>
      </w:r>
      <w:proofErr w:type="spellEnd"/>
      <w:r w:rsidRPr="00C362B0">
        <w:rPr>
          <w:rFonts w:ascii="Arial" w:hAnsi="Arial" w:cs="Arial"/>
          <w:sz w:val="24"/>
          <w:szCs w:val="24"/>
          <w:lang w:val="en-GB" w:eastAsia="en-GB"/>
        </w:rPr>
        <w:t xml:space="preserve">-specific evidence on gym demand, willingness to pay and fitness preferences is limited. The absence of primary surveys and interviews prevents direct measurement of prospective customers’ views. Competitor prices, promotional offers and commercial rents may change over time, while commercial data may have limited availability. Conflicting definitions across datasets may also affect direct comparability, and commercial sources may contain promotional bias. Furthermore, the rapid development of AI and digital fitness technologies may reduce the applicability of some existing evidence. Ethically, the research uses publicly available secondary data and involves no participant recruitment, surveys, interviews or personal data collection. Sources will be accurately cited using UWTSD Harvard (Cite Them Right), and evidence will not be fabricated or misrepresented. Customer-related findings will be interpreted responsibly. </w:t>
      </w:r>
    </w:p>
    <w:p w14:paraId="1089D95B" w14:textId="2FA2140C" w:rsidR="002576E9" w:rsidRPr="00C362B0" w:rsidRDefault="002576E9" w:rsidP="002576E9">
      <w:pPr>
        <w:pStyle w:val="Heading2"/>
        <w:rPr>
          <w:lang w:val="en-GB" w:eastAsia="en-GB"/>
        </w:rPr>
      </w:pPr>
      <w:bookmarkStart w:id="37" w:name="_Toc239091449"/>
      <w:r w:rsidRPr="00C362B0">
        <w:rPr>
          <w:lang w:val="en-GB" w:eastAsia="en-GB"/>
        </w:rPr>
        <w:t>4.8 Chapter Summary</w:t>
      </w:r>
      <w:bookmarkEnd w:id="37"/>
    </w:p>
    <w:p w14:paraId="7B527ADF" w14:textId="4CA5D9EB" w:rsidR="00FF5F31" w:rsidRPr="00C362B0" w:rsidRDefault="002576E9" w:rsidP="002576E9">
      <w:pPr>
        <w:spacing w:before="240" w:line="360" w:lineRule="auto"/>
        <w:jc w:val="both"/>
        <w:rPr>
          <w:rFonts w:ascii="Arial" w:hAnsi="Arial" w:cs="Arial"/>
          <w:sz w:val="24"/>
          <w:szCs w:val="24"/>
          <w:lang w:val="en-GB" w:eastAsia="en-GB"/>
        </w:rPr>
      </w:pPr>
      <w:r w:rsidRPr="00C362B0">
        <w:rPr>
          <w:rFonts w:ascii="Arial" w:hAnsi="Arial" w:cs="Arial"/>
          <w:sz w:val="24"/>
          <w:szCs w:val="24"/>
          <w:lang w:val="en-GB" w:eastAsia="en-GB"/>
        </w:rPr>
        <w:t xml:space="preserve">This chapter has established a transparent secondary research methodology for evaluating </w:t>
      </w:r>
      <w:proofErr w:type="spellStart"/>
      <w:r w:rsidRPr="00C362B0">
        <w:rPr>
          <w:rFonts w:ascii="Arial" w:hAnsi="Arial" w:cs="Arial"/>
          <w:sz w:val="24"/>
          <w:szCs w:val="24"/>
          <w:lang w:val="en-GB" w:eastAsia="en-GB"/>
        </w:rPr>
        <w:t>FitLife</w:t>
      </w:r>
      <w:proofErr w:type="spellEnd"/>
      <w:r w:rsidRPr="00C362B0">
        <w:rPr>
          <w:rFonts w:ascii="Arial" w:hAnsi="Arial" w:cs="Arial"/>
          <w:sz w:val="24"/>
          <w:szCs w:val="24"/>
          <w:lang w:val="en-GB" w:eastAsia="en-GB"/>
        </w:rPr>
        <w:t xml:space="preserve"> Smart Gym. The structured process of source selection, credibility assessment, data triangulation and mixed analytical techniques provides a consistent basis for the subsequent market, competitive, strategic, financial, operational and feasibility analyses.</w:t>
      </w:r>
    </w:p>
    <w:p w14:paraId="4EAD2679" w14:textId="77777777" w:rsidR="007F3C9C" w:rsidRPr="00C362B0" w:rsidRDefault="007F3C9C" w:rsidP="00C362B0">
      <w:pPr>
        <w:pStyle w:val="Heading1"/>
        <w:jc w:val="center"/>
        <w:rPr>
          <w:rFonts w:eastAsia="Times New Roman"/>
          <w:lang w:val="en-GB" w:eastAsia="en-GB"/>
        </w:rPr>
      </w:pPr>
      <w:bookmarkStart w:id="38" w:name="_Toc239091450"/>
      <w:r w:rsidRPr="00C362B0">
        <w:rPr>
          <w:rFonts w:eastAsia="Times New Roman"/>
          <w:lang w:val="en-GB" w:eastAsia="en-GB"/>
        </w:rPr>
        <w:lastRenderedPageBreak/>
        <w:t>Chapter 5 — Market Opportunity Analysis</w:t>
      </w:r>
      <w:bookmarkEnd w:id="38"/>
    </w:p>
    <w:p w14:paraId="6C87E128" w14:textId="77777777" w:rsidR="00C362B0" w:rsidRPr="00C362B0" w:rsidRDefault="00C362B0" w:rsidP="00C362B0">
      <w:pPr>
        <w:pStyle w:val="Heading2"/>
        <w:rPr>
          <w:lang w:val="en-GB"/>
        </w:rPr>
      </w:pPr>
      <w:bookmarkStart w:id="39" w:name="_Toc239091451"/>
      <w:r w:rsidRPr="00C362B0">
        <w:rPr>
          <w:lang w:val="en-GB"/>
        </w:rPr>
        <w:t>5.1 Scope and Market Definition</w:t>
      </w:r>
      <w:bookmarkEnd w:id="39"/>
    </w:p>
    <w:p w14:paraId="77213438" w14:textId="4156D93C" w:rsidR="004A0E5E" w:rsidRPr="00C362B0" w:rsidRDefault="00467C2B" w:rsidP="00460EDC">
      <w:pPr>
        <w:spacing w:before="240" w:line="360" w:lineRule="auto"/>
        <w:jc w:val="both"/>
        <w:rPr>
          <w:rFonts w:ascii="Arial" w:hAnsi="Arial" w:cs="Arial"/>
          <w:sz w:val="24"/>
          <w:szCs w:val="24"/>
          <w:lang w:val="en-GB"/>
        </w:rPr>
      </w:pPr>
      <w:r w:rsidRPr="00467C2B">
        <w:rPr>
          <w:rFonts w:ascii="Arial" w:hAnsi="Arial" w:cs="Arial"/>
          <w:sz w:val="24"/>
          <w:szCs w:val="24"/>
          <w:lang w:val="en-GB"/>
        </w:rPr>
        <w:t xml:space="preserve">For this analysis, the relevant market is defined as AI-powered hybrid gym and fitness/wellness services purchased by digitally receptive adult consumers within </w:t>
      </w:r>
      <w:proofErr w:type="spellStart"/>
      <w:r w:rsidRPr="00467C2B">
        <w:rPr>
          <w:rFonts w:ascii="Arial" w:hAnsi="Arial" w:cs="Arial"/>
          <w:sz w:val="24"/>
          <w:szCs w:val="24"/>
          <w:lang w:val="en-GB"/>
        </w:rPr>
        <w:t>Levenshulme</w:t>
      </w:r>
      <w:proofErr w:type="spellEnd"/>
      <w:r w:rsidRPr="00467C2B">
        <w:rPr>
          <w:rFonts w:ascii="Arial" w:hAnsi="Arial" w:cs="Arial"/>
          <w:sz w:val="24"/>
          <w:szCs w:val="24"/>
          <w:lang w:val="en-GB"/>
        </w:rPr>
        <w:t xml:space="preserve"> and a realistic surrounding Manchester catchment, delivered through a physical gym and supporting digital channels using current 2026 market evidence. The market therefore includes customers seeking conventional gym access alongside personalised fitness guidance, wearable-supported monitoring and digital engagement. The geographical boundary extends beyond </w:t>
      </w:r>
      <w:proofErr w:type="spellStart"/>
      <w:r w:rsidRPr="00467C2B">
        <w:rPr>
          <w:rFonts w:ascii="Arial" w:hAnsi="Arial" w:cs="Arial"/>
          <w:sz w:val="24"/>
          <w:szCs w:val="24"/>
          <w:lang w:val="en-GB"/>
        </w:rPr>
        <w:t>Levenshulme</w:t>
      </w:r>
      <w:proofErr w:type="spellEnd"/>
      <w:r w:rsidRPr="00467C2B">
        <w:rPr>
          <w:rFonts w:ascii="Arial" w:hAnsi="Arial" w:cs="Arial"/>
          <w:sz w:val="24"/>
          <w:szCs w:val="24"/>
          <w:lang w:val="en-GB"/>
        </w:rPr>
        <w:t xml:space="preserve"> itself because customers may travel from neighbouring areas where transport accessibility and travel time make the proposed facility realistically reachable. The channel boundary includes on-site membership and services together with app-based and digital support. This definition is commercially appropriate because it connects the proposed offer, identifiable customer group, realistic catchment and delivery model, rather than treating the wider UK fitness industry as </w:t>
      </w:r>
      <w:proofErr w:type="spellStart"/>
      <w:r w:rsidRPr="00467C2B">
        <w:rPr>
          <w:rFonts w:ascii="Arial" w:hAnsi="Arial" w:cs="Arial"/>
          <w:sz w:val="24"/>
          <w:szCs w:val="24"/>
          <w:lang w:val="en-GB"/>
        </w:rPr>
        <w:t>FitLife's</w:t>
      </w:r>
      <w:proofErr w:type="spellEnd"/>
      <w:r w:rsidRPr="00467C2B">
        <w:rPr>
          <w:rFonts w:ascii="Arial" w:hAnsi="Arial" w:cs="Arial"/>
          <w:sz w:val="24"/>
          <w:szCs w:val="24"/>
          <w:lang w:val="en-GB"/>
        </w:rPr>
        <w:t xml:space="preserve"> directly accessible market.</w:t>
      </w:r>
    </w:p>
    <w:p w14:paraId="4FDD421A" w14:textId="77777777" w:rsidR="004A0E5E" w:rsidRPr="00C362B0" w:rsidRDefault="004A0E5E" w:rsidP="00C362B0">
      <w:pPr>
        <w:pStyle w:val="Heading2"/>
        <w:rPr>
          <w:lang w:val="en-GB"/>
        </w:rPr>
      </w:pPr>
      <w:bookmarkStart w:id="40" w:name="_Toc239091452"/>
      <w:r w:rsidRPr="00C362B0">
        <w:rPr>
          <w:lang w:val="en-GB"/>
        </w:rPr>
        <w:t>5.2 Market Size and Growth</w:t>
      </w:r>
      <w:bookmarkEnd w:id="40"/>
    </w:p>
    <w:p w14:paraId="4120CB10" w14:textId="64BD177C" w:rsidR="00B2423C" w:rsidRPr="00B2423C" w:rsidRDefault="00B2423C" w:rsidP="00B2423C">
      <w:pPr>
        <w:spacing w:before="240" w:line="360" w:lineRule="auto"/>
        <w:jc w:val="both"/>
        <w:rPr>
          <w:rFonts w:ascii="Arial" w:hAnsi="Arial" w:cs="Arial"/>
          <w:sz w:val="24"/>
          <w:szCs w:val="24"/>
          <w:lang w:val="en-GB"/>
        </w:rPr>
      </w:pPr>
      <w:r w:rsidRPr="00B2423C">
        <w:rPr>
          <w:rFonts w:ascii="Arial" w:hAnsi="Arial" w:cs="Arial"/>
          <w:sz w:val="24"/>
          <w:szCs w:val="24"/>
          <w:lang w:val="en-GB"/>
        </w:rPr>
        <w:t>The UK health and fitness sector provides evidence of an established and expanding market. In 2025, 12.2 million people aged over 16 were members of a health and fitness club, representing an 18% penetration rate, while club visits increased to 679 million and total sector income reached £6.5 billion, compared with £5.7 billion in 2024 (</w:t>
      </w:r>
      <w:proofErr w:type="spellStart"/>
      <w:r w:rsidRPr="00B2423C">
        <w:rPr>
          <w:rFonts w:ascii="Arial" w:hAnsi="Arial" w:cs="Arial"/>
          <w:sz w:val="24"/>
          <w:szCs w:val="24"/>
          <w:lang w:val="en-GB"/>
        </w:rPr>
        <w:t>ukactive</w:t>
      </w:r>
      <w:proofErr w:type="spellEnd"/>
      <w:r w:rsidRPr="00B2423C">
        <w:rPr>
          <w:rFonts w:ascii="Arial" w:hAnsi="Arial" w:cs="Arial"/>
          <w:sz w:val="24"/>
          <w:szCs w:val="24"/>
          <w:lang w:val="en-GB"/>
        </w:rPr>
        <w:t xml:space="preserve">, 2026). The increase in visits and membership alongside income growth provides stronger evidence of expanding participation than revenue growth alone. Nevertheless, national market growth cannot be treated as </w:t>
      </w:r>
      <w:proofErr w:type="spellStart"/>
      <w:r w:rsidRPr="00B2423C">
        <w:rPr>
          <w:rFonts w:ascii="Arial" w:hAnsi="Arial" w:cs="Arial"/>
          <w:sz w:val="24"/>
          <w:szCs w:val="24"/>
          <w:lang w:val="en-GB"/>
        </w:rPr>
        <w:t>FitLife’s</w:t>
      </w:r>
      <w:proofErr w:type="spellEnd"/>
      <w:r w:rsidRPr="00B2423C">
        <w:rPr>
          <w:rFonts w:ascii="Arial" w:hAnsi="Arial" w:cs="Arial"/>
          <w:sz w:val="24"/>
          <w:szCs w:val="24"/>
          <w:lang w:val="en-GB"/>
        </w:rPr>
        <w:t xml:space="preserve"> directly accessible demand because geographical reach, customer characteristics and competitive </w:t>
      </w:r>
      <w:r>
        <w:rPr>
          <w:rFonts w:ascii="Arial" w:hAnsi="Arial" w:cs="Arial"/>
          <w:sz w:val="24"/>
          <w:szCs w:val="24"/>
          <w:lang w:val="en-GB"/>
        </w:rPr>
        <w:t>conditions differ considerably.</w:t>
      </w:r>
    </w:p>
    <w:p w14:paraId="7F520DBA" w14:textId="2B734972" w:rsidR="00B2423C" w:rsidRPr="00B2423C" w:rsidRDefault="00B2423C" w:rsidP="00B2423C">
      <w:pPr>
        <w:spacing w:before="240" w:line="360" w:lineRule="auto"/>
        <w:jc w:val="both"/>
        <w:rPr>
          <w:rFonts w:ascii="Arial" w:hAnsi="Arial" w:cs="Arial"/>
          <w:sz w:val="24"/>
          <w:szCs w:val="24"/>
          <w:lang w:val="en-GB"/>
        </w:rPr>
      </w:pPr>
      <w:r w:rsidRPr="00B2423C">
        <w:rPr>
          <w:rFonts w:ascii="Arial" w:hAnsi="Arial" w:cs="Arial"/>
          <w:sz w:val="24"/>
          <w:szCs w:val="24"/>
          <w:lang w:val="en-GB"/>
        </w:rPr>
        <w:t xml:space="preserve">The market can therefore be narrowed from TAM to SAM and SOM. At the broadest level, the UK fitness sector represents </w:t>
      </w:r>
      <w:proofErr w:type="spellStart"/>
      <w:r w:rsidRPr="00B2423C">
        <w:rPr>
          <w:rFonts w:ascii="Arial" w:hAnsi="Arial" w:cs="Arial"/>
          <w:sz w:val="24"/>
          <w:szCs w:val="24"/>
          <w:lang w:val="en-GB"/>
        </w:rPr>
        <w:t>FitLife’s</w:t>
      </w:r>
      <w:proofErr w:type="spellEnd"/>
      <w:r w:rsidRPr="00B2423C">
        <w:rPr>
          <w:rFonts w:ascii="Arial" w:hAnsi="Arial" w:cs="Arial"/>
          <w:sz w:val="24"/>
          <w:szCs w:val="24"/>
          <w:lang w:val="en-GB"/>
        </w:rPr>
        <w:t xml:space="preserve"> TAM context. Manchester provides the relevant urban market, with 551,937 residents recorded in the 2021 Census (Manchester City Council, 2026). The city contained 61,887 residents aged 20–24, 52,583 aged 25–29 and 47,999 aged 30–34, indicating a substantial working-age </w:t>
      </w:r>
      <w:r w:rsidRPr="00B2423C">
        <w:rPr>
          <w:rFonts w:ascii="Arial" w:hAnsi="Arial" w:cs="Arial"/>
          <w:sz w:val="24"/>
          <w:szCs w:val="24"/>
          <w:lang w:val="en-GB"/>
        </w:rPr>
        <w:lastRenderedPageBreak/>
        <w:t xml:space="preserve">population relevant to </w:t>
      </w:r>
      <w:proofErr w:type="spellStart"/>
      <w:r w:rsidRPr="00B2423C">
        <w:rPr>
          <w:rFonts w:ascii="Arial" w:hAnsi="Arial" w:cs="Arial"/>
          <w:sz w:val="24"/>
          <w:szCs w:val="24"/>
          <w:lang w:val="en-GB"/>
        </w:rPr>
        <w:t>FitLife’s</w:t>
      </w:r>
      <w:proofErr w:type="spellEnd"/>
      <w:r w:rsidRPr="00B2423C">
        <w:rPr>
          <w:rFonts w:ascii="Arial" w:hAnsi="Arial" w:cs="Arial"/>
          <w:sz w:val="24"/>
          <w:szCs w:val="24"/>
          <w:lang w:val="en-GB"/>
        </w:rPr>
        <w:t xml:space="preserve"> proposed digitally receptive customer segment (Manchester City Council, 2026). </w:t>
      </w:r>
    </w:p>
    <w:p w14:paraId="46D264E2" w14:textId="5F943819" w:rsidR="00B2423C" w:rsidRPr="00B2423C" w:rsidRDefault="00945E0C" w:rsidP="00B2423C">
      <w:pPr>
        <w:spacing w:before="240" w:line="360" w:lineRule="auto"/>
        <w:jc w:val="both"/>
        <w:rPr>
          <w:rFonts w:ascii="Arial" w:hAnsi="Arial" w:cs="Arial"/>
          <w:sz w:val="24"/>
          <w:szCs w:val="24"/>
          <w:lang w:val="en-GB"/>
        </w:rPr>
      </w:pPr>
      <w:r w:rsidRPr="00945E0C">
        <w:rPr>
          <w:rFonts w:ascii="Arial" w:hAnsi="Arial" w:cs="Arial"/>
          <w:sz w:val="24"/>
          <w:szCs w:val="24"/>
          <w:lang w:val="en-GB"/>
        </w:rPr>
        <w:t xml:space="preserve">For the more realistic SAM, </w:t>
      </w:r>
      <w:proofErr w:type="spellStart"/>
      <w:r w:rsidRPr="00945E0C">
        <w:rPr>
          <w:rFonts w:ascii="Arial" w:hAnsi="Arial" w:cs="Arial"/>
          <w:sz w:val="24"/>
          <w:szCs w:val="24"/>
          <w:lang w:val="en-GB"/>
        </w:rPr>
        <w:t>Levenshulme</w:t>
      </w:r>
      <w:proofErr w:type="spellEnd"/>
      <w:r w:rsidRPr="00945E0C">
        <w:rPr>
          <w:rFonts w:ascii="Arial" w:hAnsi="Arial" w:cs="Arial"/>
          <w:sz w:val="24"/>
          <w:szCs w:val="24"/>
          <w:lang w:val="en-GB"/>
        </w:rPr>
        <w:t xml:space="preserve"> provides the initial geographical focus, with 19,647 residents recorded in the 2021 Census. Applying Manchester’s 20–34 age distribution as an indicative benchmark gives an estimated 5,784 residents aged 20–34 in </w:t>
      </w:r>
      <w:proofErr w:type="spellStart"/>
      <w:r w:rsidRPr="00945E0C">
        <w:rPr>
          <w:rFonts w:ascii="Arial" w:hAnsi="Arial" w:cs="Arial"/>
          <w:sz w:val="24"/>
          <w:szCs w:val="24"/>
          <w:lang w:val="en-GB"/>
        </w:rPr>
        <w:t>Levenshulme</w:t>
      </w:r>
      <w:proofErr w:type="spellEnd"/>
      <w:r w:rsidRPr="00945E0C">
        <w:rPr>
          <w:rFonts w:ascii="Arial" w:hAnsi="Arial" w:cs="Arial"/>
          <w:sz w:val="24"/>
          <w:szCs w:val="24"/>
          <w:lang w:val="en-GB"/>
        </w:rPr>
        <w:t xml:space="preserve">. This is calculated by combining Manchester’s 20–24 (61,887), 25–29 (52,583) and 30–34 (47,999) populations, representing approximately 29.44% of Manchester’s 551,937 population, and applying this proportion to </w:t>
      </w:r>
      <w:proofErr w:type="spellStart"/>
      <w:r w:rsidRPr="00945E0C">
        <w:rPr>
          <w:rFonts w:ascii="Arial" w:hAnsi="Arial" w:cs="Arial"/>
          <w:sz w:val="24"/>
          <w:szCs w:val="24"/>
          <w:lang w:val="en-GB"/>
        </w:rPr>
        <w:t>Levenshulme’s</w:t>
      </w:r>
      <w:proofErr w:type="spellEnd"/>
      <w:r w:rsidRPr="00945E0C">
        <w:rPr>
          <w:rFonts w:ascii="Arial" w:hAnsi="Arial" w:cs="Arial"/>
          <w:sz w:val="24"/>
          <w:szCs w:val="24"/>
          <w:lang w:val="en-GB"/>
        </w:rPr>
        <w:t xml:space="preserve"> population. This is a derived estimate rather than a directly observed </w:t>
      </w:r>
      <w:proofErr w:type="spellStart"/>
      <w:r w:rsidRPr="00945E0C">
        <w:rPr>
          <w:rFonts w:ascii="Arial" w:hAnsi="Arial" w:cs="Arial"/>
          <w:sz w:val="24"/>
          <w:szCs w:val="24"/>
          <w:lang w:val="en-GB"/>
        </w:rPr>
        <w:t>Levenshulme</w:t>
      </w:r>
      <w:proofErr w:type="spellEnd"/>
      <w:r w:rsidRPr="00945E0C">
        <w:rPr>
          <w:rFonts w:ascii="Arial" w:hAnsi="Arial" w:cs="Arial"/>
          <w:sz w:val="24"/>
          <w:szCs w:val="24"/>
          <w:lang w:val="en-GB"/>
        </w:rPr>
        <w:t xml:space="preserve">-specific age figure and should therefore be interpreted cautiously (Manchester City Council, 2026). Applying the UK’s 18% fitness-membership penetration as a broad participation benchmark produces approximately 1,041 potential fitness participants within this estimated age group. However, this figure does not establish confirmed local demand for </w:t>
      </w:r>
      <w:proofErr w:type="spellStart"/>
      <w:r w:rsidRPr="00945E0C">
        <w:rPr>
          <w:rFonts w:ascii="Arial" w:hAnsi="Arial" w:cs="Arial"/>
          <w:sz w:val="24"/>
          <w:szCs w:val="24"/>
          <w:lang w:val="en-GB"/>
        </w:rPr>
        <w:t>FitLife</w:t>
      </w:r>
      <w:proofErr w:type="spellEnd"/>
      <w:r w:rsidRPr="00945E0C">
        <w:rPr>
          <w:rFonts w:ascii="Arial" w:hAnsi="Arial" w:cs="Arial"/>
          <w:sz w:val="24"/>
          <w:szCs w:val="24"/>
          <w:lang w:val="en-GB"/>
        </w:rPr>
        <w:t xml:space="preserve"> or willingness to pay fo</w:t>
      </w:r>
      <w:r>
        <w:rPr>
          <w:rFonts w:ascii="Arial" w:hAnsi="Arial" w:cs="Arial"/>
          <w:sz w:val="24"/>
          <w:szCs w:val="24"/>
          <w:lang w:val="en-GB"/>
        </w:rPr>
        <w:t>r AI-supported fitness services</w:t>
      </w:r>
      <w:r w:rsidR="00B2423C">
        <w:rPr>
          <w:rFonts w:ascii="Arial" w:hAnsi="Arial" w:cs="Arial"/>
          <w:sz w:val="24"/>
          <w:szCs w:val="24"/>
          <w:lang w:val="en-GB"/>
        </w:rPr>
        <w:t>.</w:t>
      </w:r>
    </w:p>
    <w:p w14:paraId="5DED4C2D" w14:textId="50769680" w:rsidR="004A0E5E" w:rsidRDefault="004A2239" w:rsidP="00B2423C">
      <w:pPr>
        <w:spacing w:before="240" w:line="360" w:lineRule="auto"/>
        <w:jc w:val="both"/>
        <w:rPr>
          <w:rFonts w:ascii="Arial" w:hAnsi="Arial" w:cs="Arial"/>
          <w:sz w:val="24"/>
          <w:szCs w:val="24"/>
          <w:lang w:val="en-GB"/>
        </w:rPr>
      </w:pPr>
      <w:r w:rsidRPr="004A2239">
        <w:rPr>
          <w:rFonts w:ascii="Arial" w:hAnsi="Arial" w:cs="Arial"/>
          <w:sz w:val="24"/>
          <w:szCs w:val="24"/>
          <w:lang w:val="en-GB"/>
        </w:rPr>
        <w:t xml:space="preserve">The SOM should therefore be based on </w:t>
      </w:r>
      <w:proofErr w:type="spellStart"/>
      <w:r w:rsidRPr="004A2239">
        <w:rPr>
          <w:rFonts w:ascii="Arial" w:hAnsi="Arial" w:cs="Arial"/>
          <w:sz w:val="24"/>
          <w:szCs w:val="24"/>
          <w:lang w:val="en-GB"/>
        </w:rPr>
        <w:t>FitLife’s</w:t>
      </w:r>
      <w:proofErr w:type="spellEnd"/>
      <w:r w:rsidRPr="004A2239">
        <w:rPr>
          <w:rFonts w:ascii="Arial" w:hAnsi="Arial" w:cs="Arial"/>
          <w:sz w:val="24"/>
          <w:szCs w:val="24"/>
          <w:lang w:val="en-GB"/>
        </w:rPr>
        <w:t xml:space="preserve"> achievable launch capacity rather than an arbitrary percentage of the market. Based on the estimated local fitness-participant pool of approximately 1,040 people, an initial target of 150 paying members would represent around 14.4% of this estimated pool. This should be treated as a conservative launch-capacity assumption rather than a guaranteed market share, and its achievability will depend on premises capacity, customer acquisition, conversion and retention. The assumption should therefore be tested through pre-launch registrations, customer surveys and early membership conversion data. Technology trends further support the opportunity, with wearable technology and mobile exercise applications ranking highly among glo</w:t>
      </w:r>
      <w:r>
        <w:rPr>
          <w:rFonts w:ascii="Arial" w:hAnsi="Arial" w:cs="Arial"/>
          <w:sz w:val="24"/>
          <w:szCs w:val="24"/>
          <w:lang w:val="en-GB"/>
        </w:rPr>
        <w:t>bal fitness trends (ACSM, 2024)</w:t>
      </w:r>
      <w:r w:rsidR="00C362B0" w:rsidRPr="00C362B0">
        <w:rPr>
          <w:rFonts w:ascii="Arial" w:hAnsi="Arial" w:cs="Arial"/>
          <w:sz w:val="24"/>
          <w:szCs w:val="24"/>
          <w:lang w:val="en-GB"/>
        </w:rPr>
        <w:t>.</w:t>
      </w:r>
    </w:p>
    <w:p w14:paraId="24B6F8A7" w14:textId="77777777" w:rsidR="004A2239" w:rsidRPr="00C362B0" w:rsidRDefault="004A2239" w:rsidP="00B2423C">
      <w:pPr>
        <w:spacing w:before="240" w:line="360" w:lineRule="auto"/>
        <w:jc w:val="both"/>
        <w:rPr>
          <w:rFonts w:ascii="Arial" w:hAnsi="Arial" w:cs="Arial"/>
          <w:sz w:val="24"/>
          <w:szCs w:val="24"/>
          <w:lang w:val="en-GB"/>
        </w:rPr>
      </w:pPr>
    </w:p>
    <w:p w14:paraId="73905347" w14:textId="77777777" w:rsidR="004A0E5E" w:rsidRPr="00C362B0" w:rsidRDefault="004A0E5E" w:rsidP="00C362B0">
      <w:pPr>
        <w:pStyle w:val="Heading2"/>
        <w:rPr>
          <w:lang w:val="en-GB"/>
        </w:rPr>
      </w:pPr>
      <w:bookmarkStart w:id="41" w:name="_Toc239091453"/>
      <w:r w:rsidRPr="00C362B0">
        <w:rPr>
          <w:lang w:val="en-GB"/>
        </w:rPr>
        <w:t>5.3 Market Segmentation and Target Customer</w:t>
      </w:r>
      <w:bookmarkEnd w:id="41"/>
    </w:p>
    <w:p w14:paraId="22CB7522" w14:textId="4AF69695" w:rsidR="0090495E" w:rsidRPr="0090495E" w:rsidRDefault="0090495E" w:rsidP="0090495E">
      <w:pPr>
        <w:spacing w:before="240" w:line="360" w:lineRule="auto"/>
        <w:jc w:val="both"/>
        <w:rPr>
          <w:rFonts w:ascii="Arial" w:hAnsi="Arial" w:cs="Arial"/>
          <w:sz w:val="24"/>
          <w:szCs w:val="24"/>
          <w:lang w:val="en-GB"/>
        </w:rPr>
      </w:pPr>
      <w:proofErr w:type="spellStart"/>
      <w:r w:rsidRPr="0090495E">
        <w:rPr>
          <w:rFonts w:ascii="Arial" w:hAnsi="Arial" w:cs="Arial"/>
          <w:sz w:val="24"/>
          <w:szCs w:val="24"/>
          <w:lang w:val="en-GB"/>
        </w:rPr>
        <w:t>FitLife’s</w:t>
      </w:r>
      <w:proofErr w:type="spellEnd"/>
      <w:r w:rsidRPr="0090495E">
        <w:rPr>
          <w:rFonts w:ascii="Arial" w:hAnsi="Arial" w:cs="Arial"/>
          <w:sz w:val="24"/>
          <w:szCs w:val="24"/>
          <w:lang w:val="en-GB"/>
        </w:rPr>
        <w:t xml:space="preserve"> market can be segmented geographically, demographically, </w:t>
      </w:r>
      <w:proofErr w:type="spellStart"/>
      <w:r w:rsidRPr="0090495E">
        <w:rPr>
          <w:rFonts w:ascii="Arial" w:hAnsi="Arial" w:cs="Arial"/>
          <w:sz w:val="24"/>
          <w:szCs w:val="24"/>
          <w:lang w:val="en-GB"/>
        </w:rPr>
        <w:t>psychographically</w:t>
      </w:r>
      <w:proofErr w:type="spellEnd"/>
      <w:r w:rsidRPr="0090495E">
        <w:rPr>
          <w:rFonts w:ascii="Arial" w:hAnsi="Arial" w:cs="Arial"/>
          <w:sz w:val="24"/>
          <w:szCs w:val="24"/>
          <w:lang w:val="en-GB"/>
        </w:rPr>
        <w:t xml:space="preserve"> and behaviourally to identify customers whose needs, accessibility and purchasing circumstances align with its proposed hybrid fitness model. Geographically, the primary catchment is </w:t>
      </w:r>
      <w:proofErr w:type="spellStart"/>
      <w:r w:rsidRPr="0090495E">
        <w:rPr>
          <w:rFonts w:ascii="Arial" w:hAnsi="Arial" w:cs="Arial"/>
          <w:sz w:val="24"/>
          <w:szCs w:val="24"/>
          <w:lang w:val="en-GB"/>
        </w:rPr>
        <w:t>Levenshulme</w:t>
      </w:r>
      <w:proofErr w:type="spellEnd"/>
      <w:r w:rsidRPr="0090495E">
        <w:rPr>
          <w:rFonts w:ascii="Arial" w:hAnsi="Arial" w:cs="Arial"/>
          <w:sz w:val="24"/>
          <w:szCs w:val="24"/>
          <w:lang w:val="en-GB"/>
        </w:rPr>
        <w:t xml:space="preserve">, with potential extension into neighbouring Manchester communities where customers can realistically access the </w:t>
      </w:r>
      <w:r w:rsidRPr="0090495E">
        <w:rPr>
          <w:rFonts w:ascii="Arial" w:hAnsi="Arial" w:cs="Arial"/>
          <w:sz w:val="24"/>
          <w:szCs w:val="24"/>
          <w:lang w:val="en-GB"/>
        </w:rPr>
        <w:lastRenderedPageBreak/>
        <w:t xml:space="preserve">facility. The 2021 Census recorded 19,647 residents and 7,235 households in </w:t>
      </w:r>
      <w:proofErr w:type="spellStart"/>
      <w:r w:rsidRPr="0090495E">
        <w:rPr>
          <w:rFonts w:ascii="Arial" w:hAnsi="Arial" w:cs="Arial"/>
          <w:sz w:val="24"/>
          <w:szCs w:val="24"/>
          <w:lang w:val="en-GB"/>
        </w:rPr>
        <w:t>Levenshulme</w:t>
      </w:r>
      <w:proofErr w:type="spellEnd"/>
      <w:r w:rsidRPr="0090495E">
        <w:rPr>
          <w:rFonts w:ascii="Arial" w:hAnsi="Arial" w:cs="Arial"/>
          <w:sz w:val="24"/>
          <w:szCs w:val="24"/>
          <w:lang w:val="en-GB"/>
        </w:rPr>
        <w:t>, providing a substantial local population base (Manchester City Council, 2021). However, the ward should not automatically be treated as the entire customer market because actual catchment will depend on travel time, transport accessib</w:t>
      </w:r>
      <w:r>
        <w:rPr>
          <w:rFonts w:ascii="Arial" w:hAnsi="Arial" w:cs="Arial"/>
          <w:sz w:val="24"/>
          <w:szCs w:val="24"/>
          <w:lang w:val="en-GB"/>
        </w:rPr>
        <w:t>ility and competitor locations.</w:t>
      </w:r>
    </w:p>
    <w:p w14:paraId="6C3A9541" w14:textId="0B6623BD" w:rsidR="0090495E" w:rsidRPr="0090495E" w:rsidRDefault="0090495E" w:rsidP="0090495E">
      <w:pPr>
        <w:spacing w:before="240" w:line="360" w:lineRule="auto"/>
        <w:jc w:val="both"/>
        <w:rPr>
          <w:rFonts w:ascii="Arial" w:hAnsi="Arial" w:cs="Arial"/>
          <w:sz w:val="24"/>
          <w:szCs w:val="24"/>
          <w:lang w:val="en-GB"/>
        </w:rPr>
      </w:pPr>
      <w:r w:rsidRPr="0090495E">
        <w:rPr>
          <w:rFonts w:ascii="Arial" w:hAnsi="Arial" w:cs="Arial"/>
          <w:sz w:val="24"/>
          <w:szCs w:val="24"/>
          <w:lang w:val="en-GB"/>
        </w:rPr>
        <w:t xml:space="preserve">Demographically, Manchester has a relatively young population, including 61,887 people aged 20–24, 52,583 aged 25–29 and 47,999 aged 30–34, with a median age of 31 (Manchester City Council, 2021). This supports the relevance of working-age adults as a potential customer group, although these figures are Manchester-wide and cannot be assumed to represent </w:t>
      </w:r>
      <w:proofErr w:type="spellStart"/>
      <w:r w:rsidRPr="0090495E">
        <w:rPr>
          <w:rFonts w:ascii="Arial" w:hAnsi="Arial" w:cs="Arial"/>
          <w:sz w:val="24"/>
          <w:szCs w:val="24"/>
          <w:lang w:val="en-GB"/>
        </w:rPr>
        <w:t>Levenshulme</w:t>
      </w:r>
      <w:proofErr w:type="spellEnd"/>
      <w:r w:rsidRPr="0090495E">
        <w:rPr>
          <w:rFonts w:ascii="Arial" w:hAnsi="Arial" w:cs="Arial"/>
          <w:sz w:val="24"/>
          <w:szCs w:val="24"/>
          <w:lang w:val="en-GB"/>
        </w:rPr>
        <w:t xml:space="preserve"> precisely. </w:t>
      </w:r>
      <w:proofErr w:type="spellStart"/>
      <w:r w:rsidRPr="0090495E">
        <w:rPr>
          <w:rFonts w:ascii="Arial" w:hAnsi="Arial" w:cs="Arial"/>
          <w:sz w:val="24"/>
          <w:szCs w:val="24"/>
          <w:lang w:val="en-GB"/>
        </w:rPr>
        <w:t>Levenshulme’s</w:t>
      </w:r>
      <w:proofErr w:type="spellEnd"/>
      <w:r w:rsidRPr="0090495E">
        <w:rPr>
          <w:rFonts w:ascii="Arial" w:hAnsi="Arial" w:cs="Arial"/>
          <w:sz w:val="24"/>
          <w:szCs w:val="24"/>
          <w:lang w:val="en-GB"/>
        </w:rPr>
        <w:t xml:space="preserve"> household structure also includes 30.2% one-person households, which may indicate a relevant context for flexible and individually oriented leisure services; however, this should not be interpreted as direct evidence of demand for </w:t>
      </w:r>
      <w:proofErr w:type="spellStart"/>
      <w:r w:rsidRPr="0090495E">
        <w:rPr>
          <w:rFonts w:ascii="Arial" w:hAnsi="Arial" w:cs="Arial"/>
          <w:sz w:val="24"/>
          <w:szCs w:val="24"/>
          <w:lang w:val="en-GB"/>
        </w:rPr>
        <w:t>FitLife</w:t>
      </w:r>
      <w:proofErr w:type="spellEnd"/>
      <w:r w:rsidRPr="0090495E">
        <w:rPr>
          <w:rFonts w:ascii="Arial" w:hAnsi="Arial" w:cs="Arial"/>
          <w:sz w:val="24"/>
          <w:szCs w:val="24"/>
          <w:lang w:val="en-GB"/>
        </w:rPr>
        <w:t xml:space="preserve"> (</w:t>
      </w:r>
      <w:r>
        <w:rPr>
          <w:rFonts w:ascii="Arial" w:hAnsi="Arial" w:cs="Arial"/>
          <w:sz w:val="24"/>
          <w:szCs w:val="24"/>
          <w:lang w:val="en-GB"/>
        </w:rPr>
        <w:t>Manchester City Council, 2021).</w:t>
      </w:r>
    </w:p>
    <w:p w14:paraId="37490C00" w14:textId="6AFFFB72" w:rsidR="0090495E" w:rsidRPr="0090495E" w:rsidRDefault="0090495E" w:rsidP="0090495E">
      <w:pPr>
        <w:spacing w:before="240" w:line="360" w:lineRule="auto"/>
        <w:jc w:val="both"/>
        <w:rPr>
          <w:rFonts w:ascii="Arial" w:hAnsi="Arial" w:cs="Arial"/>
          <w:sz w:val="24"/>
          <w:szCs w:val="24"/>
          <w:lang w:val="en-GB"/>
        </w:rPr>
      </w:pPr>
      <w:proofErr w:type="spellStart"/>
      <w:r w:rsidRPr="0090495E">
        <w:rPr>
          <w:rFonts w:ascii="Arial" w:hAnsi="Arial" w:cs="Arial"/>
          <w:sz w:val="24"/>
          <w:szCs w:val="24"/>
          <w:lang w:val="en-GB"/>
        </w:rPr>
        <w:t>Psychographically</w:t>
      </w:r>
      <w:proofErr w:type="spellEnd"/>
      <w:r w:rsidRPr="0090495E">
        <w:rPr>
          <w:rFonts w:ascii="Arial" w:hAnsi="Arial" w:cs="Arial"/>
          <w:sz w:val="24"/>
          <w:szCs w:val="24"/>
          <w:lang w:val="en-GB"/>
        </w:rPr>
        <w:t xml:space="preserve">, </w:t>
      </w:r>
      <w:proofErr w:type="spellStart"/>
      <w:r w:rsidRPr="0090495E">
        <w:rPr>
          <w:rFonts w:ascii="Arial" w:hAnsi="Arial" w:cs="Arial"/>
          <w:sz w:val="24"/>
          <w:szCs w:val="24"/>
          <w:lang w:val="en-GB"/>
        </w:rPr>
        <w:t>FitLife</w:t>
      </w:r>
      <w:proofErr w:type="spellEnd"/>
      <w:r w:rsidRPr="0090495E">
        <w:rPr>
          <w:rFonts w:ascii="Arial" w:hAnsi="Arial" w:cs="Arial"/>
          <w:sz w:val="24"/>
          <w:szCs w:val="24"/>
          <w:lang w:val="en-GB"/>
        </w:rPr>
        <w:t xml:space="preserve"> is intended for consumers who value health and wellbeing, convenience, personalised support and technology-enabled fitness experiences. This is consistent with the wider importance of wearable technology and mobile exercise applications within contemporary fitness trends (ACSM, 2024). Behaviourally, the priority segment comprises existing or potential regular gym users who value exercise, progress monitoring, personalised guidance and convenient digital support. </w:t>
      </w:r>
    </w:p>
    <w:p w14:paraId="2410AB15" w14:textId="2B5F6615" w:rsidR="007D575E" w:rsidRPr="00C362B0" w:rsidRDefault="0090495E" w:rsidP="0090495E">
      <w:pPr>
        <w:spacing w:before="240" w:line="360" w:lineRule="auto"/>
        <w:jc w:val="both"/>
        <w:rPr>
          <w:rFonts w:ascii="Arial" w:hAnsi="Arial" w:cs="Arial"/>
          <w:sz w:val="24"/>
          <w:szCs w:val="24"/>
          <w:lang w:val="en-GB" w:eastAsia="en-GB"/>
        </w:rPr>
      </w:pPr>
      <w:r w:rsidRPr="0090495E">
        <w:rPr>
          <w:rFonts w:ascii="Arial" w:hAnsi="Arial" w:cs="Arial"/>
          <w:sz w:val="24"/>
          <w:szCs w:val="24"/>
          <w:lang w:val="en-GB"/>
        </w:rPr>
        <w:t xml:space="preserve">Therefore, </w:t>
      </w:r>
      <w:proofErr w:type="spellStart"/>
      <w:r w:rsidRPr="0090495E">
        <w:rPr>
          <w:rFonts w:ascii="Arial" w:hAnsi="Arial" w:cs="Arial"/>
          <w:sz w:val="24"/>
          <w:szCs w:val="24"/>
          <w:lang w:val="en-GB"/>
        </w:rPr>
        <w:t>FitLife’s</w:t>
      </w:r>
      <w:proofErr w:type="spellEnd"/>
      <w:r w:rsidRPr="0090495E">
        <w:rPr>
          <w:rFonts w:ascii="Arial" w:hAnsi="Arial" w:cs="Arial"/>
          <w:sz w:val="24"/>
          <w:szCs w:val="24"/>
          <w:lang w:val="en-GB"/>
        </w:rPr>
        <w:t xml:space="preserve"> priority segment is digitally receptive working-age adults in and around </w:t>
      </w:r>
      <w:proofErr w:type="spellStart"/>
      <w:r w:rsidRPr="0090495E">
        <w:rPr>
          <w:rFonts w:ascii="Arial" w:hAnsi="Arial" w:cs="Arial"/>
          <w:sz w:val="24"/>
          <w:szCs w:val="24"/>
          <w:lang w:val="en-GB"/>
        </w:rPr>
        <w:t>Levenshulme</w:t>
      </w:r>
      <w:proofErr w:type="spellEnd"/>
      <w:r w:rsidRPr="0090495E">
        <w:rPr>
          <w:rFonts w:ascii="Arial" w:hAnsi="Arial" w:cs="Arial"/>
          <w:sz w:val="24"/>
          <w:szCs w:val="24"/>
          <w:lang w:val="en-GB"/>
        </w:rPr>
        <w:t xml:space="preserve"> who seek affordable, convenient and personalised fitness support. This is an evidence-informed strategic segment rather than an invented persona. Nevertheless, the available evidence does not establish a sufficiently precise </w:t>
      </w:r>
      <w:proofErr w:type="spellStart"/>
      <w:r w:rsidRPr="0090495E">
        <w:rPr>
          <w:rFonts w:ascii="Arial" w:hAnsi="Arial" w:cs="Arial"/>
          <w:sz w:val="24"/>
          <w:szCs w:val="24"/>
          <w:lang w:val="en-GB"/>
        </w:rPr>
        <w:t>Levenshulme</w:t>
      </w:r>
      <w:proofErr w:type="spellEnd"/>
      <w:r w:rsidRPr="0090495E">
        <w:rPr>
          <w:rFonts w:ascii="Arial" w:hAnsi="Arial" w:cs="Arial"/>
          <w:sz w:val="24"/>
          <w:szCs w:val="24"/>
          <w:lang w:val="en-GB"/>
        </w:rPr>
        <w:t xml:space="preserve">-specific age, income or willingness-to-pay profile. This remains an important assumption requiring validation through customer research. </w:t>
      </w:r>
    </w:p>
    <w:p w14:paraId="1E98653B" w14:textId="7F67C3F9" w:rsidR="00507E1C" w:rsidRPr="00507E1C" w:rsidRDefault="00D81985" w:rsidP="00507E1C">
      <w:pPr>
        <w:pStyle w:val="Heading2"/>
        <w:rPr>
          <w:rFonts w:eastAsia="Times New Roman"/>
          <w:lang w:val="en-GB" w:eastAsia="en-GB"/>
        </w:rPr>
      </w:pPr>
      <w:bookmarkStart w:id="42" w:name="_Toc239091454"/>
      <w:r w:rsidRPr="00C362B0">
        <w:rPr>
          <w:rFonts w:eastAsia="Times New Roman"/>
          <w:lang w:val="en-GB" w:eastAsia="en-GB"/>
        </w:rPr>
        <w:t>5.4 Pain Points, Unmet Needs and Demand</w:t>
      </w:r>
      <w:bookmarkEnd w:id="42"/>
    </w:p>
    <w:p w14:paraId="0C4ED66D" w14:textId="3F15EAFF" w:rsidR="00507E1C" w:rsidRPr="00507E1C" w:rsidRDefault="00507E1C" w:rsidP="00507E1C">
      <w:pPr>
        <w:spacing w:before="240" w:line="360" w:lineRule="auto"/>
        <w:jc w:val="both"/>
        <w:rPr>
          <w:rFonts w:ascii="Arial" w:eastAsia="Times New Roman" w:hAnsi="Arial" w:cs="Arial"/>
          <w:sz w:val="24"/>
          <w:szCs w:val="24"/>
          <w:lang w:val="en-GB" w:eastAsia="en-GB"/>
        </w:rPr>
      </w:pPr>
      <w:r w:rsidRPr="00507E1C">
        <w:rPr>
          <w:rFonts w:ascii="Arial" w:eastAsia="Times New Roman" w:hAnsi="Arial" w:cs="Arial"/>
          <w:sz w:val="24"/>
          <w:szCs w:val="24"/>
          <w:lang w:val="en-GB" w:eastAsia="en-GB"/>
        </w:rPr>
        <w:t xml:space="preserve">An important potential opportunity for </w:t>
      </w:r>
      <w:proofErr w:type="spellStart"/>
      <w:r w:rsidRPr="00507E1C">
        <w:rPr>
          <w:rFonts w:ascii="Arial" w:eastAsia="Times New Roman" w:hAnsi="Arial" w:cs="Arial"/>
          <w:sz w:val="24"/>
          <w:szCs w:val="24"/>
          <w:lang w:val="en-GB" w:eastAsia="en-GB"/>
        </w:rPr>
        <w:t>FitLife</w:t>
      </w:r>
      <w:proofErr w:type="spellEnd"/>
      <w:r w:rsidRPr="00507E1C">
        <w:rPr>
          <w:rFonts w:ascii="Arial" w:eastAsia="Times New Roman" w:hAnsi="Arial" w:cs="Arial"/>
          <w:sz w:val="24"/>
          <w:szCs w:val="24"/>
          <w:lang w:val="en-GB" w:eastAsia="en-GB"/>
        </w:rPr>
        <w:t xml:space="preserve"> arises from the growing interaction between conventional fitness provision and technology-enabled exercise. However, the existence of these trends does not, by itself, establish that local customers specifically experience a need for an AI-supported gym. UK health and fitness activity </w:t>
      </w:r>
      <w:r w:rsidRPr="00507E1C">
        <w:rPr>
          <w:rFonts w:ascii="Arial" w:eastAsia="Times New Roman" w:hAnsi="Arial" w:cs="Arial"/>
          <w:sz w:val="24"/>
          <w:szCs w:val="24"/>
          <w:lang w:val="en-GB" w:eastAsia="en-GB"/>
        </w:rPr>
        <w:lastRenderedPageBreak/>
        <w:t>nevertheless provides evidence of substantial engagement with formal fitness provision: health club visits reached 679 million in 2025, an increase of 10%, while membership reached 12.2 million (</w:t>
      </w:r>
      <w:proofErr w:type="spellStart"/>
      <w:r w:rsidRPr="00507E1C">
        <w:rPr>
          <w:rFonts w:ascii="Arial" w:eastAsia="Times New Roman" w:hAnsi="Arial" w:cs="Arial"/>
          <w:sz w:val="24"/>
          <w:szCs w:val="24"/>
          <w:lang w:val="en-GB" w:eastAsia="en-GB"/>
        </w:rPr>
        <w:t>ukactive</w:t>
      </w:r>
      <w:proofErr w:type="spellEnd"/>
      <w:r w:rsidRPr="00507E1C">
        <w:rPr>
          <w:rFonts w:ascii="Arial" w:eastAsia="Times New Roman" w:hAnsi="Arial" w:cs="Arial"/>
          <w:sz w:val="24"/>
          <w:szCs w:val="24"/>
          <w:lang w:val="en-GB" w:eastAsia="en-GB"/>
        </w:rPr>
        <w:t xml:space="preserve">, 2026). This demonstrates an established customer base for fitness services, although it cannot confirm demand for </w:t>
      </w:r>
      <w:proofErr w:type="spellStart"/>
      <w:r>
        <w:rPr>
          <w:rFonts w:ascii="Arial" w:eastAsia="Times New Roman" w:hAnsi="Arial" w:cs="Arial"/>
          <w:sz w:val="24"/>
          <w:szCs w:val="24"/>
          <w:lang w:val="en-GB" w:eastAsia="en-GB"/>
        </w:rPr>
        <w:t>FitLife’s</w:t>
      </w:r>
      <w:proofErr w:type="spellEnd"/>
      <w:r>
        <w:rPr>
          <w:rFonts w:ascii="Arial" w:eastAsia="Times New Roman" w:hAnsi="Arial" w:cs="Arial"/>
          <w:sz w:val="24"/>
          <w:szCs w:val="24"/>
          <w:lang w:val="en-GB" w:eastAsia="en-GB"/>
        </w:rPr>
        <w:t xml:space="preserve"> specific proposition.</w:t>
      </w:r>
    </w:p>
    <w:p w14:paraId="4C239215" w14:textId="3982F95F" w:rsidR="00507E1C" w:rsidRPr="00507E1C" w:rsidRDefault="00507E1C" w:rsidP="00507E1C">
      <w:pPr>
        <w:spacing w:before="240" w:line="360" w:lineRule="auto"/>
        <w:jc w:val="both"/>
        <w:rPr>
          <w:rFonts w:ascii="Arial" w:eastAsia="Times New Roman" w:hAnsi="Arial" w:cs="Arial"/>
          <w:sz w:val="24"/>
          <w:szCs w:val="24"/>
          <w:lang w:val="en-GB" w:eastAsia="en-GB"/>
        </w:rPr>
      </w:pPr>
      <w:r w:rsidRPr="00507E1C">
        <w:rPr>
          <w:rFonts w:ascii="Arial" w:eastAsia="Times New Roman" w:hAnsi="Arial" w:cs="Arial"/>
          <w:sz w:val="24"/>
          <w:szCs w:val="24"/>
          <w:lang w:val="en-GB" w:eastAsia="en-GB"/>
        </w:rPr>
        <w:t xml:space="preserve">Technology adoption provides further evidence of a potentially relevant customer preference. Wearable technology and mobile exercise applications were among the leading global fitness trends for 2025, while data-driven training technology also ranked highly (ACSM, 2024). This suggests that technology-supported exercise, progress monitoring and data-informed training are becoming increasingly relevant to fitness consumers. However, this evidence establishes technology relevance rather than a confirmed local need for AI coaching. </w:t>
      </w:r>
      <w:proofErr w:type="spellStart"/>
      <w:r w:rsidRPr="00507E1C">
        <w:rPr>
          <w:rFonts w:ascii="Arial" w:eastAsia="Times New Roman" w:hAnsi="Arial" w:cs="Arial"/>
          <w:sz w:val="24"/>
          <w:szCs w:val="24"/>
          <w:lang w:val="en-GB" w:eastAsia="en-GB"/>
        </w:rPr>
        <w:t>FitLife’s</w:t>
      </w:r>
      <w:proofErr w:type="spellEnd"/>
      <w:r w:rsidRPr="00507E1C">
        <w:rPr>
          <w:rFonts w:ascii="Arial" w:eastAsia="Times New Roman" w:hAnsi="Arial" w:cs="Arial"/>
          <w:sz w:val="24"/>
          <w:szCs w:val="24"/>
          <w:lang w:val="en-GB" w:eastAsia="en-GB"/>
        </w:rPr>
        <w:t xml:space="preserve"> opportunity therefore depends on whether customers perceive the combination of AI-assisted guidance, wearable integration and human coaching as sufficiently useful to justify choosing the serv</w:t>
      </w:r>
      <w:r>
        <w:rPr>
          <w:rFonts w:ascii="Arial" w:eastAsia="Times New Roman" w:hAnsi="Arial" w:cs="Arial"/>
          <w:sz w:val="24"/>
          <w:szCs w:val="24"/>
          <w:lang w:val="en-GB" w:eastAsia="en-GB"/>
        </w:rPr>
        <w:t>ice over existing alternatives.</w:t>
      </w:r>
    </w:p>
    <w:p w14:paraId="49016C72" w14:textId="411D6C74" w:rsidR="00507E1C" w:rsidRPr="00507E1C" w:rsidRDefault="00507E1C" w:rsidP="00507E1C">
      <w:pPr>
        <w:spacing w:before="240" w:line="360" w:lineRule="auto"/>
        <w:jc w:val="both"/>
        <w:rPr>
          <w:rFonts w:ascii="Arial" w:eastAsia="Times New Roman" w:hAnsi="Arial" w:cs="Arial"/>
          <w:sz w:val="24"/>
          <w:szCs w:val="24"/>
          <w:lang w:val="en-GB" w:eastAsia="en-GB"/>
        </w:rPr>
      </w:pPr>
      <w:r w:rsidRPr="00507E1C">
        <w:rPr>
          <w:rFonts w:ascii="Arial" w:eastAsia="Times New Roman" w:hAnsi="Arial" w:cs="Arial"/>
          <w:sz w:val="24"/>
          <w:szCs w:val="24"/>
          <w:lang w:val="en-GB" w:eastAsia="en-GB"/>
        </w:rPr>
        <w:t xml:space="preserve">Affordability represents an important constraint on demand. Gym membership is generally discretionary expenditure, meaning customers facing financial pressure may reduce usage, choose cheaper providers or substitute gym membership with home exercise and free digital fitness applications. This creates both a threat and an opportunity: </w:t>
      </w:r>
      <w:proofErr w:type="spellStart"/>
      <w:r w:rsidRPr="00507E1C">
        <w:rPr>
          <w:rFonts w:ascii="Arial" w:eastAsia="Times New Roman" w:hAnsi="Arial" w:cs="Arial"/>
          <w:sz w:val="24"/>
          <w:szCs w:val="24"/>
          <w:lang w:val="en-GB" w:eastAsia="en-GB"/>
        </w:rPr>
        <w:t>FitLife</w:t>
      </w:r>
      <w:proofErr w:type="spellEnd"/>
      <w:r w:rsidRPr="00507E1C">
        <w:rPr>
          <w:rFonts w:ascii="Arial" w:eastAsia="Times New Roman" w:hAnsi="Arial" w:cs="Arial"/>
          <w:sz w:val="24"/>
          <w:szCs w:val="24"/>
          <w:lang w:val="en-GB" w:eastAsia="en-GB"/>
        </w:rPr>
        <w:t xml:space="preserve"> could respond through an accessible, value-based membership structure that combines physical facilities with personalised digital support rather than attempting to compete solely on price. However, local evidence concerning willingness to pay specifically for AI-supported fitness remains limited, so any proposed membership price should initially be treated as an assumption requiring validation rather </w:t>
      </w:r>
      <w:r>
        <w:rPr>
          <w:rFonts w:ascii="Arial" w:eastAsia="Times New Roman" w:hAnsi="Arial" w:cs="Arial"/>
          <w:sz w:val="24"/>
          <w:szCs w:val="24"/>
          <w:lang w:val="en-GB" w:eastAsia="en-GB"/>
        </w:rPr>
        <w:t>than established market demand.</w:t>
      </w:r>
    </w:p>
    <w:p w14:paraId="027420EA" w14:textId="70BC4F47" w:rsidR="007D575E" w:rsidRPr="00C362B0" w:rsidRDefault="00507E1C" w:rsidP="00507E1C">
      <w:pPr>
        <w:spacing w:before="240" w:line="360" w:lineRule="auto"/>
        <w:jc w:val="both"/>
        <w:rPr>
          <w:rFonts w:ascii="Arial" w:eastAsia="Times New Roman" w:hAnsi="Arial" w:cs="Arial"/>
          <w:sz w:val="24"/>
          <w:szCs w:val="24"/>
          <w:lang w:val="en-GB" w:eastAsia="en-GB"/>
        </w:rPr>
      </w:pPr>
      <w:r w:rsidRPr="00507E1C">
        <w:rPr>
          <w:rFonts w:ascii="Arial" w:eastAsia="Times New Roman" w:hAnsi="Arial" w:cs="Arial"/>
          <w:sz w:val="24"/>
          <w:szCs w:val="24"/>
          <w:lang w:val="en-GB" w:eastAsia="en-GB"/>
        </w:rPr>
        <w:t xml:space="preserve">Switching decisions are likely to involve price, location, convenience, service quality, personalisation, technology and the quality of customer support. Consequently, </w:t>
      </w:r>
      <w:proofErr w:type="spellStart"/>
      <w:r w:rsidRPr="00507E1C">
        <w:rPr>
          <w:rFonts w:ascii="Arial" w:eastAsia="Times New Roman" w:hAnsi="Arial" w:cs="Arial"/>
          <w:sz w:val="24"/>
          <w:szCs w:val="24"/>
          <w:lang w:val="en-GB" w:eastAsia="en-GB"/>
        </w:rPr>
        <w:t>FitLife</w:t>
      </w:r>
      <w:proofErr w:type="spellEnd"/>
      <w:r w:rsidRPr="00507E1C">
        <w:rPr>
          <w:rFonts w:ascii="Arial" w:eastAsia="Times New Roman" w:hAnsi="Arial" w:cs="Arial"/>
          <w:sz w:val="24"/>
          <w:szCs w:val="24"/>
          <w:lang w:val="en-GB" w:eastAsia="en-GB"/>
        </w:rPr>
        <w:t xml:space="preserve"> cannot rely on technology alone to motivate switching; it must demonstrate additional customer value compared with familiar alternatives. Demand may also display seasonality, particularly around New Year when health and fitness motivation typically increases. However, the scale and durability of such effects cannot be established from the available </w:t>
      </w:r>
      <w:proofErr w:type="spellStart"/>
      <w:r w:rsidRPr="00507E1C">
        <w:rPr>
          <w:rFonts w:ascii="Arial" w:eastAsia="Times New Roman" w:hAnsi="Arial" w:cs="Arial"/>
          <w:sz w:val="24"/>
          <w:szCs w:val="24"/>
          <w:lang w:val="en-GB" w:eastAsia="en-GB"/>
        </w:rPr>
        <w:t>Levenshulme</w:t>
      </w:r>
      <w:proofErr w:type="spellEnd"/>
      <w:r w:rsidRPr="00507E1C">
        <w:rPr>
          <w:rFonts w:ascii="Arial" w:eastAsia="Times New Roman" w:hAnsi="Arial" w:cs="Arial"/>
          <w:sz w:val="24"/>
          <w:szCs w:val="24"/>
          <w:lang w:val="en-GB" w:eastAsia="en-GB"/>
        </w:rPr>
        <w:t xml:space="preserve">-specific evidence. Overall, the evidence supports a </w:t>
      </w:r>
      <w:r w:rsidRPr="00507E1C">
        <w:rPr>
          <w:rFonts w:ascii="Arial" w:eastAsia="Times New Roman" w:hAnsi="Arial" w:cs="Arial"/>
          <w:sz w:val="24"/>
          <w:szCs w:val="24"/>
          <w:lang w:val="en-GB" w:eastAsia="en-GB"/>
        </w:rPr>
        <w:lastRenderedPageBreak/>
        <w:t>potential demand opportunity, but local willingness to pay, AI adoption and sustained customer engagement remain critical uncertain</w:t>
      </w:r>
      <w:r>
        <w:rPr>
          <w:rFonts w:ascii="Arial" w:eastAsia="Times New Roman" w:hAnsi="Arial" w:cs="Arial"/>
          <w:sz w:val="24"/>
          <w:szCs w:val="24"/>
          <w:lang w:val="en-GB" w:eastAsia="en-GB"/>
        </w:rPr>
        <w:t>ties to be tested before launch</w:t>
      </w:r>
      <w:r w:rsidR="00FF5F31" w:rsidRPr="00C362B0">
        <w:rPr>
          <w:rFonts w:ascii="Arial" w:eastAsia="Times New Roman" w:hAnsi="Arial" w:cs="Arial"/>
          <w:sz w:val="24"/>
          <w:szCs w:val="24"/>
          <w:lang w:val="en-GB" w:eastAsia="en-GB"/>
        </w:rPr>
        <w:t xml:space="preserve">. </w:t>
      </w:r>
    </w:p>
    <w:p w14:paraId="723C452F" w14:textId="77777777" w:rsidR="00FA400A" w:rsidRPr="00C362B0" w:rsidRDefault="00FA400A" w:rsidP="00C362B0">
      <w:pPr>
        <w:pStyle w:val="Heading2"/>
        <w:rPr>
          <w:rFonts w:eastAsia="Times New Roman"/>
          <w:lang w:val="en-GB" w:eastAsia="en-GB"/>
        </w:rPr>
      </w:pPr>
      <w:bookmarkStart w:id="43" w:name="_Toc239091455"/>
      <w:r w:rsidRPr="00C362B0">
        <w:rPr>
          <w:rFonts w:eastAsia="Times New Roman"/>
          <w:lang w:val="en-GB" w:eastAsia="en-GB"/>
        </w:rPr>
        <w:t>5.5 Economic and Geographic Conditions</w:t>
      </w:r>
      <w:bookmarkEnd w:id="43"/>
    </w:p>
    <w:p w14:paraId="4C354429" w14:textId="1198B188" w:rsidR="004D498B" w:rsidRPr="004D498B" w:rsidRDefault="004D498B" w:rsidP="004D498B">
      <w:pPr>
        <w:spacing w:before="240" w:line="360" w:lineRule="auto"/>
        <w:jc w:val="both"/>
        <w:rPr>
          <w:rFonts w:ascii="Arial" w:eastAsia="Times New Roman" w:hAnsi="Arial" w:cs="Arial"/>
          <w:sz w:val="24"/>
          <w:szCs w:val="24"/>
          <w:lang w:val="en-GB" w:eastAsia="en-GB"/>
        </w:rPr>
      </w:pPr>
      <w:r w:rsidRPr="004D498B">
        <w:rPr>
          <w:rFonts w:ascii="Arial" w:eastAsia="Times New Roman" w:hAnsi="Arial" w:cs="Arial"/>
          <w:sz w:val="24"/>
          <w:szCs w:val="24"/>
          <w:lang w:val="en-GB" w:eastAsia="en-GB"/>
        </w:rPr>
        <w:t xml:space="preserve">Economic conditions are significant because gym membership is generally a discretionary expenditure, making affordability and price sensitivity important to </w:t>
      </w:r>
      <w:proofErr w:type="spellStart"/>
      <w:r w:rsidRPr="004D498B">
        <w:rPr>
          <w:rFonts w:ascii="Arial" w:eastAsia="Times New Roman" w:hAnsi="Arial" w:cs="Arial"/>
          <w:sz w:val="24"/>
          <w:szCs w:val="24"/>
          <w:lang w:val="en-GB" w:eastAsia="en-GB"/>
        </w:rPr>
        <w:t>FitLife’s</w:t>
      </w:r>
      <w:proofErr w:type="spellEnd"/>
      <w:r w:rsidRPr="004D498B">
        <w:rPr>
          <w:rFonts w:ascii="Arial" w:eastAsia="Times New Roman" w:hAnsi="Arial" w:cs="Arial"/>
          <w:sz w:val="24"/>
          <w:szCs w:val="24"/>
          <w:lang w:val="en-GB" w:eastAsia="en-GB"/>
        </w:rPr>
        <w:t xml:space="preserve"> demand. In 2026, CPI inflation rose by 2.6% in the year to June, while CPIH inflation increased by 2.8% (ONS, 2026). Although inflation has moderated compared with previous periods, continuing price increases can constrain disposable income and encourage consumers to compare gym prices, reduce discretionary spending or select lower-cost alternatives. This creates a potential constraint for </w:t>
      </w:r>
      <w:proofErr w:type="spellStart"/>
      <w:r w:rsidRPr="004D498B">
        <w:rPr>
          <w:rFonts w:ascii="Arial" w:eastAsia="Times New Roman" w:hAnsi="Arial" w:cs="Arial"/>
          <w:sz w:val="24"/>
          <w:szCs w:val="24"/>
          <w:lang w:val="en-GB" w:eastAsia="en-GB"/>
        </w:rPr>
        <w:t>FitLife</w:t>
      </w:r>
      <w:proofErr w:type="spellEnd"/>
      <w:r w:rsidRPr="004D498B">
        <w:rPr>
          <w:rFonts w:ascii="Arial" w:eastAsia="Times New Roman" w:hAnsi="Arial" w:cs="Arial"/>
          <w:sz w:val="24"/>
          <w:szCs w:val="24"/>
          <w:lang w:val="en-GB" w:eastAsia="en-GB"/>
        </w:rPr>
        <w:t xml:space="preserve"> because the additional cost of AI, wearable integration and human coaching may make a substantial price premium difficult to sustain. However, affordability pressure does not eliminate demand; instead, it may increase the attractiveness of flexible memberships, introductory offers and value-based packages. </w:t>
      </w:r>
      <w:proofErr w:type="spellStart"/>
      <w:r w:rsidRPr="004D498B">
        <w:rPr>
          <w:rFonts w:ascii="Arial" w:eastAsia="Times New Roman" w:hAnsi="Arial" w:cs="Arial"/>
          <w:sz w:val="24"/>
          <w:szCs w:val="24"/>
          <w:lang w:val="en-GB" w:eastAsia="en-GB"/>
        </w:rPr>
        <w:t>FitLife</w:t>
      </w:r>
      <w:proofErr w:type="spellEnd"/>
      <w:r w:rsidRPr="004D498B">
        <w:rPr>
          <w:rFonts w:ascii="Arial" w:eastAsia="Times New Roman" w:hAnsi="Arial" w:cs="Arial"/>
          <w:sz w:val="24"/>
          <w:szCs w:val="24"/>
          <w:lang w:val="en-GB" w:eastAsia="en-GB"/>
        </w:rPr>
        <w:t xml:space="preserve"> should therefore compete through perceived value rather than simply</w:t>
      </w:r>
      <w:r>
        <w:rPr>
          <w:rFonts w:ascii="Arial" w:eastAsia="Times New Roman" w:hAnsi="Arial" w:cs="Arial"/>
          <w:sz w:val="24"/>
          <w:szCs w:val="24"/>
          <w:lang w:val="en-GB" w:eastAsia="en-GB"/>
        </w:rPr>
        <w:t xml:space="preserve"> charging a technology premium.</w:t>
      </w:r>
    </w:p>
    <w:p w14:paraId="273CCE4F" w14:textId="04037043" w:rsidR="004D498B" w:rsidRPr="004D498B" w:rsidRDefault="004D498B" w:rsidP="004D498B">
      <w:pPr>
        <w:spacing w:before="240" w:line="360" w:lineRule="auto"/>
        <w:jc w:val="both"/>
        <w:rPr>
          <w:rFonts w:ascii="Arial" w:eastAsia="Times New Roman" w:hAnsi="Arial" w:cs="Arial"/>
          <w:sz w:val="24"/>
          <w:szCs w:val="24"/>
          <w:lang w:val="en-GB" w:eastAsia="en-GB"/>
        </w:rPr>
      </w:pPr>
      <w:r w:rsidRPr="004D498B">
        <w:rPr>
          <w:rFonts w:ascii="Arial" w:eastAsia="Times New Roman" w:hAnsi="Arial" w:cs="Arial"/>
          <w:sz w:val="24"/>
          <w:szCs w:val="24"/>
          <w:lang w:val="en-GB" w:eastAsia="en-GB"/>
        </w:rPr>
        <w:t xml:space="preserve">Local socioeconomic conditions further reinforce the need for segmentation. In the 2021 Census, 39% of </w:t>
      </w:r>
      <w:proofErr w:type="spellStart"/>
      <w:r w:rsidRPr="004D498B">
        <w:rPr>
          <w:rFonts w:ascii="Arial" w:eastAsia="Times New Roman" w:hAnsi="Arial" w:cs="Arial"/>
          <w:sz w:val="24"/>
          <w:szCs w:val="24"/>
          <w:lang w:val="en-GB" w:eastAsia="en-GB"/>
        </w:rPr>
        <w:t>Levenshulme</w:t>
      </w:r>
      <w:proofErr w:type="spellEnd"/>
      <w:r w:rsidRPr="004D498B">
        <w:rPr>
          <w:rFonts w:ascii="Arial" w:eastAsia="Times New Roman" w:hAnsi="Arial" w:cs="Arial"/>
          <w:sz w:val="24"/>
          <w:szCs w:val="24"/>
          <w:lang w:val="en-GB" w:eastAsia="en-GB"/>
        </w:rPr>
        <w:t xml:space="preserve"> households were not deprived in any dimension, while 61% experienced deprivation in at least one dimension (Manchester City Council, 2021). This indicates variation in household circumstances and purchasing capacity rather than uniform affordability constraints. Consequently, </w:t>
      </w:r>
      <w:proofErr w:type="spellStart"/>
      <w:r w:rsidRPr="004D498B">
        <w:rPr>
          <w:rFonts w:ascii="Arial" w:eastAsia="Times New Roman" w:hAnsi="Arial" w:cs="Arial"/>
          <w:sz w:val="24"/>
          <w:szCs w:val="24"/>
          <w:lang w:val="en-GB" w:eastAsia="en-GB"/>
        </w:rPr>
        <w:t>FitLife</w:t>
      </w:r>
      <w:proofErr w:type="spellEnd"/>
      <w:r w:rsidRPr="004D498B">
        <w:rPr>
          <w:rFonts w:ascii="Arial" w:eastAsia="Times New Roman" w:hAnsi="Arial" w:cs="Arial"/>
          <w:sz w:val="24"/>
          <w:szCs w:val="24"/>
          <w:lang w:val="en-GB" w:eastAsia="en-GB"/>
        </w:rPr>
        <w:t xml:space="preserve"> should avoid assuming that all local residents have the same ability or willingness to pay and should instead consider dif</w:t>
      </w:r>
      <w:r>
        <w:rPr>
          <w:rFonts w:ascii="Arial" w:eastAsia="Times New Roman" w:hAnsi="Arial" w:cs="Arial"/>
          <w:sz w:val="24"/>
          <w:szCs w:val="24"/>
          <w:lang w:val="en-GB" w:eastAsia="en-GB"/>
        </w:rPr>
        <w:t>ferentiated membership options.</w:t>
      </w:r>
    </w:p>
    <w:p w14:paraId="286DF6BD" w14:textId="62C369D7" w:rsidR="007D575E" w:rsidRPr="00C362B0" w:rsidRDefault="004D498B" w:rsidP="004D498B">
      <w:pPr>
        <w:spacing w:before="240" w:line="360" w:lineRule="auto"/>
        <w:jc w:val="both"/>
        <w:rPr>
          <w:rFonts w:ascii="Arial" w:eastAsia="Times New Roman" w:hAnsi="Arial" w:cs="Arial"/>
          <w:sz w:val="24"/>
          <w:szCs w:val="24"/>
          <w:lang w:val="en-GB" w:eastAsia="en-GB"/>
        </w:rPr>
      </w:pPr>
      <w:r w:rsidRPr="004D498B">
        <w:rPr>
          <w:rFonts w:ascii="Arial" w:eastAsia="Times New Roman" w:hAnsi="Arial" w:cs="Arial"/>
          <w:sz w:val="24"/>
          <w:szCs w:val="24"/>
          <w:lang w:val="en-GB" w:eastAsia="en-GB"/>
        </w:rPr>
        <w:t xml:space="preserve">Geographically, </w:t>
      </w:r>
      <w:proofErr w:type="spellStart"/>
      <w:r w:rsidRPr="004D498B">
        <w:rPr>
          <w:rFonts w:ascii="Arial" w:eastAsia="Times New Roman" w:hAnsi="Arial" w:cs="Arial"/>
          <w:sz w:val="24"/>
          <w:szCs w:val="24"/>
          <w:lang w:val="en-GB" w:eastAsia="en-GB"/>
        </w:rPr>
        <w:t>Levenshulme</w:t>
      </w:r>
      <w:proofErr w:type="spellEnd"/>
      <w:r w:rsidRPr="004D498B">
        <w:rPr>
          <w:rFonts w:ascii="Arial" w:eastAsia="Times New Roman" w:hAnsi="Arial" w:cs="Arial"/>
          <w:sz w:val="24"/>
          <w:szCs w:val="24"/>
          <w:lang w:val="en-GB" w:eastAsia="en-GB"/>
        </w:rPr>
        <w:t xml:space="preserve"> provides an immediate population base of 19,647 residents and approximately 7,234 households, but the ward should not automatically be treated as </w:t>
      </w:r>
      <w:proofErr w:type="spellStart"/>
      <w:r w:rsidRPr="004D498B">
        <w:rPr>
          <w:rFonts w:ascii="Arial" w:eastAsia="Times New Roman" w:hAnsi="Arial" w:cs="Arial"/>
          <w:sz w:val="24"/>
          <w:szCs w:val="24"/>
          <w:lang w:val="en-GB" w:eastAsia="en-GB"/>
        </w:rPr>
        <w:t>FitLife’s</w:t>
      </w:r>
      <w:proofErr w:type="spellEnd"/>
      <w:r w:rsidRPr="004D498B">
        <w:rPr>
          <w:rFonts w:ascii="Arial" w:eastAsia="Times New Roman" w:hAnsi="Arial" w:cs="Arial"/>
          <w:sz w:val="24"/>
          <w:szCs w:val="24"/>
          <w:lang w:val="en-GB" w:eastAsia="en-GB"/>
        </w:rPr>
        <w:t xml:space="preserve"> complete customer catchment (Manchester City Council, 2021). The realistic market can extend into neighbouring communities where customers can reach the facility conveniently. Greater Manchester’s Bee Network integrates bus, tram, walking and cycling provision, while planned accessibility improvements include step-free access at </w:t>
      </w:r>
      <w:proofErr w:type="spellStart"/>
      <w:r w:rsidRPr="004D498B">
        <w:rPr>
          <w:rFonts w:ascii="Arial" w:eastAsia="Times New Roman" w:hAnsi="Arial" w:cs="Arial"/>
          <w:sz w:val="24"/>
          <w:szCs w:val="24"/>
          <w:lang w:val="en-GB" w:eastAsia="en-GB"/>
        </w:rPr>
        <w:t>Levenshulme</w:t>
      </w:r>
      <w:proofErr w:type="spellEnd"/>
      <w:r w:rsidRPr="004D498B">
        <w:rPr>
          <w:rFonts w:ascii="Arial" w:eastAsia="Times New Roman" w:hAnsi="Arial" w:cs="Arial"/>
          <w:sz w:val="24"/>
          <w:szCs w:val="24"/>
          <w:lang w:val="en-GB" w:eastAsia="en-GB"/>
        </w:rPr>
        <w:t xml:space="preserve"> railway station (TfGM, 2026). Local active-travel initiatives also support walking and cycling access. These conditions can widen </w:t>
      </w:r>
      <w:proofErr w:type="spellStart"/>
      <w:r w:rsidRPr="004D498B">
        <w:rPr>
          <w:rFonts w:ascii="Arial" w:eastAsia="Times New Roman" w:hAnsi="Arial" w:cs="Arial"/>
          <w:sz w:val="24"/>
          <w:szCs w:val="24"/>
          <w:lang w:val="en-GB" w:eastAsia="en-GB"/>
        </w:rPr>
        <w:t>FitLife’s</w:t>
      </w:r>
      <w:proofErr w:type="spellEnd"/>
      <w:r w:rsidRPr="004D498B">
        <w:rPr>
          <w:rFonts w:ascii="Arial" w:eastAsia="Times New Roman" w:hAnsi="Arial" w:cs="Arial"/>
          <w:sz w:val="24"/>
          <w:szCs w:val="24"/>
          <w:lang w:val="en-GB" w:eastAsia="en-GB"/>
        </w:rPr>
        <w:t xml:space="preserve"> practical catchment beyond the ward itself, although actual reach will depend on travel time, customer convenience and the location of competing gyms. Thus, </w:t>
      </w:r>
      <w:r w:rsidRPr="004D498B">
        <w:rPr>
          <w:rFonts w:ascii="Arial" w:eastAsia="Times New Roman" w:hAnsi="Arial" w:cs="Arial"/>
          <w:sz w:val="24"/>
          <w:szCs w:val="24"/>
          <w:lang w:val="en-GB" w:eastAsia="en-GB"/>
        </w:rPr>
        <w:lastRenderedPageBreak/>
        <w:t xml:space="preserve">geographic accessibility strengthens the opportunity, but </w:t>
      </w:r>
      <w:proofErr w:type="spellStart"/>
      <w:r w:rsidRPr="004D498B">
        <w:rPr>
          <w:rFonts w:ascii="Arial" w:eastAsia="Times New Roman" w:hAnsi="Arial" w:cs="Arial"/>
          <w:sz w:val="24"/>
          <w:szCs w:val="24"/>
          <w:lang w:val="en-GB" w:eastAsia="en-GB"/>
        </w:rPr>
        <w:t>Levenshulme’s</w:t>
      </w:r>
      <w:proofErr w:type="spellEnd"/>
      <w:r w:rsidRPr="004D498B">
        <w:rPr>
          <w:rFonts w:ascii="Arial" w:eastAsia="Times New Roman" w:hAnsi="Arial" w:cs="Arial"/>
          <w:sz w:val="24"/>
          <w:szCs w:val="24"/>
          <w:lang w:val="en-GB" w:eastAsia="en-GB"/>
        </w:rPr>
        <w:t xml:space="preserve"> population should not be equated automatically with </w:t>
      </w:r>
      <w:proofErr w:type="spellStart"/>
      <w:r w:rsidRPr="004D498B">
        <w:rPr>
          <w:rFonts w:ascii="Arial" w:eastAsia="Times New Roman" w:hAnsi="Arial" w:cs="Arial"/>
          <w:sz w:val="24"/>
          <w:szCs w:val="24"/>
          <w:lang w:val="en-GB" w:eastAsia="en-GB"/>
        </w:rPr>
        <w:t>FitLife’s</w:t>
      </w:r>
      <w:proofErr w:type="spellEnd"/>
      <w:r w:rsidRPr="004D498B">
        <w:rPr>
          <w:rFonts w:ascii="Arial" w:eastAsia="Times New Roman" w:hAnsi="Arial" w:cs="Arial"/>
          <w:sz w:val="24"/>
          <w:szCs w:val="24"/>
          <w:lang w:val="en-GB" w:eastAsia="en-GB"/>
        </w:rPr>
        <w:t xml:space="preserve"> available customer base.</w:t>
      </w:r>
      <w:r w:rsidR="006F45D0" w:rsidRPr="00C362B0">
        <w:rPr>
          <w:rFonts w:ascii="Arial" w:eastAsia="Times New Roman" w:hAnsi="Arial" w:cs="Arial"/>
          <w:sz w:val="24"/>
          <w:szCs w:val="24"/>
          <w:lang w:val="en-GB" w:eastAsia="en-GB"/>
        </w:rPr>
        <w:t xml:space="preserve">). </w:t>
      </w:r>
    </w:p>
    <w:p w14:paraId="26821AFB" w14:textId="77777777" w:rsidR="004A0E5E" w:rsidRPr="00C362B0" w:rsidRDefault="004A0E5E" w:rsidP="00C362B0">
      <w:pPr>
        <w:pStyle w:val="Heading2"/>
        <w:rPr>
          <w:rFonts w:eastAsia="Times New Roman"/>
          <w:lang w:val="en-GB" w:eastAsia="en-GB"/>
        </w:rPr>
      </w:pPr>
      <w:bookmarkStart w:id="44" w:name="_Toc239091456"/>
      <w:r w:rsidRPr="00C362B0">
        <w:rPr>
          <w:rFonts w:eastAsia="Times New Roman"/>
          <w:lang w:val="en-GB" w:eastAsia="en-GB"/>
        </w:rPr>
        <w:t>5.6 Research Findings and Opportunity Synthesis</w:t>
      </w:r>
      <w:bookmarkEnd w:id="44"/>
    </w:p>
    <w:p w14:paraId="1F249A2D" w14:textId="02320343" w:rsidR="008A5783" w:rsidRPr="008A5783" w:rsidRDefault="008A5783" w:rsidP="008A5783">
      <w:pPr>
        <w:spacing w:before="240" w:line="360" w:lineRule="auto"/>
        <w:jc w:val="both"/>
        <w:rPr>
          <w:rFonts w:ascii="Arial" w:eastAsia="Times New Roman" w:hAnsi="Arial" w:cs="Arial"/>
          <w:sz w:val="24"/>
          <w:szCs w:val="24"/>
          <w:lang w:val="en-GB" w:eastAsia="en-GB"/>
        </w:rPr>
      </w:pPr>
      <w:r w:rsidRPr="008A5783">
        <w:rPr>
          <w:rFonts w:ascii="Arial" w:eastAsia="Times New Roman" w:hAnsi="Arial" w:cs="Arial"/>
          <w:sz w:val="24"/>
          <w:szCs w:val="24"/>
          <w:lang w:val="en-GB" w:eastAsia="en-GB"/>
        </w:rPr>
        <w:t xml:space="preserve">Overall, the evidence indicates a conditional market opportunity for </w:t>
      </w:r>
      <w:proofErr w:type="spellStart"/>
      <w:r w:rsidRPr="008A5783">
        <w:rPr>
          <w:rFonts w:ascii="Arial" w:eastAsia="Times New Roman" w:hAnsi="Arial" w:cs="Arial"/>
          <w:sz w:val="24"/>
          <w:szCs w:val="24"/>
          <w:lang w:val="en-GB" w:eastAsia="en-GB"/>
        </w:rPr>
        <w:t>FitLife</w:t>
      </w:r>
      <w:proofErr w:type="spellEnd"/>
      <w:r w:rsidRPr="008A5783">
        <w:rPr>
          <w:rFonts w:ascii="Arial" w:eastAsia="Times New Roman" w:hAnsi="Arial" w:cs="Arial"/>
          <w:sz w:val="24"/>
          <w:szCs w:val="24"/>
          <w:lang w:val="en-GB" w:eastAsia="en-GB"/>
        </w:rPr>
        <w:t xml:space="preserve"> Smart Gym rather than an immediately confirmed commercially viable opportunity. The analysis demonstrates an established and growing UK fitness market, with health and fitness club membership reaching 12.2 million and sector income increasing to £6.5 billion in 2025 (</w:t>
      </w:r>
      <w:proofErr w:type="spellStart"/>
      <w:r w:rsidRPr="008A5783">
        <w:rPr>
          <w:rFonts w:ascii="Arial" w:eastAsia="Times New Roman" w:hAnsi="Arial" w:cs="Arial"/>
          <w:sz w:val="24"/>
          <w:szCs w:val="24"/>
          <w:lang w:val="en-GB" w:eastAsia="en-GB"/>
        </w:rPr>
        <w:t>ukactive</w:t>
      </w:r>
      <w:proofErr w:type="spellEnd"/>
      <w:r w:rsidRPr="008A5783">
        <w:rPr>
          <w:rFonts w:ascii="Arial" w:eastAsia="Times New Roman" w:hAnsi="Arial" w:cs="Arial"/>
          <w:sz w:val="24"/>
          <w:szCs w:val="24"/>
          <w:lang w:val="en-GB" w:eastAsia="en-GB"/>
        </w:rPr>
        <w:t xml:space="preserve">, 2026). The Manchester population also provides a substantial urban customer base, while </w:t>
      </w:r>
      <w:proofErr w:type="spellStart"/>
      <w:r w:rsidRPr="008A5783">
        <w:rPr>
          <w:rFonts w:ascii="Arial" w:eastAsia="Times New Roman" w:hAnsi="Arial" w:cs="Arial"/>
          <w:sz w:val="24"/>
          <w:szCs w:val="24"/>
          <w:lang w:val="en-GB" w:eastAsia="en-GB"/>
        </w:rPr>
        <w:t>Levenshulme</w:t>
      </w:r>
      <w:proofErr w:type="spellEnd"/>
      <w:r w:rsidRPr="008A5783">
        <w:rPr>
          <w:rFonts w:ascii="Arial" w:eastAsia="Times New Roman" w:hAnsi="Arial" w:cs="Arial"/>
          <w:sz w:val="24"/>
          <w:szCs w:val="24"/>
          <w:lang w:val="en-GB" w:eastAsia="en-GB"/>
        </w:rPr>
        <w:t xml:space="preserve"> offers a more focused initial catchment of 19,647 residents (Manchester City Council, 2026). These factors strengthen the potential scale and ac</w:t>
      </w:r>
      <w:r>
        <w:rPr>
          <w:rFonts w:ascii="Arial" w:eastAsia="Times New Roman" w:hAnsi="Arial" w:cs="Arial"/>
          <w:sz w:val="24"/>
          <w:szCs w:val="24"/>
          <w:lang w:val="en-GB" w:eastAsia="en-GB"/>
        </w:rPr>
        <w:t>cessibility of the opportunity.</w:t>
      </w:r>
    </w:p>
    <w:p w14:paraId="38764D84" w14:textId="12C30A26" w:rsidR="008A5783" w:rsidRPr="008A5783" w:rsidRDefault="008A5783" w:rsidP="008A5783">
      <w:pPr>
        <w:spacing w:before="240" w:line="360" w:lineRule="auto"/>
        <w:jc w:val="both"/>
        <w:rPr>
          <w:rFonts w:ascii="Arial" w:eastAsia="Times New Roman" w:hAnsi="Arial" w:cs="Arial"/>
          <w:sz w:val="24"/>
          <w:szCs w:val="24"/>
          <w:lang w:val="en-GB" w:eastAsia="en-GB"/>
        </w:rPr>
      </w:pPr>
      <w:r w:rsidRPr="008A5783">
        <w:rPr>
          <w:rFonts w:ascii="Arial" w:eastAsia="Times New Roman" w:hAnsi="Arial" w:cs="Arial"/>
          <w:sz w:val="24"/>
          <w:szCs w:val="24"/>
          <w:lang w:val="en-GB" w:eastAsia="en-GB"/>
        </w:rPr>
        <w:t xml:space="preserve">The demand case is further supported by the growing importance of wearable technology, mobile exercise applications and data-driven training, which indicates favourable conditions for </w:t>
      </w:r>
      <w:proofErr w:type="spellStart"/>
      <w:r w:rsidRPr="008A5783">
        <w:rPr>
          <w:rFonts w:ascii="Arial" w:eastAsia="Times New Roman" w:hAnsi="Arial" w:cs="Arial"/>
          <w:sz w:val="24"/>
          <w:szCs w:val="24"/>
          <w:lang w:val="en-GB" w:eastAsia="en-GB"/>
        </w:rPr>
        <w:t>FitLife’s</w:t>
      </w:r>
      <w:proofErr w:type="spellEnd"/>
      <w:r w:rsidRPr="008A5783">
        <w:rPr>
          <w:rFonts w:ascii="Arial" w:eastAsia="Times New Roman" w:hAnsi="Arial" w:cs="Arial"/>
          <w:sz w:val="24"/>
          <w:szCs w:val="24"/>
          <w:lang w:val="en-GB" w:eastAsia="en-GB"/>
        </w:rPr>
        <w:t xml:space="preserve"> technology-enabled proposition (ACSM, 2024). However, these national and global trends do not establish that </w:t>
      </w:r>
      <w:proofErr w:type="spellStart"/>
      <w:r w:rsidRPr="008A5783">
        <w:rPr>
          <w:rFonts w:ascii="Arial" w:eastAsia="Times New Roman" w:hAnsi="Arial" w:cs="Arial"/>
          <w:sz w:val="24"/>
          <w:szCs w:val="24"/>
          <w:lang w:val="en-GB" w:eastAsia="en-GB"/>
        </w:rPr>
        <w:t>Levenshulme</w:t>
      </w:r>
      <w:proofErr w:type="spellEnd"/>
      <w:r w:rsidRPr="008A5783">
        <w:rPr>
          <w:rFonts w:ascii="Arial" w:eastAsia="Times New Roman" w:hAnsi="Arial" w:cs="Arial"/>
          <w:sz w:val="24"/>
          <w:szCs w:val="24"/>
          <w:lang w:val="en-GB" w:eastAsia="en-GB"/>
        </w:rPr>
        <w:t xml:space="preserve"> customers will specifically adopt AI-supported gym services or pay a premium for them. Similarly, the estimated local segment provides an indication of potential market scale rather tha</w:t>
      </w:r>
      <w:r>
        <w:rPr>
          <w:rFonts w:ascii="Arial" w:eastAsia="Times New Roman" w:hAnsi="Arial" w:cs="Arial"/>
          <w:sz w:val="24"/>
          <w:szCs w:val="24"/>
          <w:lang w:val="en-GB" w:eastAsia="en-GB"/>
        </w:rPr>
        <w:t>n guaranteed membership demand.</w:t>
      </w:r>
    </w:p>
    <w:p w14:paraId="6C7C115B" w14:textId="4453DC6B" w:rsidR="008A5783" w:rsidRPr="008A5783" w:rsidRDefault="008A5783" w:rsidP="008A5783">
      <w:pPr>
        <w:spacing w:before="240" w:line="360" w:lineRule="auto"/>
        <w:jc w:val="both"/>
        <w:rPr>
          <w:rFonts w:ascii="Arial" w:eastAsia="Times New Roman" w:hAnsi="Arial" w:cs="Arial"/>
          <w:sz w:val="24"/>
          <w:szCs w:val="24"/>
          <w:lang w:val="en-GB" w:eastAsia="en-GB"/>
        </w:rPr>
      </w:pPr>
      <w:r w:rsidRPr="008A5783">
        <w:rPr>
          <w:rFonts w:ascii="Arial" w:eastAsia="Times New Roman" w:hAnsi="Arial" w:cs="Arial"/>
          <w:sz w:val="24"/>
          <w:szCs w:val="24"/>
          <w:lang w:val="en-GB" w:eastAsia="en-GB"/>
        </w:rPr>
        <w:t xml:space="preserve">Against the six opportunity criteria, need strength, market scale and technological relevance are relatively favourable, while target accessibility and demand quality remain conditional on local customer acquisition and willingness to pay. Economic pressures may also encourage customers to compare </w:t>
      </w:r>
      <w:proofErr w:type="spellStart"/>
      <w:r w:rsidRPr="008A5783">
        <w:rPr>
          <w:rFonts w:ascii="Arial" w:eastAsia="Times New Roman" w:hAnsi="Arial" w:cs="Arial"/>
          <w:sz w:val="24"/>
          <w:szCs w:val="24"/>
          <w:lang w:val="en-GB" w:eastAsia="en-GB"/>
        </w:rPr>
        <w:t>FitLife</w:t>
      </w:r>
      <w:proofErr w:type="spellEnd"/>
      <w:r w:rsidRPr="008A5783">
        <w:rPr>
          <w:rFonts w:ascii="Arial" w:eastAsia="Times New Roman" w:hAnsi="Arial" w:cs="Arial"/>
          <w:sz w:val="24"/>
          <w:szCs w:val="24"/>
          <w:lang w:val="en-GB" w:eastAsia="en-GB"/>
        </w:rPr>
        <w:t xml:space="preserve"> with lower-cost gyms and free digital alternatives. Consequently, evidence confidence is moderate rather than high, particularly because </w:t>
      </w:r>
      <w:proofErr w:type="spellStart"/>
      <w:r w:rsidRPr="008A5783">
        <w:rPr>
          <w:rFonts w:ascii="Arial" w:eastAsia="Times New Roman" w:hAnsi="Arial" w:cs="Arial"/>
          <w:sz w:val="24"/>
          <w:szCs w:val="24"/>
          <w:lang w:val="en-GB" w:eastAsia="en-GB"/>
        </w:rPr>
        <w:t>Levenshulme</w:t>
      </w:r>
      <w:proofErr w:type="spellEnd"/>
      <w:r w:rsidRPr="008A5783">
        <w:rPr>
          <w:rFonts w:ascii="Arial" w:eastAsia="Times New Roman" w:hAnsi="Arial" w:cs="Arial"/>
          <w:sz w:val="24"/>
          <w:szCs w:val="24"/>
          <w:lang w:val="en-GB" w:eastAsia="en-GB"/>
        </w:rPr>
        <w:t>-specific evidence on AI adoption and will</w:t>
      </w:r>
      <w:r>
        <w:rPr>
          <w:rFonts w:ascii="Arial" w:eastAsia="Times New Roman" w:hAnsi="Arial" w:cs="Arial"/>
          <w:sz w:val="24"/>
          <w:szCs w:val="24"/>
          <w:lang w:val="en-GB" w:eastAsia="en-GB"/>
        </w:rPr>
        <w:t>ingness to pay remains limited.</w:t>
      </w:r>
    </w:p>
    <w:p w14:paraId="4F49E529" w14:textId="2A9EF83F" w:rsidR="007F3C9C" w:rsidRPr="00FF2927" w:rsidRDefault="008A5783" w:rsidP="00FF2927">
      <w:pPr>
        <w:spacing w:before="240" w:line="360" w:lineRule="auto"/>
        <w:jc w:val="both"/>
        <w:rPr>
          <w:rFonts w:ascii="Arial" w:eastAsia="Times New Roman" w:hAnsi="Arial" w:cs="Arial"/>
          <w:sz w:val="24"/>
          <w:szCs w:val="24"/>
          <w:lang w:val="en-GB" w:eastAsia="en-GB"/>
        </w:rPr>
      </w:pPr>
      <w:proofErr w:type="spellStart"/>
      <w:r w:rsidRPr="008A5783">
        <w:rPr>
          <w:rFonts w:ascii="Arial" w:eastAsia="Times New Roman" w:hAnsi="Arial" w:cs="Arial"/>
          <w:sz w:val="24"/>
          <w:szCs w:val="24"/>
          <w:lang w:val="en-GB" w:eastAsia="en-GB"/>
        </w:rPr>
        <w:t>FitLife</w:t>
      </w:r>
      <w:proofErr w:type="spellEnd"/>
      <w:r w:rsidRPr="008A5783">
        <w:rPr>
          <w:rFonts w:ascii="Arial" w:eastAsia="Times New Roman" w:hAnsi="Arial" w:cs="Arial"/>
          <w:sz w:val="24"/>
          <w:szCs w:val="24"/>
          <w:lang w:val="en-GB" w:eastAsia="en-GB"/>
        </w:rPr>
        <w:t xml:space="preserve"> should therefore pursue the opportunity through accessible value-based pricing, conservative initial membership assumptions and demand validation before substantial technology investment. Overall, the opportunity is most credible if </w:t>
      </w:r>
      <w:proofErr w:type="spellStart"/>
      <w:r w:rsidRPr="008A5783">
        <w:rPr>
          <w:rFonts w:ascii="Arial" w:eastAsia="Times New Roman" w:hAnsi="Arial" w:cs="Arial"/>
          <w:sz w:val="24"/>
          <w:szCs w:val="24"/>
          <w:lang w:val="en-GB" w:eastAsia="en-GB"/>
        </w:rPr>
        <w:t>FitLife</w:t>
      </w:r>
      <w:proofErr w:type="spellEnd"/>
      <w:r w:rsidRPr="008A5783">
        <w:rPr>
          <w:rFonts w:ascii="Arial" w:eastAsia="Times New Roman" w:hAnsi="Arial" w:cs="Arial"/>
          <w:sz w:val="24"/>
          <w:szCs w:val="24"/>
          <w:lang w:val="en-GB" w:eastAsia="en-GB"/>
        </w:rPr>
        <w:t xml:space="preserve"> can convert sufficient local customers, achieve strong retention and demonstrate that integrated AI, wearable monitoring and human coaching create enough additional value to justify its costs.</w:t>
      </w:r>
      <w:r w:rsidR="00AF6DBE" w:rsidRPr="00C362B0">
        <w:rPr>
          <w:rFonts w:ascii="Arial" w:eastAsia="Times New Roman" w:hAnsi="Arial" w:cs="Arial"/>
          <w:sz w:val="24"/>
          <w:szCs w:val="24"/>
          <w:lang w:val="en-GB" w:eastAsia="en-GB"/>
        </w:rPr>
        <w:t xml:space="preserve"> </w:t>
      </w:r>
    </w:p>
    <w:p w14:paraId="60E92C36" w14:textId="77777777" w:rsidR="007F3C9C" w:rsidRPr="00402F9F" w:rsidRDefault="007F3C9C" w:rsidP="00B32EC1">
      <w:pPr>
        <w:pStyle w:val="Heading1"/>
        <w:jc w:val="center"/>
        <w:rPr>
          <w:rFonts w:eastAsia="Times New Roman"/>
          <w:lang w:val="en-GB" w:eastAsia="en-GB"/>
        </w:rPr>
      </w:pPr>
      <w:bookmarkStart w:id="45" w:name="_Toc239091457"/>
      <w:r w:rsidRPr="00402F9F">
        <w:rPr>
          <w:rFonts w:eastAsia="Times New Roman"/>
          <w:lang w:val="en-GB" w:eastAsia="en-GB"/>
        </w:rPr>
        <w:lastRenderedPageBreak/>
        <w:t>Chapter 6 — Competitive Environment Analysis</w:t>
      </w:r>
      <w:bookmarkEnd w:id="45"/>
    </w:p>
    <w:p w14:paraId="0EB7DBE3" w14:textId="4B7114E8" w:rsidR="002152EC" w:rsidRPr="002152EC" w:rsidRDefault="006D2A89" w:rsidP="002152EC">
      <w:pPr>
        <w:pStyle w:val="Heading2"/>
        <w:rPr>
          <w:rFonts w:eastAsia="Times New Roman"/>
          <w:lang w:val="en-GB" w:eastAsia="en-GB"/>
        </w:rPr>
      </w:pPr>
      <w:bookmarkStart w:id="46" w:name="_Toc239091458"/>
      <w:r w:rsidRPr="00402F9F">
        <w:rPr>
          <w:rFonts w:eastAsia="Times New Roman"/>
          <w:lang w:val="en-GB" w:eastAsia="en-GB"/>
        </w:rPr>
        <w:t>6.1 Introduction</w:t>
      </w:r>
      <w:bookmarkEnd w:id="46"/>
    </w:p>
    <w:p w14:paraId="1CF83F39" w14:textId="7FA0F275" w:rsidR="002152EC" w:rsidRPr="002152EC"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 xml:space="preserve">This chapter evaluates the competitive environment facing </w:t>
      </w:r>
      <w:proofErr w:type="spellStart"/>
      <w:r w:rsidRPr="002152EC">
        <w:rPr>
          <w:rFonts w:ascii="Arial" w:hAnsi="Arial" w:cs="Arial"/>
          <w:sz w:val="24"/>
          <w:szCs w:val="24"/>
          <w:lang w:val="en-GB" w:eastAsia="en-GB"/>
        </w:rPr>
        <w:t>FitLife</w:t>
      </w:r>
      <w:proofErr w:type="spellEnd"/>
      <w:r w:rsidRPr="002152EC">
        <w:rPr>
          <w:rFonts w:ascii="Arial" w:hAnsi="Arial" w:cs="Arial"/>
          <w:sz w:val="24"/>
          <w:szCs w:val="24"/>
          <w:lang w:val="en-GB" w:eastAsia="en-GB"/>
        </w:rPr>
        <w:t xml:space="preserve"> Smart Gym and assesses how external industry conditions affect its ability to establish a sustainable position in the </w:t>
      </w:r>
      <w:proofErr w:type="spellStart"/>
      <w:r w:rsidRPr="002152EC">
        <w:rPr>
          <w:rFonts w:ascii="Arial" w:hAnsi="Arial" w:cs="Arial"/>
          <w:sz w:val="24"/>
          <w:szCs w:val="24"/>
          <w:lang w:val="en-GB" w:eastAsia="en-GB"/>
        </w:rPr>
        <w:t>Levenshulme</w:t>
      </w:r>
      <w:proofErr w:type="spellEnd"/>
      <w:r w:rsidRPr="002152EC">
        <w:rPr>
          <w:rFonts w:ascii="Arial" w:hAnsi="Arial" w:cs="Arial"/>
          <w:sz w:val="24"/>
          <w:szCs w:val="24"/>
          <w:lang w:val="en-GB" w:eastAsia="en-GB"/>
        </w:rPr>
        <w:t xml:space="preserve"> and wider Manchester catchment. The analysis applies competitor landscape analysis, Porter’s Five Forces and PESTLE to assess competitive intensity, external pressures and industry attractiveness (Porter, 1980; Porter, 2008). Competitor analysis establishes the basis for comparing price, accessibility, services and positioning, while Five Forces evaluates rivalry, buyer and supplier power, entry barriers and substitutes. PESTLE is used selectively to identify external factors with direct implications for </w:t>
      </w:r>
      <w:proofErr w:type="spellStart"/>
      <w:r w:rsidRPr="002152EC">
        <w:rPr>
          <w:rFonts w:ascii="Arial" w:hAnsi="Arial" w:cs="Arial"/>
          <w:sz w:val="24"/>
          <w:szCs w:val="24"/>
          <w:lang w:val="en-GB" w:eastAsia="en-GB"/>
        </w:rPr>
        <w:t>FitLife</w:t>
      </w:r>
      <w:proofErr w:type="spellEnd"/>
      <w:r w:rsidRPr="002152EC">
        <w:rPr>
          <w:rFonts w:ascii="Arial" w:hAnsi="Arial" w:cs="Arial"/>
          <w:sz w:val="24"/>
          <w:szCs w:val="24"/>
          <w:lang w:val="en-GB" w:eastAsia="en-GB"/>
        </w:rPr>
        <w:t>. The chapter concludes by identifying key success factors and a potential differentiation space that informs the s</w:t>
      </w:r>
      <w:r w:rsidR="00A94592">
        <w:rPr>
          <w:rFonts w:ascii="Arial" w:hAnsi="Arial" w:cs="Arial"/>
          <w:sz w:val="24"/>
          <w:szCs w:val="24"/>
          <w:lang w:val="en-GB" w:eastAsia="en-GB"/>
        </w:rPr>
        <w:t>trategic analysis in Chapter 7.</w:t>
      </w:r>
    </w:p>
    <w:p w14:paraId="1FCD955A" w14:textId="71BECD28" w:rsidR="002152EC" w:rsidRPr="00A94592" w:rsidRDefault="002152EC" w:rsidP="00A94592">
      <w:pPr>
        <w:pStyle w:val="Heading2"/>
        <w:rPr>
          <w:lang w:val="en-GB" w:eastAsia="en-GB"/>
        </w:rPr>
      </w:pPr>
      <w:bookmarkStart w:id="47" w:name="_Toc239091459"/>
      <w:r w:rsidRPr="002152EC">
        <w:rPr>
          <w:lang w:val="en-GB" w:eastAsia="en-GB"/>
        </w:rPr>
        <w:t>6.2 Local Competitor Landscape</w:t>
      </w:r>
      <w:bookmarkEnd w:id="47"/>
    </w:p>
    <w:p w14:paraId="4310406A" w14:textId="774E76E0" w:rsidR="002152EC" w:rsidRPr="002152EC" w:rsidRDefault="002152EC" w:rsidP="002152EC">
      <w:pPr>
        <w:spacing w:line="360" w:lineRule="auto"/>
        <w:jc w:val="both"/>
        <w:rPr>
          <w:rFonts w:ascii="Arial" w:hAnsi="Arial" w:cs="Arial"/>
          <w:sz w:val="24"/>
          <w:szCs w:val="24"/>
          <w:lang w:val="en-GB" w:eastAsia="en-GB"/>
        </w:rPr>
      </w:pPr>
      <w:proofErr w:type="spellStart"/>
      <w:r w:rsidRPr="002152EC">
        <w:rPr>
          <w:rFonts w:ascii="Arial" w:hAnsi="Arial" w:cs="Arial"/>
          <w:sz w:val="24"/>
          <w:szCs w:val="24"/>
          <w:lang w:val="en-GB" w:eastAsia="en-GB"/>
        </w:rPr>
        <w:t>FitLife</w:t>
      </w:r>
      <w:proofErr w:type="spellEnd"/>
      <w:r w:rsidRPr="002152EC">
        <w:rPr>
          <w:rFonts w:ascii="Arial" w:hAnsi="Arial" w:cs="Arial"/>
          <w:sz w:val="24"/>
          <w:szCs w:val="24"/>
          <w:lang w:val="en-GB" w:eastAsia="en-GB"/>
        </w:rPr>
        <w:t xml:space="preserve"> would enter a competitive market containing both direct gym competitors and indirect fitness substitutes. The direct competitive set should reflect the realistic catchment rather than all fitness providers across Greater Manchester. </w:t>
      </w:r>
      <w:proofErr w:type="spellStart"/>
      <w:r w:rsidRPr="002152EC">
        <w:rPr>
          <w:rFonts w:ascii="Arial" w:hAnsi="Arial" w:cs="Arial"/>
          <w:sz w:val="24"/>
          <w:szCs w:val="24"/>
          <w:lang w:val="en-GB" w:eastAsia="en-GB"/>
        </w:rPr>
        <w:t>Jetts</w:t>
      </w:r>
      <w:proofErr w:type="spellEnd"/>
      <w:r w:rsidRPr="002152EC">
        <w:rPr>
          <w:rFonts w:ascii="Arial" w:hAnsi="Arial" w:cs="Arial"/>
          <w:sz w:val="24"/>
          <w:szCs w:val="24"/>
          <w:lang w:val="en-GB" w:eastAsia="en-GB"/>
        </w:rPr>
        <w:t xml:space="preserve"> </w:t>
      </w:r>
      <w:proofErr w:type="spellStart"/>
      <w:r w:rsidRPr="002152EC">
        <w:rPr>
          <w:rFonts w:ascii="Arial" w:hAnsi="Arial" w:cs="Arial"/>
          <w:sz w:val="24"/>
          <w:szCs w:val="24"/>
          <w:lang w:val="en-GB" w:eastAsia="en-GB"/>
        </w:rPr>
        <w:t>Levenshulme</w:t>
      </w:r>
      <w:proofErr w:type="spellEnd"/>
      <w:r w:rsidRPr="002152EC">
        <w:rPr>
          <w:rFonts w:ascii="Arial" w:hAnsi="Arial" w:cs="Arial"/>
          <w:sz w:val="24"/>
          <w:szCs w:val="24"/>
          <w:lang w:val="en-GB" w:eastAsia="en-GB"/>
        </w:rPr>
        <w:t xml:space="preserve"> is the most immediate direct competitor because it is physically located on Stockport Road, is close to </w:t>
      </w:r>
      <w:proofErr w:type="spellStart"/>
      <w:r w:rsidRPr="002152EC">
        <w:rPr>
          <w:rFonts w:ascii="Arial" w:hAnsi="Arial" w:cs="Arial"/>
          <w:sz w:val="24"/>
          <w:szCs w:val="24"/>
          <w:lang w:val="en-GB" w:eastAsia="en-GB"/>
        </w:rPr>
        <w:t>Levenshulme</w:t>
      </w:r>
      <w:proofErr w:type="spellEnd"/>
      <w:r w:rsidRPr="002152EC">
        <w:rPr>
          <w:rFonts w:ascii="Arial" w:hAnsi="Arial" w:cs="Arial"/>
          <w:sz w:val="24"/>
          <w:szCs w:val="24"/>
          <w:lang w:val="en-GB" w:eastAsia="en-GB"/>
        </w:rPr>
        <w:t xml:space="preserve"> station and provides 24/7 access. Its current membership is £32.95 per month, with unlimited access and classes included. It also promotes connected equipment, personal trainers and a community-orie</w:t>
      </w:r>
      <w:r w:rsidR="00A94592">
        <w:rPr>
          <w:rFonts w:ascii="Arial" w:hAnsi="Arial" w:cs="Arial"/>
          <w:sz w:val="24"/>
          <w:szCs w:val="24"/>
          <w:lang w:val="en-GB" w:eastAsia="en-GB"/>
        </w:rPr>
        <w:t>nted environment (</w:t>
      </w:r>
      <w:proofErr w:type="spellStart"/>
      <w:r w:rsidR="00A94592">
        <w:rPr>
          <w:rFonts w:ascii="Arial" w:hAnsi="Arial" w:cs="Arial"/>
          <w:sz w:val="24"/>
          <w:szCs w:val="24"/>
          <w:lang w:val="en-GB" w:eastAsia="en-GB"/>
        </w:rPr>
        <w:t>Jetts</w:t>
      </w:r>
      <w:proofErr w:type="spellEnd"/>
      <w:r w:rsidR="00A94592">
        <w:rPr>
          <w:rFonts w:ascii="Arial" w:hAnsi="Arial" w:cs="Arial"/>
          <w:sz w:val="24"/>
          <w:szCs w:val="24"/>
          <w:lang w:val="en-GB" w:eastAsia="en-GB"/>
        </w:rPr>
        <w:t>, 2026).</w:t>
      </w:r>
    </w:p>
    <w:p w14:paraId="1CA61456" w14:textId="6C849132" w:rsidR="002152EC" w:rsidRPr="002152EC" w:rsidRDefault="002152EC" w:rsidP="002152EC">
      <w:pPr>
        <w:spacing w:line="360" w:lineRule="auto"/>
        <w:jc w:val="both"/>
        <w:rPr>
          <w:rFonts w:ascii="Arial" w:hAnsi="Arial" w:cs="Arial"/>
          <w:sz w:val="24"/>
          <w:szCs w:val="24"/>
          <w:lang w:val="en-GB" w:eastAsia="en-GB"/>
        </w:rPr>
      </w:pPr>
      <w:proofErr w:type="spellStart"/>
      <w:r w:rsidRPr="002152EC">
        <w:rPr>
          <w:rFonts w:ascii="Arial" w:hAnsi="Arial" w:cs="Arial"/>
          <w:sz w:val="24"/>
          <w:szCs w:val="24"/>
          <w:lang w:val="en-GB" w:eastAsia="en-GB"/>
        </w:rPr>
        <w:t>PureGym</w:t>
      </w:r>
      <w:proofErr w:type="spellEnd"/>
      <w:r w:rsidRPr="002152EC">
        <w:rPr>
          <w:rFonts w:ascii="Arial" w:hAnsi="Arial" w:cs="Arial"/>
          <w:sz w:val="24"/>
          <w:szCs w:val="24"/>
          <w:lang w:val="en-GB" w:eastAsia="en-GB"/>
        </w:rPr>
        <w:t xml:space="preserve"> is also relevant because its Manchester gyms near </w:t>
      </w:r>
      <w:proofErr w:type="spellStart"/>
      <w:r w:rsidRPr="002152EC">
        <w:rPr>
          <w:rFonts w:ascii="Arial" w:hAnsi="Arial" w:cs="Arial"/>
          <w:sz w:val="24"/>
          <w:szCs w:val="24"/>
          <w:lang w:val="en-GB" w:eastAsia="en-GB"/>
        </w:rPr>
        <w:t>Levenshulme</w:t>
      </w:r>
      <w:proofErr w:type="spellEnd"/>
      <w:r w:rsidRPr="002152EC">
        <w:rPr>
          <w:rFonts w:ascii="Arial" w:hAnsi="Arial" w:cs="Arial"/>
          <w:sz w:val="24"/>
          <w:szCs w:val="24"/>
          <w:lang w:val="en-GB" w:eastAsia="en-GB"/>
        </w:rPr>
        <w:t xml:space="preserve"> provide a low-cost alternative. </w:t>
      </w:r>
      <w:proofErr w:type="spellStart"/>
      <w:r w:rsidRPr="002152EC">
        <w:rPr>
          <w:rFonts w:ascii="Arial" w:hAnsi="Arial" w:cs="Arial"/>
          <w:sz w:val="24"/>
          <w:szCs w:val="24"/>
          <w:lang w:val="en-GB" w:eastAsia="en-GB"/>
        </w:rPr>
        <w:t>PureGym</w:t>
      </w:r>
      <w:proofErr w:type="spellEnd"/>
      <w:r w:rsidRPr="002152EC">
        <w:rPr>
          <w:rFonts w:ascii="Arial" w:hAnsi="Arial" w:cs="Arial"/>
          <w:sz w:val="24"/>
          <w:szCs w:val="24"/>
          <w:lang w:val="en-GB" w:eastAsia="en-GB"/>
        </w:rPr>
        <w:t xml:space="preserve"> identifies Manchester </w:t>
      </w:r>
      <w:proofErr w:type="spellStart"/>
      <w:r w:rsidRPr="002152EC">
        <w:rPr>
          <w:rFonts w:ascii="Arial" w:hAnsi="Arial" w:cs="Arial"/>
          <w:sz w:val="24"/>
          <w:szCs w:val="24"/>
          <w:lang w:val="en-GB" w:eastAsia="en-GB"/>
        </w:rPr>
        <w:t>Debdale</w:t>
      </w:r>
      <w:proofErr w:type="spellEnd"/>
      <w:r w:rsidRPr="002152EC">
        <w:rPr>
          <w:rFonts w:ascii="Arial" w:hAnsi="Arial" w:cs="Arial"/>
          <w:sz w:val="24"/>
          <w:szCs w:val="24"/>
          <w:lang w:val="en-GB" w:eastAsia="en-GB"/>
        </w:rPr>
        <w:t xml:space="preserve"> and Denton as nearby locations, with memberships from £17.99 per month plus a joining fee. The gyms provide 24-hour access, flexible contract-free memberships, more than 220 pieces of equipment and over 50 classes per week across the relev</w:t>
      </w:r>
      <w:r w:rsidR="00A94592">
        <w:rPr>
          <w:rFonts w:ascii="Arial" w:hAnsi="Arial" w:cs="Arial"/>
          <w:sz w:val="24"/>
          <w:szCs w:val="24"/>
          <w:lang w:val="en-GB" w:eastAsia="en-GB"/>
        </w:rPr>
        <w:t>ant facilities (</w:t>
      </w:r>
      <w:proofErr w:type="spellStart"/>
      <w:r w:rsidR="00A94592">
        <w:rPr>
          <w:rFonts w:ascii="Arial" w:hAnsi="Arial" w:cs="Arial"/>
          <w:sz w:val="24"/>
          <w:szCs w:val="24"/>
          <w:lang w:val="en-GB" w:eastAsia="en-GB"/>
        </w:rPr>
        <w:t>PureGym</w:t>
      </w:r>
      <w:proofErr w:type="spellEnd"/>
      <w:r w:rsidR="00A94592">
        <w:rPr>
          <w:rFonts w:ascii="Arial" w:hAnsi="Arial" w:cs="Arial"/>
          <w:sz w:val="24"/>
          <w:szCs w:val="24"/>
          <w:lang w:val="en-GB" w:eastAsia="en-GB"/>
        </w:rPr>
        <w:t>, 2026).</w:t>
      </w:r>
    </w:p>
    <w:p w14:paraId="6E2AD01B" w14:textId="0EFB62BB" w:rsidR="002152EC" w:rsidRPr="002152EC"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 xml:space="preserve">A wider catchment also exposes </w:t>
      </w:r>
      <w:proofErr w:type="spellStart"/>
      <w:r w:rsidRPr="002152EC">
        <w:rPr>
          <w:rFonts w:ascii="Arial" w:hAnsi="Arial" w:cs="Arial"/>
          <w:sz w:val="24"/>
          <w:szCs w:val="24"/>
          <w:lang w:val="en-GB" w:eastAsia="en-GB"/>
        </w:rPr>
        <w:t>FitLife</w:t>
      </w:r>
      <w:proofErr w:type="spellEnd"/>
      <w:r w:rsidRPr="002152EC">
        <w:rPr>
          <w:rFonts w:ascii="Arial" w:hAnsi="Arial" w:cs="Arial"/>
          <w:sz w:val="24"/>
          <w:szCs w:val="24"/>
          <w:lang w:val="en-GB" w:eastAsia="en-GB"/>
        </w:rPr>
        <w:t xml:space="preserve"> to JD Gyms and independent/leisure facilities. JD Gyms operates several Manchester-area sites and competes through equipment, classes, flexible memberships and relatively accessible pricing (JD Gyms, 2026). Within approximately 1–2 miles of </w:t>
      </w:r>
      <w:proofErr w:type="spellStart"/>
      <w:r w:rsidRPr="002152EC">
        <w:rPr>
          <w:rFonts w:ascii="Arial" w:hAnsi="Arial" w:cs="Arial"/>
          <w:sz w:val="24"/>
          <w:szCs w:val="24"/>
          <w:lang w:val="en-GB" w:eastAsia="en-GB"/>
        </w:rPr>
        <w:t>Levenshulme</w:t>
      </w:r>
      <w:proofErr w:type="spellEnd"/>
      <w:r w:rsidRPr="002152EC">
        <w:rPr>
          <w:rFonts w:ascii="Arial" w:hAnsi="Arial" w:cs="Arial"/>
          <w:sz w:val="24"/>
          <w:szCs w:val="24"/>
          <w:lang w:val="en-GB" w:eastAsia="en-GB"/>
        </w:rPr>
        <w:t xml:space="preserve">, facilities listed by </w:t>
      </w:r>
      <w:proofErr w:type="spellStart"/>
      <w:r w:rsidRPr="002152EC">
        <w:rPr>
          <w:rFonts w:ascii="Arial" w:hAnsi="Arial" w:cs="Arial"/>
          <w:sz w:val="24"/>
          <w:szCs w:val="24"/>
          <w:lang w:val="en-GB" w:eastAsia="en-GB"/>
        </w:rPr>
        <w:t>Hussle</w:t>
      </w:r>
      <w:proofErr w:type="spellEnd"/>
      <w:r w:rsidRPr="002152EC">
        <w:rPr>
          <w:rFonts w:ascii="Arial" w:hAnsi="Arial" w:cs="Arial"/>
          <w:sz w:val="24"/>
          <w:szCs w:val="24"/>
          <w:lang w:val="en-GB" w:eastAsia="en-GB"/>
        </w:rPr>
        <w:t xml:space="preserve"> include </w:t>
      </w:r>
      <w:proofErr w:type="spellStart"/>
      <w:r w:rsidRPr="002152EC">
        <w:rPr>
          <w:rFonts w:ascii="Arial" w:hAnsi="Arial" w:cs="Arial"/>
          <w:sz w:val="24"/>
          <w:szCs w:val="24"/>
          <w:lang w:val="en-GB" w:eastAsia="en-GB"/>
        </w:rPr>
        <w:lastRenderedPageBreak/>
        <w:t>Levenshulme</w:t>
      </w:r>
      <w:proofErr w:type="spellEnd"/>
      <w:r w:rsidRPr="002152EC">
        <w:rPr>
          <w:rFonts w:ascii="Arial" w:hAnsi="Arial" w:cs="Arial"/>
          <w:sz w:val="24"/>
          <w:szCs w:val="24"/>
          <w:lang w:val="en-GB" w:eastAsia="en-GB"/>
        </w:rPr>
        <w:t xml:space="preserve"> High School Gym, Kingfisher Health Club, Platt Lane Sports Complex and Life Leisure </w:t>
      </w:r>
      <w:proofErr w:type="spellStart"/>
      <w:r w:rsidRPr="002152EC">
        <w:rPr>
          <w:rFonts w:ascii="Arial" w:hAnsi="Arial" w:cs="Arial"/>
          <w:sz w:val="24"/>
          <w:szCs w:val="24"/>
          <w:lang w:val="en-GB" w:eastAsia="en-GB"/>
        </w:rPr>
        <w:t>Houldsworth</w:t>
      </w:r>
      <w:proofErr w:type="spellEnd"/>
      <w:r w:rsidRPr="002152EC">
        <w:rPr>
          <w:rFonts w:ascii="Arial" w:hAnsi="Arial" w:cs="Arial"/>
          <w:sz w:val="24"/>
          <w:szCs w:val="24"/>
          <w:lang w:val="en-GB" w:eastAsia="en-GB"/>
        </w:rPr>
        <w:t xml:space="preserve"> Village, demonstrating that consumers have alternatives ranging from low-cost community facilities to higher-pric</w:t>
      </w:r>
      <w:r w:rsidR="00A94592">
        <w:rPr>
          <w:rFonts w:ascii="Arial" w:hAnsi="Arial" w:cs="Arial"/>
          <w:sz w:val="24"/>
          <w:szCs w:val="24"/>
          <w:lang w:val="en-GB" w:eastAsia="en-GB"/>
        </w:rPr>
        <w:t>ed health clubs (</w:t>
      </w:r>
      <w:proofErr w:type="spellStart"/>
      <w:r w:rsidR="00A94592">
        <w:rPr>
          <w:rFonts w:ascii="Arial" w:hAnsi="Arial" w:cs="Arial"/>
          <w:sz w:val="24"/>
          <w:szCs w:val="24"/>
          <w:lang w:val="en-GB" w:eastAsia="en-GB"/>
        </w:rPr>
        <w:t>Hussle</w:t>
      </w:r>
      <w:proofErr w:type="spellEnd"/>
      <w:r w:rsidR="00A94592">
        <w:rPr>
          <w:rFonts w:ascii="Arial" w:hAnsi="Arial" w:cs="Arial"/>
          <w:sz w:val="24"/>
          <w:szCs w:val="24"/>
          <w:lang w:val="en-GB" w:eastAsia="en-GB"/>
        </w:rPr>
        <w:t>, 2026).</w:t>
      </w:r>
    </w:p>
    <w:p w14:paraId="257895D7" w14:textId="054B20CC" w:rsidR="00A94592" w:rsidRPr="00A94592" w:rsidRDefault="00A94592" w:rsidP="00A94592">
      <w:pPr>
        <w:pStyle w:val="Caption"/>
        <w:keepNext/>
        <w:spacing w:line="360" w:lineRule="auto"/>
        <w:jc w:val="both"/>
        <w:rPr>
          <w:rFonts w:ascii="Arial" w:hAnsi="Arial" w:cs="Arial"/>
          <w:sz w:val="24"/>
        </w:rPr>
      </w:pPr>
      <w:bookmarkStart w:id="48" w:name="_Toc239091500"/>
      <w:r w:rsidRPr="00A94592">
        <w:rPr>
          <w:rFonts w:ascii="Arial" w:hAnsi="Arial" w:cs="Arial"/>
          <w:sz w:val="24"/>
        </w:rPr>
        <w:t xml:space="preserve">Table </w:t>
      </w:r>
      <w:r w:rsidRPr="00A94592">
        <w:rPr>
          <w:rFonts w:ascii="Arial" w:hAnsi="Arial" w:cs="Arial"/>
          <w:sz w:val="24"/>
        </w:rPr>
        <w:fldChar w:fldCharType="begin"/>
      </w:r>
      <w:r w:rsidRPr="00A94592">
        <w:rPr>
          <w:rFonts w:ascii="Arial" w:hAnsi="Arial" w:cs="Arial"/>
          <w:sz w:val="24"/>
        </w:rPr>
        <w:instrText xml:space="preserve"> SEQ Table \* ARABIC </w:instrText>
      </w:r>
      <w:r w:rsidRPr="00A94592">
        <w:rPr>
          <w:rFonts w:ascii="Arial" w:hAnsi="Arial" w:cs="Arial"/>
          <w:sz w:val="24"/>
        </w:rPr>
        <w:fldChar w:fldCharType="separate"/>
      </w:r>
      <w:r w:rsidR="00415D83">
        <w:rPr>
          <w:rFonts w:ascii="Arial" w:hAnsi="Arial" w:cs="Arial"/>
          <w:noProof/>
          <w:sz w:val="24"/>
        </w:rPr>
        <w:t>4</w:t>
      </w:r>
      <w:r w:rsidRPr="00A94592">
        <w:rPr>
          <w:rFonts w:ascii="Arial" w:hAnsi="Arial" w:cs="Arial"/>
          <w:sz w:val="24"/>
        </w:rPr>
        <w:fldChar w:fldCharType="end"/>
      </w:r>
      <w:r w:rsidRPr="00A94592">
        <w:rPr>
          <w:rFonts w:ascii="Arial" w:hAnsi="Arial" w:cs="Arial"/>
          <w:sz w:val="24"/>
        </w:rPr>
        <w:t>.: Local Competitive Landscape</w:t>
      </w:r>
      <w:bookmarkEnd w:id="48"/>
    </w:p>
    <w:tbl>
      <w:tblPr>
        <w:tblStyle w:val="TableGrid"/>
        <w:tblW w:w="0" w:type="auto"/>
        <w:tblLook w:val="04A0" w:firstRow="1" w:lastRow="0" w:firstColumn="1" w:lastColumn="0" w:noHBand="0" w:noVBand="1"/>
      </w:tblPr>
      <w:tblGrid>
        <w:gridCol w:w="1219"/>
        <w:gridCol w:w="1436"/>
        <w:gridCol w:w="1248"/>
        <w:gridCol w:w="1530"/>
        <w:gridCol w:w="2063"/>
        <w:gridCol w:w="1520"/>
      </w:tblGrid>
      <w:tr w:rsidR="00A94592" w:rsidRPr="00A94592" w14:paraId="7C3B1942" w14:textId="77777777" w:rsidTr="00A94592">
        <w:tc>
          <w:tcPr>
            <w:tcW w:w="1234" w:type="dxa"/>
          </w:tcPr>
          <w:p w14:paraId="4868B085" w14:textId="77777777" w:rsidR="00A94592" w:rsidRPr="00E72878" w:rsidRDefault="00A94592" w:rsidP="00E72878">
            <w:pPr>
              <w:spacing w:line="360" w:lineRule="auto"/>
              <w:jc w:val="both"/>
              <w:rPr>
                <w:rFonts w:ascii="Arial" w:hAnsi="Arial" w:cs="Arial"/>
                <w:b/>
                <w:sz w:val="24"/>
                <w:szCs w:val="24"/>
                <w:lang w:val="en-GB" w:eastAsia="en-GB"/>
              </w:rPr>
            </w:pPr>
            <w:r w:rsidRPr="00E72878">
              <w:rPr>
                <w:rFonts w:ascii="Arial" w:hAnsi="Arial" w:cs="Arial"/>
                <w:b/>
                <w:sz w:val="24"/>
                <w:szCs w:val="24"/>
                <w:lang w:val="en-GB" w:eastAsia="en-GB"/>
              </w:rPr>
              <w:t>Competitor</w:t>
            </w:r>
          </w:p>
        </w:tc>
        <w:tc>
          <w:tcPr>
            <w:tcW w:w="1452" w:type="dxa"/>
          </w:tcPr>
          <w:p w14:paraId="7348B7EE" w14:textId="77777777" w:rsidR="00A94592" w:rsidRPr="00E72878" w:rsidRDefault="00A94592" w:rsidP="00E72878">
            <w:pPr>
              <w:spacing w:line="360" w:lineRule="auto"/>
              <w:jc w:val="both"/>
              <w:rPr>
                <w:rFonts w:ascii="Arial" w:hAnsi="Arial" w:cs="Arial"/>
                <w:b/>
                <w:sz w:val="24"/>
                <w:szCs w:val="24"/>
                <w:lang w:val="en-GB" w:eastAsia="en-GB"/>
              </w:rPr>
            </w:pPr>
            <w:r w:rsidRPr="00E72878">
              <w:rPr>
                <w:rFonts w:ascii="Arial" w:hAnsi="Arial" w:cs="Arial"/>
                <w:b/>
                <w:sz w:val="24"/>
                <w:szCs w:val="24"/>
                <w:lang w:val="en-GB" w:eastAsia="en-GB"/>
              </w:rPr>
              <w:t>Catchment relevance</w:t>
            </w:r>
          </w:p>
        </w:tc>
        <w:tc>
          <w:tcPr>
            <w:tcW w:w="1262" w:type="dxa"/>
          </w:tcPr>
          <w:p w14:paraId="47C50897" w14:textId="77777777" w:rsidR="00A94592" w:rsidRPr="00E72878" w:rsidRDefault="00A94592" w:rsidP="00E72878">
            <w:pPr>
              <w:spacing w:line="360" w:lineRule="auto"/>
              <w:jc w:val="both"/>
              <w:rPr>
                <w:rFonts w:ascii="Arial" w:hAnsi="Arial" w:cs="Arial"/>
                <w:b/>
                <w:sz w:val="24"/>
                <w:szCs w:val="24"/>
                <w:lang w:val="en-GB" w:eastAsia="en-GB"/>
              </w:rPr>
            </w:pPr>
            <w:r w:rsidRPr="00E72878">
              <w:rPr>
                <w:rFonts w:ascii="Arial" w:hAnsi="Arial" w:cs="Arial"/>
                <w:b/>
                <w:sz w:val="24"/>
                <w:szCs w:val="24"/>
                <w:lang w:val="en-GB" w:eastAsia="en-GB"/>
              </w:rPr>
              <w:t>Indicative price</w:t>
            </w:r>
          </w:p>
        </w:tc>
        <w:tc>
          <w:tcPr>
            <w:tcW w:w="1442" w:type="dxa"/>
          </w:tcPr>
          <w:p w14:paraId="6CE76EAE" w14:textId="77777777" w:rsidR="00A94592" w:rsidRPr="00E72878" w:rsidRDefault="00A94592" w:rsidP="00E72878">
            <w:pPr>
              <w:spacing w:line="360" w:lineRule="auto"/>
              <w:jc w:val="both"/>
              <w:rPr>
                <w:rFonts w:ascii="Arial" w:hAnsi="Arial" w:cs="Arial"/>
                <w:b/>
                <w:sz w:val="24"/>
                <w:szCs w:val="24"/>
                <w:lang w:val="en-GB" w:eastAsia="en-GB"/>
              </w:rPr>
            </w:pPr>
            <w:r w:rsidRPr="00E72878">
              <w:rPr>
                <w:rFonts w:ascii="Arial" w:hAnsi="Arial" w:cs="Arial"/>
                <w:b/>
                <w:sz w:val="24"/>
                <w:szCs w:val="24"/>
                <w:lang w:val="en-GB" w:eastAsia="en-GB"/>
              </w:rPr>
              <w:t>Access/services</w:t>
            </w:r>
          </w:p>
        </w:tc>
        <w:tc>
          <w:tcPr>
            <w:tcW w:w="2088" w:type="dxa"/>
          </w:tcPr>
          <w:p w14:paraId="058E03A6" w14:textId="77777777" w:rsidR="00A94592" w:rsidRPr="00E72878" w:rsidRDefault="00A94592" w:rsidP="00E72878">
            <w:pPr>
              <w:spacing w:line="360" w:lineRule="auto"/>
              <w:jc w:val="both"/>
              <w:rPr>
                <w:rFonts w:ascii="Arial" w:hAnsi="Arial" w:cs="Arial"/>
                <w:b/>
                <w:sz w:val="24"/>
                <w:szCs w:val="24"/>
                <w:lang w:val="en-GB" w:eastAsia="en-GB"/>
              </w:rPr>
            </w:pPr>
            <w:r w:rsidRPr="00E72878">
              <w:rPr>
                <w:rFonts w:ascii="Arial" w:hAnsi="Arial" w:cs="Arial"/>
                <w:b/>
                <w:sz w:val="24"/>
                <w:szCs w:val="24"/>
                <w:lang w:val="en-GB" w:eastAsia="en-GB"/>
              </w:rPr>
              <w:t>Technology/PT</w:t>
            </w:r>
          </w:p>
        </w:tc>
        <w:tc>
          <w:tcPr>
            <w:tcW w:w="1538" w:type="dxa"/>
          </w:tcPr>
          <w:p w14:paraId="342EA34A" w14:textId="77777777" w:rsidR="00A94592" w:rsidRPr="00E72878" w:rsidRDefault="00A94592" w:rsidP="00E72878">
            <w:pPr>
              <w:spacing w:line="360" w:lineRule="auto"/>
              <w:jc w:val="both"/>
              <w:rPr>
                <w:rFonts w:ascii="Arial" w:hAnsi="Arial" w:cs="Arial"/>
                <w:b/>
                <w:sz w:val="24"/>
                <w:szCs w:val="24"/>
                <w:lang w:val="en-GB" w:eastAsia="en-GB"/>
              </w:rPr>
            </w:pPr>
            <w:r w:rsidRPr="00E72878">
              <w:rPr>
                <w:rFonts w:ascii="Arial" w:hAnsi="Arial" w:cs="Arial"/>
                <w:b/>
                <w:sz w:val="24"/>
                <w:szCs w:val="24"/>
                <w:lang w:val="en-GB" w:eastAsia="en-GB"/>
              </w:rPr>
              <w:t>Positioning</w:t>
            </w:r>
          </w:p>
        </w:tc>
      </w:tr>
      <w:tr w:rsidR="00A94592" w:rsidRPr="00A94592" w14:paraId="6FA87972" w14:textId="77777777" w:rsidTr="00A94592">
        <w:tc>
          <w:tcPr>
            <w:tcW w:w="1234" w:type="dxa"/>
          </w:tcPr>
          <w:p w14:paraId="0244EED8" w14:textId="77777777" w:rsidR="00A94592" w:rsidRPr="00A94592" w:rsidRDefault="00A94592" w:rsidP="00E72878">
            <w:pPr>
              <w:spacing w:line="360" w:lineRule="auto"/>
              <w:jc w:val="both"/>
              <w:rPr>
                <w:rFonts w:ascii="Arial" w:hAnsi="Arial" w:cs="Arial"/>
                <w:sz w:val="24"/>
                <w:szCs w:val="24"/>
                <w:lang w:val="en-GB" w:eastAsia="en-GB"/>
              </w:rPr>
            </w:pPr>
            <w:proofErr w:type="spellStart"/>
            <w:r w:rsidRPr="00A94592">
              <w:rPr>
                <w:rFonts w:ascii="Arial" w:hAnsi="Arial" w:cs="Arial"/>
                <w:sz w:val="24"/>
                <w:szCs w:val="24"/>
                <w:lang w:val="en-GB" w:eastAsia="en-GB"/>
              </w:rPr>
              <w:t>Jetts</w:t>
            </w:r>
            <w:proofErr w:type="spellEnd"/>
            <w:r w:rsidRPr="00A94592">
              <w:rPr>
                <w:rFonts w:ascii="Arial" w:hAnsi="Arial" w:cs="Arial"/>
                <w:sz w:val="24"/>
                <w:szCs w:val="24"/>
                <w:lang w:val="en-GB" w:eastAsia="en-GB"/>
              </w:rPr>
              <w:t xml:space="preserve"> </w:t>
            </w:r>
            <w:proofErr w:type="spellStart"/>
            <w:r w:rsidRPr="00A94592">
              <w:rPr>
                <w:rFonts w:ascii="Arial" w:hAnsi="Arial" w:cs="Arial"/>
                <w:sz w:val="24"/>
                <w:szCs w:val="24"/>
                <w:lang w:val="en-GB" w:eastAsia="en-GB"/>
              </w:rPr>
              <w:t>Levenshulme</w:t>
            </w:r>
            <w:proofErr w:type="spellEnd"/>
          </w:p>
        </w:tc>
        <w:tc>
          <w:tcPr>
            <w:tcW w:w="1452" w:type="dxa"/>
          </w:tcPr>
          <w:p w14:paraId="298B7D4E"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 xml:space="preserve">Very high; physically in </w:t>
            </w:r>
            <w:proofErr w:type="spellStart"/>
            <w:r w:rsidRPr="00A94592">
              <w:rPr>
                <w:rFonts w:ascii="Arial" w:hAnsi="Arial" w:cs="Arial"/>
                <w:sz w:val="24"/>
                <w:szCs w:val="24"/>
                <w:lang w:val="en-GB" w:eastAsia="en-GB"/>
              </w:rPr>
              <w:t>Levenshulme</w:t>
            </w:r>
            <w:proofErr w:type="spellEnd"/>
          </w:p>
        </w:tc>
        <w:tc>
          <w:tcPr>
            <w:tcW w:w="1262" w:type="dxa"/>
          </w:tcPr>
          <w:p w14:paraId="6752F2F3"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£32.95/month</w:t>
            </w:r>
          </w:p>
        </w:tc>
        <w:tc>
          <w:tcPr>
            <w:tcW w:w="1442" w:type="dxa"/>
          </w:tcPr>
          <w:p w14:paraId="743F4E68"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24/7, classes, connected equipment</w:t>
            </w:r>
          </w:p>
        </w:tc>
        <w:tc>
          <w:tcPr>
            <w:tcW w:w="2088" w:type="dxa"/>
          </w:tcPr>
          <w:p w14:paraId="3BAFEED5"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Connected equipment, PT</w:t>
            </w:r>
          </w:p>
        </w:tc>
        <w:tc>
          <w:tcPr>
            <w:tcW w:w="1538" w:type="dxa"/>
          </w:tcPr>
          <w:p w14:paraId="676A2F61"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Accessible 24/7 local gym</w:t>
            </w:r>
          </w:p>
        </w:tc>
      </w:tr>
      <w:tr w:rsidR="00A94592" w:rsidRPr="00A94592" w14:paraId="25A01B63" w14:textId="77777777" w:rsidTr="00A94592">
        <w:tc>
          <w:tcPr>
            <w:tcW w:w="1234" w:type="dxa"/>
          </w:tcPr>
          <w:p w14:paraId="2D48091F" w14:textId="77777777" w:rsidR="00A94592" w:rsidRPr="00A94592" w:rsidRDefault="00A94592" w:rsidP="00E72878">
            <w:pPr>
              <w:spacing w:line="360" w:lineRule="auto"/>
              <w:jc w:val="both"/>
              <w:rPr>
                <w:rFonts w:ascii="Arial" w:hAnsi="Arial" w:cs="Arial"/>
                <w:sz w:val="24"/>
                <w:szCs w:val="24"/>
                <w:lang w:val="en-GB" w:eastAsia="en-GB"/>
              </w:rPr>
            </w:pPr>
            <w:proofErr w:type="spellStart"/>
            <w:r w:rsidRPr="00A94592">
              <w:rPr>
                <w:rFonts w:ascii="Arial" w:hAnsi="Arial" w:cs="Arial"/>
                <w:sz w:val="24"/>
                <w:szCs w:val="24"/>
                <w:lang w:val="en-GB" w:eastAsia="en-GB"/>
              </w:rPr>
              <w:t>PureGym</w:t>
            </w:r>
            <w:proofErr w:type="spellEnd"/>
          </w:p>
        </w:tc>
        <w:tc>
          <w:tcPr>
            <w:tcW w:w="1452" w:type="dxa"/>
          </w:tcPr>
          <w:p w14:paraId="3F92A3BB"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 xml:space="preserve">High; </w:t>
            </w:r>
            <w:proofErr w:type="spellStart"/>
            <w:r w:rsidRPr="00A94592">
              <w:rPr>
                <w:rFonts w:ascii="Arial" w:hAnsi="Arial" w:cs="Arial"/>
                <w:sz w:val="24"/>
                <w:szCs w:val="24"/>
                <w:lang w:val="en-GB" w:eastAsia="en-GB"/>
              </w:rPr>
              <w:t>Debdale</w:t>
            </w:r>
            <w:proofErr w:type="spellEnd"/>
            <w:r w:rsidRPr="00A94592">
              <w:rPr>
                <w:rFonts w:ascii="Arial" w:hAnsi="Arial" w:cs="Arial"/>
                <w:sz w:val="24"/>
                <w:szCs w:val="24"/>
                <w:lang w:val="en-GB" w:eastAsia="en-GB"/>
              </w:rPr>
              <w:t>/Denton serve nearby catchment</w:t>
            </w:r>
          </w:p>
        </w:tc>
        <w:tc>
          <w:tcPr>
            <w:tcW w:w="1262" w:type="dxa"/>
          </w:tcPr>
          <w:p w14:paraId="77A022FC"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From £17.99/month</w:t>
            </w:r>
          </w:p>
        </w:tc>
        <w:tc>
          <w:tcPr>
            <w:tcW w:w="1442" w:type="dxa"/>
          </w:tcPr>
          <w:p w14:paraId="556B0685"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24-hour access, 220+ equipment, 50+ classes</w:t>
            </w:r>
          </w:p>
        </w:tc>
        <w:tc>
          <w:tcPr>
            <w:tcW w:w="2088" w:type="dxa"/>
          </w:tcPr>
          <w:p w14:paraId="05E60897"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Digital membership infrastructure</w:t>
            </w:r>
          </w:p>
        </w:tc>
        <w:tc>
          <w:tcPr>
            <w:tcW w:w="1538" w:type="dxa"/>
          </w:tcPr>
          <w:p w14:paraId="64E44E63"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Low-cost/flexible</w:t>
            </w:r>
          </w:p>
        </w:tc>
      </w:tr>
      <w:tr w:rsidR="00A94592" w:rsidRPr="00A94592" w14:paraId="287DC329" w14:textId="77777777" w:rsidTr="00A94592">
        <w:tc>
          <w:tcPr>
            <w:tcW w:w="1234" w:type="dxa"/>
          </w:tcPr>
          <w:p w14:paraId="0A475C44"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JD Gyms</w:t>
            </w:r>
          </w:p>
        </w:tc>
        <w:tc>
          <w:tcPr>
            <w:tcW w:w="1452" w:type="dxa"/>
          </w:tcPr>
          <w:p w14:paraId="6EAB5220"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Wider Manchester catchment</w:t>
            </w:r>
          </w:p>
        </w:tc>
        <w:tc>
          <w:tcPr>
            <w:tcW w:w="1262" w:type="dxa"/>
          </w:tcPr>
          <w:p w14:paraId="3D7A8305"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From £26.99/month across Manchester*</w:t>
            </w:r>
          </w:p>
        </w:tc>
        <w:tc>
          <w:tcPr>
            <w:tcW w:w="1442" w:type="dxa"/>
          </w:tcPr>
          <w:p w14:paraId="20013827"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Equipment, classes, many 24/7 sites</w:t>
            </w:r>
          </w:p>
        </w:tc>
        <w:tc>
          <w:tcPr>
            <w:tcW w:w="2088" w:type="dxa"/>
          </w:tcPr>
          <w:p w14:paraId="69D3E1C5"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PT and fitness technology</w:t>
            </w:r>
          </w:p>
        </w:tc>
        <w:tc>
          <w:tcPr>
            <w:tcW w:w="1538" w:type="dxa"/>
          </w:tcPr>
          <w:p w14:paraId="008925DA"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Value-focused full-service gym</w:t>
            </w:r>
          </w:p>
        </w:tc>
      </w:tr>
      <w:tr w:rsidR="00A94592" w:rsidRPr="00A94592" w14:paraId="5879145C" w14:textId="77777777" w:rsidTr="00A94592">
        <w:tc>
          <w:tcPr>
            <w:tcW w:w="1234" w:type="dxa"/>
          </w:tcPr>
          <w:p w14:paraId="7BB4C0C0" w14:textId="77777777" w:rsidR="00A94592" w:rsidRPr="00A94592" w:rsidRDefault="00A94592" w:rsidP="00E72878">
            <w:pPr>
              <w:spacing w:line="360" w:lineRule="auto"/>
              <w:jc w:val="both"/>
              <w:rPr>
                <w:rFonts w:ascii="Arial" w:hAnsi="Arial" w:cs="Arial"/>
                <w:sz w:val="24"/>
                <w:szCs w:val="24"/>
                <w:lang w:val="en-GB" w:eastAsia="en-GB"/>
              </w:rPr>
            </w:pPr>
            <w:proofErr w:type="spellStart"/>
            <w:r w:rsidRPr="00A94592">
              <w:rPr>
                <w:rFonts w:ascii="Arial" w:hAnsi="Arial" w:cs="Arial"/>
                <w:sz w:val="24"/>
                <w:szCs w:val="24"/>
                <w:lang w:val="en-GB" w:eastAsia="en-GB"/>
              </w:rPr>
              <w:t>Levenshulme</w:t>
            </w:r>
            <w:proofErr w:type="spellEnd"/>
            <w:r w:rsidRPr="00A94592">
              <w:rPr>
                <w:rFonts w:ascii="Arial" w:hAnsi="Arial" w:cs="Arial"/>
                <w:sz w:val="24"/>
                <w:szCs w:val="24"/>
                <w:lang w:val="en-GB" w:eastAsia="en-GB"/>
              </w:rPr>
              <w:t xml:space="preserve"> High School Gym</w:t>
            </w:r>
          </w:p>
        </w:tc>
        <w:tc>
          <w:tcPr>
            <w:tcW w:w="1452" w:type="dxa"/>
          </w:tcPr>
          <w:p w14:paraId="60538EAE"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Very high; local community facility</w:t>
            </w:r>
          </w:p>
        </w:tc>
        <w:tc>
          <w:tcPr>
            <w:tcW w:w="1262" w:type="dxa"/>
          </w:tcPr>
          <w:p w14:paraId="0095944A"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 xml:space="preserve">Day pass £3.22 via </w:t>
            </w:r>
            <w:proofErr w:type="spellStart"/>
            <w:r w:rsidRPr="00A94592">
              <w:rPr>
                <w:rFonts w:ascii="Arial" w:hAnsi="Arial" w:cs="Arial"/>
                <w:sz w:val="24"/>
                <w:szCs w:val="24"/>
                <w:lang w:val="en-GB" w:eastAsia="en-GB"/>
              </w:rPr>
              <w:t>Hussle</w:t>
            </w:r>
            <w:proofErr w:type="spellEnd"/>
          </w:p>
        </w:tc>
        <w:tc>
          <w:tcPr>
            <w:tcW w:w="1442" w:type="dxa"/>
          </w:tcPr>
          <w:p w14:paraId="05667DA7"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Gym, sports facilities, classes</w:t>
            </w:r>
          </w:p>
        </w:tc>
        <w:tc>
          <w:tcPr>
            <w:tcW w:w="2088" w:type="dxa"/>
          </w:tcPr>
          <w:p w14:paraId="47EF2DEF"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Conventional/community provision</w:t>
            </w:r>
          </w:p>
        </w:tc>
        <w:tc>
          <w:tcPr>
            <w:tcW w:w="1538" w:type="dxa"/>
          </w:tcPr>
          <w:p w14:paraId="3DC20CFD"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Community/value</w:t>
            </w:r>
          </w:p>
        </w:tc>
      </w:tr>
      <w:tr w:rsidR="00A94592" w:rsidRPr="00A94592" w14:paraId="0B631B97" w14:textId="77777777" w:rsidTr="00A94592">
        <w:tc>
          <w:tcPr>
            <w:tcW w:w="1234" w:type="dxa"/>
          </w:tcPr>
          <w:p w14:paraId="380EEE15"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lastRenderedPageBreak/>
              <w:t>Kingfisher Health Club</w:t>
            </w:r>
          </w:p>
        </w:tc>
        <w:tc>
          <w:tcPr>
            <w:tcW w:w="1452" w:type="dxa"/>
          </w:tcPr>
          <w:p w14:paraId="2FD05B3F"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Approx. 1.4 miles</w:t>
            </w:r>
          </w:p>
        </w:tc>
        <w:tc>
          <w:tcPr>
            <w:tcW w:w="1262" w:type="dxa"/>
          </w:tcPr>
          <w:p w14:paraId="67493B87"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 xml:space="preserve">£66/month via </w:t>
            </w:r>
            <w:proofErr w:type="spellStart"/>
            <w:r w:rsidRPr="00A94592">
              <w:rPr>
                <w:rFonts w:ascii="Arial" w:hAnsi="Arial" w:cs="Arial"/>
                <w:sz w:val="24"/>
                <w:szCs w:val="24"/>
                <w:lang w:val="en-GB" w:eastAsia="en-GB"/>
              </w:rPr>
              <w:t>Hussle</w:t>
            </w:r>
            <w:proofErr w:type="spellEnd"/>
          </w:p>
        </w:tc>
        <w:tc>
          <w:tcPr>
            <w:tcW w:w="1442" w:type="dxa"/>
          </w:tcPr>
          <w:p w14:paraId="7F7D9A5B"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Pool, sauna, spa, PT, classes</w:t>
            </w:r>
          </w:p>
        </w:tc>
        <w:tc>
          <w:tcPr>
            <w:tcW w:w="2088" w:type="dxa"/>
          </w:tcPr>
          <w:p w14:paraId="10979FFB"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Conventional premium services</w:t>
            </w:r>
          </w:p>
        </w:tc>
        <w:tc>
          <w:tcPr>
            <w:tcW w:w="1538" w:type="dxa"/>
          </w:tcPr>
          <w:p w14:paraId="23E10AAC" w14:textId="77777777" w:rsidR="00A94592" w:rsidRPr="00A94592" w:rsidRDefault="00A94592" w:rsidP="00E72878">
            <w:pPr>
              <w:spacing w:line="360" w:lineRule="auto"/>
              <w:jc w:val="both"/>
              <w:rPr>
                <w:rFonts w:ascii="Arial" w:hAnsi="Arial" w:cs="Arial"/>
                <w:sz w:val="24"/>
                <w:szCs w:val="24"/>
                <w:lang w:val="en-GB" w:eastAsia="en-GB"/>
              </w:rPr>
            </w:pPr>
            <w:r w:rsidRPr="00A94592">
              <w:rPr>
                <w:rFonts w:ascii="Arial" w:hAnsi="Arial" w:cs="Arial"/>
                <w:sz w:val="24"/>
                <w:szCs w:val="24"/>
                <w:lang w:val="en-GB" w:eastAsia="en-GB"/>
              </w:rPr>
              <w:t>Premium health club</w:t>
            </w:r>
          </w:p>
        </w:tc>
      </w:tr>
    </w:tbl>
    <w:p w14:paraId="69D29128" w14:textId="1E94F651" w:rsidR="002152EC" w:rsidRPr="002152EC" w:rsidRDefault="002152EC" w:rsidP="002152EC">
      <w:pPr>
        <w:spacing w:line="360" w:lineRule="auto"/>
        <w:jc w:val="both"/>
        <w:rPr>
          <w:rFonts w:ascii="Arial" w:hAnsi="Arial" w:cs="Arial"/>
          <w:sz w:val="24"/>
          <w:szCs w:val="24"/>
          <w:lang w:val="en-GB" w:eastAsia="en-GB"/>
        </w:rPr>
      </w:pPr>
    </w:p>
    <w:p w14:paraId="7B2D1399" w14:textId="0D7C33BA" w:rsidR="002152EC" w:rsidRPr="002152EC"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 xml:space="preserve">Indirect substitutes are equally important. Customers can choose home workouts, free online fitness content, mobile exercise applications, outdoor running and self-directed wearable-based training instead of paying for gym membership. This is commercially significant because </w:t>
      </w:r>
      <w:proofErr w:type="spellStart"/>
      <w:r w:rsidRPr="002152EC">
        <w:rPr>
          <w:rFonts w:ascii="Arial" w:hAnsi="Arial" w:cs="Arial"/>
          <w:sz w:val="24"/>
          <w:szCs w:val="24"/>
          <w:lang w:val="en-GB" w:eastAsia="en-GB"/>
        </w:rPr>
        <w:t>FitLife</w:t>
      </w:r>
      <w:proofErr w:type="spellEnd"/>
      <w:r w:rsidRPr="002152EC">
        <w:rPr>
          <w:rFonts w:ascii="Arial" w:hAnsi="Arial" w:cs="Arial"/>
          <w:sz w:val="24"/>
          <w:szCs w:val="24"/>
          <w:lang w:val="en-GB" w:eastAsia="en-GB"/>
        </w:rPr>
        <w:t xml:space="preserve"> is not only competing against gyms for expenditure but against alternative ways of achieving fitness outcomes. </w:t>
      </w:r>
      <w:r w:rsidR="00E72878">
        <w:rPr>
          <w:rFonts w:ascii="Arial" w:hAnsi="Arial" w:cs="Arial"/>
          <w:sz w:val="24"/>
          <w:szCs w:val="24"/>
          <w:lang w:val="en-GB" w:eastAsia="en-GB"/>
        </w:rPr>
        <w:t>(ACSM, 2024).</w:t>
      </w:r>
    </w:p>
    <w:p w14:paraId="7597A2EF" w14:textId="52023D47" w:rsidR="002152EC" w:rsidRPr="00E72878" w:rsidRDefault="002152EC" w:rsidP="00E72878">
      <w:pPr>
        <w:pStyle w:val="Heading2"/>
        <w:rPr>
          <w:lang w:val="en-GB" w:eastAsia="en-GB"/>
        </w:rPr>
      </w:pPr>
      <w:bookmarkStart w:id="49" w:name="_Toc239091460"/>
      <w:r w:rsidRPr="002152EC">
        <w:rPr>
          <w:lang w:val="en-GB" w:eastAsia="en-GB"/>
        </w:rPr>
        <w:t>6.3 Competitor Strengths and Weaknesses</w:t>
      </w:r>
      <w:bookmarkEnd w:id="49"/>
    </w:p>
    <w:p w14:paraId="23F794CE" w14:textId="0727FA5C" w:rsidR="002152EC" w:rsidRPr="002152EC"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 xml:space="preserve">The principal competitors possess different sources of competitive strength. </w:t>
      </w:r>
      <w:proofErr w:type="spellStart"/>
      <w:r w:rsidRPr="002152EC">
        <w:rPr>
          <w:rFonts w:ascii="Arial" w:hAnsi="Arial" w:cs="Arial"/>
          <w:sz w:val="24"/>
          <w:szCs w:val="24"/>
          <w:lang w:val="en-GB" w:eastAsia="en-GB"/>
        </w:rPr>
        <w:t>Jetts</w:t>
      </w:r>
      <w:proofErr w:type="spellEnd"/>
      <w:r w:rsidRPr="002152EC">
        <w:rPr>
          <w:rFonts w:ascii="Arial" w:hAnsi="Arial" w:cs="Arial"/>
          <w:sz w:val="24"/>
          <w:szCs w:val="24"/>
          <w:lang w:val="en-GB" w:eastAsia="en-GB"/>
        </w:rPr>
        <w:t xml:space="preserve"> has a particularly strong location and convenience advantage because its </w:t>
      </w:r>
      <w:proofErr w:type="spellStart"/>
      <w:r w:rsidRPr="002152EC">
        <w:rPr>
          <w:rFonts w:ascii="Arial" w:hAnsi="Arial" w:cs="Arial"/>
          <w:sz w:val="24"/>
          <w:szCs w:val="24"/>
          <w:lang w:val="en-GB" w:eastAsia="en-GB"/>
        </w:rPr>
        <w:t>Levenshulme</w:t>
      </w:r>
      <w:proofErr w:type="spellEnd"/>
      <w:r w:rsidRPr="002152EC">
        <w:rPr>
          <w:rFonts w:ascii="Arial" w:hAnsi="Arial" w:cs="Arial"/>
          <w:sz w:val="24"/>
          <w:szCs w:val="24"/>
          <w:lang w:val="en-GB" w:eastAsia="en-GB"/>
        </w:rPr>
        <w:t xml:space="preserve"> site provides 24/7 access and is positioned close to the local railway station. Its £32.95 monthly price includes classes, while connected equipment and personal trainers broaden the service proposition beyond basic equipment access (</w:t>
      </w:r>
      <w:proofErr w:type="spellStart"/>
      <w:r w:rsidRPr="002152EC">
        <w:rPr>
          <w:rFonts w:ascii="Arial" w:hAnsi="Arial" w:cs="Arial"/>
          <w:sz w:val="24"/>
          <w:szCs w:val="24"/>
          <w:lang w:val="en-GB" w:eastAsia="en-GB"/>
        </w:rPr>
        <w:t>Jetts</w:t>
      </w:r>
      <w:proofErr w:type="spellEnd"/>
      <w:r w:rsidRPr="002152EC">
        <w:rPr>
          <w:rFonts w:ascii="Arial" w:hAnsi="Arial" w:cs="Arial"/>
          <w:sz w:val="24"/>
          <w:szCs w:val="24"/>
          <w:lang w:val="en-GB" w:eastAsia="en-GB"/>
        </w:rPr>
        <w:t xml:space="preserve">, 2026). </w:t>
      </w:r>
      <w:r w:rsidR="00E72878">
        <w:rPr>
          <w:rFonts w:ascii="Arial" w:hAnsi="Arial" w:cs="Arial"/>
          <w:sz w:val="24"/>
          <w:szCs w:val="24"/>
          <w:lang w:val="en-GB" w:eastAsia="en-GB"/>
        </w:rPr>
        <w:t xml:space="preserve">  </w:t>
      </w:r>
      <w:proofErr w:type="spellStart"/>
      <w:r w:rsidRPr="002152EC">
        <w:rPr>
          <w:rFonts w:ascii="Arial" w:hAnsi="Arial" w:cs="Arial"/>
          <w:sz w:val="24"/>
          <w:szCs w:val="24"/>
          <w:lang w:val="en-GB" w:eastAsia="en-GB"/>
        </w:rPr>
        <w:t>PureGym's</w:t>
      </w:r>
      <w:proofErr w:type="spellEnd"/>
      <w:r w:rsidRPr="002152EC">
        <w:rPr>
          <w:rFonts w:ascii="Arial" w:hAnsi="Arial" w:cs="Arial"/>
          <w:sz w:val="24"/>
          <w:szCs w:val="24"/>
          <w:lang w:val="en-GB" w:eastAsia="en-GB"/>
        </w:rPr>
        <w:t xml:space="preserve"> major strength is its low-cost and flexible proposition. Its nearby Manchester gyms offer 24-hour access, contract-free membership, substantial equipment and classes at a significantly lower entry price than </w:t>
      </w:r>
      <w:proofErr w:type="spellStart"/>
      <w:r w:rsidRPr="002152EC">
        <w:rPr>
          <w:rFonts w:ascii="Arial" w:hAnsi="Arial" w:cs="Arial"/>
          <w:sz w:val="24"/>
          <w:szCs w:val="24"/>
          <w:lang w:val="en-GB" w:eastAsia="en-GB"/>
        </w:rPr>
        <w:t>Jetts</w:t>
      </w:r>
      <w:proofErr w:type="spellEnd"/>
      <w:r w:rsidRPr="002152EC">
        <w:rPr>
          <w:rFonts w:ascii="Arial" w:hAnsi="Arial" w:cs="Arial"/>
          <w:sz w:val="24"/>
          <w:szCs w:val="24"/>
          <w:lang w:val="en-GB" w:eastAsia="en-GB"/>
        </w:rPr>
        <w:t xml:space="preserve"> (</w:t>
      </w:r>
      <w:proofErr w:type="spellStart"/>
      <w:r w:rsidRPr="002152EC">
        <w:rPr>
          <w:rFonts w:ascii="Arial" w:hAnsi="Arial" w:cs="Arial"/>
          <w:sz w:val="24"/>
          <w:szCs w:val="24"/>
          <w:lang w:val="en-GB" w:eastAsia="en-GB"/>
        </w:rPr>
        <w:t>PureGym</w:t>
      </w:r>
      <w:proofErr w:type="spellEnd"/>
      <w:r w:rsidRPr="002152EC">
        <w:rPr>
          <w:rFonts w:ascii="Arial" w:hAnsi="Arial" w:cs="Arial"/>
          <w:sz w:val="24"/>
          <w:szCs w:val="24"/>
          <w:lang w:val="en-GB" w:eastAsia="en-GB"/>
        </w:rPr>
        <w:t>, 2026). Its scale and established operating model also make price-based competiti</w:t>
      </w:r>
      <w:r w:rsidR="00E72878">
        <w:rPr>
          <w:rFonts w:ascii="Arial" w:hAnsi="Arial" w:cs="Arial"/>
          <w:sz w:val="24"/>
          <w:szCs w:val="24"/>
          <w:lang w:val="en-GB" w:eastAsia="en-GB"/>
        </w:rPr>
        <w:t>on difficult for a new entrant.</w:t>
      </w:r>
    </w:p>
    <w:p w14:paraId="0F5B1F1C" w14:textId="26845AAA" w:rsidR="002152EC" w:rsidRPr="002152EC"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 xml:space="preserve">Community and leisure facilities provide another form of competition. </w:t>
      </w:r>
      <w:proofErr w:type="spellStart"/>
      <w:r w:rsidRPr="002152EC">
        <w:rPr>
          <w:rFonts w:ascii="Arial" w:hAnsi="Arial" w:cs="Arial"/>
          <w:sz w:val="24"/>
          <w:szCs w:val="24"/>
          <w:lang w:val="en-GB" w:eastAsia="en-GB"/>
        </w:rPr>
        <w:t>Levenshulme</w:t>
      </w:r>
      <w:proofErr w:type="spellEnd"/>
      <w:r w:rsidRPr="002152EC">
        <w:rPr>
          <w:rFonts w:ascii="Arial" w:hAnsi="Arial" w:cs="Arial"/>
          <w:sz w:val="24"/>
          <w:szCs w:val="24"/>
          <w:lang w:val="en-GB" w:eastAsia="en-GB"/>
        </w:rPr>
        <w:t xml:space="preserve"> High School's Energy Box offers a gym, sports hall, 3G pitch and classes to the general public during evenings and weekends, creating a locally accessible alternative (</w:t>
      </w:r>
      <w:proofErr w:type="spellStart"/>
      <w:r w:rsidRPr="002152EC">
        <w:rPr>
          <w:rFonts w:ascii="Arial" w:hAnsi="Arial" w:cs="Arial"/>
          <w:sz w:val="24"/>
          <w:szCs w:val="24"/>
          <w:lang w:val="en-GB" w:eastAsia="en-GB"/>
        </w:rPr>
        <w:t>Levenshulme</w:t>
      </w:r>
      <w:proofErr w:type="spellEnd"/>
      <w:r w:rsidRPr="002152EC">
        <w:rPr>
          <w:rFonts w:ascii="Arial" w:hAnsi="Arial" w:cs="Arial"/>
          <w:sz w:val="24"/>
          <w:szCs w:val="24"/>
          <w:lang w:val="en-GB" w:eastAsia="en-GB"/>
        </w:rPr>
        <w:t xml:space="preserve"> High School, 2026). Kingfisher Health Club represents a different competitive tier, offering facilities such as a swimming pool, spa, sauna, personal training, fitness studio and group activities (</w:t>
      </w:r>
      <w:proofErr w:type="spellStart"/>
      <w:r w:rsidRPr="002152EC">
        <w:rPr>
          <w:rFonts w:ascii="Arial" w:hAnsi="Arial" w:cs="Arial"/>
          <w:sz w:val="24"/>
          <w:szCs w:val="24"/>
          <w:lang w:val="en-GB" w:eastAsia="en-GB"/>
        </w:rPr>
        <w:t>Hussle</w:t>
      </w:r>
      <w:proofErr w:type="spellEnd"/>
      <w:r w:rsidRPr="002152EC">
        <w:rPr>
          <w:rFonts w:ascii="Arial" w:hAnsi="Arial" w:cs="Arial"/>
          <w:sz w:val="24"/>
          <w:szCs w:val="24"/>
          <w:lang w:val="en-GB" w:eastAsia="en-GB"/>
        </w:rPr>
        <w:t>, 2026</w:t>
      </w:r>
      <w:r w:rsidR="00E72878">
        <w:rPr>
          <w:rFonts w:ascii="Arial" w:hAnsi="Arial" w:cs="Arial"/>
          <w:sz w:val="24"/>
          <w:szCs w:val="24"/>
          <w:lang w:val="en-GB" w:eastAsia="en-GB"/>
        </w:rPr>
        <w:t xml:space="preserve">). </w:t>
      </w:r>
      <w:r w:rsidRPr="002152EC">
        <w:rPr>
          <w:rFonts w:ascii="Arial" w:hAnsi="Arial" w:cs="Arial"/>
          <w:sz w:val="24"/>
          <w:szCs w:val="24"/>
          <w:lang w:val="en-GB" w:eastAsia="en-GB"/>
        </w:rPr>
        <w:t xml:space="preserve">This leaves </w:t>
      </w:r>
      <w:proofErr w:type="spellStart"/>
      <w:r w:rsidRPr="002152EC">
        <w:rPr>
          <w:rFonts w:ascii="Arial" w:hAnsi="Arial" w:cs="Arial"/>
          <w:sz w:val="24"/>
          <w:szCs w:val="24"/>
          <w:lang w:val="en-GB" w:eastAsia="en-GB"/>
        </w:rPr>
        <w:t>FitLife</w:t>
      </w:r>
      <w:proofErr w:type="spellEnd"/>
      <w:r w:rsidRPr="002152EC">
        <w:rPr>
          <w:rFonts w:ascii="Arial" w:hAnsi="Arial" w:cs="Arial"/>
          <w:sz w:val="24"/>
          <w:szCs w:val="24"/>
          <w:lang w:val="en-GB" w:eastAsia="en-GB"/>
        </w:rPr>
        <w:t xml:space="preserve"> with a potential opportunity to integrate AI-supported personalisation, wearable monitoring and human coaching rather than claiming that individual compe</w:t>
      </w:r>
      <w:r w:rsidR="00E72878">
        <w:rPr>
          <w:rFonts w:ascii="Arial" w:hAnsi="Arial" w:cs="Arial"/>
          <w:sz w:val="24"/>
          <w:szCs w:val="24"/>
          <w:lang w:val="en-GB" w:eastAsia="en-GB"/>
        </w:rPr>
        <w:t>titors lack these capabilities.</w:t>
      </w:r>
    </w:p>
    <w:p w14:paraId="6B52DBD5" w14:textId="76149AEF" w:rsidR="002152EC" w:rsidRPr="00E72878" w:rsidRDefault="002152EC" w:rsidP="00E72878">
      <w:pPr>
        <w:pStyle w:val="Heading2"/>
        <w:rPr>
          <w:lang w:val="en-GB" w:eastAsia="en-GB"/>
        </w:rPr>
      </w:pPr>
      <w:bookmarkStart w:id="50" w:name="_Toc239091461"/>
      <w:r w:rsidRPr="002152EC">
        <w:rPr>
          <w:lang w:val="en-GB" w:eastAsia="en-GB"/>
        </w:rPr>
        <w:t>6.4 Strategic Positioning</w:t>
      </w:r>
      <w:bookmarkEnd w:id="50"/>
    </w:p>
    <w:p w14:paraId="78CEA690" w14:textId="2976AC8A" w:rsidR="002152EC" w:rsidRPr="002152EC" w:rsidRDefault="002152EC" w:rsidP="002152EC">
      <w:pPr>
        <w:spacing w:line="360" w:lineRule="auto"/>
        <w:jc w:val="both"/>
        <w:rPr>
          <w:rFonts w:ascii="Arial" w:hAnsi="Arial" w:cs="Arial"/>
          <w:sz w:val="24"/>
          <w:szCs w:val="24"/>
          <w:lang w:val="en-GB" w:eastAsia="en-GB"/>
        </w:rPr>
      </w:pPr>
      <w:proofErr w:type="spellStart"/>
      <w:r w:rsidRPr="002152EC">
        <w:rPr>
          <w:rFonts w:ascii="Arial" w:hAnsi="Arial" w:cs="Arial"/>
          <w:sz w:val="24"/>
          <w:szCs w:val="24"/>
          <w:lang w:val="en-GB" w:eastAsia="en-GB"/>
        </w:rPr>
        <w:t>FitLife's</w:t>
      </w:r>
      <w:proofErr w:type="spellEnd"/>
      <w:r w:rsidRPr="002152EC">
        <w:rPr>
          <w:rFonts w:ascii="Arial" w:hAnsi="Arial" w:cs="Arial"/>
          <w:sz w:val="24"/>
          <w:szCs w:val="24"/>
          <w:lang w:val="en-GB" w:eastAsia="en-GB"/>
        </w:rPr>
        <w:t xml:space="preserve"> proposed competitive position can be understood through two dimensions: price/accessibility and personalisation/technology integration. </w:t>
      </w:r>
      <w:proofErr w:type="spellStart"/>
      <w:r w:rsidRPr="002152EC">
        <w:rPr>
          <w:rFonts w:ascii="Arial" w:hAnsi="Arial" w:cs="Arial"/>
          <w:sz w:val="24"/>
          <w:szCs w:val="24"/>
          <w:lang w:val="en-GB" w:eastAsia="en-GB"/>
        </w:rPr>
        <w:t>PureGym</w:t>
      </w:r>
      <w:proofErr w:type="spellEnd"/>
      <w:r w:rsidRPr="002152EC">
        <w:rPr>
          <w:rFonts w:ascii="Arial" w:hAnsi="Arial" w:cs="Arial"/>
          <w:sz w:val="24"/>
          <w:szCs w:val="24"/>
          <w:lang w:val="en-GB" w:eastAsia="en-GB"/>
        </w:rPr>
        <w:t xml:space="preserve"> occupies the </w:t>
      </w:r>
      <w:r w:rsidRPr="002152EC">
        <w:rPr>
          <w:rFonts w:ascii="Arial" w:hAnsi="Arial" w:cs="Arial"/>
          <w:sz w:val="24"/>
          <w:szCs w:val="24"/>
          <w:lang w:val="en-GB" w:eastAsia="en-GB"/>
        </w:rPr>
        <w:lastRenderedPageBreak/>
        <w:t xml:space="preserve">lower-price, high-convenience end of the market, whereas </w:t>
      </w:r>
      <w:proofErr w:type="spellStart"/>
      <w:r w:rsidRPr="002152EC">
        <w:rPr>
          <w:rFonts w:ascii="Arial" w:hAnsi="Arial" w:cs="Arial"/>
          <w:sz w:val="24"/>
          <w:szCs w:val="24"/>
          <w:lang w:val="en-GB" w:eastAsia="en-GB"/>
        </w:rPr>
        <w:t>Jetts</w:t>
      </w:r>
      <w:proofErr w:type="spellEnd"/>
      <w:r w:rsidRPr="002152EC">
        <w:rPr>
          <w:rFonts w:ascii="Arial" w:hAnsi="Arial" w:cs="Arial"/>
          <w:sz w:val="24"/>
          <w:szCs w:val="24"/>
          <w:lang w:val="en-GB" w:eastAsia="en-GB"/>
        </w:rPr>
        <w:t xml:space="preserve"> combines accessible pricing with 24/7 access, classes and connected equipment. Premium health clubs such as Kingfisher occupy a higher-price position based on broader facilities and services. </w:t>
      </w:r>
      <w:proofErr w:type="spellStart"/>
      <w:r w:rsidRPr="002152EC">
        <w:rPr>
          <w:rFonts w:ascii="Arial" w:hAnsi="Arial" w:cs="Arial"/>
          <w:sz w:val="24"/>
          <w:szCs w:val="24"/>
          <w:lang w:val="en-GB" w:eastAsia="en-GB"/>
        </w:rPr>
        <w:t>FitLife</w:t>
      </w:r>
      <w:proofErr w:type="spellEnd"/>
      <w:r w:rsidRPr="002152EC">
        <w:rPr>
          <w:rFonts w:ascii="Arial" w:hAnsi="Arial" w:cs="Arial"/>
          <w:sz w:val="24"/>
          <w:szCs w:val="24"/>
          <w:lang w:val="en-GB" w:eastAsia="en-GB"/>
        </w:rPr>
        <w:t xml:space="preserve"> should therefore avoid positioning itself as another low-cost gym because established operators possess scale, brand recogni</w:t>
      </w:r>
      <w:r w:rsidR="00E72878">
        <w:rPr>
          <w:rFonts w:ascii="Arial" w:hAnsi="Arial" w:cs="Arial"/>
          <w:sz w:val="24"/>
          <w:szCs w:val="24"/>
          <w:lang w:val="en-GB" w:eastAsia="en-GB"/>
        </w:rPr>
        <w:t>tion and purchasing advantages.</w:t>
      </w:r>
    </w:p>
    <w:p w14:paraId="2AD8CEF6" w14:textId="0C632585" w:rsidR="002152EC" w:rsidRPr="002152EC"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 xml:space="preserve">Instead, the proposed position is mid-market/accessibly priced with high personalisation, technology integration and human support. The objective is not to offer the lowest membership price but to create greater perceived value per customer through a more integrated service experience. </w:t>
      </w:r>
    </w:p>
    <w:p w14:paraId="346FBCD0" w14:textId="77777777" w:rsidR="00BA1C87" w:rsidRDefault="00BA1C87" w:rsidP="00BA1C87">
      <w:pPr>
        <w:keepNext/>
        <w:spacing w:line="360" w:lineRule="auto"/>
        <w:jc w:val="center"/>
      </w:pPr>
      <w:r>
        <w:rPr>
          <w:rFonts w:ascii="Arial" w:hAnsi="Arial" w:cs="Arial"/>
          <w:noProof/>
          <w:sz w:val="24"/>
          <w:szCs w:val="24"/>
          <w:lang w:val="en-GB" w:eastAsia="en-GB"/>
          <w14:ligatures w14:val="standardContextual"/>
        </w:rPr>
        <w:drawing>
          <wp:inline distT="0" distB="0" distL="0" distR="0" wp14:anchorId="60EC8CEF" wp14:editId="1820FE98">
            <wp:extent cx="3491997" cy="2105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ilot_20260827_004925.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99468" cy="2109529"/>
                    </a:xfrm>
                    <a:prstGeom prst="rect">
                      <a:avLst/>
                    </a:prstGeom>
                  </pic:spPr>
                </pic:pic>
              </a:graphicData>
            </a:graphic>
          </wp:inline>
        </w:drawing>
      </w:r>
    </w:p>
    <w:p w14:paraId="1E8F3457" w14:textId="2F318371" w:rsidR="002152EC" w:rsidRPr="00BA1C87" w:rsidRDefault="00BA1C87" w:rsidP="00BA1C87">
      <w:pPr>
        <w:pStyle w:val="Caption"/>
        <w:jc w:val="center"/>
        <w:rPr>
          <w:rFonts w:ascii="Arial" w:hAnsi="Arial" w:cs="Arial"/>
          <w:sz w:val="36"/>
          <w:szCs w:val="24"/>
          <w:lang w:val="en-GB" w:eastAsia="en-GB"/>
        </w:rPr>
      </w:pPr>
      <w:bookmarkStart w:id="51" w:name="_Toc239091510"/>
      <w:r w:rsidRPr="00BA1C87">
        <w:rPr>
          <w:rFonts w:ascii="Arial" w:hAnsi="Arial" w:cs="Arial"/>
          <w:sz w:val="24"/>
        </w:rPr>
        <w:t xml:space="preserve">Figure </w:t>
      </w:r>
      <w:r w:rsidRPr="00BA1C87">
        <w:rPr>
          <w:rFonts w:ascii="Arial" w:hAnsi="Arial" w:cs="Arial"/>
          <w:sz w:val="24"/>
        </w:rPr>
        <w:fldChar w:fldCharType="begin"/>
      </w:r>
      <w:r w:rsidRPr="00BA1C87">
        <w:rPr>
          <w:rFonts w:ascii="Arial" w:hAnsi="Arial" w:cs="Arial"/>
          <w:sz w:val="24"/>
        </w:rPr>
        <w:instrText xml:space="preserve"> SEQ Figure \* ARABIC </w:instrText>
      </w:r>
      <w:r w:rsidRPr="00BA1C87">
        <w:rPr>
          <w:rFonts w:ascii="Arial" w:hAnsi="Arial" w:cs="Arial"/>
          <w:sz w:val="24"/>
        </w:rPr>
        <w:fldChar w:fldCharType="separate"/>
      </w:r>
      <w:r w:rsidR="00D45C36">
        <w:rPr>
          <w:rFonts w:ascii="Arial" w:hAnsi="Arial" w:cs="Arial"/>
          <w:noProof/>
          <w:sz w:val="24"/>
        </w:rPr>
        <w:t>1</w:t>
      </w:r>
      <w:r w:rsidRPr="00BA1C87">
        <w:rPr>
          <w:rFonts w:ascii="Arial" w:hAnsi="Arial" w:cs="Arial"/>
          <w:sz w:val="24"/>
        </w:rPr>
        <w:fldChar w:fldCharType="end"/>
      </w:r>
      <w:r w:rsidRPr="00BA1C87">
        <w:rPr>
          <w:rFonts w:ascii="Arial" w:hAnsi="Arial" w:cs="Arial"/>
          <w:sz w:val="24"/>
        </w:rPr>
        <w:t>: Proposed Competitive Positioning Map</w:t>
      </w:r>
      <w:bookmarkEnd w:id="51"/>
    </w:p>
    <w:p w14:paraId="49DE0DB4" w14:textId="5EB9AB65" w:rsidR="002152EC" w:rsidRPr="002152EC"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The map represents a strategic proposition rather than a measured market-space claim. Its attractiveness depends on whether customers perceive the additional personalisation and technology as sufficiently valuable to ju</w:t>
      </w:r>
      <w:r w:rsidR="00BA1C87">
        <w:rPr>
          <w:rFonts w:ascii="Arial" w:hAnsi="Arial" w:cs="Arial"/>
          <w:sz w:val="24"/>
          <w:szCs w:val="24"/>
          <w:lang w:val="en-GB" w:eastAsia="en-GB"/>
        </w:rPr>
        <w:t xml:space="preserve">stify </w:t>
      </w:r>
      <w:proofErr w:type="spellStart"/>
      <w:r w:rsidR="00BA1C87">
        <w:rPr>
          <w:rFonts w:ascii="Arial" w:hAnsi="Arial" w:cs="Arial"/>
          <w:sz w:val="24"/>
          <w:szCs w:val="24"/>
          <w:lang w:val="en-GB" w:eastAsia="en-GB"/>
        </w:rPr>
        <w:t>FitLife's</w:t>
      </w:r>
      <w:proofErr w:type="spellEnd"/>
      <w:r w:rsidR="00BA1C87">
        <w:rPr>
          <w:rFonts w:ascii="Arial" w:hAnsi="Arial" w:cs="Arial"/>
          <w:sz w:val="24"/>
          <w:szCs w:val="24"/>
          <w:lang w:val="en-GB" w:eastAsia="en-GB"/>
        </w:rPr>
        <w:t xml:space="preserve"> intended price.</w:t>
      </w:r>
    </w:p>
    <w:p w14:paraId="06C1A33A" w14:textId="7FA458E3" w:rsidR="002152EC" w:rsidRPr="00BA1C87" w:rsidRDefault="002152EC" w:rsidP="00BA1C87">
      <w:pPr>
        <w:pStyle w:val="Heading2"/>
        <w:rPr>
          <w:lang w:val="en-GB" w:eastAsia="en-GB"/>
        </w:rPr>
      </w:pPr>
      <w:bookmarkStart w:id="52" w:name="_Toc239091462"/>
      <w:r w:rsidRPr="002152EC">
        <w:rPr>
          <w:lang w:val="en-GB" w:eastAsia="en-GB"/>
        </w:rPr>
        <w:t>6.5 Porter’s Five Forces</w:t>
      </w:r>
      <w:bookmarkEnd w:id="52"/>
    </w:p>
    <w:p w14:paraId="7E3925E0" w14:textId="1E4618C8" w:rsidR="002152EC" w:rsidRPr="002152EC"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Porter's Five Forces provides a systematic assessment of the structural attractiveness of the fitness industry (</w:t>
      </w:r>
      <w:r w:rsidR="00BA1C87">
        <w:rPr>
          <w:rFonts w:ascii="Arial" w:hAnsi="Arial" w:cs="Arial"/>
          <w:sz w:val="24"/>
          <w:szCs w:val="24"/>
          <w:lang w:val="en-GB" w:eastAsia="en-GB"/>
        </w:rPr>
        <w:t>Porter, 1980; 2008).</w:t>
      </w:r>
    </w:p>
    <w:p w14:paraId="485B9530" w14:textId="33C1A2AE" w:rsidR="002152EC" w:rsidRPr="00BA1C87" w:rsidRDefault="00BA1C87" w:rsidP="002152EC">
      <w:pPr>
        <w:spacing w:line="360" w:lineRule="auto"/>
        <w:jc w:val="both"/>
        <w:rPr>
          <w:rFonts w:ascii="Arial" w:hAnsi="Arial" w:cs="Arial"/>
          <w:b/>
          <w:sz w:val="24"/>
          <w:szCs w:val="24"/>
          <w:lang w:val="en-GB" w:eastAsia="en-GB"/>
        </w:rPr>
      </w:pPr>
      <w:r w:rsidRPr="00BA1C87">
        <w:rPr>
          <w:rFonts w:ascii="Arial" w:hAnsi="Arial" w:cs="Arial"/>
          <w:b/>
          <w:sz w:val="24"/>
          <w:szCs w:val="24"/>
          <w:lang w:val="en-GB" w:eastAsia="en-GB"/>
        </w:rPr>
        <w:t>Competitive Rivalry — High</w:t>
      </w:r>
    </w:p>
    <w:p w14:paraId="5F2AF8A3" w14:textId="77777777" w:rsidR="00BA1C87"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 xml:space="preserve">Competitive rivalry is high because consumers have multiple gym options across different price and service levels. </w:t>
      </w:r>
      <w:proofErr w:type="spellStart"/>
      <w:r w:rsidRPr="002152EC">
        <w:rPr>
          <w:rFonts w:ascii="Arial" w:hAnsi="Arial" w:cs="Arial"/>
          <w:sz w:val="24"/>
          <w:szCs w:val="24"/>
          <w:lang w:val="en-GB" w:eastAsia="en-GB"/>
        </w:rPr>
        <w:t>Jetts</w:t>
      </w:r>
      <w:proofErr w:type="spellEnd"/>
      <w:r w:rsidRPr="002152EC">
        <w:rPr>
          <w:rFonts w:ascii="Arial" w:hAnsi="Arial" w:cs="Arial"/>
          <w:sz w:val="24"/>
          <w:szCs w:val="24"/>
          <w:lang w:val="en-GB" w:eastAsia="en-GB"/>
        </w:rPr>
        <w:t xml:space="preserve"> directly operates in </w:t>
      </w:r>
      <w:proofErr w:type="spellStart"/>
      <w:r w:rsidRPr="002152EC">
        <w:rPr>
          <w:rFonts w:ascii="Arial" w:hAnsi="Arial" w:cs="Arial"/>
          <w:sz w:val="24"/>
          <w:szCs w:val="24"/>
          <w:lang w:val="en-GB" w:eastAsia="en-GB"/>
        </w:rPr>
        <w:t>Levenshulme</w:t>
      </w:r>
      <w:proofErr w:type="spellEnd"/>
      <w:r w:rsidRPr="002152EC">
        <w:rPr>
          <w:rFonts w:ascii="Arial" w:hAnsi="Arial" w:cs="Arial"/>
          <w:sz w:val="24"/>
          <w:szCs w:val="24"/>
          <w:lang w:val="en-GB" w:eastAsia="en-GB"/>
        </w:rPr>
        <w:t xml:space="preserve"> at £32.95 per month, while </w:t>
      </w:r>
      <w:proofErr w:type="spellStart"/>
      <w:r w:rsidRPr="002152EC">
        <w:rPr>
          <w:rFonts w:ascii="Arial" w:hAnsi="Arial" w:cs="Arial"/>
          <w:sz w:val="24"/>
          <w:szCs w:val="24"/>
          <w:lang w:val="en-GB" w:eastAsia="en-GB"/>
        </w:rPr>
        <w:t>PureGym</w:t>
      </w:r>
      <w:proofErr w:type="spellEnd"/>
      <w:r w:rsidRPr="002152EC">
        <w:rPr>
          <w:rFonts w:ascii="Arial" w:hAnsi="Arial" w:cs="Arial"/>
          <w:sz w:val="24"/>
          <w:szCs w:val="24"/>
          <w:lang w:val="en-GB" w:eastAsia="en-GB"/>
        </w:rPr>
        <w:t xml:space="preserve"> offers nearby low-cost alternatives from £17.99 per month. Other leisure and health facilities provide further alternatives (</w:t>
      </w:r>
      <w:proofErr w:type="spellStart"/>
      <w:r w:rsidRPr="002152EC">
        <w:rPr>
          <w:rFonts w:ascii="Arial" w:hAnsi="Arial" w:cs="Arial"/>
          <w:sz w:val="24"/>
          <w:szCs w:val="24"/>
          <w:lang w:val="en-GB" w:eastAsia="en-GB"/>
        </w:rPr>
        <w:t>Jetts</w:t>
      </w:r>
      <w:proofErr w:type="spellEnd"/>
      <w:r w:rsidRPr="002152EC">
        <w:rPr>
          <w:rFonts w:ascii="Arial" w:hAnsi="Arial" w:cs="Arial"/>
          <w:sz w:val="24"/>
          <w:szCs w:val="24"/>
          <w:lang w:val="en-GB" w:eastAsia="en-GB"/>
        </w:rPr>
        <w:t xml:space="preserve">, 2026; </w:t>
      </w:r>
      <w:proofErr w:type="spellStart"/>
      <w:r w:rsidRPr="002152EC">
        <w:rPr>
          <w:rFonts w:ascii="Arial" w:hAnsi="Arial" w:cs="Arial"/>
          <w:sz w:val="24"/>
          <w:szCs w:val="24"/>
          <w:lang w:val="en-GB" w:eastAsia="en-GB"/>
        </w:rPr>
        <w:t>PureGym</w:t>
      </w:r>
      <w:proofErr w:type="spellEnd"/>
      <w:r w:rsidRPr="002152EC">
        <w:rPr>
          <w:rFonts w:ascii="Arial" w:hAnsi="Arial" w:cs="Arial"/>
          <w:sz w:val="24"/>
          <w:szCs w:val="24"/>
          <w:lang w:val="en-GB" w:eastAsia="en-GB"/>
        </w:rPr>
        <w:t xml:space="preserve">, </w:t>
      </w:r>
      <w:r w:rsidRPr="002152EC">
        <w:rPr>
          <w:rFonts w:ascii="Arial" w:hAnsi="Arial" w:cs="Arial"/>
          <w:sz w:val="24"/>
          <w:szCs w:val="24"/>
          <w:lang w:val="en-GB" w:eastAsia="en-GB"/>
        </w:rPr>
        <w:lastRenderedPageBreak/>
        <w:t xml:space="preserve">2026; </w:t>
      </w:r>
      <w:proofErr w:type="spellStart"/>
      <w:r w:rsidRPr="002152EC">
        <w:rPr>
          <w:rFonts w:ascii="Arial" w:hAnsi="Arial" w:cs="Arial"/>
          <w:sz w:val="24"/>
          <w:szCs w:val="24"/>
          <w:lang w:val="en-GB" w:eastAsia="en-GB"/>
        </w:rPr>
        <w:t>Hussle</w:t>
      </w:r>
      <w:proofErr w:type="spellEnd"/>
      <w:r w:rsidRPr="002152EC">
        <w:rPr>
          <w:rFonts w:ascii="Arial" w:hAnsi="Arial" w:cs="Arial"/>
          <w:sz w:val="24"/>
          <w:szCs w:val="24"/>
          <w:lang w:val="en-GB" w:eastAsia="en-GB"/>
        </w:rPr>
        <w:t>, 2026). The UK sector also contains 5,842 health and fitness clubs, demonstrating the breadth of existing provision (</w:t>
      </w:r>
      <w:proofErr w:type="spellStart"/>
      <w:r w:rsidRPr="002152EC">
        <w:rPr>
          <w:rFonts w:ascii="Arial" w:hAnsi="Arial" w:cs="Arial"/>
          <w:sz w:val="24"/>
          <w:szCs w:val="24"/>
          <w:lang w:val="en-GB" w:eastAsia="en-GB"/>
        </w:rPr>
        <w:t>ukactive</w:t>
      </w:r>
      <w:proofErr w:type="spellEnd"/>
      <w:r w:rsidRPr="002152EC">
        <w:rPr>
          <w:rFonts w:ascii="Arial" w:hAnsi="Arial" w:cs="Arial"/>
          <w:sz w:val="24"/>
          <w:szCs w:val="24"/>
          <w:lang w:val="en-GB" w:eastAsia="en-GB"/>
        </w:rPr>
        <w:t xml:space="preserve">, 2026). </w:t>
      </w:r>
      <w:proofErr w:type="spellStart"/>
      <w:r w:rsidRPr="002152EC">
        <w:rPr>
          <w:rFonts w:ascii="Arial" w:hAnsi="Arial" w:cs="Arial"/>
          <w:sz w:val="24"/>
          <w:szCs w:val="24"/>
          <w:lang w:val="en-GB" w:eastAsia="en-GB"/>
        </w:rPr>
        <w:t>FitLife</w:t>
      </w:r>
      <w:proofErr w:type="spellEnd"/>
      <w:r w:rsidRPr="002152EC">
        <w:rPr>
          <w:rFonts w:ascii="Arial" w:hAnsi="Arial" w:cs="Arial"/>
          <w:sz w:val="24"/>
          <w:szCs w:val="24"/>
          <w:lang w:val="en-GB" w:eastAsia="en-GB"/>
        </w:rPr>
        <w:t xml:space="preserve"> therefore faces substantial rivalry and cannot rely on gym access alone. </w:t>
      </w:r>
    </w:p>
    <w:p w14:paraId="03D626DD" w14:textId="560D181C" w:rsidR="002152EC" w:rsidRPr="002152EC" w:rsidRDefault="002152EC" w:rsidP="002152EC">
      <w:pPr>
        <w:spacing w:line="360" w:lineRule="auto"/>
        <w:jc w:val="both"/>
        <w:rPr>
          <w:rFonts w:ascii="Arial" w:hAnsi="Arial" w:cs="Arial"/>
          <w:sz w:val="24"/>
          <w:szCs w:val="24"/>
          <w:lang w:val="en-GB" w:eastAsia="en-GB"/>
        </w:rPr>
      </w:pPr>
      <w:r w:rsidRPr="00BA1C87">
        <w:rPr>
          <w:rFonts w:ascii="Arial" w:hAnsi="Arial" w:cs="Arial"/>
          <w:b/>
          <w:sz w:val="24"/>
          <w:szCs w:val="24"/>
          <w:lang w:val="en-GB" w:eastAsia="en-GB"/>
        </w:rPr>
        <w:t>Implication:</w:t>
      </w:r>
      <w:r w:rsidRPr="002152EC">
        <w:rPr>
          <w:rFonts w:ascii="Arial" w:hAnsi="Arial" w:cs="Arial"/>
          <w:sz w:val="24"/>
          <w:szCs w:val="24"/>
          <w:lang w:val="en-GB" w:eastAsia="en-GB"/>
        </w:rPr>
        <w:t xml:space="preserve"> differentiation through integrated service quality, personalisation and customer experie</w:t>
      </w:r>
      <w:r w:rsidR="00BA1C87">
        <w:rPr>
          <w:rFonts w:ascii="Arial" w:hAnsi="Arial" w:cs="Arial"/>
          <w:sz w:val="24"/>
          <w:szCs w:val="24"/>
          <w:lang w:val="en-GB" w:eastAsia="en-GB"/>
        </w:rPr>
        <w:t>nce is strategically necessary.</w:t>
      </w:r>
    </w:p>
    <w:p w14:paraId="400F419D" w14:textId="782645A7" w:rsidR="002152EC" w:rsidRPr="00BA1C87" w:rsidRDefault="002152EC" w:rsidP="002152EC">
      <w:pPr>
        <w:spacing w:line="360" w:lineRule="auto"/>
        <w:jc w:val="both"/>
        <w:rPr>
          <w:rFonts w:ascii="Arial" w:hAnsi="Arial" w:cs="Arial"/>
          <w:b/>
          <w:sz w:val="24"/>
          <w:szCs w:val="24"/>
          <w:lang w:val="en-GB" w:eastAsia="en-GB"/>
        </w:rPr>
      </w:pPr>
      <w:r w:rsidRPr="00BA1C87">
        <w:rPr>
          <w:rFonts w:ascii="Arial" w:hAnsi="Arial" w:cs="Arial"/>
          <w:b/>
          <w:sz w:val="24"/>
          <w:szCs w:val="24"/>
          <w:lang w:val="en-GB" w:eastAsia="en-GB"/>
        </w:rPr>
        <w:t>Threat of New Entran</w:t>
      </w:r>
      <w:r w:rsidR="00BA1C87" w:rsidRPr="00BA1C87">
        <w:rPr>
          <w:rFonts w:ascii="Arial" w:hAnsi="Arial" w:cs="Arial"/>
          <w:b/>
          <w:sz w:val="24"/>
          <w:szCs w:val="24"/>
          <w:lang w:val="en-GB" w:eastAsia="en-GB"/>
        </w:rPr>
        <w:t>ts — Moderate</w:t>
      </w:r>
    </w:p>
    <w:p w14:paraId="1744383F" w14:textId="77777777" w:rsidR="00BA1C87"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Entry is possible, but it is not frictionless. A new gym requires suitable premises, equipment, insurance, staffing, technology, marketing and sufficient initial capital. An AI-enabled model adds further requirements involving software integration, data governance, technology maintenance and specialist capabilities. However, the continued expansion of the UK fitness sector indicates that entry remains commercially possible; the number of clubs increased to 5,842 in 2025 (</w:t>
      </w:r>
      <w:proofErr w:type="spellStart"/>
      <w:r w:rsidRPr="002152EC">
        <w:rPr>
          <w:rFonts w:ascii="Arial" w:hAnsi="Arial" w:cs="Arial"/>
          <w:sz w:val="24"/>
          <w:szCs w:val="24"/>
          <w:lang w:val="en-GB" w:eastAsia="en-GB"/>
        </w:rPr>
        <w:t>ukactive</w:t>
      </w:r>
      <w:proofErr w:type="spellEnd"/>
      <w:r w:rsidRPr="002152EC">
        <w:rPr>
          <w:rFonts w:ascii="Arial" w:hAnsi="Arial" w:cs="Arial"/>
          <w:sz w:val="24"/>
          <w:szCs w:val="24"/>
          <w:lang w:val="en-GB" w:eastAsia="en-GB"/>
        </w:rPr>
        <w:t xml:space="preserve">, 2026). </w:t>
      </w:r>
    </w:p>
    <w:p w14:paraId="6C378510" w14:textId="7117E1A2" w:rsidR="002152EC" w:rsidRPr="002152EC" w:rsidRDefault="002152EC" w:rsidP="002152EC">
      <w:pPr>
        <w:spacing w:line="360" w:lineRule="auto"/>
        <w:jc w:val="both"/>
        <w:rPr>
          <w:rFonts w:ascii="Arial" w:hAnsi="Arial" w:cs="Arial"/>
          <w:sz w:val="24"/>
          <w:szCs w:val="24"/>
          <w:lang w:val="en-GB" w:eastAsia="en-GB"/>
        </w:rPr>
      </w:pPr>
      <w:r w:rsidRPr="00BA1C87">
        <w:rPr>
          <w:rFonts w:ascii="Arial" w:hAnsi="Arial" w:cs="Arial"/>
          <w:b/>
          <w:sz w:val="24"/>
          <w:szCs w:val="24"/>
          <w:lang w:val="en-GB" w:eastAsia="en-GB"/>
        </w:rPr>
        <w:t>Implication:</w:t>
      </w:r>
      <w:r w:rsidRPr="002152EC">
        <w:rPr>
          <w:rFonts w:ascii="Arial" w:hAnsi="Arial" w:cs="Arial"/>
          <w:sz w:val="24"/>
          <w:szCs w:val="24"/>
          <w:lang w:val="en-GB" w:eastAsia="en-GB"/>
        </w:rPr>
        <w:t xml:space="preserve"> </w:t>
      </w:r>
      <w:proofErr w:type="spellStart"/>
      <w:r w:rsidRPr="002152EC">
        <w:rPr>
          <w:rFonts w:ascii="Arial" w:hAnsi="Arial" w:cs="Arial"/>
          <w:sz w:val="24"/>
          <w:szCs w:val="24"/>
          <w:lang w:val="en-GB" w:eastAsia="en-GB"/>
        </w:rPr>
        <w:t>FitLife</w:t>
      </w:r>
      <w:proofErr w:type="spellEnd"/>
      <w:r w:rsidRPr="002152EC">
        <w:rPr>
          <w:rFonts w:ascii="Arial" w:hAnsi="Arial" w:cs="Arial"/>
          <w:sz w:val="24"/>
          <w:szCs w:val="24"/>
          <w:lang w:val="en-GB" w:eastAsia="en-GB"/>
        </w:rPr>
        <w:t xml:space="preserve"> needs capabilities that are difficult to reproduce quickly, particularly integrated customer data, service proces</w:t>
      </w:r>
      <w:r w:rsidR="00BA1C87">
        <w:rPr>
          <w:rFonts w:ascii="Arial" w:hAnsi="Arial" w:cs="Arial"/>
          <w:sz w:val="24"/>
          <w:szCs w:val="24"/>
          <w:lang w:val="en-GB" w:eastAsia="en-GB"/>
        </w:rPr>
        <w:t>ses and customer relationships.</w:t>
      </w:r>
    </w:p>
    <w:p w14:paraId="63E61BFF" w14:textId="510EFF7C" w:rsidR="002152EC" w:rsidRPr="00BA1C87" w:rsidRDefault="00BA1C87" w:rsidP="002152EC">
      <w:pPr>
        <w:spacing w:line="360" w:lineRule="auto"/>
        <w:jc w:val="both"/>
        <w:rPr>
          <w:rFonts w:ascii="Arial" w:hAnsi="Arial" w:cs="Arial"/>
          <w:b/>
          <w:sz w:val="24"/>
          <w:szCs w:val="24"/>
          <w:lang w:val="en-GB" w:eastAsia="en-GB"/>
        </w:rPr>
      </w:pPr>
      <w:r w:rsidRPr="00BA1C87">
        <w:rPr>
          <w:rFonts w:ascii="Arial" w:hAnsi="Arial" w:cs="Arial"/>
          <w:b/>
          <w:sz w:val="24"/>
          <w:szCs w:val="24"/>
          <w:lang w:val="en-GB" w:eastAsia="en-GB"/>
        </w:rPr>
        <w:t>Buyer Power — High</w:t>
      </w:r>
    </w:p>
    <w:p w14:paraId="710EBC94" w14:textId="77777777" w:rsidR="00BA1C87"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 xml:space="preserve">Buyer power is high because customers can compare membership prices and switch between competing gyms. </w:t>
      </w:r>
      <w:proofErr w:type="spellStart"/>
      <w:r w:rsidRPr="002152EC">
        <w:rPr>
          <w:rFonts w:ascii="Arial" w:hAnsi="Arial" w:cs="Arial"/>
          <w:sz w:val="24"/>
          <w:szCs w:val="24"/>
          <w:lang w:val="en-GB" w:eastAsia="en-GB"/>
        </w:rPr>
        <w:t>PureGym's</w:t>
      </w:r>
      <w:proofErr w:type="spellEnd"/>
      <w:r w:rsidRPr="002152EC">
        <w:rPr>
          <w:rFonts w:ascii="Arial" w:hAnsi="Arial" w:cs="Arial"/>
          <w:sz w:val="24"/>
          <w:szCs w:val="24"/>
          <w:lang w:val="en-GB" w:eastAsia="en-GB"/>
        </w:rPr>
        <w:t xml:space="preserve"> contract-free model explicitly allows customers to move or leave, while </w:t>
      </w:r>
      <w:proofErr w:type="spellStart"/>
      <w:r w:rsidRPr="002152EC">
        <w:rPr>
          <w:rFonts w:ascii="Arial" w:hAnsi="Arial" w:cs="Arial"/>
          <w:sz w:val="24"/>
          <w:szCs w:val="24"/>
          <w:lang w:val="en-GB" w:eastAsia="en-GB"/>
        </w:rPr>
        <w:t>Jetts</w:t>
      </w:r>
      <w:proofErr w:type="spellEnd"/>
      <w:r w:rsidRPr="002152EC">
        <w:rPr>
          <w:rFonts w:ascii="Arial" w:hAnsi="Arial" w:cs="Arial"/>
          <w:sz w:val="24"/>
          <w:szCs w:val="24"/>
          <w:lang w:val="en-GB" w:eastAsia="en-GB"/>
        </w:rPr>
        <w:t xml:space="preserve"> also promotes no lock-in contracts (</w:t>
      </w:r>
      <w:proofErr w:type="spellStart"/>
      <w:r w:rsidRPr="002152EC">
        <w:rPr>
          <w:rFonts w:ascii="Arial" w:hAnsi="Arial" w:cs="Arial"/>
          <w:sz w:val="24"/>
          <w:szCs w:val="24"/>
          <w:lang w:val="en-GB" w:eastAsia="en-GB"/>
        </w:rPr>
        <w:t>PureGym</w:t>
      </w:r>
      <w:proofErr w:type="spellEnd"/>
      <w:r w:rsidRPr="002152EC">
        <w:rPr>
          <w:rFonts w:ascii="Arial" w:hAnsi="Arial" w:cs="Arial"/>
          <w:sz w:val="24"/>
          <w:szCs w:val="24"/>
          <w:lang w:val="en-GB" w:eastAsia="en-GB"/>
        </w:rPr>
        <w:t xml:space="preserve">, 2026; </w:t>
      </w:r>
      <w:proofErr w:type="spellStart"/>
      <w:r w:rsidRPr="002152EC">
        <w:rPr>
          <w:rFonts w:ascii="Arial" w:hAnsi="Arial" w:cs="Arial"/>
          <w:sz w:val="24"/>
          <w:szCs w:val="24"/>
          <w:lang w:val="en-GB" w:eastAsia="en-GB"/>
        </w:rPr>
        <w:t>Jetts</w:t>
      </w:r>
      <w:proofErr w:type="spellEnd"/>
      <w:r w:rsidRPr="002152EC">
        <w:rPr>
          <w:rFonts w:ascii="Arial" w:hAnsi="Arial" w:cs="Arial"/>
          <w:sz w:val="24"/>
          <w:szCs w:val="24"/>
          <w:lang w:val="en-GB" w:eastAsia="en-GB"/>
        </w:rPr>
        <w:t xml:space="preserve">, 2026). In addition, customers can substitute gym membership with free digital content, home exercise or outdoor activity. </w:t>
      </w:r>
    </w:p>
    <w:p w14:paraId="0C940439" w14:textId="1B7EF877" w:rsidR="002152EC" w:rsidRPr="002152EC" w:rsidRDefault="002152EC" w:rsidP="002152EC">
      <w:pPr>
        <w:spacing w:line="360" w:lineRule="auto"/>
        <w:jc w:val="both"/>
        <w:rPr>
          <w:rFonts w:ascii="Arial" w:hAnsi="Arial" w:cs="Arial"/>
          <w:sz w:val="24"/>
          <w:szCs w:val="24"/>
          <w:lang w:val="en-GB" w:eastAsia="en-GB"/>
        </w:rPr>
      </w:pPr>
      <w:r w:rsidRPr="00BA1C87">
        <w:rPr>
          <w:rFonts w:ascii="Arial" w:hAnsi="Arial" w:cs="Arial"/>
          <w:b/>
          <w:sz w:val="24"/>
          <w:szCs w:val="24"/>
          <w:lang w:val="en-GB" w:eastAsia="en-GB"/>
        </w:rPr>
        <w:t>Implication:</w:t>
      </w:r>
      <w:r w:rsidRPr="002152EC">
        <w:rPr>
          <w:rFonts w:ascii="Arial" w:hAnsi="Arial" w:cs="Arial"/>
          <w:sz w:val="24"/>
          <w:szCs w:val="24"/>
          <w:lang w:val="en-GB" w:eastAsia="en-GB"/>
        </w:rPr>
        <w:t xml:space="preserve"> </w:t>
      </w:r>
      <w:proofErr w:type="spellStart"/>
      <w:r w:rsidRPr="002152EC">
        <w:rPr>
          <w:rFonts w:ascii="Arial" w:hAnsi="Arial" w:cs="Arial"/>
          <w:sz w:val="24"/>
          <w:szCs w:val="24"/>
          <w:lang w:val="en-GB" w:eastAsia="en-GB"/>
        </w:rPr>
        <w:t>FitLife</w:t>
      </w:r>
      <w:proofErr w:type="spellEnd"/>
      <w:r w:rsidRPr="002152EC">
        <w:rPr>
          <w:rFonts w:ascii="Arial" w:hAnsi="Arial" w:cs="Arial"/>
          <w:sz w:val="24"/>
          <w:szCs w:val="24"/>
          <w:lang w:val="en-GB" w:eastAsia="en-GB"/>
        </w:rPr>
        <w:t xml:space="preserve"> must demonstrate benefits that justify the membership price and create retention through progress, conven</w:t>
      </w:r>
      <w:r w:rsidR="00BA1C87">
        <w:rPr>
          <w:rFonts w:ascii="Arial" w:hAnsi="Arial" w:cs="Arial"/>
          <w:sz w:val="24"/>
          <w:szCs w:val="24"/>
          <w:lang w:val="en-GB" w:eastAsia="en-GB"/>
        </w:rPr>
        <w:t>ience and personalised support.</w:t>
      </w:r>
    </w:p>
    <w:p w14:paraId="3B3071FF" w14:textId="6BBFA766" w:rsidR="002152EC" w:rsidRPr="00BA1C87" w:rsidRDefault="00BA1C87" w:rsidP="002152EC">
      <w:pPr>
        <w:spacing w:line="360" w:lineRule="auto"/>
        <w:jc w:val="both"/>
        <w:rPr>
          <w:rFonts w:ascii="Arial" w:hAnsi="Arial" w:cs="Arial"/>
          <w:b/>
          <w:sz w:val="24"/>
          <w:szCs w:val="24"/>
          <w:lang w:val="en-GB" w:eastAsia="en-GB"/>
        </w:rPr>
      </w:pPr>
      <w:r>
        <w:rPr>
          <w:rFonts w:ascii="Arial" w:hAnsi="Arial" w:cs="Arial"/>
          <w:b/>
          <w:sz w:val="24"/>
          <w:szCs w:val="24"/>
          <w:lang w:val="en-GB" w:eastAsia="en-GB"/>
        </w:rPr>
        <w:t>Supplier Power — Moderate</w:t>
      </w:r>
    </w:p>
    <w:p w14:paraId="5E8A355C" w14:textId="77777777" w:rsidR="00BA1C87"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 xml:space="preserve">Supplier power varies by resource. Standard gym equipment can generally be sourced from multiple providers, reducing dependence on individual suppliers. However, specialist AI software, wearable integration, app infrastructure and skilled fitness professionals may create greater dependency. Switching technology suppliers could also generate integration, training and data-transfer costs. This suggests that supplier power is moderate rather than uniformly high. The importance of technology is </w:t>
      </w:r>
      <w:r w:rsidRPr="002152EC">
        <w:rPr>
          <w:rFonts w:ascii="Arial" w:hAnsi="Arial" w:cs="Arial"/>
          <w:sz w:val="24"/>
          <w:szCs w:val="24"/>
          <w:lang w:val="en-GB" w:eastAsia="en-GB"/>
        </w:rPr>
        <w:lastRenderedPageBreak/>
        <w:t xml:space="preserve">reinforced by the prominence of wearable technology, mobile exercise applications and data-driven training in ACSM's fitness trends (ACSM, 2024). </w:t>
      </w:r>
    </w:p>
    <w:p w14:paraId="1E6D2CE1" w14:textId="59816D3B" w:rsidR="002152EC" w:rsidRPr="002152EC" w:rsidRDefault="002152EC" w:rsidP="002152EC">
      <w:pPr>
        <w:spacing w:line="360" w:lineRule="auto"/>
        <w:jc w:val="both"/>
        <w:rPr>
          <w:rFonts w:ascii="Arial" w:hAnsi="Arial" w:cs="Arial"/>
          <w:sz w:val="24"/>
          <w:szCs w:val="24"/>
          <w:lang w:val="en-GB" w:eastAsia="en-GB"/>
        </w:rPr>
      </w:pPr>
      <w:r w:rsidRPr="00BA1C87">
        <w:rPr>
          <w:rFonts w:ascii="Arial" w:hAnsi="Arial" w:cs="Arial"/>
          <w:b/>
          <w:sz w:val="24"/>
          <w:szCs w:val="24"/>
          <w:lang w:val="en-GB" w:eastAsia="en-GB"/>
        </w:rPr>
        <w:t>Implication:</w:t>
      </w:r>
      <w:r w:rsidRPr="002152EC">
        <w:rPr>
          <w:rFonts w:ascii="Arial" w:hAnsi="Arial" w:cs="Arial"/>
          <w:sz w:val="24"/>
          <w:szCs w:val="24"/>
          <w:lang w:val="en-GB" w:eastAsia="en-GB"/>
        </w:rPr>
        <w:t xml:space="preserve"> </w:t>
      </w:r>
      <w:proofErr w:type="spellStart"/>
      <w:r w:rsidRPr="002152EC">
        <w:rPr>
          <w:rFonts w:ascii="Arial" w:hAnsi="Arial" w:cs="Arial"/>
          <w:sz w:val="24"/>
          <w:szCs w:val="24"/>
          <w:lang w:val="en-GB" w:eastAsia="en-GB"/>
        </w:rPr>
        <w:t>FitLife</w:t>
      </w:r>
      <w:proofErr w:type="spellEnd"/>
      <w:r w:rsidRPr="002152EC">
        <w:rPr>
          <w:rFonts w:ascii="Arial" w:hAnsi="Arial" w:cs="Arial"/>
          <w:sz w:val="24"/>
          <w:szCs w:val="24"/>
          <w:lang w:val="en-GB" w:eastAsia="en-GB"/>
        </w:rPr>
        <w:t xml:space="preserve"> should avoid excessive dependence on a single technology provider and use contractual service levels, interoperability and alternativ</w:t>
      </w:r>
      <w:r w:rsidR="00BA1C87">
        <w:rPr>
          <w:rFonts w:ascii="Arial" w:hAnsi="Arial" w:cs="Arial"/>
          <w:sz w:val="24"/>
          <w:szCs w:val="24"/>
          <w:lang w:val="en-GB" w:eastAsia="en-GB"/>
        </w:rPr>
        <w:t>e suppliers where feasible.</w:t>
      </w:r>
    </w:p>
    <w:p w14:paraId="3396B1A8" w14:textId="6009E0CD" w:rsidR="002152EC" w:rsidRPr="00BA1C87" w:rsidRDefault="00BA1C87" w:rsidP="002152EC">
      <w:pPr>
        <w:spacing w:line="360" w:lineRule="auto"/>
        <w:jc w:val="both"/>
        <w:rPr>
          <w:rFonts w:ascii="Arial" w:hAnsi="Arial" w:cs="Arial"/>
          <w:b/>
          <w:sz w:val="24"/>
          <w:szCs w:val="24"/>
          <w:lang w:val="en-GB" w:eastAsia="en-GB"/>
        </w:rPr>
      </w:pPr>
      <w:r>
        <w:rPr>
          <w:rFonts w:ascii="Arial" w:hAnsi="Arial" w:cs="Arial"/>
          <w:b/>
          <w:sz w:val="24"/>
          <w:szCs w:val="24"/>
          <w:lang w:val="en-GB" w:eastAsia="en-GB"/>
        </w:rPr>
        <w:t>Threat of Substitutes — High</w:t>
      </w:r>
    </w:p>
    <w:p w14:paraId="7697F6EB" w14:textId="77777777" w:rsidR="00BA1C87"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 xml:space="preserve">Substitution pressure is high because customers can achieve some fitness outcomes without traditional gym membership. Home workouts, free online content, mobile applications, outdoor exercise and wearable-led self-monitoring can all reduce the need for physical gym access. ACSM's ranking of wearable technology and mobile exercise applications demonstrates the increasing availability of technology-supported alternatives (ACSM, 2024). </w:t>
      </w:r>
    </w:p>
    <w:p w14:paraId="6D8187F3" w14:textId="781756CF" w:rsidR="002152EC" w:rsidRPr="002152EC" w:rsidRDefault="002152EC" w:rsidP="002152EC">
      <w:pPr>
        <w:spacing w:line="360" w:lineRule="auto"/>
        <w:jc w:val="both"/>
        <w:rPr>
          <w:rFonts w:ascii="Arial" w:hAnsi="Arial" w:cs="Arial"/>
          <w:sz w:val="24"/>
          <w:szCs w:val="24"/>
          <w:lang w:val="en-GB" w:eastAsia="en-GB"/>
        </w:rPr>
      </w:pPr>
      <w:r w:rsidRPr="00BA1C87">
        <w:rPr>
          <w:rFonts w:ascii="Arial" w:hAnsi="Arial" w:cs="Arial"/>
          <w:b/>
          <w:sz w:val="24"/>
          <w:szCs w:val="24"/>
          <w:lang w:val="en-GB" w:eastAsia="en-GB"/>
        </w:rPr>
        <w:t>Implication:</w:t>
      </w:r>
      <w:r w:rsidRPr="002152EC">
        <w:rPr>
          <w:rFonts w:ascii="Arial" w:hAnsi="Arial" w:cs="Arial"/>
          <w:sz w:val="24"/>
          <w:szCs w:val="24"/>
          <w:lang w:val="en-GB" w:eastAsia="en-GB"/>
        </w:rPr>
        <w:t xml:space="preserve"> </w:t>
      </w:r>
      <w:proofErr w:type="spellStart"/>
      <w:r w:rsidRPr="002152EC">
        <w:rPr>
          <w:rFonts w:ascii="Arial" w:hAnsi="Arial" w:cs="Arial"/>
          <w:sz w:val="24"/>
          <w:szCs w:val="24"/>
          <w:lang w:val="en-GB" w:eastAsia="en-GB"/>
        </w:rPr>
        <w:t>FitLife</w:t>
      </w:r>
      <w:proofErr w:type="spellEnd"/>
      <w:r w:rsidRPr="002152EC">
        <w:rPr>
          <w:rFonts w:ascii="Arial" w:hAnsi="Arial" w:cs="Arial"/>
          <w:sz w:val="24"/>
          <w:szCs w:val="24"/>
          <w:lang w:val="en-GB" w:eastAsia="en-GB"/>
        </w:rPr>
        <w:t xml:space="preserve"> must offer benefits that substitutes cannot easily replicate, particularly the combination of physical facilities, human coaching, AI-supported reco</w:t>
      </w:r>
      <w:r w:rsidR="00BA1C87">
        <w:rPr>
          <w:rFonts w:ascii="Arial" w:hAnsi="Arial" w:cs="Arial"/>
          <w:sz w:val="24"/>
          <w:szCs w:val="24"/>
          <w:lang w:val="en-GB" w:eastAsia="en-GB"/>
        </w:rPr>
        <w:t>mmendations and accountability.</w:t>
      </w:r>
    </w:p>
    <w:p w14:paraId="237DC044" w14:textId="4520773B" w:rsidR="002152EC" w:rsidRPr="002152EC"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Overall, the Five Forces indicate a challenging but potentially attractive industry. High rivalry, buyer power and substitutes make price competition unattractive, while moderate entry and supplier barriers mean that operational capability is important f</w:t>
      </w:r>
      <w:r w:rsidR="00BA1C87">
        <w:rPr>
          <w:rFonts w:ascii="Arial" w:hAnsi="Arial" w:cs="Arial"/>
          <w:sz w:val="24"/>
          <w:szCs w:val="24"/>
          <w:lang w:val="en-GB" w:eastAsia="en-GB"/>
        </w:rPr>
        <w:t>or sustainable differentiation.</w:t>
      </w:r>
    </w:p>
    <w:p w14:paraId="2A45BD95" w14:textId="77777777" w:rsidR="002152EC" w:rsidRPr="002152EC" w:rsidRDefault="002152EC" w:rsidP="00BA1C87">
      <w:pPr>
        <w:pStyle w:val="Heading2"/>
        <w:rPr>
          <w:lang w:val="en-GB" w:eastAsia="en-GB"/>
        </w:rPr>
      </w:pPr>
      <w:bookmarkStart w:id="53" w:name="_Toc239091463"/>
      <w:r w:rsidRPr="002152EC">
        <w:rPr>
          <w:lang w:val="en-GB" w:eastAsia="en-GB"/>
        </w:rPr>
        <w:t>6.6 PESTLE Analysis</w:t>
      </w:r>
      <w:bookmarkEnd w:id="53"/>
    </w:p>
    <w:p w14:paraId="63669E9A" w14:textId="42023964" w:rsidR="00BA1C87" w:rsidRPr="00BA1C87" w:rsidRDefault="00BA1C87" w:rsidP="00BA1C87">
      <w:pPr>
        <w:pStyle w:val="Caption"/>
        <w:keepNext/>
        <w:jc w:val="both"/>
        <w:rPr>
          <w:rFonts w:ascii="Arial" w:hAnsi="Arial" w:cs="Arial"/>
          <w:sz w:val="24"/>
        </w:rPr>
      </w:pPr>
      <w:bookmarkStart w:id="54" w:name="_Toc239091501"/>
      <w:r w:rsidRPr="00BA1C87">
        <w:rPr>
          <w:rFonts w:ascii="Arial" w:hAnsi="Arial" w:cs="Arial"/>
          <w:sz w:val="24"/>
        </w:rPr>
        <w:t xml:space="preserve">Table </w:t>
      </w:r>
      <w:r w:rsidRPr="00BA1C87">
        <w:rPr>
          <w:rFonts w:ascii="Arial" w:hAnsi="Arial" w:cs="Arial"/>
          <w:sz w:val="24"/>
        </w:rPr>
        <w:fldChar w:fldCharType="begin"/>
      </w:r>
      <w:r w:rsidRPr="00BA1C87">
        <w:rPr>
          <w:rFonts w:ascii="Arial" w:hAnsi="Arial" w:cs="Arial"/>
          <w:sz w:val="24"/>
        </w:rPr>
        <w:instrText xml:space="preserve"> SEQ Table \* ARABIC </w:instrText>
      </w:r>
      <w:r w:rsidRPr="00BA1C87">
        <w:rPr>
          <w:rFonts w:ascii="Arial" w:hAnsi="Arial" w:cs="Arial"/>
          <w:sz w:val="24"/>
        </w:rPr>
        <w:fldChar w:fldCharType="separate"/>
      </w:r>
      <w:r w:rsidR="00415D83">
        <w:rPr>
          <w:rFonts w:ascii="Arial" w:hAnsi="Arial" w:cs="Arial"/>
          <w:noProof/>
          <w:sz w:val="24"/>
        </w:rPr>
        <w:t>5</w:t>
      </w:r>
      <w:r w:rsidRPr="00BA1C87">
        <w:rPr>
          <w:rFonts w:ascii="Arial" w:hAnsi="Arial" w:cs="Arial"/>
          <w:sz w:val="24"/>
        </w:rPr>
        <w:fldChar w:fldCharType="end"/>
      </w:r>
      <w:r w:rsidRPr="00BA1C87">
        <w:rPr>
          <w:rFonts w:ascii="Arial" w:hAnsi="Arial" w:cs="Arial"/>
          <w:sz w:val="24"/>
        </w:rPr>
        <w:t>.PESTLE Analysis</w:t>
      </w:r>
      <w:bookmarkEnd w:id="54"/>
    </w:p>
    <w:tbl>
      <w:tblPr>
        <w:tblStyle w:val="TableGrid"/>
        <w:tblW w:w="0" w:type="auto"/>
        <w:tblLook w:val="04A0" w:firstRow="1" w:lastRow="0" w:firstColumn="1" w:lastColumn="0" w:noHBand="0" w:noVBand="1"/>
      </w:tblPr>
      <w:tblGrid>
        <w:gridCol w:w="4508"/>
        <w:gridCol w:w="4508"/>
      </w:tblGrid>
      <w:tr w:rsidR="00BA1C87" w:rsidRPr="00BA1C87" w14:paraId="5E8CA9D7" w14:textId="77777777" w:rsidTr="00BA1C87">
        <w:tc>
          <w:tcPr>
            <w:tcW w:w="4508" w:type="dxa"/>
          </w:tcPr>
          <w:p w14:paraId="19A2F8B5" w14:textId="77777777" w:rsidR="00BA1C87" w:rsidRPr="00BA1C87" w:rsidRDefault="00BA1C87" w:rsidP="00FF2927">
            <w:pPr>
              <w:spacing w:line="360" w:lineRule="auto"/>
              <w:jc w:val="both"/>
              <w:rPr>
                <w:rFonts w:ascii="Arial" w:hAnsi="Arial" w:cs="Arial"/>
                <w:sz w:val="24"/>
                <w:szCs w:val="24"/>
                <w:lang w:val="en-GB" w:eastAsia="en-GB"/>
              </w:rPr>
            </w:pPr>
            <w:r w:rsidRPr="00BA1C87">
              <w:rPr>
                <w:rFonts w:ascii="Arial" w:hAnsi="Arial" w:cs="Arial"/>
                <w:sz w:val="24"/>
                <w:szCs w:val="24"/>
                <w:lang w:val="en-GB" w:eastAsia="en-GB"/>
              </w:rPr>
              <w:t>Factor</w:t>
            </w:r>
          </w:p>
        </w:tc>
        <w:tc>
          <w:tcPr>
            <w:tcW w:w="4508" w:type="dxa"/>
          </w:tcPr>
          <w:p w14:paraId="1C2BFCC4" w14:textId="77777777" w:rsidR="00BA1C87" w:rsidRPr="00BA1C87" w:rsidRDefault="00BA1C87" w:rsidP="00FF2927">
            <w:pPr>
              <w:spacing w:line="360" w:lineRule="auto"/>
              <w:jc w:val="both"/>
              <w:rPr>
                <w:rFonts w:ascii="Arial" w:hAnsi="Arial" w:cs="Arial"/>
                <w:sz w:val="24"/>
                <w:szCs w:val="24"/>
                <w:lang w:val="en-GB" w:eastAsia="en-GB"/>
              </w:rPr>
            </w:pPr>
            <w:r w:rsidRPr="00BA1C87">
              <w:rPr>
                <w:rFonts w:ascii="Arial" w:hAnsi="Arial" w:cs="Arial"/>
                <w:sz w:val="24"/>
                <w:szCs w:val="24"/>
                <w:lang w:val="en-GB" w:eastAsia="en-GB"/>
              </w:rPr>
              <w:t xml:space="preserve">Evidence and </w:t>
            </w:r>
            <w:proofErr w:type="spellStart"/>
            <w:r w:rsidRPr="00BA1C87">
              <w:rPr>
                <w:rFonts w:ascii="Arial" w:hAnsi="Arial" w:cs="Arial"/>
                <w:sz w:val="24"/>
                <w:szCs w:val="24"/>
                <w:lang w:val="en-GB" w:eastAsia="en-GB"/>
              </w:rPr>
              <w:t>FitLife</w:t>
            </w:r>
            <w:proofErr w:type="spellEnd"/>
            <w:r w:rsidRPr="00BA1C87">
              <w:rPr>
                <w:rFonts w:ascii="Arial" w:hAnsi="Arial" w:cs="Arial"/>
                <w:sz w:val="24"/>
                <w:szCs w:val="24"/>
                <w:lang w:val="en-GB" w:eastAsia="en-GB"/>
              </w:rPr>
              <w:t xml:space="preserve"> implication</w:t>
            </w:r>
          </w:p>
        </w:tc>
      </w:tr>
      <w:tr w:rsidR="00BA1C87" w:rsidRPr="00BA1C87" w14:paraId="67B8F335" w14:textId="77777777" w:rsidTr="00BA1C87">
        <w:tc>
          <w:tcPr>
            <w:tcW w:w="4508" w:type="dxa"/>
          </w:tcPr>
          <w:p w14:paraId="555C979D" w14:textId="77777777" w:rsidR="00BA1C87" w:rsidRPr="00BA1C87" w:rsidRDefault="00BA1C87" w:rsidP="00FF2927">
            <w:pPr>
              <w:spacing w:line="360" w:lineRule="auto"/>
              <w:jc w:val="both"/>
              <w:rPr>
                <w:rFonts w:ascii="Arial" w:hAnsi="Arial" w:cs="Arial"/>
                <w:sz w:val="24"/>
                <w:szCs w:val="24"/>
                <w:lang w:val="en-GB" w:eastAsia="en-GB"/>
              </w:rPr>
            </w:pPr>
            <w:r w:rsidRPr="00BA1C87">
              <w:rPr>
                <w:rFonts w:ascii="Arial" w:hAnsi="Arial" w:cs="Arial"/>
                <w:sz w:val="24"/>
                <w:szCs w:val="24"/>
                <w:lang w:val="en-GB" w:eastAsia="en-GB"/>
              </w:rPr>
              <w:t>Political</w:t>
            </w:r>
          </w:p>
        </w:tc>
        <w:tc>
          <w:tcPr>
            <w:tcW w:w="4508" w:type="dxa"/>
          </w:tcPr>
          <w:p w14:paraId="5C313B33" w14:textId="77777777" w:rsidR="00BA1C87" w:rsidRPr="00BA1C87" w:rsidRDefault="00BA1C87" w:rsidP="00FF2927">
            <w:pPr>
              <w:spacing w:line="360" w:lineRule="auto"/>
              <w:jc w:val="both"/>
              <w:rPr>
                <w:rFonts w:ascii="Arial" w:hAnsi="Arial" w:cs="Arial"/>
                <w:sz w:val="24"/>
                <w:szCs w:val="24"/>
                <w:lang w:val="en-GB" w:eastAsia="en-GB"/>
              </w:rPr>
            </w:pPr>
            <w:r w:rsidRPr="00BA1C87">
              <w:rPr>
                <w:rFonts w:ascii="Arial" w:hAnsi="Arial" w:cs="Arial"/>
                <w:sz w:val="24"/>
                <w:szCs w:val="24"/>
                <w:lang w:val="en-GB" w:eastAsia="en-GB"/>
              </w:rPr>
              <w:t>UK health and fitness services increasingly contribute to public health and physical activity objectives. The sector generated an estimated £7.5 billion in attributable social value in 2025, reinforcing the wider policy relevance of fitness participation (</w:t>
            </w:r>
            <w:proofErr w:type="spellStart"/>
            <w:r w:rsidRPr="00BA1C87">
              <w:rPr>
                <w:rFonts w:ascii="Arial" w:hAnsi="Arial" w:cs="Arial"/>
                <w:sz w:val="24"/>
                <w:szCs w:val="24"/>
                <w:lang w:val="en-GB" w:eastAsia="en-GB"/>
              </w:rPr>
              <w:t>ukactive</w:t>
            </w:r>
            <w:proofErr w:type="spellEnd"/>
            <w:r w:rsidRPr="00BA1C87">
              <w:rPr>
                <w:rFonts w:ascii="Arial" w:hAnsi="Arial" w:cs="Arial"/>
                <w:sz w:val="24"/>
                <w:szCs w:val="24"/>
                <w:lang w:val="en-GB" w:eastAsia="en-GB"/>
              </w:rPr>
              <w:t xml:space="preserve">, 2026). Implication: </w:t>
            </w:r>
            <w:proofErr w:type="spellStart"/>
            <w:r w:rsidRPr="00BA1C87">
              <w:rPr>
                <w:rFonts w:ascii="Arial" w:hAnsi="Arial" w:cs="Arial"/>
                <w:sz w:val="24"/>
                <w:szCs w:val="24"/>
                <w:lang w:val="en-GB" w:eastAsia="en-GB"/>
              </w:rPr>
              <w:t>FitLife</w:t>
            </w:r>
            <w:proofErr w:type="spellEnd"/>
            <w:r w:rsidRPr="00BA1C87">
              <w:rPr>
                <w:rFonts w:ascii="Arial" w:hAnsi="Arial" w:cs="Arial"/>
                <w:sz w:val="24"/>
                <w:szCs w:val="24"/>
                <w:lang w:val="en-GB" w:eastAsia="en-GB"/>
              </w:rPr>
              <w:t xml:space="preserve"> can align its proposition with preventative health and </w:t>
            </w:r>
            <w:r w:rsidRPr="00BA1C87">
              <w:rPr>
                <w:rFonts w:ascii="Arial" w:hAnsi="Arial" w:cs="Arial"/>
                <w:sz w:val="24"/>
                <w:szCs w:val="24"/>
                <w:lang w:val="en-GB" w:eastAsia="en-GB"/>
              </w:rPr>
              <w:lastRenderedPageBreak/>
              <w:t>physical activity objectives, although it should not represent itself as a healthcare provider without appropriate evidence or governance.</w:t>
            </w:r>
          </w:p>
        </w:tc>
      </w:tr>
      <w:tr w:rsidR="00BA1C87" w:rsidRPr="00BA1C87" w14:paraId="63F5BE40" w14:textId="77777777" w:rsidTr="00BA1C87">
        <w:tc>
          <w:tcPr>
            <w:tcW w:w="4508" w:type="dxa"/>
          </w:tcPr>
          <w:p w14:paraId="3D5736BC" w14:textId="77777777" w:rsidR="00BA1C87" w:rsidRPr="00BA1C87" w:rsidRDefault="00BA1C87" w:rsidP="00FF2927">
            <w:pPr>
              <w:spacing w:line="360" w:lineRule="auto"/>
              <w:jc w:val="both"/>
              <w:rPr>
                <w:rFonts w:ascii="Arial" w:hAnsi="Arial" w:cs="Arial"/>
                <w:sz w:val="24"/>
                <w:szCs w:val="24"/>
                <w:lang w:val="en-GB" w:eastAsia="en-GB"/>
              </w:rPr>
            </w:pPr>
            <w:r w:rsidRPr="00BA1C87">
              <w:rPr>
                <w:rFonts w:ascii="Arial" w:hAnsi="Arial" w:cs="Arial"/>
                <w:sz w:val="24"/>
                <w:szCs w:val="24"/>
                <w:lang w:val="en-GB" w:eastAsia="en-GB"/>
              </w:rPr>
              <w:lastRenderedPageBreak/>
              <w:t>Economic</w:t>
            </w:r>
          </w:p>
        </w:tc>
        <w:tc>
          <w:tcPr>
            <w:tcW w:w="4508" w:type="dxa"/>
          </w:tcPr>
          <w:p w14:paraId="55DB9526" w14:textId="77777777" w:rsidR="00BA1C87" w:rsidRPr="00BA1C87" w:rsidRDefault="00BA1C87" w:rsidP="00FF2927">
            <w:pPr>
              <w:spacing w:line="360" w:lineRule="auto"/>
              <w:jc w:val="both"/>
              <w:rPr>
                <w:rFonts w:ascii="Arial" w:hAnsi="Arial" w:cs="Arial"/>
                <w:sz w:val="24"/>
                <w:szCs w:val="24"/>
                <w:lang w:val="en-GB" w:eastAsia="en-GB"/>
              </w:rPr>
            </w:pPr>
            <w:r w:rsidRPr="00BA1C87">
              <w:rPr>
                <w:rFonts w:ascii="Arial" w:hAnsi="Arial" w:cs="Arial"/>
                <w:sz w:val="24"/>
                <w:szCs w:val="24"/>
                <w:lang w:val="en-GB" w:eastAsia="en-GB"/>
              </w:rPr>
              <w:t>Rising operating costs and cost-of-living pressures remain challenges for the fitness sector (</w:t>
            </w:r>
            <w:proofErr w:type="spellStart"/>
            <w:r w:rsidRPr="00BA1C87">
              <w:rPr>
                <w:rFonts w:ascii="Arial" w:hAnsi="Arial" w:cs="Arial"/>
                <w:sz w:val="24"/>
                <w:szCs w:val="24"/>
                <w:lang w:val="en-GB" w:eastAsia="en-GB"/>
              </w:rPr>
              <w:t>ukactive</w:t>
            </w:r>
            <w:proofErr w:type="spellEnd"/>
            <w:r w:rsidRPr="00BA1C87">
              <w:rPr>
                <w:rFonts w:ascii="Arial" w:hAnsi="Arial" w:cs="Arial"/>
                <w:sz w:val="24"/>
                <w:szCs w:val="24"/>
                <w:lang w:val="en-GB" w:eastAsia="en-GB"/>
              </w:rPr>
              <w:t xml:space="preserve">, 2026). Implication: </w:t>
            </w:r>
            <w:proofErr w:type="spellStart"/>
            <w:r w:rsidRPr="00BA1C87">
              <w:rPr>
                <w:rFonts w:ascii="Arial" w:hAnsi="Arial" w:cs="Arial"/>
                <w:sz w:val="24"/>
                <w:szCs w:val="24"/>
                <w:lang w:val="en-GB" w:eastAsia="en-GB"/>
              </w:rPr>
              <w:t>FitLife</w:t>
            </w:r>
            <w:proofErr w:type="spellEnd"/>
            <w:r w:rsidRPr="00BA1C87">
              <w:rPr>
                <w:rFonts w:ascii="Arial" w:hAnsi="Arial" w:cs="Arial"/>
                <w:sz w:val="24"/>
                <w:szCs w:val="24"/>
                <w:lang w:val="en-GB" w:eastAsia="en-GB"/>
              </w:rPr>
              <w:t xml:space="preserve"> requires accessible/value-based pricing and careful control of technology, staffing and premises costs.</w:t>
            </w:r>
          </w:p>
        </w:tc>
      </w:tr>
      <w:tr w:rsidR="00BA1C87" w:rsidRPr="00BA1C87" w14:paraId="47E72279" w14:textId="77777777" w:rsidTr="00BA1C87">
        <w:tc>
          <w:tcPr>
            <w:tcW w:w="4508" w:type="dxa"/>
          </w:tcPr>
          <w:p w14:paraId="65908938" w14:textId="77777777" w:rsidR="00BA1C87" w:rsidRPr="00BA1C87" w:rsidRDefault="00BA1C87" w:rsidP="00FF2927">
            <w:pPr>
              <w:spacing w:line="360" w:lineRule="auto"/>
              <w:jc w:val="both"/>
              <w:rPr>
                <w:rFonts w:ascii="Arial" w:hAnsi="Arial" w:cs="Arial"/>
                <w:sz w:val="24"/>
                <w:szCs w:val="24"/>
                <w:lang w:val="en-GB" w:eastAsia="en-GB"/>
              </w:rPr>
            </w:pPr>
            <w:r w:rsidRPr="00BA1C87">
              <w:rPr>
                <w:rFonts w:ascii="Arial" w:hAnsi="Arial" w:cs="Arial"/>
                <w:sz w:val="24"/>
                <w:szCs w:val="24"/>
                <w:lang w:val="en-GB" w:eastAsia="en-GB"/>
              </w:rPr>
              <w:t>Social</w:t>
            </w:r>
          </w:p>
        </w:tc>
        <w:tc>
          <w:tcPr>
            <w:tcW w:w="4508" w:type="dxa"/>
          </w:tcPr>
          <w:p w14:paraId="74ED1FBA" w14:textId="77777777" w:rsidR="00BA1C87" w:rsidRPr="00BA1C87" w:rsidRDefault="00BA1C87" w:rsidP="00FF2927">
            <w:pPr>
              <w:spacing w:line="360" w:lineRule="auto"/>
              <w:jc w:val="both"/>
              <w:rPr>
                <w:rFonts w:ascii="Arial" w:hAnsi="Arial" w:cs="Arial"/>
                <w:sz w:val="24"/>
                <w:szCs w:val="24"/>
                <w:lang w:val="en-GB" w:eastAsia="en-GB"/>
              </w:rPr>
            </w:pPr>
            <w:r w:rsidRPr="00BA1C87">
              <w:rPr>
                <w:rFonts w:ascii="Arial" w:hAnsi="Arial" w:cs="Arial"/>
                <w:sz w:val="24"/>
                <w:szCs w:val="24"/>
                <w:lang w:val="en-GB" w:eastAsia="en-GB"/>
              </w:rPr>
              <w:t>Fitness participation is expanding, with 18% of UK over-16s holding health and fitness club memberships in 2025. The sector also reports changing motivations around activities, social interaction and wellbeing (</w:t>
            </w:r>
            <w:proofErr w:type="spellStart"/>
            <w:r w:rsidRPr="00BA1C87">
              <w:rPr>
                <w:rFonts w:ascii="Arial" w:hAnsi="Arial" w:cs="Arial"/>
                <w:sz w:val="24"/>
                <w:szCs w:val="24"/>
                <w:lang w:val="en-GB" w:eastAsia="en-GB"/>
              </w:rPr>
              <w:t>ukactive</w:t>
            </w:r>
            <w:proofErr w:type="spellEnd"/>
            <w:r w:rsidRPr="00BA1C87">
              <w:rPr>
                <w:rFonts w:ascii="Arial" w:hAnsi="Arial" w:cs="Arial"/>
                <w:sz w:val="24"/>
                <w:szCs w:val="24"/>
                <w:lang w:val="en-GB" w:eastAsia="en-GB"/>
              </w:rPr>
              <w:t xml:space="preserve">, 2026). Implication: </w:t>
            </w:r>
            <w:proofErr w:type="spellStart"/>
            <w:r w:rsidRPr="00BA1C87">
              <w:rPr>
                <w:rFonts w:ascii="Arial" w:hAnsi="Arial" w:cs="Arial"/>
                <w:sz w:val="24"/>
                <w:szCs w:val="24"/>
                <w:lang w:val="en-GB" w:eastAsia="en-GB"/>
              </w:rPr>
              <w:t>FitLife</w:t>
            </w:r>
            <w:proofErr w:type="spellEnd"/>
            <w:r w:rsidRPr="00BA1C87">
              <w:rPr>
                <w:rFonts w:ascii="Arial" w:hAnsi="Arial" w:cs="Arial"/>
                <w:sz w:val="24"/>
                <w:szCs w:val="24"/>
                <w:lang w:val="en-GB" w:eastAsia="en-GB"/>
              </w:rPr>
              <w:t xml:space="preserve"> can emphasise health, consistency, accountability and community rather than equipment alone.</w:t>
            </w:r>
          </w:p>
        </w:tc>
      </w:tr>
      <w:tr w:rsidR="00BA1C87" w:rsidRPr="00BA1C87" w14:paraId="2322C28D" w14:textId="77777777" w:rsidTr="00BA1C87">
        <w:tc>
          <w:tcPr>
            <w:tcW w:w="4508" w:type="dxa"/>
          </w:tcPr>
          <w:p w14:paraId="09225833" w14:textId="77777777" w:rsidR="00BA1C87" w:rsidRPr="00BA1C87" w:rsidRDefault="00BA1C87" w:rsidP="00FF2927">
            <w:pPr>
              <w:spacing w:line="360" w:lineRule="auto"/>
              <w:jc w:val="both"/>
              <w:rPr>
                <w:rFonts w:ascii="Arial" w:hAnsi="Arial" w:cs="Arial"/>
                <w:sz w:val="24"/>
                <w:szCs w:val="24"/>
                <w:lang w:val="en-GB" w:eastAsia="en-GB"/>
              </w:rPr>
            </w:pPr>
            <w:r w:rsidRPr="00BA1C87">
              <w:rPr>
                <w:rFonts w:ascii="Arial" w:hAnsi="Arial" w:cs="Arial"/>
                <w:sz w:val="24"/>
                <w:szCs w:val="24"/>
                <w:lang w:val="en-GB" w:eastAsia="en-GB"/>
              </w:rPr>
              <w:t>Technological</w:t>
            </w:r>
          </w:p>
        </w:tc>
        <w:tc>
          <w:tcPr>
            <w:tcW w:w="4508" w:type="dxa"/>
          </w:tcPr>
          <w:p w14:paraId="059E40A6" w14:textId="77777777" w:rsidR="00BA1C87" w:rsidRPr="00BA1C87" w:rsidRDefault="00BA1C87" w:rsidP="00FF2927">
            <w:pPr>
              <w:spacing w:line="360" w:lineRule="auto"/>
              <w:jc w:val="both"/>
              <w:rPr>
                <w:rFonts w:ascii="Arial" w:hAnsi="Arial" w:cs="Arial"/>
                <w:sz w:val="24"/>
                <w:szCs w:val="24"/>
                <w:lang w:val="en-GB" w:eastAsia="en-GB"/>
              </w:rPr>
            </w:pPr>
            <w:r w:rsidRPr="00BA1C87">
              <w:rPr>
                <w:rFonts w:ascii="Arial" w:hAnsi="Arial" w:cs="Arial"/>
                <w:sz w:val="24"/>
                <w:szCs w:val="24"/>
                <w:lang w:val="en-GB" w:eastAsia="en-GB"/>
              </w:rPr>
              <w:t xml:space="preserve">Wearable technology, mobile exercise applications and data-driven training technology are prominent fitness trends (ACSM, 2024). Implication: technology supports </w:t>
            </w:r>
            <w:proofErr w:type="spellStart"/>
            <w:r w:rsidRPr="00BA1C87">
              <w:rPr>
                <w:rFonts w:ascii="Arial" w:hAnsi="Arial" w:cs="Arial"/>
                <w:sz w:val="24"/>
                <w:szCs w:val="24"/>
                <w:lang w:val="en-GB" w:eastAsia="en-GB"/>
              </w:rPr>
              <w:t>FitLife's</w:t>
            </w:r>
            <w:proofErr w:type="spellEnd"/>
            <w:r w:rsidRPr="00BA1C87">
              <w:rPr>
                <w:rFonts w:ascii="Arial" w:hAnsi="Arial" w:cs="Arial"/>
                <w:sz w:val="24"/>
                <w:szCs w:val="24"/>
                <w:lang w:val="en-GB" w:eastAsia="en-GB"/>
              </w:rPr>
              <w:t xml:space="preserve"> proposed proposition but creates investment, reliability and obsolescence risks.</w:t>
            </w:r>
          </w:p>
        </w:tc>
      </w:tr>
      <w:tr w:rsidR="00BA1C87" w:rsidRPr="00BA1C87" w14:paraId="32978FDF" w14:textId="77777777" w:rsidTr="00BA1C87">
        <w:tc>
          <w:tcPr>
            <w:tcW w:w="4508" w:type="dxa"/>
          </w:tcPr>
          <w:p w14:paraId="078E4F14" w14:textId="77777777" w:rsidR="00BA1C87" w:rsidRPr="00BA1C87" w:rsidRDefault="00BA1C87" w:rsidP="00FF2927">
            <w:pPr>
              <w:spacing w:line="360" w:lineRule="auto"/>
              <w:jc w:val="both"/>
              <w:rPr>
                <w:rFonts w:ascii="Arial" w:hAnsi="Arial" w:cs="Arial"/>
                <w:sz w:val="24"/>
                <w:szCs w:val="24"/>
                <w:lang w:val="en-GB" w:eastAsia="en-GB"/>
              </w:rPr>
            </w:pPr>
            <w:r w:rsidRPr="00BA1C87">
              <w:rPr>
                <w:rFonts w:ascii="Arial" w:hAnsi="Arial" w:cs="Arial"/>
                <w:sz w:val="24"/>
                <w:szCs w:val="24"/>
                <w:lang w:val="en-GB" w:eastAsia="en-GB"/>
              </w:rPr>
              <w:t>Legal</w:t>
            </w:r>
          </w:p>
        </w:tc>
        <w:tc>
          <w:tcPr>
            <w:tcW w:w="4508" w:type="dxa"/>
          </w:tcPr>
          <w:p w14:paraId="797C5A0D" w14:textId="77777777" w:rsidR="00BA1C87" w:rsidRPr="00BA1C87" w:rsidRDefault="00BA1C87" w:rsidP="00FF2927">
            <w:pPr>
              <w:spacing w:line="360" w:lineRule="auto"/>
              <w:jc w:val="both"/>
              <w:rPr>
                <w:rFonts w:ascii="Arial" w:hAnsi="Arial" w:cs="Arial"/>
                <w:sz w:val="24"/>
                <w:szCs w:val="24"/>
                <w:lang w:val="en-GB" w:eastAsia="en-GB"/>
              </w:rPr>
            </w:pPr>
            <w:r w:rsidRPr="00BA1C87">
              <w:rPr>
                <w:rFonts w:ascii="Arial" w:hAnsi="Arial" w:cs="Arial"/>
                <w:sz w:val="24"/>
                <w:szCs w:val="24"/>
                <w:lang w:val="en-GB" w:eastAsia="en-GB"/>
              </w:rPr>
              <w:t xml:space="preserve">Fitness and wearable data can involve personal and potentially health-related information. The ICO notes that data from wearable devices may constitute health data depending on context and purpose, with additional safeguards </w:t>
            </w:r>
            <w:r w:rsidRPr="00BA1C87">
              <w:rPr>
                <w:rFonts w:ascii="Arial" w:hAnsi="Arial" w:cs="Arial"/>
                <w:sz w:val="24"/>
                <w:szCs w:val="24"/>
                <w:lang w:val="en-GB" w:eastAsia="en-GB"/>
              </w:rPr>
              <w:lastRenderedPageBreak/>
              <w:t>required for special-category data (ICO, 2022). Implication: consent, lawful processing, data minimisation, security and appropriate governance must be embedded in the business model.</w:t>
            </w:r>
          </w:p>
        </w:tc>
      </w:tr>
      <w:tr w:rsidR="00BA1C87" w:rsidRPr="002152EC" w14:paraId="151C6730" w14:textId="77777777" w:rsidTr="00BA1C87">
        <w:tc>
          <w:tcPr>
            <w:tcW w:w="4508" w:type="dxa"/>
          </w:tcPr>
          <w:p w14:paraId="7B772E42" w14:textId="77777777" w:rsidR="00BA1C87" w:rsidRPr="00BA1C87" w:rsidRDefault="00BA1C87" w:rsidP="00FF2927">
            <w:pPr>
              <w:spacing w:line="360" w:lineRule="auto"/>
              <w:jc w:val="both"/>
              <w:rPr>
                <w:rFonts w:ascii="Arial" w:hAnsi="Arial" w:cs="Arial"/>
                <w:sz w:val="24"/>
                <w:szCs w:val="24"/>
                <w:lang w:val="en-GB" w:eastAsia="en-GB"/>
              </w:rPr>
            </w:pPr>
            <w:r w:rsidRPr="00BA1C87">
              <w:rPr>
                <w:rFonts w:ascii="Arial" w:hAnsi="Arial" w:cs="Arial"/>
                <w:sz w:val="24"/>
                <w:szCs w:val="24"/>
                <w:lang w:val="en-GB" w:eastAsia="en-GB"/>
              </w:rPr>
              <w:lastRenderedPageBreak/>
              <w:t>Environmental</w:t>
            </w:r>
          </w:p>
        </w:tc>
        <w:tc>
          <w:tcPr>
            <w:tcW w:w="4508" w:type="dxa"/>
          </w:tcPr>
          <w:p w14:paraId="2636886C" w14:textId="77777777" w:rsidR="00BA1C87" w:rsidRPr="002152EC" w:rsidRDefault="00BA1C87" w:rsidP="00FF2927">
            <w:pPr>
              <w:spacing w:line="360" w:lineRule="auto"/>
              <w:jc w:val="both"/>
              <w:rPr>
                <w:rFonts w:ascii="Arial" w:hAnsi="Arial" w:cs="Arial"/>
                <w:sz w:val="24"/>
                <w:szCs w:val="24"/>
                <w:lang w:val="en-GB" w:eastAsia="en-GB"/>
              </w:rPr>
            </w:pPr>
            <w:r w:rsidRPr="00BA1C87">
              <w:rPr>
                <w:rFonts w:ascii="Arial" w:hAnsi="Arial" w:cs="Arial"/>
                <w:sz w:val="24"/>
                <w:szCs w:val="24"/>
                <w:lang w:val="en-GB" w:eastAsia="en-GB"/>
              </w:rPr>
              <w:t>A physical gym is exposed to energy, equipment and resource-use requirements. Implication: energy-efficient equipment, responsible maintenance and resource management can reduce operating costs while supporting sustainability expectations.</w:t>
            </w:r>
          </w:p>
        </w:tc>
      </w:tr>
    </w:tbl>
    <w:p w14:paraId="2F6022D2" w14:textId="01509D7B" w:rsidR="002152EC" w:rsidRPr="002152EC" w:rsidRDefault="002152EC" w:rsidP="002152EC">
      <w:pPr>
        <w:spacing w:line="360" w:lineRule="auto"/>
        <w:jc w:val="both"/>
        <w:rPr>
          <w:rFonts w:ascii="Arial" w:hAnsi="Arial" w:cs="Arial"/>
          <w:sz w:val="24"/>
          <w:szCs w:val="24"/>
          <w:lang w:val="en-GB" w:eastAsia="en-GB"/>
        </w:rPr>
      </w:pPr>
    </w:p>
    <w:p w14:paraId="145A28CA" w14:textId="575C5041" w:rsidR="002152EC" w:rsidRPr="002152EC"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 xml:space="preserve">PESTLE therefore reinforces the conclusion that </w:t>
      </w:r>
      <w:proofErr w:type="spellStart"/>
      <w:r w:rsidRPr="002152EC">
        <w:rPr>
          <w:rFonts w:ascii="Arial" w:hAnsi="Arial" w:cs="Arial"/>
          <w:sz w:val="24"/>
          <w:szCs w:val="24"/>
          <w:lang w:val="en-GB" w:eastAsia="en-GB"/>
        </w:rPr>
        <w:t>FitLife's</w:t>
      </w:r>
      <w:proofErr w:type="spellEnd"/>
      <w:r w:rsidRPr="002152EC">
        <w:rPr>
          <w:rFonts w:ascii="Arial" w:hAnsi="Arial" w:cs="Arial"/>
          <w:sz w:val="24"/>
          <w:szCs w:val="24"/>
          <w:lang w:val="en-GB" w:eastAsia="en-GB"/>
        </w:rPr>
        <w:t xml:space="preserve"> opportunity is supported by social and technological developments but constrained by economic, lega</w:t>
      </w:r>
      <w:r w:rsidR="00170C56">
        <w:rPr>
          <w:rFonts w:ascii="Arial" w:hAnsi="Arial" w:cs="Arial"/>
          <w:sz w:val="24"/>
          <w:szCs w:val="24"/>
          <w:lang w:val="en-GB" w:eastAsia="en-GB"/>
        </w:rPr>
        <w:t>l and operational requirements.</w:t>
      </w:r>
    </w:p>
    <w:p w14:paraId="61DB868D" w14:textId="77777777" w:rsidR="002152EC" w:rsidRPr="002152EC" w:rsidRDefault="002152EC" w:rsidP="00170C56">
      <w:pPr>
        <w:pStyle w:val="Heading2"/>
        <w:rPr>
          <w:lang w:val="en-GB" w:eastAsia="en-GB"/>
        </w:rPr>
      </w:pPr>
      <w:bookmarkStart w:id="55" w:name="_Toc239091464"/>
      <w:r w:rsidRPr="002152EC">
        <w:rPr>
          <w:lang w:val="en-GB" w:eastAsia="en-GB"/>
        </w:rPr>
        <w:t>6.7 Key Success Factors and Industry Attractiveness</w:t>
      </w:r>
      <w:bookmarkEnd w:id="55"/>
    </w:p>
    <w:p w14:paraId="3DC5BFC4" w14:textId="77777777" w:rsidR="002152EC" w:rsidRPr="002152EC" w:rsidRDefault="002152EC" w:rsidP="002152EC">
      <w:pPr>
        <w:spacing w:line="360" w:lineRule="auto"/>
        <w:jc w:val="both"/>
        <w:rPr>
          <w:rFonts w:ascii="Arial" w:hAnsi="Arial" w:cs="Arial"/>
          <w:sz w:val="24"/>
          <w:szCs w:val="24"/>
          <w:lang w:val="en-GB" w:eastAsia="en-GB"/>
        </w:rPr>
      </w:pPr>
    </w:p>
    <w:p w14:paraId="3C1E6F4F" w14:textId="5E35606C" w:rsidR="002152EC" w:rsidRPr="002152EC"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The analysis identifies five priorities rather than treating all succes</w:t>
      </w:r>
      <w:r w:rsidR="00170C56">
        <w:rPr>
          <w:rFonts w:ascii="Arial" w:hAnsi="Arial" w:cs="Arial"/>
          <w:sz w:val="24"/>
          <w:szCs w:val="24"/>
          <w:lang w:val="en-GB" w:eastAsia="en-GB"/>
        </w:rPr>
        <w:t>s factors as equally important.</w:t>
      </w:r>
    </w:p>
    <w:p w14:paraId="3A8D7533" w14:textId="0E6F1ADF" w:rsidR="00170C56" w:rsidRPr="00170C56" w:rsidRDefault="00170C56" w:rsidP="00170C56">
      <w:pPr>
        <w:pStyle w:val="Caption"/>
        <w:keepNext/>
        <w:jc w:val="both"/>
        <w:rPr>
          <w:rFonts w:ascii="Arial" w:hAnsi="Arial" w:cs="Arial"/>
          <w:sz w:val="24"/>
        </w:rPr>
      </w:pPr>
      <w:bookmarkStart w:id="56" w:name="_Toc239091502"/>
      <w:r w:rsidRPr="00170C56">
        <w:rPr>
          <w:rFonts w:ascii="Arial" w:hAnsi="Arial" w:cs="Arial"/>
          <w:sz w:val="24"/>
        </w:rPr>
        <w:t xml:space="preserve">Table </w:t>
      </w:r>
      <w:r w:rsidRPr="00170C56">
        <w:rPr>
          <w:rFonts w:ascii="Arial" w:hAnsi="Arial" w:cs="Arial"/>
          <w:sz w:val="24"/>
        </w:rPr>
        <w:fldChar w:fldCharType="begin"/>
      </w:r>
      <w:r w:rsidRPr="00170C56">
        <w:rPr>
          <w:rFonts w:ascii="Arial" w:hAnsi="Arial" w:cs="Arial"/>
          <w:sz w:val="24"/>
        </w:rPr>
        <w:instrText xml:space="preserve"> SEQ Table \* ARABIC </w:instrText>
      </w:r>
      <w:r w:rsidRPr="00170C56">
        <w:rPr>
          <w:rFonts w:ascii="Arial" w:hAnsi="Arial" w:cs="Arial"/>
          <w:sz w:val="24"/>
        </w:rPr>
        <w:fldChar w:fldCharType="separate"/>
      </w:r>
      <w:r w:rsidR="00415D83">
        <w:rPr>
          <w:rFonts w:ascii="Arial" w:hAnsi="Arial" w:cs="Arial"/>
          <w:noProof/>
          <w:sz w:val="24"/>
        </w:rPr>
        <w:t>6</w:t>
      </w:r>
      <w:r w:rsidRPr="00170C56">
        <w:rPr>
          <w:rFonts w:ascii="Arial" w:hAnsi="Arial" w:cs="Arial"/>
          <w:sz w:val="24"/>
        </w:rPr>
        <w:fldChar w:fldCharType="end"/>
      </w:r>
      <w:r w:rsidRPr="00170C56">
        <w:rPr>
          <w:rFonts w:ascii="Arial" w:hAnsi="Arial" w:cs="Arial"/>
          <w:sz w:val="24"/>
        </w:rPr>
        <w:t>.Key Success Factors</w:t>
      </w:r>
      <w:bookmarkEnd w:id="56"/>
    </w:p>
    <w:tbl>
      <w:tblPr>
        <w:tblStyle w:val="TableGrid"/>
        <w:tblW w:w="0" w:type="auto"/>
        <w:tblLook w:val="04A0" w:firstRow="1" w:lastRow="0" w:firstColumn="1" w:lastColumn="0" w:noHBand="0" w:noVBand="1"/>
      </w:tblPr>
      <w:tblGrid>
        <w:gridCol w:w="2195"/>
        <w:gridCol w:w="2217"/>
        <w:gridCol w:w="2226"/>
        <w:gridCol w:w="2378"/>
      </w:tblGrid>
      <w:tr w:rsidR="00170C56" w:rsidRPr="00170C56" w14:paraId="34BA0D05" w14:textId="77777777" w:rsidTr="00170C56">
        <w:tc>
          <w:tcPr>
            <w:tcW w:w="2195" w:type="dxa"/>
          </w:tcPr>
          <w:p w14:paraId="0BA5F061" w14:textId="77777777" w:rsidR="00170C56" w:rsidRPr="00632A83" w:rsidRDefault="00170C56" w:rsidP="00FF2927">
            <w:pPr>
              <w:spacing w:line="360" w:lineRule="auto"/>
              <w:jc w:val="both"/>
              <w:rPr>
                <w:rFonts w:ascii="Arial" w:hAnsi="Arial" w:cs="Arial"/>
                <w:b/>
                <w:sz w:val="24"/>
                <w:szCs w:val="24"/>
                <w:lang w:val="en-GB" w:eastAsia="en-GB"/>
              </w:rPr>
            </w:pPr>
            <w:r w:rsidRPr="00632A83">
              <w:rPr>
                <w:rFonts w:ascii="Arial" w:hAnsi="Arial" w:cs="Arial"/>
                <w:b/>
                <w:sz w:val="24"/>
                <w:szCs w:val="24"/>
                <w:lang w:val="en-GB" w:eastAsia="en-GB"/>
              </w:rPr>
              <w:t>Priority</w:t>
            </w:r>
          </w:p>
        </w:tc>
        <w:tc>
          <w:tcPr>
            <w:tcW w:w="2217" w:type="dxa"/>
          </w:tcPr>
          <w:p w14:paraId="78037C39" w14:textId="77777777" w:rsidR="00170C56" w:rsidRPr="00632A83" w:rsidRDefault="00170C56" w:rsidP="00FF2927">
            <w:pPr>
              <w:spacing w:line="360" w:lineRule="auto"/>
              <w:jc w:val="both"/>
              <w:rPr>
                <w:rFonts w:ascii="Arial" w:hAnsi="Arial" w:cs="Arial"/>
                <w:b/>
                <w:sz w:val="24"/>
                <w:szCs w:val="24"/>
                <w:lang w:val="en-GB" w:eastAsia="en-GB"/>
              </w:rPr>
            </w:pPr>
            <w:r w:rsidRPr="00632A83">
              <w:rPr>
                <w:rFonts w:ascii="Arial" w:hAnsi="Arial" w:cs="Arial"/>
                <w:b/>
                <w:sz w:val="24"/>
                <w:szCs w:val="24"/>
                <w:lang w:val="en-GB" w:eastAsia="en-GB"/>
              </w:rPr>
              <w:t>Key success factor</w:t>
            </w:r>
          </w:p>
        </w:tc>
        <w:tc>
          <w:tcPr>
            <w:tcW w:w="2226" w:type="dxa"/>
          </w:tcPr>
          <w:p w14:paraId="38C17F62" w14:textId="77777777" w:rsidR="00170C56" w:rsidRPr="00632A83" w:rsidRDefault="00170C56" w:rsidP="00FF2927">
            <w:pPr>
              <w:spacing w:line="360" w:lineRule="auto"/>
              <w:jc w:val="both"/>
              <w:rPr>
                <w:rFonts w:ascii="Arial" w:hAnsi="Arial" w:cs="Arial"/>
                <w:b/>
                <w:sz w:val="24"/>
                <w:szCs w:val="24"/>
                <w:lang w:val="en-GB" w:eastAsia="en-GB"/>
              </w:rPr>
            </w:pPr>
            <w:r w:rsidRPr="00632A83">
              <w:rPr>
                <w:rFonts w:ascii="Arial" w:hAnsi="Arial" w:cs="Arial"/>
                <w:b/>
                <w:sz w:val="24"/>
                <w:szCs w:val="24"/>
                <w:lang w:val="en-GB" w:eastAsia="en-GB"/>
              </w:rPr>
              <w:t xml:space="preserve">How </w:t>
            </w:r>
            <w:proofErr w:type="spellStart"/>
            <w:r w:rsidRPr="00632A83">
              <w:rPr>
                <w:rFonts w:ascii="Arial" w:hAnsi="Arial" w:cs="Arial"/>
                <w:b/>
                <w:sz w:val="24"/>
                <w:szCs w:val="24"/>
                <w:lang w:val="en-GB" w:eastAsia="en-GB"/>
              </w:rPr>
              <w:t>FitLife</w:t>
            </w:r>
            <w:proofErr w:type="spellEnd"/>
            <w:r w:rsidRPr="00632A83">
              <w:rPr>
                <w:rFonts w:ascii="Arial" w:hAnsi="Arial" w:cs="Arial"/>
                <w:b/>
                <w:sz w:val="24"/>
                <w:szCs w:val="24"/>
                <w:lang w:val="en-GB" w:eastAsia="en-GB"/>
              </w:rPr>
              <w:t xml:space="preserve"> should secure it</w:t>
            </w:r>
          </w:p>
        </w:tc>
        <w:tc>
          <w:tcPr>
            <w:tcW w:w="2378" w:type="dxa"/>
          </w:tcPr>
          <w:p w14:paraId="7240A2FF" w14:textId="77777777" w:rsidR="00170C56" w:rsidRPr="00632A83" w:rsidRDefault="00170C56" w:rsidP="00FF2927">
            <w:pPr>
              <w:spacing w:line="360" w:lineRule="auto"/>
              <w:jc w:val="both"/>
              <w:rPr>
                <w:rFonts w:ascii="Arial" w:hAnsi="Arial" w:cs="Arial"/>
                <w:b/>
                <w:sz w:val="24"/>
                <w:szCs w:val="24"/>
                <w:lang w:val="en-GB" w:eastAsia="en-GB"/>
              </w:rPr>
            </w:pPr>
            <w:r w:rsidRPr="00632A83">
              <w:rPr>
                <w:rFonts w:ascii="Arial" w:hAnsi="Arial" w:cs="Arial"/>
                <w:b/>
                <w:sz w:val="24"/>
                <w:szCs w:val="24"/>
                <w:lang w:val="en-GB" w:eastAsia="en-GB"/>
              </w:rPr>
              <w:t>Measurement</w:t>
            </w:r>
          </w:p>
        </w:tc>
      </w:tr>
      <w:tr w:rsidR="00170C56" w:rsidRPr="00170C56" w14:paraId="6EBE1BD1" w14:textId="77777777" w:rsidTr="00170C56">
        <w:tc>
          <w:tcPr>
            <w:tcW w:w="2195" w:type="dxa"/>
          </w:tcPr>
          <w:p w14:paraId="6092405F"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1</w:t>
            </w:r>
          </w:p>
        </w:tc>
        <w:tc>
          <w:tcPr>
            <w:tcW w:w="2217" w:type="dxa"/>
          </w:tcPr>
          <w:p w14:paraId="65BC6842"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Customer retention</w:t>
            </w:r>
          </w:p>
        </w:tc>
        <w:tc>
          <w:tcPr>
            <w:tcW w:w="2226" w:type="dxa"/>
          </w:tcPr>
          <w:p w14:paraId="07F88D76"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Personalised goals, progress monitoring and human support</w:t>
            </w:r>
          </w:p>
        </w:tc>
        <w:tc>
          <w:tcPr>
            <w:tcW w:w="2378" w:type="dxa"/>
          </w:tcPr>
          <w:p w14:paraId="6557A768"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Monthly retention/churn</w:t>
            </w:r>
          </w:p>
        </w:tc>
      </w:tr>
      <w:tr w:rsidR="00170C56" w:rsidRPr="00170C56" w14:paraId="02FBECDC" w14:textId="77777777" w:rsidTr="00170C56">
        <w:tc>
          <w:tcPr>
            <w:tcW w:w="2195" w:type="dxa"/>
          </w:tcPr>
          <w:p w14:paraId="0E3E155E"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2</w:t>
            </w:r>
          </w:p>
        </w:tc>
        <w:tc>
          <w:tcPr>
            <w:tcW w:w="2217" w:type="dxa"/>
          </w:tcPr>
          <w:p w14:paraId="7EC6751C"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Technology reliability</w:t>
            </w:r>
          </w:p>
        </w:tc>
        <w:tc>
          <w:tcPr>
            <w:tcW w:w="2226" w:type="dxa"/>
          </w:tcPr>
          <w:p w14:paraId="1E87BBB2"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Supplier testing, maintenance and service-level agreements</w:t>
            </w:r>
          </w:p>
        </w:tc>
        <w:tc>
          <w:tcPr>
            <w:tcW w:w="2378" w:type="dxa"/>
          </w:tcPr>
          <w:p w14:paraId="58384D57"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System uptime/error rate</w:t>
            </w:r>
          </w:p>
        </w:tc>
      </w:tr>
      <w:tr w:rsidR="00170C56" w:rsidRPr="00170C56" w14:paraId="0BD2FB7E" w14:textId="77777777" w:rsidTr="00170C56">
        <w:tc>
          <w:tcPr>
            <w:tcW w:w="2195" w:type="dxa"/>
          </w:tcPr>
          <w:p w14:paraId="15BA56C4"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lastRenderedPageBreak/>
              <w:t>3</w:t>
            </w:r>
          </w:p>
        </w:tc>
        <w:tc>
          <w:tcPr>
            <w:tcW w:w="2217" w:type="dxa"/>
          </w:tcPr>
          <w:p w14:paraId="289F6271"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Value-based pricing</w:t>
            </w:r>
          </w:p>
        </w:tc>
        <w:tc>
          <w:tcPr>
            <w:tcW w:w="2226" w:type="dxa"/>
          </w:tcPr>
          <w:p w14:paraId="05904D3D"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Tiered memberships and regular price/value testing</w:t>
            </w:r>
          </w:p>
        </w:tc>
        <w:tc>
          <w:tcPr>
            <w:tcW w:w="2378" w:type="dxa"/>
          </w:tcPr>
          <w:p w14:paraId="0BEFDBE1"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Conversion and churn</w:t>
            </w:r>
          </w:p>
        </w:tc>
      </w:tr>
      <w:tr w:rsidR="00170C56" w:rsidRPr="00170C56" w14:paraId="169D4F48" w14:textId="77777777" w:rsidTr="00170C56">
        <w:tc>
          <w:tcPr>
            <w:tcW w:w="2195" w:type="dxa"/>
          </w:tcPr>
          <w:p w14:paraId="3806BF74"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4</w:t>
            </w:r>
          </w:p>
        </w:tc>
        <w:tc>
          <w:tcPr>
            <w:tcW w:w="2217" w:type="dxa"/>
          </w:tcPr>
          <w:p w14:paraId="75EBA532"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Qualified trainers</w:t>
            </w:r>
          </w:p>
        </w:tc>
        <w:tc>
          <w:tcPr>
            <w:tcW w:w="2226" w:type="dxa"/>
          </w:tcPr>
          <w:p w14:paraId="6C2D6A1E"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Appropriate recruitment, training and CPD</w:t>
            </w:r>
          </w:p>
        </w:tc>
        <w:tc>
          <w:tcPr>
            <w:tcW w:w="2378" w:type="dxa"/>
          </w:tcPr>
          <w:p w14:paraId="254D03F3"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Qualification and customer-performance measures</w:t>
            </w:r>
          </w:p>
        </w:tc>
      </w:tr>
      <w:tr w:rsidR="00170C56" w:rsidRPr="00170C56" w14:paraId="393A0C90" w14:textId="77777777" w:rsidTr="00170C56">
        <w:tc>
          <w:tcPr>
            <w:tcW w:w="2195" w:type="dxa"/>
          </w:tcPr>
          <w:p w14:paraId="2BF73401"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5</w:t>
            </w:r>
          </w:p>
        </w:tc>
        <w:tc>
          <w:tcPr>
            <w:tcW w:w="2217" w:type="dxa"/>
          </w:tcPr>
          <w:p w14:paraId="4592E2B4"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Trust and data privacy</w:t>
            </w:r>
          </w:p>
        </w:tc>
        <w:tc>
          <w:tcPr>
            <w:tcW w:w="2226" w:type="dxa"/>
          </w:tcPr>
          <w:p w14:paraId="2F0FF326"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Consent, governance, security and transparent data practices</w:t>
            </w:r>
          </w:p>
        </w:tc>
        <w:tc>
          <w:tcPr>
            <w:tcW w:w="2378" w:type="dxa"/>
          </w:tcPr>
          <w:p w14:paraId="11EFD7E4" w14:textId="77777777" w:rsidR="00170C56" w:rsidRPr="00170C56" w:rsidRDefault="00170C56" w:rsidP="00FF2927">
            <w:pPr>
              <w:spacing w:line="360" w:lineRule="auto"/>
              <w:jc w:val="both"/>
              <w:rPr>
                <w:rFonts w:ascii="Arial" w:hAnsi="Arial" w:cs="Arial"/>
                <w:sz w:val="24"/>
                <w:szCs w:val="24"/>
                <w:lang w:val="en-GB" w:eastAsia="en-GB"/>
              </w:rPr>
            </w:pPr>
            <w:r w:rsidRPr="00170C56">
              <w:rPr>
                <w:rFonts w:ascii="Arial" w:hAnsi="Arial" w:cs="Arial"/>
                <w:sz w:val="24"/>
                <w:szCs w:val="24"/>
                <w:lang w:val="en-GB" w:eastAsia="en-GB"/>
              </w:rPr>
              <w:t>Data incidents/complaints</w:t>
            </w:r>
          </w:p>
        </w:tc>
      </w:tr>
    </w:tbl>
    <w:p w14:paraId="521C1446" w14:textId="77777777" w:rsidR="002152EC" w:rsidRPr="002152EC" w:rsidRDefault="002152EC" w:rsidP="002152EC">
      <w:pPr>
        <w:spacing w:line="360" w:lineRule="auto"/>
        <w:jc w:val="both"/>
        <w:rPr>
          <w:rFonts w:ascii="Arial" w:hAnsi="Arial" w:cs="Arial"/>
          <w:sz w:val="24"/>
          <w:szCs w:val="24"/>
          <w:lang w:val="en-GB" w:eastAsia="en-GB"/>
        </w:rPr>
      </w:pPr>
    </w:p>
    <w:p w14:paraId="0B8FF21C" w14:textId="214891B7" w:rsidR="002152EC" w:rsidRPr="002152EC"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The industry is therefore conditionally attractive. The positive case is supported by an established market, rising participation and growing technology adoption. UK membership reached 12.2 million in 2025 and visits reached 679 million, while wearable technology and mobile exercise applications remain prominent fitness trends (</w:t>
      </w:r>
      <w:proofErr w:type="spellStart"/>
      <w:r w:rsidRPr="002152EC">
        <w:rPr>
          <w:rFonts w:ascii="Arial" w:hAnsi="Arial" w:cs="Arial"/>
          <w:sz w:val="24"/>
          <w:szCs w:val="24"/>
          <w:lang w:val="en-GB" w:eastAsia="en-GB"/>
        </w:rPr>
        <w:t>ukactive</w:t>
      </w:r>
      <w:proofErr w:type="spellEnd"/>
      <w:r w:rsidRPr="002152EC">
        <w:rPr>
          <w:rFonts w:ascii="Arial" w:hAnsi="Arial" w:cs="Arial"/>
          <w:sz w:val="24"/>
          <w:szCs w:val="24"/>
          <w:lang w:val="en-GB" w:eastAsia="en-GB"/>
        </w:rPr>
        <w:t xml:space="preserve">, 2026; ACSM, 2024). </w:t>
      </w:r>
    </w:p>
    <w:p w14:paraId="586656F4" w14:textId="2C55B7C3" w:rsidR="002152EC" w:rsidRPr="00632A83" w:rsidRDefault="002152EC" w:rsidP="00632A83">
      <w:pPr>
        <w:pStyle w:val="Heading2"/>
        <w:rPr>
          <w:lang w:val="en-GB" w:eastAsia="en-GB"/>
        </w:rPr>
      </w:pPr>
      <w:bookmarkStart w:id="57" w:name="_Toc239091465"/>
      <w:r w:rsidRPr="002152EC">
        <w:rPr>
          <w:lang w:val="en-GB" w:eastAsia="en-GB"/>
        </w:rPr>
        <w:t>6.8 Market Gaps and Strategic Implications</w:t>
      </w:r>
      <w:bookmarkEnd w:id="57"/>
    </w:p>
    <w:p w14:paraId="71306DA8" w14:textId="15615D95" w:rsidR="002152EC" w:rsidRPr="002152EC"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 xml:space="preserve">The competitive analysis does not establish a completely unserved market. Existing providers already offer several elements of </w:t>
      </w:r>
      <w:proofErr w:type="spellStart"/>
      <w:r w:rsidRPr="002152EC">
        <w:rPr>
          <w:rFonts w:ascii="Arial" w:hAnsi="Arial" w:cs="Arial"/>
          <w:sz w:val="24"/>
          <w:szCs w:val="24"/>
          <w:lang w:val="en-GB" w:eastAsia="en-GB"/>
        </w:rPr>
        <w:t>FitLife's</w:t>
      </w:r>
      <w:proofErr w:type="spellEnd"/>
      <w:r w:rsidRPr="002152EC">
        <w:rPr>
          <w:rFonts w:ascii="Arial" w:hAnsi="Arial" w:cs="Arial"/>
          <w:sz w:val="24"/>
          <w:szCs w:val="24"/>
          <w:lang w:val="en-GB" w:eastAsia="en-GB"/>
        </w:rPr>
        <w:t xml:space="preserve"> proposed proposition. </w:t>
      </w:r>
      <w:proofErr w:type="spellStart"/>
      <w:r w:rsidRPr="002152EC">
        <w:rPr>
          <w:rFonts w:ascii="Arial" w:hAnsi="Arial" w:cs="Arial"/>
          <w:sz w:val="24"/>
          <w:szCs w:val="24"/>
          <w:lang w:val="en-GB" w:eastAsia="en-GB"/>
        </w:rPr>
        <w:t>Jetts</w:t>
      </w:r>
      <w:proofErr w:type="spellEnd"/>
      <w:r w:rsidRPr="002152EC">
        <w:rPr>
          <w:rFonts w:ascii="Arial" w:hAnsi="Arial" w:cs="Arial"/>
          <w:sz w:val="24"/>
          <w:szCs w:val="24"/>
          <w:lang w:val="en-GB" w:eastAsia="en-GB"/>
        </w:rPr>
        <w:t xml:space="preserve">, for example, combines 24/7 access, classes, connected equipment and personal trainers, while </w:t>
      </w:r>
      <w:proofErr w:type="spellStart"/>
      <w:r w:rsidRPr="002152EC">
        <w:rPr>
          <w:rFonts w:ascii="Arial" w:hAnsi="Arial" w:cs="Arial"/>
          <w:sz w:val="24"/>
          <w:szCs w:val="24"/>
          <w:lang w:val="en-GB" w:eastAsia="en-GB"/>
        </w:rPr>
        <w:t>PureGym</w:t>
      </w:r>
      <w:proofErr w:type="spellEnd"/>
      <w:r w:rsidRPr="002152EC">
        <w:rPr>
          <w:rFonts w:ascii="Arial" w:hAnsi="Arial" w:cs="Arial"/>
          <w:sz w:val="24"/>
          <w:szCs w:val="24"/>
          <w:lang w:val="en-GB" w:eastAsia="en-GB"/>
        </w:rPr>
        <w:t xml:space="preserve"> combines low-cost access, equipment, classes and flexible membership (</w:t>
      </w:r>
      <w:proofErr w:type="spellStart"/>
      <w:r w:rsidRPr="002152EC">
        <w:rPr>
          <w:rFonts w:ascii="Arial" w:hAnsi="Arial" w:cs="Arial"/>
          <w:sz w:val="24"/>
          <w:szCs w:val="24"/>
          <w:lang w:val="en-GB" w:eastAsia="en-GB"/>
        </w:rPr>
        <w:t>Jetts</w:t>
      </w:r>
      <w:proofErr w:type="spellEnd"/>
      <w:r w:rsidRPr="002152EC">
        <w:rPr>
          <w:rFonts w:ascii="Arial" w:hAnsi="Arial" w:cs="Arial"/>
          <w:sz w:val="24"/>
          <w:szCs w:val="24"/>
          <w:lang w:val="en-GB" w:eastAsia="en-GB"/>
        </w:rPr>
        <w:t xml:space="preserve">, 2026; </w:t>
      </w:r>
      <w:proofErr w:type="spellStart"/>
      <w:r w:rsidRPr="002152EC">
        <w:rPr>
          <w:rFonts w:ascii="Arial" w:hAnsi="Arial" w:cs="Arial"/>
          <w:sz w:val="24"/>
          <w:szCs w:val="24"/>
          <w:lang w:val="en-GB" w:eastAsia="en-GB"/>
        </w:rPr>
        <w:t>PureGym</w:t>
      </w:r>
      <w:proofErr w:type="spellEnd"/>
      <w:r w:rsidRPr="002152EC">
        <w:rPr>
          <w:rFonts w:ascii="Arial" w:hAnsi="Arial" w:cs="Arial"/>
          <w:sz w:val="24"/>
          <w:szCs w:val="24"/>
          <w:lang w:val="en-GB" w:eastAsia="en-GB"/>
        </w:rPr>
        <w:t>, 2026). Technology-enabled fitness alternatives are also increasingly available through wearables and mo</w:t>
      </w:r>
      <w:r w:rsidR="00632A83">
        <w:rPr>
          <w:rFonts w:ascii="Arial" w:hAnsi="Arial" w:cs="Arial"/>
          <w:sz w:val="24"/>
          <w:szCs w:val="24"/>
          <w:lang w:val="en-GB" w:eastAsia="en-GB"/>
        </w:rPr>
        <w:t>bile applications (ACSM, 2024).</w:t>
      </w:r>
    </w:p>
    <w:p w14:paraId="11A2C5B1" w14:textId="38B40078" w:rsidR="002152EC" w:rsidRPr="002152EC"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 xml:space="preserve">The potential opportunity is therefore better described as a differentiation space rather than a confirmed market gap. </w:t>
      </w:r>
      <w:proofErr w:type="spellStart"/>
      <w:r w:rsidRPr="002152EC">
        <w:rPr>
          <w:rFonts w:ascii="Arial" w:hAnsi="Arial" w:cs="Arial"/>
          <w:sz w:val="24"/>
          <w:szCs w:val="24"/>
          <w:lang w:val="en-GB" w:eastAsia="en-GB"/>
        </w:rPr>
        <w:t>FitLife</w:t>
      </w:r>
      <w:proofErr w:type="spellEnd"/>
      <w:r w:rsidRPr="002152EC">
        <w:rPr>
          <w:rFonts w:ascii="Arial" w:hAnsi="Arial" w:cs="Arial"/>
          <w:sz w:val="24"/>
          <w:szCs w:val="24"/>
          <w:lang w:val="en-GB" w:eastAsia="en-GB"/>
        </w:rPr>
        <w:t xml:space="preserve"> proposes to integrate AI-assisted personalisation, wearable-supported monitoring, human coaching, physical gym access and digital engagement into one customer experience. The potential advantage arises from integration, rather than claiming that AI, wearables or coaching individually are unique.</w:t>
      </w:r>
    </w:p>
    <w:p w14:paraId="4C658BB6" w14:textId="1CD65DE8" w:rsidR="002152EC" w:rsidRPr="002152EC"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lastRenderedPageBreak/>
        <w:t xml:space="preserve">However, this positioning remains conditional. Local willingness to pay for AI-supported membership has not yet been conclusively established, competitors could introduce similar services, and technology and staffing costs may reduce margins. </w:t>
      </w:r>
    </w:p>
    <w:p w14:paraId="16C342A7" w14:textId="36EAC753" w:rsidR="002152EC" w:rsidRPr="00632A83" w:rsidRDefault="002152EC" w:rsidP="00632A83">
      <w:pPr>
        <w:pStyle w:val="Heading2"/>
        <w:rPr>
          <w:lang w:val="en-GB" w:eastAsia="en-GB"/>
        </w:rPr>
      </w:pPr>
      <w:bookmarkStart w:id="58" w:name="_Toc239091466"/>
      <w:r w:rsidRPr="002152EC">
        <w:rPr>
          <w:lang w:val="en-GB" w:eastAsia="en-GB"/>
        </w:rPr>
        <w:t>6.9 Chapter Summary</w:t>
      </w:r>
      <w:bookmarkEnd w:id="58"/>
    </w:p>
    <w:p w14:paraId="20CC01BC" w14:textId="761789F6" w:rsidR="00045BE0" w:rsidRDefault="002152EC" w:rsidP="002152EC">
      <w:pPr>
        <w:spacing w:line="360" w:lineRule="auto"/>
        <w:jc w:val="both"/>
        <w:rPr>
          <w:rFonts w:ascii="Arial" w:hAnsi="Arial" w:cs="Arial"/>
          <w:sz w:val="24"/>
          <w:szCs w:val="24"/>
          <w:lang w:val="en-GB" w:eastAsia="en-GB"/>
        </w:rPr>
      </w:pPr>
      <w:r w:rsidRPr="002152EC">
        <w:rPr>
          <w:rFonts w:ascii="Arial" w:hAnsi="Arial" w:cs="Arial"/>
          <w:sz w:val="24"/>
          <w:szCs w:val="24"/>
          <w:lang w:val="en-GB" w:eastAsia="en-GB"/>
        </w:rPr>
        <w:t xml:space="preserve">The analysis indicates that </w:t>
      </w:r>
      <w:proofErr w:type="spellStart"/>
      <w:r w:rsidRPr="002152EC">
        <w:rPr>
          <w:rFonts w:ascii="Arial" w:hAnsi="Arial" w:cs="Arial"/>
          <w:sz w:val="24"/>
          <w:szCs w:val="24"/>
          <w:lang w:val="en-GB" w:eastAsia="en-GB"/>
        </w:rPr>
        <w:t>FitLife</w:t>
      </w:r>
      <w:proofErr w:type="spellEnd"/>
      <w:r w:rsidRPr="002152EC">
        <w:rPr>
          <w:rFonts w:ascii="Arial" w:hAnsi="Arial" w:cs="Arial"/>
          <w:sz w:val="24"/>
          <w:szCs w:val="24"/>
          <w:lang w:val="en-GB" w:eastAsia="en-GB"/>
        </w:rPr>
        <w:t xml:space="preserve"> would enter a highly competitive but potentially attractive fitness environment. </w:t>
      </w:r>
      <w:proofErr w:type="spellStart"/>
      <w:r w:rsidRPr="002152EC">
        <w:rPr>
          <w:rFonts w:ascii="Arial" w:hAnsi="Arial" w:cs="Arial"/>
          <w:sz w:val="24"/>
          <w:szCs w:val="24"/>
          <w:lang w:val="en-GB" w:eastAsia="en-GB"/>
        </w:rPr>
        <w:t>Jetts</w:t>
      </w:r>
      <w:proofErr w:type="spellEnd"/>
      <w:r w:rsidRPr="002152EC">
        <w:rPr>
          <w:rFonts w:ascii="Arial" w:hAnsi="Arial" w:cs="Arial"/>
          <w:sz w:val="24"/>
          <w:szCs w:val="24"/>
          <w:lang w:val="en-GB" w:eastAsia="en-GB"/>
        </w:rPr>
        <w:t xml:space="preserve"> provides strong local convenience, while </w:t>
      </w:r>
      <w:proofErr w:type="spellStart"/>
      <w:r w:rsidRPr="002152EC">
        <w:rPr>
          <w:rFonts w:ascii="Arial" w:hAnsi="Arial" w:cs="Arial"/>
          <w:sz w:val="24"/>
          <w:szCs w:val="24"/>
          <w:lang w:val="en-GB" w:eastAsia="en-GB"/>
        </w:rPr>
        <w:t>PureGym</w:t>
      </w:r>
      <w:proofErr w:type="spellEnd"/>
      <w:r w:rsidRPr="002152EC">
        <w:rPr>
          <w:rFonts w:ascii="Arial" w:hAnsi="Arial" w:cs="Arial"/>
          <w:sz w:val="24"/>
          <w:szCs w:val="24"/>
          <w:lang w:val="en-GB" w:eastAsia="en-GB"/>
        </w:rPr>
        <w:t xml:space="preserve"> and other providers create significant price and service alternatives. Buyer power and substitution threats are high, whereas entry and supplier barriers are moderate. Consequently, competing primarily on price would be difficult. </w:t>
      </w:r>
      <w:proofErr w:type="spellStart"/>
      <w:r w:rsidRPr="002152EC">
        <w:rPr>
          <w:rFonts w:ascii="Arial" w:hAnsi="Arial" w:cs="Arial"/>
          <w:sz w:val="24"/>
          <w:szCs w:val="24"/>
          <w:lang w:val="en-GB" w:eastAsia="en-GB"/>
        </w:rPr>
        <w:t>FitLife's</w:t>
      </w:r>
      <w:proofErr w:type="spellEnd"/>
      <w:r w:rsidRPr="002152EC">
        <w:rPr>
          <w:rFonts w:ascii="Arial" w:hAnsi="Arial" w:cs="Arial"/>
          <w:sz w:val="24"/>
          <w:szCs w:val="24"/>
          <w:lang w:val="en-GB" w:eastAsia="en-GB"/>
        </w:rPr>
        <w:t xml:space="preserve"> potential differentiation lies instead in integrating AI-assisted personalisation, wearable monitoring and human coaching. This conditional differentiation, supported by reliable technology, qualified trainers, value-based pricing, retention and strong data governance, provides the str</w:t>
      </w:r>
      <w:r>
        <w:rPr>
          <w:rFonts w:ascii="Arial" w:hAnsi="Arial" w:cs="Arial"/>
          <w:sz w:val="24"/>
          <w:szCs w:val="24"/>
          <w:lang w:val="en-GB" w:eastAsia="en-GB"/>
        </w:rPr>
        <w:t>ategic foundation for Chapter 7</w:t>
      </w:r>
      <w:r w:rsidR="00045BE0" w:rsidRPr="00402F9F">
        <w:rPr>
          <w:rFonts w:ascii="Arial" w:hAnsi="Arial" w:cs="Arial"/>
          <w:sz w:val="24"/>
          <w:szCs w:val="24"/>
          <w:lang w:val="en-GB" w:eastAsia="en-GB"/>
        </w:rPr>
        <w:t>.</w:t>
      </w:r>
    </w:p>
    <w:p w14:paraId="62C06E5C" w14:textId="336FDB2A" w:rsidR="00A47AF4" w:rsidRDefault="00A47AF4" w:rsidP="00402F9F">
      <w:pPr>
        <w:spacing w:line="360" w:lineRule="auto"/>
        <w:jc w:val="both"/>
        <w:rPr>
          <w:rFonts w:ascii="Arial" w:hAnsi="Arial" w:cs="Arial"/>
          <w:sz w:val="24"/>
          <w:szCs w:val="24"/>
          <w:lang w:val="en-GB" w:eastAsia="en-GB"/>
        </w:rPr>
      </w:pPr>
    </w:p>
    <w:p w14:paraId="65379FCA" w14:textId="631EDCFC" w:rsidR="00A47AF4" w:rsidRDefault="00A47AF4" w:rsidP="00402F9F">
      <w:pPr>
        <w:spacing w:line="360" w:lineRule="auto"/>
        <w:jc w:val="both"/>
        <w:rPr>
          <w:rFonts w:ascii="Arial" w:hAnsi="Arial" w:cs="Arial"/>
          <w:sz w:val="24"/>
          <w:szCs w:val="24"/>
          <w:lang w:val="en-GB" w:eastAsia="en-GB"/>
        </w:rPr>
      </w:pPr>
    </w:p>
    <w:p w14:paraId="32109A05" w14:textId="6489501B" w:rsidR="00A47AF4" w:rsidRDefault="00A47AF4" w:rsidP="00402F9F">
      <w:pPr>
        <w:spacing w:line="360" w:lineRule="auto"/>
        <w:jc w:val="both"/>
        <w:rPr>
          <w:rFonts w:ascii="Arial" w:hAnsi="Arial" w:cs="Arial"/>
          <w:sz w:val="24"/>
          <w:szCs w:val="24"/>
          <w:lang w:val="en-GB" w:eastAsia="en-GB"/>
        </w:rPr>
      </w:pPr>
    </w:p>
    <w:p w14:paraId="02D30802" w14:textId="4B18FA16" w:rsidR="00A47AF4" w:rsidRDefault="00A47AF4" w:rsidP="00402F9F">
      <w:pPr>
        <w:spacing w:line="360" w:lineRule="auto"/>
        <w:jc w:val="both"/>
        <w:rPr>
          <w:rFonts w:ascii="Arial" w:hAnsi="Arial" w:cs="Arial"/>
          <w:sz w:val="24"/>
          <w:szCs w:val="24"/>
          <w:lang w:val="en-GB" w:eastAsia="en-GB"/>
        </w:rPr>
      </w:pPr>
    </w:p>
    <w:p w14:paraId="183EFE6D" w14:textId="1CBF91C7" w:rsidR="00A47AF4" w:rsidRDefault="00A47AF4" w:rsidP="00402F9F">
      <w:pPr>
        <w:spacing w:line="360" w:lineRule="auto"/>
        <w:jc w:val="both"/>
        <w:rPr>
          <w:rFonts w:ascii="Arial" w:hAnsi="Arial" w:cs="Arial"/>
          <w:sz w:val="24"/>
          <w:szCs w:val="24"/>
          <w:lang w:val="en-GB" w:eastAsia="en-GB"/>
        </w:rPr>
      </w:pPr>
    </w:p>
    <w:p w14:paraId="7C483829" w14:textId="4A26F614" w:rsidR="00A47AF4" w:rsidRDefault="00A47AF4" w:rsidP="00402F9F">
      <w:pPr>
        <w:spacing w:line="360" w:lineRule="auto"/>
        <w:jc w:val="both"/>
        <w:rPr>
          <w:rFonts w:ascii="Arial" w:hAnsi="Arial" w:cs="Arial"/>
          <w:sz w:val="24"/>
          <w:szCs w:val="24"/>
          <w:lang w:val="en-GB" w:eastAsia="en-GB"/>
        </w:rPr>
      </w:pPr>
    </w:p>
    <w:p w14:paraId="53BB3D9F" w14:textId="45EEA993" w:rsidR="00A47AF4" w:rsidRDefault="00A47AF4" w:rsidP="00402F9F">
      <w:pPr>
        <w:spacing w:line="360" w:lineRule="auto"/>
        <w:jc w:val="both"/>
        <w:rPr>
          <w:rFonts w:ascii="Arial" w:hAnsi="Arial" w:cs="Arial"/>
          <w:sz w:val="24"/>
          <w:szCs w:val="24"/>
          <w:lang w:val="en-GB" w:eastAsia="en-GB"/>
        </w:rPr>
      </w:pPr>
    </w:p>
    <w:p w14:paraId="6FEC5320" w14:textId="6A09C756" w:rsidR="00A47AF4" w:rsidRDefault="00A47AF4" w:rsidP="00402F9F">
      <w:pPr>
        <w:spacing w:line="360" w:lineRule="auto"/>
        <w:jc w:val="both"/>
        <w:rPr>
          <w:rFonts w:ascii="Arial" w:hAnsi="Arial" w:cs="Arial"/>
          <w:sz w:val="24"/>
          <w:szCs w:val="24"/>
          <w:lang w:val="en-GB" w:eastAsia="en-GB"/>
        </w:rPr>
      </w:pPr>
    </w:p>
    <w:p w14:paraId="14312861" w14:textId="0CA0FBF2" w:rsidR="00A47AF4" w:rsidRDefault="00A47AF4" w:rsidP="00402F9F">
      <w:pPr>
        <w:spacing w:line="360" w:lineRule="auto"/>
        <w:jc w:val="both"/>
        <w:rPr>
          <w:rFonts w:ascii="Arial" w:hAnsi="Arial" w:cs="Arial"/>
          <w:sz w:val="24"/>
          <w:szCs w:val="24"/>
          <w:lang w:val="en-GB" w:eastAsia="en-GB"/>
        </w:rPr>
      </w:pPr>
    </w:p>
    <w:p w14:paraId="16EE2EEF" w14:textId="7E8C420B" w:rsidR="00A47AF4" w:rsidRDefault="00A47AF4" w:rsidP="00402F9F">
      <w:pPr>
        <w:spacing w:line="360" w:lineRule="auto"/>
        <w:jc w:val="both"/>
        <w:rPr>
          <w:rFonts w:ascii="Arial" w:hAnsi="Arial" w:cs="Arial"/>
          <w:sz w:val="24"/>
          <w:szCs w:val="24"/>
          <w:lang w:val="en-GB" w:eastAsia="en-GB"/>
        </w:rPr>
      </w:pPr>
    </w:p>
    <w:p w14:paraId="0B015C22" w14:textId="5E67C01A" w:rsidR="002F1D43" w:rsidRDefault="002F1D43" w:rsidP="00045BE0">
      <w:pPr>
        <w:spacing w:after="0" w:line="240" w:lineRule="auto"/>
        <w:rPr>
          <w:rFonts w:ascii="Times New Roman" w:eastAsia="Times New Roman" w:hAnsi="Times New Roman" w:cs="Times New Roman"/>
          <w:sz w:val="24"/>
          <w:szCs w:val="24"/>
          <w:lang w:val="en-GB" w:eastAsia="en-GB"/>
        </w:rPr>
      </w:pPr>
    </w:p>
    <w:p w14:paraId="4853BC12" w14:textId="5E3E0180" w:rsidR="002F1D43" w:rsidRDefault="002F1D43" w:rsidP="00045BE0">
      <w:pPr>
        <w:spacing w:after="0" w:line="240" w:lineRule="auto"/>
        <w:rPr>
          <w:rFonts w:ascii="Times New Roman" w:eastAsia="Times New Roman" w:hAnsi="Times New Roman" w:cs="Times New Roman"/>
          <w:sz w:val="24"/>
          <w:szCs w:val="24"/>
          <w:lang w:val="en-GB" w:eastAsia="en-GB"/>
        </w:rPr>
      </w:pPr>
    </w:p>
    <w:p w14:paraId="5CCA44FB" w14:textId="47623A9D" w:rsidR="002F1D43" w:rsidRDefault="002F1D43" w:rsidP="00045BE0">
      <w:pPr>
        <w:spacing w:after="0" w:line="240" w:lineRule="auto"/>
        <w:rPr>
          <w:rFonts w:ascii="Times New Roman" w:eastAsia="Times New Roman" w:hAnsi="Times New Roman" w:cs="Times New Roman"/>
          <w:sz w:val="24"/>
          <w:szCs w:val="24"/>
          <w:lang w:val="en-GB" w:eastAsia="en-GB"/>
        </w:rPr>
      </w:pPr>
    </w:p>
    <w:p w14:paraId="54CF2326" w14:textId="57C67BFB" w:rsidR="002F1D43" w:rsidRDefault="002F1D43" w:rsidP="00045BE0">
      <w:pPr>
        <w:spacing w:after="0" w:line="240" w:lineRule="auto"/>
        <w:rPr>
          <w:rFonts w:ascii="Times New Roman" w:eastAsia="Times New Roman" w:hAnsi="Times New Roman" w:cs="Times New Roman"/>
          <w:sz w:val="24"/>
          <w:szCs w:val="24"/>
          <w:lang w:val="en-GB" w:eastAsia="en-GB"/>
        </w:rPr>
      </w:pPr>
    </w:p>
    <w:p w14:paraId="251952BD" w14:textId="66E897E0" w:rsidR="00027E3A" w:rsidRPr="003822FD" w:rsidRDefault="002F1D43" w:rsidP="00C02C66">
      <w:pPr>
        <w:pStyle w:val="Heading1"/>
        <w:jc w:val="center"/>
        <w:rPr>
          <w:rFonts w:eastAsia="Times New Roman"/>
          <w:bCs/>
          <w:lang w:val="en-GB" w:eastAsia="en-GB"/>
        </w:rPr>
      </w:pPr>
      <w:bookmarkStart w:id="59" w:name="_Toc239091467"/>
      <w:r w:rsidRPr="003822FD">
        <w:lastRenderedPageBreak/>
        <w:t xml:space="preserve">Chapter </w:t>
      </w:r>
      <w:r w:rsidR="00027E3A" w:rsidRPr="003822FD">
        <w:t>7</w:t>
      </w:r>
      <w:r w:rsidRPr="003822FD">
        <w:t xml:space="preserve"> — Business </w:t>
      </w:r>
      <w:r w:rsidR="00C02C66" w:rsidRPr="003822FD">
        <w:t>Strategy</w:t>
      </w:r>
      <w:bookmarkEnd w:id="59"/>
    </w:p>
    <w:p w14:paraId="2336F466" w14:textId="6D7C0732" w:rsidR="00233662" w:rsidRPr="003822FD" w:rsidRDefault="00027E3A" w:rsidP="00C02C66">
      <w:pPr>
        <w:pStyle w:val="Heading2"/>
      </w:pPr>
      <w:bookmarkStart w:id="60" w:name="_Toc239091468"/>
      <w:r w:rsidRPr="003822FD">
        <w:rPr>
          <w:rFonts w:eastAsia="Times New Roman"/>
          <w:lang w:val="en-GB" w:eastAsia="en-GB"/>
        </w:rPr>
        <w:t>7.</w:t>
      </w:r>
      <w:r w:rsidR="00233662" w:rsidRPr="003822FD">
        <w:rPr>
          <w:rFonts w:eastAsia="Times New Roman"/>
          <w:lang w:val="en-GB" w:eastAsia="en-GB"/>
        </w:rPr>
        <w:t>1 Introduction and Strategic Framework</w:t>
      </w:r>
      <w:bookmarkEnd w:id="60"/>
    </w:p>
    <w:p w14:paraId="1AD9FCF7" w14:textId="387E5137" w:rsidR="002F1D43" w:rsidRPr="003822FD" w:rsidRDefault="001B3201"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 xml:space="preserve">Chapter 7 converts the market opportunity and competitive evidence discovered in Chapters 5 and 6 into a sensible business plan for </w:t>
      </w:r>
      <w:proofErr w:type="spellStart"/>
      <w:r w:rsidRPr="003822FD">
        <w:rPr>
          <w:rFonts w:ascii="Arial" w:eastAsia="Times New Roman" w:hAnsi="Arial" w:cs="Arial"/>
          <w:sz w:val="24"/>
          <w:szCs w:val="24"/>
          <w:lang w:val="en-GB" w:eastAsia="en-GB"/>
        </w:rPr>
        <w:t>FitLife</w:t>
      </w:r>
      <w:proofErr w:type="spellEnd"/>
      <w:r w:rsidRPr="003822FD">
        <w:rPr>
          <w:rFonts w:ascii="Arial" w:eastAsia="Times New Roman" w:hAnsi="Arial" w:cs="Arial"/>
          <w:sz w:val="24"/>
          <w:szCs w:val="24"/>
          <w:lang w:val="en-GB" w:eastAsia="en-GB"/>
        </w:rPr>
        <w:t xml:space="preserve"> Smart Gym. Strategic management should match the features of the environment and the organisation's internal resources and capabilities (Barney, 1991). Therefore, VRIO will evaluate the resources and capabilities that </w:t>
      </w:r>
      <w:proofErr w:type="spellStart"/>
      <w:r w:rsidRPr="003822FD">
        <w:rPr>
          <w:rFonts w:ascii="Arial" w:eastAsia="Times New Roman" w:hAnsi="Arial" w:cs="Arial"/>
          <w:sz w:val="24"/>
          <w:szCs w:val="24"/>
          <w:lang w:val="en-GB" w:eastAsia="en-GB"/>
        </w:rPr>
        <w:t>Vrio</w:t>
      </w:r>
      <w:proofErr w:type="spellEnd"/>
      <w:r w:rsidRPr="003822FD">
        <w:rPr>
          <w:rFonts w:ascii="Arial" w:eastAsia="Times New Roman" w:hAnsi="Arial" w:cs="Arial"/>
          <w:sz w:val="24"/>
          <w:szCs w:val="24"/>
          <w:lang w:val="en-GB" w:eastAsia="en-GB"/>
        </w:rPr>
        <w:t xml:space="preserve"> will make for </w:t>
      </w:r>
      <w:proofErr w:type="spellStart"/>
      <w:r w:rsidRPr="003822FD">
        <w:rPr>
          <w:rFonts w:ascii="Arial" w:eastAsia="Times New Roman" w:hAnsi="Arial" w:cs="Arial"/>
          <w:sz w:val="24"/>
          <w:szCs w:val="24"/>
          <w:lang w:val="en-GB" w:eastAsia="en-GB"/>
        </w:rPr>
        <w:t>FitLife</w:t>
      </w:r>
      <w:proofErr w:type="spellEnd"/>
      <w:r w:rsidRPr="003822FD">
        <w:rPr>
          <w:rFonts w:ascii="Arial" w:eastAsia="Times New Roman" w:hAnsi="Arial" w:cs="Arial"/>
          <w:sz w:val="24"/>
          <w:szCs w:val="24"/>
          <w:lang w:val="en-GB" w:eastAsia="en-GB"/>
        </w:rPr>
        <w:t xml:space="preserve">, and SWOT will combine factors of strength and weaknesses of </w:t>
      </w:r>
      <w:proofErr w:type="spellStart"/>
      <w:r w:rsidRPr="003822FD">
        <w:rPr>
          <w:rFonts w:ascii="Arial" w:eastAsia="Times New Roman" w:hAnsi="Arial" w:cs="Arial"/>
          <w:sz w:val="24"/>
          <w:szCs w:val="24"/>
          <w:lang w:val="en-GB" w:eastAsia="en-GB"/>
        </w:rPr>
        <w:t>FitLife</w:t>
      </w:r>
      <w:proofErr w:type="spellEnd"/>
      <w:r w:rsidRPr="003822FD">
        <w:rPr>
          <w:rFonts w:ascii="Arial" w:eastAsia="Times New Roman" w:hAnsi="Arial" w:cs="Arial"/>
          <w:sz w:val="24"/>
          <w:szCs w:val="24"/>
          <w:lang w:val="en-GB" w:eastAsia="en-GB"/>
        </w:rPr>
        <w:t xml:space="preserve"> with opportunity and threat of external factors. The chapter will then back up the strategic selection, competitive positioning, unique selling proposition (USP) and value proposition. Finally, how </w:t>
      </w:r>
      <w:proofErr w:type="spellStart"/>
      <w:r w:rsidRPr="003822FD">
        <w:rPr>
          <w:rFonts w:ascii="Arial" w:eastAsia="Times New Roman" w:hAnsi="Arial" w:cs="Arial"/>
          <w:sz w:val="24"/>
          <w:szCs w:val="24"/>
          <w:lang w:val="en-GB" w:eastAsia="en-GB"/>
        </w:rPr>
        <w:t>FitLife</w:t>
      </w:r>
      <w:proofErr w:type="spellEnd"/>
      <w:r w:rsidRPr="003822FD">
        <w:rPr>
          <w:rFonts w:ascii="Arial" w:eastAsia="Times New Roman" w:hAnsi="Arial" w:cs="Arial"/>
          <w:sz w:val="24"/>
          <w:szCs w:val="24"/>
          <w:lang w:val="en-GB" w:eastAsia="en-GB"/>
        </w:rPr>
        <w:t xml:space="preserve"> can achieve the critical success factors necessary to establish and maintain competitive advantage, especially in the areas of technology, personalisation, service quality and customer retention (Porter, 1985) will be discussed.</w:t>
      </w:r>
    </w:p>
    <w:p w14:paraId="06B54CED" w14:textId="5F381105" w:rsidR="00233662" w:rsidRPr="003822FD" w:rsidRDefault="00027E3A" w:rsidP="00C02C66">
      <w:pPr>
        <w:pStyle w:val="Heading2"/>
        <w:rPr>
          <w:rFonts w:eastAsia="Times New Roman"/>
          <w:lang w:val="en-GB" w:eastAsia="en-GB"/>
        </w:rPr>
      </w:pPr>
      <w:bookmarkStart w:id="61" w:name="_Toc239091469"/>
      <w:r w:rsidRPr="003822FD">
        <w:rPr>
          <w:rFonts w:eastAsia="Times New Roman"/>
          <w:lang w:val="en-GB" w:eastAsia="en-GB"/>
        </w:rPr>
        <w:t>7</w:t>
      </w:r>
      <w:r w:rsidR="00233662" w:rsidRPr="003822FD">
        <w:rPr>
          <w:rFonts w:eastAsia="Times New Roman"/>
          <w:lang w:val="en-GB" w:eastAsia="en-GB"/>
        </w:rPr>
        <w:t>.2 Strategic Situation: External Analysis</w:t>
      </w:r>
      <w:bookmarkEnd w:id="61"/>
    </w:p>
    <w:p w14:paraId="3D45C50D" w14:textId="3EC25B08" w:rsidR="006C4681" w:rsidRPr="003822FD" w:rsidRDefault="006C4681" w:rsidP="003822FD">
      <w:pPr>
        <w:spacing w:before="240" w:line="360" w:lineRule="auto"/>
        <w:jc w:val="both"/>
        <w:rPr>
          <w:rFonts w:ascii="Arial" w:eastAsia="Times New Roman" w:hAnsi="Arial" w:cs="Arial"/>
          <w:sz w:val="24"/>
          <w:szCs w:val="24"/>
          <w:lang w:val="en-GB" w:eastAsia="en-GB"/>
        </w:rPr>
      </w:pPr>
      <w:proofErr w:type="spellStart"/>
      <w:r w:rsidRPr="003822FD">
        <w:rPr>
          <w:rFonts w:ascii="Arial" w:eastAsia="Times New Roman" w:hAnsi="Arial" w:cs="Arial"/>
          <w:sz w:val="24"/>
          <w:szCs w:val="24"/>
          <w:lang w:val="en-GB" w:eastAsia="en-GB"/>
        </w:rPr>
        <w:t>FitLife's</w:t>
      </w:r>
      <w:proofErr w:type="spellEnd"/>
      <w:r w:rsidRPr="003822FD">
        <w:rPr>
          <w:rFonts w:ascii="Arial" w:eastAsia="Times New Roman" w:hAnsi="Arial" w:cs="Arial"/>
          <w:sz w:val="24"/>
          <w:szCs w:val="24"/>
          <w:lang w:val="en-GB" w:eastAsia="en-GB"/>
        </w:rPr>
        <w:t xml:space="preserve"> external indicators suggest that there are opportunities and important strategic constraints in the market it serves. Chapter 5 had already pointed to the potential for convenient, personalised and digitally supported fitness services, especially for customers with an interest in technology-supported monitoring and flexible access to fitness services. </w:t>
      </w:r>
      <w:r w:rsidR="00E56DAD" w:rsidRPr="00E56DAD">
        <w:rPr>
          <w:rFonts w:ascii="Arial" w:eastAsia="Times New Roman" w:hAnsi="Arial" w:cs="Arial"/>
          <w:sz w:val="24"/>
          <w:szCs w:val="24"/>
          <w:lang w:val="en-GB" w:eastAsia="en-GB"/>
        </w:rPr>
        <w:t>The increasing prominence of wearable technology, mobile exercise applications and data-driven training indicates favourable conditions for technology-supported fitness services (ACSM, 2024)</w:t>
      </w:r>
    </w:p>
    <w:p w14:paraId="38A54FB3" w14:textId="77777777" w:rsidR="006C4681" w:rsidRPr="003822FD" w:rsidRDefault="006C4681"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 xml:space="preserve">There is also a strong competitive pressure problem due to the competitive environment found in Chapter 6. Low-cost gyms and alternatives that are accessible make it hard for a new gym to compete on price, create choice for customers, and strengthen the buyer's power. Porter (1985) suggests that differentiation is a way of building competitive advantage which is other than cost based. </w:t>
      </w:r>
      <w:proofErr w:type="spellStart"/>
      <w:r w:rsidRPr="003822FD">
        <w:rPr>
          <w:rFonts w:ascii="Arial" w:eastAsia="Times New Roman" w:hAnsi="Arial" w:cs="Arial"/>
          <w:sz w:val="24"/>
          <w:szCs w:val="24"/>
          <w:lang w:val="en-GB" w:eastAsia="en-GB"/>
        </w:rPr>
        <w:t>FitLife</w:t>
      </w:r>
      <w:proofErr w:type="spellEnd"/>
      <w:r w:rsidRPr="003822FD">
        <w:rPr>
          <w:rFonts w:ascii="Arial" w:eastAsia="Times New Roman" w:hAnsi="Arial" w:cs="Arial"/>
          <w:sz w:val="24"/>
          <w:szCs w:val="24"/>
          <w:lang w:val="en-GB" w:eastAsia="en-GB"/>
        </w:rPr>
        <w:t xml:space="preserve"> means personalisation, service level, human coaching and technology combination should be the foundation of strategic positioning.</w:t>
      </w:r>
    </w:p>
    <w:p w14:paraId="38EF66E9" w14:textId="77777777" w:rsidR="006C4681" w:rsidRPr="003822FD" w:rsidRDefault="006C4681"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 xml:space="preserve">Economic conditions are also a restriction and a consideration. As consumers become more price-conscious due to inflation and cost of living pressures, they will demand low-cost and flexible memberships to gain access to discretionary fitness services. </w:t>
      </w:r>
      <w:r w:rsidRPr="003822FD">
        <w:rPr>
          <w:rFonts w:ascii="Arial" w:eastAsia="Times New Roman" w:hAnsi="Arial" w:cs="Arial"/>
          <w:sz w:val="24"/>
          <w:szCs w:val="24"/>
          <w:lang w:val="en-GB" w:eastAsia="en-GB"/>
        </w:rPr>
        <w:lastRenderedPageBreak/>
        <w:t xml:space="preserve">These pressures could also lead to opportunities for </w:t>
      </w:r>
      <w:proofErr w:type="spellStart"/>
      <w:r w:rsidRPr="003822FD">
        <w:rPr>
          <w:rFonts w:ascii="Arial" w:eastAsia="Times New Roman" w:hAnsi="Arial" w:cs="Arial"/>
          <w:sz w:val="24"/>
          <w:szCs w:val="24"/>
          <w:lang w:val="en-GB" w:eastAsia="en-GB"/>
        </w:rPr>
        <w:t>FitLife</w:t>
      </w:r>
      <w:proofErr w:type="spellEnd"/>
      <w:r w:rsidRPr="003822FD">
        <w:rPr>
          <w:rFonts w:ascii="Arial" w:eastAsia="Times New Roman" w:hAnsi="Arial" w:cs="Arial"/>
          <w:sz w:val="24"/>
          <w:szCs w:val="24"/>
          <w:lang w:val="en-GB" w:eastAsia="en-GB"/>
        </w:rPr>
        <w:t xml:space="preserve"> to provide differentiation in their packages, not just by the price tag, but by the value they can deliver.</w:t>
      </w:r>
    </w:p>
    <w:p w14:paraId="534BCD2A" w14:textId="1463AD81" w:rsidR="006C4681" w:rsidRPr="003822FD" w:rsidRDefault="006C4681"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 xml:space="preserve">Last, but not least, on the technology-investment and data-protection requirements side, there are implementation risks due to the need for reliable AI and wearable systems. However, innovation needs to be balanced with affordability, operational reliability and customer trust; which is why it's imperative that the company, </w:t>
      </w:r>
      <w:proofErr w:type="spellStart"/>
      <w:r w:rsidRPr="003822FD">
        <w:rPr>
          <w:rFonts w:ascii="Arial" w:eastAsia="Times New Roman" w:hAnsi="Arial" w:cs="Arial"/>
          <w:sz w:val="24"/>
          <w:szCs w:val="24"/>
          <w:lang w:val="en-GB" w:eastAsia="en-GB"/>
        </w:rPr>
        <w:t>FitLife</w:t>
      </w:r>
      <w:proofErr w:type="spellEnd"/>
      <w:r w:rsidRPr="003822FD">
        <w:rPr>
          <w:rFonts w:ascii="Arial" w:eastAsia="Times New Roman" w:hAnsi="Arial" w:cs="Arial"/>
          <w:sz w:val="24"/>
          <w:szCs w:val="24"/>
          <w:lang w:val="en-GB" w:eastAsia="en-GB"/>
        </w:rPr>
        <w:t xml:space="preserve">, strikes a balance. </w:t>
      </w:r>
    </w:p>
    <w:p w14:paraId="17BEFE00" w14:textId="775217CE" w:rsidR="006C4681" w:rsidRPr="00C02C66" w:rsidRDefault="006C4681" w:rsidP="00C02C66">
      <w:pPr>
        <w:pStyle w:val="Heading2"/>
        <w:rPr>
          <w:rFonts w:eastAsia="Times New Roman"/>
          <w:lang w:val="en-GB" w:eastAsia="en-GB"/>
        </w:rPr>
      </w:pPr>
      <w:bookmarkStart w:id="62" w:name="_Toc239091470"/>
      <w:r w:rsidRPr="003822FD">
        <w:rPr>
          <w:rFonts w:eastAsia="Times New Roman"/>
          <w:lang w:val="en-GB" w:eastAsia="en-GB"/>
        </w:rPr>
        <w:t>7.3 Internal Analysis: VRIO</w:t>
      </w:r>
      <w:bookmarkEnd w:id="62"/>
    </w:p>
    <w:p w14:paraId="471ABF81" w14:textId="229B189A" w:rsidR="00007561" w:rsidRPr="003822FD" w:rsidRDefault="006C4681"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 xml:space="preserve">To determine if the proposed resources and capabilities of the company, </w:t>
      </w:r>
      <w:proofErr w:type="spellStart"/>
      <w:r w:rsidRPr="003822FD">
        <w:rPr>
          <w:rFonts w:ascii="Arial" w:eastAsia="Times New Roman" w:hAnsi="Arial" w:cs="Arial"/>
          <w:sz w:val="24"/>
          <w:szCs w:val="24"/>
          <w:lang w:val="en-GB" w:eastAsia="en-GB"/>
        </w:rPr>
        <w:t>FitLife</w:t>
      </w:r>
      <w:proofErr w:type="spellEnd"/>
      <w:r w:rsidRPr="003822FD">
        <w:rPr>
          <w:rFonts w:ascii="Arial" w:eastAsia="Times New Roman" w:hAnsi="Arial" w:cs="Arial"/>
          <w:sz w:val="24"/>
          <w:szCs w:val="24"/>
          <w:lang w:val="en-GB" w:eastAsia="en-GB"/>
        </w:rPr>
        <w:t xml:space="preserve">, can create a competitive advantage, the VRIO framework was used to assess whether the resources and capabilities are valuable, rare, difficult to imitate, and have the right organisational arrangements (Barney, 1991). The analysis suggests that the value of </w:t>
      </w:r>
      <w:proofErr w:type="spellStart"/>
      <w:r w:rsidRPr="003822FD">
        <w:rPr>
          <w:rFonts w:ascii="Arial" w:eastAsia="Times New Roman" w:hAnsi="Arial" w:cs="Arial"/>
          <w:sz w:val="24"/>
          <w:szCs w:val="24"/>
          <w:lang w:val="en-GB" w:eastAsia="en-GB"/>
        </w:rPr>
        <w:t>FitLife</w:t>
      </w:r>
      <w:proofErr w:type="spellEnd"/>
      <w:r w:rsidRPr="003822FD">
        <w:rPr>
          <w:rFonts w:ascii="Arial" w:eastAsia="Times New Roman" w:hAnsi="Arial" w:cs="Arial"/>
          <w:sz w:val="24"/>
          <w:szCs w:val="24"/>
          <w:lang w:val="en-GB" w:eastAsia="en-GB"/>
        </w:rPr>
        <w:t xml:space="preserve"> is more likely to result from the integration of resources, rather than any particular technology</w:t>
      </w:r>
      <w:r w:rsidR="00C02C66">
        <w:rPr>
          <w:rFonts w:ascii="Arial" w:eastAsia="Times New Roman" w:hAnsi="Arial" w:cs="Arial"/>
          <w:sz w:val="24"/>
          <w:szCs w:val="24"/>
          <w:lang w:val="en-GB" w:eastAsia="en-GB"/>
        </w:rPr>
        <w:t>.</w:t>
      </w:r>
    </w:p>
    <w:p w14:paraId="6E35F416" w14:textId="49CB9004" w:rsidR="00C02C66" w:rsidRPr="00C02C66" w:rsidRDefault="00C02C66" w:rsidP="00C02C66">
      <w:pPr>
        <w:pStyle w:val="Caption"/>
        <w:keepNext/>
        <w:rPr>
          <w:rFonts w:ascii="Arial" w:hAnsi="Arial" w:cs="Arial"/>
          <w:sz w:val="24"/>
        </w:rPr>
      </w:pPr>
      <w:bookmarkStart w:id="63" w:name="_Toc239091503"/>
      <w:r w:rsidRPr="00C02C66">
        <w:rPr>
          <w:rFonts w:ascii="Arial" w:hAnsi="Arial" w:cs="Arial"/>
          <w:sz w:val="24"/>
        </w:rPr>
        <w:t xml:space="preserve">Table </w:t>
      </w:r>
      <w:r w:rsidRPr="00C02C66">
        <w:rPr>
          <w:rFonts w:ascii="Arial" w:hAnsi="Arial" w:cs="Arial"/>
          <w:sz w:val="24"/>
        </w:rPr>
        <w:fldChar w:fldCharType="begin"/>
      </w:r>
      <w:r w:rsidRPr="00C02C66">
        <w:rPr>
          <w:rFonts w:ascii="Arial" w:hAnsi="Arial" w:cs="Arial"/>
          <w:sz w:val="24"/>
        </w:rPr>
        <w:instrText xml:space="preserve"> SEQ Table \* ARABIC </w:instrText>
      </w:r>
      <w:r w:rsidRPr="00C02C66">
        <w:rPr>
          <w:rFonts w:ascii="Arial" w:hAnsi="Arial" w:cs="Arial"/>
          <w:sz w:val="24"/>
        </w:rPr>
        <w:fldChar w:fldCharType="separate"/>
      </w:r>
      <w:r w:rsidR="00415D83">
        <w:rPr>
          <w:rFonts w:ascii="Arial" w:hAnsi="Arial" w:cs="Arial"/>
          <w:noProof/>
          <w:sz w:val="24"/>
        </w:rPr>
        <w:t>7</w:t>
      </w:r>
      <w:r w:rsidRPr="00C02C66">
        <w:rPr>
          <w:rFonts w:ascii="Arial" w:hAnsi="Arial" w:cs="Arial"/>
          <w:sz w:val="24"/>
        </w:rPr>
        <w:fldChar w:fldCharType="end"/>
      </w:r>
      <w:r w:rsidRPr="00C02C66">
        <w:rPr>
          <w:rFonts w:ascii="Arial" w:hAnsi="Arial" w:cs="Arial"/>
          <w:sz w:val="24"/>
        </w:rPr>
        <w:t>.Internal Analysis: VRIO</w:t>
      </w:r>
      <w:bookmarkEnd w:id="63"/>
    </w:p>
    <w:tbl>
      <w:tblPr>
        <w:tblStyle w:val="TableGrid"/>
        <w:tblW w:w="0" w:type="auto"/>
        <w:tblLook w:val="04A0" w:firstRow="1" w:lastRow="0" w:firstColumn="1" w:lastColumn="0" w:noHBand="0" w:noVBand="1"/>
      </w:tblPr>
      <w:tblGrid>
        <w:gridCol w:w="2217"/>
        <w:gridCol w:w="1211"/>
        <w:gridCol w:w="1397"/>
        <w:gridCol w:w="1248"/>
        <w:gridCol w:w="1385"/>
        <w:gridCol w:w="1558"/>
      </w:tblGrid>
      <w:tr w:rsidR="00027E3A" w:rsidRPr="003822FD" w14:paraId="4DBD354B" w14:textId="77777777" w:rsidTr="00C02C66">
        <w:tc>
          <w:tcPr>
            <w:tcW w:w="2217" w:type="dxa"/>
          </w:tcPr>
          <w:p w14:paraId="7DDD23FD"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Resource/Capability</w:t>
            </w:r>
          </w:p>
        </w:tc>
        <w:tc>
          <w:tcPr>
            <w:tcW w:w="1211" w:type="dxa"/>
          </w:tcPr>
          <w:p w14:paraId="27BA8D09"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Valuable?</w:t>
            </w:r>
          </w:p>
        </w:tc>
        <w:tc>
          <w:tcPr>
            <w:tcW w:w="1397" w:type="dxa"/>
          </w:tcPr>
          <w:p w14:paraId="3AC149F1"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Rare?</w:t>
            </w:r>
          </w:p>
        </w:tc>
        <w:tc>
          <w:tcPr>
            <w:tcW w:w="1248" w:type="dxa"/>
          </w:tcPr>
          <w:p w14:paraId="243E7AD1"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Difficult to imitate?</w:t>
            </w:r>
          </w:p>
        </w:tc>
        <w:tc>
          <w:tcPr>
            <w:tcW w:w="1385" w:type="dxa"/>
          </w:tcPr>
          <w:p w14:paraId="0BFA7CB8"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Organised?</w:t>
            </w:r>
          </w:p>
        </w:tc>
        <w:tc>
          <w:tcPr>
            <w:tcW w:w="1558" w:type="dxa"/>
          </w:tcPr>
          <w:p w14:paraId="238F5BB0"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Strategic implication</w:t>
            </w:r>
          </w:p>
        </w:tc>
      </w:tr>
      <w:tr w:rsidR="00027E3A" w:rsidRPr="003822FD" w14:paraId="3121C618" w14:textId="77777777" w:rsidTr="00C02C66">
        <w:tc>
          <w:tcPr>
            <w:tcW w:w="2217" w:type="dxa"/>
          </w:tcPr>
          <w:p w14:paraId="6EB26D96"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AI-assisted personalisation</w:t>
            </w:r>
          </w:p>
        </w:tc>
        <w:tc>
          <w:tcPr>
            <w:tcW w:w="1211" w:type="dxa"/>
          </w:tcPr>
          <w:p w14:paraId="4E23108C"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Segoe UI Symbol" w:eastAsia="Times New Roman" w:hAnsi="Segoe UI Symbol" w:cs="Segoe UI Symbol"/>
                <w:sz w:val="24"/>
                <w:szCs w:val="24"/>
                <w:lang w:val="en-GB" w:eastAsia="en-GB"/>
              </w:rPr>
              <w:t>✓</w:t>
            </w:r>
          </w:p>
        </w:tc>
        <w:tc>
          <w:tcPr>
            <w:tcW w:w="1397" w:type="dxa"/>
          </w:tcPr>
          <w:p w14:paraId="323EAAD8"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Potentially</w:t>
            </w:r>
          </w:p>
        </w:tc>
        <w:tc>
          <w:tcPr>
            <w:tcW w:w="1248" w:type="dxa"/>
          </w:tcPr>
          <w:p w14:paraId="292CEE19"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Potentially</w:t>
            </w:r>
          </w:p>
        </w:tc>
        <w:tc>
          <w:tcPr>
            <w:tcW w:w="1385" w:type="dxa"/>
          </w:tcPr>
          <w:p w14:paraId="3BB6EF74"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To be developed</w:t>
            </w:r>
          </w:p>
        </w:tc>
        <w:tc>
          <w:tcPr>
            <w:tcW w:w="1558" w:type="dxa"/>
          </w:tcPr>
          <w:p w14:paraId="740CFBB8"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Potential advantage</w:t>
            </w:r>
          </w:p>
        </w:tc>
      </w:tr>
      <w:tr w:rsidR="00027E3A" w:rsidRPr="003822FD" w14:paraId="0EFA0665" w14:textId="77777777" w:rsidTr="00C02C66">
        <w:tc>
          <w:tcPr>
            <w:tcW w:w="2217" w:type="dxa"/>
          </w:tcPr>
          <w:p w14:paraId="77B9511F"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Wearable integration</w:t>
            </w:r>
          </w:p>
        </w:tc>
        <w:tc>
          <w:tcPr>
            <w:tcW w:w="1211" w:type="dxa"/>
          </w:tcPr>
          <w:p w14:paraId="1B69FA44"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Segoe UI Symbol" w:eastAsia="Times New Roman" w:hAnsi="Segoe UI Symbol" w:cs="Segoe UI Symbol"/>
                <w:sz w:val="24"/>
                <w:szCs w:val="24"/>
                <w:lang w:val="en-GB" w:eastAsia="en-GB"/>
              </w:rPr>
              <w:t>✓</w:t>
            </w:r>
          </w:p>
        </w:tc>
        <w:tc>
          <w:tcPr>
            <w:tcW w:w="1397" w:type="dxa"/>
          </w:tcPr>
          <w:p w14:paraId="4BB2BAAD"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Partly</w:t>
            </w:r>
          </w:p>
        </w:tc>
        <w:tc>
          <w:tcPr>
            <w:tcW w:w="1248" w:type="dxa"/>
          </w:tcPr>
          <w:p w14:paraId="22B04CA0"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No/partly</w:t>
            </w:r>
          </w:p>
        </w:tc>
        <w:tc>
          <w:tcPr>
            <w:tcW w:w="1385" w:type="dxa"/>
          </w:tcPr>
          <w:p w14:paraId="60785E6E"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To be developed</w:t>
            </w:r>
          </w:p>
        </w:tc>
        <w:tc>
          <w:tcPr>
            <w:tcW w:w="1558" w:type="dxa"/>
          </w:tcPr>
          <w:p w14:paraId="04CB86AB"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Temporary advantage</w:t>
            </w:r>
          </w:p>
        </w:tc>
      </w:tr>
      <w:tr w:rsidR="00027E3A" w:rsidRPr="003822FD" w14:paraId="4C6180C7" w14:textId="77777777" w:rsidTr="00C02C66">
        <w:tc>
          <w:tcPr>
            <w:tcW w:w="2217" w:type="dxa"/>
          </w:tcPr>
          <w:p w14:paraId="28D413FB"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Human coaching</w:t>
            </w:r>
          </w:p>
        </w:tc>
        <w:tc>
          <w:tcPr>
            <w:tcW w:w="1211" w:type="dxa"/>
          </w:tcPr>
          <w:p w14:paraId="6B0F3C01"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Segoe UI Symbol" w:eastAsia="Times New Roman" w:hAnsi="Segoe UI Symbol" w:cs="Segoe UI Symbol"/>
                <w:sz w:val="24"/>
                <w:szCs w:val="24"/>
                <w:lang w:val="en-GB" w:eastAsia="en-GB"/>
              </w:rPr>
              <w:t>✓</w:t>
            </w:r>
          </w:p>
        </w:tc>
        <w:tc>
          <w:tcPr>
            <w:tcW w:w="1397" w:type="dxa"/>
          </w:tcPr>
          <w:p w14:paraId="427DD891"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No</w:t>
            </w:r>
          </w:p>
        </w:tc>
        <w:tc>
          <w:tcPr>
            <w:tcW w:w="1248" w:type="dxa"/>
          </w:tcPr>
          <w:p w14:paraId="70EA0339"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No</w:t>
            </w:r>
          </w:p>
        </w:tc>
        <w:tc>
          <w:tcPr>
            <w:tcW w:w="1385" w:type="dxa"/>
          </w:tcPr>
          <w:p w14:paraId="5C8A85A9"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Yes</w:t>
            </w:r>
          </w:p>
        </w:tc>
        <w:tc>
          <w:tcPr>
            <w:tcW w:w="1558" w:type="dxa"/>
          </w:tcPr>
          <w:p w14:paraId="49368A39"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Competitive parity</w:t>
            </w:r>
          </w:p>
        </w:tc>
      </w:tr>
      <w:tr w:rsidR="00027E3A" w:rsidRPr="003822FD" w14:paraId="314E1B8A" w14:textId="77777777" w:rsidTr="00C02C66">
        <w:tc>
          <w:tcPr>
            <w:tcW w:w="2217" w:type="dxa"/>
          </w:tcPr>
          <w:p w14:paraId="5396247D"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Integrated physical + digital model</w:t>
            </w:r>
          </w:p>
        </w:tc>
        <w:tc>
          <w:tcPr>
            <w:tcW w:w="1211" w:type="dxa"/>
          </w:tcPr>
          <w:p w14:paraId="4202B337"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Segoe UI Symbol" w:eastAsia="Times New Roman" w:hAnsi="Segoe UI Symbol" w:cs="Segoe UI Symbol"/>
                <w:sz w:val="24"/>
                <w:szCs w:val="24"/>
                <w:lang w:val="en-GB" w:eastAsia="en-GB"/>
              </w:rPr>
              <w:t>✓</w:t>
            </w:r>
          </w:p>
        </w:tc>
        <w:tc>
          <w:tcPr>
            <w:tcW w:w="1397" w:type="dxa"/>
          </w:tcPr>
          <w:p w14:paraId="7CA21CB8"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Potentially</w:t>
            </w:r>
          </w:p>
        </w:tc>
        <w:tc>
          <w:tcPr>
            <w:tcW w:w="1248" w:type="dxa"/>
          </w:tcPr>
          <w:p w14:paraId="7234B394"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Potentially</w:t>
            </w:r>
          </w:p>
        </w:tc>
        <w:tc>
          <w:tcPr>
            <w:tcW w:w="1385" w:type="dxa"/>
          </w:tcPr>
          <w:p w14:paraId="6ADA34F7"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To be developed</w:t>
            </w:r>
          </w:p>
        </w:tc>
        <w:tc>
          <w:tcPr>
            <w:tcW w:w="1558" w:type="dxa"/>
          </w:tcPr>
          <w:p w14:paraId="502EDFD7"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Potential differentiation</w:t>
            </w:r>
          </w:p>
        </w:tc>
      </w:tr>
      <w:tr w:rsidR="00027E3A" w:rsidRPr="003822FD" w14:paraId="06320492" w14:textId="77777777" w:rsidTr="00C02C66">
        <w:tc>
          <w:tcPr>
            <w:tcW w:w="2217" w:type="dxa"/>
          </w:tcPr>
          <w:p w14:paraId="1C834E35"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lastRenderedPageBreak/>
              <w:t>Customer data capability</w:t>
            </w:r>
          </w:p>
        </w:tc>
        <w:tc>
          <w:tcPr>
            <w:tcW w:w="1211" w:type="dxa"/>
          </w:tcPr>
          <w:p w14:paraId="745C0F42"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Segoe UI Symbol" w:eastAsia="Times New Roman" w:hAnsi="Segoe UI Symbol" w:cs="Segoe UI Symbol"/>
                <w:sz w:val="24"/>
                <w:szCs w:val="24"/>
                <w:lang w:val="en-GB" w:eastAsia="en-GB"/>
              </w:rPr>
              <w:t>✓</w:t>
            </w:r>
          </w:p>
        </w:tc>
        <w:tc>
          <w:tcPr>
            <w:tcW w:w="1397" w:type="dxa"/>
          </w:tcPr>
          <w:p w14:paraId="0AC2462C"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Potentially</w:t>
            </w:r>
          </w:p>
        </w:tc>
        <w:tc>
          <w:tcPr>
            <w:tcW w:w="1248" w:type="dxa"/>
          </w:tcPr>
          <w:p w14:paraId="5A0ACEBD"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Potentially</w:t>
            </w:r>
          </w:p>
        </w:tc>
        <w:tc>
          <w:tcPr>
            <w:tcW w:w="1385" w:type="dxa"/>
          </w:tcPr>
          <w:p w14:paraId="6BAA10CF"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Requires governance</w:t>
            </w:r>
          </w:p>
        </w:tc>
        <w:tc>
          <w:tcPr>
            <w:tcW w:w="1558" w:type="dxa"/>
          </w:tcPr>
          <w:p w14:paraId="7653C178"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Potential advantage</w:t>
            </w:r>
          </w:p>
        </w:tc>
      </w:tr>
      <w:tr w:rsidR="00027E3A" w:rsidRPr="003822FD" w14:paraId="344268EE" w14:textId="77777777" w:rsidTr="00C02C66">
        <w:tc>
          <w:tcPr>
            <w:tcW w:w="2217" w:type="dxa"/>
          </w:tcPr>
          <w:p w14:paraId="47E5FEC6"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Local accessibility</w:t>
            </w:r>
          </w:p>
        </w:tc>
        <w:tc>
          <w:tcPr>
            <w:tcW w:w="1211" w:type="dxa"/>
          </w:tcPr>
          <w:p w14:paraId="5D6BD270"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Segoe UI Symbol" w:eastAsia="Times New Roman" w:hAnsi="Segoe UI Symbol" w:cs="Segoe UI Symbol"/>
                <w:sz w:val="24"/>
                <w:szCs w:val="24"/>
                <w:lang w:val="en-GB" w:eastAsia="en-GB"/>
              </w:rPr>
              <w:t>✓</w:t>
            </w:r>
          </w:p>
        </w:tc>
        <w:tc>
          <w:tcPr>
            <w:tcW w:w="1397" w:type="dxa"/>
          </w:tcPr>
          <w:p w14:paraId="0C74EABB"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proofErr w:type="spellStart"/>
            <w:r w:rsidRPr="003822FD">
              <w:rPr>
                <w:rFonts w:ascii="Arial" w:eastAsia="Times New Roman" w:hAnsi="Arial" w:cs="Arial"/>
                <w:sz w:val="24"/>
                <w:szCs w:val="24"/>
                <w:lang w:val="en-GB" w:eastAsia="en-GB"/>
              </w:rPr>
              <w:t>Locationally</w:t>
            </w:r>
            <w:proofErr w:type="spellEnd"/>
          </w:p>
        </w:tc>
        <w:tc>
          <w:tcPr>
            <w:tcW w:w="1248" w:type="dxa"/>
          </w:tcPr>
          <w:p w14:paraId="7C5DCBD1"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Potentially</w:t>
            </w:r>
          </w:p>
        </w:tc>
        <w:tc>
          <w:tcPr>
            <w:tcW w:w="1385" w:type="dxa"/>
          </w:tcPr>
          <w:p w14:paraId="3561007F"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Yes</w:t>
            </w:r>
          </w:p>
        </w:tc>
        <w:tc>
          <w:tcPr>
            <w:tcW w:w="1558" w:type="dxa"/>
          </w:tcPr>
          <w:p w14:paraId="655CCD72"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Local advantage</w:t>
            </w:r>
          </w:p>
        </w:tc>
      </w:tr>
      <w:tr w:rsidR="00027E3A" w:rsidRPr="003822FD" w14:paraId="5BE06CA7" w14:textId="77777777" w:rsidTr="00C02C66">
        <w:tc>
          <w:tcPr>
            <w:tcW w:w="2217" w:type="dxa"/>
          </w:tcPr>
          <w:p w14:paraId="72C0361E"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Qualified trainers</w:t>
            </w:r>
          </w:p>
        </w:tc>
        <w:tc>
          <w:tcPr>
            <w:tcW w:w="1211" w:type="dxa"/>
          </w:tcPr>
          <w:p w14:paraId="52E91DED"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Segoe UI Symbol" w:eastAsia="Times New Roman" w:hAnsi="Segoe UI Symbol" w:cs="Segoe UI Symbol"/>
                <w:sz w:val="24"/>
                <w:szCs w:val="24"/>
                <w:lang w:val="en-GB" w:eastAsia="en-GB"/>
              </w:rPr>
              <w:t>✓</w:t>
            </w:r>
          </w:p>
        </w:tc>
        <w:tc>
          <w:tcPr>
            <w:tcW w:w="1397" w:type="dxa"/>
          </w:tcPr>
          <w:p w14:paraId="542DDED8"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No</w:t>
            </w:r>
          </w:p>
        </w:tc>
        <w:tc>
          <w:tcPr>
            <w:tcW w:w="1248" w:type="dxa"/>
          </w:tcPr>
          <w:p w14:paraId="7ECAE4D3"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No</w:t>
            </w:r>
          </w:p>
        </w:tc>
        <w:tc>
          <w:tcPr>
            <w:tcW w:w="1385" w:type="dxa"/>
          </w:tcPr>
          <w:p w14:paraId="48B9631F"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Yes</w:t>
            </w:r>
          </w:p>
        </w:tc>
        <w:tc>
          <w:tcPr>
            <w:tcW w:w="1558" w:type="dxa"/>
          </w:tcPr>
          <w:p w14:paraId="0B1C6878"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Competitive parity</w:t>
            </w:r>
          </w:p>
        </w:tc>
      </w:tr>
      <w:tr w:rsidR="00027E3A" w:rsidRPr="003822FD" w14:paraId="70D269AB" w14:textId="77777777" w:rsidTr="00C02C66">
        <w:tc>
          <w:tcPr>
            <w:tcW w:w="2217" w:type="dxa"/>
          </w:tcPr>
          <w:p w14:paraId="4BB53130"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Brand reputation</w:t>
            </w:r>
          </w:p>
        </w:tc>
        <w:tc>
          <w:tcPr>
            <w:tcW w:w="1211" w:type="dxa"/>
          </w:tcPr>
          <w:p w14:paraId="012CD535"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New venture</w:t>
            </w:r>
          </w:p>
        </w:tc>
        <w:tc>
          <w:tcPr>
            <w:tcW w:w="1397" w:type="dxa"/>
          </w:tcPr>
          <w:p w14:paraId="2FFC12C5"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No</w:t>
            </w:r>
          </w:p>
        </w:tc>
        <w:tc>
          <w:tcPr>
            <w:tcW w:w="1248" w:type="dxa"/>
          </w:tcPr>
          <w:p w14:paraId="7468D21A"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No</w:t>
            </w:r>
          </w:p>
        </w:tc>
        <w:tc>
          <w:tcPr>
            <w:tcW w:w="1385" w:type="dxa"/>
          </w:tcPr>
          <w:p w14:paraId="7451202C"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Developing</w:t>
            </w:r>
          </w:p>
        </w:tc>
        <w:tc>
          <w:tcPr>
            <w:tcW w:w="1558" w:type="dxa"/>
          </w:tcPr>
          <w:p w14:paraId="674C2FCB"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Weak initially</w:t>
            </w:r>
          </w:p>
        </w:tc>
      </w:tr>
    </w:tbl>
    <w:p w14:paraId="656A7BA5" w14:textId="77777777" w:rsidR="00007561" w:rsidRPr="003822FD" w:rsidRDefault="00007561" w:rsidP="003822FD">
      <w:pPr>
        <w:spacing w:before="240" w:line="360" w:lineRule="auto"/>
        <w:jc w:val="both"/>
        <w:rPr>
          <w:rFonts w:ascii="Arial" w:eastAsia="Times New Roman" w:hAnsi="Arial" w:cs="Arial"/>
          <w:sz w:val="24"/>
          <w:szCs w:val="24"/>
          <w:lang w:val="en-GB" w:eastAsia="en-GB"/>
        </w:rPr>
      </w:pPr>
    </w:p>
    <w:p w14:paraId="52C2630C" w14:textId="15AF1420" w:rsidR="00AE2BB9" w:rsidRPr="003822FD" w:rsidRDefault="00AE2BB9"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 xml:space="preserve">AI-assisted personalisation is useful because it could empower </w:t>
      </w:r>
      <w:proofErr w:type="spellStart"/>
      <w:r w:rsidRPr="003822FD">
        <w:rPr>
          <w:rFonts w:ascii="Arial" w:eastAsia="Times New Roman" w:hAnsi="Arial" w:cs="Arial"/>
          <w:sz w:val="24"/>
          <w:szCs w:val="24"/>
          <w:lang w:val="en-GB" w:eastAsia="en-GB"/>
        </w:rPr>
        <w:t>FitLife</w:t>
      </w:r>
      <w:proofErr w:type="spellEnd"/>
      <w:r w:rsidRPr="003822FD">
        <w:rPr>
          <w:rFonts w:ascii="Arial" w:eastAsia="Times New Roman" w:hAnsi="Arial" w:cs="Arial"/>
          <w:sz w:val="24"/>
          <w:szCs w:val="24"/>
          <w:lang w:val="en-GB" w:eastAsia="en-GB"/>
        </w:rPr>
        <w:t xml:space="preserve"> to scale up their recommendations and progress monitoring. But that's the technology of AI itself that is so widely available that it shouldn't automatically seem rare and difficult to copy. The promise is to be able to merge AI recommendations with the physical gym and coaching with wearables – into one customer experience. Wearable integration can reinforce monitoring and personalisation but is only partially unique due to the emergence of similar connected devices and services compatible with wearables. This means that it's more likely to offer a short-term benefit until </w:t>
      </w:r>
      <w:proofErr w:type="spellStart"/>
      <w:r w:rsidRPr="003822FD">
        <w:rPr>
          <w:rFonts w:ascii="Arial" w:eastAsia="Times New Roman" w:hAnsi="Arial" w:cs="Arial"/>
          <w:sz w:val="24"/>
          <w:szCs w:val="24"/>
          <w:lang w:val="en-GB" w:eastAsia="en-GB"/>
        </w:rPr>
        <w:t>FitLife</w:t>
      </w:r>
      <w:proofErr w:type="spellEnd"/>
      <w:r w:rsidRPr="003822FD">
        <w:rPr>
          <w:rFonts w:ascii="Arial" w:eastAsia="Times New Roman" w:hAnsi="Arial" w:cs="Arial"/>
          <w:sz w:val="24"/>
          <w:szCs w:val="24"/>
          <w:lang w:val="en-GB" w:eastAsia="en-GB"/>
        </w:rPr>
        <w:t xml:space="preserve"> can improve their </w:t>
      </w:r>
      <w:r w:rsidR="00702DCA">
        <w:rPr>
          <w:rFonts w:ascii="Arial" w:eastAsia="Times New Roman" w:hAnsi="Arial" w:cs="Arial"/>
          <w:sz w:val="24"/>
          <w:szCs w:val="24"/>
          <w:lang w:val="en-GB" w:eastAsia="en-GB"/>
        </w:rPr>
        <w:t>integrated customer experience.</w:t>
      </w:r>
    </w:p>
    <w:p w14:paraId="6847D1C3" w14:textId="5BB93C66" w:rsidR="00AE2BB9" w:rsidRPr="003822FD" w:rsidRDefault="00AE2BB9"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There are human coaches and qualified trainers that are valuable, but relatively common in the fitness industry. They are not likely to build a competitive advantage, but they will be more likely to build a competitive parity. But a human and AI-driven recommendation may</w:t>
      </w:r>
      <w:r w:rsidR="00702DCA">
        <w:rPr>
          <w:rFonts w:ascii="Arial" w:eastAsia="Times New Roman" w:hAnsi="Arial" w:cs="Arial"/>
          <w:sz w:val="24"/>
          <w:szCs w:val="24"/>
          <w:lang w:val="en-GB" w:eastAsia="en-GB"/>
        </w:rPr>
        <w:t xml:space="preserve"> provide added strategic value   </w:t>
      </w:r>
      <w:r w:rsidRPr="003822FD">
        <w:rPr>
          <w:rFonts w:ascii="Arial" w:eastAsia="Times New Roman" w:hAnsi="Arial" w:cs="Arial"/>
          <w:sz w:val="24"/>
          <w:szCs w:val="24"/>
          <w:lang w:val="en-GB" w:eastAsia="en-GB"/>
        </w:rPr>
        <w:t>Trusted customer data may be a major asset as customer data capability could become a major asset as accumulated, responsibly managed customer information may support incr</w:t>
      </w:r>
      <w:r w:rsidR="00702DCA">
        <w:rPr>
          <w:rFonts w:ascii="Arial" w:eastAsia="Times New Roman" w:hAnsi="Arial" w:cs="Arial"/>
          <w:sz w:val="24"/>
          <w:szCs w:val="24"/>
          <w:lang w:val="en-GB" w:eastAsia="en-GB"/>
        </w:rPr>
        <w:t>easingly personalised services.</w:t>
      </w:r>
    </w:p>
    <w:p w14:paraId="26471A5B" w14:textId="77777777" w:rsidR="00AE2BB9" w:rsidRPr="003822FD" w:rsidRDefault="00AE2BB9" w:rsidP="003822FD">
      <w:pPr>
        <w:spacing w:before="240" w:line="360" w:lineRule="auto"/>
        <w:jc w:val="both"/>
        <w:rPr>
          <w:rFonts w:ascii="Arial" w:eastAsia="Times New Roman" w:hAnsi="Arial" w:cs="Arial"/>
          <w:sz w:val="24"/>
          <w:szCs w:val="24"/>
          <w:lang w:val="en-GB" w:eastAsia="en-GB"/>
        </w:rPr>
      </w:pPr>
    </w:p>
    <w:p w14:paraId="2101798A" w14:textId="457FE8B2" w:rsidR="00460368" w:rsidRPr="003822FD" w:rsidRDefault="00460368" w:rsidP="003822FD">
      <w:pPr>
        <w:spacing w:before="240" w:line="360" w:lineRule="auto"/>
        <w:jc w:val="both"/>
        <w:rPr>
          <w:rFonts w:ascii="Arial" w:eastAsia="Times New Roman" w:hAnsi="Arial" w:cs="Arial"/>
          <w:sz w:val="24"/>
          <w:szCs w:val="24"/>
          <w:lang w:val="en-GB" w:eastAsia="en-GB"/>
        </w:rPr>
      </w:pPr>
      <w:proofErr w:type="spellStart"/>
      <w:r w:rsidRPr="00460368">
        <w:rPr>
          <w:rFonts w:ascii="Arial" w:eastAsia="Times New Roman" w:hAnsi="Arial" w:cs="Arial"/>
          <w:sz w:val="24"/>
          <w:szCs w:val="24"/>
          <w:lang w:val="en-GB" w:eastAsia="en-GB"/>
        </w:rPr>
        <w:lastRenderedPageBreak/>
        <w:t>FitLife</w:t>
      </w:r>
      <w:proofErr w:type="spellEnd"/>
      <w:r w:rsidRPr="00460368">
        <w:rPr>
          <w:rFonts w:ascii="Arial" w:eastAsia="Times New Roman" w:hAnsi="Arial" w:cs="Arial"/>
          <w:sz w:val="24"/>
          <w:szCs w:val="24"/>
          <w:lang w:val="en-GB" w:eastAsia="en-GB"/>
        </w:rPr>
        <w:t xml:space="preserve"> should not treat AI, wearable technology or qualified trainers as independently sustainable sources of competitive advantage. Instead, the potential advantage lies in combining these resources with customer data, physical facilities, human coaching and digital engagement within an integrated customer experience.</w:t>
      </w:r>
    </w:p>
    <w:p w14:paraId="07D9B230" w14:textId="0B853688" w:rsidR="00AE2BB9" w:rsidRPr="00702DCA" w:rsidRDefault="00AE2BB9" w:rsidP="00702DCA">
      <w:pPr>
        <w:pStyle w:val="Heading2"/>
        <w:rPr>
          <w:rFonts w:eastAsia="Times New Roman"/>
          <w:lang w:val="en-GB" w:eastAsia="en-GB"/>
        </w:rPr>
      </w:pPr>
      <w:bookmarkStart w:id="64" w:name="_Toc239091471"/>
      <w:r w:rsidRPr="003822FD">
        <w:rPr>
          <w:rFonts w:eastAsia="Times New Roman"/>
          <w:lang w:val="en-GB" w:eastAsia="en-GB"/>
        </w:rPr>
        <w:t>7.4 SWOT Analysis</w:t>
      </w:r>
      <w:bookmarkEnd w:id="64"/>
    </w:p>
    <w:p w14:paraId="1BC13314" w14:textId="0CE2BB04" w:rsidR="00167EB0" w:rsidRPr="00167EB0" w:rsidRDefault="00167EB0" w:rsidP="00167EB0">
      <w:pPr>
        <w:spacing w:before="240" w:line="360" w:lineRule="auto"/>
        <w:jc w:val="both"/>
        <w:rPr>
          <w:rFonts w:ascii="Arial" w:eastAsia="Times New Roman" w:hAnsi="Arial" w:cs="Arial"/>
          <w:sz w:val="24"/>
          <w:szCs w:val="24"/>
          <w:lang w:val="en-GB" w:eastAsia="en-GB"/>
        </w:rPr>
      </w:pPr>
      <w:proofErr w:type="spellStart"/>
      <w:r w:rsidRPr="00167EB0">
        <w:rPr>
          <w:rFonts w:ascii="Arial" w:eastAsia="Times New Roman" w:hAnsi="Arial" w:cs="Arial"/>
          <w:sz w:val="24"/>
          <w:szCs w:val="24"/>
          <w:lang w:val="en-GB" w:eastAsia="en-GB"/>
        </w:rPr>
        <w:t>FitLife</w:t>
      </w:r>
      <w:proofErr w:type="spellEnd"/>
      <w:r w:rsidRPr="00167EB0">
        <w:rPr>
          <w:rFonts w:ascii="Arial" w:eastAsia="Times New Roman" w:hAnsi="Arial" w:cs="Arial"/>
          <w:sz w:val="24"/>
          <w:szCs w:val="24"/>
          <w:lang w:val="en-GB" w:eastAsia="en-GB"/>
        </w:rPr>
        <w:t xml:space="preserve"> Smart Gym’s strategic position can be synthesised through a SWOT analysis, bringing together the internal capabilities identified through VRIO and the external conditions established in Chapters 5 and 6. Rather than repeating the detailed market and competitive analysis, the SWOT identifies the factors most relevan</w:t>
      </w:r>
      <w:r>
        <w:rPr>
          <w:rFonts w:ascii="Arial" w:eastAsia="Times New Roman" w:hAnsi="Arial" w:cs="Arial"/>
          <w:sz w:val="24"/>
          <w:szCs w:val="24"/>
          <w:lang w:val="en-GB" w:eastAsia="en-GB"/>
        </w:rPr>
        <w:t>t to strategic decision-making.</w:t>
      </w:r>
    </w:p>
    <w:p w14:paraId="41C8BB5B" w14:textId="1EA5D925" w:rsidR="00167EB0" w:rsidRPr="00167EB0" w:rsidRDefault="00167EB0" w:rsidP="00167EB0">
      <w:pPr>
        <w:spacing w:before="240" w:line="360" w:lineRule="auto"/>
        <w:jc w:val="both"/>
        <w:rPr>
          <w:rFonts w:ascii="Arial" w:eastAsia="Times New Roman" w:hAnsi="Arial" w:cs="Arial"/>
          <w:sz w:val="24"/>
          <w:szCs w:val="24"/>
          <w:lang w:val="en-GB" w:eastAsia="en-GB"/>
        </w:rPr>
      </w:pPr>
      <w:r w:rsidRPr="00167EB0">
        <w:rPr>
          <w:rFonts w:ascii="Arial" w:eastAsia="Times New Roman" w:hAnsi="Arial" w:cs="Arial"/>
          <w:b/>
          <w:sz w:val="24"/>
          <w:szCs w:val="24"/>
          <w:lang w:val="en-GB" w:eastAsia="en-GB"/>
        </w:rPr>
        <w:t>Strengths.</w:t>
      </w:r>
      <w:r w:rsidRPr="00167EB0">
        <w:rPr>
          <w:rFonts w:ascii="Arial" w:eastAsia="Times New Roman" w:hAnsi="Arial" w:cs="Arial"/>
          <w:sz w:val="24"/>
          <w:szCs w:val="24"/>
          <w:lang w:val="en-GB" w:eastAsia="en-GB"/>
        </w:rPr>
        <w:t xml:space="preserve"> </w:t>
      </w:r>
      <w:proofErr w:type="spellStart"/>
      <w:r w:rsidRPr="00167EB0">
        <w:rPr>
          <w:rFonts w:ascii="Arial" w:eastAsia="Times New Roman" w:hAnsi="Arial" w:cs="Arial"/>
          <w:sz w:val="24"/>
          <w:szCs w:val="24"/>
          <w:lang w:val="en-GB" w:eastAsia="en-GB"/>
        </w:rPr>
        <w:t>FitLife’s</w:t>
      </w:r>
      <w:proofErr w:type="spellEnd"/>
      <w:r w:rsidRPr="00167EB0">
        <w:rPr>
          <w:rFonts w:ascii="Arial" w:eastAsia="Times New Roman" w:hAnsi="Arial" w:cs="Arial"/>
          <w:sz w:val="24"/>
          <w:szCs w:val="24"/>
          <w:lang w:val="en-GB" w:eastAsia="en-GB"/>
        </w:rPr>
        <w:t xml:space="preserve"> principal strength is its proposed integration of physical and digital fitness provision. AI-assisted personalisation can support more tailored exercise recommendations, while wearable-supported monitoring can provide customers with greater visibility of their progress. These capabilities are reinforced by qualified human coaching, which can provide accountability and professional oversight. Local accessibility is also strategically important because the proposed model focuses on customers within a realistic </w:t>
      </w:r>
      <w:proofErr w:type="spellStart"/>
      <w:r w:rsidRPr="00167EB0">
        <w:rPr>
          <w:rFonts w:ascii="Arial" w:eastAsia="Times New Roman" w:hAnsi="Arial" w:cs="Arial"/>
          <w:sz w:val="24"/>
          <w:szCs w:val="24"/>
          <w:lang w:val="en-GB" w:eastAsia="en-GB"/>
        </w:rPr>
        <w:t>Levenshulme</w:t>
      </w:r>
      <w:proofErr w:type="spellEnd"/>
      <w:r w:rsidRPr="00167EB0">
        <w:rPr>
          <w:rFonts w:ascii="Arial" w:eastAsia="Times New Roman" w:hAnsi="Arial" w:cs="Arial"/>
          <w:sz w:val="24"/>
          <w:szCs w:val="24"/>
          <w:lang w:val="en-GB" w:eastAsia="en-GB"/>
        </w:rPr>
        <w:t xml:space="preserve"> and surrounding Manchester catchment. Together, these resources provide the foundation for a differentiated customer experience rather than a purely e</w:t>
      </w:r>
      <w:r>
        <w:rPr>
          <w:rFonts w:ascii="Arial" w:eastAsia="Times New Roman" w:hAnsi="Arial" w:cs="Arial"/>
          <w:sz w:val="24"/>
          <w:szCs w:val="24"/>
          <w:lang w:val="en-GB" w:eastAsia="en-GB"/>
        </w:rPr>
        <w:t>quipment-based gym proposition.</w:t>
      </w:r>
    </w:p>
    <w:p w14:paraId="3EBDD54A" w14:textId="33A7C1E4" w:rsidR="00167EB0" w:rsidRPr="00167EB0" w:rsidRDefault="00167EB0" w:rsidP="00167EB0">
      <w:pPr>
        <w:spacing w:before="240" w:line="360" w:lineRule="auto"/>
        <w:jc w:val="both"/>
        <w:rPr>
          <w:rFonts w:ascii="Arial" w:eastAsia="Times New Roman" w:hAnsi="Arial" w:cs="Arial"/>
          <w:sz w:val="24"/>
          <w:szCs w:val="24"/>
          <w:lang w:val="en-GB" w:eastAsia="en-GB"/>
        </w:rPr>
      </w:pPr>
      <w:r w:rsidRPr="00167EB0">
        <w:rPr>
          <w:rFonts w:ascii="Arial" w:eastAsia="Times New Roman" w:hAnsi="Arial" w:cs="Arial"/>
          <w:b/>
          <w:sz w:val="24"/>
          <w:szCs w:val="24"/>
          <w:lang w:val="en-GB" w:eastAsia="en-GB"/>
        </w:rPr>
        <w:t>Weaknesses.</w:t>
      </w:r>
      <w:r w:rsidRPr="00167EB0">
        <w:rPr>
          <w:rFonts w:ascii="Arial" w:eastAsia="Times New Roman" w:hAnsi="Arial" w:cs="Arial"/>
          <w:sz w:val="24"/>
          <w:szCs w:val="24"/>
          <w:lang w:val="en-GB" w:eastAsia="en-GB"/>
        </w:rPr>
        <w:t xml:space="preserve"> As a new venture, </w:t>
      </w:r>
      <w:proofErr w:type="spellStart"/>
      <w:r w:rsidRPr="00167EB0">
        <w:rPr>
          <w:rFonts w:ascii="Arial" w:eastAsia="Times New Roman" w:hAnsi="Arial" w:cs="Arial"/>
          <w:sz w:val="24"/>
          <w:szCs w:val="24"/>
          <w:lang w:val="en-GB" w:eastAsia="en-GB"/>
        </w:rPr>
        <w:t>FitLife</w:t>
      </w:r>
      <w:proofErr w:type="spellEnd"/>
      <w:r w:rsidRPr="00167EB0">
        <w:rPr>
          <w:rFonts w:ascii="Arial" w:eastAsia="Times New Roman" w:hAnsi="Arial" w:cs="Arial"/>
          <w:sz w:val="24"/>
          <w:szCs w:val="24"/>
          <w:lang w:val="en-GB" w:eastAsia="en-GB"/>
        </w:rPr>
        <w:t xml:space="preserve"> will initially lack an established brand reputation and an existing customer base. The proposed technology-enabled model may also require significant investment in AI, app infrastructure, wearable integration and maintenance. Dependence on qualified trainers creates an additional capability requirement, while customer-data governance introduces operational and compliance responsibilities. These weaknesses suggest that the venture should avoid excessive complexity during the initial launch and prioritise capabilities that directl</w:t>
      </w:r>
      <w:r>
        <w:rPr>
          <w:rFonts w:ascii="Arial" w:eastAsia="Times New Roman" w:hAnsi="Arial" w:cs="Arial"/>
          <w:sz w:val="24"/>
          <w:szCs w:val="24"/>
          <w:lang w:val="en-GB" w:eastAsia="en-GB"/>
        </w:rPr>
        <w:t>y contribute to customer value.</w:t>
      </w:r>
    </w:p>
    <w:p w14:paraId="53D9629D" w14:textId="49900911" w:rsidR="00167EB0" w:rsidRPr="00167EB0" w:rsidRDefault="00167EB0" w:rsidP="00167EB0">
      <w:pPr>
        <w:spacing w:before="240" w:line="360" w:lineRule="auto"/>
        <w:jc w:val="both"/>
        <w:rPr>
          <w:rFonts w:ascii="Arial" w:eastAsia="Times New Roman" w:hAnsi="Arial" w:cs="Arial"/>
          <w:sz w:val="24"/>
          <w:szCs w:val="24"/>
          <w:lang w:val="en-GB" w:eastAsia="en-GB"/>
        </w:rPr>
      </w:pPr>
      <w:r w:rsidRPr="00167EB0">
        <w:rPr>
          <w:rFonts w:ascii="Arial" w:eastAsia="Times New Roman" w:hAnsi="Arial" w:cs="Arial"/>
          <w:b/>
          <w:sz w:val="24"/>
          <w:szCs w:val="24"/>
          <w:lang w:val="en-GB" w:eastAsia="en-GB"/>
        </w:rPr>
        <w:t>Opportunities.</w:t>
      </w:r>
      <w:r w:rsidRPr="00167EB0">
        <w:rPr>
          <w:rFonts w:ascii="Arial" w:eastAsia="Times New Roman" w:hAnsi="Arial" w:cs="Arial"/>
          <w:sz w:val="24"/>
          <w:szCs w:val="24"/>
          <w:lang w:val="en-GB" w:eastAsia="en-GB"/>
        </w:rPr>
        <w:t xml:space="preserve"> The growing relevance of digital fitness, wearable technology and personalised exercise creates an opportunity for </w:t>
      </w:r>
      <w:proofErr w:type="spellStart"/>
      <w:r w:rsidRPr="00167EB0">
        <w:rPr>
          <w:rFonts w:ascii="Arial" w:eastAsia="Times New Roman" w:hAnsi="Arial" w:cs="Arial"/>
          <w:sz w:val="24"/>
          <w:szCs w:val="24"/>
          <w:lang w:val="en-GB" w:eastAsia="en-GB"/>
        </w:rPr>
        <w:t>FitLife</w:t>
      </w:r>
      <w:proofErr w:type="spellEnd"/>
      <w:r w:rsidRPr="00167EB0">
        <w:rPr>
          <w:rFonts w:ascii="Arial" w:eastAsia="Times New Roman" w:hAnsi="Arial" w:cs="Arial"/>
          <w:sz w:val="24"/>
          <w:szCs w:val="24"/>
          <w:lang w:val="en-GB" w:eastAsia="en-GB"/>
        </w:rPr>
        <w:t xml:space="preserve"> to combine physical and digital services into a coherent hybrid proposition (ACSM, 2024). The local market opportunity identified in Chapter 5 further supports a focused approach, particularly </w:t>
      </w:r>
      <w:r w:rsidRPr="00167EB0">
        <w:rPr>
          <w:rFonts w:ascii="Arial" w:eastAsia="Times New Roman" w:hAnsi="Arial" w:cs="Arial"/>
          <w:sz w:val="24"/>
          <w:szCs w:val="24"/>
          <w:lang w:val="en-GB" w:eastAsia="en-GB"/>
        </w:rPr>
        <w:lastRenderedPageBreak/>
        <w:t>among customers who value convenience, personalisation and</w:t>
      </w:r>
      <w:r>
        <w:rPr>
          <w:rFonts w:ascii="Arial" w:eastAsia="Times New Roman" w:hAnsi="Arial" w:cs="Arial"/>
          <w:sz w:val="24"/>
          <w:szCs w:val="24"/>
          <w:lang w:val="en-GB" w:eastAsia="en-GB"/>
        </w:rPr>
        <w:t xml:space="preserve"> technology-supported progress.</w:t>
      </w:r>
    </w:p>
    <w:p w14:paraId="4E205B62" w14:textId="79B1E817" w:rsidR="00167EB0" w:rsidRPr="00167EB0" w:rsidRDefault="00167EB0" w:rsidP="00167EB0">
      <w:pPr>
        <w:spacing w:before="240" w:line="360" w:lineRule="auto"/>
        <w:jc w:val="both"/>
        <w:rPr>
          <w:rFonts w:ascii="Arial" w:eastAsia="Times New Roman" w:hAnsi="Arial" w:cs="Arial"/>
          <w:sz w:val="24"/>
          <w:szCs w:val="24"/>
          <w:lang w:val="en-GB" w:eastAsia="en-GB"/>
        </w:rPr>
      </w:pPr>
      <w:r w:rsidRPr="00167EB0">
        <w:rPr>
          <w:rFonts w:ascii="Arial" w:eastAsia="Times New Roman" w:hAnsi="Arial" w:cs="Arial"/>
          <w:b/>
          <w:sz w:val="24"/>
          <w:szCs w:val="24"/>
          <w:lang w:val="en-GB" w:eastAsia="en-GB"/>
        </w:rPr>
        <w:t>Threats.</w:t>
      </w:r>
      <w:r w:rsidRPr="00167EB0">
        <w:rPr>
          <w:rFonts w:ascii="Arial" w:eastAsia="Times New Roman" w:hAnsi="Arial" w:cs="Arial"/>
          <w:sz w:val="24"/>
          <w:szCs w:val="24"/>
          <w:lang w:val="en-GB" w:eastAsia="en-GB"/>
        </w:rPr>
        <w:t xml:space="preserve"> </w:t>
      </w:r>
      <w:proofErr w:type="spellStart"/>
      <w:r w:rsidRPr="00167EB0">
        <w:rPr>
          <w:rFonts w:ascii="Arial" w:eastAsia="Times New Roman" w:hAnsi="Arial" w:cs="Arial"/>
          <w:sz w:val="24"/>
          <w:szCs w:val="24"/>
          <w:lang w:val="en-GB" w:eastAsia="en-GB"/>
        </w:rPr>
        <w:t>FitLife</w:t>
      </w:r>
      <w:proofErr w:type="spellEnd"/>
      <w:r w:rsidRPr="00167EB0">
        <w:rPr>
          <w:rFonts w:ascii="Arial" w:eastAsia="Times New Roman" w:hAnsi="Arial" w:cs="Arial"/>
          <w:sz w:val="24"/>
          <w:szCs w:val="24"/>
          <w:lang w:val="en-GB" w:eastAsia="en-GB"/>
        </w:rPr>
        <w:t xml:space="preserve"> faces established competitors such as </w:t>
      </w:r>
      <w:proofErr w:type="spellStart"/>
      <w:r w:rsidRPr="00167EB0">
        <w:rPr>
          <w:rFonts w:ascii="Arial" w:eastAsia="Times New Roman" w:hAnsi="Arial" w:cs="Arial"/>
          <w:sz w:val="24"/>
          <w:szCs w:val="24"/>
          <w:lang w:val="en-GB" w:eastAsia="en-GB"/>
        </w:rPr>
        <w:t>PureGym</w:t>
      </w:r>
      <w:proofErr w:type="spellEnd"/>
      <w:r w:rsidRPr="00167EB0">
        <w:rPr>
          <w:rFonts w:ascii="Arial" w:eastAsia="Times New Roman" w:hAnsi="Arial" w:cs="Arial"/>
          <w:sz w:val="24"/>
          <w:szCs w:val="24"/>
          <w:lang w:val="en-GB" w:eastAsia="en-GB"/>
        </w:rPr>
        <w:t xml:space="preserve"> and </w:t>
      </w:r>
      <w:proofErr w:type="spellStart"/>
      <w:r w:rsidRPr="00167EB0">
        <w:rPr>
          <w:rFonts w:ascii="Arial" w:eastAsia="Times New Roman" w:hAnsi="Arial" w:cs="Arial"/>
          <w:sz w:val="24"/>
          <w:szCs w:val="24"/>
          <w:lang w:val="en-GB" w:eastAsia="en-GB"/>
        </w:rPr>
        <w:t>Jetts</w:t>
      </w:r>
      <w:proofErr w:type="spellEnd"/>
      <w:r w:rsidRPr="00167EB0">
        <w:rPr>
          <w:rFonts w:ascii="Arial" w:eastAsia="Times New Roman" w:hAnsi="Arial" w:cs="Arial"/>
          <w:sz w:val="24"/>
          <w:szCs w:val="24"/>
          <w:lang w:val="en-GB" w:eastAsia="en-GB"/>
        </w:rPr>
        <w:t>, strong price competition and substitutes including home workouts and free digital fitness content. Economic cost pressures may constrain customers’ willingness to pay, while rapid technological change can increase obsolescence risk. Data protection requirements also create an ong</w:t>
      </w:r>
      <w:r>
        <w:rPr>
          <w:rFonts w:ascii="Arial" w:eastAsia="Times New Roman" w:hAnsi="Arial" w:cs="Arial"/>
          <w:sz w:val="24"/>
          <w:szCs w:val="24"/>
          <w:lang w:val="en-GB" w:eastAsia="en-GB"/>
        </w:rPr>
        <w:t>oing governance responsibility.</w:t>
      </w:r>
    </w:p>
    <w:p w14:paraId="38C28EE9" w14:textId="1C962682" w:rsidR="00C04ACD" w:rsidRPr="003822FD" w:rsidRDefault="00167EB0" w:rsidP="00167EB0">
      <w:pPr>
        <w:spacing w:before="240" w:line="360" w:lineRule="auto"/>
        <w:jc w:val="both"/>
        <w:rPr>
          <w:rFonts w:ascii="Arial" w:eastAsia="Times New Roman" w:hAnsi="Arial" w:cs="Arial"/>
          <w:sz w:val="24"/>
          <w:szCs w:val="24"/>
          <w:lang w:val="en-GB" w:eastAsia="en-GB"/>
        </w:rPr>
      </w:pPr>
      <w:r w:rsidRPr="00167EB0">
        <w:rPr>
          <w:rFonts w:ascii="Arial" w:eastAsia="Times New Roman" w:hAnsi="Arial" w:cs="Arial"/>
          <w:b/>
          <w:sz w:val="24"/>
          <w:szCs w:val="24"/>
          <w:lang w:val="en-GB" w:eastAsia="en-GB"/>
        </w:rPr>
        <w:t>Strategic meaning.</w:t>
      </w:r>
      <w:r w:rsidRPr="00167EB0">
        <w:rPr>
          <w:rFonts w:ascii="Arial" w:eastAsia="Times New Roman" w:hAnsi="Arial" w:cs="Arial"/>
          <w:sz w:val="24"/>
          <w:szCs w:val="24"/>
          <w:lang w:val="en-GB" w:eastAsia="en-GB"/>
        </w:rPr>
        <w:t xml:space="preserve"> Overall, the SWOT indicates that </w:t>
      </w:r>
      <w:proofErr w:type="spellStart"/>
      <w:r w:rsidRPr="00167EB0">
        <w:rPr>
          <w:rFonts w:ascii="Arial" w:eastAsia="Times New Roman" w:hAnsi="Arial" w:cs="Arial"/>
          <w:sz w:val="24"/>
          <w:szCs w:val="24"/>
          <w:lang w:val="en-GB" w:eastAsia="en-GB"/>
        </w:rPr>
        <w:t>FitLife’s</w:t>
      </w:r>
      <w:proofErr w:type="spellEnd"/>
      <w:r w:rsidRPr="00167EB0">
        <w:rPr>
          <w:rFonts w:ascii="Arial" w:eastAsia="Times New Roman" w:hAnsi="Arial" w:cs="Arial"/>
          <w:sz w:val="24"/>
          <w:szCs w:val="24"/>
          <w:lang w:val="en-GB" w:eastAsia="en-GB"/>
        </w:rPr>
        <w:t xml:space="preserve"> strongest strategic route is to exploit its integrated technology-and-human-support capabilities while avoiding direct price competition. However, the strategy remains conditional on controlling technology and staffing costs and demonstrating sufficient customer willingness to adopt and pay for the proposed service. This provides the basis for evaluating alternative strategic options in Section 7.5.</w:t>
      </w:r>
    </w:p>
    <w:p w14:paraId="36434E93" w14:textId="54EBD315" w:rsidR="00C04ACD" w:rsidRPr="00771400" w:rsidRDefault="00C04ACD" w:rsidP="00771400">
      <w:pPr>
        <w:pStyle w:val="Heading2"/>
        <w:rPr>
          <w:rFonts w:eastAsia="Times New Roman"/>
          <w:lang w:val="en-GB" w:eastAsia="en-GB"/>
        </w:rPr>
      </w:pPr>
      <w:bookmarkStart w:id="65" w:name="_Toc239091472"/>
      <w:r w:rsidRPr="003822FD">
        <w:rPr>
          <w:rFonts w:eastAsia="Times New Roman"/>
          <w:lang w:val="en-GB" w:eastAsia="en-GB"/>
        </w:rPr>
        <w:t>7.5 Strategy Selection</w:t>
      </w:r>
      <w:bookmarkEnd w:id="65"/>
    </w:p>
    <w:p w14:paraId="6BB3F196" w14:textId="271F4543" w:rsidR="00661A72" w:rsidRPr="00661A72" w:rsidRDefault="00661A72" w:rsidP="00661A72">
      <w:pPr>
        <w:spacing w:before="240" w:line="360" w:lineRule="auto"/>
        <w:jc w:val="both"/>
        <w:rPr>
          <w:rFonts w:ascii="Arial" w:eastAsia="Times New Roman" w:hAnsi="Arial" w:cs="Arial"/>
          <w:sz w:val="24"/>
          <w:szCs w:val="24"/>
          <w:lang w:val="en-GB" w:eastAsia="en-GB"/>
        </w:rPr>
      </w:pPr>
      <w:proofErr w:type="spellStart"/>
      <w:r w:rsidRPr="00661A72">
        <w:rPr>
          <w:rFonts w:ascii="Arial" w:eastAsia="Times New Roman" w:hAnsi="Arial" w:cs="Arial"/>
          <w:sz w:val="24"/>
          <w:szCs w:val="24"/>
          <w:lang w:val="en-GB" w:eastAsia="en-GB"/>
        </w:rPr>
        <w:t>FitLife’s</w:t>
      </w:r>
      <w:proofErr w:type="spellEnd"/>
      <w:r w:rsidRPr="00661A72">
        <w:rPr>
          <w:rFonts w:ascii="Arial" w:eastAsia="Times New Roman" w:hAnsi="Arial" w:cs="Arial"/>
          <w:sz w:val="24"/>
          <w:szCs w:val="24"/>
          <w:lang w:val="en-GB" w:eastAsia="en-GB"/>
        </w:rPr>
        <w:t xml:space="preserve"> strategic options are evaluated using suitability, feasibility and acceptability, ensuring that the preferred strategy reflects the evidence from Chapters 5 and 6 rather than strategic preference alone. This approach is consistent with research showing that generic strategies can have different performance implications depending on their configuration and competitive context (Lee</w:t>
      </w:r>
      <w:r>
        <w:rPr>
          <w:rFonts w:ascii="Arial" w:eastAsia="Times New Roman" w:hAnsi="Arial" w:cs="Arial"/>
          <w:sz w:val="24"/>
          <w:szCs w:val="24"/>
          <w:lang w:val="en-GB" w:eastAsia="en-GB"/>
        </w:rPr>
        <w:t xml:space="preserve">, </w:t>
      </w:r>
      <w:proofErr w:type="spellStart"/>
      <w:r>
        <w:rPr>
          <w:rFonts w:ascii="Arial" w:eastAsia="Times New Roman" w:hAnsi="Arial" w:cs="Arial"/>
          <w:sz w:val="24"/>
          <w:szCs w:val="24"/>
          <w:lang w:val="en-GB" w:eastAsia="en-GB"/>
        </w:rPr>
        <w:t>Hoehn</w:t>
      </w:r>
      <w:proofErr w:type="spellEnd"/>
      <w:r>
        <w:rPr>
          <w:rFonts w:ascii="Arial" w:eastAsia="Times New Roman" w:hAnsi="Arial" w:cs="Arial"/>
          <w:sz w:val="24"/>
          <w:szCs w:val="24"/>
          <w:lang w:val="en-GB" w:eastAsia="en-GB"/>
        </w:rPr>
        <w:t>-Weiss and Karim, 2021).</w:t>
      </w:r>
    </w:p>
    <w:p w14:paraId="63426C3F" w14:textId="211D6DBF" w:rsidR="00661A72" w:rsidRPr="00661A72" w:rsidRDefault="00661A72" w:rsidP="00661A72">
      <w:pPr>
        <w:pStyle w:val="Caption"/>
        <w:keepNext/>
        <w:rPr>
          <w:rFonts w:ascii="Arial" w:hAnsi="Arial" w:cs="Arial"/>
          <w:sz w:val="24"/>
        </w:rPr>
      </w:pPr>
      <w:bookmarkStart w:id="66" w:name="_Toc239091504"/>
      <w:r w:rsidRPr="00661A72">
        <w:rPr>
          <w:rFonts w:ascii="Arial" w:hAnsi="Arial" w:cs="Arial"/>
          <w:sz w:val="24"/>
        </w:rPr>
        <w:t xml:space="preserve">Table </w:t>
      </w:r>
      <w:r w:rsidRPr="00661A72">
        <w:rPr>
          <w:rFonts w:ascii="Arial" w:hAnsi="Arial" w:cs="Arial"/>
          <w:sz w:val="24"/>
        </w:rPr>
        <w:fldChar w:fldCharType="begin"/>
      </w:r>
      <w:r w:rsidRPr="00661A72">
        <w:rPr>
          <w:rFonts w:ascii="Arial" w:hAnsi="Arial" w:cs="Arial"/>
          <w:sz w:val="24"/>
        </w:rPr>
        <w:instrText xml:space="preserve"> SEQ Table \* ARABIC </w:instrText>
      </w:r>
      <w:r w:rsidRPr="00661A72">
        <w:rPr>
          <w:rFonts w:ascii="Arial" w:hAnsi="Arial" w:cs="Arial"/>
          <w:sz w:val="24"/>
        </w:rPr>
        <w:fldChar w:fldCharType="separate"/>
      </w:r>
      <w:r w:rsidR="00415D83">
        <w:rPr>
          <w:rFonts w:ascii="Arial" w:hAnsi="Arial" w:cs="Arial"/>
          <w:noProof/>
          <w:sz w:val="24"/>
        </w:rPr>
        <w:t>8</w:t>
      </w:r>
      <w:r w:rsidRPr="00661A72">
        <w:rPr>
          <w:rFonts w:ascii="Arial" w:hAnsi="Arial" w:cs="Arial"/>
          <w:sz w:val="24"/>
        </w:rPr>
        <w:fldChar w:fldCharType="end"/>
      </w:r>
      <w:r w:rsidRPr="00661A72">
        <w:rPr>
          <w:rFonts w:ascii="Arial" w:hAnsi="Arial" w:cs="Arial"/>
          <w:sz w:val="24"/>
        </w:rPr>
        <w:t>.Strategy Selection</w:t>
      </w:r>
      <w:bookmarkEnd w:id="66"/>
    </w:p>
    <w:tbl>
      <w:tblPr>
        <w:tblStyle w:val="TableGrid"/>
        <w:tblW w:w="0" w:type="auto"/>
        <w:tblLook w:val="04A0" w:firstRow="1" w:lastRow="0" w:firstColumn="1" w:lastColumn="0" w:noHBand="0" w:noVBand="1"/>
      </w:tblPr>
      <w:tblGrid>
        <w:gridCol w:w="1803"/>
        <w:gridCol w:w="1803"/>
        <w:gridCol w:w="1803"/>
        <w:gridCol w:w="1803"/>
        <w:gridCol w:w="1804"/>
      </w:tblGrid>
      <w:tr w:rsidR="00661A72" w:rsidRPr="00661A72" w14:paraId="27FB66C6" w14:textId="77777777" w:rsidTr="00661A72">
        <w:tc>
          <w:tcPr>
            <w:tcW w:w="1803" w:type="dxa"/>
          </w:tcPr>
          <w:p w14:paraId="6023C27C" w14:textId="77777777" w:rsidR="00661A72" w:rsidRPr="00661A72" w:rsidRDefault="00661A72" w:rsidP="005D00DA">
            <w:pPr>
              <w:spacing w:before="240" w:line="360" w:lineRule="auto"/>
              <w:jc w:val="both"/>
              <w:rPr>
                <w:rFonts w:ascii="Arial" w:eastAsia="Times New Roman" w:hAnsi="Arial" w:cs="Arial"/>
                <w:b/>
                <w:sz w:val="24"/>
                <w:szCs w:val="24"/>
                <w:lang w:val="en-GB" w:eastAsia="en-GB"/>
              </w:rPr>
            </w:pPr>
            <w:r w:rsidRPr="00661A72">
              <w:rPr>
                <w:rFonts w:ascii="Arial" w:eastAsia="Times New Roman" w:hAnsi="Arial" w:cs="Arial"/>
                <w:b/>
                <w:sz w:val="24"/>
                <w:szCs w:val="24"/>
                <w:lang w:val="en-GB" w:eastAsia="en-GB"/>
              </w:rPr>
              <w:t>Strategic option</w:t>
            </w:r>
          </w:p>
        </w:tc>
        <w:tc>
          <w:tcPr>
            <w:tcW w:w="1803" w:type="dxa"/>
          </w:tcPr>
          <w:p w14:paraId="56E8E79D" w14:textId="77777777" w:rsidR="00661A72" w:rsidRPr="00661A72" w:rsidRDefault="00661A72" w:rsidP="005D00DA">
            <w:pPr>
              <w:spacing w:before="240" w:line="360" w:lineRule="auto"/>
              <w:jc w:val="both"/>
              <w:rPr>
                <w:rFonts w:ascii="Arial" w:eastAsia="Times New Roman" w:hAnsi="Arial" w:cs="Arial"/>
                <w:b/>
                <w:sz w:val="24"/>
                <w:szCs w:val="24"/>
                <w:lang w:val="en-GB" w:eastAsia="en-GB"/>
              </w:rPr>
            </w:pPr>
            <w:r w:rsidRPr="00661A72">
              <w:rPr>
                <w:rFonts w:ascii="Arial" w:eastAsia="Times New Roman" w:hAnsi="Arial" w:cs="Arial"/>
                <w:b/>
                <w:sz w:val="24"/>
                <w:szCs w:val="24"/>
                <w:lang w:val="en-GB" w:eastAsia="en-GB"/>
              </w:rPr>
              <w:t>Suitability</w:t>
            </w:r>
          </w:p>
        </w:tc>
        <w:tc>
          <w:tcPr>
            <w:tcW w:w="1803" w:type="dxa"/>
          </w:tcPr>
          <w:p w14:paraId="400A4BCD" w14:textId="77777777" w:rsidR="00661A72" w:rsidRPr="00661A72" w:rsidRDefault="00661A72" w:rsidP="005D00DA">
            <w:pPr>
              <w:spacing w:before="240" w:line="360" w:lineRule="auto"/>
              <w:jc w:val="both"/>
              <w:rPr>
                <w:rFonts w:ascii="Arial" w:eastAsia="Times New Roman" w:hAnsi="Arial" w:cs="Arial"/>
                <w:b/>
                <w:sz w:val="24"/>
                <w:szCs w:val="24"/>
                <w:lang w:val="en-GB" w:eastAsia="en-GB"/>
              </w:rPr>
            </w:pPr>
            <w:r w:rsidRPr="00661A72">
              <w:rPr>
                <w:rFonts w:ascii="Arial" w:eastAsia="Times New Roman" w:hAnsi="Arial" w:cs="Arial"/>
                <w:b/>
                <w:sz w:val="24"/>
                <w:szCs w:val="24"/>
                <w:lang w:val="en-GB" w:eastAsia="en-GB"/>
              </w:rPr>
              <w:t>Feasibility</w:t>
            </w:r>
          </w:p>
        </w:tc>
        <w:tc>
          <w:tcPr>
            <w:tcW w:w="1803" w:type="dxa"/>
          </w:tcPr>
          <w:p w14:paraId="660AC22D" w14:textId="77777777" w:rsidR="00661A72" w:rsidRPr="00661A72" w:rsidRDefault="00661A72" w:rsidP="005D00DA">
            <w:pPr>
              <w:spacing w:before="240" w:line="360" w:lineRule="auto"/>
              <w:jc w:val="both"/>
              <w:rPr>
                <w:rFonts w:ascii="Arial" w:eastAsia="Times New Roman" w:hAnsi="Arial" w:cs="Arial"/>
                <w:b/>
                <w:sz w:val="24"/>
                <w:szCs w:val="24"/>
                <w:lang w:val="en-GB" w:eastAsia="en-GB"/>
              </w:rPr>
            </w:pPr>
            <w:r w:rsidRPr="00661A72">
              <w:rPr>
                <w:rFonts w:ascii="Arial" w:eastAsia="Times New Roman" w:hAnsi="Arial" w:cs="Arial"/>
                <w:b/>
                <w:sz w:val="24"/>
                <w:szCs w:val="24"/>
                <w:lang w:val="en-GB" w:eastAsia="en-GB"/>
              </w:rPr>
              <w:t>Acceptability</w:t>
            </w:r>
          </w:p>
        </w:tc>
        <w:tc>
          <w:tcPr>
            <w:tcW w:w="1804" w:type="dxa"/>
          </w:tcPr>
          <w:p w14:paraId="45C815DC" w14:textId="77777777" w:rsidR="00661A72" w:rsidRPr="00661A72" w:rsidRDefault="00661A72" w:rsidP="005D00DA">
            <w:pPr>
              <w:spacing w:before="240" w:line="360" w:lineRule="auto"/>
              <w:jc w:val="both"/>
              <w:rPr>
                <w:rFonts w:ascii="Arial" w:eastAsia="Times New Roman" w:hAnsi="Arial" w:cs="Arial"/>
                <w:b/>
                <w:sz w:val="24"/>
                <w:szCs w:val="24"/>
                <w:lang w:val="en-GB" w:eastAsia="en-GB"/>
              </w:rPr>
            </w:pPr>
            <w:r w:rsidRPr="00661A72">
              <w:rPr>
                <w:rFonts w:ascii="Arial" w:eastAsia="Times New Roman" w:hAnsi="Arial" w:cs="Arial"/>
                <w:b/>
                <w:sz w:val="24"/>
                <w:szCs w:val="24"/>
                <w:lang w:val="en-GB" w:eastAsia="en-GB"/>
              </w:rPr>
              <w:t>Decision</w:t>
            </w:r>
          </w:p>
        </w:tc>
      </w:tr>
      <w:tr w:rsidR="00661A72" w:rsidRPr="00661A72" w14:paraId="7A42E4C6" w14:textId="77777777" w:rsidTr="00661A72">
        <w:tc>
          <w:tcPr>
            <w:tcW w:w="1803" w:type="dxa"/>
          </w:tcPr>
          <w:p w14:paraId="72A28933" w14:textId="77777777" w:rsidR="00661A72" w:rsidRPr="00661A72" w:rsidRDefault="00661A72" w:rsidP="005D00DA">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Cost leadership</w:t>
            </w:r>
          </w:p>
        </w:tc>
        <w:tc>
          <w:tcPr>
            <w:tcW w:w="1803" w:type="dxa"/>
          </w:tcPr>
          <w:p w14:paraId="60767079" w14:textId="77777777" w:rsidR="00661A72" w:rsidRPr="00661A72" w:rsidRDefault="00661A72" w:rsidP="005D00DA">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Low</w:t>
            </w:r>
          </w:p>
        </w:tc>
        <w:tc>
          <w:tcPr>
            <w:tcW w:w="1803" w:type="dxa"/>
          </w:tcPr>
          <w:p w14:paraId="3AC5B10B" w14:textId="77777777" w:rsidR="00661A72" w:rsidRPr="00661A72" w:rsidRDefault="00661A72" w:rsidP="005D00DA">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Low</w:t>
            </w:r>
          </w:p>
        </w:tc>
        <w:tc>
          <w:tcPr>
            <w:tcW w:w="1803" w:type="dxa"/>
          </w:tcPr>
          <w:p w14:paraId="4D25B9BA" w14:textId="77777777" w:rsidR="00661A72" w:rsidRPr="00661A72" w:rsidRDefault="00661A72" w:rsidP="005D00DA">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Moderate</w:t>
            </w:r>
          </w:p>
        </w:tc>
        <w:tc>
          <w:tcPr>
            <w:tcW w:w="1804" w:type="dxa"/>
          </w:tcPr>
          <w:p w14:paraId="3B530065" w14:textId="77777777" w:rsidR="00661A72" w:rsidRPr="00661A72" w:rsidRDefault="00661A72" w:rsidP="005D00DA">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Reject</w:t>
            </w:r>
          </w:p>
        </w:tc>
      </w:tr>
      <w:tr w:rsidR="00661A72" w:rsidRPr="00661A72" w14:paraId="3D6F6823" w14:textId="77777777" w:rsidTr="00661A72">
        <w:tc>
          <w:tcPr>
            <w:tcW w:w="1803" w:type="dxa"/>
          </w:tcPr>
          <w:p w14:paraId="734F8812" w14:textId="77777777" w:rsidR="00661A72" w:rsidRPr="00661A72" w:rsidRDefault="00661A72" w:rsidP="005D00DA">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Broad differentiation</w:t>
            </w:r>
          </w:p>
        </w:tc>
        <w:tc>
          <w:tcPr>
            <w:tcW w:w="1803" w:type="dxa"/>
          </w:tcPr>
          <w:p w14:paraId="4D241C64" w14:textId="77777777" w:rsidR="00661A72" w:rsidRPr="00661A72" w:rsidRDefault="00661A72" w:rsidP="005D00DA">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Moderate</w:t>
            </w:r>
          </w:p>
        </w:tc>
        <w:tc>
          <w:tcPr>
            <w:tcW w:w="1803" w:type="dxa"/>
          </w:tcPr>
          <w:p w14:paraId="7D61F9EC" w14:textId="77777777" w:rsidR="00661A72" w:rsidRPr="00661A72" w:rsidRDefault="00661A72" w:rsidP="005D00DA">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Moderate/Low</w:t>
            </w:r>
          </w:p>
        </w:tc>
        <w:tc>
          <w:tcPr>
            <w:tcW w:w="1803" w:type="dxa"/>
          </w:tcPr>
          <w:p w14:paraId="32BDCB85" w14:textId="77777777" w:rsidR="00661A72" w:rsidRPr="00661A72" w:rsidRDefault="00661A72" w:rsidP="005D00DA">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Moderate</w:t>
            </w:r>
          </w:p>
        </w:tc>
        <w:tc>
          <w:tcPr>
            <w:tcW w:w="1804" w:type="dxa"/>
          </w:tcPr>
          <w:p w14:paraId="36357FAA" w14:textId="77777777" w:rsidR="00661A72" w:rsidRPr="00661A72" w:rsidRDefault="00661A72" w:rsidP="005D00DA">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Reject</w:t>
            </w:r>
          </w:p>
        </w:tc>
      </w:tr>
      <w:tr w:rsidR="00661A72" w:rsidRPr="00661A72" w14:paraId="7AEA0F60" w14:textId="77777777" w:rsidTr="00661A72">
        <w:tc>
          <w:tcPr>
            <w:tcW w:w="1803" w:type="dxa"/>
          </w:tcPr>
          <w:p w14:paraId="75FAD636" w14:textId="77777777" w:rsidR="00661A72" w:rsidRPr="00661A72" w:rsidRDefault="00661A72" w:rsidP="005D00DA">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Focused differentiation</w:t>
            </w:r>
          </w:p>
        </w:tc>
        <w:tc>
          <w:tcPr>
            <w:tcW w:w="1803" w:type="dxa"/>
          </w:tcPr>
          <w:p w14:paraId="32F8CB1B" w14:textId="77777777" w:rsidR="00661A72" w:rsidRPr="00661A72" w:rsidRDefault="00661A72" w:rsidP="005D00DA">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High</w:t>
            </w:r>
          </w:p>
        </w:tc>
        <w:tc>
          <w:tcPr>
            <w:tcW w:w="1803" w:type="dxa"/>
          </w:tcPr>
          <w:p w14:paraId="0D949D75" w14:textId="77777777" w:rsidR="00661A72" w:rsidRPr="00661A72" w:rsidRDefault="00661A72" w:rsidP="005D00DA">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Conditional</w:t>
            </w:r>
          </w:p>
        </w:tc>
        <w:tc>
          <w:tcPr>
            <w:tcW w:w="1803" w:type="dxa"/>
          </w:tcPr>
          <w:p w14:paraId="19695265" w14:textId="77777777" w:rsidR="00661A72" w:rsidRPr="00661A72" w:rsidRDefault="00661A72" w:rsidP="005D00DA">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High if value is demonstrated</w:t>
            </w:r>
          </w:p>
        </w:tc>
        <w:tc>
          <w:tcPr>
            <w:tcW w:w="1804" w:type="dxa"/>
          </w:tcPr>
          <w:p w14:paraId="788AABB4" w14:textId="77777777" w:rsidR="00661A72" w:rsidRPr="00661A72" w:rsidRDefault="00661A72" w:rsidP="005D00DA">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Select</w:t>
            </w:r>
          </w:p>
        </w:tc>
      </w:tr>
    </w:tbl>
    <w:p w14:paraId="3C3EADDC" w14:textId="053F2D0D" w:rsidR="00661A72" w:rsidRPr="00661A72" w:rsidRDefault="00661A72" w:rsidP="00661A72">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lastRenderedPageBreak/>
        <w:t xml:space="preserve">Cost leadership has low suitability because </w:t>
      </w:r>
      <w:proofErr w:type="spellStart"/>
      <w:r w:rsidRPr="00661A72">
        <w:rPr>
          <w:rFonts w:ascii="Arial" w:eastAsia="Times New Roman" w:hAnsi="Arial" w:cs="Arial"/>
          <w:sz w:val="24"/>
          <w:szCs w:val="24"/>
          <w:lang w:val="en-GB" w:eastAsia="en-GB"/>
        </w:rPr>
        <w:t>FitLife</w:t>
      </w:r>
      <w:proofErr w:type="spellEnd"/>
      <w:r w:rsidRPr="00661A72">
        <w:rPr>
          <w:rFonts w:ascii="Arial" w:eastAsia="Times New Roman" w:hAnsi="Arial" w:cs="Arial"/>
          <w:sz w:val="24"/>
          <w:szCs w:val="24"/>
          <w:lang w:val="en-GB" w:eastAsia="en-GB"/>
        </w:rPr>
        <w:t xml:space="preserve"> would compete against established low-cost providers with greater scale and purchasing advantages. Its proposed combination of AI, wearable integration, physical facilities and qualified coaching also creates additional technology and staffing costs, making sustained low-cost positioning difficult. Recent research cautions that combining cost-focused approaches with other strategic positions can create performance disadvantages when firms lack an underlying cost advantage (Lee</w:t>
      </w:r>
      <w:r w:rsidR="00113FA5">
        <w:rPr>
          <w:rFonts w:ascii="Arial" w:eastAsia="Times New Roman" w:hAnsi="Arial" w:cs="Arial"/>
          <w:sz w:val="24"/>
          <w:szCs w:val="24"/>
          <w:lang w:val="en-GB" w:eastAsia="en-GB"/>
        </w:rPr>
        <w:t xml:space="preserve">, </w:t>
      </w:r>
      <w:proofErr w:type="spellStart"/>
      <w:r w:rsidR="00113FA5">
        <w:rPr>
          <w:rFonts w:ascii="Arial" w:eastAsia="Times New Roman" w:hAnsi="Arial" w:cs="Arial"/>
          <w:sz w:val="24"/>
          <w:szCs w:val="24"/>
          <w:lang w:val="en-GB" w:eastAsia="en-GB"/>
        </w:rPr>
        <w:t>Hoehn</w:t>
      </w:r>
      <w:proofErr w:type="spellEnd"/>
      <w:r w:rsidR="00113FA5">
        <w:rPr>
          <w:rFonts w:ascii="Arial" w:eastAsia="Times New Roman" w:hAnsi="Arial" w:cs="Arial"/>
          <w:sz w:val="24"/>
          <w:szCs w:val="24"/>
          <w:lang w:val="en-GB" w:eastAsia="en-GB"/>
        </w:rPr>
        <w:t>-Weiss and Karim, 2021).</w:t>
      </w:r>
    </w:p>
    <w:p w14:paraId="6F535A88" w14:textId="2F5C6335" w:rsidR="00661A72" w:rsidRPr="00661A72" w:rsidRDefault="00661A72" w:rsidP="00661A72">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Broad differentiation is moderately suitable because technology-enabled personalisation could appeal to a wider Manchester market. However, broad targeting would require greater marketing, customer-acquisition and operational resources, creating feasibility concerns for a new venture. Although wearable technology and mobile exercise applications remain major fitness trends, technology adoption alone does not guarantee customer willingness t</w:t>
      </w:r>
      <w:r w:rsidR="00113FA5">
        <w:rPr>
          <w:rFonts w:ascii="Arial" w:eastAsia="Times New Roman" w:hAnsi="Arial" w:cs="Arial"/>
          <w:sz w:val="24"/>
          <w:szCs w:val="24"/>
          <w:lang w:val="en-GB" w:eastAsia="en-GB"/>
        </w:rPr>
        <w:t>o pay (ACSM, 2025; ACSM, 2026).</w:t>
      </w:r>
    </w:p>
    <w:p w14:paraId="02E17599" w14:textId="05E8915A" w:rsidR="00661A72" w:rsidRPr="00661A72" w:rsidRDefault="00661A72" w:rsidP="00661A72">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 xml:space="preserve">Focused differentiation provides the strongest strategic fit. It allows </w:t>
      </w:r>
      <w:proofErr w:type="spellStart"/>
      <w:r w:rsidRPr="00661A72">
        <w:rPr>
          <w:rFonts w:ascii="Arial" w:eastAsia="Times New Roman" w:hAnsi="Arial" w:cs="Arial"/>
          <w:sz w:val="24"/>
          <w:szCs w:val="24"/>
          <w:lang w:val="en-GB" w:eastAsia="en-GB"/>
        </w:rPr>
        <w:t>FitLife</w:t>
      </w:r>
      <w:proofErr w:type="spellEnd"/>
      <w:r w:rsidRPr="00661A72">
        <w:rPr>
          <w:rFonts w:ascii="Arial" w:eastAsia="Times New Roman" w:hAnsi="Arial" w:cs="Arial"/>
          <w:sz w:val="24"/>
          <w:szCs w:val="24"/>
          <w:lang w:val="en-GB" w:eastAsia="en-GB"/>
        </w:rPr>
        <w:t xml:space="preserve"> to concentrate resources on digitally receptive working-age adults within </w:t>
      </w:r>
      <w:proofErr w:type="spellStart"/>
      <w:r w:rsidRPr="00661A72">
        <w:rPr>
          <w:rFonts w:ascii="Arial" w:eastAsia="Times New Roman" w:hAnsi="Arial" w:cs="Arial"/>
          <w:sz w:val="24"/>
          <w:szCs w:val="24"/>
          <w:lang w:val="en-GB" w:eastAsia="en-GB"/>
        </w:rPr>
        <w:t>Levenshulme</w:t>
      </w:r>
      <w:proofErr w:type="spellEnd"/>
      <w:r w:rsidRPr="00661A72">
        <w:rPr>
          <w:rFonts w:ascii="Arial" w:eastAsia="Times New Roman" w:hAnsi="Arial" w:cs="Arial"/>
          <w:sz w:val="24"/>
          <w:szCs w:val="24"/>
          <w:lang w:val="en-GB" w:eastAsia="en-GB"/>
        </w:rPr>
        <w:t xml:space="preserve"> and its realistic surrounding catchment who value convenience, personalisation, progress monitoring and human support. The strategy is feasible conditionally, depending on willingness to pay, controlled technology costs, qualified trainer availability, cust</w:t>
      </w:r>
      <w:r w:rsidR="00113FA5">
        <w:rPr>
          <w:rFonts w:ascii="Arial" w:eastAsia="Times New Roman" w:hAnsi="Arial" w:cs="Arial"/>
          <w:sz w:val="24"/>
          <w:szCs w:val="24"/>
          <w:lang w:val="en-GB" w:eastAsia="en-GB"/>
        </w:rPr>
        <w:t>omer acquisition and retention.</w:t>
      </w:r>
    </w:p>
    <w:p w14:paraId="0E782C88" w14:textId="40501027" w:rsidR="00C04ACD" w:rsidRDefault="00661A72" w:rsidP="00661A72">
      <w:pPr>
        <w:spacing w:before="240" w:line="360" w:lineRule="auto"/>
        <w:jc w:val="both"/>
        <w:rPr>
          <w:rFonts w:ascii="Arial" w:eastAsia="Times New Roman" w:hAnsi="Arial" w:cs="Arial"/>
          <w:sz w:val="24"/>
          <w:szCs w:val="24"/>
          <w:lang w:val="en-GB" w:eastAsia="en-GB"/>
        </w:rPr>
      </w:pPr>
      <w:r w:rsidRPr="00661A72">
        <w:rPr>
          <w:rFonts w:ascii="Arial" w:eastAsia="Times New Roman" w:hAnsi="Arial" w:cs="Arial"/>
          <w:sz w:val="24"/>
          <w:szCs w:val="24"/>
          <w:lang w:val="en-GB" w:eastAsia="en-GB"/>
        </w:rPr>
        <w:t xml:space="preserve">Strategic decision: </w:t>
      </w:r>
      <w:proofErr w:type="spellStart"/>
      <w:r w:rsidRPr="00661A72">
        <w:rPr>
          <w:rFonts w:ascii="Arial" w:eastAsia="Times New Roman" w:hAnsi="Arial" w:cs="Arial"/>
          <w:sz w:val="24"/>
          <w:szCs w:val="24"/>
          <w:lang w:val="en-GB" w:eastAsia="en-GB"/>
        </w:rPr>
        <w:t>FitLife</w:t>
      </w:r>
      <w:proofErr w:type="spellEnd"/>
      <w:r w:rsidRPr="00661A72">
        <w:rPr>
          <w:rFonts w:ascii="Arial" w:eastAsia="Times New Roman" w:hAnsi="Arial" w:cs="Arial"/>
          <w:sz w:val="24"/>
          <w:szCs w:val="24"/>
          <w:lang w:val="en-GB" w:eastAsia="en-GB"/>
        </w:rPr>
        <w:t xml:space="preserve"> should therefore pursue focused differentiation, using an accessible/mid-market position supported by AI-assisted personalisation, wearable monitoring and qualified human coaching. However, this is a testable strategic proposition rather than a guaranteed competitive advantage. Customer willingness to pay, technology economics, staffing capability and retention should be validated through the financial and implement</w:t>
      </w:r>
      <w:r>
        <w:rPr>
          <w:rFonts w:ascii="Arial" w:eastAsia="Times New Roman" w:hAnsi="Arial" w:cs="Arial"/>
          <w:sz w:val="24"/>
          <w:szCs w:val="24"/>
          <w:lang w:val="en-GB" w:eastAsia="en-GB"/>
        </w:rPr>
        <w:t>ation analysis in Chapters 9–11</w:t>
      </w:r>
      <w:r w:rsidR="00C04ACD" w:rsidRPr="003822FD">
        <w:rPr>
          <w:rFonts w:ascii="Arial" w:eastAsia="Times New Roman" w:hAnsi="Arial" w:cs="Arial"/>
          <w:sz w:val="24"/>
          <w:szCs w:val="24"/>
          <w:lang w:val="en-GB" w:eastAsia="en-GB"/>
        </w:rPr>
        <w:t>.</w:t>
      </w:r>
    </w:p>
    <w:p w14:paraId="3A6D6B33" w14:textId="1C3D13F3" w:rsidR="00BC414F" w:rsidRPr="00BC414F" w:rsidRDefault="00BC414F" w:rsidP="00BC414F">
      <w:pPr>
        <w:pStyle w:val="Heading2"/>
      </w:pPr>
      <w:bookmarkStart w:id="67" w:name="_Toc239091473"/>
      <w:r w:rsidRPr="00BC414F">
        <w:t>7</w:t>
      </w:r>
      <w:r w:rsidRPr="00BC414F">
        <w:rPr>
          <w:rStyle w:val="Heading2Char"/>
          <w:b/>
        </w:rPr>
        <w:t>.6 Strategic Positioning</w:t>
      </w:r>
      <w:bookmarkEnd w:id="67"/>
      <w:r w:rsidRPr="00BC414F">
        <w:t xml:space="preserve"> </w:t>
      </w:r>
    </w:p>
    <w:p w14:paraId="5A889171" w14:textId="12B66370" w:rsidR="00BC414F" w:rsidRPr="003822FD" w:rsidRDefault="00BC414F" w:rsidP="00BC414F">
      <w:pPr>
        <w:spacing w:before="240" w:line="360" w:lineRule="auto"/>
        <w:jc w:val="both"/>
        <w:rPr>
          <w:rFonts w:ascii="Arial" w:eastAsia="Times New Roman" w:hAnsi="Arial" w:cs="Arial"/>
          <w:sz w:val="24"/>
          <w:szCs w:val="24"/>
          <w:lang w:val="en-GB" w:eastAsia="en-GB"/>
        </w:rPr>
      </w:pPr>
      <w:proofErr w:type="spellStart"/>
      <w:r w:rsidRPr="00BC414F">
        <w:rPr>
          <w:rFonts w:ascii="Arial" w:eastAsia="Times New Roman" w:hAnsi="Arial" w:cs="Arial"/>
          <w:sz w:val="24"/>
          <w:szCs w:val="24"/>
          <w:lang w:val="en-GB" w:eastAsia="en-GB"/>
        </w:rPr>
        <w:t>FitLife</w:t>
      </w:r>
      <w:proofErr w:type="spellEnd"/>
      <w:r w:rsidRPr="00BC414F">
        <w:rPr>
          <w:rFonts w:ascii="Arial" w:eastAsia="Times New Roman" w:hAnsi="Arial" w:cs="Arial"/>
          <w:sz w:val="24"/>
          <w:szCs w:val="24"/>
          <w:lang w:val="en-GB" w:eastAsia="en-GB"/>
        </w:rPr>
        <w:t xml:space="preserve"> will adopt an accessible/mid-market positioning rather than competing primarily on the lowest membership price. This reflects the competitive pressure created by established low-cost gyms and </w:t>
      </w:r>
      <w:proofErr w:type="spellStart"/>
      <w:r w:rsidRPr="00BC414F">
        <w:rPr>
          <w:rFonts w:ascii="Arial" w:eastAsia="Times New Roman" w:hAnsi="Arial" w:cs="Arial"/>
          <w:sz w:val="24"/>
          <w:szCs w:val="24"/>
          <w:lang w:val="en-GB" w:eastAsia="en-GB"/>
        </w:rPr>
        <w:t>FitLife’s</w:t>
      </w:r>
      <w:proofErr w:type="spellEnd"/>
      <w:r w:rsidRPr="00BC414F">
        <w:rPr>
          <w:rFonts w:ascii="Arial" w:eastAsia="Times New Roman" w:hAnsi="Arial" w:cs="Arial"/>
          <w:sz w:val="24"/>
          <w:szCs w:val="24"/>
          <w:lang w:val="en-GB" w:eastAsia="en-GB"/>
        </w:rPr>
        <w:t xml:space="preserve"> higher costs associated with technology, equipment and qualified human support. The proposed position combines high personalisation, technology integration and human coaching to create greater </w:t>
      </w:r>
      <w:r w:rsidRPr="00BC414F">
        <w:rPr>
          <w:rFonts w:ascii="Arial" w:eastAsia="Times New Roman" w:hAnsi="Arial" w:cs="Arial"/>
          <w:sz w:val="24"/>
          <w:szCs w:val="24"/>
          <w:lang w:val="en-GB" w:eastAsia="en-GB"/>
        </w:rPr>
        <w:lastRenderedPageBreak/>
        <w:t xml:space="preserve">perceived customer value. AI-assisted recommendations and wearable-supported progress monitoring will be complemented by trainers who provide professional guidance, accountability and oversight. This integrated proposition supports the focused-differentiation strategy selected in Section 7.5. Therefore, </w:t>
      </w:r>
      <w:proofErr w:type="spellStart"/>
      <w:r w:rsidRPr="00BC414F">
        <w:rPr>
          <w:rFonts w:ascii="Arial" w:eastAsia="Times New Roman" w:hAnsi="Arial" w:cs="Arial"/>
          <w:sz w:val="24"/>
          <w:szCs w:val="24"/>
          <w:lang w:val="en-GB" w:eastAsia="en-GB"/>
        </w:rPr>
        <w:t>FitLife</w:t>
      </w:r>
      <w:proofErr w:type="spellEnd"/>
      <w:r w:rsidRPr="00BC414F">
        <w:rPr>
          <w:rFonts w:ascii="Arial" w:eastAsia="Times New Roman" w:hAnsi="Arial" w:cs="Arial"/>
          <w:sz w:val="24"/>
          <w:szCs w:val="24"/>
          <w:lang w:val="en-GB" w:eastAsia="en-GB"/>
        </w:rPr>
        <w:t xml:space="preserve"> will not compete primarily by being the cheapest gym; it will compete by offering greater integrated customer value (Porter, 1985; </w:t>
      </w:r>
      <w:proofErr w:type="spellStart"/>
      <w:r w:rsidRPr="00BC414F">
        <w:rPr>
          <w:rFonts w:ascii="Arial" w:eastAsia="Times New Roman" w:hAnsi="Arial" w:cs="Arial"/>
          <w:sz w:val="24"/>
          <w:szCs w:val="24"/>
          <w:lang w:val="en-GB" w:eastAsia="en-GB"/>
        </w:rPr>
        <w:t>Teece</w:t>
      </w:r>
      <w:proofErr w:type="spellEnd"/>
      <w:r w:rsidRPr="00BC414F">
        <w:rPr>
          <w:rFonts w:ascii="Arial" w:eastAsia="Times New Roman" w:hAnsi="Arial" w:cs="Arial"/>
          <w:sz w:val="24"/>
          <w:szCs w:val="24"/>
          <w:lang w:val="en-GB" w:eastAsia="en-GB"/>
        </w:rPr>
        <w:t>, 2018).</w:t>
      </w:r>
    </w:p>
    <w:p w14:paraId="4B85374B" w14:textId="1A94A525" w:rsidR="00C04ACD" w:rsidRPr="00771400" w:rsidRDefault="00BC414F" w:rsidP="00771400">
      <w:pPr>
        <w:pStyle w:val="Heading2"/>
        <w:rPr>
          <w:rFonts w:eastAsia="Times New Roman"/>
          <w:lang w:val="en-GB" w:eastAsia="en-GB"/>
        </w:rPr>
      </w:pPr>
      <w:bookmarkStart w:id="68" w:name="_Toc239091474"/>
      <w:r>
        <w:rPr>
          <w:rFonts w:eastAsia="Times New Roman"/>
          <w:lang w:val="en-GB" w:eastAsia="en-GB"/>
        </w:rPr>
        <w:t>7.7</w:t>
      </w:r>
      <w:r w:rsidR="00C04ACD" w:rsidRPr="003822FD">
        <w:rPr>
          <w:rFonts w:eastAsia="Times New Roman"/>
          <w:lang w:val="en-GB" w:eastAsia="en-GB"/>
        </w:rPr>
        <w:t xml:space="preserve"> USP and Value Proposition</w:t>
      </w:r>
      <w:bookmarkEnd w:id="68"/>
    </w:p>
    <w:p w14:paraId="760B699C" w14:textId="1EB42726" w:rsidR="007838AA" w:rsidRPr="003822FD" w:rsidRDefault="007B6510" w:rsidP="003822FD">
      <w:pPr>
        <w:spacing w:before="240" w:line="360" w:lineRule="auto"/>
        <w:jc w:val="both"/>
        <w:rPr>
          <w:rFonts w:ascii="Arial" w:eastAsia="Times New Roman" w:hAnsi="Arial" w:cs="Arial"/>
          <w:sz w:val="24"/>
          <w:szCs w:val="24"/>
          <w:lang w:val="en-GB" w:eastAsia="en-GB"/>
        </w:rPr>
      </w:pPr>
      <w:proofErr w:type="spellStart"/>
      <w:r w:rsidRPr="007B6510">
        <w:rPr>
          <w:rFonts w:ascii="Arial" w:eastAsia="Times New Roman" w:hAnsi="Arial" w:cs="Arial"/>
          <w:sz w:val="24"/>
          <w:szCs w:val="24"/>
          <w:lang w:val="en-GB" w:eastAsia="en-GB"/>
        </w:rPr>
        <w:t>FitLife's</w:t>
      </w:r>
      <w:proofErr w:type="spellEnd"/>
      <w:r w:rsidRPr="007B6510">
        <w:rPr>
          <w:rFonts w:ascii="Arial" w:eastAsia="Times New Roman" w:hAnsi="Arial" w:cs="Arial"/>
          <w:sz w:val="24"/>
          <w:szCs w:val="24"/>
          <w:lang w:val="en-GB" w:eastAsia="en-GB"/>
        </w:rPr>
        <w:t xml:space="preserve"> proposed USP is the integration of AI-assisted personalised fitness guidance, wearable-supported progress monitoring and qualified human coaching within a convenient physical and digital fitness experience. </w:t>
      </w:r>
      <w:r w:rsidR="00C04ACD" w:rsidRPr="003822FD">
        <w:rPr>
          <w:rFonts w:ascii="Arial" w:eastAsia="Times New Roman" w:hAnsi="Arial" w:cs="Arial"/>
          <w:sz w:val="24"/>
          <w:szCs w:val="24"/>
          <w:lang w:val="en-GB" w:eastAsia="en-GB"/>
        </w:rPr>
        <w:t>An experience of a smart-gym where the AI technology assists the users with customised fitness tracking, data collection through their wearables and human coaching, all wrapped up in an integrated physical and digital fitness space</w:t>
      </w:r>
    </w:p>
    <w:p w14:paraId="4DC12F56" w14:textId="4EE37A84" w:rsidR="007838AA" w:rsidRPr="003822FD" w:rsidRDefault="007838A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This proposition responds to several customer needs identi</w:t>
      </w:r>
      <w:r w:rsidR="009A0624">
        <w:rPr>
          <w:rFonts w:ascii="Arial" w:eastAsia="Times New Roman" w:hAnsi="Arial" w:cs="Arial"/>
          <w:sz w:val="24"/>
          <w:szCs w:val="24"/>
          <w:lang w:val="en-GB" w:eastAsia="en-GB"/>
        </w:rPr>
        <w:t>fied in the preceding analysis</w:t>
      </w:r>
    </w:p>
    <w:p w14:paraId="4CD3F1DE" w14:textId="3111B898" w:rsidR="00771400" w:rsidRPr="00771400" w:rsidRDefault="00771400" w:rsidP="00771400">
      <w:pPr>
        <w:pStyle w:val="Caption"/>
        <w:keepNext/>
        <w:rPr>
          <w:rFonts w:ascii="Arial" w:hAnsi="Arial" w:cs="Arial"/>
          <w:sz w:val="24"/>
        </w:rPr>
      </w:pPr>
      <w:bookmarkStart w:id="69" w:name="_Toc239091505"/>
      <w:r w:rsidRPr="00771400">
        <w:rPr>
          <w:rFonts w:ascii="Arial" w:hAnsi="Arial" w:cs="Arial"/>
          <w:sz w:val="24"/>
        </w:rPr>
        <w:t xml:space="preserve">Table </w:t>
      </w:r>
      <w:r w:rsidRPr="00771400">
        <w:rPr>
          <w:rFonts w:ascii="Arial" w:hAnsi="Arial" w:cs="Arial"/>
          <w:sz w:val="24"/>
        </w:rPr>
        <w:fldChar w:fldCharType="begin"/>
      </w:r>
      <w:r w:rsidRPr="00771400">
        <w:rPr>
          <w:rFonts w:ascii="Arial" w:hAnsi="Arial" w:cs="Arial"/>
          <w:sz w:val="24"/>
        </w:rPr>
        <w:instrText xml:space="preserve"> SEQ Table \* ARABIC </w:instrText>
      </w:r>
      <w:r w:rsidRPr="00771400">
        <w:rPr>
          <w:rFonts w:ascii="Arial" w:hAnsi="Arial" w:cs="Arial"/>
          <w:sz w:val="24"/>
        </w:rPr>
        <w:fldChar w:fldCharType="separate"/>
      </w:r>
      <w:r w:rsidR="00415D83">
        <w:rPr>
          <w:rFonts w:ascii="Arial" w:hAnsi="Arial" w:cs="Arial"/>
          <w:noProof/>
          <w:sz w:val="24"/>
        </w:rPr>
        <w:t>9</w:t>
      </w:r>
      <w:r w:rsidRPr="00771400">
        <w:rPr>
          <w:rFonts w:ascii="Arial" w:hAnsi="Arial" w:cs="Arial"/>
          <w:sz w:val="24"/>
        </w:rPr>
        <w:fldChar w:fldCharType="end"/>
      </w:r>
      <w:r w:rsidRPr="00771400">
        <w:rPr>
          <w:rFonts w:ascii="Arial" w:hAnsi="Arial" w:cs="Arial"/>
          <w:sz w:val="24"/>
        </w:rPr>
        <w:t>.The preceding analysis</w:t>
      </w:r>
      <w:bookmarkEnd w:id="69"/>
    </w:p>
    <w:tbl>
      <w:tblPr>
        <w:tblStyle w:val="TableGrid"/>
        <w:tblW w:w="0" w:type="auto"/>
        <w:tblLook w:val="04A0" w:firstRow="1" w:lastRow="0" w:firstColumn="1" w:lastColumn="0" w:noHBand="0" w:noVBand="1"/>
      </w:tblPr>
      <w:tblGrid>
        <w:gridCol w:w="3005"/>
        <w:gridCol w:w="3005"/>
        <w:gridCol w:w="3006"/>
      </w:tblGrid>
      <w:tr w:rsidR="00027E3A" w:rsidRPr="003822FD" w14:paraId="79C3C8A6" w14:textId="77777777" w:rsidTr="00027E3A">
        <w:tc>
          <w:tcPr>
            <w:tcW w:w="3005" w:type="dxa"/>
          </w:tcPr>
          <w:p w14:paraId="6486448E" w14:textId="77777777" w:rsidR="00027E3A" w:rsidRPr="009A0624" w:rsidRDefault="00027E3A" w:rsidP="003822FD">
            <w:pPr>
              <w:spacing w:before="240" w:line="360" w:lineRule="auto"/>
              <w:jc w:val="both"/>
              <w:rPr>
                <w:rFonts w:ascii="Arial" w:eastAsia="Times New Roman" w:hAnsi="Arial" w:cs="Arial"/>
                <w:b/>
                <w:sz w:val="24"/>
                <w:szCs w:val="24"/>
                <w:lang w:val="en-GB" w:eastAsia="en-GB"/>
              </w:rPr>
            </w:pPr>
            <w:r w:rsidRPr="009A0624">
              <w:rPr>
                <w:rFonts w:ascii="Arial" w:eastAsia="Times New Roman" w:hAnsi="Arial" w:cs="Arial"/>
                <w:b/>
                <w:sz w:val="24"/>
                <w:szCs w:val="24"/>
                <w:lang w:val="en-GB" w:eastAsia="en-GB"/>
              </w:rPr>
              <w:t>Customer issue</w:t>
            </w:r>
          </w:p>
        </w:tc>
        <w:tc>
          <w:tcPr>
            <w:tcW w:w="3005" w:type="dxa"/>
          </w:tcPr>
          <w:p w14:paraId="0E00F0DA" w14:textId="77777777" w:rsidR="00027E3A" w:rsidRPr="009A0624" w:rsidRDefault="00027E3A" w:rsidP="003822FD">
            <w:pPr>
              <w:spacing w:before="240" w:line="360" w:lineRule="auto"/>
              <w:jc w:val="both"/>
              <w:rPr>
                <w:rFonts w:ascii="Arial" w:eastAsia="Times New Roman" w:hAnsi="Arial" w:cs="Arial"/>
                <w:b/>
                <w:sz w:val="24"/>
                <w:szCs w:val="24"/>
                <w:lang w:val="en-GB" w:eastAsia="en-GB"/>
              </w:rPr>
            </w:pPr>
            <w:proofErr w:type="spellStart"/>
            <w:r w:rsidRPr="009A0624">
              <w:rPr>
                <w:rFonts w:ascii="Arial" w:eastAsia="Times New Roman" w:hAnsi="Arial" w:cs="Arial"/>
                <w:b/>
                <w:sz w:val="24"/>
                <w:szCs w:val="24"/>
                <w:lang w:val="en-GB" w:eastAsia="en-GB"/>
              </w:rPr>
              <w:t>FitLife</w:t>
            </w:r>
            <w:proofErr w:type="spellEnd"/>
            <w:r w:rsidRPr="009A0624">
              <w:rPr>
                <w:rFonts w:ascii="Arial" w:eastAsia="Times New Roman" w:hAnsi="Arial" w:cs="Arial"/>
                <w:b/>
                <w:sz w:val="24"/>
                <w:szCs w:val="24"/>
                <w:lang w:val="en-GB" w:eastAsia="en-GB"/>
              </w:rPr>
              <w:t xml:space="preserve"> response</w:t>
            </w:r>
          </w:p>
        </w:tc>
        <w:tc>
          <w:tcPr>
            <w:tcW w:w="3006" w:type="dxa"/>
          </w:tcPr>
          <w:p w14:paraId="5524A466" w14:textId="77777777" w:rsidR="00027E3A" w:rsidRPr="009A0624" w:rsidRDefault="00027E3A" w:rsidP="003822FD">
            <w:pPr>
              <w:spacing w:before="240" w:line="360" w:lineRule="auto"/>
              <w:jc w:val="both"/>
              <w:rPr>
                <w:rFonts w:ascii="Arial" w:eastAsia="Times New Roman" w:hAnsi="Arial" w:cs="Arial"/>
                <w:b/>
                <w:sz w:val="24"/>
                <w:szCs w:val="24"/>
                <w:lang w:val="en-GB" w:eastAsia="en-GB"/>
              </w:rPr>
            </w:pPr>
            <w:r w:rsidRPr="009A0624">
              <w:rPr>
                <w:rFonts w:ascii="Arial" w:eastAsia="Times New Roman" w:hAnsi="Arial" w:cs="Arial"/>
                <w:b/>
                <w:sz w:val="24"/>
                <w:szCs w:val="24"/>
                <w:lang w:val="en-GB" w:eastAsia="en-GB"/>
              </w:rPr>
              <w:t>Customer benefit</w:t>
            </w:r>
          </w:p>
        </w:tc>
      </w:tr>
      <w:tr w:rsidR="00027E3A" w:rsidRPr="003822FD" w14:paraId="20008F26" w14:textId="77777777" w:rsidTr="00027E3A">
        <w:tc>
          <w:tcPr>
            <w:tcW w:w="3005" w:type="dxa"/>
          </w:tcPr>
          <w:p w14:paraId="66F58236"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Generic workout guidance</w:t>
            </w:r>
          </w:p>
        </w:tc>
        <w:tc>
          <w:tcPr>
            <w:tcW w:w="3005" w:type="dxa"/>
          </w:tcPr>
          <w:p w14:paraId="73913FD5"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AI-assisted personalisation</w:t>
            </w:r>
          </w:p>
        </w:tc>
        <w:tc>
          <w:tcPr>
            <w:tcW w:w="3006" w:type="dxa"/>
          </w:tcPr>
          <w:p w14:paraId="264AD600"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More relevant guidance</w:t>
            </w:r>
          </w:p>
        </w:tc>
      </w:tr>
      <w:tr w:rsidR="00027E3A" w:rsidRPr="003822FD" w14:paraId="0B662F6D" w14:textId="77777777" w:rsidTr="00027E3A">
        <w:tc>
          <w:tcPr>
            <w:tcW w:w="3005" w:type="dxa"/>
          </w:tcPr>
          <w:p w14:paraId="508073C7"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Motivation and consistency problems</w:t>
            </w:r>
          </w:p>
        </w:tc>
        <w:tc>
          <w:tcPr>
            <w:tcW w:w="3005" w:type="dxa"/>
          </w:tcPr>
          <w:p w14:paraId="6AE6845D"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Progress tracking and coaching</w:t>
            </w:r>
          </w:p>
        </w:tc>
        <w:tc>
          <w:tcPr>
            <w:tcW w:w="3006" w:type="dxa"/>
          </w:tcPr>
          <w:p w14:paraId="2870D348"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Greater accountability</w:t>
            </w:r>
          </w:p>
        </w:tc>
      </w:tr>
      <w:tr w:rsidR="00027E3A" w:rsidRPr="003822FD" w14:paraId="572E8A17" w14:textId="77777777" w:rsidTr="00027E3A">
        <w:tc>
          <w:tcPr>
            <w:tcW w:w="3005" w:type="dxa"/>
          </w:tcPr>
          <w:p w14:paraId="6A3619E6"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Fragmented fitness experience</w:t>
            </w:r>
          </w:p>
        </w:tc>
        <w:tc>
          <w:tcPr>
            <w:tcW w:w="3005" w:type="dxa"/>
          </w:tcPr>
          <w:p w14:paraId="388C7A53"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Gym + app + wearable integration</w:t>
            </w:r>
          </w:p>
        </w:tc>
        <w:tc>
          <w:tcPr>
            <w:tcW w:w="3006" w:type="dxa"/>
          </w:tcPr>
          <w:p w14:paraId="003D9FF7"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Greater convenience</w:t>
            </w:r>
          </w:p>
        </w:tc>
      </w:tr>
      <w:tr w:rsidR="00027E3A" w:rsidRPr="003822FD" w14:paraId="0B932C35" w14:textId="77777777" w:rsidTr="00027E3A">
        <w:tc>
          <w:tcPr>
            <w:tcW w:w="3005" w:type="dxa"/>
          </w:tcPr>
          <w:p w14:paraId="2F747983"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Limited human support</w:t>
            </w:r>
          </w:p>
        </w:tc>
        <w:tc>
          <w:tcPr>
            <w:tcW w:w="3005" w:type="dxa"/>
          </w:tcPr>
          <w:p w14:paraId="226660B2"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Qualified trainers</w:t>
            </w:r>
          </w:p>
        </w:tc>
        <w:tc>
          <w:tcPr>
            <w:tcW w:w="3006" w:type="dxa"/>
          </w:tcPr>
          <w:p w14:paraId="4C9858CA"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Trust and professional guidance</w:t>
            </w:r>
          </w:p>
        </w:tc>
      </w:tr>
      <w:tr w:rsidR="00027E3A" w:rsidRPr="003822FD" w14:paraId="5D4DC28D" w14:textId="77777777" w:rsidTr="00027E3A">
        <w:tc>
          <w:tcPr>
            <w:tcW w:w="3005" w:type="dxa"/>
          </w:tcPr>
          <w:p w14:paraId="2813932B"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Difficulty monitoring progress</w:t>
            </w:r>
          </w:p>
        </w:tc>
        <w:tc>
          <w:tcPr>
            <w:tcW w:w="3005" w:type="dxa"/>
          </w:tcPr>
          <w:p w14:paraId="1201AF04"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Wearable integration</w:t>
            </w:r>
          </w:p>
        </w:tc>
        <w:tc>
          <w:tcPr>
            <w:tcW w:w="3006" w:type="dxa"/>
          </w:tcPr>
          <w:p w14:paraId="65A3F07C" w14:textId="77777777" w:rsidR="00027E3A" w:rsidRPr="003822FD" w:rsidRDefault="00027E3A"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Better progress monitoring</w:t>
            </w:r>
          </w:p>
        </w:tc>
      </w:tr>
    </w:tbl>
    <w:p w14:paraId="0312CD0E" w14:textId="4DDFA3CA" w:rsidR="00F927B2" w:rsidRPr="003822FD" w:rsidRDefault="00F927B2"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lastRenderedPageBreak/>
        <w:t xml:space="preserve">The value proposition is therefore that of furnishing personalised, convenient and accountable fitness services, instead of just gym equipment. Customers would be provided with digital guidance and human interactions will be available to complement </w:t>
      </w:r>
      <w:r w:rsidR="009A0624">
        <w:rPr>
          <w:rFonts w:ascii="Arial" w:eastAsia="Times New Roman" w:hAnsi="Arial" w:cs="Arial"/>
          <w:sz w:val="24"/>
          <w:szCs w:val="24"/>
          <w:lang w:val="en-GB" w:eastAsia="en-GB"/>
        </w:rPr>
        <w:t>the technology, not replace it.</w:t>
      </w:r>
    </w:p>
    <w:p w14:paraId="1B026300" w14:textId="2BE0F5BF" w:rsidR="007838AA" w:rsidRPr="003822FD" w:rsidRDefault="00F927B2" w:rsidP="003822FD">
      <w:pPr>
        <w:spacing w:before="240" w:line="360" w:lineRule="auto"/>
        <w:jc w:val="both"/>
        <w:rPr>
          <w:rFonts w:ascii="Arial" w:eastAsia="Times New Roman" w:hAnsi="Arial" w:cs="Arial"/>
          <w:sz w:val="24"/>
          <w:szCs w:val="24"/>
          <w:lang w:val="en-GB" w:eastAsia="en-GB"/>
        </w:rPr>
      </w:pPr>
      <w:r w:rsidRPr="003822FD">
        <w:rPr>
          <w:rFonts w:ascii="Arial" w:eastAsia="Times New Roman" w:hAnsi="Arial" w:cs="Arial"/>
          <w:sz w:val="24"/>
          <w:szCs w:val="24"/>
          <w:lang w:val="en-GB" w:eastAsia="en-GB"/>
        </w:rPr>
        <w:t xml:space="preserve">This separation is a strategic one. AI, wearable and mobile applications are not standalone resources. One of the differentiators for </w:t>
      </w:r>
      <w:proofErr w:type="spellStart"/>
      <w:r w:rsidRPr="003822FD">
        <w:rPr>
          <w:rFonts w:ascii="Arial" w:eastAsia="Times New Roman" w:hAnsi="Arial" w:cs="Arial"/>
          <w:sz w:val="24"/>
          <w:szCs w:val="24"/>
          <w:lang w:val="en-GB" w:eastAsia="en-GB"/>
        </w:rPr>
        <w:t>FitLife</w:t>
      </w:r>
      <w:proofErr w:type="spellEnd"/>
      <w:r w:rsidRPr="003822FD">
        <w:rPr>
          <w:rFonts w:ascii="Arial" w:eastAsia="Times New Roman" w:hAnsi="Arial" w:cs="Arial"/>
          <w:sz w:val="24"/>
          <w:szCs w:val="24"/>
          <w:lang w:val="en-GB" w:eastAsia="en-GB"/>
        </w:rPr>
        <w:t xml:space="preserve"> could be the amalgamation of these components with the physical elements and human coaching within the same customer journey. </w:t>
      </w:r>
    </w:p>
    <w:p w14:paraId="4EBAEB5B" w14:textId="4A04E48D" w:rsidR="00BC414F" w:rsidRPr="00BC414F" w:rsidRDefault="00BC414F" w:rsidP="00BC414F">
      <w:pPr>
        <w:pStyle w:val="Heading2"/>
        <w:rPr>
          <w:rFonts w:eastAsia="Times New Roman"/>
          <w:lang w:val="en-GB" w:eastAsia="en-GB"/>
        </w:rPr>
      </w:pPr>
      <w:bookmarkStart w:id="70" w:name="_Toc239091475"/>
      <w:r w:rsidRPr="00BC414F">
        <w:rPr>
          <w:rFonts w:eastAsia="Times New Roman"/>
          <w:lang w:val="en-GB" w:eastAsia="en-GB"/>
        </w:rPr>
        <w:t>7.8 Competitive Advantage</w:t>
      </w:r>
      <w:bookmarkEnd w:id="70"/>
    </w:p>
    <w:p w14:paraId="090A4620" w14:textId="0FA0C27D" w:rsidR="00BC414F" w:rsidRPr="00BC414F" w:rsidRDefault="00BC414F" w:rsidP="00BC414F">
      <w:pPr>
        <w:spacing w:before="240" w:line="360" w:lineRule="auto"/>
        <w:jc w:val="both"/>
        <w:rPr>
          <w:rFonts w:ascii="Arial" w:eastAsia="Times New Roman" w:hAnsi="Arial" w:cs="Arial"/>
          <w:sz w:val="24"/>
          <w:szCs w:val="24"/>
          <w:lang w:val="en-GB" w:eastAsia="en-GB"/>
        </w:rPr>
      </w:pPr>
      <w:proofErr w:type="spellStart"/>
      <w:r w:rsidRPr="00BC414F">
        <w:rPr>
          <w:rFonts w:ascii="Arial" w:eastAsia="Times New Roman" w:hAnsi="Arial" w:cs="Arial"/>
          <w:sz w:val="24"/>
          <w:szCs w:val="24"/>
          <w:lang w:val="en-GB" w:eastAsia="en-GB"/>
        </w:rPr>
        <w:t>FitLife’s</w:t>
      </w:r>
      <w:proofErr w:type="spellEnd"/>
      <w:r w:rsidRPr="00BC414F">
        <w:rPr>
          <w:rFonts w:ascii="Arial" w:eastAsia="Times New Roman" w:hAnsi="Arial" w:cs="Arial"/>
          <w:sz w:val="24"/>
          <w:szCs w:val="24"/>
          <w:lang w:val="en-GB" w:eastAsia="en-GB"/>
        </w:rPr>
        <w:t xml:space="preserve"> potential competitive advantage should not be attributed automatically to individual resources such as AI, wearable technology or human trainers. AI technology is increasingly accessible, while wearable devices and qualified fitness professionals can also be acquired or imitated by competitors. Therefore, these resources are better understood as valuable but individually insufficient sources of sustainable advantage. The strategic significance arises from how </w:t>
      </w:r>
      <w:proofErr w:type="spellStart"/>
      <w:r w:rsidRPr="00BC414F">
        <w:rPr>
          <w:rFonts w:ascii="Arial" w:eastAsia="Times New Roman" w:hAnsi="Arial" w:cs="Arial"/>
          <w:sz w:val="24"/>
          <w:szCs w:val="24"/>
          <w:lang w:val="en-GB" w:eastAsia="en-GB"/>
        </w:rPr>
        <w:t>FitLife</w:t>
      </w:r>
      <w:proofErr w:type="spellEnd"/>
      <w:r w:rsidRPr="00BC414F">
        <w:rPr>
          <w:rFonts w:ascii="Arial" w:eastAsia="Times New Roman" w:hAnsi="Arial" w:cs="Arial"/>
          <w:sz w:val="24"/>
          <w:szCs w:val="24"/>
          <w:lang w:val="en-GB" w:eastAsia="en-GB"/>
        </w:rPr>
        <w:t xml:space="preserve"> combines them into an </w:t>
      </w:r>
      <w:r>
        <w:rPr>
          <w:rFonts w:ascii="Arial" w:eastAsia="Times New Roman" w:hAnsi="Arial" w:cs="Arial"/>
          <w:sz w:val="24"/>
          <w:szCs w:val="24"/>
          <w:lang w:val="en-GB" w:eastAsia="en-GB"/>
        </w:rPr>
        <w:t>integrated customer experience.</w:t>
      </w:r>
    </w:p>
    <w:p w14:paraId="71BFD338" w14:textId="58C8C387" w:rsidR="00BC414F" w:rsidRPr="00BC414F" w:rsidRDefault="00BC414F" w:rsidP="00BC414F">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AI-assisted personalisation can improve the relevance of exercise recommendations, but AI itself is not necessarily rare or difficult to imitate. Similarly, wearable integration can strengthen progress monitoring but is increasingly available across the fitness market. Human coaching adds accountability, expertise and reassurance, but competing gyms can also employ qualified trainers. Consequently, the stronger potential source of differentiation is the integration of these capabilities within one physi</w:t>
      </w:r>
      <w:r>
        <w:rPr>
          <w:rFonts w:ascii="Arial" w:eastAsia="Times New Roman" w:hAnsi="Arial" w:cs="Arial"/>
          <w:sz w:val="24"/>
          <w:szCs w:val="24"/>
          <w:lang w:val="en-GB" w:eastAsia="en-GB"/>
        </w:rPr>
        <w:t>cal and digital service system.</w:t>
      </w:r>
    </w:p>
    <w:p w14:paraId="77A4A850" w14:textId="368C5D2D" w:rsidR="00BC414F" w:rsidRPr="00BC414F" w:rsidRDefault="00BC414F" w:rsidP="00BC414F">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 xml:space="preserve">This integrated model can potentially create competitive advantage when AI recommendations, wearable-generated information, trainer expertise, customer data and gym-based services operate as complementary elements rather than isolated features. The resulting customer experience may be more difficult to replicate quickly because imitation would require competitors to develop not only technology but also compatible service routines, employee capabilities, customer relationships and supporting data processes (Barney, 1991; </w:t>
      </w:r>
      <w:proofErr w:type="spellStart"/>
      <w:r w:rsidRPr="00BC414F">
        <w:rPr>
          <w:rFonts w:ascii="Arial" w:eastAsia="Times New Roman" w:hAnsi="Arial" w:cs="Arial"/>
          <w:sz w:val="24"/>
          <w:szCs w:val="24"/>
          <w:lang w:val="en-GB" w:eastAsia="en-GB"/>
        </w:rPr>
        <w:t>Teece</w:t>
      </w:r>
      <w:proofErr w:type="spellEnd"/>
      <w:r w:rsidRPr="00BC414F">
        <w:rPr>
          <w:rFonts w:ascii="Arial" w:eastAsia="Times New Roman" w:hAnsi="Arial" w:cs="Arial"/>
          <w:sz w:val="24"/>
          <w:szCs w:val="24"/>
          <w:lang w:val="en-GB" w:eastAsia="en-GB"/>
        </w:rPr>
        <w:t xml:space="preserve">, 2018). However, the advantage </w:t>
      </w:r>
      <w:r w:rsidRPr="00BC414F">
        <w:rPr>
          <w:rFonts w:ascii="Arial" w:eastAsia="Times New Roman" w:hAnsi="Arial" w:cs="Arial"/>
          <w:sz w:val="24"/>
          <w:szCs w:val="24"/>
          <w:lang w:val="en-GB" w:eastAsia="en-GB"/>
        </w:rPr>
        <w:lastRenderedPageBreak/>
        <w:t>should remain described as potential, because competitors may respond and customer percep</w:t>
      </w:r>
      <w:r>
        <w:rPr>
          <w:rFonts w:ascii="Arial" w:eastAsia="Times New Roman" w:hAnsi="Arial" w:cs="Arial"/>
          <w:sz w:val="24"/>
          <w:szCs w:val="24"/>
          <w:lang w:val="en-GB" w:eastAsia="en-GB"/>
        </w:rPr>
        <w:t>tions still require validation.</w:t>
      </w:r>
    </w:p>
    <w:p w14:paraId="0122B237" w14:textId="7F00EB05" w:rsidR="00BC414F" w:rsidRPr="00BC414F" w:rsidRDefault="00BC414F" w:rsidP="00BC414F">
      <w:pPr>
        <w:spacing w:before="240" w:line="360" w:lineRule="auto"/>
        <w:jc w:val="both"/>
        <w:rPr>
          <w:rFonts w:ascii="Arial" w:eastAsia="Times New Roman" w:hAnsi="Arial" w:cs="Arial"/>
          <w:sz w:val="24"/>
          <w:szCs w:val="24"/>
          <w:lang w:val="en-GB" w:eastAsia="en-GB"/>
        </w:rPr>
      </w:pPr>
      <w:proofErr w:type="spellStart"/>
      <w:r w:rsidRPr="00BC414F">
        <w:rPr>
          <w:rFonts w:ascii="Arial" w:eastAsia="Times New Roman" w:hAnsi="Arial" w:cs="Arial"/>
          <w:sz w:val="24"/>
          <w:szCs w:val="24"/>
          <w:lang w:val="en-GB" w:eastAsia="en-GB"/>
        </w:rPr>
        <w:t>FitLife</w:t>
      </w:r>
      <w:proofErr w:type="spellEnd"/>
      <w:r w:rsidRPr="00BC414F">
        <w:rPr>
          <w:rFonts w:ascii="Arial" w:eastAsia="Times New Roman" w:hAnsi="Arial" w:cs="Arial"/>
          <w:sz w:val="24"/>
          <w:szCs w:val="24"/>
          <w:lang w:val="en-GB" w:eastAsia="en-GB"/>
        </w:rPr>
        <w:t xml:space="preserve"> should therefore strengthen this potential advantage through customer-data capability, consistent service routines, trainer expertise, customer relationships, retention and continuous improvement. These mutually reinforcing capabilities can increase the difficulty of imitation over time and support the focused-differentiation st</w:t>
      </w:r>
      <w:r>
        <w:rPr>
          <w:rFonts w:ascii="Arial" w:eastAsia="Times New Roman" w:hAnsi="Arial" w:cs="Arial"/>
          <w:sz w:val="24"/>
          <w:szCs w:val="24"/>
          <w:lang w:val="en-GB" w:eastAsia="en-GB"/>
        </w:rPr>
        <w:t>rategy selected in Section 7.5.</w:t>
      </w:r>
    </w:p>
    <w:p w14:paraId="5D475EC0" w14:textId="1F21CFC3" w:rsidR="00BC414F" w:rsidRPr="00BC414F" w:rsidRDefault="00BC414F" w:rsidP="00BC414F">
      <w:pPr>
        <w:pStyle w:val="Heading2"/>
        <w:rPr>
          <w:rFonts w:eastAsia="Times New Roman"/>
          <w:lang w:val="en-GB" w:eastAsia="en-GB"/>
        </w:rPr>
      </w:pPr>
      <w:bookmarkStart w:id="71" w:name="_Toc239091476"/>
      <w:r w:rsidRPr="00BC414F">
        <w:rPr>
          <w:rFonts w:eastAsia="Times New Roman"/>
          <w:lang w:val="en-GB" w:eastAsia="en-GB"/>
        </w:rPr>
        <w:t>7.9 Key Success Factors</w:t>
      </w:r>
      <w:bookmarkEnd w:id="71"/>
    </w:p>
    <w:p w14:paraId="36B3EEC5" w14:textId="48F726D4" w:rsidR="00BC414F" w:rsidRPr="00BC414F" w:rsidRDefault="00BC414F" w:rsidP="00BC414F">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The strategy depends on five prioritised key success factors. These factors represent strategic priorities rather than resolved assumptions and must be tested through the financial, operational and implementa</w:t>
      </w:r>
      <w:r>
        <w:rPr>
          <w:rFonts w:ascii="Arial" w:eastAsia="Times New Roman" w:hAnsi="Arial" w:cs="Arial"/>
          <w:sz w:val="24"/>
          <w:szCs w:val="24"/>
          <w:lang w:val="en-GB" w:eastAsia="en-GB"/>
        </w:rPr>
        <w:t>tion analysis in Chapters 9–11.</w:t>
      </w:r>
    </w:p>
    <w:p w14:paraId="6B4D188C" w14:textId="4C69F078" w:rsidR="00BC414F" w:rsidRPr="00BC414F" w:rsidRDefault="00BC414F" w:rsidP="00BC414F">
      <w:pPr>
        <w:pStyle w:val="Caption"/>
        <w:keepNext/>
        <w:jc w:val="both"/>
        <w:rPr>
          <w:rFonts w:ascii="Arial" w:hAnsi="Arial" w:cs="Arial"/>
          <w:sz w:val="24"/>
        </w:rPr>
      </w:pPr>
      <w:bookmarkStart w:id="72" w:name="_Toc239091506"/>
      <w:r w:rsidRPr="00BC414F">
        <w:rPr>
          <w:rFonts w:ascii="Arial" w:hAnsi="Arial" w:cs="Arial"/>
          <w:sz w:val="24"/>
        </w:rPr>
        <w:t xml:space="preserve">Table </w:t>
      </w:r>
      <w:r w:rsidRPr="00BC414F">
        <w:rPr>
          <w:rFonts w:ascii="Arial" w:hAnsi="Arial" w:cs="Arial"/>
          <w:sz w:val="24"/>
        </w:rPr>
        <w:fldChar w:fldCharType="begin"/>
      </w:r>
      <w:r w:rsidRPr="00BC414F">
        <w:rPr>
          <w:rFonts w:ascii="Arial" w:hAnsi="Arial" w:cs="Arial"/>
          <w:sz w:val="24"/>
        </w:rPr>
        <w:instrText xml:space="preserve"> SEQ Table \* ARABIC </w:instrText>
      </w:r>
      <w:r w:rsidRPr="00BC414F">
        <w:rPr>
          <w:rFonts w:ascii="Arial" w:hAnsi="Arial" w:cs="Arial"/>
          <w:sz w:val="24"/>
        </w:rPr>
        <w:fldChar w:fldCharType="separate"/>
      </w:r>
      <w:r w:rsidR="00415D83">
        <w:rPr>
          <w:rFonts w:ascii="Arial" w:hAnsi="Arial" w:cs="Arial"/>
          <w:noProof/>
          <w:sz w:val="24"/>
        </w:rPr>
        <w:t>10</w:t>
      </w:r>
      <w:r w:rsidRPr="00BC414F">
        <w:rPr>
          <w:rFonts w:ascii="Arial" w:hAnsi="Arial" w:cs="Arial"/>
          <w:sz w:val="24"/>
        </w:rPr>
        <w:fldChar w:fldCharType="end"/>
      </w:r>
      <w:r w:rsidRPr="00BC414F">
        <w:rPr>
          <w:rFonts w:ascii="Arial" w:hAnsi="Arial" w:cs="Arial"/>
          <w:sz w:val="24"/>
        </w:rPr>
        <w:t>.Key Success Factors</w:t>
      </w:r>
      <w:bookmarkEnd w:id="72"/>
    </w:p>
    <w:tbl>
      <w:tblPr>
        <w:tblStyle w:val="TableGrid"/>
        <w:tblW w:w="0" w:type="auto"/>
        <w:tblLook w:val="04A0" w:firstRow="1" w:lastRow="0" w:firstColumn="1" w:lastColumn="0" w:noHBand="0" w:noVBand="1"/>
      </w:tblPr>
      <w:tblGrid>
        <w:gridCol w:w="2080"/>
        <w:gridCol w:w="2146"/>
        <w:gridCol w:w="2173"/>
        <w:gridCol w:w="2617"/>
      </w:tblGrid>
      <w:tr w:rsidR="00BC414F" w:rsidRPr="00BC414F" w14:paraId="1CDBA5D4" w14:textId="77777777" w:rsidTr="00BC414F">
        <w:tc>
          <w:tcPr>
            <w:tcW w:w="2080" w:type="dxa"/>
          </w:tcPr>
          <w:p w14:paraId="72F02234"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Priority</w:t>
            </w:r>
          </w:p>
        </w:tc>
        <w:tc>
          <w:tcPr>
            <w:tcW w:w="2146" w:type="dxa"/>
          </w:tcPr>
          <w:p w14:paraId="015D154A"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Key success factor</w:t>
            </w:r>
          </w:p>
        </w:tc>
        <w:tc>
          <w:tcPr>
            <w:tcW w:w="2173" w:type="dxa"/>
          </w:tcPr>
          <w:p w14:paraId="6B0656AD"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 xml:space="preserve">How </w:t>
            </w:r>
            <w:proofErr w:type="spellStart"/>
            <w:r w:rsidRPr="00BC414F">
              <w:rPr>
                <w:rFonts w:ascii="Arial" w:eastAsia="Times New Roman" w:hAnsi="Arial" w:cs="Arial"/>
                <w:sz w:val="24"/>
                <w:szCs w:val="24"/>
                <w:lang w:val="en-GB" w:eastAsia="en-GB"/>
              </w:rPr>
              <w:t>FitLife</w:t>
            </w:r>
            <w:proofErr w:type="spellEnd"/>
            <w:r w:rsidRPr="00BC414F">
              <w:rPr>
                <w:rFonts w:ascii="Arial" w:eastAsia="Times New Roman" w:hAnsi="Arial" w:cs="Arial"/>
                <w:sz w:val="24"/>
                <w:szCs w:val="24"/>
                <w:lang w:val="en-GB" w:eastAsia="en-GB"/>
              </w:rPr>
              <w:t xml:space="preserve"> should secure it</w:t>
            </w:r>
          </w:p>
        </w:tc>
        <w:tc>
          <w:tcPr>
            <w:tcW w:w="2617" w:type="dxa"/>
          </w:tcPr>
          <w:p w14:paraId="6D381DC9"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Measure</w:t>
            </w:r>
          </w:p>
        </w:tc>
      </w:tr>
      <w:tr w:rsidR="00BC414F" w:rsidRPr="00BC414F" w14:paraId="2DD71686" w14:textId="77777777" w:rsidTr="00BC414F">
        <w:tc>
          <w:tcPr>
            <w:tcW w:w="2080" w:type="dxa"/>
          </w:tcPr>
          <w:p w14:paraId="31756898"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1</w:t>
            </w:r>
          </w:p>
        </w:tc>
        <w:tc>
          <w:tcPr>
            <w:tcW w:w="2146" w:type="dxa"/>
          </w:tcPr>
          <w:p w14:paraId="003A5A00"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Customer retention</w:t>
            </w:r>
          </w:p>
        </w:tc>
        <w:tc>
          <w:tcPr>
            <w:tcW w:w="2173" w:type="dxa"/>
          </w:tcPr>
          <w:p w14:paraId="599B701D"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Personalised goals, progress tracking and human coaching</w:t>
            </w:r>
          </w:p>
        </w:tc>
        <w:tc>
          <w:tcPr>
            <w:tcW w:w="2617" w:type="dxa"/>
          </w:tcPr>
          <w:p w14:paraId="3B28F8A1"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Retention rate/churn</w:t>
            </w:r>
          </w:p>
        </w:tc>
      </w:tr>
      <w:tr w:rsidR="00BC414F" w:rsidRPr="00BC414F" w14:paraId="5E643F88" w14:textId="77777777" w:rsidTr="00BC414F">
        <w:tc>
          <w:tcPr>
            <w:tcW w:w="2080" w:type="dxa"/>
          </w:tcPr>
          <w:p w14:paraId="2F87EAF2"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2</w:t>
            </w:r>
          </w:p>
        </w:tc>
        <w:tc>
          <w:tcPr>
            <w:tcW w:w="2146" w:type="dxa"/>
          </w:tcPr>
          <w:p w14:paraId="0C4D1EB5"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Technology reliability</w:t>
            </w:r>
          </w:p>
        </w:tc>
        <w:tc>
          <w:tcPr>
            <w:tcW w:w="2173" w:type="dxa"/>
          </w:tcPr>
          <w:p w14:paraId="059FC299"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Testing, maintenance, monitoring and supplier SLAs</w:t>
            </w:r>
          </w:p>
        </w:tc>
        <w:tc>
          <w:tcPr>
            <w:tcW w:w="2617" w:type="dxa"/>
          </w:tcPr>
          <w:p w14:paraId="5CF92DF0"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System uptime/error rate</w:t>
            </w:r>
          </w:p>
        </w:tc>
      </w:tr>
      <w:tr w:rsidR="00BC414F" w:rsidRPr="00BC414F" w14:paraId="515B03A2" w14:textId="77777777" w:rsidTr="00BC414F">
        <w:tc>
          <w:tcPr>
            <w:tcW w:w="2080" w:type="dxa"/>
          </w:tcPr>
          <w:p w14:paraId="46E61B19"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3</w:t>
            </w:r>
          </w:p>
        </w:tc>
        <w:tc>
          <w:tcPr>
            <w:tcW w:w="2146" w:type="dxa"/>
          </w:tcPr>
          <w:p w14:paraId="04AA6DFF"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Value-based pricing</w:t>
            </w:r>
          </w:p>
        </w:tc>
        <w:tc>
          <w:tcPr>
            <w:tcW w:w="2173" w:type="dxa"/>
          </w:tcPr>
          <w:p w14:paraId="194A6FEF"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Tiered membership and systematic price/value testing</w:t>
            </w:r>
          </w:p>
        </w:tc>
        <w:tc>
          <w:tcPr>
            <w:tcW w:w="2617" w:type="dxa"/>
          </w:tcPr>
          <w:p w14:paraId="57B4E250"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Conversion and churn</w:t>
            </w:r>
          </w:p>
        </w:tc>
      </w:tr>
      <w:tr w:rsidR="00BC414F" w:rsidRPr="00BC414F" w14:paraId="0F55F579" w14:textId="77777777" w:rsidTr="00BC414F">
        <w:tc>
          <w:tcPr>
            <w:tcW w:w="2080" w:type="dxa"/>
          </w:tcPr>
          <w:p w14:paraId="2BA73F43"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lastRenderedPageBreak/>
              <w:t>4</w:t>
            </w:r>
          </w:p>
        </w:tc>
        <w:tc>
          <w:tcPr>
            <w:tcW w:w="2146" w:type="dxa"/>
          </w:tcPr>
          <w:p w14:paraId="4A32A5E9"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Qualified trainers</w:t>
            </w:r>
          </w:p>
        </w:tc>
        <w:tc>
          <w:tcPr>
            <w:tcW w:w="2173" w:type="dxa"/>
          </w:tcPr>
          <w:p w14:paraId="1413BACE"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Careful recruitment, training and continuing professional development</w:t>
            </w:r>
          </w:p>
        </w:tc>
        <w:tc>
          <w:tcPr>
            <w:tcW w:w="2617" w:type="dxa"/>
          </w:tcPr>
          <w:p w14:paraId="53F23E89"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Trainer performance/customer feedback</w:t>
            </w:r>
          </w:p>
        </w:tc>
      </w:tr>
      <w:tr w:rsidR="00BC414F" w:rsidRPr="00BC414F" w14:paraId="5C751DE6" w14:textId="77777777" w:rsidTr="00BC414F">
        <w:tc>
          <w:tcPr>
            <w:tcW w:w="2080" w:type="dxa"/>
          </w:tcPr>
          <w:p w14:paraId="6FB6E56A"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5</w:t>
            </w:r>
          </w:p>
        </w:tc>
        <w:tc>
          <w:tcPr>
            <w:tcW w:w="2146" w:type="dxa"/>
          </w:tcPr>
          <w:p w14:paraId="568C1821"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Trust and data privacy</w:t>
            </w:r>
          </w:p>
        </w:tc>
        <w:tc>
          <w:tcPr>
            <w:tcW w:w="2173" w:type="dxa"/>
          </w:tcPr>
          <w:p w14:paraId="5786974F"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Explicit consent, governance, security and transparent data practices</w:t>
            </w:r>
          </w:p>
        </w:tc>
        <w:tc>
          <w:tcPr>
            <w:tcW w:w="2617" w:type="dxa"/>
          </w:tcPr>
          <w:p w14:paraId="61678C10" w14:textId="77777777" w:rsidR="00BC414F" w:rsidRPr="00BC414F" w:rsidRDefault="00BC414F" w:rsidP="006463E4">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Data incidents/complaints</w:t>
            </w:r>
          </w:p>
        </w:tc>
      </w:tr>
    </w:tbl>
    <w:p w14:paraId="6FBE5DB2" w14:textId="77777777" w:rsidR="00BC414F" w:rsidRPr="00BC414F" w:rsidRDefault="00BC414F" w:rsidP="00BC414F">
      <w:pPr>
        <w:spacing w:before="240" w:line="360" w:lineRule="auto"/>
        <w:jc w:val="both"/>
        <w:rPr>
          <w:rFonts w:ascii="Arial" w:eastAsia="Times New Roman" w:hAnsi="Arial" w:cs="Arial"/>
          <w:sz w:val="24"/>
          <w:szCs w:val="24"/>
          <w:lang w:val="en-GB" w:eastAsia="en-GB"/>
        </w:rPr>
      </w:pPr>
    </w:p>
    <w:p w14:paraId="04B5C931" w14:textId="180DBB8A" w:rsidR="00BC414F" w:rsidRPr="00BC414F" w:rsidRDefault="00BC414F" w:rsidP="00BC414F">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 xml:space="preserve">Customer retention is the highest priority because the business model depends on recurring membership revenue. Personalisation, progress monitoring and coaching should therefore be designed to create continuing customer value. Technology reliability is equally important because failures in the app, wearable integration or AI-supported service could undermine customer trust. Value-based pricing must balance customer affordability with </w:t>
      </w:r>
      <w:proofErr w:type="spellStart"/>
      <w:r w:rsidRPr="00BC414F">
        <w:rPr>
          <w:rFonts w:ascii="Arial" w:eastAsia="Times New Roman" w:hAnsi="Arial" w:cs="Arial"/>
          <w:sz w:val="24"/>
          <w:szCs w:val="24"/>
          <w:lang w:val="en-GB" w:eastAsia="en-GB"/>
        </w:rPr>
        <w:t>FitLife’s</w:t>
      </w:r>
      <w:proofErr w:type="spellEnd"/>
      <w:r w:rsidRPr="00BC414F">
        <w:rPr>
          <w:rFonts w:ascii="Arial" w:eastAsia="Times New Roman" w:hAnsi="Arial" w:cs="Arial"/>
          <w:sz w:val="24"/>
          <w:szCs w:val="24"/>
          <w:lang w:val="en-GB" w:eastAsia="en-GB"/>
        </w:rPr>
        <w:t xml:space="preserve"> higher delivery costs, while qualified trainers provide the human oversight necessary to complement technology. Finally, trust and data privacy are essential because the proposed model involves customer and potentia</w:t>
      </w:r>
      <w:r w:rsidR="005829EB">
        <w:rPr>
          <w:rFonts w:ascii="Arial" w:eastAsia="Times New Roman" w:hAnsi="Arial" w:cs="Arial"/>
          <w:sz w:val="24"/>
          <w:szCs w:val="24"/>
          <w:lang w:val="en-GB" w:eastAsia="en-GB"/>
        </w:rPr>
        <w:t>lly health-related information.</w:t>
      </w:r>
    </w:p>
    <w:p w14:paraId="4E84B9A2" w14:textId="465B020D" w:rsidR="007838AA" w:rsidRDefault="00BC414F" w:rsidP="00BC414F">
      <w:pPr>
        <w:spacing w:before="240" w:line="360" w:lineRule="auto"/>
        <w:jc w:val="both"/>
        <w:rPr>
          <w:rFonts w:ascii="Arial" w:eastAsia="Times New Roman" w:hAnsi="Arial" w:cs="Arial"/>
          <w:sz w:val="24"/>
          <w:szCs w:val="24"/>
          <w:lang w:val="en-GB" w:eastAsia="en-GB"/>
        </w:rPr>
      </w:pPr>
      <w:r w:rsidRPr="00BC414F">
        <w:rPr>
          <w:rFonts w:ascii="Arial" w:eastAsia="Times New Roman" w:hAnsi="Arial" w:cs="Arial"/>
          <w:sz w:val="24"/>
          <w:szCs w:val="24"/>
          <w:lang w:val="en-GB" w:eastAsia="en-GB"/>
        </w:rPr>
        <w:t xml:space="preserve">These success factors should not be considered fully established at this stage. Chapter 9 should test pricing and financial viability, Chapter 10 should test operational and resource requirements, and Chapter 11 should test implementation and control mechanisms. This ensures that </w:t>
      </w:r>
      <w:proofErr w:type="spellStart"/>
      <w:r w:rsidRPr="00BC414F">
        <w:rPr>
          <w:rFonts w:ascii="Arial" w:eastAsia="Times New Roman" w:hAnsi="Arial" w:cs="Arial"/>
          <w:sz w:val="24"/>
          <w:szCs w:val="24"/>
          <w:lang w:val="en-GB" w:eastAsia="en-GB"/>
        </w:rPr>
        <w:t>FitLife’s</w:t>
      </w:r>
      <w:proofErr w:type="spellEnd"/>
      <w:r w:rsidRPr="00BC414F">
        <w:rPr>
          <w:rFonts w:ascii="Arial" w:eastAsia="Times New Roman" w:hAnsi="Arial" w:cs="Arial"/>
          <w:sz w:val="24"/>
          <w:szCs w:val="24"/>
          <w:lang w:val="en-GB" w:eastAsia="en-GB"/>
        </w:rPr>
        <w:t xml:space="preserve"> strategic advantage is translated into measurable and operationally achievable outcomes.</w:t>
      </w:r>
    </w:p>
    <w:p w14:paraId="404D5B0D" w14:textId="3DA2F370" w:rsidR="0049422E" w:rsidRDefault="0049422E" w:rsidP="003822FD">
      <w:pPr>
        <w:spacing w:before="240" w:line="360" w:lineRule="auto"/>
        <w:jc w:val="both"/>
        <w:rPr>
          <w:rFonts w:ascii="Arial" w:eastAsia="Times New Roman" w:hAnsi="Arial" w:cs="Arial"/>
          <w:sz w:val="24"/>
          <w:szCs w:val="24"/>
          <w:lang w:val="en-GB" w:eastAsia="en-GB"/>
        </w:rPr>
      </w:pPr>
    </w:p>
    <w:p w14:paraId="7016EFD2" w14:textId="1477F174" w:rsidR="0049422E" w:rsidRDefault="0049422E" w:rsidP="003822FD">
      <w:pPr>
        <w:spacing w:before="240" w:line="360" w:lineRule="auto"/>
        <w:jc w:val="both"/>
        <w:rPr>
          <w:rFonts w:ascii="Arial" w:eastAsia="Times New Roman" w:hAnsi="Arial" w:cs="Arial"/>
          <w:sz w:val="24"/>
          <w:szCs w:val="24"/>
          <w:lang w:val="en-GB" w:eastAsia="en-GB"/>
        </w:rPr>
      </w:pPr>
    </w:p>
    <w:p w14:paraId="6483A59D" w14:textId="520DC544" w:rsidR="0049422E" w:rsidRDefault="0049422E" w:rsidP="003822FD">
      <w:pPr>
        <w:spacing w:before="240" w:line="360" w:lineRule="auto"/>
        <w:jc w:val="both"/>
        <w:rPr>
          <w:rFonts w:ascii="Arial" w:eastAsia="Times New Roman" w:hAnsi="Arial" w:cs="Arial"/>
          <w:sz w:val="24"/>
          <w:szCs w:val="24"/>
          <w:lang w:val="en-GB" w:eastAsia="en-GB"/>
        </w:rPr>
      </w:pPr>
    </w:p>
    <w:p w14:paraId="2267CE38" w14:textId="77777777" w:rsidR="00E04AAD" w:rsidRPr="00E04AAD" w:rsidRDefault="00E04AAD" w:rsidP="00E04AAD">
      <w:pPr>
        <w:pStyle w:val="Heading1"/>
        <w:jc w:val="center"/>
        <w:rPr>
          <w:lang w:val="en-GB" w:eastAsia="en-GB"/>
        </w:rPr>
      </w:pPr>
      <w:bookmarkStart w:id="73" w:name="_Toc239091477"/>
      <w:r w:rsidRPr="00E04AAD">
        <w:rPr>
          <w:lang w:val="en-GB" w:eastAsia="en-GB"/>
        </w:rPr>
        <w:lastRenderedPageBreak/>
        <w:t>Chapter 8 — Business Model Canvas</w:t>
      </w:r>
      <w:bookmarkEnd w:id="73"/>
    </w:p>
    <w:p w14:paraId="6FB33678" w14:textId="772ABB0D" w:rsidR="00E04AAD" w:rsidRPr="00E04AAD" w:rsidRDefault="00E04AAD" w:rsidP="00E04AAD">
      <w:pPr>
        <w:pStyle w:val="Heading2"/>
        <w:rPr>
          <w:lang w:val="en-GB" w:eastAsia="en-GB"/>
        </w:rPr>
      </w:pPr>
      <w:bookmarkStart w:id="74" w:name="_Toc239091478"/>
      <w:r w:rsidRPr="00E04AAD">
        <w:rPr>
          <w:lang w:val="en-GB" w:eastAsia="en-GB"/>
        </w:rPr>
        <w:t>8.1 Model Overview and Strategic Alignment</w:t>
      </w:r>
      <w:bookmarkEnd w:id="74"/>
    </w:p>
    <w:p w14:paraId="5B75B687" w14:textId="10B6BD41" w:rsidR="00E04AAD" w:rsidRPr="00E04AAD" w:rsidRDefault="00E04AAD" w:rsidP="00E04AAD">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 xml:space="preserve">The Business Model Canvas (BMC) translates </w:t>
      </w:r>
      <w:proofErr w:type="spellStart"/>
      <w:r w:rsidRPr="00E04AAD">
        <w:rPr>
          <w:rFonts w:ascii="Arial" w:hAnsi="Arial" w:cs="Arial"/>
          <w:sz w:val="24"/>
          <w:szCs w:val="24"/>
          <w:lang w:val="en-GB" w:eastAsia="en-GB"/>
        </w:rPr>
        <w:t>FitLife</w:t>
      </w:r>
      <w:proofErr w:type="spellEnd"/>
      <w:r w:rsidRPr="00E04AAD">
        <w:rPr>
          <w:rFonts w:ascii="Arial" w:hAnsi="Arial" w:cs="Arial"/>
          <w:sz w:val="24"/>
          <w:szCs w:val="24"/>
          <w:lang w:val="en-GB" w:eastAsia="en-GB"/>
        </w:rPr>
        <w:t xml:space="preserve"> Smart Gym’s focused differentiation strategy into an integrated model of how the venture creates, delivers and captures value. The framework links customer segments and value propositions with channels, relationships, revenue streams, resources, activities, partnerships and costs (</w:t>
      </w:r>
      <w:proofErr w:type="spellStart"/>
      <w:r w:rsidRPr="00E04AAD">
        <w:rPr>
          <w:rFonts w:ascii="Arial" w:hAnsi="Arial" w:cs="Arial"/>
          <w:sz w:val="24"/>
          <w:szCs w:val="24"/>
          <w:lang w:val="en-GB" w:eastAsia="en-GB"/>
        </w:rPr>
        <w:t>Osterwalder</w:t>
      </w:r>
      <w:proofErr w:type="spellEnd"/>
      <w:r w:rsidRPr="00E04AAD">
        <w:rPr>
          <w:rFonts w:ascii="Arial" w:hAnsi="Arial" w:cs="Arial"/>
          <w:sz w:val="24"/>
          <w:szCs w:val="24"/>
          <w:lang w:val="en-GB" w:eastAsia="en-GB"/>
        </w:rPr>
        <w:t xml:space="preserve"> and </w:t>
      </w:r>
      <w:proofErr w:type="spellStart"/>
      <w:r w:rsidRPr="00E04AAD">
        <w:rPr>
          <w:rFonts w:ascii="Arial" w:hAnsi="Arial" w:cs="Arial"/>
          <w:sz w:val="24"/>
          <w:szCs w:val="24"/>
          <w:lang w:val="en-GB" w:eastAsia="en-GB"/>
        </w:rPr>
        <w:t>Pigneur</w:t>
      </w:r>
      <w:proofErr w:type="spellEnd"/>
      <w:r w:rsidRPr="00E04AAD">
        <w:rPr>
          <w:rFonts w:ascii="Arial" w:hAnsi="Arial" w:cs="Arial"/>
          <w:sz w:val="24"/>
          <w:szCs w:val="24"/>
          <w:lang w:val="en-GB" w:eastAsia="en-GB"/>
        </w:rPr>
        <w:t xml:space="preserve">, 2010). For </w:t>
      </w:r>
      <w:proofErr w:type="spellStart"/>
      <w:r w:rsidRPr="00E04AAD">
        <w:rPr>
          <w:rFonts w:ascii="Arial" w:hAnsi="Arial" w:cs="Arial"/>
          <w:sz w:val="24"/>
          <w:szCs w:val="24"/>
          <w:lang w:val="en-GB" w:eastAsia="en-GB"/>
        </w:rPr>
        <w:t>FitLife</w:t>
      </w:r>
      <w:proofErr w:type="spellEnd"/>
      <w:r w:rsidRPr="00E04AAD">
        <w:rPr>
          <w:rFonts w:ascii="Arial" w:hAnsi="Arial" w:cs="Arial"/>
          <w:sz w:val="24"/>
          <w:szCs w:val="24"/>
          <w:lang w:val="en-GB" w:eastAsia="en-GB"/>
        </w:rPr>
        <w:t>, this is particularly important because the proposed model combines a physical gym with AI-assisted personalisation, wearable-supported monitoring and qualified human coaching. Technology is commercially relevant because wearable technology remains the number-one fitness trend for 2026, while data-driven technology continues to feature prominently i</w:t>
      </w:r>
      <w:r>
        <w:rPr>
          <w:rFonts w:ascii="Arial" w:hAnsi="Arial" w:cs="Arial"/>
          <w:sz w:val="24"/>
          <w:szCs w:val="24"/>
          <w:lang w:val="en-GB" w:eastAsia="en-GB"/>
        </w:rPr>
        <w:t>n industry trends (ACSM, 2025).</w:t>
      </w:r>
    </w:p>
    <w:p w14:paraId="6150AA20" w14:textId="6CE4BFC6" w:rsidR="00E04AAD" w:rsidRPr="00E04AAD" w:rsidRDefault="00E04AAD" w:rsidP="00E04AAD">
      <w:pPr>
        <w:pStyle w:val="Heading2"/>
        <w:rPr>
          <w:lang w:val="en-GB" w:eastAsia="en-GB"/>
        </w:rPr>
      </w:pPr>
      <w:bookmarkStart w:id="75" w:name="_Toc239091479"/>
      <w:r w:rsidRPr="00E04AAD">
        <w:rPr>
          <w:lang w:val="en-GB" w:eastAsia="en-GB"/>
        </w:rPr>
        <w:t>8.2 Customer</w:t>
      </w:r>
      <w:r>
        <w:rPr>
          <w:lang w:val="en-GB" w:eastAsia="en-GB"/>
        </w:rPr>
        <w:t xml:space="preserve"> Segments and Value Proposition</w:t>
      </w:r>
      <w:bookmarkEnd w:id="75"/>
    </w:p>
    <w:p w14:paraId="5ACEB28C" w14:textId="1A867884" w:rsidR="00E04AAD" w:rsidRPr="00E04AAD" w:rsidRDefault="00E04AAD" w:rsidP="00E04AAD">
      <w:pPr>
        <w:spacing w:before="240" w:line="360" w:lineRule="auto"/>
        <w:jc w:val="both"/>
        <w:rPr>
          <w:rFonts w:ascii="Arial" w:hAnsi="Arial" w:cs="Arial"/>
          <w:sz w:val="24"/>
          <w:szCs w:val="24"/>
          <w:lang w:val="en-GB" w:eastAsia="en-GB"/>
        </w:rPr>
      </w:pPr>
      <w:proofErr w:type="spellStart"/>
      <w:r w:rsidRPr="00E04AAD">
        <w:rPr>
          <w:rFonts w:ascii="Arial" w:hAnsi="Arial" w:cs="Arial"/>
          <w:sz w:val="24"/>
          <w:szCs w:val="24"/>
          <w:lang w:val="en-GB" w:eastAsia="en-GB"/>
        </w:rPr>
        <w:t>FitLife’s</w:t>
      </w:r>
      <w:proofErr w:type="spellEnd"/>
      <w:r w:rsidRPr="00E04AAD">
        <w:rPr>
          <w:rFonts w:ascii="Arial" w:hAnsi="Arial" w:cs="Arial"/>
          <w:sz w:val="24"/>
          <w:szCs w:val="24"/>
          <w:lang w:val="en-GB" w:eastAsia="en-GB"/>
        </w:rPr>
        <w:t xml:space="preserve"> primary customer segment is adults approximately 20–34 years old living in </w:t>
      </w:r>
      <w:proofErr w:type="spellStart"/>
      <w:r w:rsidRPr="00E04AAD">
        <w:rPr>
          <w:rFonts w:ascii="Arial" w:hAnsi="Arial" w:cs="Arial"/>
          <w:sz w:val="24"/>
          <w:szCs w:val="24"/>
          <w:lang w:val="en-GB" w:eastAsia="en-GB"/>
        </w:rPr>
        <w:t>Levenshulme</w:t>
      </w:r>
      <w:proofErr w:type="spellEnd"/>
      <w:r w:rsidRPr="00E04AAD">
        <w:rPr>
          <w:rFonts w:ascii="Arial" w:hAnsi="Arial" w:cs="Arial"/>
          <w:sz w:val="24"/>
          <w:szCs w:val="24"/>
          <w:lang w:val="en-GB" w:eastAsia="en-GB"/>
        </w:rPr>
        <w:t xml:space="preserve"> and realistically accessible neighbouring Manchester catchments who are fitness-oriented or seeking regular exercise, digitally receptive, interested in personalised guidance and progress monitoring, and able to allocate discretionary income to an accessible/mid-market membership. This segment is therefore defined geographically, demographically, behaviourally and by affordability rather than simply as “digitally savvy working-age adults”. The segment is also consistent with evidence that fitness-app users tend to be younger and urban, although </w:t>
      </w:r>
      <w:proofErr w:type="spellStart"/>
      <w:r w:rsidRPr="00E04AAD">
        <w:rPr>
          <w:rFonts w:ascii="Arial" w:hAnsi="Arial" w:cs="Arial"/>
          <w:sz w:val="24"/>
          <w:szCs w:val="24"/>
          <w:lang w:val="en-GB" w:eastAsia="en-GB"/>
        </w:rPr>
        <w:t>Levenshulme</w:t>
      </w:r>
      <w:proofErr w:type="spellEnd"/>
      <w:r w:rsidRPr="00E04AAD">
        <w:rPr>
          <w:rFonts w:ascii="Arial" w:hAnsi="Arial" w:cs="Arial"/>
          <w:sz w:val="24"/>
          <w:szCs w:val="24"/>
          <w:lang w:val="en-GB" w:eastAsia="en-GB"/>
        </w:rPr>
        <w:t xml:space="preserve">-specific willingness to pay and AI adoption remain assumptions requiring validation (ACSM, 2026). A secondary segment could include older digitally receptive adults seeking greater personalisation, but this should not dilute </w:t>
      </w:r>
      <w:r>
        <w:rPr>
          <w:rFonts w:ascii="Arial" w:hAnsi="Arial" w:cs="Arial"/>
          <w:sz w:val="24"/>
          <w:szCs w:val="24"/>
          <w:lang w:val="en-GB" w:eastAsia="en-GB"/>
        </w:rPr>
        <w:t>the initial targeting strategy.</w:t>
      </w:r>
    </w:p>
    <w:p w14:paraId="32A587C8" w14:textId="5B86E10B" w:rsidR="00E04AAD" w:rsidRPr="00E04AAD" w:rsidRDefault="00E04AAD" w:rsidP="00E04AAD">
      <w:pPr>
        <w:spacing w:before="240" w:line="360" w:lineRule="auto"/>
        <w:jc w:val="both"/>
        <w:rPr>
          <w:rFonts w:ascii="Arial" w:hAnsi="Arial" w:cs="Arial"/>
          <w:sz w:val="24"/>
          <w:szCs w:val="24"/>
          <w:lang w:val="en-GB" w:eastAsia="en-GB"/>
        </w:rPr>
      </w:pPr>
      <w:proofErr w:type="spellStart"/>
      <w:r w:rsidRPr="00E04AAD">
        <w:rPr>
          <w:rFonts w:ascii="Arial" w:hAnsi="Arial" w:cs="Arial"/>
          <w:sz w:val="24"/>
          <w:szCs w:val="24"/>
          <w:lang w:val="en-GB" w:eastAsia="en-GB"/>
        </w:rPr>
        <w:t>FitLife’s</w:t>
      </w:r>
      <w:proofErr w:type="spellEnd"/>
      <w:r w:rsidRPr="00E04AAD">
        <w:rPr>
          <w:rFonts w:ascii="Arial" w:hAnsi="Arial" w:cs="Arial"/>
          <w:sz w:val="24"/>
          <w:szCs w:val="24"/>
          <w:lang w:val="en-GB" w:eastAsia="en-GB"/>
        </w:rPr>
        <w:t xml:space="preserve"> value proposition addresses the potential limitations of generic gym access and fragmented fitness support. Customers receive physical gym access combined with AI-assisted recommendations, wearable integration, progress monitoring, qualified trainer support and digital engagement. The resulting benefits are greater personalisation, convenience, accountability and measurable progress. Importantly, the proposition is not technology for its own sake. AI and wearable data support personalisation, while trainers interpret information, provide accountability and </w:t>
      </w:r>
      <w:r w:rsidRPr="00E04AAD">
        <w:rPr>
          <w:rFonts w:ascii="Arial" w:hAnsi="Arial" w:cs="Arial"/>
          <w:sz w:val="24"/>
          <w:szCs w:val="24"/>
          <w:lang w:val="en-GB" w:eastAsia="en-GB"/>
        </w:rPr>
        <w:lastRenderedPageBreak/>
        <w:t>exercise oversight. This integrated model creates the potential differentiation ide</w:t>
      </w:r>
      <w:r>
        <w:rPr>
          <w:rFonts w:ascii="Arial" w:hAnsi="Arial" w:cs="Arial"/>
          <w:sz w:val="24"/>
          <w:szCs w:val="24"/>
          <w:lang w:val="en-GB" w:eastAsia="en-GB"/>
        </w:rPr>
        <w:t>ntified in Chapter 7.</w:t>
      </w:r>
    </w:p>
    <w:p w14:paraId="066523D9" w14:textId="5F709DED" w:rsidR="00E04AAD" w:rsidRPr="00E04AAD" w:rsidRDefault="00E04AAD" w:rsidP="00E04AAD">
      <w:pPr>
        <w:pStyle w:val="Heading2"/>
        <w:rPr>
          <w:lang w:val="en-GB" w:eastAsia="en-GB"/>
        </w:rPr>
      </w:pPr>
      <w:bookmarkStart w:id="76" w:name="_Toc239091480"/>
      <w:r w:rsidRPr="00E04AAD">
        <w:rPr>
          <w:lang w:val="en-GB" w:eastAsia="en-GB"/>
        </w:rPr>
        <w:t>8.3 Channels and Customer Relationships</w:t>
      </w:r>
      <w:bookmarkEnd w:id="76"/>
    </w:p>
    <w:p w14:paraId="7D354574" w14:textId="59BB6F0A" w:rsidR="00E04AAD" w:rsidRPr="00E04AAD" w:rsidRDefault="00E04AAD" w:rsidP="00E04AAD">
      <w:pPr>
        <w:spacing w:before="240" w:line="360" w:lineRule="auto"/>
        <w:jc w:val="both"/>
        <w:rPr>
          <w:rFonts w:ascii="Arial" w:hAnsi="Arial" w:cs="Arial"/>
          <w:sz w:val="24"/>
          <w:szCs w:val="24"/>
          <w:lang w:val="en-GB" w:eastAsia="en-GB"/>
        </w:rPr>
      </w:pPr>
      <w:proofErr w:type="spellStart"/>
      <w:r w:rsidRPr="00E04AAD">
        <w:rPr>
          <w:rFonts w:ascii="Arial" w:hAnsi="Arial" w:cs="Arial"/>
          <w:sz w:val="24"/>
          <w:szCs w:val="24"/>
          <w:lang w:val="en-GB" w:eastAsia="en-GB"/>
        </w:rPr>
        <w:t>FitLife</w:t>
      </w:r>
      <w:proofErr w:type="spellEnd"/>
      <w:r w:rsidRPr="00E04AAD">
        <w:rPr>
          <w:rFonts w:ascii="Arial" w:hAnsi="Arial" w:cs="Arial"/>
          <w:sz w:val="24"/>
          <w:szCs w:val="24"/>
          <w:lang w:val="en-GB" w:eastAsia="en-GB"/>
        </w:rPr>
        <w:t xml:space="preserve"> will use digital and physical channels throughout the customer journey. Awareness can be generated through Instagram, Facebook, local digital advertising, community partnerships and referrals. Customers can evaluate the service through the website, app demonstrations, introductory sessions and trial offers before purchasing through the website, app or gym reception. Service delivery occurs through the physical gym and supporting mobile platform, </w:t>
      </w:r>
      <w:r>
        <w:rPr>
          <w:rFonts w:ascii="Arial" w:hAnsi="Arial" w:cs="Arial"/>
          <w:sz w:val="24"/>
          <w:szCs w:val="24"/>
          <w:lang w:val="en-GB" w:eastAsia="en-GB"/>
        </w:rPr>
        <w:t>including wearable integration.</w:t>
      </w:r>
    </w:p>
    <w:p w14:paraId="17903068" w14:textId="6CA5CA39" w:rsidR="00E04AAD" w:rsidRPr="00E04AAD" w:rsidRDefault="00E04AAD" w:rsidP="00E04AAD">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Customer relationships will combine personal assistance and technology-enabled self-service. On boarding, fitness assessment and trainer consultations provide human support, while AI-assisted recommendations, progress dashboards and reminders provide continuous digital engagement. Feedback mechanisms, community activities, progress reviews and renewal incentives can support retention. This combination is important because digital tools can extend engagement beyond the physical gym rather th</w:t>
      </w:r>
      <w:r>
        <w:rPr>
          <w:rFonts w:ascii="Arial" w:hAnsi="Arial" w:cs="Arial"/>
          <w:sz w:val="24"/>
          <w:szCs w:val="24"/>
          <w:lang w:val="en-GB" w:eastAsia="en-GB"/>
        </w:rPr>
        <w:t>an replacing human interaction.</w:t>
      </w:r>
    </w:p>
    <w:p w14:paraId="6AB66C33" w14:textId="49274CAE" w:rsidR="00E04AAD" w:rsidRPr="00E04AAD" w:rsidRDefault="00E04AAD" w:rsidP="00E04AAD">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8.4 Reven</w:t>
      </w:r>
      <w:r>
        <w:rPr>
          <w:rFonts w:ascii="Arial" w:hAnsi="Arial" w:cs="Arial"/>
          <w:sz w:val="24"/>
          <w:szCs w:val="24"/>
          <w:lang w:val="en-GB" w:eastAsia="en-GB"/>
        </w:rPr>
        <w:t>ue Streams and Membership Model</w:t>
      </w:r>
    </w:p>
    <w:p w14:paraId="08CFA776" w14:textId="670B9BCF" w:rsidR="00E04AAD" w:rsidRPr="00E04AAD" w:rsidRDefault="00E04AAD" w:rsidP="00E04AAD">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The principal revenue stream will be recurring membership inco</w:t>
      </w:r>
      <w:r>
        <w:rPr>
          <w:rFonts w:ascii="Arial" w:hAnsi="Arial" w:cs="Arial"/>
          <w:sz w:val="24"/>
          <w:szCs w:val="24"/>
          <w:lang w:val="en-GB" w:eastAsia="en-GB"/>
        </w:rPr>
        <w:t>me supported by a tiered model:</w:t>
      </w:r>
    </w:p>
    <w:p w14:paraId="6B2738E1" w14:textId="0BCB5612" w:rsidR="00E04AAD" w:rsidRPr="00E04AAD" w:rsidRDefault="00E04AAD" w:rsidP="00E04AAD">
      <w:pPr>
        <w:pStyle w:val="Caption"/>
        <w:keepNext/>
        <w:spacing w:line="360" w:lineRule="auto"/>
        <w:jc w:val="both"/>
        <w:rPr>
          <w:rFonts w:ascii="Arial" w:hAnsi="Arial" w:cs="Arial"/>
          <w:sz w:val="24"/>
        </w:rPr>
      </w:pPr>
      <w:bookmarkStart w:id="77" w:name="_Toc239091507"/>
      <w:r w:rsidRPr="00E04AAD">
        <w:rPr>
          <w:rFonts w:ascii="Arial" w:hAnsi="Arial" w:cs="Arial"/>
          <w:sz w:val="24"/>
        </w:rPr>
        <w:t xml:space="preserve">Table </w:t>
      </w:r>
      <w:r w:rsidRPr="00E04AAD">
        <w:rPr>
          <w:rFonts w:ascii="Arial" w:hAnsi="Arial" w:cs="Arial"/>
          <w:sz w:val="24"/>
        </w:rPr>
        <w:fldChar w:fldCharType="begin"/>
      </w:r>
      <w:r w:rsidRPr="00E04AAD">
        <w:rPr>
          <w:rFonts w:ascii="Arial" w:hAnsi="Arial" w:cs="Arial"/>
          <w:sz w:val="24"/>
        </w:rPr>
        <w:instrText xml:space="preserve"> SEQ Table \* ARABIC </w:instrText>
      </w:r>
      <w:r w:rsidRPr="00E04AAD">
        <w:rPr>
          <w:rFonts w:ascii="Arial" w:hAnsi="Arial" w:cs="Arial"/>
          <w:sz w:val="24"/>
        </w:rPr>
        <w:fldChar w:fldCharType="separate"/>
      </w:r>
      <w:r w:rsidR="00415D83">
        <w:rPr>
          <w:rFonts w:ascii="Arial" w:hAnsi="Arial" w:cs="Arial"/>
          <w:noProof/>
          <w:sz w:val="24"/>
        </w:rPr>
        <w:t>11</w:t>
      </w:r>
      <w:r w:rsidRPr="00E04AAD">
        <w:rPr>
          <w:rFonts w:ascii="Arial" w:hAnsi="Arial" w:cs="Arial"/>
          <w:sz w:val="24"/>
        </w:rPr>
        <w:fldChar w:fldCharType="end"/>
      </w:r>
      <w:r w:rsidRPr="00E04AAD">
        <w:rPr>
          <w:rFonts w:ascii="Arial" w:hAnsi="Arial" w:cs="Arial"/>
          <w:sz w:val="24"/>
        </w:rPr>
        <w:t>.Revenue Streams and Membership Model</w:t>
      </w:r>
      <w:bookmarkEnd w:id="77"/>
    </w:p>
    <w:tbl>
      <w:tblPr>
        <w:tblStyle w:val="TableGrid"/>
        <w:tblW w:w="0" w:type="auto"/>
        <w:tblLook w:val="04A0" w:firstRow="1" w:lastRow="0" w:firstColumn="1" w:lastColumn="0" w:noHBand="0" w:noVBand="1"/>
      </w:tblPr>
      <w:tblGrid>
        <w:gridCol w:w="3005"/>
        <w:gridCol w:w="3005"/>
        <w:gridCol w:w="3006"/>
      </w:tblGrid>
      <w:tr w:rsidR="00E04AAD" w:rsidRPr="00E04AAD" w14:paraId="23FBFB23" w14:textId="77777777" w:rsidTr="00E04AAD">
        <w:tc>
          <w:tcPr>
            <w:tcW w:w="3005" w:type="dxa"/>
          </w:tcPr>
          <w:p w14:paraId="4B31EE1C" w14:textId="77777777" w:rsidR="00E04AAD" w:rsidRPr="00F60D4A" w:rsidRDefault="00E04AAD" w:rsidP="00071E1F">
            <w:pPr>
              <w:spacing w:before="240" w:line="360" w:lineRule="auto"/>
              <w:jc w:val="both"/>
              <w:rPr>
                <w:rFonts w:ascii="Arial" w:hAnsi="Arial" w:cs="Arial"/>
                <w:b/>
                <w:sz w:val="24"/>
                <w:szCs w:val="24"/>
                <w:lang w:val="en-GB" w:eastAsia="en-GB"/>
              </w:rPr>
            </w:pPr>
            <w:r w:rsidRPr="00F60D4A">
              <w:rPr>
                <w:rFonts w:ascii="Arial" w:hAnsi="Arial" w:cs="Arial"/>
                <w:b/>
                <w:sz w:val="24"/>
                <w:szCs w:val="24"/>
                <w:lang w:val="en-GB" w:eastAsia="en-GB"/>
              </w:rPr>
              <w:t>Tier</w:t>
            </w:r>
          </w:p>
        </w:tc>
        <w:tc>
          <w:tcPr>
            <w:tcW w:w="3005" w:type="dxa"/>
          </w:tcPr>
          <w:p w14:paraId="558882C2" w14:textId="77777777" w:rsidR="00E04AAD" w:rsidRPr="00F60D4A" w:rsidRDefault="00E04AAD" w:rsidP="00071E1F">
            <w:pPr>
              <w:spacing w:before="240" w:line="360" w:lineRule="auto"/>
              <w:jc w:val="both"/>
              <w:rPr>
                <w:rFonts w:ascii="Arial" w:hAnsi="Arial" w:cs="Arial"/>
                <w:b/>
                <w:sz w:val="24"/>
                <w:szCs w:val="24"/>
                <w:lang w:val="en-GB" w:eastAsia="en-GB"/>
              </w:rPr>
            </w:pPr>
            <w:r w:rsidRPr="00F60D4A">
              <w:rPr>
                <w:rFonts w:ascii="Arial" w:hAnsi="Arial" w:cs="Arial"/>
                <w:b/>
                <w:sz w:val="24"/>
                <w:szCs w:val="24"/>
                <w:lang w:val="en-GB" w:eastAsia="en-GB"/>
              </w:rPr>
              <w:t>Target customer</w:t>
            </w:r>
          </w:p>
        </w:tc>
        <w:tc>
          <w:tcPr>
            <w:tcW w:w="3006" w:type="dxa"/>
          </w:tcPr>
          <w:p w14:paraId="710D3D77" w14:textId="77777777" w:rsidR="00E04AAD" w:rsidRPr="00F60D4A" w:rsidRDefault="00E04AAD" w:rsidP="00071E1F">
            <w:pPr>
              <w:spacing w:before="240" w:line="360" w:lineRule="auto"/>
              <w:jc w:val="both"/>
              <w:rPr>
                <w:rFonts w:ascii="Arial" w:hAnsi="Arial" w:cs="Arial"/>
                <w:b/>
                <w:sz w:val="24"/>
                <w:szCs w:val="24"/>
                <w:lang w:val="en-GB" w:eastAsia="en-GB"/>
              </w:rPr>
            </w:pPr>
            <w:r w:rsidRPr="00F60D4A">
              <w:rPr>
                <w:rFonts w:ascii="Arial" w:hAnsi="Arial" w:cs="Arial"/>
                <w:b/>
                <w:sz w:val="24"/>
                <w:szCs w:val="24"/>
                <w:lang w:val="en-GB" w:eastAsia="en-GB"/>
              </w:rPr>
              <w:t>Principal features</w:t>
            </w:r>
          </w:p>
        </w:tc>
      </w:tr>
      <w:tr w:rsidR="00E04AAD" w:rsidRPr="00E04AAD" w14:paraId="3174FC49" w14:textId="77777777" w:rsidTr="00E04AAD">
        <w:tc>
          <w:tcPr>
            <w:tcW w:w="3005" w:type="dxa"/>
          </w:tcPr>
          <w:p w14:paraId="14DE3FC4" w14:textId="77777777" w:rsidR="00E04AAD" w:rsidRPr="00E04AAD" w:rsidRDefault="00E04AAD" w:rsidP="00071E1F">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Essential</w:t>
            </w:r>
          </w:p>
        </w:tc>
        <w:tc>
          <w:tcPr>
            <w:tcW w:w="3005" w:type="dxa"/>
          </w:tcPr>
          <w:p w14:paraId="2D40F1B6" w14:textId="77777777" w:rsidR="00E04AAD" w:rsidRPr="00E04AAD" w:rsidRDefault="00E04AAD" w:rsidP="00071E1F">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Price-conscious primary customers</w:t>
            </w:r>
          </w:p>
        </w:tc>
        <w:tc>
          <w:tcPr>
            <w:tcW w:w="3006" w:type="dxa"/>
          </w:tcPr>
          <w:p w14:paraId="2F858CBD" w14:textId="77777777" w:rsidR="00E04AAD" w:rsidRPr="00E04AAD" w:rsidRDefault="00E04AAD" w:rsidP="00071E1F">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Gym access, app access and basic progress tracking</w:t>
            </w:r>
          </w:p>
        </w:tc>
      </w:tr>
      <w:tr w:rsidR="00E04AAD" w:rsidRPr="00E04AAD" w14:paraId="2EE85DCB" w14:textId="77777777" w:rsidTr="00E04AAD">
        <w:tc>
          <w:tcPr>
            <w:tcW w:w="3005" w:type="dxa"/>
          </w:tcPr>
          <w:p w14:paraId="6FFF5D40" w14:textId="77777777" w:rsidR="00E04AAD" w:rsidRPr="00E04AAD" w:rsidRDefault="00E04AAD" w:rsidP="00071E1F">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Smart</w:t>
            </w:r>
          </w:p>
        </w:tc>
        <w:tc>
          <w:tcPr>
            <w:tcW w:w="3005" w:type="dxa"/>
          </w:tcPr>
          <w:p w14:paraId="32A94D32" w14:textId="77777777" w:rsidR="00E04AAD" w:rsidRPr="00E04AAD" w:rsidRDefault="00E04AAD" w:rsidP="00071E1F">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Digitally receptive regular users</w:t>
            </w:r>
          </w:p>
        </w:tc>
        <w:tc>
          <w:tcPr>
            <w:tcW w:w="3006" w:type="dxa"/>
          </w:tcPr>
          <w:p w14:paraId="24035533" w14:textId="77777777" w:rsidR="00E04AAD" w:rsidRPr="00E04AAD" w:rsidRDefault="00E04AAD" w:rsidP="00071E1F">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Essential features plus AI personalisation, wearable integration and enhanced progress monitoring</w:t>
            </w:r>
          </w:p>
        </w:tc>
      </w:tr>
      <w:tr w:rsidR="00E04AAD" w:rsidRPr="00E04AAD" w14:paraId="49F751B1" w14:textId="77777777" w:rsidTr="00E04AAD">
        <w:tc>
          <w:tcPr>
            <w:tcW w:w="3005" w:type="dxa"/>
          </w:tcPr>
          <w:p w14:paraId="23630D8A" w14:textId="77777777" w:rsidR="00E04AAD" w:rsidRPr="00E04AAD" w:rsidRDefault="00E04AAD" w:rsidP="00071E1F">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lastRenderedPageBreak/>
              <w:t>Smart Plus</w:t>
            </w:r>
          </w:p>
        </w:tc>
        <w:tc>
          <w:tcPr>
            <w:tcW w:w="3005" w:type="dxa"/>
          </w:tcPr>
          <w:p w14:paraId="2A0B23FA" w14:textId="77777777" w:rsidR="00E04AAD" w:rsidRPr="00E04AAD" w:rsidRDefault="00E04AAD" w:rsidP="00071E1F">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Customers seeking greater support</w:t>
            </w:r>
          </w:p>
        </w:tc>
        <w:tc>
          <w:tcPr>
            <w:tcW w:w="3006" w:type="dxa"/>
          </w:tcPr>
          <w:p w14:paraId="086FF42F" w14:textId="77777777" w:rsidR="00E04AAD" w:rsidRPr="00E04AAD" w:rsidRDefault="00E04AAD" w:rsidP="00071E1F">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Smart features plus regular trainer consultation and enhanced coaching</w:t>
            </w:r>
          </w:p>
        </w:tc>
      </w:tr>
    </w:tbl>
    <w:p w14:paraId="5823315B" w14:textId="77777777" w:rsidR="00E04AAD" w:rsidRPr="00E04AAD" w:rsidRDefault="00E04AAD" w:rsidP="00E04AAD">
      <w:pPr>
        <w:spacing w:before="240" w:line="360" w:lineRule="auto"/>
        <w:jc w:val="both"/>
        <w:rPr>
          <w:rFonts w:ascii="Arial" w:hAnsi="Arial" w:cs="Arial"/>
          <w:sz w:val="24"/>
          <w:szCs w:val="24"/>
          <w:lang w:val="en-GB" w:eastAsia="en-GB"/>
        </w:rPr>
      </w:pPr>
    </w:p>
    <w:p w14:paraId="23F5C0D6" w14:textId="749A45B0" w:rsidR="00E04AAD" w:rsidRPr="00E04AAD" w:rsidRDefault="00E04AAD" w:rsidP="00E04AAD">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 xml:space="preserve">This structure allows </w:t>
      </w:r>
      <w:proofErr w:type="spellStart"/>
      <w:r w:rsidRPr="00E04AAD">
        <w:rPr>
          <w:rFonts w:ascii="Arial" w:hAnsi="Arial" w:cs="Arial"/>
          <w:sz w:val="24"/>
          <w:szCs w:val="24"/>
          <w:lang w:val="en-GB" w:eastAsia="en-GB"/>
        </w:rPr>
        <w:t>FitLife</w:t>
      </w:r>
      <w:proofErr w:type="spellEnd"/>
      <w:r w:rsidRPr="00E04AAD">
        <w:rPr>
          <w:rFonts w:ascii="Arial" w:hAnsi="Arial" w:cs="Arial"/>
          <w:sz w:val="24"/>
          <w:szCs w:val="24"/>
          <w:lang w:val="en-GB" w:eastAsia="en-GB"/>
        </w:rPr>
        <w:t xml:space="preserve"> to serve different willingness-to-pay levels without abandoning its focused differentiation. Final prices should be established in Chapter 9 after considering competitor pricing, operating costs and willingness-to-pay evidence. Additional revenue may eventually arise from personal training</w:t>
      </w:r>
      <w:r w:rsidR="00F60D4A">
        <w:rPr>
          <w:rFonts w:ascii="Arial" w:hAnsi="Arial" w:cs="Arial"/>
          <w:sz w:val="24"/>
          <w:szCs w:val="24"/>
          <w:lang w:val="en-GB" w:eastAsia="en-GB"/>
        </w:rPr>
        <w:t xml:space="preserve"> or enhanced coaching services.</w:t>
      </w:r>
    </w:p>
    <w:p w14:paraId="0BEB5444" w14:textId="771C4D60" w:rsidR="00E04AAD" w:rsidRPr="00E04AAD" w:rsidRDefault="00E04AAD" w:rsidP="00E04AAD">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 xml:space="preserve">The main cost structure combines premises, equipment, staffing, insurance and technology with variable maintenance, payment processing, marketing and customer-acquisition costs. Additional expenditure will arise from AI/app implementation, cybersecurity, data governance and staff training. Therefore, </w:t>
      </w:r>
      <w:proofErr w:type="spellStart"/>
      <w:r w:rsidRPr="00E04AAD">
        <w:rPr>
          <w:rFonts w:ascii="Arial" w:hAnsi="Arial" w:cs="Arial"/>
          <w:sz w:val="24"/>
          <w:szCs w:val="24"/>
          <w:lang w:val="en-GB" w:eastAsia="en-GB"/>
        </w:rPr>
        <w:t>FitLife</w:t>
      </w:r>
      <w:proofErr w:type="spellEnd"/>
      <w:r w:rsidRPr="00E04AAD">
        <w:rPr>
          <w:rFonts w:ascii="Arial" w:hAnsi="Arial" w:cs="Arial"/>
          <w:sz w:val="24"/>
          <w:szCs w:val="24"/>
          <w:lang w:val="en-GB" w:eastAsia="en-GB"/>
        </w:rPr>
        <w:t xml:space="preserve"> effectively combines the cost structure of a physical gym with additional digital and </w:t>
      </w:r>
      <w:r w:rsidR="00F60D4A">
        <w:rPr>
          <w:rFonts w:ascii="Arial" w:hAnsi="Arial" w:cs="Arial"/>
          <w:sz w:val="24"/>
          <w:szCs w:val="24"/>
          <w:lang w:val="en-GB" w:eastAsia="en-GB"/>
        </w:rPr>
        <w:t>skilled-personnel requirements.</w:t>
      </w:r>
    </w:p>
    <w:p w14:paraId="1F640319" w14:textId="57A3CD32" w:rsidR="00E04AAD" w:rsidRPr="00E04AAD" w:rsidRDefault="00E04AAD" w:rsidP="00F60D4A">
      <w:pPr>
        <w:pStyle w:val="Heading2"/>
        <w:rPr>
          <w:lang w:val="en-GB" w:eastAsia="en-GB"/>
        </w:rPr>
      </w:pPr>
      <w:bookmarkStart w:id="78" w:name="_Toc239091481"/>
      <w:r w:rsidRPr="00E04AAD">
        <w:rPr>
          <w:lang w:val="en-GB" w:eastAsia="en-GB"/>
        </w:rPr>
        <w:t>8.5 Key Resourc</w:t>
      </w:r>
      <w:r w:rsidR="00F60D4A">
        <w:rPr>
          <w:lang w:val="en-GB" w:eastAsia="en-GB"/>
        </w:rPr>
        <w:t>es, Activities and Partnerships</w:t>
      </w:r>
      <w:bookmarkEnd w:id="78"/>
    </w:p>
    <w:p w14:paraId="1B9F4F49" w14:textId="4DD629E7" w:rsidR="00E04AAD" w:rsidRPr="00E04AAD" w:rsidRDefault="00E04AAD" w:rsidP="00E04AAD">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 xml:space="preserve">Key resources include the physical premises, gym equipment, mobile application, AI capability, wearable integration, qualified trainers, customer-data capability, finance and brand. As </w:t>
      </w:r>
      <w:proofErr w:type="spellStart"/>
      <w:r w:rsidRPr="00E04AAD">
        <w:rPr>
          <w:rFonts w:ascii="Arial" w:hAnsi="Arial" w:cs="Arial"/>
          <w:sz w:val="24"/>
          <w:szCs w:val="24"/>
          <w:lang w:val="en-GB" w:eastAsia="en-GB"/>
        </w:rPr>
        <w:t>FitLife</w:t>
      </w:r>
      <w:proofErr w:type="spellEnd"/>
      <w:r w:rsidRPr="00E04AAD">
        <w:rPr>
          <w:rFonts w:ascii="Arial" w:hAnsi="Arial" w:cs="Arial"/>
          <w:sz w:val="24"/>
          <w:szCs w:val="24"/>
          <w:lang w:val="en-GB" w:eastAsia="en-GB"/>
        </w:rPr>
        <w:t xml:space="preserve"> is a new venture, most of these resources are proposed resources that must be acquired or develope</w:t>
      </w:r>
      <w:r w:rsidR="00F60D4A">
        <w:rPr>
          <w:rFonts w:ascii="Arial" w:hAnsi="Arial" w:cs="Arial"/>
          <w:sz w:val="24"/>
          <w:szCs w:val="24"/>
          <w:lang w:val="en-GB" w:eastAsia="en-GB"/>
        </w:rPr>
        <w:t>d, rather than existing assets.</w:t>
      </w:r>
    </w:p>
    <w:p w14:paraId="34E754DA" w14:textId="745C6A39" w:rsidR="00E04AAD" w:rsidRPr="00E04AAD" w:rsidRDefault="00E04AAD" w:rsidP="00E04AAD">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 xml:space="preserve">Core activities include customer </w:t>
      </w:r>
      <w:r w:rsidR="00F60D4A" w:rsidRPr="00E04AAD">
        <w:rPr>
          <w:rFonts w:ascii="Arial" w:hAnsi="Arial" w:cs="Arial"/>
          <w:sz w:val="24"/>
          <w:szCs w:val="24"/>
          <w:lang w:val="en-GB" w:eastAsia="en-GB"/>
        </w:rPr>
        <w:t>on boarding</w:t>
      </w:r>
      <w:r w:rsidRPr="00E04AAD">
        <w:rPr>
          <w:rFonts w:ascii="Arial" w:hAnsi="Arial" w:cs="Arial"/>
          <w:sz w:val="24"/>
          <w:szCs w:val="24"/>
          <w:lang w:val="en-GB" w:eastAsia="en-GB"/>
        </w:rPr>
        <w:t xml:space="preserve"> and fitness assessment, AI-supported recommendation, wearable-data monitoring, trainer review and oversight, personalised coaching, progress tracking, equipment maintenance, marketing, retention and technology testing. Data governance is also a core activity, because fitness-tracker information can constitute health data depending on its nature and context and may therefore require enhanced protection (ICO, 2024). Trainer oversight is similarly essential because AI recommendations should support rather than replace qualified human judgement.</w:t>
      </w:r>
    </w:p>
    <w:p w14:paraId="380671F4" w14:textId="51FF6254" w:rsidR="00E04AAD" w:rsidRPr="00E04AAD" w:rsidRDefault="00E04AAD" w:rsidP="00E04AAD">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lastRenderedPageBreak/>
        <w:t xml:space="preserve">Key partnerships will include AI/software providers, wearable and app-platform providers, equipment suppliers, payment providers, insurers and potentially local/community organisations. These partnerships provide specialist capabilities and reduce the need for </w:t>
      </w:r>
      <w:proofErr w:type="spellStart"/>
      <w:r w:rsidRPr="00E04AAD">
        <w:rPr>
          <w:rFonts w:ascii="Arial" w:hAnsi="Arial" w:cs="Arial"/>
          <w:sz w:val="24"/>
          <w:szCs w:val="24"/>
          <w:lang w:val="en-GB" w:eastAsia="en-GB"/>
        </w:rPr>
        <w:t>FitLife</w:t>
      </w:r>
      <w:proofErr w:type="spellEnd"/>
      <w:r w:rsidRPr="00E04AAD">
        <w:rPr>
          <w:rFonts w:ascii="Arial" w:hAnsi="Arial" w:cs="Arial"/>
          <w:sz w:val="24"/>
          <w:szCs w:val="24"/>
          <w:lang w:val="en-GB" w:eastAsia="en-GB"/>
        </w:rPr>
        <w:t xml:space="preserve"> to develop every resource internally, although supplier dependence and integr</w:t>
      </w:r>
      <w:r w:rsidR="00F60D4A">
        <w:rPr>
          <w:rFonts w:ascii="Arial" w:hAnsi="Arial" w:cs="Arial"/>
          <w:sz w:val="24"/>
          <w:szCs w:val="24"/>
          <w:lang w:val="en-GB" w:eastAsia="en-GB"/>
        </w:rPr>
        <w:t>ation costs must be controlled.</w:t>
      </w:r>
    </w:p>
    <w:p w14:paraId="60AC0B72" w14:textId="1968096E" w:rsidR="00E04AAD" w:rsidRPr="00F60D4A" w:rsidRDefault="00E04AAD" w:rsidP="00F60D4A">
      <w:pPr>
        <w:pStyle w:val="Heading2"/>
        <w:rPr>
          <w:lang w:val="en-GB" w:eastAsia="en-GB"/>
        </w:rPr>
      </w:pPr>
      <w:bookmarkStart w:id="79" w:name="_Toc239091482"/>
      <w:r w:rsidRPr="00E04AAD">
        <w:rPr>
          <w:lang w:val="en-GB" w:eastAsia="en-GB"/>
        </w:rPr>
        <w:t>8.6 Integration, Assumptions and Conclusion</w:t>
      </w:r>
      <w:bookmarkEnd w:id="79"/>
    </w:p>
    <w:p w14:paraId="0B1931F2" w14:textId="10441977" w:rsidR="00E04AAD" w:rsidRPr="00E04AAD" w:rsidRDefault="00E04AAD" w:rsidP="00E04AAD">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 xml:space="preserve">The nine components form a connected value-creation system. The defined target customer values convenience, personalisation and accountability; therefore, AI, wearable integration and human coaching form the value proposition. These are delivered through the gym, app and digital channels, supported by </w:t>
      </w:r>
      <w:r w:rsidR="00F60D4A" w:rsidRPr="00E04AAD">
        <w:rPr>
          <w:rFonts w:ascii="Arial" w:hAnsi="Arial" w:cs="Arial"/>
          <w:sz w:val="24"/>
          <w:szCs w:val="24"/>
          <w:lang w:val="en-GB" w:eastAsia="en-GB"/>
        </w:rPr>
        <w:t>on boarding</w:t>
      </w:r>
      <w:r w:rsidRPr="00E04AAD">
        <w:rPr>
          <w:rFonts w:ascii="Arial" w:hAnsi="Arial" w:cs="Arial"/>
          <w:sz w:val="24"/>
          <w:szCs w:val="24"/>
          <w:lang w:val="en-GB" w:eastAsia="en-GB"/>
        </w:rPr>
        <w:t>, coaching and progress relationships. Delivery requires premises, trainers, technology and data capabilities, while key activities and external technology/equipment partnerships make the proposition operational. Finally, tiered memberships capture revenue, while premises, staffing, technology, marketing and compliance</w:t>
      </w:r>
      <w:r w:rsidR="00F60D4A">
        <w:rPr>
          <w:rFonts w:ascii="Arial" w:hAnsi="Arial" w:cs="Arial"/>
          <w:sz w:val="24"/>
          <w:szCs w:val="24"/>
          <w:lang w:val="en-GB" w:eastAsia="en-GB"/>
        </w:rPr>
        <w:t xml:space="preserve"> represent the principal costs.</w:t>
      </w:r>
    </w:p>
    <w:p w14:paraId="7555A0A3" w14:textId="043AB324" w:rsidR="0049422E" w:rsidRDefault="00E04AAD" w:rsidP="00E04AAD">
      <w:pPr>
        <w:spacing w:before="240" w:line="360" w:lineRule="auto"/>
        <w:jc w:val="both"/>
        <w:rPr>
          <w:rFonts w:ascii="Arial" w:hAnsi="Arial" w:cs="Arial"/>
          <w:sz w:val="24"/>
          <w:szCs w:val="24"/>
          <w:lang w:val="en-GB" w:eastAsia="en-GB"/>
        </w:rPr>
      </w:pPr>
      <w:r w:rsidRPr="00E04AAD">
        <w:rPr>
          <w:rFonts w:ascii="Arial" w:hAnsi="Arial" w:cs="Arial"/>
          <w:sz w:val="24"/>
          <w:szCs w:val="24"/>
          <w:lang w:val="en-GB" w:eastAsia="en-GB"/>
        </w:rPr>
        <w:t>The model is therefore strategically coherent but remains conditional. Its success depends particularly on customer willingness to pay, technology reliability, trainer capability, retention and effective data governance. These assumptions should be financially and operationally tested in Chapters 9–11.</w:t>
      </w:r>
    </w:p>
    <w:p w14:paraId="5AF72998" w14:textId="755B78ED" w:rsidR="00B600DF" w:rsidRDefault="00B600DF" w:rsidP="00E04AAD">
      <w:pPr>
        <w:spacing w:before="240" w:line="360" w:lineRule="auto"/>
        <w:jc w:val="both"/>
        <w:rPr>
          <w:rFonts w:ascii="Arial" w:hAnsi="Arial" w:cs="Arial"/>
          <w:sz w:val="24"/>
          <w:szCs w:val="24"/>
          <w:lang w:val="en-GB" w:eastAsia="en-GB"/>
        </w:rPr>
      </w:pPr>
    </w:p>
    <w:p w14:paraId="513B11CF" w14:textId="2A727E9C" w:rsidR="00B600DF" w:rsidRDefault="00B600DF" w:rsidP="00E04AAD">
      <w:pPr>
        <w:spacing w:before="240" w:line="360" w:lineRule="auto"/>
        <w:jc w:val="both"/>
        <w:rPr>
          <w:rFonts w:ascii="Arial" w:hAnsi="Arial" w:cs="Arial"/>
          <w:sz w:val="24"/>
          <w:szCs w:val="24"/>
          <w:lang w:val="en-GB" w:eastAsia="en-GB"/>
        </w:rPr>
      </w:pPr>
    </w:p>
    <w:p w14:paraId="056FED1C" w14:textId="2B8771A5" w:rsidR="00B600DF" w:rsidRDefault="00B600DF" w:rsidP="00E04AAD">
      <w:pPr>
        <w:spacing w:before="240" w:line="360" w:lineRule="auto"/>
        <w:jc w:val="both"/>
        <w:rPr>
          <w:rFonts w:ascii="Arial" w:hAnsi="Arial" w:cs="Arial"/>
          <w:sz w:val="24"/>
          <w:szCs w:val="24"/>
          <w:lang w:val="en-GB" w:eastAsia="en-GB"/>
        </w:rPr>
      </w:pPr>
    </w:p>
    <w:p w14:paraId="061F8A15" w14:textId="27ECB213" w:rsidR="00B600DF" w:rsidRDefault="00B600DF" w:rsidP="00E04AAD">
      <w:pPr>
        <w:spacing w:before="240" w:line="360" w:lineRule="auto"/>
        <w:jc w:val="both"/>
        <w:rPr>
          <w:rFonts w:ascii="Arial" w:hAnsi="Arial" w:cs="Arial"/>
          <w:sz w:val="24"/>
          <w:szCs w:val="24"/>
          <w:lang w:val="en-GB" w:eastAsia="en-GB"/>
        </w:rPr>
      </w:pPr>
    </w:p>
    <w:p w14:paraId="3E78382D" w14:textId="261C985D" w:rsidR="00B600DF" w:rsidRDefault="00B600DF" w:rsidP="00E04AAD">
      <w:pPr>
        <w:spacing w:before="240" w:line="360" w:lineRule="auto"/>
        <w:jc w:val="both"/>
        <w:rPr>
          <w:rFonts w:ascii="Arial" w:hAnsi="Arial" w:cs="Arial"/>
          <w:sz w:val="24"/>
          <w:szCs w:val="24"/>
          <w:lang w:val="en-GB" w:eastAsia="en-GB"/>
        </w:rPr>
      </w:pPr>
    </w:p>
    <w:p w14:paraId="320DEBBF" w14:textId="558CC884" w:rsidR="00B600DF" w:rsidRDefault="00B600DF" w:rsidP="00E04AAD">
      <w:pPr>
        <w:spacing w:before="240" w:line="360" w:lineRule="auto"/>
        <w:jc w:val="both"/>
        <w:rPr>
          <w:rFonts w:ascii="Arial" w:hAnsi="Arial" w:cs="Arial"/>
          <w:sz w:val="24"/>
          <w:szCs w:val="24"/>
          <w:lang w:val="en-GB" w:eastAsia="en-GB"/>
        </w:rPr>
      </w:pPr>
    </w:p>
    <w:p w14:paraId="14F55A94" w14:textId="19B571FD" w:rsidR="00B600DF" w:rsidRDefault="00B600DF" w:rsidP="00E04AAD">
      <w:pPr>
        <w:spacing w:before="240" w:line="360" w:lineRule="auto"/>
        <w:jc w:val="both"/>
        <w:rPr>
          <w:rFonts w:ascii="Arial" w:hAnsi="Arial" w:cs="Arial"/>
          <w:sz w:val="24"/>
          <w:szCs w:val="24"/>
          <w:lang w:val="en-GB" w:eastAsia="en-GB"/>
        </w:rPr>
      </w:pPr>
    </w:p>
    <w:p w14:paraId="45EBC1EB" w14:textId="5DFC1140" w:rsidR="00B600DF" w:rsidRDefault="00B600DF" w:rsidP="00E04AAD">
      <w:pPr>
        <w:spacing w:before="240" w:line="360" w:lineRule="auto"/>
        <w:jc w:val="both"/>
        <w:rPr>
          <w:rFonts w:ascii="Arial" w:hAnsi="Arial" w:cs="Arial"/>
          <w:sz w:val="24"/>
          <w:szCs w:val="24"/>
          <w:lang w:val="en-GB" w:eastAsia="en-GB"/>
        </w:rPr>
      </w:pPr>
    </w:p>
    <w:p w14:paraId="3DA92840" w14:textId="77777777" w:rsidR="00B600DF" w:rsidRPr="003A271D" w:rsidRDefault="00B600DF" w:rsidP="003A271D">
      <w:pPr>
        <w:pStyle w:val="Heading1"/>
        <w:spacing w:line="360" w:lineRule="auto"/>
        <w:jc w:val="center"/>
        <w:rPr>
          <w:rFonts w:eastAsia="Times New Roman" w:cs="Arial"/>
          <w:lang w:val="en-GB" w:eastAsia="en-GB"/>
        </w:rPr>
      </w:pPr>
      <w:bookmarkStart w:id="80" w:name="_Toc239091483"/>
      <w:r w:rsidRPr="003A271D">
        <w:rPr>
          <w:rFonts w:eastAsia="Times New Roman" w:cs="Arial"/>
          <w:lang w:val="en-GB" w:eastAsia="en-GB"/>
        </w:rPr>
        <w:lastRenderedPageBreak/>
        <w:t>Chapter 9 — Financial, Marketing and Sales, and Human Capital Management Plan</w:t>
      </w:r>
      <w:bookmarkEnd w:id="80"/>
    </w:p>
    <w:p w14:paraId="1D79F9EA" w14:textId="77777777" w:rsidR="00B600DF" w:rsidRPr="003A271D" w:rsidRDefault="00B600DF" w:rsidP="003A271D">
      <w:pPr>
        <w:pStyle w:val="Heading2"/>
        <w:spacing w:line="360" w:lineRule="auto"/>
        <w:jc w:val="both"/>
        <w:rPr>
          <w:rFonts w:eastAsia="Times New Roman" w:cs="Arial"/>
          <w:lang w:val="en-GB" w:eastAsia="en-GB"/>
        </w:rPr>
      </w:pPr>
      <w:bookmarkStart w:id="81" w:name="_Toc239091484"/>
      <w:r w:rsidRPr="003A271D">
        <w:rPr>
          <w:rFonts w:eastAsia="Times New Roman" w:cs="Arial"/>
          <w:lang w:val="en-GB" w:eastAsia="en-GB"/>
        </w:rPr>
        <w:t>9.1 Integrated Plan Overview</w:t>
      </w:r>
      <w:bookmarkEnd w:id="81"/>
    </w:p>
    <w:p w14:paraId="4FBF2D89" w14:textId="77777777" w:rsidR="006F72FE" w:rsidRPr="003A271D" w:rsidRDefault="006F72FE"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 xml:space="preserve">This chapter translates the focus based differentiation strategy of </w:t>
      </w:r>
      <w:proofErr w:type="spellStart"/>
      <w:r w:rsidRPr="003A271D">
        <w:rPr>
          <w:rFonts w:ascii="Arial" w:hAnsi="Arial" w:cs="Arial"/>
          <w:sz w:val="24"/>
          <w:szCs w:val="24"/>
          <w:lang w:val="en-GB" w:eastAsia="en-GB"/>
        </w:rPr>
        <w:t>FitLife</w:t>
      </w:r>
      <w:proofErr w:type="spellEnd"/>
      <w:r w:rsidRPr="003A271D">
        <w:rPr>
          <w:rFonts w:ascii="Arial" w:hAnsi="Arial" w:cs="Arial"/>
          <w:sz w:val="24"/>
          <w:szCs w:val="24"/>
          <w:lang w:val="en-GB" w:eastAsia="en-GB"/>
        </w:rPr>
        <w:t xml:space="preserve"> Smart Gym into integrated plans in the areas of finances, marketing, sales and human-capital. The key is that the revenue from membership has to be sufficient to cover the costs of the service, people, and technology the service will provide to acquire customers. The three membership levels defined in Chapter 8 are thus used as the basis for the financial model, and marketing and sales assumptions serve as the basis for member acquisition; service capacity is limited by human-capital assumptions. Financial viability is assessed using contribution and break-even analysis, marketing decisions are based on STP and human-capital requirements are determined by workforce planning using 7Ps. All numerical forecasts are planning assumptions and should be checked by contacting quotations, customer research and pilot trading before investing.</w:t>
      </w:r>
    </w:p>
    <w:p w14:paraId="7442BB48" w14:textId="77777777" w:rsidR="006F72FE" w:rsidRPr="003A271D" w:rsidRDefault="006F72FE" w:rsidP="003A271D">
      <w:pPr>
        <w:pStyle w:val="Heading2"/>
        <w:spacing w:line="360" w:lineRule="auto"/>
        <w:jc w:val="both"/>
        <w:rPr>
          <w:rFonts w:eastAsia="Times New Roman" w:cs="Arial"/>
          <w:lang w:val="en-GB" w:eastAsia="en-GB"/>
        </w:rPr>
      </w:pPr>
      <w:bookmarkStart w:id="82" w:name="_Toc239091485"/>
      <w:r w:rsidRPr="003A271D">
        <w:rPr>
          <w:rFonts w:eastAsia="Times New Roman" w:cs="Arial"/>
          <w:lang w:val="en-GB" w:eastAsia="en-GB"/>
        </w:rPr>
        <w:t>9.2 Financial Plan</w:t>
      </w:r>
      <w:bookmarkEnd w:id="82"/>
    </w:p>
    <w:p w14:paraId="3F17A32E" w14:textId="77777777" w:rsidR="006F72FE" w:rsidRPr="003A271D" w:rsidRDefault="006F72FE"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t>Financial assumptions</w:t>
      </w:r>
    </w:p>
    <w:p w14:paraId="08DBF674" w14:textId="77777777" w:rsidR="006F72FE" w:rsidRPr="003A271D" w:rsidRDefault="006F72FE"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The financial model starts with an initial capacity of around 600 active members, with a projection of 900 in Year 2, 1200 in Year 3, 1500 in Year 4 and 1800 in Year 5. The figures are target operating levels and do not necessarily reflect guaranteed local market demand and are less than the estimated greater local opportunity identified in Chapter 5. For the annual revenue modelling a linear membership ramp is used, resulting in approximate average memberships of 300, 750, 1,050, 1,350 and 1,650.</w:t>
      </w:r>
    </w:p>
    <w:p w14:paraId="798A7257" w14:textId="77777777" w:rsidR="006F72FE" w:rsidRPr="003A271D" w:rsidRDefault="006F72FE" w:rsidP="003A271D">
      <w:pPr>
        <w:spacing w:line="360" w:lineRule="auto"/>
        <w:jc w:val="both"/>
        <w:rPr>
          <w:rFonts w:ascii="Arial" w:hAnsi="Arial" w:cs="Arial"/>
          <w:sz w:val="24"/>
          <w:szCs w:val="24"/>
          <w:lang w:val="en-GB" w:eastAsia="en-GB"/>
        </w:rPr>
      </w:pPr>
      <w:proofErr w:type="spellStart"/>
      <w:r w:rsidRPr="003A271D">
        <w:rPr>
          <w:rFonts w:ascii="Arial" w:hAnsi="Arial" w:cs="Arial"/>
          <w:sz w:val="24"/>
          <w:szCs w:val="24"/>
          <w:lang w:val="en-GB" w:eastAsia="en-GB"/>
        </w:rPr>
        <w:t>FitLife</w:t>
      </w:r>
      <w:proofErr w:type="spellEnd"/>
      <w:r w:rsidRPr="003A271D">
        <w:rPr>
          <w:rFonts w:ascii="Arial" w:hAnsi="Arial" w:cs="Arial"/>
          <w:sz w:val="24"/>
          <w:szCs w:val="24"/>
          <w:lang w:val="en-GB" w:eastAsia="en-GB"/>
        </w:rPr>
        <w:t xml:space="preserve"> will have a tiered membership system. The Essential tier is recommended for £24.99 and the Smart tier is recommended for £34.99 per month, and the Smart Plus tier is recommended at £49.99 per month. These are indicative planning rates, not actual market rates. The assumed sales mix is 40% Essential, 45% Smart and 15% Smart Plus which results in an estimated weighted average monthly membership revenue of around £33.24 per member. The pricing strategy will attempt to position </w:t>
      </w:r>
      <w:proofErr w:type="spellStart"/>
      <w:r w:rsidRPr="003A271D">
        <w:rPr>
          <w:rFonts w:ascii="Arial" w:hAnsi="Arial" w:cs="Arial"/>
          <w:sz w:val="24"/>
          <w:szCs w:val="24"/>
          <w:lang w:val="en-GB" w:eastAsia="en-GB"/>
        </w:rPr>
        <w:t>FitLife</w:t>
      </w:r>
      <w:proofErr w:type="spellEnd"/>
      <w:r w:rsidRPr="003A271D">
        <w:rPr>
          <w:rFonts w:ascii="Arial" w:hAnsi="Arial" w:cs="Arial"/>
          <w:sz w:val="24"/>
          <w:szCs w:val="24"/>
          <w:lang w:val="en-GB" w:eastAsia="en-GB"/>
        </w:rPr>
        <w:t xml:space="preserve"> above the basic low cost provision and under the premium health-club positioning. This is commercially relevant as there is currently a gap in the pricing </w:t>
      </w:r>
      <w:r w:rsidRPr="003A271D">
        <w:rPr>
          <w:rFonts w:ascii="Arial" w:hAnsi="Arial" w:cs="Arial"/>
          <w:sz w:val="24"/>
          <w:szCs w:val="24"/>
          <w:lang w:val="en-GB" w:eastAsia="en-GB"/>
        </w:rPr>
        <w:lastRenderedPageBreak/>
        <w:t xml:space="preserve">strategies of these two companies as </w:t>
      </w:r>
      <w:proofErr w:type="spellStart"/>
      <w:r w:rsidRPr="003A271D">
        <w:rPr>
          <w:rFonts w:ascii="Arial" w:hAnsi="Arial" w:cs="Arial"/>
          <w:sz w:val="24"/>
          <w:szCs w:val="24"/>
          <w:lang w:val="en-GB" w:eastAsia="en-GB"/>
        </w:rPr>
        <w:t>Jetts</w:t>
      </w:r>
      <w:proofErr w:type="spellEnd"/>
      <w:r w:rsidRPr="003A271D">
        <w:rPr>
          <w:rFonts w:ascii="Arial" w:hAnsi="Arial" w:cs="Arial"/>
          <w:sz w:val="24"/>
          <w:szCs w:val="24"/>
          <w:lang w:val="en-GB" w:eastAsia="en-GB"/>
        </w:rPr>
        <w:t xml:space="preserve"> </w:t>
      </w:r>
      <w:proofErr w:type="spellStart"/>
      <w:r w:rsidRPr="003A271D">
        <w:rPr>
          <w:rFonts w:ascii="Arial" w:hAnsi="Arial" w:cs="Arial"/>
          <w:sz w:val="24"/>
          <w:szCs w:val="24"/>
          <w:lang w:val="en-GB" w:eastAsia="en-GB"/>
        </w:rPr>
        <w:t>Levenshulme</w:t>
      </w:r>
      <w:proofErr w:type="spellEnd"/>
      <w:r w:rsidRPr="003A271D">
        <w:rPr>
          <w:rFonts w:ascii="Arial" w:hAnsi="Arial" w:cs="Arial"/>
          <w:sz w:val="24"/>
          <w:szCs w:val="24"/>
          <w:lang w:val="en-GB" w:eastAsia="en-GB"/>
        </w:rPr>
        <w:t xml:space="preserve"> currently charges £32.95 per month with classes and 24/7 access, whereas </w:t>
      </w:r>
      <w:proofErr w:type="spellStart"/>
      <w:r w:rsidRPr="003A271D">
        <w:rPr>
          <w:rFonts w:ascii="Arial" w:hAnsi="Arial" w:cs="Arial"/>
          <w:sz w:val="24"/>
          <w:szCs w:val="24"/>
          <w:lang w:val="en-GB" w:eastAsia="en-GB"/>
        </w:rPr>
        <w:t>PureGym</w:t>
      </w:r>
      <w:proofErr w:type="spellEnd"/>
      <w:r w:rsidRPr="003A271D">
        <w:rPr>
          <w:rFonts w:ascii="Arial" w:hAnsi="Arial" w:cs="Arial"/>
          <w:sz w:val="24"/>
          <w:szCs w:val="24"/>
          <w:lang w:val="en-GB" w:eastAsia="en-GB"/>
        </w:rPr>
        <w:t xml:space="preserve"> Manchester </w:t>
      </w:r>
      <w:proofErr w:type="spellStart"/>
      <w:r w:rsidRPr="003A271D">
        <w:rPr>
          <w:rFonts w:ascii="Arial" w:hAnsi="Arial" w:cs="Arial"/>
          <w:sz w:val="24"/>
          <w:szCs w:val="24"/>
          <w:lang w:val="en-GB" w:eastAsia="en-GB"/>
        </w:rPr>
        <w:t>Debdale</w:t>
      </w:r>
      <w:proofErr w:type="spellEnd"/>
      <w:r w:rsidRPr="003A271D">
        <w:rPr>
          <w:rFonts w:ascii="Arial" w:hAnsi="Arial" w:cs="Arial"/>
          <w:sz w:val="24"/>
          <w:szCs w:val="24"/>
          <w:lang w:val="en-GB" w:eastAsia="en-GB"/>
        </w:rPr>
        <w:t xml:space="preserve"> offers plans from £17.99 per month which would make a significant increase in price difficult to justify without some evidence of added value (</w:t>
      </w:r>
      <w:proofErr w:type="spellStart"/>
      <w:r w:rsidRPr="003A271D">
        <w:rPr>
          <w:rFonts w:ascii="Arial" w:hAnsi="Arial" w:cs="Arial"/>
          <w:sz w:val="24"/>
          <w:szCs w:val="24"/>
          <w:lang w:val="en-GB" w:eastAsia="en-GB"/>
        </w:rPr>
        <w:t>Jetts</w:t>
      </w:r>
      <w:proofErr w:type="spellEnd"/>
      <w:r w:rsidRPr="003A271D">
        <w:rPr>
          <w:rFonts w:ascii="Arial" w:hAnsi="Arial" w:cs="Arial"/>
          <w:sz w:val="24"/>
          <w:szCs w:val="24"/>
          <w:lang w:val="en-GB" w:eastAsia="en-GB"/>
        </w:rPr>
        <w:t xml:space="preserve">, 2026; </w:t>
      </w:r>
      <w:proofErr w:type="spellStart"/>
      <w:r w:rsidRPr="003A271D">
        <w:rPr>
          <w:rFonts w:ascii="Arial" w:hAnsi="Arial" w:cs="Arial"/>
          <w:sz w:val="24"/>
          <w:szCs w:val="24"/>
          <w:lang w:val="en-GB" w:eastAsia="en-GB"/>
        </w:rPr>
        <w:t>PureGym</w:t>
      </w:r>
      <w:proofErr w:type="spellEnd"/>
      <w:r w:rsidRPr="003A271D">
        <w:rPr>
          <w:rFonts w:ascii="Arial" w:hAnsi="Arial" w:cs="Arial"/>
          <w:sz w:val="24"/>
          <w:szCs w:val="24"/>
          <w:lang w:val="en-GB" w:eastAsia="en-GB"/>
        </w:rPr>
        <w:t>, 2026).</w:t>
      </w:r>
    </w:p>
    <w:p w14:paraId="4F516845" w14:textId="77777777" w:rsidR="006F72FE" w:rsidRPr="003A271D" w:rsidRDefault="006F72FE"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The primary source of income is thus recurring membership fees. Income from other activities such as personal training is not included in the base case so that viability is not achieved if secondary income is available. This conservative approach results in upside from future personal-training, partnership or ancillary-service income without requiring it to meet the base forecast.</w:t>
      </w:r>
    </w:p>
    <w:p w14:paraId="0119F1DE" w14:textId="6CE1299A" w:rsidR="006F72FE" w:rsidRPr="003A271D" w:rsidRDefault="006F72FE"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t>Start-up investment &amp; funding.</w:t>
      </w:r>
    </w:p>
    <w:p w14:paraId="4FE8B3AA" w14:textId="5B607A1C" w:rsidR="00B600DF" w:rsidRPr="003A271D" w:rsidRDefault="006F72FE"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The estimated initial cost is around £180,000 (this is subject to quotations from suppliers and premises negotiations). An indicative allocation is</w:t>
      </w:r>
      <w:r w:rsidR="00B600DF" w:rsidRPr="003A271D">
        <w:rPr>
          <w:rFonts w:ascii="Arial" w:hAnsi="Arial" w:cs="Arial"/>
          <w:sz w:val="24"/>
          <w:szCs w:val="24"/>
          <w:lang w:val="en-GB" w:eastAsia="en-GB"/>
        </w:rPr>
        <w:t>:</w:t>
      </w:r>
    </w:p>
    <w:p w14:paraId="3CEABC51" w14:textId="052931BF" w:rsidR="004F31F9" w:rsidRPr="003A271D" w:rsidRDefault="004F31F9" w:rsidP="003A271D">
      <w:pPr>
        <w:pStyle w:val="Caption"/>
        <w:keepNext/>
        <w:spacing w:line="360" w:lineRule="auto"/>
        <w:jc w:val="both"/>
        <w:rPr>
          <w:rFonts w:ascii="Arial" w:hAnsi="Arial" w:cs="Arial"/>
          <w:sz w:val="24"/>
        </w:rPr>
      </w:pPr>
      <w:bookmarkStart w:id="83" w:name="_Toc239091508"/>
      <w:r w:rsidRPr="003A271D">
        <w:rPr>
          <w:rFonts w:ascii="Arial" w:hAnsi="Arial" w:cs="Arial"/>
          <w:sz w:val="24"/>
        </w:rPr>
        <w:t xml:space="preserve">Table </w:t>
      </w:r>
      <w:r w:rsidRPr="003A271D">
        <w:rPr>
          <w:rFonts w:ascii="Arial" w:hAnsi="Arial" w:cs="Arial"/>
          <w:sz w:val="24"/>
        </w:rPr>
        <w:fldChar w:fldCharType="begin"/>
      </w:r>
      <w:r w:rsidRPr="003A271D">
        <w:rPr>
          <w:rFonts w:ascii="Arial" w:hAnsi="Arial" w:cs="Arial"/>
          <w:sz w:val="24"/>
        </w:rPr>
        <w:instrText xml:space="preserve"> SEQ Table \* ARABIC </w:instrText>
      </w:r>
      <w:r w:rsidRPr="003A271D">
        <w:rPr>
          <w:rFonts w:ascii="Arial" w:hAnsi="Arial" w:cs="Arial"/>
          <w:sz w:val="24"/>
        </w:rPr>
        <w:fldChar w:fldCharType="separate"/>
      </w:r>
      <w:r w:rsidR="00415D83">
        <w:rPr>
          <w:rFonts w:ascii="Arial" w:hAnsi="Arial" w:cs="Arial"/>
          <w:noProof/>
          <w:sz w:val="24"/>
        </w:rPr>
        <w:t>12</w:t>
      </w:r>
      <w:r w:rsidRPr="003A271D">
        <w:rPr>
          <w:rFonts w:ascii="Arial" w:hAnsi="Arial" w:cs="Arial"/>
          <w:sz w:val="24"/>
        </w:rPr>
        <w:fldChar w:fldCharType="end"/>
      </w:r>
      <w:r w:rsidRPr="003A271D">
        <w:rPr>
          <w:rFonts w:ascii="Arial" w:hAnsi="Arial" w:cs="Arial"/>
          <w:sz w:val="24"/>
        </w:rPr>
        <w:t>.Start-up investment &amp; funding.</w:t>
      </w:r>
      <w:bookmarkEnd w:id="83"/>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612"/>
        <w:gridCol w:w="2304"/>
      </w:tblGrid>
      <w:tr w:rsidR="00B600DF" w:rsidRPr="003A271D" w14:paraId="098A572B" w14:textId="77777777" w:rsidTr="006F72FE">
        <w:trPr>
          <w:tblCellSpacing w:w="15" w:type="dxa"/>
          <w:jc w:val="center"/>
        </w:trPr>
        <w:tc>
          <w:tcPr>
            <w:tcW w:w="0" w:type="auto"/>
            <w:vAlign w:val="center"/>
            <w:hideMark/>
          </w:tcPr>
          <w:p w14:paraId="2D416623"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Start-up requirement</w:t>
            </w:r>
          </w:p>
        </w:tc>
        <w:tc>
          <w:tcPr>
            <w:tcW w:w="0" w:type="auto"/>
            <w:vAlign w:val="center"/>
            <w:hideMark/>
          </w:tcPr>
          <w:p w14:paraId="40F81D57"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Planning assumption</w:t>
            </w:r>
          </w:p>
        </w:tc>
      </w:tr>
      <w:tr w:rsidR="00B600DF" w:rsidRPr="003A271D" w14:paraId="3BE7703E" w14:textId="77777777" w:rsidTr="006F72FE">
        <w:trPr>
          <w:tblCellSpacing w:w="15" w:type="dxa"/>
          <w:jc w:val="center"/>
        </w:trPr>
        <w:tc>
          <w:tcPr>
            <w:tcW w:w="0" w:type="auto"/>
            <w:vAlign w:val="center"/>
            <w:hideMark/>
          </w:tcPr>
          <w:p w14:paraId="1B3EC7D1"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Premises deposit and initial fit-out</w:t>
            </w:r>
          </w:p>
        </w:tc>
        <w:tc>
          <w:tcPr>
            <w:tcW w:w="0" w:type="auto"/>
            <w:vAlign w:val="center"/>
            <w:hideMark/>
          </w:tcPr>
          <w:p w14:paraId="5284636F"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£40,000</w:t>
            </w:r>
          </w:p>
        </w:tc>
      </w:tr>
      <w:tr w:rsidR="00B600DF" w:rsidRPr="003A271D" w14:paraId="36A91383" w14:textId="77777777" w:rsidTr="006F72FE">
        <w:trPr>
          <w:tblCellSpacing w:w="15" w:type="dxa"/>
          <w:jc w:val="center"/>
        </w:trPr>
        <w:tc>
          <w:tcPr>
            <w:tcW w:w="0" w:type="auto"/>
            <w:vAlign w:val="center"/>
            <w:hideMark/>
          </w:tcPr>
          <w:p w14:paraId="38C9C8F9"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Gym equipment and installation</w:t>
            </w:r>
          </w:p>
        </w:tc>
        <w:tc>
          <w:tcPr>
            <w:tcW w:w="0" w:type="auto"/>
            <w:vAlign w:val="center"/>
            <w:hideMark/>
          </w:tcPr>
          <w:p w14:paraId="302FD91E"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£55,000</w:t>
            </w:r>
          </w:p>
        </w:tc>
      </w:tr>
      <w:tr w:rsidR="00B600DF" w:rsidRPr="003A271D" w14:paraId="1FA82153" w14:textId="77777777" w:rsidTr="006F72FE">
        <w:trPr>
          <w:tblCellSpacing w:w="15" w:type="dxa"/>
          <w:jc w:val="center"/>
        </w:trPr>
        <w:tc>
          <w:tcPr>
            <w:tcW w:w="0" w:type="auto"/>
            <w:vAlign w:val="center"/>
            <w:hideMark/>
          </w:tcPr>
          <w:p w14:paraId="0F5E6A99"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AI/app/platform implementation</w:t>
            </w:r>
          </w:p>
        </w:tc>
        <w:tc>
          <w:tcPr>
            <w:tcW w:w="0" w:type="auto"/>
            <w:vAlign w:val="center"/>
            <w:hideMark/>
          </w:tcPr>
          <w:p w14:paraId="342C398A"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£20,000</w:t>
            </w:r>
          </w:p>
        </w:tc>
      </w:tr>
      <w:tr w:rsidR="00B600DF" w:rsidRPr="003A271D" w14:paraId="105459A5" w14:textId="77777777" w:rsidTr="006F72FE">
        <w:trPr>
          <w:tblCellSpacing w:w="15" w:type="dxa"/>
          <w:jc w:val="center"/>
        </w:trPr>
        <w:tc>
          <w:tcPr>
            <w:tcW w:w="0" w:type="auto"/>
            <w:vAlign w:val="center"/>
            <w:hideMark/>
          </w:tcPr>
          <w:p w14:paraId="10133DDA"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Wearable and technology integration</w:t>
            </w:r>
          </w:p>
        </w:tc>
        <w:tc>
          <w:tcPr>
            <w:tcW w:w="0" w:type="auto"/>
            <w:vAlign w:val="center"/>
            <w:hideMark/>
          </w:tcPr>
          <w:p w14:paraId="4D389FB9"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£10,000</w:t>
            </w:r>
          </w:p>
        </w:tc>
      </w:tr>
      <w:tr w:rsidR="00B600DF" w:rsidRPr="003A271D" w14:paraId="253F5392" w14:textId="77777777" w:rsidTr="006F72FE">
        <w:trPr>
          <w:tblCellSpacing w:w="15" w:type="dxa"/>
          <w:jc w:val="center"/>
        </w:trPr>
        <w:tc>
          <w:tcPr>
            <w:tcW w:w="0" w:type="auto"/>
            <w:vAlign w:val="center"/>
            <w:hideMark/>
          </w:tcPr>
          <w:p w14:paraId="0EFFD5D4"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Branding, website and launch assets</w:t>
            </w:r>
          </w:p>
        </w:tc>
        <w:tc>
          <w:tcPr>
            <w:tcW w:w="0" w:type="auto"/>
            <w:vAlign w:val="center"/>
            <w:hideMark/>
          </w:tcPr>
          <w:p w14:paraId="07BAD30D"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£7,000</w:t>
            </w:r>
          </w:p>
        </w:tc>
      </w:tr>
      <w:tr w:rsidR="00B600DF" w:rsidRPr="003A271D" w14:paraId="221936D5" w14:textId="77777777" w:rsidTr="006F72FE">
        <w:trPr>
          <w:tblCellSpacing w:w="15" w:type="dxa"/>
          <w:jc w:val="center"/>
        </w:trPr>
        <w:tc>
          <w:tcPr>
            <w:tcW w:w="0" w:type="auto"/>
            <w:vAlign w:val="center"/>
            <w:hideMark/>
          </w:tcPr>
          <w:p w14:paraId="0975C436"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Legal, insurance, registration and professional costs</w:t>
            </w:r>
          </w:p>
        </w:tc>
        <w:tc>
          <w:tcPr>
            <w:tcW w:w="0" w:type="auto"/>
            <w:vAlign w:val="center"/>
            <w:hideMark/>
          </w:tcPr>
          <w:p w14:paraId="05F4F9A1"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£6,000</w:t>
            </w:r>
          </w:p>
        </w:tc>
      </w:tr>
      <w:tr w:rsidR="00B600DF" w:rsidRPr="003A271D" w14:paraId="5B1DCF5B" w14:textId="77777777" w:rsidTr="006F72FE">
        <w:trPr>
          <w:tblCellSpacing w:w="15" w:type="dxa"/>
          <w:jc w:val="center"/>
        </w:trPr>
        <w:tc>
          <w:tcPr>
            <w:tcW w:w="0" w:type="auto"/>
            <w:vAlign w:val="center"/>
            <w:hideMark/>
          </w:tcPr>
          <w:p w14:paraId="3C595CB3"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Recruitment and pre-opening training</w:t>
            </w:r>
          </w:p>
        </w:tc>
        <w:tc>
          <w:tcPr>
            <w:tcW w:w="0" w:type="auto"/>
            <w:vAlign w:val="center"/>
            <w:hideMark/>
          </w:tcPr>
          <w:p w14:paraId="4B461844"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£7,000</w:t>
            </w:r>
          </w:p>
        </w:tc>
      </w:tr>
      <w:tr w:rsidR="00B600DF" w:rsidRPr="003A271D" w14:paraId="6E4932FC" w14:textId="77777777" w:rsidTr="006F72FE">
        <w:trPr>
          <w:tblCellSpacing w:w="15" w:type="dxa"/>
          <w:jc w:val="center"/>
        </w:trPr>
        <w:tc>
          <w:tcPr>
            <w:tcW w:w="0" w:type="auto"/>
            <w:vAlign w:val="center"/>
            <w:hideMark/>
          </w:tcPr>
          <w:p w14:paraId="21A8AA0E"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Pre-launch marketing</w:t>
            </w:r>
          </w:p>
        </w:tc>
        <w:tc>
          <w:tcPr>
            <w:tcW w:w="0" w:type="auto"/>
            <w:vAlign w:val="center"/>
            <w:hideMark/>
          </w:tcPr>
          <w:p w14:paraId="5E90A650"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£10,000</w:t>
            </w:r>
          </w:p>
        </w:tc>
      </w:tr>
      <w:tr w:rsidR="00B600DF" w:rsidRPr="003A271D" w14:paraId="4CE511F9" w14:textId="77777777" w:rsidTr="006F72FE">
        <w:trPr>
          <w:tblCellSpacing w:w="15" w:type="dxa"/>
          <w:jc w:val="center"/>
        </w:trPr>
        <w:tc>
          <w:tcPr>
            <w:tcW w:w="0" w:type="auto"/>
            <w:vAlign w:val="center"/>
            <w:hideMark/>
          </w:tcPr>
          <w:p w14:paraId="0935EB48"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Initial working capital and contingency</w:t>
            </w:r>
          </w:p>
        </w:tc>
        <w:tc>
          <w:tcPr>
            <w:tcW w:w="0" w:type="auto"/>
            <w:vAlign w:val="center"/>
            <w:hideMark/>
          </w:tcPr>
          <w:p w14:paraId="748FD4D6"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£25,000</w:t>
            </w:r>
          </w:p>
        </w:tc>
      </w:tr>
      <w:tr w:rsidR="00B600DF" w:rsidRPr="003A271D" w14:paraId="6C01F25C" w14:textId="77777777" w:rsidTr="006F72FE">
        <w:trPr>
          <w:tblCellSpacing w:w="15" w:type="dxa"/>
          <w:jc w:val="center"/>
        </w:trPr>
        <w:tc>
          <w:tcPr>
            <w:tcW w:w="0" w:type="auto"/>
            <w:vAlign w:val="center"/>
            <w:hideMark/>
          </w:tcPr>
          <w:p w14:paraId="0AEF5D98"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Total</w:t>
            </w:r>
          </w:p>
        </w:tc>
        <w:tc>
          <w:tcPr>
            <w:tcW w:w="0" w:type="auto"/>
            <w:vAlign w:val="center"/>
            <w:hideMark/>
          </w:tcPr>
          <w:p w14:paraId="1BE6456C"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£180,000</w:t>
            </w:r>
          </w:p>
        </w:tc>
      </w:tr>
    </w:tbl>
    <w:p w14:paraId="3BA406AC" w14:textId="77777777" w:rsidR="006F72FE" w:rsidRPr="003A271D" w:rsidRDefault="006F72FE" w:rsidP="003A271D">
      <w:pPr>
        <w:spacing w:line="360" w:lineRule="auto"/>
        <w:jc w:val="both"/>
        <w:rPr>
          <w:rFonts w:ascii="Arial" w:hAnsi="Arial" w:cs="Arial"/>
          <w:sz w:val="24"/>
          <w:szCs w:val="24"/>
          <w:lang w:val="en-GB" w:eastAsia="en-GB"/>
        </w:rPr>
      </w:pPr>
    </w:p>
    <w:p w14:paraId="10ACB4F2" w14:textId="77777777" w:rsidR="00C226CC" w:rsidRPr="003A271D" w:rsidRDefault="00C226CC"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lastRenderedPageBreak/>
        <w:t>The proposed funding may then be a combination of the owner/investor's capital and a suitable business-finance facility, depending on the affordability and the requirements of the lender. The working-capital allowance is significant since during the initial phase of the business's ramp-up, the business is expected to run below break-even.</w:t>
      </w:r>
    </w:p>
    <w:p w14:paraId="4CA65159" w14:textId="77777777" w:rsidR="00C226CC" w:rsidRPr="003A271D" w:rsidRDefault="00C226CC"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t>Operating cost structure</w:t>
      </w:r>
    </w:p>
    <w:p w14:paraId="238BAE55" w14:textId="77777777" w:rsidR="00C226CC" w:rsidRPr="003A271D" w:rsidRDefault="00C226CC" w:rsidP="003A271D">
      <w:pPr>
        <w:spacing w:line="360" w:lineRule="auto"/>
        <w:jc w:val="both"/>
        <w:rPr>
          <w:rFonts w:ascii="Arial" w:hAnsi="Arial" w:cs="Arial"/>
          <w:sz w:val="24"/>
          <w:szCs w:val="24"/>
          <w:lang w:val="en-GB" w:eastAsia="en-GB"/>
        </w:rPr>
      </w:pPr>
      <w:proofErr w:type="spellStart"/>
      <w:r w:rsidRPr="003A271D">
        <w:rPr>
          <w:rFonts w:ascii="Arial" w:hAnsi="Arial" w:cs="Arial"/>
          <w:sz w:val="24"/>
          <w:szCs w:val="24"/>
          <w:lang w:val="en-GB" w:eastAsia="en-GB"/>
        </w:rPr>
        <w:t>FitLife's</w:t>
      </w:r>
      <w:proofErr w:type="spellEnd"/>
      <w:r w:rsidRPr="003A271D">
        <w:rPr>
          <w:rFonts w:ascii="Arial" w:hAnsi="Arial" w:cs="Arial"/>
          <w:sz w:val="24"/>
          <w:szCs w:val="24"/>
          <w:lang w:val="en-GB" w:eastAsia="en-GB"/>
        </w:rPr>
        <w:t xml:space="preserve"> costs are semi-fixed costs and variable costs related to the members. Indicative annual fixed operating costs are approximately £229,000 (base year) and comprise of premises (£45,000), core salaries (£105,000), technology/software (£18,000), utilities (£15,000), insurance (£5,000), recurring marketing (£24,000), maintenance (£10,000) and administration/professional costs (£7,000). These are planning assumptions which need to be confirmed by quotations.</w:t>
      </w:r>
    </w:p>
    <w:p w14:paraId="40ABB50A" w14:textId="77777777" w:rsidR="00C226CC" w:rsidRPr="003A271D" w:rsidRDefault="00C226CC"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It is assumed that payment processing, member-related technology, consumables etc., will cost around £4.50 per active member per month, which is a variable cost. Labour costs should also be reviewed as members grow as more trainers and front of house capacity may be required.</w:t>
      </w:r>
    </w:p>
    <w:p w14:paraId="164D2963" w14:textId="77777777" w:rsidR="00C226CC" w:rsidRPr="003A271D" w:rsidRDefault="00C226CC"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The cost of employment should be related to the needs of the current UK. The National Living Wage (for workers over 21) will be £12.71 an hour from April 2026 (Low Pay Commission, 2026). Employer National Insurance contributions are 15% higher than the base NSI rate, and the minimum employer Workplace-pension contribution is typically 3% of qualifying earnings (HMRC, 2026; DWP, 2026). These are statutory costs that emphasize why it's important to not underestimate the actual cost of staffing.</w:t>
      </w:r>
    </w:p>
    <w:p w14:paraId="29396BE5" w14:textId="77777777" w:rsidR="00C226CC" w:rsidRPr="003A271D" w:rsidRDefault="00C226CC"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t>Revenue and profitability forecast</w:t>
      </w:r>
    </w:p>
    <w:p w14:paraId="0A34383A" w14:textId="1AECFB1F" w:rsidR="00B600DF" w:rsidRPr="003A271D" w:rsidRDefault="00C226CC"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Average active memberships times the weighted average monthly membership value equals the base case revenue forecast</w:t>
      </w:r>
      <w:r w:rsidR="00B600DF" w:rsidRPr="003A271D">
        <w:rPr>
          <w:rFonts w:ascii="Arial" w:hAnsi="Arial" w:cs="Arial"/>
          <w:sz w:val="24"/>
          <w:szCs w:val="24"/>
          <w:lang w:val="en-GB" w:eastAsia="en-GB"/>
        </w:rPr>
        <w:t>.</w:t>
      </w:r>
    </w:p>
    <w:p w14:paraId="77B399C7" w14:textId="1C6958D1" w:rsidR="00E84D6D" w:rsidRPr="003A271D" w:rsidRDefault="00E84D6D" w:rsidP="003A271D">
      <w:pPr>
        <w:pStyle w:val="Caption"/>
        <w:keepNext/>
        <w:spacing w:line="360" w:lineRule="auto"/>
        <w:jc w:val="both"/>
        <w:rPr>
          <w:rFonts w:ascii="Arial" w:hAnsi="Arial" w:cs="Arial"/>
          <w:sz w:val="24"/>
        </w:rPr>
      </w:pPr>
      <w:bookmarkStart w:id="84" w:name="_Toc239091509"/>
      <w:r w:rsidRPr="003A271D">
        <w:rPr>
          <w:rFonts w:ascii="Arial" w:hAnsi="Arial" w:cs="Arial"/>
          <w:sz w:val="24"/>
        </w:rPr>
        <w:t xml:space="preserve">Table </w:t>
      </w:r>
      <w:r w:rsidRPr="003A271D">
        <w:rPr>
          <w:rFonts w:ascii="Arial" w:hAnsi="Arial" w:cs="Arial"/>
          <w:sz w:val="24"/>
        </w:rPr>
        <w:fldChar w:fldCharType="begin"/>
      </w:r>
      <w:r w:rsidRPr="003A271D">
        <w:rPr>
          <w:rFonts w:ascii="Arial" w:hAnsi="Arial" w:cs="Arial"/>
          <w:sz w:val="24"/>
        </w:rPr>
        <w:instrText xml:space="preserve"> SEQ Table \* ARABIC </w:instrText>
      </w:r>
      <w:r w:rsidRPr="003A271D">
        <w:rPr>
          <w:rFonts w:ascii="Arial" w:hAnsi="Arial" w:cs="Arial"/>
          <w:sz w:val="24"/>
        </w:rPr>
        <w:fldChar w:fldCharType="separate"/>
      </w:r>
      <w:r w:rsidR="00415D83">
        <w:rPr>
          <w:rFonts w:ascii="Arial" w:hAnsi="Arial" w:cs="Arial"/>
          <w:noProof/>
          <w:sz w:val="24"/>
        </w:rPr>
        <w:t>13</w:t>
      </w:r>
      <w:r w:rsidRPr="003A271D">
        <w:rPr>
          <w:rFonts w:ascii="Arial" w:hAnsi="Arial" w:cs="Arial"/>
          <w:sz w:val="24"/>
        </w:rPr>
        <w:fldChar w:fldCharType="end"/>
      </w:r>
      <w:r w:rsidRPr="003A271D">
        <w:rPr>
          <w:rFonts w:ascii="Arial" w:hAnsi="Arial" w:cs="Arial"/>
          <w:sz w:val="24"/>
        </w:rPr>
        <w:t>.Revenue and profitability forecast</w:t>
      </w:r>
      <w:bookmarkEnd w:id="84"/>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80"/>
        <w:gridCol w:w="1580"/>
        <w:gridCol w:w="1648"/>
        <w:gridCol w:w="1892"/>
        <w:gridCol w:w="1204"/>
        <w:gridCol w:w="2022"/>
      </w:tblGrid>
      <w:tr w:rsidR="00B600DF" w:rsidRPr="003A271D" w14:paraId="4C5F7396" w14:textId="77777777" w:rsidTr="00B600DF">
        <w:trPr>
          <w:tblCellSpacing w:w="15" w:type="dxa"/>
        </w:trPr>
        <w:tc>
          <w:tcPr>
            <w:tcW w:w="0" w:type="auto"/>
            <w:vAlign w:val="center"/>
            <w:hideMark/>
          </w:tcPr>
          <w:p w14:paraId="105DADA3" w14:textId="77777777" w:rsidR="00B600DF" w:rsidRPr="003A271D" w:rsidRDefault="00B600DF"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t>Year</w:t>
            </w:r>
          </w:p>
        </w:tc>
        <w:tc>
          <w:tcPr>
            <w:tcW w:w="0" w:type="auto"/>
            <w:vAlign w:val="center"/>
            <w:hideMark/>
          </w:tcPr>
          <w:p w14:paraId="74DB1244" w14:textId="77777777" w:rsidR="00B600DF" w:rsidRPr="003A271D" w:rsidRDefault="00B600DF"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t>Average members</w:t>
            </w:r>
          </w:p>
        </w:tc>
        <w:tc>
          <w:tcPr>
            <w:tcW w:w="0" w:type="auto"/>
            <w:vAlign w:val="center"/>
            <w:hideMark/>
          </w:tcPr>
          <w:p w14:paraId="1358A28F" w14:textId="77777777" w:rsidR="00B600DF" w:rsidRPr="003A271D" w:rsidRDefault="00B600DF"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t>Estimated revenue</w:t>
            </w:r>
          </w:p>
        </w:tc>
        <w:tc>
          <w:tcPr>
            <w:tcW w:w="0" w:type="auto"/>
            <w:vAlign w:val="center"/>
            <w:hideMark/>
          </w:tcPr>
          <w:p w14:paraId="4A60F222" w14:textId="77777777" w:rsidR="00B600DF" w:rsidRPr="003A271D" w:rsidRDefault="00B600DF"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t>Estimated variable cost</w:t>
            </w:r>
          </w:p>
        </w:tc>
        <w:tc>
          <w:tcPr>
            <w:tcW w:w="0" w:type="auto"/>
            <w:vAlign w:val="center"/>
            <w:hideMark/>
          </w:tcPr>
          <w:p w14:paraId="0435E64F" w14:textId="77777777" w:rsidR="00B600DF" w:rsidRPr="003A271D" w:rsidRDefault="00B600DF"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t>Fixed costs</w:t>
            </w:r>
          </w:p>
        </w:tc>
        <w:tc>
          <w:tcPr>
            <w:tcW w:w="0" w:type="auto"/>
            <w:vAlign w:val="center"/>
            <w:hideMark/>
          </w:tcPr>
          <w:p w14:paraId="22D12404" w14:textId="77777777" w:rsidR="00B600DF" w:rsidRPr="003A271D" w:rsidRDefault="00B600DF"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t>Indicative operating result</w:t>
            </w:r>
          </w:p>
        </w:tc>
      </w:tr>
      <w:tr w:rsidR="00B600DF" w:rsidRPr="003A271D" w14:paraId="273814FD" w14:textId="77777777" w:rsidTr="00B600DF">
        <w:trPr>
          <w:tblCellSpacing w:w="15" w:type="dxa"/>
        </w:trPr>
        <w:tc>
          <w:tcPr>
            <w:tcW w:w="0" w:type="auto"/>
            <w:vAlign w:val="center"/>
            <w:hideMark/>
          </w:tcPr>
          <w:p w14:paraId="04E21BEF"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lastRenderedPageBreak/>
              <w:t>Year 1</w:t>
            </w:r>
          </w:p>
        </w:tc>
        <w:tc>
          <w:tcPr>
            <w:tcW w:w="0" w:type="auto"/>
            <w:vAlign w:val="center"/>
            <w:hideMark/>
          </w:tcPr>
          <w:p w14:paraId="71565C83"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300</w:t>
            </w:r>
          </w:p>
        </w:tc>
        <w:tc>
          <w:tcPr>
            <w:tcW w:w="0" w:type="auto"/>
            <w:vAlign w:val="center"/>
            <w:hideMark/>
          </w:tcPr>
          <w:p w14:paraId="192812BD"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£119,664</w:t>
            </w:r>
          </w:p>
        </w:tc>
        <w:tc>
          <w:tcPr>
            <w:tcW w:w="0" w:type="auto"/>
            <w:vAlign w:val="center"/>
            <w:hideMark/>
          </w:tcPr>
          <w:p w14:paraId="3163ADF5"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£16,200</w:t>
            </w:r>
          </w:p>
        </w:tc>
        <w:tc>
          <w:tcPr>
            <w:tcW w:w="0" w:type="auto"/>
            <w:vAlign w:val="center"/>
            <w:hideMark/>
          </w:tcPr>
          <w:p w14:paraId="58156CEA"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£229,000</w:t>
            </w:r>
          </w:p>
        </w:tc>
        <w:tc>
          <w:tcPr>
            <w:tcW w:w="0" w:type="auto"/>
            <w:vAlign w:val="center"/>
            <w:hideMark/>
          </w:tcPr>
          <w:p w14:paraId="49002FD7"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-£125,536</w:t>
            </w:r>
          </w:p>
        </w:tc>
      </w:tr>
      <w:tr w:rsidR="00B600DF" w:rsidRPr="003A271D" w14:paraId="2BE9E282" w14:textId="77777777" w:rsidTr="00B600DF">
        <w:trPr>
          <w:tblCellSpacing w:w="15" w:type="dxa"/>
        </w:trPr>
        <w:tc>
          <w:tcPr>
            <w:tcW w:w="0" w:type="auto"/>
            <w:vAlign w:val="center"/>
            <w:hideMark/>
          </w:tcPr>
          <w:p w14:paraId="2D89E522"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Year 2</w:t>
            </w:r>
          </w:p>
        </w:tc>
        <w:tc>
          <w:tcPr>
            <w:tcW w:w="0" w:type="auto"/>
            <w:vAlign w:val="center"/>
            <w:hideMark/>
          </w:tcPr>
          <w:p w14:paraId="1E281E2C"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750</w:t>
            </w:r>
          </w:p>
        </w:tc>
        <w:tc>
          <w:tcPr>
            <w:tcW w:w="0" w:type="auto"/>
            <w:vAlign w:val="center"/>
            <w:hideMark/>
          </w:tcPr>
          <w:p w14:paraId="041A4924"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£299,160</w:t>
            </w:r>
          </w:p>
        </w:tc>
        <w:tc>
          <w:tcPr>
            <w:tcW w:w="0" w:type="auto"/>
            <w:vAlign w:val="center"/>
            <w:hideMark/>
          </w:tcPr>
          <w:p w14:paraId="7F74A4AB"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£40,500</w:t>
            </w:r>
          </w:p>
        </w:tc>
        <w:tc>
          <w:tcPr>
            <w:tcW w:w="0" w:type="auto"/>
            <w:vAlign w:val="center"/>
            <w:hideMark/>
          </w:tcPr>
          <w:p w14:paraId="38DE35F9"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£229,000</w:t>
            </w:r>
          </w:p>
        </w:tc>
        <w:tc>
          <w:tcPr>
            <w:tcW w:w="0" w:type="auto"/>
            <w:vAlign w:val="center"/>
            <w:hideMark/>
          </w:tcPr>
          <w:p w14:paraId="3FC9630E"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£29,660</w:t>
            </w:r>
          </w:p>
        </w:tc>
      </w:tr>
      <w:tr w:rsidR="00B600DF" w:rsidRPr="003A271D" w14:paraId="07C38169" w14:textId="77777777" w:rsidTr="00B600DF">
        <w:trPr>
          <w:tblCellSpacing w:w="15" w:type="dxa"/>
        </w:trPr>
        <w:tc>
          <w:tcPr>
            <w:tcW w:w="0" w:type="auto"/>
            <w:vAlign w:val="center"/>
            <w:hideMark/>
          </w:tcPr>
          <w:p w14:paraId="46A36793"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Year 3</w:t>
            </w:r>
          </w:p>
        </w:tc>
        <w:tc>
          <w:tcPr>
            <w:tcW w:w="0" w:type="auto"/>
            <w:vAlign w:val="center"/>
            <w:hideMark/>
          </w:tcPr>
          <w:p w14:paraId="05C93DC9"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1,050</w:t>
            </w:r>
          </w:p>
        </w:tc>
        <w:tc>
          <w:tcPr>
            <w:tcW w:w="0" w:type="auto"/>
            <w:vAlign w:val="center"/>
            <w:hideMark/>
          </w:tcPr>
          <w:p w14:paraId="1453F128"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£418,824</w:t>
            </w:r>
          </w:p>
        </w:tc>
        <w:tc>
          <w:tcPr>
            <w:tcW w:w="0" w:type="auto"/>
            <w:vAlign w:val="center"/>
            <w:hideMark/>
          </w:tcPr>
          <w:p w14:paraId="73575AA7"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£56,700</w:t>
            </w:r>
          </w:p>
        </w:tc>
        <w:tc>
          <w:tcPr>
            <w:tcW w:w="0" w:type="auto"/>
            <w:vAlign w:val="center"/>
            <w:hideMark/>
          </w:tcPr>
          <w:p w14:paraId="793DB1AD"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£229,000</w:t>
            </w:r>
          </w:p>
        </w:tc>
        <w:tc>
          <w:tcPr>
            <w:tcW w:w="0" w:type="auto"/>
            <w:vAlign w:val="center"/>
            <w:hideMark/>
          </w:tcPr>
          <w:p w14:paraId="4ED6212C"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£133,124</w:t>
            </w:r>
          </w:p>
        </w:tc>
      </w:tr>
      <w:tr w:rsidR="00B600DF" w:rsidRPr="003A271D" w14:paraId="3E7BBE03" w14:textId="77777777" w:rsidTr="00B600DF">
        <w:trPr>
          <w:tblCellSpacing w:w="15" w:type="dxa"/>
        </w:trPr>
        <w:tc>
          <w:tcPr>
            <w:tcW w:w="0" w:type="auto"/>
            <w:vAlign w:val="center"/>
            <w:hideMark/>
          </w:tcPr>
          <w:p w14:paraId="72484640"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Year 4</w:t>
            </w:r>
          </w:p>
        </w:tc>
        <w:tc>
          <w:tcPr>
            <w:tcW w:w="0" w:type="auto"/>
            <w:vAlign w:val="center"/>
            <w:hideMark/>
          </w:tcPr>
          <w:p w14:paraId="59BBEC6D"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1,350</w:t>
            </w:r>
          </w:p>
        </w:tc>
        <w:tc>
          <w:tcPr>
            <w:tcW w:w="0" w:type="auto"/>
            <w:vAlign w:val="center"/>
            <w:hideMark/>
          </w:tcPr>
          <w:p w14:paraId="1969F016"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£538,488</w:t>
            </w:r>
          </w:p>
        </w:tc>
        <w:tc>
          <w:tcPr>
            <w:tcW w:w="0" w:type="auto"/>
            <w:vAlign w:val="center"/>
            <w:hideMark/>
          </w:tcPr>
          <w:p w14:paraId="102C3158"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£72,900</w:t>
            </w:r>
          </w:p>
        </w:tc>
        <w:tc>
          <w:tcPr>
            <w:tcW w:w="0" w:type="auto"/>
            <w:vAlign w:val="center"/>
            <w:hideMark/>
          </w:tcPr>
          <w:p w14:paraId="0A6DBD09"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£229,000</w:t>
            </w:r>
          </w:p>
        </w:tc>
        <w:tc>
          <w:tcPr>
            <w:tcW w:w="0" w:type="auto"/>
            <w:vAlign w:val="center"/>
            <w:hideMark/>
          </w:tcPr>
          <w:p w14:paraId="2EF9C15C"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£236,588</w:t>
            </w:r>
          </w:p>
        </w:tc>
      </w:tr>
      <w:tr w:rsidR="00B600DF" w:rsidRPr="003A271D" w14:paraId="295BC61A" w14:textId="77777777" w:rsidTr="00B600DF">
        <w:trPr>
          <w:tblCellSpacing w:w="15" w:type="dxa"/>
        </w:trPr>
        <w:tc>
          <w:tcPr>
            <w:tcW w:w="0" w:type="auto"/>
            <w:vAlign w:val="center"/>
            <w:hideMark/>
          </w:tcPr>
          <w:p w14:paraId="2C355FE5"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Year 5</w:t>
            </w:r>
          </w:p>
        </w:tc>
        <w:tc>
          <w:tcPr>
            <w:tcW w:w="0" w:type="auto"/>
            <w:vAlign w:val="center"/>
            <w:hideMark/>
          </w:tcPr>
          <w:p w14:paraId="16AC8FC3"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1,650</w:t>
            </w:r>
          </w:p>
        </w:tc>
        <w:tc>
          <w:tcPr>
            <w:tcW w:w="0" w:type="auto"/>
            <w:vAlign w:val="center"/>
            <w:hideMark/>
          </w:tcPr>
          <w:p w14:paraId="7513EED3"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£658,152</w:t>
            </w:r>
          </w:p>
        </w:tc>
        <w:tc>
          <w:tcPr>
            <w:tcW w:w="0" w:type="auto"/>
            <w:vAlign w:val="center"/>
            <w:hideMark/>
          </w:tcPr>
          <w:p w14:paraId="18BDFD54"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£89,100</w:t>
            </w:r>
          </w:p>
        </w:tc>
        <w:tc>
          <w:tcPr>
            <w:tcW w:w="0" w:type="auto"/>
            <w:vAlign w:val="center"/>
            <w:hideMark/>
          </w:tcPr>
          <w:p w14:paraId="4BAC4FEA"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£229,000</w:t>
            </w:r>
          </w:p>
        </w:tc>
        <w:tc>
          <w:tcPr>
            <w:tcW w:w="0" w:type="auto"/>
            <w:vAlign w:val="center"/>
            <w:hideMark/>
          </w:tcPr>
          <w:p w14:paraId="2C829A07"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£340,052</w:t>
            </w:r>
          </w:p>
        </w:tc>
      </w:tr>
    </w:tbl>
    <w:p w14:paraId="49CF126F" w14:textId="77777777" w:rsidR="006F72FE" w:rsidRPr="003A271D" w:rsidRDefault="006F72FE" w:rsidP="003A271D">
      <w:pPr>
        <w:spacing w:line="360" w:lineRule="auto"/>
        <w:jc w:val="both"/>
        <w:rPr>
          <w:rFonts w:ascii="Arial" w:hAnsi="Arial" w:cs="Arial"/>
          <w:sz w:val="24"/>
          <w:szCs w:val="24"/>
          <w:lang w:val="en-GB" w:eastAsia="en-GB"/>
        </w:rPr>
      </w:pPr>
    </w:p>
    <w:p w14:paraId="21B7C870" w14:textId="77777777" w:rsidR="00D75C64" w:rsidRPr="003A271D" w:rsidRDefault="00D75C64"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First year operating loss is expected with growth of memberships expected to be substantial according to the forecast. The business starts earning surpluses in Year 2 under the given assumptions. The steeply rising profits in the later years are mainly attributable to the fact that the fixed costs, which tend to be rather stable, are spread across a larger base of members. This is an example of the operating leverage of the model, and it also shows why sufficient start-up working capital is important.</w:t>
      </w:r>
    </w:p>
    <w:p w14:paraId="22912238" w14:textId="77777777" w:rsidR="00D75C64" w:rsidRPr="003A271D" w:rsidRDefault="00D75C64"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Do not use the forecast as assurance of these profits. Wages, technology costs, and customer acquisition costs can be higher, as can inflation. Cost pressures are still relevant to financial planning, with the UK CPI being 2.9% in July, 2026 (ONS, 2026).</w:t>
      </w:r>
    </w:p>
    <w:p w14:paraId="34DA744B" w14:textId="77777777" w:rsidR="00D75C64" w:rsidRPr="003A271D" w:rsidRDefault="00D75C64"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t>Break-even and sensitivity</w:t>
      </w:r>
    </w:p>
    <w:p w14:paraId="3BAC32B2" w14:textId="77777777" w:rsidR="00D75C64" w:rsidRPr="003A271D" w:rsidRDefault="00D75C64"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The contribution is estimated to be £28.74 per member per month with a weighted average monthly membership value of £33.24 and variable cost of £4.50. With annual fixed costs of £229,000:</w:t>
      </w:r>
    </w:p>
    <w:p w14:paraId="58219B26" w14:textId="77777777" w:rsidR="00D75C64" w:rsidRPr="003A271D" w:rsidRDefault="00D75C64"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t>Break-even members = £229,000 ÷ (£28.74 × 12) ≈ 664 average active members.</w:t>
      </w:r>
    </w:p>
    <w:p w14:paraId="1C49DB65" w14:textId="4EEA358A" w:rsidR="00D75C64" w:rsidRPr="003A271D" w:rsidRDefault="00D75C64"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This is an important viability test. The assumed annual fixed-cost base is about 664 members who are active on average.</w:t>
      </w:r>
      <w:r w:rsidR="003A271D" w:rsidRPr="003A271D">
        <w:rPr>
          <w:rFonts w:ascii="Arial" w:hAnsi="Arial" w:cs="Arial"/>
          <w:sz w:val="24"/>
          <w:szCs w:val="24"/>
          <w:lang w:val="en-GB" w:eastAsia="en-GB"/>
        </w:rPr>
        <w:t xml:space="preserve"> </w:t>
      </w:r>
      <w:proofErr w:type="spellStart"/>
      <w:r w:rsidRPr="003A271D">
        <w:rPr>
          <w:rFonts w:ascii="Arial" w:hAnsi="Arial" w:cs="Arial"/>
          <w:sz w:val="24"/>
          <w:szCs w:val="24"/>
          <w:lang w:val="en-GB" w:eastAsia="en-GB"/>
        </w:rPr>
        <w:t>FitLife</w:t>
      </w:r>
      <w:proofErr w:type="spellEnd"/>
      <w:r w:rsidRPr="003A271D">
        <w:rPr>
          <w:rFonts w:ascii="Arial" w:hAnsi="Arial" w:cs="Arial"/>
          <w:sz w:val="24"/>
          <w:szCs w:val="24"/>
          <w:lang w:val="en-GB" w:eastAsia="en-GB"/>
        </w:rPr>
        <w:t xml:space="preserve"> needs to have about 664 average active members per year to cover its assumed annual fixed-cost base. The requirement is lower than the expected average membership in the planned Year 2 which is 750, </w:t>
      </w:r>
      <w:r w:rsidRPr="003A271D">
        <w:rPr>
          <w:rFonts w:ascii="Arial" w:hAnsi="Arial" w:cs="Arial"/>
          <w:sz w:val="24"/>
          <w:szCs w:val="24"/>
          <w:lang w:val="en-GB" w:eastAsia="en-GB"/>
        </w:rPr>
        <w:lastRenderedPageBreak/>
        <w:t>meaning there may be a case for financial viability for this base case. But it also has the downside of slower acquisition or churn which could materially cause break-even to be delayed.</w:t>
      </w:r>
    </w:p>
    <w:p w14:paraId="6E5419F2" w14:textId="70E619AC" w:rsidR="00B600DF" w:rsidRPr="003A271D" w:rsidRDefault="00D75C64"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 xml:space="preserve">So a downside scenario should include slower membership growth, bigger churn and more expensive tech costs. An upside scenario could include higher conversion rates and better retention but does not automatically require a higher fixed cost. The most important variable is membership volume as this will impact revenues while fixed costs are largely consistent. The active members, churn, acquisition cost, average revenue per member and monthly cash balance should all be tracked by management. If the trajectory towards a break-even is not met, then a reduced level of discretionary marketing expenditure should be considered, along with </w:t>
      </w:r>
      <w:r w:rsidR="003A271D" w:rsidRPr="003A271D">
        <w:rPr>
          <w:rFonts w:ascii="Arial" w:hAnsi="Arial" w:cs="Arial"/>
          <w:sz w:val="24"/>
          <w:szCs w:val="24"/>
          <w:lang w:val="en-GB" w:eastAsia="en-GB"/>
        </w:rPr>
        <w:t>revaluating</w:t>
      </w:r>
      <w:r w:rsidRPr="003A271D">
        <w:rPr>
          <w:rFonts w:ascii="Arial" w:hAnsi="Arial" w:cs="Arial"/>
          <w:sz w:val="24"/>
          <w:szCs w:val="24"/>
          <w:lang w:val="en-GB" w:eastAsia="en-GB"/>
        </w:rPr>
        <w:t xml:space="preserve"> pricing or recruitment speed</w:t>
      </w:r>
      <w:r w:rsidR="00B600DF" w:rsidRPr="003A271D">
        <w:rPr>
          <w:rFonts w:ascii="Arial" w:hAnsi="Arial" w:cs="Arial"/>
          <w:sz w:val="24"/>
          <w:szCs w:val="24"/>
          <w:lang w:val="en-GB" w:eastAsia="en-GB"/>
        </w:rPr>
        <w:t>.</w:t>
      </w:r>
    </w:p>
    <w:p w14:paraId="2B74572B" w14:textId="77777777" w:rsidR="00B600DF" w:rsidRPr="003A271D" w:rsidRDefault="00B600DF" w:rsidP="003A271D">
      <w:pPr>
        <w:pStyle w:val="Heading2"/>
        <w:spacing w:line="360" w:lineRule="auto"/>
        <w:jc w:val="both"/>
        <w:rPr>
          <w:rFonts w:eastAsia="Times New Roman" w:cs="Arial"/>
          <w:lang w:val="en-GB" w:eastAsia="en-GB"/>
        </w:rPr>
      </w:pPr>
      <w:bookmarkStart w:id="85" w:name="_Toc239091486"/>
      <w:r w:rsidRPr="003A271D">
        <w:rPr>
          <w:rFonts w:eastAsia="Times New Roman" w:cs="Arial"/>
          <w:lang w:val="en-GB" w:eastAsia="en-GB"/>
        </w:rPr>
        <w:t>9.3 Marketing and Sales Plan</w:t>
      </w:r>
      <w:bookmarkEnd w:id="85"/>
    </w:p>
    <w:p w14:paraId="2940E902" w14:textId="77777777" w:rsidR="00B600DF" w:rsidRPr="003A271D" w:rsidRDefault="00B600DF"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t>Segmentation, targeting and positioning</w:t>
      </w:r>
    </w:p>
    <w:p w14:paraId="3A37CA25"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 xml:space="preserve">The marketing strategy carries forward the priority segment established in Chapters 5 and 8: adults approximately aged 20–34, living in </w:t>
      </w:r>
      <w:proofErr w:type="spellStart"/>
      <w:r w:rsidRPr="003A271D">
        <w:rPr>
          <w:rFonts w:ascii="Arial" w:hAnsi="Arial" w:cs="Arial"/>
          <w:sz w:val="24"/>
          <w:szCs w:val="24"/>
          <w:lang w:val="en-GB" w:eastAsia="en-GB"/>
        </w:rPr>
        <w:t>Levenshulme</w:t>
      </w:r>
      <w:proofErr w:type="spellEnd"/>
      <w:r w:rsidRPr="003A271D">
        <w:rPr>
          <w:rFonts w:ascii="Arial" w:hAnsi="Arial" w:cs="Arial"/>
          <w:sz w:val="24"/>
          <w:szCs w:val="24"/>
          <w:lang w:val="en-GB" w:eastAsia="en-GB"/>
        </w:rPr>
        <w:t xml:space="preserve"> and realistically accessible neighbouring Manchester areas, who are fitness-oriented or seeking regular exercise, digitally receptive, interested in personalised progress monitoring and able to allocate some discretionary income to an accessible/mid-market membership. The segment is expected to be price-conscious rather than affluent, making perceived value particularly important.</w:t>
      </w:r>
    </w:p>
    <w:p w14:paraId="0952ADCF" w14:textId="77777777" w:rsidR="00B600DF" w:rsidRPr="003A271D" w:rsidRDefault="00B600DF" w:rsidP="003A271D">
      <w:pPr>
        <w:spacing w:line="360" w:lineRule="auto"/>
        <w:jc w:val="both"/>
        <w:rPr>
          <w:rFonts w:ascii="Arial" w:hAnsi="Arial" w:cs="Arial"/>
          <w:b/>
          <w:sz w:val="24"/>
          <w:szCs w:val="24"/>
          <w:lang w:val="en-GB" w:eastAsia="en-GB"/>
        </w:rPr>
      </w:pPr>
      <w:proofErr w:type="spellStart"/>
      <w:r w:rsidRPr="003A271D">
        <w:rPr>
          <w:rFonts w:ascii="Arial" w:hAnsi="Arial" w:cs="Arial"/>
          <w:b/>
          <w:sz w:val="24"/>
          <w:szCs w:val="24"/>
          <w:lang w:val="en-GB" w:eastAsia="en-GB"/>
        </w:rPr>
        <w:t>FitLife's</w:t>
      </w:r>
      <w:proofErr w:type="spellEnd"/>
      <w:r w:rsidRPr="003A271D">
        <w:rPr>
          <w:rFonts w:ascii="Arial" w:hAnsi="Arial" w:cs="Arial"/>
          <w:b/>
          <w:sz w:val="24"/>
          <w:szCs w:val="24"/>
          <w:lang w:val="en-GB" w:eastAsia="en-GB"/>
        </w:rPr>
        <w:t xml:space="preserve"> positioning is therefore:</w:t>
      </w:r>
    </w:p>
    <w:p w14:paraId="43E292CD"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 xml:space="preserve">For digitally receptive working-age adults in </w:t>
      </w:r>
      <w:proofErr w:type="spellStart"/>
      <w:r w:rsidRPr="003A271D">
        <w:rPr>
          <w:rFonts w:ascii="Arial" w:hAnsi="Arial" w:cs="Arial"/>
          <w:sz w:val="24"/>
          <w:szCs w:val="24"/>
          <w:lang w:val="en-GB" w:eastAsia="en-GB"/>
        </w:rPr>
        <w:t>Levenshulme</w:t>
      </w:r>
      <w:proofErr w:type="spellEnd"/>
      <w:r w:rsidRPr="003A271D">
        <w:rPr>
          <w:rFonts w:ascii="Arial" w:hAnsi="Arial" w:cs="Arial"/>
          <w:sz w:val="24"/>
          <w:szCs w:val="24"/>
          <w:lang w:val="en-GB" w:eastAsia="en-GB"/>
        </w:rPr>
        <w:t xml:space="preserve"> and the surrounding accessible catchment, </w:t>
      </w:r>
      <w:proofErr w:type="spellStart"/>
      <w:r w:rsidRPr="003A271D">
        <w:rPr>
          <w:rFonts w:ascii="Arial" w:hAnsi="Arial" w:cs="Arial"/>
          <w:sz w:val="24"/>
          <w:szCs w:val="24"/>
          <w:lang w:val="en-GB" w:eastAsia="en-GB"/>
        </w:rPr>
        <w:t>FitLife</w:t>
      </w:r>
      <w:proofErr w:type="spellEnd"/>
      <w:r w:rsidRPr="003A271D">
        <w:rPr>
          <w:rFonts w:ascii="Arial" w:hAnsi="Arial" w:cs="Arial"/>
          <w:sz w:val="24"/>
          <w:szCs w:val="24"/>
          <w:lang w:val="en-GB" w:eastAsia="en-GB"/>
        </w:rPr>
        <w:t xml:space="preserve"> Smart Gym is a hybrid fitness service that provides personalised, measurable and convenient support through AI-assisted guidance, wearable integration and qualified human coaching.</w:t>
      </w:r>
    </w:p>
    <w:p w14:paraId="66268994" w14:textId="3A6F55C4"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The central message should not imply that AI replaces trainers. Instead, the communication should emphasise “smarter personalisation with human support”. This provides a clearer reason to believe because the proposed differentiation is the integration of technology, coaching and physical access rather than technology alone.</w:t>
      </w:r>
    </w:p>
    <w:p w14:paraId="5C3A194B" w14:textId="77777777" w:rsidR="003A271D" w:rsidRPr="003A271D" w:rsidRDefault="003A271D" w:rsidP="003A271D">
      <w:pPr>
        <w:spacing w:line="360" w:lineRule="auto"/>
        <w:jc w:val="both"/>
        <w:rPr>
          <w:rFonts w:ascii="Arial" w:hAnsi="Arial" w:cs="Arial"/>
          <w:sz w:val="24"/>
          <w:szCs w:val="24"/>
          <w:lang w:val="en-GB" w:eastAsia="en-GB"/>
        </w:rPr>
      </w:pPr>
    </w:p>
    <w:p w14:paraId="6F78DB10" w14:textId="77777777" w:rsidR="00B600DF" w:rsidRPr="003A271D" w:rsidRDefault="00B600DF"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t>Marketing mix</w:t>
      </w:r>
    </w:p>
    <w:p w14:paraId="0A78EF06" w14:textId="77777777" w:rsidR="00B600DF" w:rsidRPr="003A271D" w:rsidRDefault="00B600DF"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t>The 7Ps provide the operational marketing framework.</w:t>
      </w:r>
    </w:p>
    <w:p w14:paraId="5C76768B"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b/>
          <w:sz w:val="24"/>
          <w:szCs w:val="24"/>
          <w:lang w:val="en-GB" w:eastAsia="en-GB"/>
        </w:rPr>
        <w:t>Product:</w:t>
      </w:r>
      <w:r w:rsidRPr="003A271D">
        <w:rPr>
          <w:rFonts w:ascii="Arial" w:hAnsi="Arial" w:cs="Arial"/>
          <w:sz w:val="24"/>
          <w:szCs w:val="24"/>
          <w:lang w:val="en-GB" w:eastAsia="en-GB"/>
        </w:rPr>
        <w:t xml:space="preserve"> </w:t>
      </w:r>
      <w:proofErr w:type="spellStart"/>
      <w:r w:rsidRPr="003A271D">
        <w:rPr>
          <w:rFonts w:ascii="Arial" w:hAnsi="Arial" w:cs="Arial"/>
          <w:sz w:val="24"/>
          <w:szCs w:val="24"/>
          <w:lang w:val="en-GB" w:eastAsia="en-GB"/>
        </w:rPr>
        <w:t>FitLife</w:t>
      </w:r>
      <w:proofErr w:type="spellEnd"/>
      <w:r w:rsidRPr="003A271D">
        <w:rPr>
          <w:rFonts w:ascii="Arial" w:hAnsi="Arial" w:cs="Arial"/>
          <w:sz w:val="24"/>
          <w:szCs w:val="24"/>
          <w:lang w:val="en-GB" w:eastAsia="en-GB"/>
        </w:rPr>
        <w:t xml:space="preserve"> offers physical gym access, mobile digital support, AI-assisted recommendations, wearable-supported monitoring and trainer oversight. Essential provides the accessible entry proposition, Smart represents the core technology-enabled offer, and Smart Plus targets customers requiring greater human support.</w:t>
      </w:r>
    </w:p>
    <w:p w14:paraId="47AEA9A2"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b/>
          <w:sz w:val="24"/>
          <w:szCs w:val="24"/>
          <w:lang w:val="en-GB" w:eastAsia="en-GB"/>
        </w:rPr>
        <w:t>Price:</w:t>
      </w:r>
      <w:r w:rsidRPr="003A271D">
        <w:rPr>
          <w:rFonts w:ascii="Arial" w:hAnsi="Arial" w:cs="Arial"/>
          <w:sz w:val="24"/>
          <w:szCs w:val="24"/>
          <w:lang w:val="en-GB" w:eastAsia="en-GB"/>
        </w:rPr>
        <w:t xml:space="preserve"> The proposed £24.99, £34.99 and £49.99 monthly tiers support accessible/mid-market focused differentiation. Final prices should be validated against competitor prices, customer willingness to pay and actual operating costs.</w:t>
      </w:r>
    </w:p>
    <w:p w14:paraId="12AE7E5A"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b/>
          <w:sz w:val="24"/>
          <w:szCs w:val="24"/>
          <w:lang w:val="en-GB" w:eastAsia="en-GB"/>
        </w:rPr>
        <w:t>Place:</w:t>
      </w:r>
      <w:r w:rsidRPr="003A271D">
        <w:rPr>
          <w:rFonts w:ascii="Arial" w:hAnsi="Arial" w:cs="Arial"/>
          <w:sz w:val="24"/>
          <w:szCs w:val="24"/>
          <w:lang w:val="en-GB" w:eastAsia="en-GB"/>
        </w:rPr>
        <w:t xml:space="preserve"> The primary delivery location is the physical </w:t>
      </w:r>
      <w:proofErr w:type="spellStart"/>
      <w:r w:rsidRPr="003A271D">
        <w:rPr>
          <w:rFonts w:ascii="Arial" w:hAnsi="Arial" w:cs="Arial"/>
          <w:sz w:val="24"/>
          <w:szCs w:val="24"/>
          <w:lang w:val="en-GB" w:eastAsia="en-GB"/>
        </w:rPr>
        <w:t>Levenshulme</w:t>
      </w:r>
      <w:proofErr w:type="spellEnd"/>
      <w:r w:rsidRPr="003A271D">
        <w:rPr>
          <w:rFonts w:ascii="Arial" w:hAnsi="Arial" w:cs="Arial"/>
          <w:sz w:val="24"/>
          <w:szCs w:val="24"/>
          <w:lang w:val="en-GB" w:eastAsia="en-GB"/>
        </w:rPr>
        <w:t xml:space="preserve"> gym, supported by mobile and digital channels. The location strategy should emphasise convenience for the realistic local catchment.</w:t>
      </w:r>
    </w:p>
    <w:p w14:paraId="4B31F5A5"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b/>
          <w:sz w:val="24"/>
          <w:szCs w:val="24"/>
          <w:lang w:val="en-GB" w:eastAsia="en-GB"/>
        </w:rPr>
        <w:t>Promotion:</w:t>
      </w:r>
      <w:r w:rsidRPr="003A271D">
        <w:rPr>
          <w:rFonts w:ascii="Arial" w:hAnsi="Arial" w:cs="Arial"/>
          <w:sz w:val="24"/>
          <w:szCs w:val="24"/>
          <w:lang w:val="en-GB" w:eastAsia="en-GB"/>
        </w:rPr>
        <w:t xml:space="preserve"> Digital advertising, Instagram and Facebook content, local partnerships, referral activity, introductory sessions and community engagement should be prioritised. Channels should be tested rather than assumed to be equally effective.</w:t>
      </w:r>
    </w:p>
    <w:p w14:paraId="56A9A88F"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b/>
          <w:sz w:val="24"/>
          <w:szCs w:val="24"/>
          <w:lang w:val="en-GB" w:eastAsia="en-GB"/>
        </w:rPr>
        <w:t>People:</w:t>
      </w:r>
      <w:r w:rsidRPr="003A271D">
        <w:rPr>
          <w:rFonts w:ascii="Arial" w:hAnsi="Arial" w:cs="Arial"/>
          <w:sz w:val="24"/>
          <w:szCs w:val="24"/>
          <w:lang w:val="en-GB" w:eastAsia="en-GB"/>
        </w:rPr>
        <w:t xml:space="preserve"> Qualified trainers and customer-facing staff are central to the value proposition. Their role is particularly important in interpreting AI-supported recommendations and providing accountability.</w:t>
      </w:r>
    </w:p>
    <w:p w14:paraId="45B46C30"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b/>
          <w:sz w:val="24"/>
          <w:szCs w:val="24"/>
          <w:lang w:val="en-GB" w:eastAsia="en-GB"/>
        </w:rPr>
        <w:t>Process:</w:t>
      </w:r>
      <w:r w:rsidRPr="003A271D">
        <w:rPr>
          <w:rFonts w:ascii="Arial" w:hAnsi="Arial" w:cs="Arial"/>
          <w:sz w:val="24"/>
          <w:szCs w:val="24"/>
          <w:lang w:val="en-GB" w:eastAsia="en-GB"/>
        </w:rPr>
        <w:t xml:space="preserve"> Customers should move through enquiry, trial/assessment, membership purchase, </w:t>
      </w:r>
      <w:proofErr w:type="spellStart"/>
      <w:r w:rsidRPr="003A271D">
        <w:rPr>
          <w:rFonts w:ascii="Arial" w:hAnsi="Arial" w:cs="Arial"/>
          <w:sz w:val="24"/>
          <w:szCs w:val="24"/>
          <w:lang w:val="en-GB" w:eastAsia="en-GB"/>
        </w:rPr>
        <w:t>onboarding</w:t>
      </w:r>
      <w:proofErr w:type="spellEnd"/>
      <w:r w:rsidRPr="003A271D">
        <w:rPr>
          <w:rFonts w:ascii="Arial" w:hAnsi="Arial" w:cs="Arial"/>
          <w:sz w:val="24"/>
          <w:szCs w:val="24"/>
          <w:lang w:val="en-GB" w:eastAsia="en-GB"/>
        </w:rPr>
        <w:t>, digital setup, progress review and renewal through a consistent process.</w:t>
      </w:r>
    </w:p>
    <w:p w14:paraId="35A7390B"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b/>
          <w:sz w:val="24"/>
          <w:szCs w:val="24"/>
          <w:lang w:val="en-GB" w:eastAsia="en-GB"/>
        </w:rPr>
        <w:t>Physical evidence:</w:t>
      </w:r>
      <w:r w:rsidRPr="003A271D">
        <w:rPr>
          <w:rFonts w:ascii="Arial" w:hAnsi="Arial" w:cs="Arial"/>
          <w:sz w:val="24"/>
          <w:szCs w:val="24"/>
          <w:lang w:val="en-GB" w:eastAsia="en-GB"/>
        </w:rPr>
        <w:t xml:space="preserve"> The gym environment, trainer qualifications, customer reviews, progress reports, app interface and visible data-protection practices should reduce uncertainty and reinforce credibility.</w:t>
      </w:r>
    </w:p>
    <w:p w14:paraId="6B441909" w14:textId="77777777" w:rsidR="00B600DF" w:rsidRPr="003A271D" w:rsidRDefault="00B600DF"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t>Customer acquisition and sales funnel</w:t>
      </w:r>
    </w:p>
    <w:p w14:paraId="2E815765"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The acquisition strategy should connect directly to the financial forecast. The initial objective is to build a local lead pipeline sufficient to reach approximately 600 active members by the end of Year 1.</w:t>
      </w:r>
    </w:p>
    <w:p w14:paraId="3302918A" w14:textId="77777777" w:rsidR="00B600DF" w:rsidRPr="003A271D" w:rsidRDefault="00B600DF"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lastRenderedPageBreak/>
        <w:t>The funnel will operate as:</w:t>
      </w:r>
    </w:p>
    <w:p w14:paraId="0496186E" w14:textId="5815B11A" w:rsidR="00B600DF" w:rsidRPr="003A271D" w:rsidRDefault="00B600DF" w:rsidP="003A271D">
      <w:pPr>
        <w:spacing w:line="360" w:lineRule="auto"/>
        <w:jc w:val="both"/>
        <w:rPr>
          <w:rFonts w:ascii="Arial" w:hAnsi="Arial" w:cs="Arial"/>
          <w:b/>
          <w:sz w:val="24"/>
          <w:szCs w:val="24"/>
          <w:lang w:val="en-GB" w:eastAsia="en-GB"/>
        </w:rPr>
      </w:pPr>
      <w:r w:rsidRPr="003A271D">
        <w:rPr>
          <w:rFonts w:ascii="Arial" w:hAnsi="Arial" w:cs="Arial"/>
          <w:b/>
          <w:sz w:val="24"/>
          <w:szCs w:val="24"/>
          <w:lang w:val="en-GB" w:eastAsia="en-GB"/>
        </w:rPr>
        <w:t xml:space="preserve">Local awareness → digital engagement → lead/trial → fitness assessment → membership conversion → </w:t>
      </w:r>
      <w:r w:rsidR="003A271D" w:rsidRPr="003A271D">
        <w:rPr>
          <w:rFonts w:ascii="Arial" w:hAnsi="Arial" w:cs="Arial"/>
          <w:b/>
          <w:sz w:val="24"/>
          <w:szCs w:val="24"/>
          <w:lang w:val="en-GB" w:eastAsia="en-GB"/>
        </w:rPr>
        <w:t>on boarding</w:t>
      </w:r>
      <w:r w:rsidRPr="003A271D">
        <w:rPr>
          <w:rFonts w:ascii="Arial" w:hAnsi="Arial" w:cs="Arial"/>
          <w:b/>
          <w:sz w:val="24"/>
          <w:szCs w:val="24"/>
          <w:lang w:val="en-GB" w:eastAsia="en-GB"/>
        </w:rPr>
        <w:t xml:space="preserve"> → retention → referral.</w:t>
      </w:r>
    </w:p>
    <w:p w14:paraId="0D33D768"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A planning assumption of approximately 2,000 qualified leads during Year 1, converting at 30% into paying members over the relevant acquisition period, would produce approximately 600 new memberships before allowing for churn. This should be treated as a testable acquisition assumption rather than guaranteed performance. The marketing budget should initially prioritise channels producing measurable leads and conversions rather than maximising impressions.</w:t>
      </w:r>
    </w:p>
    <w:p w14:paraId="18DB610A" w14:textId="75E4A5B2"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 xml:space="preserve">Sales responsibility should sit with the gym manager and customer-facing team, supported by digital enquiry handling. The sales process should include lead qualification, needs discovery, membership recommendation, objection handling, payment, </w:t>
      </w:r>
      <w:r w:rsidR="003A271D" w:rsidRPr="003A271D">
        <w:rPr>
          <w:rFonts w:ascii="Arial" w:hAnsi="Arial" w:cs="Arial"/>
          <w:sz w:val="24"/>
          <w:szCs w:val="24"/>
          <w:lang w:val="en-GB" w:eastAsia="en-GB"/>
        </w:rPr>
        <w:t>on boarding</w:t>
      </w:r>
      <w:r w:rsidRPr="003A271D">
        <w:rPr>
          <w:rFonts w:ascii="Arial" w:hAnsi="Arial" w:cs="Arial"/>
          <w:sz w:val="24"/>
          <w:szCs w:val="24"/>
          <w:lang w:val="en-GB" w:eastAsia="en-GB"/>
        </w:rPr>
        <w:t xml:space="preserve"> and follow-up. Conversion rate, cost per lead, customer acquisition cost, average revenue per member and early churn should be reviewed monthly.</w:t>
      </w:r>
    </w:p>
    <w:p w14:paraId="33266F36"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Retention is particularly important because acquiring customers repeatedly is less attractive than retaining them. Progress reports, personalised goals, trainer check-ins, app reminders, community activities and renewal incentives should therefore form part of the customer relationship strategy.</w:t>
      </w:r>
    </w:p>
    <w:p w14:paraId="64853565" w14:textId="77777777" w:rsidR="00B600DF" w:rsidRPr="003A271D" w:rsidRDefault="00B600DF" w:rsidP="003A271D">
      <w:pPr>
        <w:pStyle w:val="Heading2"/>
        <w:spacing w:line="360" w:lineRule="auto"/>
        <w:jc w:val="both"/>
        <w:rPr>
          <w:rFonts w:eastAsia="Times New Roman" w:cs="Arial"/>
          <w:lang w:val="en-GB" w:eastAsia="en-GB"/>
        </w:rPr>
      </w:pPr>
      <w:bookmarkStart w:id="86" w:name="_Toc239091487"/>
      <w:r w:rsidRPr="003A271D">
        <w:rPr>
          <w:rFonts w:eastAsia="Times New Roman" w:cs="Arial"/>
          <w:lang w:val="en-GB" w:eastAsia="en-GB"/>
        </w:rPr>
        <w:t>9.4 Human Capital Management Plan</w:t>
      </w:r>
      <w:bookmarkEnd w:id="86"/>
    </w:p>
    <w:p w14:paraId="655E482B" w14:textId="77777777" w:rsidR="00B600DF" w:rsidRPr="003A271D" w:rsidRDefault="00B600DF" w:rsidP="003A271D">
      <w:pPr>
        <w:spacing w:line="360" w:lineRule="auto"/>
        <w:jc w:val="both"/>
        <w:rPr>
          <w:rFonts w:ascii="Arial" w:hAnsi="Arial" w:cs="Arial"/>
          <w:sz w:val="24"/>
          <w:szCs w:val="24"/>
          <w:lang w:val="en-GB" w:eastAsia="en-GB"/>
        </w:rPr>
      </w:pPr>
      <w:proofErr w:type="spellStart"/>
      <w:r w:rsidRPr="003A271D">
        <w:rPr>
          <w:rFonts w:ascii="Arial" w:hAnsi="Arial" w:cs="Arial"/>
          <w:sz w:val="24"/>
          <w:szCs w:val="24"/>
          <w:lang w:val="en-GB" w:eastAsia="en-GB"/>
        </w:rPr>
        <w:t>FitLife</w:t>
      </w:r>
      <w:proofErr w:type="spellEnd"/>
      <w:r w:rsidRPr="003A271D">
        <w:rPr>
          <w:rFonts w:ascii="Arial" w:hAnsi="Arial" w:cs="Arial"/>
          <w:sz w:val="24"/>
          <w:szCs w:val="24"/>
          <w:lang w:val="en-GB" w:eastAsia="en-GB"/>
        </w:rPr>
        <w:t xml:space="preserve"> requires a deliberately lean structure at launch. The proposed structure comprises a founder/general manager, qualified fitness trainers, front-of-house/customer-service support and outsourced specialist functions such as accounting, legal advice and selected technology support.</w:t>
      </w:r>
    </w:p>
    <w:p w14:paraId="6D0389B6"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The initial core staffing assumption is approximately two full-time-equivalent trainer/customer-service roles supported by the founder/manager, with additional part-time trainer capacity used during peak periods. Recruitment should prioritise recognised fitness qualifications, customer-service capability, digital confidence and the ability to work alongside AI-supported systems. Headcount should increase only when membership and service workload justify the additional cost.</w:t>
      </w:r>
    </w:p>
    <w:p w14:paraId="3BC70121"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lastRenderedPageBreak/>
        <w:t>The human-capital plan therefore uses workforce planning rather than fixed staffing numbers. As active membership approaches capacity, management should monitor trainer workload, appointment availability, customer waiting times and service quality. Additional staff should be recruited before capacity constraints damage customer experience.</w:t>
      </w:r>
    </w:p>
    <w:p w14:paraId="5C832C1F"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Recruitment should use local employment channels, specialist fitness recruitment platforms and referrals. Selection should combine qualification checks, structured interviews, practical demonstrations and customer-service assessment. New staff should receive induction covering safeguarding, health and safety, customer service, use of the app and wearable systems, data protection and AI oversight.</w:t>
      </w:r>
    </w:p>
    <w:p w14:paraId="2F409900"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 xml:space="preserve">Continuous development is particularly important because </w:t>
      </w:r>
      <w:proofErr w:type="spellStart"/>
      <w:r w:rsidRPr="003A271D">
        <w:rPr>
          <w:rFonts w:ascii="Arial" w:hAnsi="Arial" w:cs="Arial"/>
          <w:sz w:val="24"/>
          <w:szCs w:val="24"/>
          <w:lang w:val="en-GB" w:eastAsia="en-GB"/>
        </w:rPr>
        <w:t>FitLife's</w:t>
      </w:r>
      <w:proofErr w:type="spellEnd"/>
      <w:r w:rsidRPr="003A271D">
        <w:rPr>
          <w:rFonts w:ascii="Arial" w:hAnsi="Arial" w:cs="Arial"/>
          <w:sz w:val="24"/>
          <w:szCs w:val="24"/>
          <w:lang w:val="en-GB" w:eastAsia="en-GB"/>
        </w:rPr>
        <w:t xml:space="preserve"> proposition depends on combining human expertise with technology. Trainers should receive CPD in digital fitness tools, interpretation of relevant customer data, responsible use of AI recommendations and customer communication. AI should support rather than replace professional judgement.</w:t>
      </w:r>
    </w:p>
    <w:p w14:paraId="5C3A5284"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Reward should combine competitive base pay with recognition linked to service quality, retention and customer satisfaction rather than encouraging inappropriate sales behaviour. Employment costs must include salary, employer National Insurance, pension, recruitment, training and staff-cover requirements.</w:t>
      </w:r>
    </w:p>
    <w:p w14:paraId="447C70AA"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Data governance is also a human-capital responsibility. Fitness-tracker information may constitute health data depending on the context and purpose, and health data receives additional protection under UK GDPR (ICO, 2026). Staff must therefore understand consent, appropriate access, data minimisation, security and escalation procedures.</w:t>
      </w:r>
    </w:p>
    <w:p w14:paraId="74FAF402" w14:textId="77777777" w:rsidR="00B600DF" w:rsidRPr="003A271D" w:rsidRDefault="00B600DF" w:rsidP="003A271D">
      <w:pPr>
        <w:pStyle w:val="Heading2"/>
        <w:spacing w:line="360" w:lineRule="auto"/>
        <w:jc w:val="both"/>
        <w:rPr>
          <w:rFonts w:eastAsia="Times New Roman" w:cs="Arial"/>
          <w:lang w:val="en-GB" w:eastAsia="en-GB"/>
        </w:rPr>
      </w:pPr>
      <w:bookmarkStart w:id="87" w:name="_Toc239091488"/>
      <w:r w:rsidRPr="003A271D">
        <w:rPr>
          <w:rFonts w:eastAsia="Times New Roman" w:cs="Arial"/>
          <w:lang w:val="en-GB" w:eastAsia="en-GB"/>
        </w:rPr>
        <w:t>9.5 Integration, Scalability and Conclusion</w:t>
      </w:r>
      <w:bookmarkEnd w:id="87"/>
    </w:p>
    <w:p w14:paraId="5A6FF127"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 xml:space="preserve">The three plans form a single operating system. Marketing generates local awareness and qualified leads; sales converts these opportunities into memberships; memberships generate recurring revenue; and the resulting workload determines trainer and customer-service requirements. Those staffing requirements create labour costs, while technology, premises and marketing create additional fixed and variable </w:t>
      </w:r>
      <w:r w:rsidRPr="003A271D">
        <w:rPr>
          <w:rFonts w:ascii="Arial" w:hAnsi="Arial" w:cs="Arial"/>
          <w:sz w:val="24"/>
          <w:szCs w:val="24"/>
          <w:lang w:val="en-GB" w:eastAsia="en-GB"/>
        </w:rPr>
        <w:lastRenderedPageBreak/>
        <w:t xml:space="preserve">costs. Consequently, </w:t>
      </w:r>
      <w:proofErr w:type="spellStart"/>
      <w:r w:rsidRPr="003A271D">
        <w:rPr>
          <w:rFonts w:ascii="Arial" w:hAnsi="Arial" w:cs="Arial"/>
          <w:sz w:val="24"/>
          <w:szCs w:val="24"/>
          <w:lang w:val="en-GB" w:eastAsia="en-GB"/>
        </w:rPr>
        <w:t>FitLife's</w:t>
      </w:r>
      <w:proofErr w:type="spellEnd"/>
      <w:r w:rsidRPr="003A271D">
        <w:rPr>
          <w:rFonts w:ascii="Arial" w:hAnsi="Arial" w:cs="Arial"/>
          <w:sz w:val="24"/>
          <w:szCs w:val="24"/>
          <w:lang w:val="en-GB" w:eastAsia="en-GB"/>
        </w:rPr>
        <w:t xml:space="preserve"> financial viability depends on achieving sufficient membership volume while maintaining retention and service quality.</w:t>
      </w:r>
    </w:p>
    <w:p w14:paraId="13834BE6" w14:textId="77777777" w:rsidR="00B600DF" w:rsidRPr="003A271D" w:rsidRDefault="00B600DF" w:rsidP="003A271D">
      <w:pPr>
        <w:spacing w:line="360" w:lineRule="auto"/>
        <w:jc w:val="both"/>
        <w:rPr>
          <w:rFonts w:ascii="Arial" w:hAnsi="Arial" w:cs="Arial"/>
          <w:sz w:val="24"/>
          <w:szCs w:val="24"/>
          <w:lang w:val="en-GB" w:eastAsia="en-GB"/>
        </w:rPr>
      </w:pPr>
      <w:r w:rsidRPr="003A271D">
        <w:rPr>
          <w:rFonts w:ascii="Arial" w:hAnsi="Arial" w:cs="Arial"/>
          <w:sz w:val="24"/>
          <w:szCs w:val="24"/>
          <w:lang w:val="en-GB" w:eastAsia="en-GB"/>
        </w:rPr>
        <w:t>The base-case model indicates a first-year investment and operating deficit followed by potential break-even during Year 2 and stronger operating leverage thereafter. However, this outcome remains conditional on achieving the assumed membership trajectory, controlling technology and labour costs and retaining customers. The most important implementation priorities are therefore customer acquisition, retention, technology reliability, trainer capability and value-based pricing. These assumptions should be tested through the implementation and financial analysis in Chapters 10 and 11 before substantial scaling.</w:t>
      </w:r>
    </w:p>
    <w:p w14:paraId="2A2EB04C" w14:textId="29F1FC6C" w:rsidR="00B600DF" w:rsidRDefault="00B600DF" w:rsidP="00E04AAD">
      <w:pPr>
        <w:spacing w:before="240" w:line="360" w:lineRule="auto"/>
        <w:jc w:val="both"/>
        <w:rPr>
          <w:rFonts w:ascii="Arial" w:hAnsi="Arial" w:cs="Arial"/>
          <w:sz w:val="24"/>
          <w:szCs w:val="24"/>
          <w:lang w:val="en-GB" w:eastAsia="en-GB"/>
        </w:rPr>
      </w:pPr>
    </w:p>
    <w:p w14:paraId="436D783A" w14:textId="3A2A8938" w:rsidR="00F14AF5" w:rsidRDefault="00F14AF5" w:rsidP="00E04AAD">
      <w:pPr>
        <w:spacing w:before="240" w:line="360" w:lineRule="auto"/>
        <w:jc w:val="both"/>
        <w:rPr>
          <w:rFonts w:ascii="Arial" w:hAnsi="Arial" w:cs="Arial"/>
          <w:sz w:val="24"/>
          <w:szCs w:val="24"/>
          <w:lang w:val="en-GB" w:eastAsia="en-GB"/>
        </w:rPr>
      </w:pPr>
    </w:p>
    <w:p w14:paraId="0CDEEA3C" w14:textId="70DC9743" w:rsidR="003A271D" w:rsidRDefault="003A271D" w:rsidP="00E04AAD">
      <w:pPr>
        <w:spacing w:before="240" w:line="360" w:lineRule="auto"/>
        <w:jc w:val="both"/>
        <w:rPr>
          <w:rFonts w:ascii="Arial" w:hAnsi="Arial" w:cs="Arial"/>
          <w:sz w:val="24"/>
          <w:szCs w:val="24"/>
          <w:lang w:val="en-GB" w:eastAsia="en-GB"/>
        </w:rPr>
      </w:pPr>
    </w:p>
    <w:p w14:paraId="59A3D55B" w14:textId="24E8C0BE" w:rsidR="003A271D" w:rsidRDefault="003A271D" w:rsidP="00E04AAD">
      <w:pPr>
        <w:spacing w:before="240" w:line="360" w:lineRule="auto"/>
        <w:jc w:val="both"/>
        <w:rPr>
          <w:rFonts w:ascii="Arial" w:hAnsi="Arial" w:cs="Arial"/>
          <w:sz w:val="24"/>
          <w:szCs w:val="24"/>
          <w:lang w:val="en-GB" w:eastAsia="en-GB"/>
        </w:rPr>
      </w:pPr>
    </w:p>
    <w:p w14:paraId="10370095" w14:textId="7FD1DAF3" w:rsidR="003A271D" w:rsidRDefault="003A271D" w:rsidP="00E04AAD">
      <w:pPr>
        <w:spacing w:before="240" w:line="360" w:lineRule="auto"/>
        <w:jc w:val="both"/>
        <w:rPr>
          <w:rFonts w:ascii="Arial" w:hAnsi="Arial" w:cs="Arial"/>
          <w:sz w:val="24"/>
          <w:szCs w:val="24"/>
          <w:lang w:val="en-GB" w:eastAsia="en-GB"/>
        </w:rPr>
      </w:pPr>
    </w:p>
    <w:p w14:paraId="30C98C85" w14:textId="27CC7A99" w:rsidR="003A271D" w:rsidRDefault="003A271D" w:rsidP="00E04AAD">
      <w:pPr>
        <w:spacing w:before="240" w:line="360" w:lineRule="auto"/>
        <w:jc w:val="both"/>
        <w:rPr>
          <w:rFonts w:ascii="Arial" w:hAnsi="Arial" w:cs="Arial"/>
          <w:sz w:val="24"/>
          <w:szCs w:val="24"/>
          <w:lang w:val="en-GB" w:eastAsia="en-GB"/>
        </w:rPr>
      </w:pPr>
    </w:p>
    <w:p w14:paraId="6A87FAEC" w14:textId="0DAF456B" w:rsidR="003A271D" w:rsidRDefault="003A271D" w:rsidP="00E04AAD">
      <w:pPr>
        <w:spacing w:before="240" w:line="360" w:lineRule="auto"/>
        <w:jc w:val="both"/>
        <w:rPr>
          <w:rFonts w:ascii="Arial" w:hAnsi="Arial" w:cs="Arial"/>
          <w:sz w:val="24"/>
          <w:szCs w:val="24"/>
          <w:lang w:val="en-GB" w:eastAsia="en-GB"/>
        </w:rPr>
      </w:pPr>
    </w:p>
    <w:p w14:paraId="1806DF55" w14:textId="3A7B9D86" w:rsidR="003A271D" w:rsidRDefault="003A271D" w:rsidP="00E04AAD">
      <w:pPr>
        <w:spacing w:before="240" w:line="360" w:lineRule="auto"/>
        <w:jc w:val="both"/>
        <w:rPr>
          <w:rFonts w:ascii="Arial" w:hAnsi="Arial" w:cs="Arial"/>
          <w:sz w:val="24"/>
          <w:szCs w:val="24"/>
          <w:lang w:val="en-GB" w:eastAsia="en-GB"/>
        </w:rPr>
      </w:pPr>
      <w:r>
        <w:rPr>
          <w:rFonts w:ascii="Arial" w:hAnsi="Arial" w:cs="Arial"/>
          <w:sz w:val="24"/>
          <w:szCs w:val="24"/>
          <w:lang w:val="en-GB" w:eastAsia="en-GB"/>
        </w:rPr>
        <w:t xml:space="preserve"> </w:t>
      </w:r>
    </w:p>
    <w:p w14:paraId="3356EF6D" w14:textId="0048D591" w:rsidR="003A271D" w:rsidRDefault="003A271D" w:rsidP="00E04AAD">
      <w:pPr>
        <w:spacing w:before="240" w:line="360" w:lineRule="auto"/>
        <w:jc w:val="both"/>
        <w:rPr>
          <w:rFonts w:ascii="Arial" w:hAnsi="Arial" w:cs="Arial"/>
          <w:sz w:val="24"/>
          <w:szCs w:val="24"/>
          <w:lang w:val="en-GB" w:eastAsia="en-GB"/>
        </w:rPr>
      </w:pPr>
    </w:p>
    <w:p w14:paraId="0535D586" w14:textId="4CE574F9" w:rsidR="003A271D" w:rsidRDefault="003A271D" w:rsidP="00E04AAD">
      <w:pPr>
        <w:spacing w:before="240" w:line="360" w:lineRule="auto"/>
        <w:jc w:val="both"/>
        <w:rPr>
          <w:rFonts w:ascii="Arial" w:hAnsi="Arial" w:cs="Arial"/>
          <w:sz w:val="24"/>
          <w:szCs w:val="24"/>
          <w:lang w:val="en-GB" w:eastAsia="en-GB"/>
        </w:rPr>
      </w:pPr>
    </w:p>
    <w:p w14:paraId="19C54109" w14:textId="578E3B25" w:rsidR="003A271D" w:rsidRDefault="003A271D" w:rsidP="00E04AAD">
      <w:pPr>
        <w:spacing w:before="240" w:line="360" w:lineRule="auto"/>
        <w:jc w:val="both"/>
        <w:rPr>
          <w:rFonts w:ascii="Arial" w:hAnsi="Arial" w:cs="Arial"/>
          <w:sz w:val="24"/>
          <w:szCs w:val="24"/>
          <w:lang w:val="en-GB" w:eastAsia="en-GB"/>
        </w:rPr>
      </w:pPr>
    </w:p>
    <w:p w14:paraId="067FD123" w14:textId="4200BE99" w:rsidR="003A271D" w:rsidRDefault="003A271D" w:rsidP="00E04AAD">
      <w:pPr>
        <w:spacing w:before="240" w:line="360" w:lineRule="auto"/>
        <w:jc w:val="both"/>
        <w:rPr>
          <w:rFonts w:ascii="Arial" w:hAnsi="Arial" w:cs="Arial"/>
          <w:sz w:val="24"/>
          <w:szCs w:val="24"/>
          <w:lang w:val="en-GB" w:eastAsia="en-GB"/>
        </w:rPr>
      </w:pPr>
    </w:p>
    <w:p w14:paraId="319CC7BA" w14:textId="77777777" w:rsidR="003A271D" w:rsidRDefault="003A271D" w:rsidP="00E04AAD">
      <w:pPr>
        <w:spacing w:before="240" w:line="360" w:lineRule="auto"/>
        <w:jc w:val="both"/>
        <w:rPr>
          <w:rFonts w:ascii="Arial" w:hAnsi="Arial" w:cs="Arial"/>
          <w:sz w:val="24"/>
          <w:szCs w:val="24"/>
          <w:lang w:val="en-GB" w:eastAsia="en-GB"/>
        </w:rPr>
      </w:pPr>
    </w:p>
    <w:p w14:paraId="3FC1C339" w14:textId="682785C5" w:rsidR="00F14AF5" w:rsidRDefault="00F14AF5" w:rsidP="00E04AAD">
      <w:pPr>
        <w:spacing w:before="240" w:line="360" w:lineRule="auto"/>
        <w:jc w:val="both"/>
        <w:rPr>
          <w:rFonts w:ascii="Arial" w:hAnsi="Arial" w:cs="Arial"/>
          <w:sz w:val="24"/>
          <w:szCs w:val="24"/>
          <w:lang w:val="en-GB" w:eastAsia="en-GB"/>
        </w:rPr>
      </w:pPr>
    </w:p>
    <w:p w14:paraId="60BDECAA" w14:textId="77777777" w:rsidR="00F14AF5" w:rsidRPr="004F1B66" w:rsidRDefault="00F14AF5" w:rsidP="00D45C36">
      <w:pPr>
        <w:pStyle w:val="Heading1"/>
        <w:jc w:val="center"/>
        <w:rPr>
          <w:rFonts w:eastAsia="Times New Roman"/>
          <w:lang w:val="en-GB" w:eastAsia="en-GB"/>
        </w:rPr>
      </w:pPr>
      <w:bookmarkStart w:id="88" w:name="_Toc239091489"/>
      <w:r w:rsidRPr="004F1B66">
        <w:rPr>
          <w:rFonts w:eastAsia="Times New Roman"/>
          <w:lang w:val="en-GB" w:eastAsia="en-GB"/>
        </w:rPr>
        <w:lastRenderedPageBreak/>
        <w:t>Chapter 10 — Operations Plan</w:t>
      </w:r>
      <w:bookmarkEnd w:id="88"/>
    </w:p>
    <w:p w14:paraId="712D130A" w14:textId="77777777" w:rsidR="00F14AF5" w:rsidRPr="004F1B66" w:rsidRDefault="00F14AF5" w:rsidP="00D45C36">
      <w:pPr>
        <w:pStyle w:val="Heading2"/>
        <w:rPr>
          <w:rFonts w:eastAsia="Times New Roman"/>
          <w:lang w:val="en-GB" w:eastAsia="en-GB"/>
        </w:rPr>
      </w:pPr>
      <w:bookmarkStart w:id="89" w:name="_Toc239091490"/>
      <w:r w:rsidRPr="004F1B66">
        <w:rPr>
          <w:rFonts w:eastAsia="Times New Roman"/>
          <w:lang w:val="en-GB" w:eastAsia="en-GB"/>
        </w:rPr>
        <w:t>10.1 Operating Model, Scope and Frameworks</w:t>
      </w:r>
      <w:bookmarkEnd w:id="89"/>
    </w:p>
    <w:p w14:paraId="69406C4D" w14:textId="77777777" w:rsidR="00F14AF5" w:rsidRPr="004F1B66" w:rsidRDefault="00F14AF5" w:rsidP="004F1B66">
      <w:pPr>
        <w:spacing w:before="240" w:line="360" w:lineRule="auto"/>
        <w:jc w:val="both"/>
        <w:rPr>
          <w:rFonts w:ascii="Arial" w:hAnsi="Arial" w:cs="Arial"/>
          <w:sz w:val="24"/>
          <w:szCs w:val="24"/>
          <w:lang w:val="en-GB" w:eastAsia="en-GB"/>
        </w:rPr>
      </w:pPr>
      <w:proofErr w:type="spellStart"/>
      <w:r w:rsidRPr="004F1B66">
        <w:rPr>
          <w:rFonts w:ascii="Arial" w:hAnsi="Arial" w:cs="Arial"/>
          <w:sz w:val="24"/>
          <w:szCs w:val="24"/>
          <w:lang w:val="en-GB" w:eastAsia="en-GB"/>
        </w:rPr>
        <w:t>FitLife</w:t>
      </w:r>
      <w:proofErr w:type="spellEnd"/>
      <w:r w:rsidRPr="004F1B66">
        <w:rPr>
          <w:rFonts w:ascii="Arial" w:hAnsi="Arial" w:cs="Arial"/>
          <w:sz w:val="24"/>
          <w:szCs w:val="24"/>
          <w:lang w:val="en-GB" w:eastAsia="en-GB"/>
        </w:rPr>
        <w:t xml:space="preserve"> Smart Gym will operate through an integrated physical-digital service model in which gym facilities, qualified trainers, AI-assisted personalisation, wearable technology and customer-data systems work together to deliver the focused-differentiation strategy established in Chapter 7. The Business Model Canvas is therefore translated into a practical operating system covering customer </w:t>
      </w:r>
      <w:proofErr w:type="spellStart"/>
      <w:r w:rsidRPr="004F1B66">
        <w:rPr>
          <w:rFonts w:ascii="Arial" w:hAnsi="Arial" w:cs="Arial"/>
          <w:sz w:val="24"/>
          <w:szCs w:val="24"/>
          <w:lang w:val="en-GB" w:eastAsia="en-GB"/>
        </w:rPr>
        <w:t>onboarding</w:t>
      </w:r>
      <w:proofErr w:type="spellEnd"/>
      <w:r w:rsidRPr="004F1B66">
        <w:rPr>
          <w:rFonts w:ascii="Arial" w:hAnsi="Arial" w:cs="Arial"/>
          <w:sz w:val="24"/>
          <w:szCs w:val="24"/>
          <w:lang w:val="en-GB" w:eastAsia="en-GB"/>
        </w:rPr>
        <w:t>, assessment, exercise delivery, progress monitoring, payment and after-sales support (</w:t>
      </w:r>
      <w:proofErr w:type="spellStart"/>
      <w:r w:rsidRPr="004F1B66">
        <w:rPr>
          <w:rFonts w:ascii="Arial" w:hAnsi="Arial" w:cs="Arial"/>
          <w:sz w:val="24"/>
          <w:szCs w:val="24"/>
          <w:lang w:val="en-GB" w:eastAsia="en-GB"/>
        </w:rPr>
        <w:t>Osterwalder</w:t>
      </w:r>
      <w:proofErr w:type="spellEnd"/>
      <w:r w:rsidRPr="004F1B66">
        <w:rPr>
          <w:rFonts w:ascii="Arial" w:hAnsi="Arial" w:cs="Arial"/>
          <w:sz w:val="24"/>
          <w:szCs w:val="24"/>
          <w:lang w:val="en-GB" w:eastAsia="en-GB"/>
        </w:rPr>
        <w:t xml:space="preserve"> and </w:t>
      </w:r>
      <w:proofErr w:type="spellStart"/>
      <w:r w:rsidRPr="004F1B66">
        <w:rPr>
          <w:rFonts w:ascii="Arial" w:hAnsi="Arial" w:cs="Arial"/>
          <w:sz w:val="24"/>
          <w:szCs w:val="24"/>
          <w:lang w:val="en-GB" w:eastAsia="en-GB"/>
        </w:rPr>
        <w:t>Pigneur</w:t>
      </w:r>
      <w:proofErr w:type="spellEnd"/>
      <w:r w:rsidRPr="004F1B66">
        <w:rPr>
          <w:rFonts w:ascii="Arial" w:hAnsi="Arial" w:cs="Arial"/>
          <w:sz w:val="24"/>
          <w:szCs w:val="24"/>
          <w:lang w:val="en-GB" w:eastAsia="en-GB"/>
        </w:rPr>
        <w:t>, 2010). Process mapping is used to identify activities, responsibilities, hand-offs, control points and potential bottlenecks, supporting more consistent service delivery (Slack, Brandon-Jones and Burgess, 2022).</w:t>
      </w:r>
    </w:p>
    <w:p w14:paraId="6787C7F9" w14:textId="77777777" w:rsidR="00F14AF5" w:rsidRPr="004F1B66" w:rsidRDefault="00F14AF5" w:rsidP="00D45C36">
      <w:pPr>
        <w:pStyle w:val="Heading2"/>
        <w:rPr>
          <w:rFonts w:eastAsia="Times New Roman"/>
          <w:lang w:val="en-GB" w:eastAsia="en-GB"/>
        </w:rPr>
      </w:pPr>
      <w:bookmarkStart w:id="90" w:name="_Toc239091491"/>
      <w:r w:rsidRPr="004F1B66">
        <w:rPr>
          <w:rFonts w:eastAsia="Times New Roman"/>
          <w:lang w:val="en-GB" w:eastAsia="en-GB"/>
        </w:rPr>
        <w:t>10.2 Operational Workflow and Capacity</w:t>
      </w:r>
      <w:bookmarkEnd w:id="90"/>
    </w:p>
    <w:p w14:paraId="5F0F7AEA" w14:textId="77777777" w:rsidR="00F14AF5" w:rsidRPr="004F1B66" w:rsidRDefault="00F14AF5" w:rsidP="004F1B66">
      <w:pPr>
        <w:spacing w:before="240" w:line="360" w:lineRule="auto"/>
        <w:jc w:val="both"/>
        <w:rPr>
          <w:rFonts w:ascii="Arial" w:hAnsi="Arial" w:cs="Arial"/>
          <w:sz w:val="24"/>
          <w:szCs w:val="24"/>
          <w:lang w:val="en-GB" w:eastAsia="en-GB"/>
        </w:rPr>
      </w:pPr>
      <w:r w:rsidRPr="004F1B66">
        <w:rPr>
          <w:rFonts w:ascii="Arial" w:hAnsi="Arial" w:cs="Arial"/>
          <w:sz w:val="24"/>
          <w:szCs w:val="24"/>
          <w:lang w:val="en-GB" w:eastAsia="en-GB"/>
        </w:rPr>
        <w:t xml:space="preserve">The operating process begins when a prospective customer responds to </w:t>
      </w:r>
      <w:proofErr w:type="spellStart"/>
      <w:r w:rsidRPr="004F1B66">
        <w:rPr>
          <w:rFonts w:ascii="Arial" w:hAnsi="Arial" w:cs="Arial"/>
          <w:sz w:val="24"/>
          <w:szCs w:val="24"/>
          <w:lang w:val="en-GB" w:eastAsia="en-GB"/>
        </w:rPr>
        <w:t>FitLife's</w:t>
      </w:r>
      <w:proofErr w:type="spellEnd"/>
      <w:r w:rsidRPr="004F1B66">
        <w:rPr>
          <w:rFonts w:ascii="Arial" w:hAnsi="Arial" w:cs="Arial"/>
          <w:sz w:val="24"/>
          <w:szCs w:val="24"/>
          <w:lang w:val="en-GB" w:eastAsia="en-GB"/>
        </w:rPr>
        <w:t xml:space="preserve"> digital or local marketing activity. Customers select a membership tier, register through the website/app or gym reception, and provide the information and permissions required for service delivery. An initial fitness assessment is then completed by a qualified trainer, who establishes appropriate goals and reviews relevant customer information. AI-assisted recommendations and compatible wearable data can subsequently support personalised exercise planning and progress monitoring, while trainers retain oversight of the service.</w:t>
      </w:r>
    </w:p>
    <w:p w14:paraId="5FC423E5" w14:textId="77777777" w:rsidR="00D45C36" w:rsidRDefault="00D45C36" w:rsidP="00D45C36">
      <w:pPr>
        <w:keepNext/>
        <w:spacing w:before="240" w:line="360" w:lineRule="auto"/>
        <w:jc w:val="center"/>
      </w:pPr>
      <w:r>
        <w:rPr>
          <w:rFonts w:ascii="Arial" w:hAnsi="Arial" w:cs="Arial"/>
          <w:noProof/>
          <w:sz w:val="24"/>
          <w:szCs w:val="24"/>
          <w:lang w:val="en-GB" w:eastAsia="en-GB"/>
          <w14:ligatures w14:val="standardContextual"/>
        </w:rPr>
        <w:drawing>
          <wp:inline distT="0" distB="0" distL="0" distR="0" wp14:anchorId="46503796" wp14:editId="542BA4A6">
            <wp:extent cx="5029200" cy="2658912"/>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pilot_20260831_11364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35094" cy="2662028"/>
                    </a:xfrm>
                    <a:prstGeom prst="rect">
                      <a:avLst/>
                    </a:prstGeom>
                  </pic:spPr>
                </pic:pic>
              </a:graphicData>
            </a:graphic>
          </wp:inline>
        </w:drawing>
      </w:r>
    </w:p>
    <w:p w14:paraId="30E5C759" w14:textId="1AAD1629" w:rsidR="00F14AF5" w:rsidRPr="00D45C36" w:rsidRDefault="00D45C36" w:rsidP="00D45C36">
      <w:pPr>
        <w:pStyle w:val="Caption"/>
        <w:jc w:val="center"/>
        <w:rPr>
          <w:rFonts w:ascii="Arial" w:hAnsi="Arial" w:cs="Arial"/>
          <w:sz w:val="36"/>
          <w:szCs w:val="24"/>
          <w:lang w:val="en-GB" w:eastAsia="en-GB"/>
        </w:rPr>
      </w:pPr>
      <w:bookmarkStart w:id="91" w:name="_Toc239091511"/>
      <w:r w:rsidRPr="00D45C36">
        <w:rPr>
          <w:rFonts w:ascii="Arial" w:hAnsi="Arial" w:cs="Arial"/>
          <w:sz w:val="24"/>
        </w:rPr>
        <w:t xml:space="preserve">Figure </w:t>
      </w:r>
      <w:r w:rsidRPr="00D45C36">
        <w:rPr>
          <w:rFonts w:ascii="Arial" w:hAnsi="Arial" w:cs="Arial"/>
          <w:sz w:val="24"/>
        </w:rPr>
        <w:fldChar w:fldCharType="begin"/>
      </w:r>
      <w:r w:rsidRPr="00D45C36">
        <w:rPr>
          <w:rFonts w:ascii="Arial" w:hAnsi="Arial" w:cs="Arial"/>
          <w:sz w:val="24"/>
        </w:rPr>
        <w:instrText xml:space="preserve"> SEQ Figure \* ARABIC </w:instrText>
      </w:r>
      <w:r w:rsidRPr="00D45C36">
        <w:rPr>
          <w:rFonts w:ascii="Arial" w:hAnsi="Arial" w:cs="Arial"/>
          <w:sz w:val="24"/>
        </w:rPr>
        <w:fldChar w:fldCharType="separate"/>
      </w:r>
      <w:r w:rsidRPr="00D45C36">
        <w:rPr>
          <w:rFonts w:ascii="Arial" w:hAnsi="Arial" w:cs="Arial"/>
          <w:noProof/>
          <w:sz w:val="24"/>
        </w:rPr>
        <w:t>2</w:t>
      </w:r>
      <w:r w:rsidRPr="00D45C36">
        <w:rPr>
          <w:rFonts w:ascii="Arial" w:hAnsi="Arial" w:cs="Arial"/>
          <w:sz w:val="24"/>
        </w:rPr>
        <w:fldChar w:fldCharType="end"/>
      </w:r>
      <w:r w:rsidRPr="00D45C36">
        <w:rPr>
          <w:rFonts w:ascii="Arial" w:hAnsi="Arial" w:cs="Arial"/>
          <w:sz w:val="24"/>
        </w:rPr>
        <w:t xml:space="preserve">.: </w:t>
      </w:r>
      <w:proofErr w:type="spellStart"/>
      <w:r w:rsidRPr="00D45C36">
        <w:rPr>
          <w:rFonts w:ascii="Arial" w:hAnsi="Arial" w:cs="Arial"/>
          <w:sz w:val="24"/>
        </w:rPr>
        <w:t>FitLife</w:t>
      </w:r>
      <w:proofErr w:type="spellEnd"/>
      <w:r w:rsidRPr="00D45C36">
        <w:rPr>
          <w:rFonts w:ascii="Arial" w:hAnsi="Arial" w:cs="Arial"/>
          <w:sz w:val="24"/>
        </w:rPr>
        <w:t xml:space="preserve"> Operational Process</w:t>
      </w:r>
      <w:bookmarkEnd w:id="91"/>
    </w:p>
    <w:p w14:paraId="7A1D654A" w14:textId="77777777" w:rsidR="00F14AF5" w:rsidRPr="004F1B66" w:rsidRDefault="00F14AF5" w:rsidP="004F1B66">
      <w:pPr>
        <w:spacing w:before="240" w:line="360" w:lineRule="auto"/>
        <w:jc w:val="both"/>
        <w:rPr>
          <w:rFonts w:ascii="Arial" w:hAnsi="Arial" w:cs="Arial"/>
          <w:sz w:val="24"/>
          <w:szCs w:val="24"/>
          <w:lang w:val="en-GB" w:eastAsia="en-GB"/>
        </w:rPr>
      </w:pPr>
      <w:r w:rsidRPr="00D45C36">
        <w:rPr>
          <w:rFonts w:ascii="Arial" w:hAnsi="Arial" w:cs="Arial"/>
          <w:b/>
          <w:i/>
          <w:iCs/>
          <w:sz w:val="24"/>
          <w:szCs w:val="24"/>
          <w:lang w:val="en-GB" w:eastAsia="en-GB"/>
        </w:rPr>
        <w:lastRenderedPageBreak/>
        <w:t>Source:</w:t>
      </w:r>
      <w:r w:rsidRPr="004F1B66">
        <w:rPr>
          <w:rFonts w:ascii="Arial" w:hAnsi="Arial" w:cs="Arial"/>
          <w:i/>
          <w:iCs/>
          <w:sz w:val="24"/>
          <w:szCs w:val="24"/>
          <w:lang w:val="en-GB" w:eastAsia="en-GB"/>
        </w:rPr>
        <w:t xml:space="preserve"> Researcher's synthesis based on the proposed </w:t>
      </w:r>
      <w:proofErr w:type="spellStart"/>
      <w:r w:rsidRPr="004F1B66">
        <w:rPr>
          <w:rFonts w:ascii="Arial" w:hAnsi="Arial" w:cs="Arial"/>
          <w:i/>
          <w:iCs/>
          <w:sz w:val="24"/>
          <w:szCs w:val="24"/>
          <w:lang w:val="en-GB" w:eastAsia="en-GB"/>
        </w:rPr>
        <w:t>FitLife</w:t>
      </w:r>
      <w:proofErr w:type="spellEnd"/>
      <w:r w:rsidRPr="004F1B66">
        <w:rPr>
          <w:rFonts w:ascii="Arial" w:hAnsi="Arial" w:cs="Arial"/>
          <w:i/>
          <w:iCs/>
          <w:sz w:val="24"/>
          <w:szCs w:val="24"/>
          <w:lang w:val="en-GB" w:eastAsia="en-GB"/>
        </w:rPr>
        <w:t xml:space="preserve"> operating model.</w:t>
      </w:r>
    </w:p>
    <w:p w14:paraId="54C3BE6B" w14:textId="77777777" w:rsidR="00F14AF5" w:rsidRPr="004F1B66" w:rsidRDefault="00F14AF5" w:rsidP="004F1B66">
      <w:pPr>
        <w:spacing w:before="240" w:line="360" w:lineRule="auto"/>
        <w:jc w:val="both"/>
        <w:rPr>
          <w:rFonts w:ascii="Arial" w:hAnsi="Arial" w:cs="Arial"/>
          <w:sz w:val="24"/>
          <w:szCs w:val="24"/>
          <w:lang w:val="en-GB" w:eastAsia="en-GB"/>
        </w:rPr>
      </w:pPr>
      <w:r w:rsidRPr="004F1B66">
        <w:rPr>
          <w:rFonts w:ascii="Arial" w:hAnsi="Arial" w:cs="Arial"/>
          <w:sz w:val="24"/>
          <w:szCs w:val="24"/>
          <w:lang w:val="en-GB" w:eastAsia="en-GB"/>
        </w:rPr>
        <w:t>Marketing and sales generate demand, the membership system records transactions, trainers undertake assessment and oversight, and technology supports recommendations and progress tracking. Operational capacity must remain consistent with the customer volumes forecast in Chapter 9. The main potential bottleneck is trainer capacity because higher membership volumes increase assessment, consultation and progress-review requirements. Technology reliability is a second potential constraint because failures in the app, booking system or wearable integration could disrupt customer experience.</w:t>
      </w:r>
    </w:p>
    <w:p w14:paraId="746CF67E" w14:textId="77777777" w:rsidR="00F14AF5" w:rsidRPr="004F1B66" w:rsidRDefault="00F14AF5" w:rsidP="00ED0796">
      <w:pPr>
        <w:pStyle w:val="Heading2"/>
        <w:rPr>
          <w:rFonts w:eastAsia="Times New Roman"/>
          <w:lang w:val="en-GB" w:eastAsia="en-GB"/>
        </w:rPr>
      </w:pPr>
      <w:bookmarkStart w:id="92" w:name="_Toc239091492"/>
      <w:r w:rsidRPr="004F1B66">
        <w:rPr>
          <w:rFonts w:eastAsia="Times New Roman"/>
          <w:lang w:val="en-GB" w:eastAsia="en-GB"/>
        </w:rPr>
        <w:t>10.3 Location, Facilities, Equipment and Technology</w:t>
      </w:r>
      <w:bookmarkEnd w:id="92"/>
    </w:p>
    <w:p w14:paraId="133947FF" w14:textId="77777777" w:rsidR="00F14AF5" w:rsidRPr="004F1B66" w:rsidRDefault="00F14AF5" w:rsidP="004F1B66">
      <w:pPr>
        <w:spacing w:before="240" w:line="360" w:lineRule="auto"/>
        <w:jc w:val="both"/>
        <w:rPr>
          <w:rFonts w:ascii="Arial" w:hAnsi="Arial" w:cs="Arial"/>
          <w:sz w:val="24"/>
          <w:szCs w:val="24"/>
          <w:lang w:val="en-GB" w:eastAsia="en-GB"/>
        </w:rPr>
      </w:pPr>
      <w:proofErr w:type="spellStart"/>
      <w:r w:rsidRPr="004F1B66">
        <w:rPr>
          <w:rFonts w:ascii="Arial" w:hAnsi="Arial" w:cs="Arial"/>
          <w:sz w:val="24"/>
          <w:szCs w:val="24"/>
          <w:lang w:val="en-GB" w:eastAsia="en-GB"/>
        </w:rPr>
        <w:t>Levenshulme</w:t>
      </w:r>
      <w:proofErr w:type="spellEnd"/>
      <w:r w:rsidRPr="004F1B66">
        <w:rPr>
          <w:rFonts w:ascii="Arial" w:hAnsi="Arial" w:cs="Arial"/>
          <w:sz w:val="24"/>
          <w:szCs w:val="24"/>
          <w:lang w:val="en-GB" w:eastAsia="en-GB"/>
        </w:rPr>
        <w:t xml:space="preserve"> remains the proposed operating base because it provides direct access to the priority local catchment identified in Chapter 5. However, the final premises should be selected using evidence concerning accessibility, floor space, rent, transport links, customer catchment, competition and permitted use rather than location preference alone. The facility should provide appropriate areas for cardiovascular and resistance equipment, functional training, customer assessment, trainer consultation, reception and secure administration.</w:t>
      </w:r>
    </w:p>
    <w:p w14:paraId="178BBDCF" w14:textId="77777777" w:rsidR="00F14AF5" w:rsidRPr="004F1B66" w:rsidRDefault="00F14AF5" w:rsidP="004F1B66">
      <w:pPr>
        <w:spacing w:before="240" w:line="360" w:lineRule="auto"/>
        <w:jc w:val="both"/>
        <w:rPr>
          <w:rFonts w:ascii="Arial" w:hAnsi="Arial" w:cs="Arial"/>
          <w:sz w:val="24"/>
          <w:szCs w:val="24"/>
          <w:lang w:val="en-GB" w:eastAsia="en-GB"/>
        </w:rPr>
      </w:pPr>
      <w:r w:rsidRPr="004F1B66">
        <w:rPr>
          <w:rFonts w:ascii="Arial" w:hAnsi="Arial" w:cs="Arial"/>
          <w:sz w:val="24"/>
          <w:szCs w:val="24"/>
          <w:lang w:val="en-GB" w:eastAsia="en-GB"/>
        </w:rPr>
        <w:t>Launch investment should focus on essential operational resources rather than unnecessary technological complexity. Required systems include gym equipment, booking and membership software, payment processing, CRM/customer records, an app interface and wearable integration. Back-office systems should support accounting, payroll, scheduling and operational reporting. Integration is important because duplicated manual records increase administrative workload and the risk of inconsistent customer information (Slack, Brandon-Jones and Burgess, 2022).</w:t>
      </w:r>
    </w:p>
    <w:p w14:paraId="66FD5C34" w14:textId="77777777" w:rsidR="00F14AF5" w:rsidRPr="004F1B66" w:rsidRDefault="00F14AF5" w:rsidP="00ED0796">
      <w:pPr>
        <w:pStyle w:val="Heading2"/>
        <w:rPr>
          <w:rFonts w:eastAsia="Times New Roman"/>
          <w:lang w:val="en-GB" w:eastAsia="en-GB"/>
        </w:rPr>
      </w:pPr>
      <w:bookmarkStart w:id="93" w:name="_Toc239091493"/>
      <w:r w:rsidRPr="004F1B66">
        <w:rPr>
          <w:rFonts w:eastAsia="Times New Roman"/>
          <w:lang w:val="en-GB" w:eastAsia="en-GB"/>
        </w:rPr>
        <w:t>10.4 Supply Chain, Procurement, Inventory and Logistics</w:t>
      </w:r>
      <w:bookmarkEnd w:id="93"/>
    </w:p>
    <w:p w14:paraId="20C724F6" w14:textId="77777777" w:rsidR="00F14AF5" w:rsidRPr="004F1B66" w:rsidRDefault="00F14AF5" w:rsidP="004F1B66">
      <w:pPr>
        <w:spacing w:before="240" w:line="360" w:lineRule="auto"/>
        <w:jc w:val="both"/>
        <w:rPr>
          <w:rFonts w:ascii="Arial" w:hAnsi="Arial" w:cs="Arial"/>
          <w:sz w:val="24"/>
          <w:szCs w:val="24"/>
          <w:lang w:val="en-GB" w:eastAsia="en-GB"/>
        </w:rPr>
      </w:pPr>
      <w:r w:rsidRPr="004F1B66">
        <w:rPr>
          <w:rFonts w:ascii="Arial" w:hAnsi="Arial" w:cs="Arial"/>
          <w:sz w:val="24"/>
          <w:szCs w:val="24"/>
          <w:lang w:val="en-GB" w:eastAsia="en-GB"/>
        </w:rPr>
        <w:t xml:space="preserve">Although </w:t>
      </w:r>
      <w:proofErr w:type="spellStart"/>
      <w:r w:rsidRPr="004F1B66">
        <w:rPr>
          <w:rFonts w:ascii="Arial" w:hAnsi="Arial" w:cs="Arial"/>
          <w:sz w:val="24"/>
          <w:szCs w:val="24"/>
          <w:lang w:val="en-GB" w:eastAsia="en-GB"/>
        </w:rPr>
        <w:t>FitLife</w:t>
      </w:r>
      <w:proofErr w:type="spellEnd"/>
      <w:r w:rsidRPr="004F1B66">
        <w:rPr>
          <w:rFonts w:ascii="Arial" w:hAnsi="Arial" w:cs="Arial"/>
          <w:sz w:val="24"/>
          <w:szCs w:val="24"/>
          <w:lang w:val="en-GB" w:eastAsia="en-GB"/>
        </w:rPr>
        <w:t xml:space="preserve"> is a service business, it depends on suppliers of gym equipment, software, wearable integration, maintenance, payment processing and professional services. Supplier selection should therefore consider reliability, technical compatibility, service support, lead times, scalability and total cost rather than purchase price alone. Critical technology should not depend excessively on one </w:t>
      </w:r>
      <w:r w:rsidRPr="004F1B66">
        <w:rPr>
          <w:rFonts w:ascii="Arial" w:hAnsi="Arial" w:cs="Arial"/>
          <w:sz w:val="24"/>
          <w:szCs w:val="24"/>
          <w:lang w:val="en-GB" w:eastAsia="en-GB"/>
        </w:rPr>
        <w:lastRenderedPageBreak/>
        <w:t>provider; alternative suppliers or contingency arrangements should be identified where switching failure would significantly disrupt operations.</w:t>
      </w:r>
    </w:p>
    <w:p w14:paraId="12E1C4B1" w14:textId="77777777" w:rsidR="00F14AF5" w:rsidRPr="004F1B66" w:rsidRDefault="00F14AF5" w:rsidP="004F1B66">
      <w:pPr>
        <w:spacing w:before="240" w:line="360" w:lineRule="auto"/>
        <w:jc w:val="both"/>
        <w:rPr>
          <w:rFonts w:ascii="Arial" w:hAnsi="Arial" w:cs="Arial"/>
          <w:sz w:val="24"/>
          <w:szCs w:val="24"/>
          <w:lang w:val="en-GB" w:eastAsia="en-GB"/>
        </w:rPr>
      </w:pPr>
      <w:r w:rsidRPr="004F1B66">
        <w:rPr>
          <w:rFonts w:ascii="Arial" w:hAnsi="Arial" w:cs="Arial"/>
          <w:sz w:val="24"/>
          <w:szCs w:val="24"/>
          <w:lang w:val="en-GB" w:eastAsia="en-GB"/>
        </w:rPr>
        <w:t xml:space="preserve">Inventory requirements are relatively limited, but </w:t>
      </w:r>
      <w:proofErr w:type="spellStart"/>
      <w:r w:rsidRPr="004F1B66">
        <w:rPr>
          <w:rFonts w:ascii="Arial" w:hAnsi="Arial" w:cs="Arial"/>
          <w:sz w:val="24"/>
          <w:szCs w:val="24"/>
          <w:lang w:val="en-GB" w:eastAsia="en-GB"/>
        </w:rPr>
        <w:t>FitLife</w:t>
      </w:r>
      <w:proofErr w:type="spellEnd"/>
      <w:r w:rsidRPr="004F1B66">
        <w:rPr>
          <w:rFonts w:ascii="Arial" w:hAnsi="Arial" w:cs="Arial"/>
          <w:sz w:val="24"/>
          <w:szCs w:val="24"/>
          <w:lang w:val="en-GB" w:eastAsia="en-GB"/>
        </w:rPr>
        <w:t xml:space="preserve"> should monitor cleaning materials, consumables, replacement parts and essential operational supplies. Minimum-stock levels and scheduled replenishment can reduce stock-out risks without unnecessarily tying up working capital. Equipment maintenance should be preventive because unavailable equipment reduces effective capacity and can damage customer satisfaction.</w:t>
      </w:r>
    </w:p>
    <w:p w14:paraId="7A436D2D" w14:textId="77777777" w:rsidR="00F14AF5" w:rsidRPr="004F1B66" w:rsidRDefault="00F14AF5" w:rsidP="004F1B66">
      <w:pPr>
        <w:spacing w:before="240" w:line="360" w:lineRule="auto"/>
        <w:jc w:val="both"/>
        <w:rPr>
          <w:rFonts w:ascii="Arial" w:hAnsi="Arial" w:cs="Arial"/>
          <w:sz w:val="24"/>
          <w:szCs w:val="24"/>
          <w:lang w:val="en-GB" w:eastAsia="en-GB"/>
        </w:rPr>
      </w:pPr>
      <w:r w:rsidRPr="004F1B66">
        <w:rPr>
          <w:rFonts w:ascii="Arial" w:hAnsi="Arial" w:cs="Arial"/>
          <w:sz w:val="24"/>
          <w:szCs w:val="24"/>
          <w:lang w:val="en-GB" w:eastAsia="en-GB"/>
        </w:rPr>
        <w:t>Inbound logistics will involve supplier deliveries and equipment installation, while internal logistics will concern movement of customers, equipment and information through the facility. Outbound delivery is primarily the provision of physical fitness services supported by digital communication, recommendations and progress information.</w:t>
      </w:r>
    </w:p>
    <w:p w14:paraId="07C03E01" w14:textId="77777777" w:rsidR="00F14AF5" w:rsidRPr="004F1B66" w:rsidRDefault="00F14AF5" w:rsidP="00ED0796">
      <w:pPr>
        <w:pStyle w:val="Heading2"/>
        <w:rPr>
          <w:rFonts w:eastAsia="Times New Roman"/>
          <w:lang w:val="en-GB" w:eastAsia="en-GB"/>
        </w:rPr>
      </w:pPr>
      <w:bookmarkStart w:id="94" w:name="_Toc239091494"/>
      <w:r w:rsidRPr="004F1B66">
        <w:rPr>
          <w:rFonts w:eastAsia="Times New Roman"/>
          <w:lang w:val="en-GB" w:eastAsia="en-GB"/>
        </w:rPr>
        <w:t>10.5 Quality, Compliance and Operational Controls</w:t>
      </w:r>
      <w:bookmarkEnd w:id="94"/>
    </w:p>
    <w:p w14:paraId="75175A24" w14:textId="77777777" w:rsidR="00F14AF5" w:rsidRPr="004F1B66" w:rsidRDefault="00F14AF5" w:rsidP="004F1B66">
      <w:pPr>
        <w:spacing w:before="240" w:line="360" w:lineRule="auto"/>
        <w:jc w:val="both"/>
        <w:rPr>
          <w:rFonts w:ascii="Arial" w:hAnsi="Arial" w:cs="Arial"/>
          <w:sz w:val="24"/>
          <w:szCs w:val="24"/>
          <w:lang w:val="en-GB" w:eastAsia="en-GB"/>
        </w:rPr>
      </w:pPr>
      <w:r w:rsidRPr="004F1B66">
        <w:rPr>
          <w:rFonts w:ascii="Arial" w:hAnsi="Arial" w:cs="Arial"/>
          <w:sz w:val="24"/>
          <w:szCs w:val="24"/>
          <w:lang w:val="en-GB" w:eastAsia="en-GB"/>
        </w:rPr>
        <w:t xml:space="preserve">Quality should be defined through measurable standards rather than a general commitment to “high quality”. </w:t>
      </w:r>
      <w:proofErr w:type="spellStart"/>
      <w:r w:rsidRPr="004F1B66">
        <w:rPr>
          <w:rFonts w:ascii="Arial" w:hAnsi="Arial" w:cs="Arial"/>
          <w:sz w:val="24"/>
          <w:szCs w:val="24"/>
          <w:lang w:val="en-GB" w:eastAsia="en-GB"/>
        </w:rPr>
        <w:t>FitLife</w:t>
      </w:r>
      <w:proofErr w:type="spellEnd"/>
      <w:r w:rsidRPr="004F1B66">
        <w:rPr>
          <w:rFonts w:ascii="Arial" w:hAnsi="Arial" w:cs="Arial"/>
          <w:sz w:val="24"/>
          <w:szCs w:val="24"/>
          <w:lang w:val="en-GB" w:eastAsia="en-GB"/>
        </w:rPr>
        <w:t xml:space="preserve"> should monitor equipment availability, technology uptime, trainer response times, customer complaints, satisfaction, retention and completion of scheduled progress reviews. Standard operating procedures should cover </w:t>
      </w:r>
      <w:proofErr w:type="spellStart"/>
      <w:r w:rsidRPr="004F1B66">
        <w:rPr>
          <w:rFonts w:ascii="Arial" w:hAnsi="Arial" w:cs="Arial"/>
          <w:sz w:val="24"/>
          <w:szCs w:val="24"/>
          <w:lang w:val="en-GB" w:eastAsia="en-GB"/>
        </w:rPr>
        <w:t>onboarding</w:t>
      </w:r>
      <w:proofErr w:type="spellEnd"/>
      <w:r w:rsidRPr="004F1B66">
        <w:rPr>
          <w:rFonts w:ascii="Arial" w:hAnsi="Arial" w:cs="Arial"/>
          <w:sz w:val="24"/>
          <w:szCs w:val="24"/>
          <w:lang w:val="en-GB" w:eastAsia="en-GB"/>
        </w:rPr>
        <w:t>, equipment checks, cleaning, customer support, incident reporting and service recovery.</w:t>
      </w:r>
    </w:p>
    <w:p w14:paraId="1BEA169C" w14:textId="77777777" w:rsidR="00F14AF5" w:rsidRPr="004F1B66" w:rsidRDefault="00F14AF5" w:rsidP="004F1B66">
      <w:pPr>
        <w:spacing w:before="240" w:line="360" w:lineRule="auto"/>
        <w:jc w:val="both"/>
        <w:rPr>
          <w:rFonts w:ascii="Arial" w:hAnsi="Arial" w:cs="Arial"/>
          <w:sz w:val="24"/>
          <w:szCs w:val="24"/>
          <w:lang w:val="en-GB" w:eastAsia="en-GB"/>
        </w:rPr>
      </w:pPr>
      <w:r w:rsidRPr="004F1B66">
        <w:rPr>
          <w:rFonts w:ascii="Arial" w:hAnsi="Arial" w:cs="Arial"/>
          <w:sz w:val="24"/>
          <w:szCs w:val="24"/>
          <w:lang w:val="en-GB" w:eastAsia="en-GB"/>
        </w:rPr>
        <w:t>Qualified trainer oversight is essential because AI should support rather than replace professional judgement. Professional standards within the UK sport and physical-activity sector provide a basis for defining appropriate competence and role expectations (CIMSPA, 2026). Trainer recruitment, continuing professional development and performance monitoring should therefore form part of operational quality control.</w:t>
      </w:r>
    </w:p>
    <w:p w14:paraId="7E721823" w14:textId="77777777" w:rsidR="00F14AF5" w:rsidRPr="004F1B66" w:rsidRDefault="00F14AF5" w:rsidP="004F1B66">
      <w:pPr>
        <w:spacing w:before="240" w:line="360" w:lineRule="auto"/>
        <w:jc w:val="both"/>
        <w:rPr>
          <w:rFonts w:ascii="Arial" w:hAnsi="Arial" w:cs="Arial"/>
          <w:sz w:val="24"/>
          <w:szCs w:val="24"/>
          <w:lang w:val="en-GB" w:eastAsia="en-GB"/>
        </w:rPr>
      </w:pPr>
      <w:r w:rsidRPr="004F1B66">
        <w:rPr>
          <w:rFonts w:ascii="Arial" w:hAnsi="Arial" w:cs="Arial"/>
          <w:sz w:val="24"/>
          <w:szCs w:val="24"/>
          <w:lang w:val="en-GB" w:eastAsia="en-GB"/>
        </w:rPr>
        <w:t xml:space="preserve">Data governance is particularly important because </w:t>
      </w:r>
      <w:proofErr w:type="spellStart"/>
      <w:r w:rsidRPr="004F1B66">
        <w:rPr>
          <w:rFonts w:ascii="Arial" w:hAnsi="Arial" w:cs="Arial"/>
          <w:sz w:val="24"/>
          <w:szCs w:val="24"/>
          <w:lang w:val="en-GB" w:eastAsia="en-GB"/>
        </w:rPr>
        <w:t>FitLife</w:t>
      </w:r>
      <w:proofErr w:type="spellEnd"/>
      <w:r w:rsidRPr="004F1B66">
        <w:rPr>
          <w:rFonts w:ascii="Arial" w:hAnsi="Arial" w:cs="Arial"/>
          <w:sz w:val="24"/>
          <w:szCs w:val="24"/>
          <w:lang w:val="en-GB" w:eastAsia="en-GB"/>
        </w:rPr>
        <w:t xml:space="preserve"> proposes to use customer and wearable information. The ICO explains that fitness-tracker information can constitute health data depending on what is collected and how it is used, meaning additional safeguards may apply under UK GDPR (ICO, 2026a). Where special-</w:t>
      </w:r>
      <w:r w:rsidRPr="004F1B66">
        <w:rPr>
          <w:rFonts w:ascii="Arial" w:hAnsi="Arial" w:cs="Arial"/>
          <w:sz w:val="24"/>
          <w:szCs w:val="24"/>
          <w:lang w:val="en-GB" w:eastAsia="en-GB"/>
        </w:rPr>
        <w:lastRenderedPageBreak/>
        <w:t xml:space="preserve">category data is processed, </w:t>
      </w:r>
      <w:proofErr w:type="spellStart"/>
      <w:r w:rsidRPr="004F1B66">
        <w:rPr>
          <w:rFonts w:ascii="Arial" w:hAnsi="Arial" w:cs="Arial"/>
          <w:sz w:val="24"/>
          <w:szCs w:val="24"/>
          <w:lang w:val="en-GB" w:eastAsia="en-GB"/>
        </w:rPr>
        <w:t>FitLife</w:t>
      </w:r>
      <w:proofErr w:type="spellEnd"/>
      <w:r w:rsidRPr="004F1B66">
        <w:rPr>
          <w:rFonts w:ascii="Arial" w:hAnsi="Arial" w:cs="Arial"/>
          <w:sz w:val="24"/>
          <w:szCs w:val="24"/>
          <w:lang w:val="en-GB" w:eastAsia="en-GB"/>
        </w:rPr>
        <w:t xml:space="preserve"> must identify an appropriate Article 6 lawful basis and Article 9 condition, while applying data minimisation and proportionality principles (ICO, 2026a). Data protection should also be incorporated into system design from the beginning rather than added after implementation (ICO, 2026b).</w:t>
      </w:r>
    </w:p>
    <w:p w14:paraId="7A150321" w14:textId="77777777" w:rsidR="00F14AF5" w:rsidRPr="004F1B66" w:rsidRDefault="00F14AF5" w:rsidP="004F1B66">
      <w:pPr>
        <w:spacing w:before="240" w:line="360" w:lineRule="auto"/>
        <w:jc w:val="both"/>
        <w:rPr>
          <w:rFonts w:ascii="Arial" w:hAnsi="Arial" w:cs="Arial"/>
          <w:sz w:val="24"/>
          <w:szCs w:val="24"/>
          <w:lang w:val="en-GB" w:eastAsia="en-GB"/>
        </w:rPr>
      </w:pPr>
      <w:r w:rsidRPr="004F1B66">
        <w:rPr>
          <w:rFonts w:ascii="Arial" w:hAnsi="Arial" w:cs="Arial"/>
          <w:sz w:val="24"/>
          <w:szCs w:val="24"/>
          <w:lang w:val="en-GB" w:eastAsia="en-GB"/>
        </w:rPr>
        <w:t xml:space="preserve">Consequently, </w:t>
      </w:r>
      <w:proofErr w:type="spellStart"/>
      <w:r w:rsidRPr="004F1B66">
        <w:rPr>
          <w:rFonts w:ascii="Arial" w:hAnsi="Arial" w:cs="Arial"/>
          <w:sz w:val="24"/>
          <w:szCs w:val="24"/>
          <w:lang w:val="en-GB" w:eastAsia="en-GB"/>
        </w:rPr>
        <w:t>FitLife</w:t>
      </w:r>
      <w:proofErr w:type="spellEnd"/>
      <w:r w:rsidRPr="004F1B66">
        <w:rPr>
          <w:rFonts w:ascii="Arial" w:hAnsi="Arial" w:cs="Arial"/>
          <w:sz w:val="24"/>
          <w:szCs w:val="24"/>
          <w:lang w:val="en-GB" w:eastAsia="en-GB"/>
        </w:rPr>
        <w:t xml:space="preserve"> should implement privacy information, access controls, secure storage, retention procedures and appropriate data-protection assessments before introducing higher-risk AI or wearable-data processing. Human oversight should remain central where automated recommendations or profiling are used, reducing the risk of inappropriate or unexplained decisions (ICO, 2026c).</w:t>
      </w:r>
    </w:p>
    <w:p w14:paraId="1325F21E" w14:textId="77777777" w:rsidR="00F14AF5" w:rsidRPr="004F1B66" w:rsidRDefault="00F14AF5" w:rsidP="00ED0796">
      <w:pPr>
        <w:pStyle w:val="Heading2"/>
        <w:rPr>
          <w:rFonts w:eastAsia="Times New Roman"/>
          <w:lang w:val="en-GB" w:eastAsia="en-GB"/>
        </w:rPr>
      </w:pPr>
      <w:bookmarkStart w:id="95" w:name="_Toc239091495"/>
      <w:r w:rsidRPr="004F1B66">
        <w:rPr>
          <w:rFonts w:eastAsia="Times New Roman"/>
          <w:lang w:val="en-GB" w:eastAsia="en-GB"/>
        </w:rPr>
        <w:t>10.6 Operational Synthesis</w:t>
      </w:r>
      <w:bookmarkEnd w:id="95"/>
    </w:p>
    <w:p w14:paraId="31C61662" w14:textId="77777777" w:rsidR="00F14AF5" w:rsidRPr="004F1B66" w:rsidRDefault="00F14AF5" w:rsidP="004F1B66">
      <w:pPr>
        <w:spacing w:before="240" w:line="360" w:lineRule="auto"/>
        <w:jc w:val="both"/>
        <w:rPr>
          <w:rFonts w:ascii="Arial" w:hAnsi="Arial" w:cs="Arial"/>
          <w:sz w:val="24"/>
          <w:szCs w:val="24"/>
          <w:lang w:val="en-GB" w:eastAsia="en-GB"/>
        </w:rPr>
      </w:pPr>
      <w:r w:rsidRPr="004F1B66">
        <w:rPr>
          <w:rFonts w:ascii="Arial" w:hAnsi="Arial" w:cs="Arial"/>
          <w:sz w:val="24"/>
          <w:szCs w:val="24"/>
          <w:lang w:val="en-GB" w:eastAsia="en-GB"/>
        </w:rPr>
        <w:t xml:space="preserve">Overall, </w:t>
      </w:r>
      <w:proofErr w:type="spellStart"/>
      <w:r w:rsidRPr="004F1B66">
        <w:rPr>
          <w:rFonts w:ascii="Arial" w:hAnsi="Arial" w:cs="Arial"/>
          <w:sz w:val="24"/>
          <w:szCs w:val="24"/>
          <w:lang w:val="en-GB" w:eastAsia="en-GB"/>
        </w:rPr>
        <w:t>FitLife's</w:t>
      </w:r>
      <w:proofErr w:type="spellEnd"/>
      <w:r w:rsidRPr="004F1B66">
        <w:rPr>
          <w:rFonts w:ascii="Arial" w:hAnsi="Arial" w:cs="Arial"/>
          <w:sz w:val="24"/>
          <w:szCs w:val="24"/>
          <w:lang w:val="en-GB" w:eastAsia="en-GB"/>
        </w:rPr>
        <w:t xml:space="preserve"> operating model can support the proposed strategy provided customer growth remains aligned with trainer availability, premises capacity, technology reliability and the financial limits established in Chapter 9. The principal operational challenge is balancing personalised human support with technology-enabled scalability. Growth should therefore be supported through additional trainer capacity, reliable digital systems, preventive maintenance and standardised service processes rather than simply increasing membership numbers. This creates an operating model capable of delivering </w:t>
      </w:r>
      <w:proofErr w:type="spellStart"/>
      <w:r w:rsidRPr="004F1B66">
        <w:rPr>
          <w:rFonts w:ascii="Arial" w:hAnsi="Arial" w:cs="Arial"/>
          <w:sz w:val="24"/>
          <w:szCs w:val="24"/>
          <w:lang w:val="en-GB" w:eastAsia="en-GB"/>
        </w:rPr>
        <w:t>FitLife's</w:t>
      </w:r>
      <w:proofErr w:type="spellEnd"/>
      <w:r w:rsidRPr="004F1B66">
        <w:rPr>
          <w:rFonts w:ascii="Arial" w:hAnsi="Arial" w:cs="Arial"/>
          <w:sz w:val="24"/>
          <w:szCs w:val="24"/>
          <w:lang w:val="en-GB" w:eastAsia="en-GB"/>
        </w:rPr>
        <w:t xml:space="preserve"> proposed combination of personalisation, convenience, accountability and human support while maintaining quality, safety and data governance.</w:t>
      </w:r>
    </w:p>
    <w:p w14:paraId="5EEAA0EF" w14:textId="08D75AF8" w:rsidR="00F14AF5" w:rsidRDefault="00F14AF5" w:rsidP="00E04AAD">
      <w:pPr>
        <w:spacing w:before="240" w:line="360" w:lineRule="auto"/>
        <w:jc w:val="both"/>
        <w:rPr>
          <w:rFonts w:ascii="Arial" w:hAnsi="Arial" w:cs="Arial"/>
          <w:sz w:val="24"/>
          <w:szCs w:val="24"/>
          <w:lang w:val="en-GB" w:eastAsia="en-GB"/>
        </w:rPr>
      </w:pPr>
    </w:p>
    <w:p w14:paraId="48C984C8" w14:textId="0CAFFC55" w:rsidR="001B2435" w:rsidRDefault="001B2435" w:rsidP="00E04AAD">
      <w:pPr>
        <w:spacing w:before="240" w:line="360" w:lineRule="auto"/>
        <w:jc w:val="both"/>
        <w:rPr>
          <w:rFonts w:ascii="Arial" w:hAnsi="Arial" w:cs="Arial"/>
          <w:sz w:val="24"/>
          <w:szCs w:val="24"/>
          <w:lang w:val="en-GB" w:eastAsia="en-GB"/>
        </w:rPr>
      </w:pPr>
    </w:p>
    <w:p w14:paraId="566FFDA1" w14:textId="24F3C302" w:rsidR="001B2435" w:rsidRDefault="001B2435" w:rsidP="00E04AAD">
      <w:pPr>
        <w:spacing w:before="240" w:line="360" w:lineRule="auto"/>
        <w:jc w:val="both"/>
        <w:rPr>
          <w:rFonts w:ascii="Arial" w:hAnsi="Arial" w:cs="Arial"/>
          <w:sz w:val="24"/>
          <w:szCs w:val="24"/>
          <w:lang w:val="en-GB" w:eastAsia="en-GB"/>
        </w:rPr>
      </w:pPr>
    </w:p>
    <w:p w14:paraId="368CF83F" w14:textId="3B80FC8E" w:rsidR="00ED0796" w:rsidRDefault="00ED0796" w:rsidP="00E04AAD">
      <w:pPr>
        <w:spacing w:before="240" w:line="360" w:lineRule="auto"/>
        <w:jc w:val="both"/>
        <w:rPr>
          <w:rFonts w:ascii="Arial" w:hAnsi="Arial" w:cs="Arial"/>
          <w:sz w:val="24"/>
          <w:szCs w:val="24"/>
          <w:lang w:val="en-GB" w:eastAsia="en-GB"/>
        </w:rPr>
      </w:pPr>
    </w:p>
    <w:p w14:paraId="5E65AF4C" w14:textId="77777777" w:rsidR="00ED0796" w:rsidRDefault="00ED0796" w:rsidP="00E04AAD">
      <w:pPr>
        <w:spacing w:before="240" w:line="360" w:lineRule="auto"/>
        <w:jc w:val="both"/>
        <w:rPr>
          <w:rFonts w:ascii="Arial" w:hAnsi="Arial" w:cs="Arial"/>
          <w:sz w:val="24"/>
          <w:szCs w:val="24"/>
          <w:lang w:val="en-GB" w:eastAsia="en-GB"/>
        </w:rPr>
      </w:pPr>
    </w:p>
    <w:p w14:paraId="71D83F43" w14:textId="431FC2CB" w:rsidR="001B2435" w:rsidRDefault="001B2435" w:rsidP="00E04AAD">
      <w:pPr>
        <w:spacing w:before="240" w:line="360" w:lineRule="auto"/>
        <w:jc w:val="both"/>
        <w:rPr>
          <w:rFonts w:ascii="Arial" w:hAnsi="Arial" w:cs="Arial"/>
          <w:sz w:val="24"/>
          <w:szCs w:val="24"/>
          <w:lang w:val="en-GB" w:eastAsia="en-GB"/>
        </w:rPr>
      </w:pPr>
    </w:p>
    <w:p w14:paraId="3480B1F3" w14:textId="6F977C48" w:rsidR="001B2435" w:rsidRDefault="001B2435" w:rsidP="00E04AAD">
      <w:pPr>
        <w:spacing w:before="240" w:line="360" w:lineRule="auto"/>
        <w:jc w:val="both"/>
        <w:rPr>
          <w:rFonts w:ascii="Arial" w:hAnsi="Arial" w:cs="Arial"/>
          <w:sz w:val="24"/>
          <w:szCs w:val="24"/>
          <w:lang w:val="en-GB" w:eastAsia="en-GB"/>
        </w:rPr>
      </w:pPr>
    </w:p>
    <w:p w14:paraId="1F6DE8CE" w14:textId="63096A0D" w:rsidR="00320ED2" w:rsidRDefault="00320ED2" w:rsidP="00E61401">
      <w:pPr>
        <w:spacing w:line="360" w:lineRule="auto"/>
        <w:jc w:val="both"/>
        <w:rPr>
          <w:rFonts w:ascii="Arial" w:hAnsi="Arial" w:cs="Arial"/>
          <w:sz w:val="24"/>
          <w:szCs w:val="24"/>
          <w:lang w:val="en-GB" w:eastAsia="en-GB"/>
        </w:rPr>
      </w:pPr>
    </w:p>
    <w:p w14:paraId="76C3065E" w14:textId="3A32AADA" w:rsidR="00320ED2" w:rsidRPr="00320ED2" w:rsidRDefault="00320ED2" w:rsidP="002073FB">
      <w:pPr>
        <w:pStyle w:val="Heading1"/>
        <w:rPr>
          <w:rFonts w:eastAsia="Times New Roman"/>
          <w:lang w:val="en-GB" w:eastAsia="en-GB"/>
        </w:rPr>
      </w:pPr>
      <w:r w:rsidRPr="00320ED2">
        <w:rPr>
          <w:rFonts w:eastAsia="Times New Roman"/>
          <w:lang w:val="en-GB" w:eastAsia="en-GB"/>
        </w:rPr>
        <w:lastRenderedPageBreak/>
        <w:t xml:space="preserve"> </w:t>
      </w:r>
      <w:bookmarkStart w:id="96" w:name="_Toc239091496"/>
      <w:r w:rsidRPr="00320ED2">
        <w:rPr>
          <w:rFonts w:eastAsia="Times New Roman"/>
          <w:lang w:val="en-GB" w:eastAsia="en-GB"/>
        </w:rPr>
        <w:t>References</w:t>
      </w:r>
      <w:bookmarkEnd w:id="96"/>
    </w:p>
    <w:p w14:paraId="32D830F2"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Aaker</w:t>
      </w:r>
      <w:proofErr w:type="spellEnd"/>
      <w:r w:rsidRPr="00320ED2">
        <w:rPr>
          <w:rFonts w:ascii="Arial" w:eastAsia="Times New Roman" w:hAnsi="Arial" w:cs="Arial"/>
          <w:sz w:val="24"/>
          <w:szCs w:val="24"/>
          <w:lang w:val="en-GB" w:eastAsia="en-GB"/>
        </w:rPr>
        <w:t xml:space="preserve">, D.A. (1996) </w:t>
      </w:r>
      <w:r w:rsidRPr="00320ED2">
        <w:rPr>
          <w:rFonts w:ascii="Arial" w:eastAsia="Times New Roman" w:hAnsi="Arial" w:cs="Arial"/>
          <w:i/>
          <w:iCs/>
          <w:sz w:val="24"/>
          <w:szCs w:val="24"/>
          <w:lang w:val="en-GB" w:eastAsia="en-GB"/>
        </w:rPr>
        <w:t>Building Strong Brands</w:t>
      </w:r>
      <w:r w:rsidRPr="00320ED2">
        <w:rPr>
          <w:rFonts w:ascii="Arial" w:eastAsia="Times New Roman" w:hAnsi="Arial" w:cs="Arial"/>
          <w:sz w:val="24"/>
          <w:szCs w:val="24"/>
          <w:lang w:val="en-GB" w:eastAsia="en-GB"/>
        </w:rPr>
        <w:t xml:space="preserve">. New York: Free Press. Publisher/Google Books </w:t>
      </w:r>
    </w:p>
    <w:p w14:paraId="2ADA83DD"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Achtenhagen</w:t>
      </w:r>
      <w:proofErr w:type="spellEnd"/>
      <w:r w:rsidRPr="00320ED2">
        <w:rPr>
          <w:rFonts w:ascii="Arial" w:eastAsia="Times New Roman" w:hAnsi="Arial" w:cs="Arial"/>
          <w:sz w:val="24"/>
          <w:szCs w:val="24"/>
          <w:lang w:val="en-GB" w:eastAsia="en-GB"/>
        </w:rPr>
        <w:t xml:space="preserve">, L., </w:t>
      </w:r>
      <w:proofErr w:type="spellStart"/>
      <w:r w:rsidRPr="00320ED2">
        <w:rPr>
          <w:rFonts w:ascii="Arial" w:eastAsia="Times New Roman" w:hAnsi="Arial" w:cs="Arial"/>
          <w:sz w:val="24"/>
          <w:szCs w:val="24"/>
          <w:lang w:val="en-GB" w:eastAsia="en-GB"/>
        </w:rPr>
        <w:t>Melin</w:t>
      </w:r>
      <w:proofErr w:type="spellEnd"/>
      <w:r w:rsidRPr="00320ED2">
        <w:rPr>
          <w:rFonts w:ascii="Arial" w:eastAsia="Times New Roman" w:hAnsi="Arial" w:cs="Arial"/>
          <w:sz w:val="24"/>
          <w:szCs w:val="24"/>
          <w:lang w:val="en-GB" w:eastAsia="en-GB"/>
        </w:rPr>
        <w:t xml:space="preserve">, L. and </w:t>
      </w:r>
      <w:proofErr w:type="spellStart"/>
      <w:r w:rsidRPr="00320ED2">
        <w:rPr>
          <w:rFonts w:ascii="Arial" w:eastAsia="Times New Roman" w:hAnsi="Arial" w:cs="Arial"/>
          <w:sz w:val="24"/>
          <w:szCs w:val="24"/>
          <w:lang w:val="en-GB" w:eastAsia="en-GB"/>
        </w:rPr>
        <w:t>Naldi</w:t>
      </w:r>
      <w:proofErr w:type="spellEnd"/>
      <w:r w:rsidRPr="00320ED2">
        <w:rPr>
          <w:rFonts w:ascii="Arial" w:eastAsia="Times New Roman" w:hAnsi="Arial" w:cs="Arial"/>
          <w:sz w:val="24"/>
          <w:szCs w:val="24"/>
          <w:lang w:val="en-GB" w:eastAsia="en-GB"/>
        </w:rPr>
        <w:t xml:space="preserve">, L. (2013) ‘Dynamics of business models’, </w:t>
      </w:r>
      <w:r w:rsidRPr="00320ED2">
        <w:rPr>
          <w:rFonts w:ascii="Arial" w:eastAsia="Times New Roman" w:hAnsi="Arial" w:cs="Arial"/>
          <w:i/>
          <w:iCs/>
          <w:sz w:val="24"/>
          <w:szCs w:val="24"/>
          <w:lang w:val="en-GB" w:eastAsia="en-GB"/>
        </w:rPr>
        <w:t>Long Range Planning</w:t>
      </w:r>
      <w:r w:rsidRPr="00320ED2">
        <w:rPr>
          <w:rFonts w:ascii="Arial" w:eastAsia="Times New Roman" w:hAnsi="Arial" w:cs="Arial"/>
          <w:sz w:val="24"/>
          <w:szCs w:val="24"/>
          <w:lang w:val="en-GB" w:eastAsia="en-GB"/>
        </w:rPr>
        <w:t xml:space="preserve">, 46(6), pp. 427–442. Article DOI </w:t>
      </w:r>
    </w:p>
    <w:p w14:paraId="1C0187DC"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Barney, J. (1991) ‘Firm resources and sustained competitive advantage’, </w:t>
      </w:r>
      <w:r w:rsidRPr="00320ED2">
        <w:rPr>
          <w:rFonts w:ascii="Arial" w:eastAsia="Times New Roman" w:hAnsi="Arial" w:cs="Arial"/>
          <w:i/>
          <w:iCs/>
          <w:sz w:val="24"/>
          <w:szCs w:val="24"/>
          <w:lang w:val="en-GB" w:eastAsia="en-GB"/>
        </w:rPr>
        <w:t>Journal of Management</w:t>
      </w:r>
      <w:r w:rsidRPr="00320ED2">
        <w:rPr>
          <w:rFonts w:ascii="Arial" w:eastAsia="Times New Roman" w:hAnsi="Arial" w:cs="Arial"/>
          <w:sz w:val="24"/>
          <w:szCs w:val="24"/>
          <w:lang w:val="en-GB" w:eastAsia="en-GB"/>
        </w:rPr>
        <w:t xml:space="preserve">, 17(1), pp. 99–120. </w:t>
      </w:r>
      <w:hyperlink r:id="rId14"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01C5BCD8"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Becker, L. and </w:t>
      </w:r>
      <w:proofErr w:type="spellStart"/>
      <w:r w:rsidRPr="00320ED2">
        <w:rPr>
          <w:rFonts w:ascii="Arial" w:eastAsia="Times New Roman" w:hAnsi="Arial" w:cs="Arial"/>
          <w:sz w:val="24"/>
          <w:szCs w:val="24"/>
          <w:lang w:val="en-GB" w:eastAsia="en-GB"/>
        </w:rPr>
        <w:t>Jaakkola</w:t>
      </w:r>
      <w:proofErr w:type="spellEnd"/>
      <w:r w:rsidRPr="00320ED2">
        <w:rPr>
          <w:rFonts w:ascii="Arial" w:eastAsia="Times New Roman" w:hAnsi="Arial" w:cs="Arial"/>
          <w:sz w:val="24"/>
          <w:szCs w:val="24"/>
          <w:lang w:val="en-GB" w:eastAsia="en-GB"/>
        </w:rPr>
        <w:t xml:space="preserve">, E. (2020) ‘Customer experience: fundamental premises and implications for research’, </w:t>
      </w:r>
      <w:r w:rsidRPr="00320ED2">
        <w:rPr>
          <w:rFonts w:ascii="Arial" w:eastAsia="Times New Roman" w:hAnsi="Arial" w:cs="Arial"/>
          <w:i/>
          <w:iCs/>
          <w:sz w:val="24"/>
          <w:szCs w:val="24"/>
          <w:lang w:val="en-GB" w:eastAsia="en-GB"/>
        </w:rPr>
        <w:t>Journal of the Academy of Marketing Science</w:t>
      </w:r>
      <w:r w:rsidRPr="00320ED2">
        <w:rPr>
          <w:rFonts w:ascii="Arial" w:eastAsia="Times New Roman" w:hAnsi="Arial" w:cs="Arial"/>
          <w:sz w:val="24"/>
          <w:szCs w:val="24"/>
          <w:lang w:val="en-GB" w:eastAsia="en-GB"/>
        </w:rPr>
        <w:t xml:space="preserve">, 48, pp. 630–648. </w:t>
      </w:r>
      <w:hyperlink r:id="rId15"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19EA6D9B"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Bijmolt</w:t>
      </w:r>
      <w:proofErr w:type="spellEnd"/>
      <w:r w:rsidRPr="00320ED2">
        <w:rPr>
          <w:rFonts w:ascii="Arial" w:eastAsia="Times New Roman" w:hAnsi="Arial" w:cs="Arial"/>
          <w:sz w:val="24"/>
          <w:szCs w:val="24"/>
          <w:lang w:val="en-GB" w:eastAsia="en-GB"/>
        </w:rPr>
        <w:t xml:space="preserve">, T.H.A., Wedel, M. and </w:t>
      </w:r>
      <w:proofErr w:type="spellStart"/>
      <w:r w:rsidRPr="00320ED2">
        <w:rPr>
          <w:rFonts w:ascii="Arial" w:eastAsia="Times New Roman" w:hAnsi="Arial" w:cs="Arial"/>
          <w:sz w:val="24"/>
          <w:szCs w:val="24"/>
          <w:lang w:val="en-GB" w:eastAsia="en-GB"/>
        </w:rPr>
        <w:t>DeSarbo</w:t>
      </w:r>
      <w:proofErr w:type="spellEnd"/>
      <w:r w:rsidRPr="00320ED2">
        <w:rPr>
          <w:rFonts w:ascii="Arial" w:eastAsia="Times New Roman" w:hAnsi="Arial" w:cs="Arial"/>
          <w:sz w:val="24"/>
          <w:szCs w:val="24"/>
          <w:lang w:val="en-GB" w:eastAsia="en-GB"/>
        </w:rPr>
        <w:t xml:space="preserve">, W.S. (2021) ‘Adaptive multidimensional scaling: brand positioning based on decision sets and dissimilarity judgments’, </w:t>
      </w:r>
      <w:r w:rsidRPr="00320ED2">
        <w:rPr>
          <w:rFonts w:ascii="Arial" w:eastAsia="Times New Roman" w:hAnsi="Arial" w:cs="Arial"/>
          <w:i/>
          <w:iCs/>
          <w:sz w:val="24"/>
          <w:szCs w:val="24"/>
          <w:lang w:val="en-GB" w:eastAsia="en-GB"/>
        </w:rPr>
        <w:t>Customer Needs and Solutions</w:t>
      </w:r>
      <w:r w:rsidRPr="00320ED2">
        <w:rPr>
          <w:rFonts w:ascii="Arial" w:eastAsia="Times New Roman" w:hAnsi="Arial" w:cs="Arial"/>
          <w:sz w:val="24"/>
          <w:szCs w:val="24"/>
          <w:lang w:val="en-GB" w:eastAsia="en-GB"/>
        </w:rPr>
        <w:t xml:space="preserve">, 8, pp. 1–15. </w:t>
      </w:r>
      <w:hyperlink r:id="rId16"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517BA38F"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British Business Bank (2025) </w:t>
      </w:r>
      <w:r w:rsidRPr="00320ED2">
        <w:rPr>
          <w:rFonts w:ascii="Arial" w:eastAsia="Times New Roman" w:hAnsi="Arial" w:cs="Arial"/>
          <w:i/>
          <w:iCs/>
          <w:sz w:val="24"/>
          <w:szCs w:val="24"/>
          <w:lang w:val="en-GB" w:eastAsia="en-GB"/>
        </w:rPr>
        <w:t>Small Business Finance Markets Report 2025</w:t>
      </w:r>
      <w:r w:rsidRPr="00320ED2">
        <w:rPr>
          <w:rFonts w:ascii="Arial" w:eastAsia="Times New Roman" w:hAnsi="Arial" w:cs="Arial"/>
          <w:sz w:val="24"/>
          <w:szCs w:val="24"/>
          <w:lang w:val="en-GB" w:eastAsia="en-GB"/>
        </w:rPr>
        <w:t xml:space="preserve">. </w:t>
      </w:r>
      <w:hyperlink r:id="rId17" w:tgtFrame="_blank" w:history="1">
        <w:r w:rsidRPr="00320ED2">
          <w:rPr>
            <w:rFonts w:ascii="Arial" w:eastAsia="Times New Roman" w:hAnsi="Arial" w:cs="Arial"/>
            <w:color w:val="0000FF"/>
            <w:sz w:val="24"/>
            <w:szCs w:val="24"/>
            <w:u w:val="single"/>
            <w:lang w:val="en-GB" w:eastAsia="en-GB"/>
          </w:rPr>
          <w:t>British Business Bank report</w:t>
        </w:r>
      </w:hyperlink>
      <w:r w:rsidRPr="00320ED2">
        <w:rPr>
          <w:rFonts w:ascii="Arial" w:eastAsia="Times New Roman" w:hAnsi="Arial" w:cs="Arial"/>
          <w:sz w:val="24"/>
          <w:szCs w:val="24"/>
          <w:lang w:val="en-GB" w:eastAsia="en-GB"/>
        </w:rPr>
        <w:t xml:space="preserve"> </w:t>
      </w:r>
    </w:p>
    <w:p w14:paraId="0F3E8409"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Brinckmann</w:t>
      </w:r>
      <w:proofErr w:type="spellEnd"/>
      <w:r w:rsidRPr="00320ED2">
        <w:rPr>
          <w:rFonts w:ascii="Arial" w:eastAsia="Times New Roman" w:hAnsi="Arial" w:cs="Arial"/>
          <w:sz w:val="24"/>
          <w:szCs w:val="24"/>
          <w:lang w:val="en-GB" w:eastAsia="en-GB"/>
        </w:rPr>
        <w:t xml:space="preserve">, J., </w:t>
      </w:r>
      <w:proofErr w:type="spellStart"/>
      <w:r w:rsidRPr="00320ED2">
        <w:rPr>
          <w:rFonts w:ascii="Arial" w:eastAsia="Times New Roman" w:hAnsi="Arial" w:cs="Arial"/>
          <w:sz w:val="24"/>
          <w:szCs w:val="24"/>
          <w:lang w:val="en-GB" w:eastAsia="en-GB"/>
        </w:rPr>
        <w:t>Grichnik</w:t>
      </w:r>
      <w:proofErr w:type="spellEnd"/>
      <w:r w:rsidRPr="00320ED2">
        <w:rPr>
          <w:rFonts w:ascii="Arial" w:eastAsia="Times New Roman" w:hAnsi="Arial" w:cs="Arial"/>
          <w:sz w:val="24"/>
          <w:szCs w:val="24"/>
          <w:lang w:val="en-GB" w:eastAsia="en-GB"/>
        </w:rPr>
        <w:t xml:space="preserve">, D. and </w:t>
      </w:r>
      <w:proofErr w:type="spellStart"/>
      <w:r w:rsidRPr="00320ED2">
        <w:rPr>
          <w:rFonts w:ascii="Arial" w:eastAsia="Times New Roman" w:hAnsi="Arial" w:cs="Arial"/>
          <w:sz w:val="24"/>
          <w:szCs w:val="24"/>
          <w:lang w:val="en-GB" w:eastAsia="en-GB"/>
        </w:rPr>
        <w:t>Kapsa</w:t>
      </w:r>
      <w:proofErr w:type="spellEnd"/>
      <w:r w:rsidRPr="00320ED2">
        <w:rPr>
          <w:rFonts w:ascii="Arial" w:eastAsia="Times New Roman" w:hAnsi="Arial" w:cs="Arial"/>
          <w:sz w:val="24"/>
          <w:szCs w:val="24"/>
          <w:lang w:val="en-GB" w:eastAsia="en-GB"/>
        </w:rPr>
        <w:t xml:space="preserve">, D. (2010) ‘Should entrepreneurs plan or just storm the castle?’, </w:t>
      </w:r>
      <w:r w:rsidRPr="00320ED2">
        <w:rPr>
          <w:rFonts w:ascii="Arial" w:eastAsia="Times New Roman" w:hAnsi="Arial" w:cs="Arial"/>
          <w:i/>
          <w:iCs/>
          <w:sz w:val="24"/>
          <w:szCs w:val="24"/>
          <w:lang w:val="en-GB" w:eastAsia="en-GB"/>
        </w:rPr>
        <w:t>Journal of Business Venturing</w:t>
      </w:r>
      <w:r w:rsidRPr="00320ED2">
        <w:rPr>
          <w:rFonts w:ascii="Arial" w:eastAsia="Times New Roman" w:hAnsi="Arial" w:cs="Arial"/>
          <w:sz w:val="24"/>
          <w:szCs w:val="24"/>
          <w:lang w:val="en-GB" w:eastAsia="en-GB"/>
        </w:rPr>
        <w:t xml:space="preserve">, 25(1), pp. 24–40. Article DOI </w:t>
      </w:r>
    </w:p>
    <w:p w14:paraId="6C5C1400"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Burns, P. (2022) </w:t>
      </w:r>
      <w:r w:rsidRPr="00320ED2">
        <w:rPr>
          <w:rFonts w:ascii="Arial" w:eastAsia="Times New Roman" w:hAnsi="Arial" w:cs="Arial"/>
          <w:i/>
          <w:iCs/>
          <w:sz w:val="24"/>
          <w:szCs w:val="24"/>
          <w:lang w:val="en-GB" w:eastAsia="en-GB"/>
        </w:rPr>
        <w:t>Entrepreneurship and Small Business</w:t>
      </w:r>
      <w:r w:rsidRPr="00320ED2">
        <w:rPr>
          <w:rFonts w:ascii="Arial" w:eastAsia="Times New Roman" w:hAnsi="Arial" w:cs="Arial"/>
          <w:sz w:val="24"/>
          <w:szCs w:val="24"/>
          <w:lang w:val="en-GB" w:eastAsia="en-GB"/>
        </w:rPr>
        <w:t xml:space="preserve">. 5th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London: Red Globe Press. Publisher </w:t>
      </w:r>
    </w:p>
    <w:p w14:paraId="23782FD3"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Chaffey, D. and Ellis-Chadwick, F. (2022) </w:t>
      </w:r>
      <w:r w:rsidRPr="00320ED2">
        <w:rPr>
          <w:rFonts w:ascii="Arial" w:eastAsia="Times New Roman" w:hAnsi="Arial" w:cs="Arial"/>
          <w:i/>
          <w:iCs/>
          <w:sz w:val="24"/>
          <w:szCs w:val="24"/>
          <w:lang w:val="en-GB" w:eastAsia="en-GB"/>
        </w:rPr>
        <w:t>Digital Marketing</w:t>
      </w:r>
      <w:r w:rsidRPr="00320ED2">
        <w:rPr>
          <w:rFonts w:ascii="Arial" w:eastAsia="Times New Roman" w:hAnsi="Arial" w:cs="Arial"/>
          <w:sz w:val="24"/>
          <w:szCs w:val="24"/>
          <w:lang w:val="en-GB" w:eastAsia="en-GB"/>
        </w:rPr>
        <w:t xml:space="preserve">. 8th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Harlow: Pearson. Pearson </w:t>
      </w:r>
    </w:p>
    <w:p w14:paraId="54CF73D0"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Christopher, M. (2016) </w:t>
      </w:r>
      <w:r w:rsidRPr="00320ED2">
        <w:rPr>
          <w:rFonts w:ascii="Arial" w:eastAsia="Times New Roman" w:hAnsi="Arial" w:cs="Arial"/>
          <w:i/>
          <w:iCs/>
          <w:sz w:val="24"/>
          <w:szCs w:val="24"/>
          <w:lang w:val="en-GB" w:eastAsia="en-GB"/>
        </w:rPr>
        <w:t>Logistics &amp; Supply Chain Management</w:t>
      </w:r>
      <w:r w:rsidRPr="00320ED2">
        <w:rPr>
          <w:rFonts w:ascii="Arial" w:eastAsia="Times New Roman" w:hAnsi="Arial" w:cs="Arial"/>
          <w:sz w:val="24"/>
          <w:szCs w:val="24"/>
          <w:lang w:val="en-GB" w:eastAsia="en-GB"/>
        </w:rPr>
        <w:t xml:space="preserve">. 5th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Harlow: Pearson. </w:t>
      </w:r>
      <w:hyperlink r:id="rId18" w:tgtFrame="_blank" w:history="1">
        <w:r w:rsidRPr="00320ED2">
          <w:rPr>
            <w:rFonts w:ascii="Arial" w:eastAsia="Times New Roman" w:hAnsi="Arial" w:cs="Arial"/>
            <w:color w:val="0000FF"/>
            <w:sz w:val="24"/>
            <w:szCs w:val="24"/>
            <w:u w:val="single"/>
            <w:lang w:val="en-GB" w:eastAsia="en-GB"/>
          </w:rPr>
          <w:t>Publisher</w:t>
        </w:r>
      </w:hyperlink>
      <w:r w:rsidRPr="00320ED2">
        <w:rPr>
          <w:rFonts w:ascii="Arial" w:eastAsia="Times New Roman" w:hAnsi="Arial" w:cs="Arial"/>
          <w:sz w:val="24"/>
          <w:szCs w:val="24"/>
          <w:lang w:val="en-GB" w:eastAsia="en-GB"/>
        </w:rPr>
        <w:t xml:space="preserve"> </w:t>
      </w:r>
    </w:p>
    <w:p w14:paraId="359ADB50"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Cooper, R.G. (2019) </w:t>
      </w:r>
      <w:r w:rsidRPr="00320ED2">
        <w:rPr>
          <w:rFonts w:ascii="Arial" w:eastAsia="Times New Roman" w:hAnsi="Arial" w:cs="Arial"/>
          <w:i/>
          <w:iCs/>
          <w:sz w:val="24"/>
          <w:szCs w:val="24"/>
          <w:lang w:val="en-GB" w:eastAsia="en-GB"/>
        </w:rPr>
        <w:t>Winning at New Products</w:t>
      </w:r>
      <w:r w:rsidRPr="00320ED2">
        <w:rPr>
          <w:rFonts w:ascii="Arial" w:eastAsia="Times New Roman" w:hAnsi="Arial" w:cs="Arial"/>
          <w:sz w:val="24"/>
          <w:szCs w:val="24"/>
          <w:lang w:val="en-GB" w:eastAsia="en-GB"/>
        </w:rPr>
        <w:t xml:space="preserve">. 5th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New York: Basic Books. Publisher/Google Books </w:t>
      </w:r>
    </w:p>
    <w:p w14:paraId="10DC635B"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Covin</w:t>
      </w:r>
      <w:proofErr w:type="spellEnd"/>
      <w:r w:rsidRPr="00320ED2">
        <w:rPr>
          <w:rFonts w:ascii="Arial" w:eastAsia="Times New Roman" w:hAnsi="Arial" w:cs="Arial"/>
          <w:sz w:val="24"/>
          <w:szCs w:val="24"/>
          <w:lang w:val="en-GB" w:eastAsia="en-GB"/>
        </w:rPr>
        <w:t xml:space="preserve">, J.G. and </w:t>
      </w:r>
      <w:proofErr w:type="spellStart"/>
      <w:r w:rsidRPr="00320ED2">
        <w:rPr>
          <w:rFonts w:ascii="Arial" w:eastAsia="Times New Roman" w:hAnsi="Arial" w:cs="Arial"/>
          <w:sz w:val="24"/>
          <w:szCs w:val="24"/>
          <w:lang w:val="en-GB" w:eastAsia="en-GB"/>
        </w:rPr>
        <w:t>Slevin</w:t>
      </w:r>
      <w:proofErr w:type="spellEnd"/>
      <w:r w:rsidRPr="00320ED2">
        <w:rPr>
          <w:rFonts w:ascii="Arial" w:eastAsia="Times New Roman" w:hAnsi="Arial" w:cs="Arial"/>
          <w:sz w:val="24"/>
          <w:szCs w:val="24"/>
          <w:lang w:val="en-GB" w:eastAsia="en-GB"/>
        </w:rPr>
        <w:t xml:space="preserve">, D.P. (1991) ‘A conceptual model of entrepreneurship as firm behaviour’, </w:t>
      </w:r>
      <w:r w:rsidRPr="00320ED2">
        <w:rPr>
          <w:rFonts w:ascii="Arial" w:eastAsia="Times New Roman" w:hAnsi="Arial" w:cs="Arial"/>
          <w:i/>
          <w:iCs/>
          <w:sz w:val="24"/>
          <w:szCs w:val="24"/>
          <w:lang w:val="en-GB" w:eastAsia="en-GB"/>
        </w:rPr>
        <w:t>Entrepreneurship Theory and Practice</w:t>
      </w:r>
      <w:r w:rsidRPr="00320ED2">
        <w:rPr>
          <w:rFonts w:ascii="Arial" w:eastAsia="Times New Roman" w:hAnsi="Arial" w:cs="Arial"/>
          <w:sz w:val="24"/>
          <w:szCs w:val="24"/>
          <w:lang w:val="en-GB" w:eastAsia="en-GB"/>
        </w:rPr>
        <w:t xml:space="preserve">, 16(1), pp. 7–25. </w:t>
      </w:r>
      <w:hyperlink r:id="rId19"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71DC64FC"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Cox, D. and </w:t>
      </w:r>
      <w:proofErr w:type="spellStart"/>
      <w:r w:rsidRPr="00320ED2">
        <w:rPr>
          <w:rFonts w:ascii="Arial" w:eastAsia="Times New Roman" w:hAnsi="Arial" w:cs="Arial"/>
          <w:sz w:val="24"/>
          <w:szCs w:val="24"/>
          <w:lang w:val="en-GB" w:eastAsia="en-GB"/>
        </w:rPr>
        <w:t>Fardon</w:t>
      </w:r>
      <w:proofErr w:type="spellEnd"/>
      <w:r w:rsidRPr="00320ED2">
        <w:rPr>
          <w:rFonts w:ascii="Arial" w:eastAsia="Times New Roman" w:hAnsi="Arial" w:cs="Arial"/>
          <w:sz w:val="24"/>
          <w:szCs w:val="24"/>
          <w:lang w:val="en-GB" w:eastAsia="en-GB"/>
        </w:rPr>
        <w:t xml:space="preserve">, M. (2020) </w:t>
      </w:r>
      <w:r w:rsidRPr="00320ED2">
        <w:rPr>
          <w:rFonts w:ascii="Arial" w:eastAsia="Times New Roman" w:hAnsi="Arial" w:cs="Arial"/>
          <w:i/>
          <w:iCs/>
          <w:sz w:val="24"/>
          <w:szCs w:val="24"/>
          <w:lang w:val="en-GB" w:eastAsia="en-GB"/>
        </w:rPr>
        <w:t>Management Accounting for Decision Makers</w:t>
      </w:r>
      <w:r w:rsidRPr="00320ED2">
        <w:rPr>
          <w:rFonts w:ascii="Arial" w:eastAsia="Times New Roman" w:hAnsi="Arial" w:cs="Arial"/>
          <w:sz w:val="24"/>
          <w:szCs w:val="24"/>
          <w:lang w:val="en-GB" w:eastAsia="en-GB"/>
        </w:rPr>
        <w:t xml:space="preserve">. 9th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Harlow: Pearson. </w:t>
      </w:r>
      <w:hyperlink r:id="rId20" w:tgtFrame="_blank" w:history="1">
        <w:r w:rsidRPr="00320ED2">
          <w:rPr>
            <w:rFonts w:ascii="Arial" w:eastAsia="Times New Roman" w:hAnsi="Arial" w:cs="Arial"/>
            <w:color w:val="0000FF"/>
            <w:sz w:val="24"/>
            <w:szCs w:val="24"/>
            <w:u w:val="single"/>
            <w:lang w:val="en-GB" w:eastAsia="en-GB"/>
          </w:rPr>
          <w:t>Pearson</w:t>
        </w:r>
      </w:hyperlink>
      <w:r w:rsidRPr="00320ED2">
        <w:rPr>
          <w:rFonts w:ascii="Arial" w:eastAsia="Times New Roman" w:hAnsi="Arial" w:cs="Arial"/>
          <w:sz w:val="24"/>
          <w:szCs w:val="24"/>
          <w:lang w:val="en-GB" w:eastAsia="en-GB"/>
        </w:rPr>
        <w:t xml:space="preserve"> </w:t>
      </w:r>
    </w:p>
    <w:p w14:paraId="2F1B09F7"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lastRenderedPageBreak/>
        <w:t xml:space="preserve">Department for Business and Trade (2025) </w:t>
      </w:r>
      <w:r w:rsidRPr="00320ED2">
        <w:rPr>
          <w:rFonts w:ascii="Arial" w:eastAsia="Times New Roman" w:hAnsi="Arial" w:cs="Arial"/>
          <w:i/>
          <w:iCs/>
          <w:sz w:val="24"/>
          <w:szCs w:val="24"/>
          <w:lang w:val="en-GB" w:eastAsia="en-GB"/>
        </w:rPr>
        <w:t>Business Population Estimates for the UK and Regions 2025</w:t>
      </w:r>
      <w:r w:rsidRPr="00320ED2">
        <w:rPr>
          <w:rFonts w:ascii="Arial" w:eastAsia="Times New Roman" w:hAnsi="Arial" w:cs="Arial"/>
          <w:sz w:val="24"/>
          <w:szCs w:val="24"/>
          <w:lang w:val="en-GB" w:eastAsia="en-GB"/>
        </w:rPr>
        <w:t xml:space="preserve">. </w:t>
      </w:r>
      <w:hyperlink r:id="rId21" w:tgtFrame="_blank" w:history="1">
        <w:r w:rsidRPr="00320ED2">
          <w:rPr>
            <w:rFonts w:ascii="Arial" w:eastAsia="Times New Roman" w:hAnsi="Arial" w:cs="Arial"/>
            <w:color w:val="0000FF"/>
            <w:sz w:val="24"/>
            <w:szCs w:val="24"/>
            <w:u w:val="single"/>
            <w:lang w:val="en-GB" w:eastAsia="en-GB"/>
          </w:rPr>
          <w:t>GOV.UK source</w:t>
        </w:r>
      </w:hyperlink>
      <w:r w:rsidRPr="00320ED2">
        <w:rPr>
          <w:rFonts w:ascii="Arial" w:eastAsia="Times New Roman" w:hAnsi="Arial" w:cs="Arial"/>
          <w:sz w:val="24"/>
          <w:szCs w:val="24"/>
          <w:lang w:val="en-GB" w:eastAsia="en-GB"/>
        </w:rPr>
        <w:t xml:space="preserve"> </w:t>
      </w:r>
    </w:p>
    <w:p w14:paraId="3B5A0A4B"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Department for Business and Trade (2025) </w:t>
      </w:r>
      <w:r w:rsidRPr="00320ED2">
        <w:rPr>
          <w:rFonts w:ascii="Arial" w:eastAsia="Times New Roman" w:hAnsi="Arial" w:cs="Arial"/>
          <w:i/>
          <w:iCs/>
          <w:sz w:val="24"/>
          <w:szCs w:val="24"/>
          <w:lang w:val="en-GB" w:eastAsia="en-GB"/>
        </w:rPr>
        <w:t>Small Business Survey 2024</w:t>
      </w:r>
      <w:r w:rsidRPr="00320ED2">
        <w:rPr>
          <w:rFonts w:ascii="Arial" w:eastAsia="Times New Roman" w:hAnsi="Arial" w:cs="Arial"/>
          <w:sz w:val="24"/>
          <w:szCs w:val="24"/>
          <w:lang w:val="en-GB" w:eastAsia="en-GB"/>
        </w:rPr>
        <w:t xml:space="preserve">. </w:t>
      </w:r>
      <w:hyperlink r:id="rId22" w:tgtFrame="_blank" w:history="1">
        <w:r w:rsidRPr="00320ED2">
          <w:rPr>
            <w:rFonts w:ascii="Arial" w:eastAsia="Times New Roman" w:hAnsi="Arial" w:cs="Arial"/>
            <w:color w:val="0000FF"/>
            <w:sz w:val="24"/>
            <w:szCs w:val="24"/>
            <w:u w:val="single"/>
            <w:lang w:val="en-GB" w:eastAsia="en-GB"/>
          </w:rPr>
          <w:t>GOV.UK Small Business Survey</w:t>
        </w:r>
      </w:hyperlink>
      <w:r w:rsidRPr="00320ED2">
        <w:rPr>
          <w:rFonts w:ascii="Arial" w:eastAsia="Times New Roman" w:hAnsi="Arial" w:cs="Arial"/>
          <w:sz w:val="24"/>
          <w:szCs w:val="24"/>
          <w:lang w:val="en-GB" w:eastAsia="en-GB"/>
        </w:rPr>
        <w:t xml:space="preserve"> </w:t>
      </w:r>
    </w:p>
    <w:p w14:paraId="0849B69E"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Department for Business and Trade (2026) </w:t>
      </w:r>
      <w:r w:rsidRPr="00320ED2">
        <w:rPr>
          <w:rFonts w:ascii="Arial" w:eastAsia="Times New Roman" w:hAnsi="Arial" w:cs="Arial"/>
          <w:i/>
          <w:iCs/>
          <w:sz w:val="24"/>
          <w:szCs w:val="24"/>
          <w:lang w:val="en-GB" w:eastAsia="en-GB"/>
        </w:rPr>
        <w:t>National Minimum Wage: Calculating the Minimum Wage</w:t>
      </w:r>
      <w:r w:rsidRPr="00320ED2">
        <w:rPr>
          <w:rFonts w:ascii="Arial" w:eastAsia="Times New Roman" w:hAnsi="Arial" w:cs="Arial"/>
          <w:sz w:val="24"/>
          <w:szCs w:val="24"/>
          <w:lang w:val="en-GB" w:eastAsia="en-GB"/>
        </w:rPr>
        <w:t xml:space="preserve">. </w:t>
      </w:r>
      <w:hyperlink r:id="rId23" w:tgtFrame="_blank" w:history="1">
        <w:r w:rsidRPr="00320ED2">
          <w:rPr>
            <w:rFonts w:ascii="Arial" w:eastAsia="Times New Roman" w:hAnsi="Arial" w:cs="Arial"/>
            <w:color w:val="0000FF"/>
            <w:sz w:val="24"/>
            <w:szCs w:val="24"/>
            <w:u w:val="single"/>
            <w:lang w:val="en-GB" w:eastAsia="en-GB"/>
          </w:rPr>
          <w:t>GOV.UK guidance</w:t>
        </w:r>
      </w:hyperlink>
      <w:r w:rsidRPr="00320ED2">
        <w:rPr>
          <w:rFonts w:ascii="Arial" w:eastAsia="Times New Roman" w:hAnsi="Arial" w:cs="Arial"/>
          <w:sz w:val="24"/>
          <w:szCs w:val="24"/>
          <w:lang w:val="en-GB" w:eastAsia="en-GB"/>
        </w:rPr>
        <w:t xml:space="preserve"> </w:t>
      </w:r>
    </w:p>
    <w:p w14:paraId="0EEF76EF"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Dess</w:t>
      </w:r>
      <w:proofErr w:type="spellEnd"/>
      <w:r w:rsidRPr="00320ED2">
        <w:rPr>
          <w:rFonts w:ascii="Arial" w:eastAsia="Times New Roman" w:hAnsi="Arial" w:cs="Arial"/>
          <w:sz w:val="24"/>
          <w:szCs w:val="24"/>
          <w:lang w:val="en-GB" w:eastAsia="en-GB"/>
        </w:rPr>
        <w:t xml:space="preserve">, G.G., McNamara, G., Eisner, A.B. and </w:t>
      </w:r>
      <w:proofErr w:type="spellStart"/>
      <w:r w:rsidRPr="00320ED2">
        <w:rPr>
          <w:rFonts w:ascii="Arial" w:eastAsia="Times New Roman" w:hAnsi="Arial" w:cs="Arial"/>
          <w:sz w:val="24"/>
          <w:szCs w:val="24"/>
          <w:lang w:val="en-GB" w:eastAsia="en-GB"/>
        </w:rPr>
        <w:t>Sauerwald</w:t>
      </w:r>
      <w:proofErr w:type="spellEnd"/>
      <w:r w:rsidRPr="00320ED2">
        <w:rPr>
          <w:rFonts w:ascii="Arial" w:eastAsia="Times New Roman" w:hAnsi="Arial" w:cs="Arial"/>
          <w:sz w:val="24"/>
          <w:szCs w:val="24"/>
          <w:lang w:val="en-GB" w:eastAsia="en-GB"/>
        </w:rPr>
        <w:t xml:space="preserve">, S. (2020) </w:t>
      </w:r>
      <w:r w:rsidRPr="00320ED2">
        <w:rPr>
          <w:rFonts w:ascii="Arial" w:eastAsia="Times New Roman" w:hAnsi="Arial" w:cs="Arial"/>
          <w:i/>
          <w:iCs/>
          <w:sz w:val="24"/>
          <w:szCs w:val="24"/>
          <w:lang w:val="en-GB" w:eastAsia="en-GB"/>
        </w:rPr>
        <w:t>Strategic Management: Text and Cases</w:t>
      </w:r>
      <w:r w:rsidRPr="00320ED2">
        <w:rPr>
          <w:rFonts w:ascii="Arial" w:eastAsia="Times New Roman" w:hAnsi="Arial" w:cs="Arial"/>
          <w:sz w:val="24"/>
          <w:szCs w:val="24"/>
          <w:lang w:val="en-GB" w:eastAsia="en-GB"/>
        </w:rPr>
        <w:t xml:space="preserve">. 10th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New York: McGraw-Hill. </w:t>
      </w:r>
      <w:hyperlink r:id="rId24" w:tgtFrame="_blank" w:history="1">
        <w:r w:rsidRPr="00320ED2">
          <w:rPr>
            <w:rFonts w:ascii="Arial" w:eastAsia="Times New Roman" w:hAnsi="Arial" w:cs="Arial"/>
            <w:color w:val="0000FF"/>
            <w:sz w:val="24"/>
            <w:szCs w:val="24"/>
            <w:u w:val="single"/>
            <w:lang w:val="en-GB" w:eastAsia="en-GB"/>
          </w:rPr>
          <w:t>McGraw Hill</w:t>
        </w:r>
      </w:hyperlink>
      <w:r w:rsidRPr="00320ED2">
        <w:rPr>
          <w:rFonts w:ascii="Arial" w:eastAsia="Times New Roman" w:hAnsi="Arial" w:cs="Arial"/>
          <w:sz w:val="24"/>
          <w:szCs w:val="24"/>
          <w:lang w:val="en-GB" w:eastAsia="en-GB"/>
        </w:rPr>
        <w:t xml:space="preserve"> </w:t>
      </w:r>
    </w:p>
    <w:p w14:paraId="13B276C2"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Drucker, P.F. (1985) </w:t>
      </w:r>
      <w:r w:rsidRPr="00320ED2">
        <w:rPr>
          <w:rFonts w:ascii="Arial" w:eastAsia="Times New Roman" w:hAnsi="Arial" w:cs="Arial"/>
          <w:i/>
          <w:iCs/>
          <w:sz w:val="24"/>
          <w:szCs w:val="24"/>
          <w:lang w:val="en-GB" w:eastAsia="en-GB"/>
        </w:rPr>
        <w:t>Innovation and Entrepreneurship</w:t>
      </w:r>
      <w:r w:rsidRPr="00320ED2">
        <w:rPr>
          <w:rFonts w:ascii="Arial" w:eastAsia="Times New Roman" w:hAnsi="Arial" w:cs="Arial"/>
          <w:sz w:val="24"/>
          <w:szCs w:val="24"/>
          <w:lang w:val="en-GB" w:eastAsia="en-GB"/>
        </w:rPr>
        <w:t xml:space="preserve">. New York: Harper &amp; Row. Google Books </w:t>
      </w:r>
    </w:p>
    <w:p w14:paraId="4082B257"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Eisenhardt</w:t>
      </w:r>
      <w:proofErr w:type="spellEnd"/>
      <w:r w:rsidRPr="00320ED2">
        <w:rPr>
          <w:rFonts w:ascii="Arial" w:eastAsia="Times New Roman" w:hAnsi="Arial" w:cs="Arial"/>
          <w:sz w:val="24"/>
          <w:szCs w:val="24"/>
          <w:lang w:val="en-GB" w:eastAsia="en-GB"/>
        </w:rPr>
        <w:t xml:space="preserve">, K.M. and Martin, J.A. (2000) ‘Dynamic capabilities: what are they?’, </w:t>
      </w:r>
      <w:r w:rsidRPr="00320ED2">
        <w:rPr>
          <w:rFonts w:ascii="Arial" w:eastAsia="Times New Roman" w:hAnsi="Arial" w:cs="Arial"/>
          <w:i/>
          <w:iCs/>
          <w:sz w:val="24"/>
          <w:szCs w:val="24"/>
          <w:lang w:val="en-GB" w:eastAsia="en-GB"/>
        </w:rPr>
        <w:t>Strategic Management Journal</w:t>
      </w:r>
      <w:r w:rsidRPr="00320ED2">
        <w:rPr>
          <w:rFonts w:ascii="Arial" w:eastAsia="Times New Roman" w:hAnsi="Arial" w:cs="Arial"/>
          <w:sz w:val="24"/>
          <w:szCs w:val="24"/>
          <w:lang w:val="en-GB" w:eastAsia="en-GB"/>
        </w:rPr>
        <w:t xml:space="preserve">, 21(10–11), pp. 1105–1121. Article DOI </w:t>
      </w:r>
    </w:p>
    <w:p w14:paraId="7100807B"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European Commission (2020) </w:t>
      </w:r>
      <w:r w:rsidRPr="00320ED2">
        <w:rPr>
          <w:rFonts w:ascii="Arial" w:eastAsia="Times New Roman" w:hAnsi="Arial" w:cs="Arial"/>
          <w:i/>
          <w:iCs/>
          <w:sz w:val="24"/>
          <w:szCs w:val="24"/>
          <w:lang w:val="en-GB" w:eastAsia="en-GB"/>
        </w:rPr>
        <w:t>User Guide to the SME Definition</w:t>
      </w:r>
      <w:r w:rsidRPr="00320ED2">
        <w:rPr>
          <w:rFonts w:ascii="Arial" w:eastAsia="Times New Roman" w:hAnsi="Arial" w:cs="Arial"/>
          <w:sz w:val="24"/>
          <w:szCs w:val="24"/>
          <w:lang w:val="en-GB" w:eastAsia="en-GB"/>
        </w:rPr>
        <w:t xml:space="preserve">. Brussels: European Commission. </w:t>
      </w:r>
      <w:hyperlink r:id="rId25" w:tgtFrame="_blank" w:history="1">
        <w:r w:rsidRPr="00320ED2">
          <w:rPr>
            <w:rFonts w:ascii="Arial" w:eastAsia="Times New Roman" w:hAnsi="Arial" w:cs="Arial"/>
            <w:color w:val="0000FF"/>
            <w:sz w:val="24"/>
            <w:szCs w:val="24"/>
            <w:u w:val="single"/>
            <w:lang w:val="en-GB" w:eastAsia="en-GB"/>
          </w:rPr>
          <w:t>European Commission</w:t>
        </w:r>
      </w:hyperlink>
      <w:r w:rsidRPr="00320ED2">
        <w:rPr>
          <w:rFonts w:ascii="Arial" w:eastAsia="Times New Roman" w:hAnsi="Arial" w:cs="Arial"/>
          <w:sz w:val="24"/>
          <w:szCs w:val="24"/>
          <w:lang w:val="en-GB" w:eastAsia="en-GB"/>
        </w:rPr>
        <w:t xml:space="preserve"> </w:t>
      </w:r>
    </w:p>
    <w:p w14:paraId="3B4DD676"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Food Standards Agency (2024) </w:t>
      </w:r>
      <w:r w:rsidRPr="00320ED2">
        <w:rPr>
          <w:rFonts w:ascii="Arial" w:eastAsia="Times New Roman" w:hAnsi="Arial" w:cs="Arial"/>
          <w:i/>
          <w:iCs/>
          <w:sz w:val="24"/>
          <w:szCs w:val="24"/>
          <w:lang w:val="en-GB" w:eastAsia="en-GB"/>
        </w:rPr>
        <w:t>Food Safety Management</w:t>
      </w:r>
      <w:r w:rsidRPr="00320ED2">
        <w:rPr>
          <w:rFonts w:ascii="Arial" w:eastAsia="Times New Roman" w:hAnsi="Arial" w:cs="Arial"/>
          <w:sz w:val="24"/>
          <w:szCs w:val="24"/>
          <w:lang w:val="en-GB" w:eastAsia="en-GB"/>
        </w:rPr>
        <w:t xml:space="preserve">. Food Standards Agency </w:t>
      </w:r>
    </w:p>
    <w:p w14:paraId="3429365F"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Food Standards Agency (2025) </w:t>
      </w:r>
      <w:r w:rsidRPr="00320ED2">
        <w:rPr>
          <w:rFonts w:ascii="Arial" w:eastAsia="Times New Roman" w:hAnsi="Arial" w:cs="Arial"/>
          <w:i/>
          <w:iCs/>
          <w:sz w:val="24"/>
          <w:szCs w:val="24"/>
          <w:lang w:val="en-GB" w:eastAsia="en-GB"/>
        </w:rPr>
        <w:t>General Food Law</w:t>
      </w:r>
      <w:r w:rsidRPr="00320ED2">
        <w:rPr>
          <w:rFonts w:ascii="Arial" w:eastAsia="Times New Roman" w:hAnsi="Arial" w:cs="Arial"/>
          <w:sz w:val="24"/>
          <w:szCs w:val="24"/>
          <w:lang w:val="en-GB" w:eastAsia="en-GB"/>
        </w:rPr>
        <w:t xml:space="preserve">. </w:t>
      </w:r>
      <w:hyperlink r:id="rId26" w:tgtFrame="_blank" w:history="1">
        <w:r w:rsidRPr="00320ED2">
          <w:rPr>
            <w:rFonts w:ascii="Arial" w:eastAsia="Times New Roman" w:hAnsi="Arial" w:cs="Arial"/>
            <w:color w:val="0000FF"/>
            <w:sz w:val="24"/>
            <w:szCs w:val="24"/>
            <w:u w:val="single"/>
            <w:lang w:val="en-GB" w:eastAsia="en-GB"/>
          </w:rPr>
          <w:t>GOV.UK</w:t>
        </w:r>
      </w:hyperlink>
      <w:r w:rsidRPr="00320ED2">
        <w:rPr>
          <w:rFonts w:ascii="Arial" w:eastAsia="Times New Roman" w:hAnsi="Arial" w:cs="Arial"/>
          <w:sz w:val="24"/>
          <w:szCs w:val="24"/>
          <w:lang w:val="en-GB" w:eastAsia="en-GB"/>
        </w:rPr>
        <w:t xml:space="preserve"> </w:t>
      </w:r>
    </w:p>
    <w:p w14:paraId="2C17BB9F"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Food Standards Agency (2025) </w:t>
      </w:r>
      <w:r w:rsidRPr="00320ED2">
        <w:rPr>
          <w:rFonts w:ascii="Arial" w:eastAsia="Times New Roman" w:hAnsi="Arial" w:cs="Arial"/>
          <w:i/>
          <w:iCs/>
          <w:sz w:val="24"/>
          <w:szCs w:val="24"/>
          <w:lang w:val="en-GB" w:eastAsia="en-GB"/>
        </w:rPr>
        <w:t>Starting a Food Business Safely</w:t>
      </w:r>
      <w:r w:rsidRPr="00320ED2">
        <w:rPr>
          <w:rFonts w:ascii="Arial" w:eastAsia="Times New Roman" w:hAnsi="Arial" w:cs="Arial"/>
          <w:sz w:val="24"/>
          <w:szCs w:val="24"/>
          <w:lang w:val="en-GB" w:eastAsia="en-GB"/>
        </w:rPr>
        <w:t xml:space="preserve">. </w:t>
      </w:r>
      <w:hyperlink r:id="rId27" w:tgtFrame="_blank" w:history="1">
        <w:r w:rsidRPr="00320ED2">
          <w:rPr>
            <w:rFonts w:ascii="Arial" w:eastAsia="Times New Roman" w:hAnsi="Arial" w:cs="Arial"/>
            <w:color w:val="0000FF"/>
            <w:sz w:val="24"/>
            <w:szCs w:val="24"/>
            <w:u w:val="single"/>
            <w:lang w:val="en-GB" w:eastAsia="en-GB"/>
          </w:rPr>
          <w:t>GOV.UK guidance</w:t>
        </w:r>
      </w:hyperlink>
      <w:r w:rsidRPr="00320ED2">
        <w:rPr>
          <w:rFonts w:ascii="Arial" w:eastAsia="Times New Roman" w:hAnsi="Arial" w:cs="Arial"/>
          <w:sz w:val="24"/>
          <w:szCs w:val="24"/>
          <w:lang w:val="en-GB" w:eastAsia="en-GB"/>
        </w:rPr>
        <w:t xml:space="preserve"> </w:t>
      </w:r>
    </w:p>
    <w:p w14:paraId="258585D3"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Freeman, R.E. (1984) </w:t>
      </w:r>
      <w:r w:rsidRPr="00320ED2">
        <w:rPr>
          <w:rFonts w:ascii="Arial" w:eastAsia="Times New Roman" w:hAnsi="Arial" w:cs="Arial"/>
          <w:i/>
          <w:iCs/>
          <w:sz w:val="24"/>
          <w:szCs w:val="24"/>
          <w:lang w:val="en-GB" w:eastAsia="en-GB"/>
        </w:rPr>
        <w:t>Strategic Management: A Stakeholder Approach</w:t>
      </w:r>
      <w:r w:rsidRPr="00320ED2">
        <w:rPr>
          <w:rFonts w:ascii="Arial" w:eastAsia="Times New Roman" w:hAnsi="Arial" w:cs="Arial"/>
          <w:sz w:val="24"/>
          <w:szCs w:val="24"/>
          <w:lang w:val="en-GB" w:eastAsia="en-GB"/>
        </w:rPr>
        <w:t xml:space="preserve">. Boston: Pitman. Google Books </w:t>
      </w:r>
    </w:p>
    <w:p w14:paraId="0E6BB8F0"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Grönroos</w:t>
      </w:r>
      <w:proofErr w:type="spellEnd"/>
      <w:r w:rsidRPr="00320ED2">
        <w:rPr>
          <w:rFonts w:ascii="Arial" w:eastAsia="Times New Roman" w:hAnsi="Arial" w:cs="Arial"/>
          <w:sz w:val="24"/>
          <w:szCs w:val="24"/>
          <w:lang w:val="en-GB" w:eastAsia="en-GB"/>
        </w:rPr>
        <w:t xml:space="preserve">, C. (2007) </w:t>
      </w:r>
      <w:r w:rsidRPr="00320ED2">
        <w:rPr>
          <w:rFonts w:ascii="Arial" w:eastAsia="Times New Roman" w:hAnsi="Arial" w:cs="Arial"/>
          <w:i/>
          <w:iCs/>
          <w:sz w:val="24"/>
          <w:szCs w:val="24"/>
          <w:lang w:val="en-GB" w:eastAsia="en-GB"/>
        </w:rPr>
        <w:t>Service Management and Marketing</w:t>
      </w:r>
      <w:r w:rsidRPr="00320ED2">
        <w:rPr>
          <w:rFonts w:ascii="Arial" w:eastAsia="Times New Roman" w:hAnsi="Arial" w:cs="Arial"/>
          <w:sz w:val="24"/>
          <w:szCs w:val="24"/>
          <w:lang w:val="en-GB" w:eastAsia="en-GB"/>
        </w:rPr>
        <w:t xml:space="preserve">. 3rd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Chichester: Wiley. </w:t>
      </w:r>
      <w:hyperlink r:id="rId28" w:tgtFrame="_blank" w:history="1">
        <w:r w:rsidRPr="00320ED2">
          <w:rPr>
            <w:rFonts w:ascii="Arial" w:eastAsia="Times New Roman" w:hAnsi="Arial" w:cs="Arial"/>
            <w:color w:val="0000FF"/>
            <w:sz w:val="24"/>
            <w:szCs w:val="24"/>
            <w:u w:val="single"/>
            <w:lang w:val="en-GB" w:eastAsia="en-GB"/>
          </w:rPr>
          <w:t>Wiley</w:t>
        </w:r>
      </w:hyperlink>
      <w:r w:rsidRPr="00320ED2">
        <w:rPr>
          <w:rFonts w:ascii="Arial" w:eastAsia="Times New Roman" w:hAnsi="Arial" w:cs="Arial"/>
          <w:sz w:val="24"/>
          <w:szCs w:val="24"/>
          <w:lang w:val="en-GB" w:eastAsia="en-GB"/>
        </w:rPr>
        <w:t xml:space="preserve"> </w:t>
      </w:r>
    </w:p>
    <w:p w14:paraId="55A27506"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Hair, J.F., Page, M. and </w:t>
      </w:r>
      <w:proofErr w:type="spellStart"/>
      <w:r w:rsidRPr="00320ED2">
        <w:rPr>
          <w:rFonts w:ascii="Arial" w:eastAsia="Times New Roman" w:hAnsi="Arial" w:cs="Arial"/>
          <w:sz w:val="24"/>
          <w:szCs w:val="24"/>
          <w:lang w:val="en-GB" w:eastAsia="en-GB"/>
        </w:rPr>
        <w:t>Brunsveld</w:t>
      </w:r>
      <w:proofErr w:type="spellEnd"/>
      <w:r w:rsidRPr="00320ED2">
        <w:rPr>
          <w:rFonts w:ascii="Arial" w:eastAsia="Times New Roman" w:hAnsi="Arial" w:cs="Arial"/>
          <w:sz w:val="24"/>
          <w:szCs w:val="24"/>
          <w:lang w:val="en-GB" w:eastAsia="en-GB"/>
        </w:rPr>
        <w:t xml:space="preserve">, N. (2020) </w:t>
      </w:r>
      <w:r w:rsidRPr="00320ED2">
        <w:rPr>
          <w:rFonts w:ascii="Arial" w:eastAsia="Times New Roman" w:hAnsi="Arial" w:cs="Arial"/>
          <w:i/>
          <w:iCs/>
          <w:sz w:val="24"/>
          <w:szCs w:val="24"/>
          <w:lang w:val="en-GB" w:eastAsia="en-GB"/>
        </w:rPr>
        <w:t>Essentials of Business Research Methods</w:t>
      </w:r>
      <w:r w:rsidRPr="00320ED2">
        <w:rPr>
          <w:rFonts w:ascii="Arial" w:eastAsia="Times New Roman" w:hAnsi="Arial" w:cs="Arial"/>
          <w:sz w:val="24"/>
          <w:szCs w:val="24"/>
          <w:lang w:val="en-GB" w:eastAsia="en-GB"/>
        </w:rPr>
        <w:t xml:space="preserve">. 4th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New York: Routledge. </w:t>
      </w:r>
      <w:hyperlink r:id="rId29" w:tgtFrame="_blank" w:history="1">
        <w:r w:rsidRPr="00320ED2">
          <w:rPr>
            <w:rFonts w:ascii="Arial" w:eastAsia="Times New Roman" w:hAnsi="Arial" w:cs="Arial"/>
            <w:color w:val="0000FF"/>
            <w:sz w:val="24"/>
            <w:szCs w:val="24"/>
            <w:u w:val="single"/>
            <w:lang w:val="en-GB" w:eastAsia="en-GB"/>
          </w:rPr>
          <w:t>Routledge</w:t>
        </w:r>
      </w:hyperlink>
      <w:r w:rsidRPr="00320ED2">
        <w:rPr>
          <w:rFonts w:ascii="Arial" w:eastAsia="Times New Roman" w:hAnsi="Arial" w:cs="Arial"/>
          <w:sz w:val="24"/>
          <w:szCs w:val="24"/>
          <w:lang w:val="en-GB" w:eastAsia="en-GB"/>
        </w:rPr>
        <w:t xml:space="preserve"> </w:t>
      </w:r>
    </w:p>
    <w:p w14:paraId="54705CF7"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Heizer</w:t>
      </w:r>
      <w:proofErr w:type="spellEnd"/>
      <w:r w:rsidRPr="00320ED2">
        <w:rPr>
          <w:rFonts w:ascii="Arial" w:eastAsia="Times New Roman" w:hAnsi="Arial" w:cs="Arial"/>
          <w:sz w:val="24"/>
          <w:szCs w:val="24"/>
          <w:lang w:val="en-GB" w:eastAsia="en-GB"/>
        </w:rPr>
        <w:t xml:space="preserve">, J., Render, B. and Munson, C. (2020) </w:t>
      </w:r>
      <w:r w:rsidRPr="00320ED2">
        <w:rPr>
          <w:rFonts w:ascii="Arial" w:eastAsia="Times New Roman" w:hAnsi="Arial" w:cs="Arial"/>
          <w:i/>
          <w:iCs/>
          <w:sz w:val="24"/>
          <w:szCs w:val="24"/>
          <w:lang w:val="en-GB" w:eastAsia="en-GB"/>
        </w:rPr>
        <w:t>Operations Management: Sustainability and Supply Chain Management</w:t>
      </w:r>
      <w:r w:rsidRPr="00320ED2">
        <w:rPr>
          <w:rFonts w:ascii="Arial" w:eastAsia="Times New Roman" w:hAnsi="Arial" w:cs="Arial"/>
          <w:sz w:val="24"/>
          <w:szCs w:val="24"/>
          <w:lang w:val="en-GB" w:eastAsia="en-GB"/>
        </w:rPr>
        <w:t xml:space="preserve">. 13th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Harlow: Pearson. </w:t>
      </w:r>
      <w:hyperlink r:id="rId30" w:tgtFrame="_blank" w:history="1">
        <w:r w:rsidRPr="00320ED2">
          <w:rPr>
            <w:rFonts w:ascii="Arial" w:eastAsia="Times New Roman" w:hAnsi="Arial" w:cs="Arial"/>
            <w:color w:val="0000FF"/>
            <w:sz w:val="24"/>
            <w:szCs w:val="24"/>
            <w:u w:val="single"/>
            <w:lang w:val="en-GB" w:eastAsia="en-GB"/>
          </w:rPr>
          <w:t>Pearson</w:t>
        </w:r>
      </w:hyperlink>
      <w:r w:rsidRPr="00320ED2">
        <w:rPr>
          <w:rFonts w:ascii="Arial" w:eastAsia="Times New Roman" w:hAnsi="Arial" w:cs="Arial"/>
          <w:sz w:val="24"/>
          <w:szCs w:val="24"/>
          <w:lang w:val="en-GB" w:eastAsia="en-GB"/>
        </w:rPr>
        <w:t xml:space="preserve"> </w:t>
      </w:r>
    </w:p>
    <w:p w14:paraId="75AB5E3F"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Hisrich</w:t>
      </w:r>
      <w:proofErr w:type="spellEnd"/>
      <w:r w:rsidRPr="00320ED2">
        <w:rPr>
          <w:rFonts w:ascii="Arial" w:eastAsia="Times New Roman" w:hAnsi="Arial" w:cs="Arial"/>
          <w:sz w:val="24"/>
          <w:szCs w:val="24"/>
          <w:lang w:val="en-GB" w:eastAsia="en-GB"/>
        </w:rPr>
        <w:t xml:space="preserve">, R.D., Peters, M.P. and Shepherd, D.A. (2020) </w:t>
      </w:r>
      <w:r w:rsidRPr="00320ED2">
        <w:rPr>
          <w:rFonts w:ascii="Arial" w:eastAsia="Times New Roman" w:hAnsi="Arial" w:cs="Arial"/>
          <w:i/>
          <w:iCs/>
          <w:sz w:val="24"/>
          <w:szCs w:val="24"/>
          <w:lang w:val="en-GB" w:eastAsia="en-GB"/>
        </w:rPr>
        <w:t>Entrepreneurship</w:t>
      </w:r>
      <w:r w:rsidRPr="00320ED2">
        <w:rPr>
          <w:rFonts w:ascii="Arial" w:eastAsia="Times New Roman" w:hAnsi="Arial" w:cs="Arial"/>
          <w:sz w:val="24"/>
          <w:szCs w:val="24"/>
          <w:lang w:val="en-GB" w:eastAsia="en-GB"/>
        </w:rPr>
        <w:t xml:space="preserve">. 11th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New York: McGraw-Hill. </w:t>
      </w:r>
      <w:hyperlink r:id="rId31" w:tgtFrame="_blank" w:history="1">
        <w:r w:rsidRPr="00320ED2">
          <w:rPr>
            <w:rFonts w:ascii="Arial" w:eastAsia="Times New Roman" w:hAnsi="Arial" w:cs="Arial"/>
            <w:color w:val="0000FF"/>
            <w:sz w:val="24"/>
            <w:szCs w:val="24"/>
            <w:u w:val="single"/>
            <w:lang w:val="en-GB" w:eastAsia="en-GB"/>
          </w:rPr>
          <w:t>McGraw Hill</w:t>
        </w:r>
      </w:hyperlink>
      <w:r w:rsidRPr="00320ED2">
        <w:rPr>
          <w:rFonts w:ascii="Arial" w:eastAsia="Times New Roman" w:hAnsi="Arial" w:cs="Arial"/>
          <w:sz w:val="24"/>
          <w:szCs w:val="24"/>
          <w:lang w:val="en-GB" w:eastAsia="en-GB"/>
        </w:rPr>
        <w:t xml:space="preserve"> </w:t>
      </w:r>
    </w:p>
    <w:p w14:paraId="4A4B9404"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Hitt</w:t>
      </w:r>
      <w:proofErr w:type="spellEnd"/>
      <w:r w:rsidRPr="00320ED2">
        <w:rPr>
          <w:rFonts w:ascii="Arial" w:eastAsia="Times New Roman" w:hAnsi="Arial" w:cs="Arial"/>
          <w:sz w:val="24"/>
          <w:szCs w:val="24"/>
          <w:lang w:val="en-GB" w:eastAsia="en-GB"/>
        </w:rPr>
        <w:t xml:space="preserve">, M.A., Ireland, R.D. and </w:t>
      </w:r>
      <w:proofErr w:type="spellStart"/>
      <w:r w:rsidRPr="00320ED2">
        <w:rPr>
          <w:rFonts w:ascii="Arial" w:eastAsia="Times New Roman" w:hAnsi="Arial" w:cs="Arial"/>
          <w:sz w:val="24"/>
          <w:szCs w:val="24"/>
          <w:lang w:val="en-GB" w:eastAsia="en-GB"/>
        </w:rPr>
        <w:t>Hoskisson</w:t>
      </w:r>
      <w:proofErr w:type="spellEnd"/>
      <w:r w:rsidRPr="00320ED2">
        <w:rPr>
          <w:rFonts w:ascii="Arial" w:eastAsia="Times New Roman" w:hAnsi="Arial" w:cs="Arial"/>
          <w:sz w:val="24"/>
          <w:szCs w:val="24"/>
          <w:lang w:val="en-GB" w:eastAsia="en-GB"/>
        </w:rPr>
        <w:t xml:space="preserve">, R.E. (2020) </w:t>
      </w:r>
      <w:r w:rsidRPr="00320ED2">
        <w:rPr>
          <w:rFonts w:ascii="Arial" w:eastAsia="Times New Roman" w:hAnsi="Arial" w:cs="Arial"/>
          <w:i/>
          <w:iCs/>
          <w:sz w:val="24"/>
          <w:szCs w:val="24"/>
          <w:lang w:val="en-GB" w:eastAsia="en-GB"/>
        </w:rPr>
        <w:t>Strategic Management: Competitiveness and Globalization</w:t>
      </w:r>
      <w:r w:rsidRPr="00320ED2">
        <w:rPr>
          <w:rFonts w:ascii="Arial" w:eastAsia="Times New Roman" w:hAnsi="Arial" w:cs="Arial"/>
          <w:sz w:val="24"/>
          <w:szCs w:val="24"/>
          <w:lang w:val="en-GB" w:eastAsia="en-GB"/>
        </w:rPr>
        <w:t xml:space="preserve">. 13th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Boston: Cengage. </w:t>
      </w:r>
      <w:hyperlink r:id="rId32" w:tgtFrame="_blank" w:history="1">
        <w:r w:rsidRPr="00320ED2">
          <w:rPr>
            <w:rFonts w:ascii="Arial" w:eastAsia="Times New Roman" w:hAnsi="Arial" w:cs="Arial"/>
            <w:color w:val="0000FF"/>
            <w:sz w:val="24"/>
            <w:szCs w:val="24"/>
            <w:u w:val="single"/>
            <w:lang w:val="en-GB" w:eastAsia="en-GB"/>
          </w:rPr>
          <w:t>Cengage</w:t>
        </w:r>
      </w:hyperlink>
      <w:r w:rsidRPr="00320ED2">
        <w:rPr>
          <w:rFonts w:ascii="Arial" w:eastAsia="Times New Roman" w:hAnsi="Arial" w:cs="Arial"/>
          <w:sz w:val="24"/>
          <w:szCs w:val="24"/>
          <w:lang w:val="en-GB" w:eastAsia="en-GB"/>
        </w:rPr>
        <w:t xml:space="preserve"> </w:t>
      </w:r>
    </w:p>
    <w:p w14:paraId="507A447B"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Information Commissioner's Office (2025) </w:t>
      </w:r>
      <w:r w:rsidRPr="00320ED2">
        <w:rPr>
          <w:rFonts w:ascii="Arial" w:eastAsia="Times New Roman" w:hAnsi="Arial" w:cs="Arial"/>
          <w:i/>
          <w:iCs/>
          <w:sz w:val="24"/>
          <w:szCs w:val="24"/>
          <w:lang w:val="en-GB" w:eastAsia="en-GB"/>
        </w:rPr>
        <w:t>Data Protection and Your Business</w:t>
      </w:r>
      <w:r w:rsidRPr="00320ED2">
        <w:rPr>
          <w:rFonts w:ascii="Arial" w:eastAsia="Times New Roman" w:hAnsi="Arial" w:cs="Arial"/>
          <w:sz w:val="24"/>
          <w:szCs w:val="24"/>
          <w:lang w:val="en-GB" w:eastAsia="en-GB"/>
        </w:rPr>
        <w:t xml:space="preserve">. </w:t>
      </w:r>
      <w:hyperlink r:id="rId33" w:tgtFrame="_blank" w:history="1">
        <w:r w:rsidRPr="00320ED2">
          <w:rPr>
            <w:rFonts w:ascii="Arial" w:eastAsia="Times New Roman" w:hAnsi="Arial" w:cs="Arial"/>
            <w:color w:val="0000FF"/>
            <w:sz w:val="24"/>
            <w:szCs w:val="24"/>
            <w:u w:val="single"/>
            <w:lang w:val="en-GB" w:eastAsia="en-GB"/>
          </w:rPr>
          <w:t>ICO/GOV.UK guidance</w:t>
        </w:r>
      </w:hyperlink>
      <w:r w:rsidRPr="00320ED2">
        <w:rPr>
          <w:rFonts w:ascii="Arial" w:eastAsia="Times New Roman" w:hAnsi="Arial" w:cs="Arial"/>
          <w:sz w:val="24"/>
          <w:szCs w:val="24"/>
          <w:lang w:val="en-GB" w:eastAsia="en-GB"/>
        </w:rPr>
        <w:t xml:space="preserve"> </w:t>
      </w:r>
    </w:p>
    <w:p w14:paraId="7DA1F327"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lastRenderedPageBreak/>
        <w:t xml:space="preserve">Information Commissioner's Office (2025) </w:t>
      </w:r>
      <w:r w:rsidRPr="00320ED2">
        <w:rPr>
          <w:rFonts w:ascii="Arial" w:eastAsia="Times New Roman" w:hAnsi="Arial" w:cs="Arial"/>
          <w:i/>
          <w:iCs/>
          <w:sz w:val="24"/>
          <w:szCs w:val="24"/>
          <w:lang w:val="en-GB" w:eastAsia="en-GB"/>
        </w:rPr>
        <w:t>UK GDPR Guidance</w:t>
      </w:r>
      <w:r w:rsidRPr="00320ED2">
        <w:rPr>
          <w:rFonts w:ascii="Arial" w:eastAsia="Times New Roman" w:hAnsi="Arial" w:cs="Arial"/>
          <w:sz w:val="24"/>
          <w:szCs w:val="24"/>
          <w:lang w:val="en-GB" w:eastAsia="en-GB"/>
        </w:rPr>
        <w:t xml:space="preserve">. </w:t>
      </w:r>
      <w:hyperlink r:id="rId34" w:tgtFrame="_blank" w:history="1">
        <w:r w:rsidRPr="00320ED2">
          <w:rPr>
            <w:rFonts w:ascii="Arial" w:eastAsia="Times New Roman" w:hAnsi="Arial" w:cs="Arial"/>
            <w:color w:val="0000FF"/>
            <w:sz w:val="24"/>
            <w:szCs w:val="24"/>
            <w:u w:val="single"/>
            <w:lang w:val="en-GB" w:eastAsia="en-GB"/>
          </w:rPr>
          <w:t>ICO</w:t>
        </w:r>
      </w:hyperlink>
      <w:r w:rsidRPr="00320ED2">
        <w:rPr>
          <w:rFonts w:ascii="Arial" w:eastAsia="Times New Roman" w:hAnsi="Arial" w:cs="Arial"/>
          <w:sz w:val="24"/>
          <w:szCs w:val="24"/>
          <w:lang w:val="en-GB" w:eastAsia="en-GB"/>
        </w:rPr>
        <w:t xml:space="preserve"> </w:t>
      </w:r>
    </w:p>
    <w:p w14:paraId="48FA2284"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International Labour Organization (2022) </w:t>
      </w:r>
      <w:r w:rsidRPr="00320ED2">
        <w:rPr>
          <w:rFonts w:ascii="Arial" w:eastAsia="Times New Roman" w:hAnsi="Arial" w:cs="Arial"/>
          <w:i/>
          <w:iCs/>
          <w:sz w:val="24"/>
          <w:szCs w:val="24"/>
          <w:lang w:val="en-GB" w:eastAsia="en-GB"/>
        </w:rPr>
        <w:t>World Employment and Social Outlook</w:t>
      </w:r>
      <w:r w:rsidRPr="00320ED2">
        <w:rPr>
          <w:rFonts w:ascii="Arial" w:eastAsia="Times New Roman" w:hAnsi="Arial" w:cs="Arial"/>
          <w:sz w:val="24"/>
          <w:szCs w:val="24"/>
          <w:lang w:val="en-GB" w:eastAsia="en-GB"/>
        </w:rPr>
        <w:t xml:space="preserve">. Geneva: ILO. ILO </w:t>
      </w:r>
    </w:p>
    <w:p w14:paraId="3F0B0BD4"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Johnson, G., Whittington, R., </w:t>
      </w:r>
      <w:proofErr w:type="spellStart"/>
      <w:r w:rsidRPr="00320ED2">
        <w:rPr>
          <w:rFonts w:ascii="Arial" w:eastAsia="Times New Roman" w:hAnsi="Arial" w:cs="Arial"/>
          <w:sz w:val="24"/>
          <w:szCs w:val="24"/>
          <w:lang w:val="en-GB" w:eastAsia="en-GB"/>
        </w:rPr>
        <w:t>Regnér</w:t>
      </w:r>
      <w:proofErr w:type="spellEnd"/>
      <w:r w:rsidRPr="00320ED2">
        <w:rPr>
          <w:rFonts w:ascii="Arial" w:eastAsia="Times New Roman" w:hAnsi="Arial" w:cs="Arial"/>
          <w:sz w:val="24"/>
          <w:szCs w:val="24"/>
          <w:lang w:val="en-GB" w:eastAsia="en-GB"/>
        </w:rPr>
        <w:t xml:space="preserve">, P., </w:t>
      </w:r>
      <w:proofErr w:type="spellStart"/>
      <w:r w:rsidRPr="00320ED2">
        <w:rPr>
          <w:rFonts w:ascii="Arial" w:eastAsia="Times New Roman" w:hAnsi="Arial" w:cs="Arial"/>
          <w:sz w:val="24"/>
          <w:szCs w:val="24"/>
          <w:lang w:val="en-GB" w:eastAsia="en-GB"/>
        </w:rPr>
        <w:t>Angwin</w:t>
      </w:r>
      <w:proofErr w:type="spellEnd"/>
      <w:r w:rsidRPr="00320ED2">
        <w:rPr>
          <w:rFonts w:ascii="Arial" w:eastAsia="Times New Roman" w:hAnsi="Arial" w:cs="Arial"/>
          <w:sz w:val="24"/>
          <w:szCs w:val="24"/>
          <w:lang w:val="en-GB" w:eastAsia="en-GB"/>
        </w:rPr>
        <w:t xml:space="preserve">, D. and Scholes, K. (2020) </w:t>
      </w:r>
      <w:r w:rsidRPr="00320ED2">
        <w:rPr>
          <w:rFonts w:ascii="Arial" w:eastAsia="Times New Roman" w:hAnsi="Arial" w:cs="Arial"/>
          <w:i/>
          <w:iCs/>
          <w:sz w:val="24"/>
          <w:szCs w:val="24"/>
          <w:lang w:val="en-GB" w:eastAsia="en-GB"/>
        </w:rPr>
        <w:t>Exploring Strategy</w:t>
      </w:r>
      <w:r w:rsidRPr="00320ED2">
        <w:rPr>
          <w:rFonts w:ascii="Arial" w:eastAsia="Times New Roman" w:hAnsi="Arial" w:cs="Arial"/>
          <w:sz w:val="24"/>
          <w:szCs w:val="24"/>
          <w:lang w:val="en-GB" w:eastAsia="en-GB"/>
        </w:rPr>
        <w:t xml:space="preserve">. 12th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Harlow: Pearson. </w:t>
      </w:r>
      <w:hyperlink r:id="rId35" w:tgtFrame="_blank" w:history="1">
        <w:r w:rsidRPr="00320ED2">
          <w:rPr>
            <w:rFonts w:ascii="Arial" w:eastAsia="Times New Roman" w:hAnsi="Arial" w:cs="Arial"/>
            <w:color w:val="0000FF"/>
            <w:sz w:val="24"/>
            <w:szCs w:val="24"/>
            <w:u w:val="single"/>
            <w:lang w:val="en-GB" w:eastAsia="en-GB"/>
          </w:rPr>
          <w:t>Pearson</w:t>
        </w:r>
      </w:hyperlink>
      <w:r w:rsidRPr="00320ED2">
        <w:rPr>
          <w:rFonts w:ascii="Arial" w:eastAsia="Times New Roman" w:hAnsi="Arial" w:cs="Arial"/>
          <w:sz w:val="24"/>
          <w:szCs w:val="24"/>
          <w:lang w:val="en-GB" w:eastAsia="en-GB"/>
        </w:rPr>
        <w:t xml:space="preserve"> </w:t>
      </w:r>
    </w:p>
    <w:p w14:paraId="25D190BE"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Kaplan, R.S. and Norton, D.P. (1996) </w:t>
      </w:r>
      <w:r w:rsidRPr="00320ED2">
        <w:rPr>
          <w:rFonts w:ascii="Arial" w:eastAsia="Times New Roman" w:hAnsi="Arial" w:cs="Arial"/>
          <w:i/>
          <w:iCs/>
          <w:sz w:val="24"/>
          <w:szCs w:val="24"/>
          <w:lang w:val="en-GB" w:eastAsia="en-GB"/>
        </w:rPr>
        <w:t>The Balanced Scorecard</w:t>
      </w:r>
      <w:r w:rsidRPr="00320ED2">
        <w:rPr>
          <w:rFonts w:ascii="Arial" w:eastAsia="Times New Roman" w:hAnsi="Arial" w:cs="Arial"/>
          <w:sz w:val="24"/>
          <w:szCs w:val="24"/>
          <w:lang w:val="en-GB" w:eastAsia="en-GB"/>
        </w:rPr>
        <w:t xml:space="preserve">. Boston: Harvard Business School Press. </w:t>
      </w:r>
      <w:hyperlink r:id="rId36" w:tgtFrame="_blank" w:history="1">
        <w:r w:rsidRPr="00320ED2">
          <w:rPr>
            <w:rFonts w:ascii="Arial" w:eastAsia="Times New Roman" w:hAnsi="Arial" w:cs="Arial"/>
            <w:color w:val="0000FF"/>
            <w:sz w:val="24"/>
            <w:szCs w:val="24"/>
            <w:u w:val="single"/>
            <w:lang w:val="en-GB" w:eastAsia="en-GB"/>
          </w:rPr>
          <w:t>Harvard Business Review</w:t>
        </w:r>
      </w:hyperlink>
      <w:r w:rsidRPr="00320ED2">
        <w:rPr>
          <w:rFonts w:ascii="Arial" w:eastAsia="Times New Roman" w:hAnsi="Arial" w:cs="Arial"/>
          <w:sz w:val="24"/>
          <w:szCs w:val="24"/>
          <w:lang w:val="en-GB" w:eastAsia="en-GB"/>
        </w:rPr>
        <w:t xml:space="preserve"> </w:t>
      </w:r>
    </w:p>
    <w:p w14:paraId="73AAA2DC"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Keller, K.L. and </w:t>
      </w:r>
      <w:proofErr w:type="spellStart"/>
      <w:r w:rsidRPr="00320ED2">
        <w:rPr>
          <w:rFonts w:ascii="Arial" w:eastAsia="Times New Roman" w:hAnsi="Arial" w:cs="Arial"/>
          <w:sz w:val="24"/>
          <w:szCs w:val="24"/>
          <w:lang w:val="en-GB" w:eastAsia="en-GB"/>
        </w:rPr>
        <w:t>Swaminathan</w:t>
      </w:r>
      <w:proofErr w:type="spellEnd"/>
      <w:r w:rsidRPr="00320ED2">
        <w:rPr>
          <w:rFonts w:ascii="Arial" w:eastAsia="Times New Roman" w:hAnsi="Arial" w:cs="Arial"/>
          <w:sz w:val="24"/>
          <w:szCs w:val="24"/>
          <w:lang w:val="en-GB" w:eastAsia="en-GB"/>
        </w:rPr>
        <w:t xml:space="preserve">, V. (2020) </w:t>
      </w:r>
      <w:r w:rsidRPr="00320ED2">
        <w:rPr>
          <w:rFonts w:ascii="Arial" w:eastAsia="Times New Roman" w:hAnsi="Arial" w:cs="Arial"/>
          <w:i/>
          <w:iCs/>
          <w:sz w:val="24"/>
          <w:szCs w:val="24"/>
          <w:lang w:val="en-GB" w:eastAsia="en-GB"/>
        </w:rPr>
        <w:t>Strategic Brand Management</w:t>
      </w:r>
      <w:r w:rsidRPr="00320ED2">
        <w:rPr>
          <w:rFonts w:ascii="Arial" w:eastAsia="Times New Roman" w:hAnsi="Arial" w:cs="Arial"/>
          <w:sz w:val="24"/>
          <w:szCs w:val="24"/>
          <w:lang w:val="en-GB" w:eastAsia="en-GB"/>
        </w:rPr>
        <w:t xml:space="preserve">. 5th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Harlow: Pearson. </w:t>
      </w:r>
      <w:hyperlink r:id="rId37" w:tgtFrame="_blank" w:history="1">
        <w:r w:rsidRPr="00320ED2">
          <w:rPr>
            <w:rFonts w:ascii="Arial" w:eastAsia="Times New Roman" w:hAnsi="Arial" w:cs="Arial"/>
            <w:color w:val="0000FF"/>
            <w:sz w:val="24"/>
            <w:szCs w:val="24"/>
            <w:u w:val="single"/>
            <w:lang w:val="en-GB" w:eastAsia="en-GB"/>
          </w:rPr>
          <w:t>Pearson</w:t>
        </w:r>
      </w:hyperlink>
      <w:r w:rsidRPr="00320ED2">
        <w:rPr>
          <w:rFonts w:ascii="Arial" w:eastAsia="Times New Roman" w:hAnsi="Arial" w:cs="Arial"/>
          <w:sz w:val="24"/>
          <w:szCs w:val="24"/>
          <w:lang w:val="en-GB" w:eastAsia="en-GB"/>
        </w:rPr>
        <w:t xml:space="preserve"> </w:t>
      </w:r>
    </w:p>
    <w:p w14:paraId="7436C9F4"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Kotler, P., Keller, K.L. and </w:t>
      </w:r>
      <w:proofErr w:type="spellStart"/>
      <w:r w:rsidRPr="00320ED2">
        <w:rPr>
          <w:rFonts w:ascii="Arial" w:eastAsia="Times New Roman" w:hAnsi="Arial" w:cs="Arial"/>
          <w:sz w:val="24"/>
          <w:szCs w:val="24"/>
          <w:lang w:val="en-GB" w:eastAsia="en-GB"/>
        </w:rPr>
        <w:t>Chernev</w:t>
      </w:r>
      <w:proofErr w:type="spellEnd"/>
      <w:r w:rsidRPr="00320ED2">
        <w:rPr>
          <w:rFonts w:ascii="Arial" w:eastAsia="Times New Roman" w:hAnsi="Arial" w:cs="Arial"/>
          <w:sz w:val="24"/>
          <w:szCs w:val="24"/>
          <w:lang w:val="en-GB" w:eastAsia="en-GB"/>
        </w:rPr>
        <w:t xml:space="preserve">, A. (2022) </w:t>
      </w:r>
      <w:r w:rsidRPr="00320ED2">
        <w:rPr>
          <w:rFonts w:ascii="Arial" w:eastAsia="Times New Roman" w:hAnsi="Arial" w:cs="Arial"/>
          <w:i/>
          <w:iCs/>
          <w:sz w:val="24"/>
          <w:szCs w:val="24"/>
          <w:lang w:val="en-GB" w:eastAsia="en-GB"/>
        </w:rPr>
        <w:t>Marketing Management</w:t>
      </w:r>
      <w:r w:rsidRPr="00320ED2">
        <w:rPr>
          <w:rFonts w:ascii="Arial" w:eastAsia="Times New Roman" w:hAnsi="Arial" w:cs="Arial"/>
          <w:sz w:val="24"/>
          <w:szCs w:val="24"/>
          <w:lang w:val="en-GB" w:eastAsia="en-GB"/>
        </w:rPr>
        <w:t xml:space="preserve">. 16th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Harlow: Pearson. Pearson </w:t>
      </w:r>
    </w:p>
    <w:p w14:paraId="74EE958A"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Kotler, P. and Armstrong, G. (2021) </w:t>
      </w:r>
      <w:r w:rsidRPr="00320ED2">
        <w:rPr>
          <w:rFonts w:ascii="Arial" w:eastAsia="Times New Roman" w:hAnsi="Arial" w:cs="Arial"/>
          <w:i/>
          <w:iCs/>
          <w:sz w:val="24"/>
          <w:szCs w:val="24"/>
          <w:lang w:val="en-GB" w:eastAsia="en-GB"/>
        </w:rPr>
        <w:t>Principles of Marketing</w:t>
      </w:r>
      <w:r w:rsidRPr="00320ED2">
        <w:rPr>
          <w:rFonts w:ascii="Arial" w:eastAsia="Times New Roman" w:hAnsi="Arial" w:cs="Arial"/>
          <w:sz w:val="24"/>
          <w:szCs w:val="24"/>
          <w:lang w:val="en-GB" w:eastAsia="en-GB"/>
        </w:rPr>
        <w:t xml:space="preserve">. 18th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Harlow: Pearson. </w:t>
      </w:r>
      <w:hyperlink r:id="rId38" w:tgtFrame="_blank" w:history="1">
        <w:r w:rsidRPr="00320ED2">
          <w:rPr>
            <w:rFonts w:ascii="Arial" w:eastAsia="Times New Roman" w:hAnsi="Arial" w:cs="Arial"/>
            <w:color w:val="0000FF"/>
            <w:sz w:val="24"/>
            <w:szCs w:val="24"/>
            <w:u w:val="single"/>
            <w:lang w:val="en-GB" w:eastAsia="en-GB"/>
          </w:rPr>
          <w:t>Pearson</w:t>
        </w:r>
      </w:hyperlink>
      <w:r w:rsidRPr="00320ED2">
        <w:rPr>
          <w:rFonts w:ascii="Arial" w:eastAsia="Times New Roman" w:hAnsi="Arial" w:cs="Arial"/>
          <w:sz w:val="24"/>
          <w:szCs w:val="24"/>
          <w:lang w:val="en-GB" w:eastAsia="en-GB"/>
        </w:rPr>
        <w:t xml:space="preserve"> </w:t>
      </w:r>
    </w:p>
    <w:p w14:paraId="7FEBD1BB"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Kotler, P., </w:t>
      </w:r>
      <w:proofErr w:type="spellStart"/>
      <w:r w:rsidRPr="00320ED2">
        <w:rPr>
          <w:rFonts w:ascii="Arial" w:eastAsia="Times New Roman" w:hAnsi="Arial" w:cs="Arial"/>
          <w:sz w:val="24"/>
          <w:szCs w:val="24"/>
          <w:lang w:val="en-GB" w:eastAsia="en-GB"/>
        </w:rPr>
        <w:t>Kartajaya</w:t>
      </w:r>
      <w:proofErr w:type="spellEnd"/>
      <w:r w:rsidRPr="00320ED2">
        <w:rPr>
          <w:rFonts w:ascii="Arial" w:eastAsia="Times New Roman" w:hAnsi="Arial" w:cs="Arial"/>
          <w:sz w:val="24"/>
          <w:szCs w:val="24"/>
          <w:lang w:val="en-GB" w:eastAsia="en-GB"/>
        </w:rPr>
        <w:t xml:space="preserve">, H. and </w:t>
      </w:r>
      <w:proofErr w:type="spellStart"/>
      <w:r w:rsidRPr="00320ED2">
        <w:rPr>
          <w:rFonts w:ascii="Arial" w:eastAsia="Times New Roman" w:hAnsi="Arial" w:cs="Arial"/>
          <w:sz w:val="24"/>
          <w:szCs w:val="24"/>
          <w:lang w:val="en-GB" w:eastAsia="en-GB"/>
        </w:rPr>
        <w:t>Setiawan</w:t>
      </w:r>
      <w:proofErr w:type="spellEnd"/>
      <w:r w:rsidRPr="00320ED2">
        <w:rPr>
          <w:rFonts w:ascii="Arial" w:eastAsia="Times New Roman" w:hAnsi="Arial" w:cs="Arial"/>
          <w:sz w:val="24"/>
          <w:szCs w:val="24"/>
          <w:lang w:val="en-GB" w:eastAsia="en-GB"/>
        </w:rPr>
        <w:t xml:space="preserve">, I. (2021) </w:t>
      </w:r>
      <w:r w:rsidRPr="00320ED2">
        <w:rPr>
          <w:rFonts w:ascii="Arial" w:eastAsia="Times New Roman" w:hAnsi="Arial" w:cs="Arial"/>
          <w:i/>
          <w:iCs/>
          <w:sz w:val="24"/>
          <w:szCs w:val="24"/>
          <w:lang w:val="en-GB" w:eastAsia="en-GB"/>
        </w:rPr>
        <w:t>Marketing 5.0: Technology for Humanity</w:t>
      </w:r>
      <w:r w:rsidRPr="00320ED2">
        <w:rPr>
          <w:rFonts w:ascii="Arial" w:eastAsia="Times New Roman" w:hAnsi="Arial" w:cs="Arial"/>
          <w:sz w:val="24"/>
          <w:szCs w:val="24"/>
          <w:lang w:val="en-GB" w:eastAsia="en-GB"/>
        </w:rPr>
        <w:t xml:space="preserve">. Hoboken: Wiley. </w:t>
      </w:r>
      <w:hyperlink r:id="rId39" w:tgtFrame="_blank" w:history="1">
        <w:r w:rsidRPr="00320ED2">
          <w:rPr>
            <w:rFonts w:ascii="Arial" w:eastAsia="Times New Roman" w:hAnsi="Arial" w:cs="Arial"/>
            <w:color w:val="0000FF"/>
            <w:sz w:val="24"/>
            <w:szCs w:val="24"/>
            <w:u w:val="single"/>
            <w:lang w:val="en-GB" w:eastAsia="en-GB"/>
          </w:rPr>
          <w:t>Wiley</w:t>
        </w:r>
      </w:hyperlink>
      <w:r w:rsidRPr="00320ED2">
        <w:rPr>
          <w:rFonts w:ascii="Arial" w:eastAsia="Times New Roman" w:hAnsi="Arial" w:cs="Arial"/>
          <w:sz w:val="24"/>
          <w:szCs w:val="24"/>
          <w:lang w:val="en-GB" w:eastAsia="en-GB"/>
        </w:rPr>
        <w:t xml:space="preserve"> </w:t>
      </w:r>
    </w:p>
    <w:p w14:paraId="14D9E3DA"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Leatherbee</w:t>
      </w:r>
      <w:proofErr w:type="spellEnd"/>
      <w:r w:rsidRPr="00320ED2">
        <w:rPr>
          <w:rFonts w:ascii="Arial" w:eastAsia="Times New Roman" w:hAnsi="Arial" w:cs="Arial"/>
          <w:sz w:val="24"/>
          <w:szCs w:val="24"/>
          <w:lang w:val="en-GB" w:eastAsia="en-GB"/>
        </w:rPr>
        <w:t xml:space="preserve">, M. and </w:t>
      </w:r>
      <w:proofErr w:type="spellStart"/>
      <w:r w:rsidRPr="00320ED2">
        <w:rPr>
          <w:rFonts w:ascii="Arial" w:eastAsia="Times New Roman" w:hAnsi="Arial" w:cs="Arial"/>
          <w:sz w:val="24"/>
          <w:szCs w:val="24"/>
          <w:lang w:val="en-GB" w:eastAsia="en-GB"/>
        </w:rPr>
        <w:t>Katila</w:t>
      </w:r>
      <w:proofErr w:type="spellEnd"/>
      <w:r w:rsidRPr="00320ED2">
        <w:rPr>
          <w:rFonts w:ascii="Arial" w:eastAsia="Times New Roman" w:hAnsi="Arial" w:cs="Arial"/>
          <w:sz w:val="24"/>
          <w:szCs w:val="24"/>
          <w:lang w:val="en-GB" w:eastAsia="en-GB"/>
        </w:rPr>
        <w:t xml:space="preserve">, R. (2020) ‘The lean </w:t>
      </w:r>
      <w:proofErr w:type="spellStart"/>
      <w:r w:rsidRPr="00320ED2">
        <w:rPr>
          <w:rFonts w:ascii="Arial" w:eastAsia="Times New Roman" w:hAnsi="Arial" w:cs="Arial"/>
          <w:sz w:val="24"/>
          <w:szCs w:val="24"/>
          <w:lang w:val="en-GB" w:eastAsia="en-GB"/>
        </w:rPr>
        <w:t>startup</w:t>
      </w:r>
      <w:proofErr w:type="spellEnd"/>
      <w:r w:rsidRPr="00320ED2">
        <w:rPr>
          <w:rFonts w:ascii="Arial" w:eastAsia="Times New Roman" w:hAnsi="Arial" w:cs="Arial"/>
          <w:sz w:val="24"/>
          <w:szCs w:val="24"/>
          <w:lang w:val="en-GB" w:eastAsia="en-GB"/>
        </w:rPr>
        <w:t xml:space="preserve"> method: early-stage teams and hypothesis-based probing of business ideas’, </w:t>
      </w:r>
      <w:r w:rsidRPr="00320ED2">
        <w:rPr>
          <w:rFonts w:ascii="Arial" w:eastAsia="Times New Roman" w:hAnsi="Arial" w:cs="Arial"/>
          <w:i/>
          <w:iCs/>
          <w:sz w:val="24"/>
          <w:szCs w:val="24"/>
          <w:lang w:val="en-GB" w:eastAsia="en-GB"/>
        </w:rPr>
        <w:t>Strategic Entrepreneurship Journal</w:t>
      </w:r>
      <w:r w:rsidRPr="00320ED2">
        <w:rPr>
          <w:rFonts w:ascii="Arial" w:eastAsia="Times New Roman" w:hAnsi="Arial" w:cs="Arial"/>
          <w:sz w:val="24"/>
          <w:szCs w:val="24"/>
          <w:lang w:val="en-GB" w:eastAsia="en-GB"/>
        </w:rPr>
        <w:t xml:space="preserve">, 14(4), pp. 570–593. </w:t>
      </w:r>
      <w:hyperlink r:id="rId40"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0606F1D9"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Lee, I. and Shin, Y.J. (2018) ‘Fintech: ecosystem, business models, investment decisions, and challenges’, </w:t>
      </w:r>
      <w:r w:rsidRPr="00320ED2">
        <w:rPr>
          <w:rFonts w:ascii="Arial" w:eastAsia="Times New Roman" w:hAnsi="Arial" w:cs="Arial"/>
          <w:i/>
          <w:iCs/>
          <w:sz w:val="24"/>
          <w:szCs w:val="24"/>
          <w:lang w:val="en-GB" w:eastAsia="en-GB"/>
        </w:rPr>
        <w:t>Business Horizons</w:t>
      </w:r>
      <w:r w:rsidRPr="00320ED2">
        <w:rPr>
          <w:rFonts w:ascii="Arial" w:eastAsia="Times New Roman" w:hAnsi="Arial" w:cs="Arial"/>
          <w:sz w:val="24"/>
          <w:szCs w:val="24"/>
          <w:lang w:val="en-GB" w:eastAsia="en-GB"/>
        </w:rPr>
        <w:t xml:space="preserve">, 61(1), pp. 35–46. </w:t>
      </w:r>
      <w:hyperlink r:id="rId41"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5378C887"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McCarthy, E.J. (1960) </w:t>
      </w:r>
      <w:r w:rsidRPr="00320ED2">
        <w:rPr>
          <w:rFonts w:ascii="Arial" w:eastAsia="Times New Roman" w:hAnsi="Arial" w:cs="Arial"/>
          <w:i/>
          <w:iCs/>
          <w:sz w:val="24"/>
          <w:szCs w:val="24"/>
          <w:lang w:val="en-GB" w:eastAsia="en-GB"/>
        </w:rPr>
        <w:t>Basic Marketing: A Managerial Approach</w:t>
      </w:r>
      <w:r w:rsidRPr="00320ED2">
        <w:rPr>
          <w:rFonts w:ascii="Arial" w:eastAsia="Times New Roman" w:hAnsi="Arial" w:cs="Arial"/>
          <w:sz w:val="24"/>
          <w:szCs w:val="24"/>
          <w:lang w:val="en-GB" w:eastAsia="en-GB"/>
        </w:rPr>
        <w:t xml:space="preserve">. Homewood: Irwin. Google Books </w:t>
      </w:r>
    </w:p>
    <w:p w14:paraId="5BB1D3CF"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McKinsey &amp; Company (2021) </w:t>
      </w:r>
      <w:r w:rsidRPr="00320ED2">
        <w:rPr>
          <w:rFonts w:ascii="Arial" w:eastAsia="Times New Roman" w:hAnsi="Arial" w:cs="Arial"/>
          <w:i/>
          <w:iCs/>
          <w:sz w:val="24"/>
          <w:szCs w:val="24"/>
          <w:lang w:val="en-GB" w:eastAsia="en-GB"/>
        </w:rPr>
        <w:t>The State of New-Business Building</w:t>
      </w:r>
      <w:r w:rsidRPr="00320ED2">
        <w:rPr>
          <w:rFonts w:ascii="Arial" w:eastAsia="Times New Roman" w:hAnsi="Arial" w:cs="Arial"/>
          <w:sz w:val="24"/>
          <w:szCs w:val="24"/>
          <w:lang w:val="en-GB" w:eastAsia="en-GB"/>
        </w:rPr>
        <w:t xml:space="preserve">. </w:t>
      </w:r>
      <w:hyperlink r:id="rId42" w:tgtFrame="_blank" w:history="1">
        <w:r w:rsidRPr="00320ED2">
          <w:rPr>
            <w:rFonts w:ascii="Arial" w:eastAsia="Times New Roman" w:hAnsi="Arial" w:cs="Arial"/>
            <w:color w:val="0000FF"/>
            <w:sz w:val="24"/>
            <w:szCs w:val="24"/>
            <w:u w:val="single"/>
            <w:lang w:val="en-GB" w:eastAsia="en-GB"/>
          </w:rPr>
          <w:t>McKinsey</w:t>
        </w:r>
      </w:hyperlink>
      <w:r w:rsidRPr="00320ED2">
        <w:rPr>
          <w:rFonts w:ascii="Arial" w:eastAsia="Times New Roman" w:hAnsi="Arial" w:cs="Arial"/>
          <w:sz w:val="24"/>
          <w:szCs w:val="24"/>
          <w:lang w:val="en-GB" w:eastAsia="en-GB"/>
        </w:rPr>
        <w:t xml:space="preserve"> </w:t>
      </w:r>
    </w:p>
    <w:p w14:paraId="50179433"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Mintzberg</w:t>
      </w:r>
      <w:proofErr w:type="spellEnd"/>
      <w:r w:rsidRPr="00320ED2">
        <w:rPr>
          <w:rFonts w:ascii="Arial" w:eastAsia="Times New Roman" w:hAnsi="Arial" w:cs="Arial"/>
          <w:sz w:val="24"/>
          <w:szCs w:val="24"/>
          <w:lang w:val="en-GB" w:eastAsia="en-GB"/>
        </w:rPr>
        <w:t xml:space="preserve">, H. (1994) </w:t>
      </w:r>
      <w:r w:rsidRPr="00320ED2">
        <w:rPr>
          <w:rFonts w:ascii="Arial" w:eastAsia="Times New Roman" w:hAnsi="Arial" w:cs="Arial"/>
          <w:i/>
          <w:iCs/>
          <w:sz w:val="24"/>
          <w:szCs w:val="24"/>
          <w:lang w:val="en-GB" w:eastAsia="en-GB"/>
        </w:rPr>
        <w:t>The Rise and Fall of Strategic Planning</w:t>
      </w:r>
      <w:r w:rsidRPr="00320ED2">
        <w:rPr>
          <w:rFonts w:ascii="Arial" w:eastAsia="Times New Roman" w:hAnsi="Arial" w:cs="Arial"/>
          <w:sz w:val="24"/>
          <w:szCs w:val="24"/>
          <w:lang w:val="en-GB" w:eastAsia="en-GB"/>
        </w:rPr>
        <w:t xml:space="preserve">. New York: Free Press. Google Books </w:t>
      </w:r>
    </w:p>
    <w:p w14:paraId="339D46DD"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Morgan, N.A., </w:t>
      </w:r>
      <w:proofErr w:type="spellStart"/>
      <w:r w:rsidRPr="00320ED2">
        <w:rPr>
          <w:rFonts w:ascii="Arial" w:eastAsia="Times New Roman" w:hAnsi="Arial" w:cs="Arial"/>
          <w:sz w:val="24"/>
          <w:szCs w:val="24"/>
          <w:lang w:val="en-GB" w:eastAsia="en-GB"/>
        </w:rPr>
        <w:t>Whitler</w:t>
      </w:r>
      <w:proofErr w:type="spellEnd"/>
      <w:r w:rsidRPr="00320ED2">
        <w:rPr>
          <w:rFonts w:ascii="Arial" w:eastAsia="Times New Roman" w:hAnsi="Arial" w:cs="Arial"/>
          <w:sz w:val="24"/>
          <w:szCs w:val="24"/>
          <w:lang w:val="en-GB" w:eastAsia="en-GB"/>
        </w:rPr>
        <w:t xml:space="preserve">, K.A. and Feng, H. (2019) ‘Research in marketing strategy’, </w:t>
      </w:r>
      <w:r w:rsidRPr="00320ED2">
        <w:rPr>
          <w:rFonts w:ascii="Arial" w:eastAsia="Times New Roman" w:hAnsi="Arial" w:cs="Arial"/>
          <w:i/>
          <w:iCs/>
          <w:sz w:val="24"/>
          <w:szCs w:val="24"/>
          <w:lang w:val="en-GB" w:eastAsia="en-GB"/>
        </w:rPr>
        <w:t>Journal of the Academy of Marketing Science</w:t>
      </w:r>
      <w:r w:rsidRPr="00320ED2">
        <w:rPr>
          <w:rFonts w:ascii="Arial" w:eastAsia="Times New Roman" w:hAnsi="Arial" w:cs="Arial"/>
          <w:sz w:val="24"/>
          <w:szCs w:val="24"/>
          <w:lang w:val="en-GB" w:eastAsia="en-GB"/>
        </w:rPr>
        <w:t xml:space="preserve">, 47, pp. 4–29. </w:t>
      </w:r>
      <w:hyperlink r:id="rId43"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33B45A10"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Osterwalder</w:t>
      </w:r>
      <w:proofErr w:type="spellEnd"/>
      <w:r w:rsidRPr="00320ED2">
        <w:rPr>
          <w:rFonts w:ascii="Arial" w:eastAsia="Times New Roman" w:hAnsi="Arial" w:cs="Arial"/>
          <w:sz w:val="24"/>
          <w:szCs w:val="24"/>
          <w:lang w:val="en-GB" w:eastAsia="en-GB"/>
        </w:rPr>
        <w:t xml:space="preserve">, A. and </w:t>
      </w:r>
      <w:proofErr w:type="spellStart"/>
      <w:r w:rsidRPr="00320ED2">
        <w:rPr>
          <w:rFonts w:ascii="Arial" w:eastAsia="Times New Roman" w:hAnsi="Arial" w:cs="Arial"/>
          <w:sz w:val="24"/>
          <w:szCs w:val="24"/>
          <w:lang w:val="en-GB" w:eastAsia="en-GB"/>
        </w:rPr>
        <w:t>Pigneur</w:t>
      </w:r>
      <w:proofErr w:type="spellEnd"/>
      <w:r w:rsidRPr="00320ED2">
        <w:rPr>
          <w:rFonts w:ascii="Arial" w:eastAsia="Times New Roman" w:hAnsi="Arial" w:cs="Arial"/>
          <w:sz w:val="24"/>
          <w:szCs w:val="24"/>
          <w:lang w:val="en-GB" w:eastAsia="en-GB"/>
        </w:rPr>
        <w:t xml:space="preserve">, Y. (2010) </w:t>
      </w:r>
      <w:r w:rsidRPr="00320ED2">
        <w:rPr>
          <w:rFonts w:ascii="Arial" w:eastAsia="Times New Roman" w:hAnsi="Arial" w:cs="Arial"/>
          <w:i/>
          <w:iCs/>
          <w:sz w:val="24"/>
          <w:szCs w:val="24"/>
          <w:lang w:val="en-GB" w:eastAsia="en-GB"/>
        </w:rPr>
        <w:t>Business Model Generation</w:t>
      </w:r>
      <w:r w:rsidRPr="00320ED2">
        <w:rPr>
          <w:rFonts w:ascii="Arial" w:eastAsia="Times New Roman" w:hAnsi="Arial" w:cs="Arial"/>
          <w:sz w:val="24"/>
          <w:szCs w:val="24"/>
          <w:lang w:val="en-GB" w:eastAsia="en-GB"/>
        </w:rPr>
        <w:t xml:space="preserve">. Hoboken: Wiley. Wiley </w:t>
      </w:r>
    </w:p>
    <w:p w14:paraId="28EFE01F"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Panagiotakopoulos</w:t>
      </w:r>
      <w:proofErr w:type="spellEnd"/>
      <w:r w:rsidRPr="00320ED2">
        <w:rPr>
          <w:rFonts w:ascii="Arial" w:eastAsia="Times New Roman" w:hAnsi="Arial" w:cs="Arial"/>
          <w:sz w:val="24"/>
          <w:szCs w:val="24"/>
          <w:lang w:val="en-GB" w:eastAsia="en-GB"/>
        </w:rPr>
        <w:t xml:space="preserve">, A. (2020) ‘Exploring the link between management training and organizational performance in the small business context’, </w:t>
      </w:r>
      <w:r w:rsidRPr="00320ED2">
        <w:rPr>
          <w:rFonts w:ascii="Arial" w:eastAsia="Times New Roman" w:hAnsi="Arial" w:cs="Arial"/>
          <w:i/>
          <w:iCs/>
          <w:sz w:val="24"/>
          <w:szCs w:val="24"/>
          <w:lang w:val="en-GB" w:eastAsia="en-GB"/>
        </w:rPr>
        <w:t>Journal of Workplace Learning</w:t>
      </w:r>
      <w:r w:rsidRPr="00320ED2">
        <w:rPr>
          <w:rFonts w:ascii="Arial" w:eastAsia="Times New Roman" w:hAnsi="Arial" w:cs="Arial"/>
          <w:sz w:val="24"/>
          <w:szCs w:val="24"/>
          <w:lang w:val="en-GB" w:eastAsia="en-GB"/>
        </w:rPr>
        <w:t xml:space="preserve">, 32(4), pp. 245–257. </w:t>
      </w:r>
      <w:hyperlink r:id="rId44"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1575C39B"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Porter, M.E. (1980) </w:t>
      </w:r>
      <w:r w:rsidRPr="00320ED2">
        <w:rPr>
          <w:rFonts w:ascii="Arial" w:eastAsia="Times New Roman" w:hAnsi="Arial" w:cs="Arial"/>
          <w:i/>
          <w:iCs/>
          <w:sz w:val="24"/>
          <w:szCs w:val="24"/>
          <w:lang w:val="en-GB" w:eastAsia="en-GB"/>
        </w:rPr>
        <w:t>Competitive Strategy</w:t>
      </w:r>
      <w:r w:rsidRPr="00320ED2">
        <w:rPr>
          <w:rFonts w:ascii="Arial" w:eastAsia="Times New Roman" w:hAnsi="Arial" w:cs="Arial"/>
          <w:sz w:val="24"/>
          <w:szCs w:val="24"/>
          <w:lang w:val="en-GB" w:eastAsia="en-GB"/>
        </w:rPr>
        <w:t xml:space="preserve">. New York: Free Press. Google Books </w:t>
      </w:r>
    </w:p>
    <w:p w14:paraId="61DDC994"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lastRenderedPageBreak/>
        <w:t xml:space="preserve">Porter, M.E. (1985) </w:t>
      </w:r>
      <w:r w:rsidRPr="00320ED2">
        <w:rPr>
          <w:rFonts w:ascii="Arial" w:eastAsia="Times New Roman" w:hAnsi="Arial" w:cs="Arial"/>
          <w:i/>
          <w:iCs/>
          <w:sz w:val="24"/>
          <w:szCs w:val="24"/>
          <w:lang w:val="en-GB" w:eastAsia="en-GB"/>
        </w:rPr>
        <w:t>Competitive Advantage</w:t>
      </w:r>
      <w:r w:rsidRPr="00320ED2">
        <w:rPr>
          <w:rFonts w:ascii="Arial" w:eastAsia="Times New Roman" w:hAnsi="Arial" w:cs="Arial"/>
          <w:sz w:val="24"/>
          <w:szCs w:val="24"/>
          <w:lang w:val="en-GB" w:eastAsia="en-GB"/>
        </w:rPr>
        <w:t xml:space="preserve">. New York: Free Press. Google Books </w:t>
      </w:r>
    </w:p>
    <w:p w14:paraId="148B1C6B"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Prahalad</w:t>
      </w:r>
      <w:proofErr w:type="spellEnd"/>
      <w:r w:rsidRPr="00320ED2">
        <w:rPr>
          <w:rFonts w:ascii="Arial" w:eastAsia="Times New Roman" w:hAnsi="Arial" w:cs="Arial"/>
          <w:sz w:val="24"/>
          <w:szCs w:val="24"/>
          <w:lang w:val="en-GB" w:eastAsia="en-GB"/>
        </w:rPr>
        <w:t xml:space="preserve">, C.K. and Hamel, G. (1990) ‘The core competence of the corporation’, </w:t>
      </w:r>
      <w:r w:rsidRPr="00320ED2">
        <w:rPr>
          <w:rFonts w:ascii="Arial" w:eastAsia="Times New Roman" w:hAnsi="Arial" w:cs="Arial"/>
          <w:i/>
          <w:iCs/>
          <w:sz w:val="24"/>
          <w:szCs w:val="24"/>
          <w:lang w:val="en-GB" w:eastAsia="en-GB"/>
        </w:rPr>
        <w:t>Harvard Business Review</w:t>
      </w:r>
      <w:r w:rsidRPr="00320ED2">
        <w:rPr>
          <w:rFonts w:ascii="Arial" w:eastAsia="Times New Roman" w:hAnsi="Arial" w:cs="Arial"/>
          <w:sz w:val="24"/>
          <w:szCs w:val="24"/>
          <w:lang w:val="en-GB" w:eastAsia="en-GB"/>
        </w:rPr>
        <w:t xml:space="preserve">, 68(3), pp. 79–91. </w:t>
      </w:r>
      <w:hyperlink r:id="rId45" w:tgtFrame="_blank" w:history="1">
        <w:r w:rsidRPr="00320ED2">
          <w:rPr>
            <w:rFonts w:ascii="Arial" w:eastAsia="Times New Roman" w:hAnsi="Arial" w:cs="Arial"/>
            <w:color w:val="0000FF"/>
            <w:sz w:val="24"/>
            <w:szCs w:val="24"/>
            <w:u w:val="single"/>
            <w:lang w:val="en-GB" w:eastAsia="en-GB"/>
          </w:rPr>
          <w:t>Harvard Business Review</w:t>
        </w:r>
      </w:hyperlink>
      <w:r w:rsidRPr="00320ED2">
        <w:rPr>
          <w:rFonts w:ascii="Arial" w:eastAsia="Times New Roman" w:hAnsi="Arial" w:cs="Arial"/>
          <w:sz w:val="24"/>
          <w:szCs w:val="24"/>
          <w:lang w:val="en-GB" w:eastAsia="en-GB"/>
        </w:rPr>
        <w:t xml:space="preserve"> </w:t>
      </w:r>
    </w:p>
    <w:p w14:paraId="37CDECB2"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Ries</w:t>
      </w:r>
      <w:proofErr w:type="spellEnd"/>
      <w:r w:rsidRPr="00320ED2">
        <w:rPr>
          <w:rFonts w:ascii="Arial" w:eastAsia="Times New Roman" w:hAnsi="Arial" w:cs="Arial"/>
          <w:sz w:val="24"/>
          <w:szCs w:val="24"/>
          <w:lang w:val="en-GB" w:eastAsia="en-GB"/>
        </w:rPr>
        <w:t xml:space="preserve">, E. (2011) </w:t>
      </w:r>
      <w:r w:rsidRPr="00320ED2">
        <w:rPr>
          <w:rFonts w:ascii="Arial" w:eastAsia="Times New Roman" w:hAnsi="Arial" w:cs="Arial"/>
          <w:i/>
          <w:iCs/>
          <w:sz w:val="24"/>
          <w:szCs w:val="24"/>
          <w:lang w:val="en-GB" w:eastAsia="en-GB"/>
        </w:rPr>
        <w:t xml:space="preserve">The Lean </w:t>
      </w:r>
      <w:proofErr w:type="spellStart"/>
      <w:r w:rsidRPr="00320ED2">
        <w:rPr>
          <w:rFonts w:ascii="Arial" w:eastAsia="Times New Roman" w:hAnsi="Arial" w:cs="Arial"/>
          <w:i/>
          <w:iCs/>
          <w:sz w:val="24"/>
          <w:szCs w:val="24"/>
          <w:lang w:val="en-GB" w:eastAsia="en-GB"/>
        </w:rPr>
        <w:t>Startup</w:t>
      </w:r>
      <w:proofErr w:type="spellEnd"/>
      <w:r w:rsidRPr="00320ED2">
        <w:rPr>
          <w:rFonts w:ascii="Arial" w:eastAsia="Times New Roman" w:hAnsi="Arial" w:cs="Arial"/>
          <w:sz w:val="24"/>
          <w:szCs w:val="24"/>
          <w:lang w:val="en-GB" w:eastAsia="en-GB"/>
        </w:rPr>
        <w:t xml:space="preserve">. New York: Crown Business. Google Books </w:t>
      </w:r>
    </w:p>
    <w:p w14:paraId="71FE2880"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Saunders, M., Lewis, P. and Thornhill, A. (2019) </w:t>
      </w:r>
      <w:r w:rsidRPr="00320ED2">
        <w:rPr>
          <w:rFonts w:ascii="Arial" w:eastAsia="Times New Roman" w:hAnsi="Arial" w:cs="Arial"/>
          <w:i/>
          <w:iCs/>
          <w:sz w:val="24"/>
          <w:szCs w:val="24"/>
          <w:lang w:val="en-GB" w:eastAsia="en-GB"/>
        </w:rPr>
        <w:t>Research Methods for Business Students</w:t>
      </w:r>
      <w:r w:rsidRPr="00320ED2">
        <w:rPr>
          <w:rFonts w:ascii="Arial" w:eastAsia="Times New Roman" w:hAnsi="Arial" w:cs="Arial"/>
          <w:sz w:val="24"/>
          <w:szCs w:val="24"/>
          <w:lang w:val="en-GB" w:eastAsia="en-GB"/>
        </w:rPr>
        <w:t xml:space="preserve">. 8th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Harlow: Pearson. </w:t>
      </w:r>
      <w:hyperlink r:id="rId46" w:tgtFrame="_blank" w:history="1">
        <w:r w:rsidRPr="00320ED2">
          <w:rPr>
            <w:rFonts w:ascii="Arial" w:eastAsia="Times New Roman" w:hAnsi="Arial" w:cs="Arial"/>
            <w:color w:val="0000FF"/>
            <w:sz w:val="24"/>
            <w:szCs w:val="24"/>
            <w:u w:val="single"/>
            <w:lang w:val="en-GB" w:eastAsia="en-GB"/>
          </w:rPr>
          <w:t>Pearson</w:t>
        </w:r>
      </w:hyperlink>
      <w:r w:rsidRPr="00320ED2">
        <w:rPr>
          <w:rFonts w:ascii="Arial" w:eastAsia="Times New Roman" w:hAnsi="Arial" w:cs="Arial"/>
          <w:sz w:val="24"/>
          <w:szCs w:val="24"/>
          <w:lang w:val="en-GB" w:eastAsia="en-GB"/>
        </w:rPr>
        <w:t xml:space="preserve"> </w:t>
      </w:r>
    </w:p>
    <w:p w14:paraId="3E64AD69"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Schumpeter, J.A. (1934) </w:t>
      </w:r>
      <w:r w:rsidRPr="00320ED2">
        <w:rPr>
          <w:rFonts w:ascii="Arial" w:eastAsia="Times New Roman" w:hAnsi="Arial" w:cs="Arial"/>
          <w:i/>
          <w:iCs/>
          <w:sz w:val="24"/>
          <w:szCs w:val="24"/>
          <w:lang w:val="en-GB" w:eastAsia="en-GB"/>
        </w:rPr>
        <w:t>The Theory of Economic Development</w:t>
      </w:r>
      <w:r w:rsidRPr="00320ED2">
        <w:rPr>
          <w:rFonts w:ascii="Arial" w:eastAsia="Times New Roman" w:hAnsi="Arial" w:cs="Arial"/>
          <w:sz w:val="24"/>
          <w:szCs w:val="24"/>
          <w:lang w:val="en-GB" w:eastAsia="en-GB"/>
        </w:rPr>
        <w:t xml:space="preserve">. Cambridge, MA: Harvard University Press. </w:t>
      </w:r>
      <w:hyperlink r:id="rId47" w:tgtFrame="_blank" w:history="1">
        <w:r w:rsidRPr="00320ED2">
          <w:rPr>
            <w:rFonts w:ascii="Arial" w:eastAsia="Times New Roman" w:hAnsi="Arial" w:cs="Arial"/>
            <w:color w:val="0000FF"/>
            <w:sz w:val="24"/>
            <w:szCs w:val="24"/>
            <w:u w:val="single"/>
            <w:lang w:val="en-GB" w:eastAsia="en-GB"/>
          </w:rPr>
          <w:t>Harvard University Press</w:t>
        </w:r>
      </w:hyperlink>
      <w:r w:rsidRPr="00320ED2">
        <w:rPr>
          <w:rFonts w:ascii="Arial" w:eastAsia="Times New Roman" w:hAnsi="Arial" w:cs="Arial"/>
          <w:sz w:val="24"/>
          <w:szCs w:val="24"/>
          <w:lang w:val="en-GB" w:eastAsia="en-GB"/>
        </w:rPr>
        <w:t xml:space="preserve"> </w:t>
      </w:r>
    </w:p>
    <w:p w14:paraId="375D792D"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Shepherd, D.A. and Gruber, M. (2021) ‘The Lean </w:t>
      </w:r>
      <w:proofErr w:type="spellStart"/>
      <w:r w:rsidRPr="00320ED2">
        <w:rPr>
          <w:rFonts w:ascii="Arial" w:eastAsia="Times New Roman" w:hAnsi="Arial" w:cs="Arial"/>
          <w:sz w:val="24"/>
          <w:szCs w:val="24"/>
          <w:lang w:val="en-GB" w:eastAsia="en-GB"/>
        </w:rPr>
        <w:t>Startup</w:t>
      </w:r>
      <w:proofErr w:type="spellEnd"/>
      <w:r w:rsidRPr="00320ED2">
        <w:rPr>
          <w:rFonts w:ascii="Arial" w:eastAsia="Times New Roman" w:hAnsi="Arial" w:cs="Arial"/>
          <w:sz w:val="24"/>
          <w:szCs w:val="24"/>
          <w:lang w:val="en-GB" w:eastAsia="en-GB"/>
        </w:rPr>
        <w:t xml:space="preserve"> Framework: Closing the Academic–Practitioner Divide’, </w:t>
      </w:r>
      <w:r w:rsidRPr="00320ED2">
        <w:rPr>
          <w:rFonts w:ascii="Arial" w:eastAsia="Times New Roman" w:hAnsi="Arial" w:cs="Arial"/>
          <w:i/>
          <w:iCs/>
          <w:sz w:val="24"/>
          <w:szCs w:val="24"/>
          <w:lang w:val="en-GB" w:eastAsia="en-GB"/>
        </w:rPr>
        <w:t>Entrepreneurship Theory and Practice</w:t>
      </w:r>
      <w:r w:rsidRPr="00320ED2">
        <w:rPr>
          <w:rFonts w:ascii="Arial" w:eastAsia="Times New Roman" w:hAnsi="Arial" w:cs="Arial"/>
          <w:sz w:val="24"/>
          <w:szCs w:val="24"/>
          <w:lang w:val="en-GB" w:eastAsia="en-GB"/>
        </w:rPr>
        <w:t xml:space="preserve">, 45(5), pp. 967–998. </w:t>
      </w:r>
      <w:hyperlink r:id="rId48"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17FE79A2"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Silva, D.S., </w:t>
      </w:r>
      <w:proofErr w:type="spellStart"/>
      <w:r w:rsidRPr="00320ED2">
        <w:rPr>
          <w:rFonts w:ascii="Arial" w:eastAsia="Times New Roman" w:hAnsi="Arial" w:cs="Arial"/>
          <w:sz w:val="24"/>
          <w:szCs w:val="24"/>
          <w:lang w:val="en-GB" w:eastAsia="en-GB"/>
        </w:rPr>
        <w:t>Ghezzi</w:t>
      </w:r>
      <w:proofErr w:type="spellEnd"/>
      <w:r w:rsidRPr="00320ED2">
        <w:rPr>
          <w:rFonts w:ascii="Arial" w:eastAsia="Times New Roman" w:hAnsi="Arial" w:cs="Arial"/>
          <w:sz w:val="24"/>
          <w:szCs w:val="24"/>
          <w:lang w:val="en-GB" w:eastAsia="en-GB"/>
        </w:rPr>
        <w:t xml:space="preserve">, A., </w:t>
      </w:r>
      <w:proofErr w:type="spellStart"/>
      <w:r w:rsidRPr="00320ED2">
        <w:rPr>
          <w:rFonts w:ascii="Arial" w:eastAsia="Times New Roman" w:hAnsi="Arial" w:cs="Arial"/>
          <w:sz w:val="24"/>
          <w:szCs w:val="24"/>
          <w:lang w:val="en-GB" w:eastAsia="en-GB"/>
        </w:rPr>
        <w:t>Cavallo</w:t>
      </w:r>
      <w:proofErr w:type="spellEnd"/>
      <w:r w:rsidRPr="00320ED2">
        <w:rPr>
          <w:rFonts w:ascii="Arial" w:eastAsia="Times New Roman" w:hAnsi="Arial" w:cs="Arial"/>
          <w:sz w:val="24"/>
          <w:szCs w:val="24"/>
          <w:lang w:val="en-GB" w:eastAsia="en-GB"/>
        </w:rPr>
        <w:t xml:space="preserve">, A. and </w:t>
      </w:r>
      <w:proofErr w:type="spellStart"/>
      <w:r w:rsidRPr="00320ED2">
        <w:rPr>
          <w:rFonts w:ascii="Arial" w:eastAsia="Times New Roman" w:hAnsi="Arial" w:cs="Arial"/>
          <w:sz w:val="24"/>
          <w:szCs w:val="24"/>
          <w:lang w:val="en-GB" w:eastAsia="en-GB"/>
        </w:rPr>
        <w:t>Cortimiglia</w:t>
      </w:r>
      <w:proofErr w:type="spellEnd"/>
      <w:r w:rsidRPr="00320ED2">
        <w:rPr>
          <w:rFonts w:ascii="Arial" w:eastAsia="Times New Roman" w:hAnsi="Arial" w:cs="Arial"/>
          <w:sz w:val="24"/>
          <w:szCs w:val="24"/>
          <w:lang w:val="en-GB" w:eastAsia="en-GB"/>
        </w:rPr>
        <w:t xml:space="preserve">, M.N. (2021) ‘Lean </w:t>
      </w:r>
      <w:proofErr w:type="spellStart"/>
      <w:r w:rsidRPr="00320ED2">
        <w:rPr>
          <w:rFonts w:ascii="Arial" w:eastAsia="Times New Roman" w:hAnsi="Arial" w:cs="Arial"/>
          <w:sz w:val="24"/>
          <w:szCs w:val="24"/>
          <w:lang w:val="en-GB" w:eastAsia="en-GB"/>
        </w:rPr>
        <w:t>startup</w:t>
      </w:r>
      <w:proofErr w:type="spellEnd"/>
      <w:r w:rsidRPr="00320ED2">
        <w:rPr>
          <w:rFonts w:ascii="Arial" w:eastAsia="Times New Roman" w:hAnsi="Arial" w:cs="Arial"/>
          <w:sz w:val="24"/>
          <w:szCs w:val="24"/>
          <w:lang w:val="en-GB" w:eastAsia="en-GB"/>
        </w:rPr>
        <w:t xml:space="preserve"> for opportunity exploitation’, </w:t>
      </w:r>
      <w:r w:rsidRPr="00320ED2">
        <w:rPr>
          <w:rFonts w:ascii="Arial" w:eastAsia="Times New Roman" w:hAnsi="Arial" w:cs="Arial"/>
          <w:i/>
          <w:iCs/>
          <w:sz w:val="24"/>
          <w:szCs w:val="24"/>
          <w:lang w:val="en-GB" w:eastAsia="en-GB"/>
        </w:rPr>
        <w:t xml:space="preserve">International Journal of Entrepreneurial </w:t>
      </w:r>
      <w:proofErr w:type="spellStart"/>
      <w:r w:rsidRPr="00320ED2">
        <w:rPr>
          <w:rFonts w:ascii="Arial" w:eastAsia="Times New Roman" w:hAnsi="Arial" w:cs="Arial"/>
          <w:i/>
          <w:iCs/>
          <w:sz w:val="24"/>
          <w:szCs w:val="24"/>
          <w:lang w:val="en-GB" w:eastAsia="en-GB"/>
        </w:rPr>
        <w:t>Behavior</w:t>
      </w:r>
      <w:proofErr w:type="spellEnd"/>
      <w:r w:rsidRPr="00320ED2">
        <w:rPr>
          <w:rFonts w:ascii="Arial" w:eastAsia="Times New Roman" w:hAnsi="Arial" w:cs="Arial"/>
          <w:i/>
          <w:iCs/>
          <w:sz w:val="24"/>
          <w:szCs w:val="24"/>
          <w:lang w:val="en-GB" w:eastAsia="en-GB"/>
        </w:rPr>
        <w:t xml:space="preserve"> &amp; Research</w:t>
      </w:r>
      <w:r w:rsidRPr="00320ED2">
        <w:rPr>
          <w:rFonts w:ascii="Arial" w:eastAsia="Times New Roman" w:hAnsi="Arial" w:cs="Arial"/>
          <w:sz w:val="24"/>
          <w:szCs w:val="24"/>
          <w:lang w:val="en-GB" w:eastAsia="en-GB"/>
        </w:rPr>
        <w:t xml:space="preserve">. </w:t>
      </w:r>
      <w:hyperlink r:id="rId49"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188CFDDE"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Slack, N. and Brandon-Jones, A. (2022) </w:t>
      </w:r>
      <w:r w:rsidRPr="00320ED2">
        <w:rPr>
          <w:rFonts w:ascii="Arial" w:eastAsia="Times New Roman" w:hAnsi="Arial" w:cs="Arial"/>
          <w:i/>
          <w:iCs/>
          <w:sz w:val="24"/>
          <w:szCs w:val="24"/>
          <w:lang w:val="en-GB" w:eastAsia="en-GB"/>
        </w:rPr>
        <w:t>Operations Management</w:t>
      </w:r>
      <w:r w:rsidRPr="00320ED2">
        <w:rPr>
          <w:rFonts w:ascii="Arial" w:eastAsia="Times New Roman" w:hAnsi="Arial" w:cs="Arial"/>
          <w:sz w:val="24"/>
          <w:szCs w:val="24"/>
          <w:lang w:val="en-GB" w:eastAsia="en-GB"/>
        </w:rPr>
        <w:t xml:space="preserve">. 10th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Harlow: Pearson. </w:t>
      </w:r>
      <w:hyperlink r:id="rId50" w:tgtFrame="_blank" w:history="1">
        <w:r w:rsidRPr="00320ED2">
          <w:rPr>
            <w:rFonts w:ascii="Arial" w:eastAsia="Times New Roman" w:hAnsi="Arial" w:cs="Arial"/>
            <w:color w:val="0000FF"/>
            <w:sz w:val="24"/>
            <w:szCs w:val="24"/>
            <w:u w:val="single"/>
            <w:lang w:val="en-GB" w:eastAsia="en-GB"/>
          </w:rPr>
          <w:t>Pearson</w:t>
        </w:r>
      </w:hyperlink>
      <w:r w:rsidRPr="00320ED2">
        <w:rPr>
          <w:rFonts w:ascii="Arial" w:eastAsia="Times New Roman" w:hAnsi="Arial" w:cs="Arial"/>
          <w:sz w:val="24"/>
          <w:szCs w:val="24"/>
          <w:lang w:val="en-GB" w:eastAsia="en-GB"/>
        </w:rPr>
        <w:t xml:space="preserve"> </w:t>
      </w:r>
    </w:p>
    <w:p w14:paraId="73F3E218"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Teece</w:t>
      </w:r>
      <w:proofErr w:type="spellEnd"/>
      <w:r w:rsidRPr="00320ED2">
        <w:rPr>
          <w:rFonts w:ascii="Arial" w:eastAsia="Times New Roman" w:hAnsi="Arial" w:cs="Arial"/>
          <w:sz w:val="24"/>
          <w:szCs w:val="24"/>
          <w:lang w:val="en-GB" w:eastAsia="en-GB"/>
        </w:rPr>
        <w:t xml:space="preserve">, D.J. (2018) ‘Business models and dynamic capabilities’, </w:t>
      </w:r>
      <w:r w:rsidRPr="00320ED2">
        <w:rPr>
          <w:rFonts w:ascii="Arial" w:eastAsia="Times New Roman" w:hAnsi="Arial" w:cs="Arial"/>
          <w:i/>
          <w:iCs/>
          <w:sz w:val="24"/>
          <w:szCs w:val="24"/>
          <w:lang w:val="en-GB" w:eastAsia="en-GB"/>
        </w:rPr>
        <w:t>Long Range Planning</w:t>
      </w:r>
      <w:r w:rsidRPr="00320ED2">
        <w:rPr>
          <w:rFonts w:ascii="Arial" w:eastAsia="Times New Roman" w:hAnsi="Arial" w:cs="Arial"/>
          <w:sz w:val="24"/>
          <w:szCs w:val="24"/>
          <w:lang w:val="en-GB" w:eastAsia="en-GB"/>
        </w:rPr>
        <w:t xml:space="preserve">, 51(1), pp. 40–49. </w:t>
      </w:r>
      <w:hyperlink r:id="rId51"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6E35B89D"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Teece</w:t>
      </w:r>
      <w:proofErr w:type="spellEnd"/>
      <w:r w:rsidRPr="00320ED2">
        <w:rPr>
          <w:rFonts w:ascii="Arial" w:eastAsia="Times New Roman" w:hAnsi="Arial" w:cs="Arial"/>
          <w:sz w:val="24"/>
          <w:szCs w:val="24"/>
          <w:lang w:val="en-GB" w:eastAsia="en-GB"/>
        </w:rPr>
        <w:t xml:space="preserve">, D.J., Pisano, G. and </w:t>
      </w:r>
      <w:proofErr w:type="spellStart"/>
      <w:r w:rsidRPr="00320ED2">
        <w:rPr>
          <w:rFonts w:ascii="Arial" w:eastAsia="Times New Roman" w:hAnsi="Arial" w:cs="Arial"/>
          <w:sz w:val="24"/>
          <w:szCs w:val="24"/>
          <w:lang w:val="en-GB" w:eastAsia="en-GB"/>
        </w:rPr>
        <w:t>Shuen</w:t>
      </w:r>
      <w:proofErr w:type="spellEnd"/>
      <w:r w:rsidRPr="00320ED2">
        <w:rPr>
          <w:rFonts w:ascii="Arial" w:eastAsia="Times New Roman" w:hAnsi="Arial" w:cs="Arial"/>
          <w:sz w:val="24"/>
          <w:szCs w:val="24"/>
          <w:lang w:val="en-GB" w:eastAsia="en-GB"/>
        </w:rPr>
        <w:t xml:space="preserve">, A. (1997) ‘Dynamic capabilities and strategic management’, </w:t>
      </w:r>
      <w:r w:rsidRPr="00320ED2">
        <w:rPr>
          <w:rFonts w:ascii="Arial" w:eastAsia="Times New Roman" w:hAnsi="Arial" w:cs="Arial"/>
          <w:i/>
          <w:iCs/>
          <w:sz w:val="24"/>
          <w:szCs w:val="24"/>
          <w:lang w:val="en-GB" w:eastAsia="en-GB"/>
        </w:rPr>
        <w:t>Strategic Management Journal</w:t>
      </w:r>
      <w:r w:rsidRPr="00320ED2">
        <w:rPr>
          <w:rFonts w:ascii="Arial" w:eastAsia="Times New Roman" w:hAnsi="Arial" w:cs="Arial"/>
          <w:sz w:val="24"/>
          <w:szCs w:val="24"/>
          <w:lang w:val="en-GB" w:eastAsia="en-GB"/>
        </w:rPr>
        <w:t xml:space="preserve">, 18(7), pp. 509–533. Article DOI </w:t>
      </w:r>
    </w:p>
    <w:p w14:paraId="1DF84FA8"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Vargo</w:t>
      </w:r>
      <w:proofErr w:type="spellEnd"/>
      <w:r w:rsidRPr="00320ED2">
        <w:rPr>
          <w:rFonts w:ascii="Arial" w:eastAsia="Times New Roman" w:hAnsi="Arial" w:cs="Arial"/>
          <w:sz w:val="24"/>
          <w:szCs w:val="24"/>
          <w:lang w:val="en-GB" w:eastAsia="en-GB"/>
        </w:rPr>
        <w:t xml:space="preserve">, S.L. and </w:t>
      </w:r>
      <w:proofErr w:type="spellStart"/>
      <w:r w:rsidRPr="00320ED2">
        <w:rPr>
          <w:rFonts w:ascii="Arial" w:eastAsia="Times New Roman" w:hAnsi="Arial" w:cs="Arial"/>
          <w:sz w:val="24"/>
          <w:szCs w:val="24"/>
          <w:lang w:val="en-GB" w:eastAsia="en-GB"/>
        </w:rPr>
        <w:t>Lusch</w:t>
      </w:r>
      <w:proofErr w:type="spellEnd"/>
      <w:r w:rsidRPr="00320ED2">
        <w:rPr>
          <w:rFonts w:ascii="Arial" w:eastAsia="Times New Roman" w:hAnsi="Arial" w:cs="Arial"/>
          <w:sz w:val="24"/>
          <w:szCs w:val="24"/>
          <w:lang w:val="en-GB" w:eastAsia="en-GB"/>
        </w:rPr>
        <w:t xml:space="preserve">, R.F. (2008) ‘Service-dominant logic: continuing the evolution’, </w:t>
      </w:r>
      <w:r w:rsidRPr="00320ED2">
        <w:rPr>
          <w:rFonts w:ascii="Arial" w:eastAsia="Times New Roman" w:hAnsi="Arial" w:cs="Arial"/>
          <w:i/>
          <w:iCs/>
          <w:sz w:val="24"/>
          <w:szCs w:val="24"/>
          <w:lang w:val="en-GB" w:eastAsia="en-GB"/>
        </w:rPr>
        <w:t>Journal of the Academy of Marketing Science</w:t>
      </w:r>
      <w:r w:rsidRPr="00320ED2">
        <w:rPr>
          <w:rFonts w:ascii="Arial" w:eastAsia="Times New Roman" w:hAnsi="Arial" w:cs="Arial"/>
          <w:sz w:val="24"/>
          <w:szCs w:val="24"/>
          <w:lang w:val="en-GB" w:eastAsia="en-GB"/>
        </w:rPr>
        <w:t xml:space="preserve">, 36, pp. 1–10. </w:t>
      </w:r>
      <w:hyperlink r:id="rId52"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5A1493CE"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Wernerfelt</w:t>
      </w:r>
      <w:proofErr w:type="spellEnd"/>
      <w:r w:rsidRPr="00320ED2">
        <w:rPr>
          <w:rFonts w:ascii="Arial" w:eastAsia="Times New Roman" w:hAnsi="Arial" w:cs="Arial"/>
          <w:sz w:val="24"/>
          <w:szCs w:val="24"/>
          <w:lang w:val="en-GB" w:eastAsia="en-GB"/>
        </w:rPr>
        <w:t xml:space="preserve">, B. (1984) ‘A resource-based view of the firm’, </w:t>
      </w:r>
      <w:r w:rsidRPr="00320ED2">
        <w:rPr>
          <w:rFonts w:ascii="Arial" w:eastAsia="Times New Roman" w:hAnsi="Arial" w:cs="Arial"/>
          <w:i/>
          <w:iCs/>
          <w:sz w:val="24"/>
          <w:szCs w:val="24"/>
          <w:lang w:val="en-GB" w:eastAsia="en-GB"/>
        </w:rPr>
        <w:t>Strategic Management Journal</w:t>
      </w:r>
      <w:r w:rsidRPr="00320ED2">
        <w:rPr>
          <w:rFonts w:ascii="Arial" w:eastAsia="Times New Roman" w:hAnsi="Arial" w:cs="Arial"/>
          <w:sz w:val="24"/>
          <w:szCs w:val="24"/>
          <w:lang w:val="en-GB" w:eastAsia="en-GB"/>
        </w:rPr>
        <w:t xml:space="preserve">, 5(2), pp. 171–180. </w:t>
      </w:r>
      <w:hyperlink r:id="rId53"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62773361"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World Bank (2024) </w:t>
      </w:r>
      <w:r w:rsidRPr="00320ED2">
        <w:rPr>
          <w:rFonts w:ascii="Arial" w:eastAsia="Times New Roman" w:hAnsi="Arial" w:cs="Arial"/>
          <w:i/>
          <w:iCs/>
          <w:sz w:val="24"/>
          <w:szCs w:val="24"/>
          <w:lang w:val="en-GB" w:eastAsia="en-GB"/>
        </w:rPr>
        <w:t>Doing Business / Business Environment Data</w:t>
      </w:r>
      <w:r w:rsidRPr="00320ED2">
        <w:rPr>
          <w:rFonts w:ascii="Arial" w:eastAsia="Times New Roman" w:hAnsi="Arial" w:cs="Arial"/>
          <w:sz w:val="24"/>
          <w:szCs w:val="24"/>
          <w:lang w:val="en-GB" w:eastAsia="en-GB"/>
        </w:rPr>
        <w:t xml:space="preserve">. </w:t>
      </w:r>
      <w:hyperlink r:id="rId54" w:tgtFrame="_blank" w:history="1">
        <w:r w:rsidRPr="00320ED2">
          <w:rPr>
            <w:rFonts w:ascii="Arial" w:eastAsia="Times New Roman" w:hAnsi="Arial" w:cs="Arial"/>
            <w:color w:val="0000FF"/>
            <w:sz w:val="24"/>
            <w:szCs w:val="24"/>
            <w:u w:val="single"/>
            <w:lang w:val="en-GB" w:eastAsia="en-GB"/>
          </w:rPr>
          <w:t>World Bank Data</w:t>
        </w:r>
      </w:hyperlink>
      <w:r w:rsidRPr="00320ED2">
        <w:rPr>
          <w:rFonts w:ascii="Arial" w:eastAsia="Times New Roman" w:hAnsi="Arial" w:cs="Arial"/>
          <w:sz w:val="24"/>
          <w:szCs w:val="24"/>
          <w:lang w:val="en-GB" w:eastAsia="en-GB"/>
        </w:rPr>
        <w:t xml:space="preserve"> </w:t>
      </w:r>
    </w:p>
    <w:p w14:paraId="11FAFF83"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World Economic Forum (2023) </w:t>
      </w:r>
      <w:r w:rsidRPr="00320ED2">
        <w:rPr>
          <w:rFonts w:ascii="Arial" w:eastAsia="Times New Roman" w:hAnsi="Arial" w:cs="Arial"/>
          <w:i/>
          <w:iCs/>
          <w:sz w:val="24"/>
          <w:szCs w:val="24"/>
          <w:lang w:val="en-GB" w:eastAsia="en-GB"/>
        </w:rPr>
        <w:t>The Future of Jobs Report 2023</w:t>
      </w:r>
      <w:r w:rsidRPr="00320ED2">
        <w:rPr>
          <w:rFonts w:ascii="Arial" w:eastAsia="Times New Roman" w:hAnsi="Arial" w:cs="Arial"/>
          <w:sz w:val="24"/>
          <w:szCs w:val="24"/>
          <w:lang w:val="en-GB" w:eastAsia="en-GB"/>
        </w:rPr>
        <w:t xml:space="preserve">. Geneva: WEF. </w:t>
      </w:r>
      <w:hyperlink r:id="rId55" w:tgtFrame="_blank" w:history="1">
        <w:r w:rsidRPr="00320ED2">
          <w:rPr>
            <w:rFonts w:ascii="Arial" w:eastAsia="Times New Roman" w:hAnsi="Arial" w:cs="Arial"/>
            <w:color w:val="0000FF"/>
            <w:sz w:val="24"/>
            <w:szCs w:val="24"/>
            <w:u w:val="single"/>
            <w:lang w:val="en-GB" w:eastAsia="en-GB"/>
          </w:rPr>
          <w:t>World Economic Forum</w:t>
        </w:r>
      </w:hyperlink>
      <w:r w:rsidRPr="00320ED2">
        <w:rPr>
          <w:rFonts w:ascii="Arial" w:eastAsia="Times New Roman" w:hAnsi="Arial" w:cs="Arial"/>
          <w:sz w:val="24"/>
          <w:szCs w:val="24"/>
          <w:lang w:val="en-GB" w:eastAsia="en-GB"/>
        </w:rPr>
        <w:t xml:space="preserve"> </w:t>
      </w:r>
    </w:p>
    <w:p w14:paraId="6528EDF3"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Chartered Institute of Marketing (2024) </w:t>
      </w:r>
      <w:r w:rsidRPr="00320ED2">
        <w:rPr>
          <w:rFonts w:ascii="Arial" w:eastAsia="Times New Roman" w:hAnsi="Arial" w:cs="Arial"/>
          <w:i/>
          <w:iCs/>
          <w:sz w:val="24"/>
          <w:szCs w:val="24"/>
          <w:lang w:val="en-GB" w:eastAsia="en-GB"/>
        </w:rPr>
        <w:t>Marketing and Business Resources</w:t>
      </w:r>
      <w:r w:rsidRPr="00320ED2">
        <w:rPr>
          <w:rFonts w:ascii="Arial" w:eastAsia="Times New Roman" w:hAnsi="Arial" w:cs="Arial"/>
          <w:sz w:val="24"/>
          <w:szCs w:val="24"/>
          <w:lang w:val="en-GB" w:eastAsia="en-GB"/>
        </w:rPr>
        <w:t xml:space="preserve">. </w:t>
      </w:r>
      <w:hyperlink r:id="rId56" w:tgtFrame="_blank" w:history="1">
        <w:r w:rsidRPr="00320ED2">
          <w:rPr>
            <w:rFonts w:ascii="Arial" w:eastAsia="Times New Roman" w:hAnsi="Arial" w:cs="Arial"/>
            <w:color w:val="0000FF"/>
            <w:sz w:val="24"/>
            <w:szCs w:val="24"/>
            <w:u w:val="single"/>
            <w:lang w:val="en-GB" w:eastAsia="en-GB"/>
          </w:rPr>
          <w:t>CIM</w:t>
        </w:r>
      </w:hyperlink>
      <w:r w:rsidRPr="00320ED2">
        <w:rPr>
          <w:rFonts w:ascii="Arial" w:eastAsia="Times New Roman" w:hAnsi="Arial" w:cs="Arial"/>
          <w:sz w:val="24"/>
          <w:szCs w:val="24"/>
          <w:lang w:val="en-GB" w:eastAsia="en-GB"/>
        </w:rPr>
        <w:t xml:space="preserve"> </w:t>
      </w:r>
    </w:p>
    <w:p w14:paraId="6E3D674E"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lastRenderedPageBreak/>
        <w:t xml:space="preserve">Chartered Institute of Personnel and Development (2024) </w:t>
      </w:r>
      <w:r w:rsidRPr="00320ED2">
        <w:rPr>
          <w:rFonts w:ascii="Arial" w:eastAsia="Times New Roman" w:hAnsi="Arial" w:cs="Arial"/>
          <w:i/>
          <w:iCs/>
          <w:sz w:val="24"/>
          <w:szCs w:val="24"/>
          <w:lang w:val="en-GB" w:eastAsia="en-GB"/>
        </w:rPr>
        <w:t>Good Work Index</w:t>
      </w:r>
      <w:r w:rsidRPr="00320ED2">
        <w:rPr>
          <w:rFonts w:ascii="Arial" w:eastAsia="Times New Roman" w:hAnsi="Arial" w:cs="Arial"/>
          <w:sz w:val="24"/>
          <w:szCs w:val="24"/>
          <w:lang w:val="en-GB" w:eastAsia="en-GB"/>
        </w:rPr>
        <w:t xml:space="preserve">. London: CIPD. </w:t>
      </w:r>
      <w:hyperlink r:id="rId57" w:tgtFrame="_blank" w:history="1">
        <w:r w:rsidRPr="00320ED2">
          <w:rPr>
            <w:rFonts w:ascii="Arial" w:eastAsia="Times New Roman" w:hAnsi="Arial" w:cs="Arial"/>
            <w:color w:val="0000FF"/>
            <w:sz w:val="24"/>
            <w:szCs w:val="24"/>
            <w:u w:val="single"/>
            <w:lang w:val="en-GB" w:eastAsia="en-GB"/>
          </w:rPr>
          <w:t>CIPD</w:t>
        </w:r>
      </w:hyperlink>
      <w:r w:rsidRPr="00320ED2">
        <w:rPr>
          <w:rFonts w:ascii="Arial" w:eastAsia="Times New Roman" w:hAnsi="Arial" w:cs="Arial"/>
          <w:sz w:val="24"/>
          <w:szCs w:val="24"/>
          <w:lang w:val="en-GB" w:eastAsia="en-GB"/>
        </w:rPr>
        <w:t xml:space="preserve"> </w:t>
      </w:r>
    </w:p>
    <w:p w14:paraId="44B107FB"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Chartered Institute of Personnel and Development (2024) </w:t>
      </w:r>
      <w:r w:rsidRPr="00320ED2">
        <w:rPr>
          <w:rFonts w:ascii="Arial" w:eastAsia="Times New Roman" w:hAnsi="Arial" w:cs="Arial"/>
          <w:i/>
          <w:iCs/>
          <w:sz w:val="24"/>
          <w:szCs w:val="24"/>
          <w:lang w:val="en-GB" w:eastAsia="en-GB"/>
        </w:rPr>
        <w:t>Learning at Work</w:t>
      </w:r>
      <w:r w:rsidRPr="00320ED2">
        <w:rPr>
          <w:rFonts w:ascii="Arial" w:eastAsia="Times New Roman" w:hAnsi="Arial" w:cs="Arial"/>
          <w:sz w:val="24"/>
          <w:szCs w:val="24"/>
          <w:lang w:val="en-GB" w:eastAsia="en-GB"/>
        </w:rPr>
        <w:t xml:space="preserve">. </w:t>
      </w:r>
      <w:hyperlink r:id="rId58" w:tgtFrame="_blank" w:history="1">
        <w:r w:rsidRPr="00320ED2">
          <w:rPr>
            <w:rFonts w:ascii="Arial" w:eastAsia="Times New Roman" w:hAnsi="Arial" w:cs="Arial"/>
            <w:color w:val="0000FF"/>
            <w:sz w:val="24"/>
            <w:szCs w:val="24"/>
            <w:u w:val="single"/>
            <w:lang w:val="en-GB" w:eastAsia="en-GB"/>
          </w:rPr>
          <w:t>CIPD</w:t>
        </w:r>
      </w:hyperlink>
      <w:r w:rsidRPr="00320ED2">
        <w:rPr>
          <w:rFonts w:ascii="Arial" w:eastAsia="Times New Roman" w:hAnsi="Arial" w:cs="Arial"/>
          <w:sz w:val="24"/>
          <w:szCs w:val="24"/>
          <w:lang w:val="en-GB" w:eastAsia="en-GB"/>
        </w:rPr>
        <w:t xml:space="preserve"> </w:t>
      </w:r>
    </w:p>
    <w:p w14:paraId="568C10B5"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Chartered Institute of Personnel and Development (2025) </w:t>
      </w:r>
      <w:r w:rsidRPr="00320ED2">
        <w:rPr>
          <w:rFonts w:ascii="Arial" w:eastAsia="Times New Roman" w:hAnsi="Arial" w:cs="Arial"/>
          <w:i/>
          <w:iCs/>
          <w:sz w:val="24"/>
          <w:szCs w:val="24"/>
          <w:lang w:val="en-GB" w:eastAsia="en-GB"/>
        </w:rPr>
        <w:t>Resourcing and Talent Planning</w:t>
      </w:r>
      <w:r w:rsidRPr="00320ED2">
        <w:rPr>
          <w:rFonts w:ascii="Arial" w:eastAsia="Times New Roman" w:hAnsi="Arial" w:cs="Arial"/>
          <w:sz w:val="24"/>
          <w:szCs w:val="24"/>
          <w:lang w:val="en-GB" w:eastAsia="en-GB"/>
        </w:rPr>
        <w:t xml:space="preserve">. CIPD </w:t>
      </w:r>
    </w:p>
    <w:p w14:paraId="5669D881"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Health and Safety Executive (2024) </w:t>
      </w:r>
      <w:r w:rsidRPr="00320ED2">
        <w:rPr>
          <w:rFonts w:ascii="Arial" w:eastAsia="Times New Roman" w:hAnsi="Arial" w:cs="Arial"/>
          <w:i/>
          <w:iCs/>
          <w:sz w:val="24"/>
          <w:szCs w:val="24"/>
          <w:lang w:val="en-GB" w:eastAsia="en-GB"/>
        </w:rPr>
        <w:t>Managing for Health and Safety</w:t>
      </w:r>
      <w:r w:rsidRPr="00320ED2">
        <w:rPr>
          <w:rFonts w:ascii="Arial" w:eastAsia="Times New Roman" w:hAnsi="Arial" w:cs="Arial"/>
          <w:sz w:val="24"/>
          <w:szCs w:val="24"/>
          <w:lang w:val="en-GB" w:eastAsia="en-GB"/>
        </w:rPr>
        <w:t xml:space="preserve">. </w:t>
      </w:r>
      <w:hyperlink r:id="rId59" w:tgtFrame="_blank" w:history="1">
        <w:r w:rsidRPr="00320ED2">
          <w:rPr>
            <w:rFonts w:ascii="Arial" w:eastAsia="Times New Roman" w:hAnsi="Arial" w:cs="Arial"/>
            <w:color w:val="0000FF"/>
            <w:sz w:val="24"/>
            <w:szCs w:val="24"/>
            <w:u w:val="single"/>
            <w:lang w:val="en-GB" w:eastAsia="en-GB"/>
          </w:rPr>
          <w:t>HSE</w:t>
        </w:r>
      </w:hyperlink>
      <w:r w:rsidRPr="00320ED2">
        <w:rPr>
          <w:rFonts w:ascii="Arial" w:eastAsia="Times New Roman" w:hAnsi="Arial" w:cs="Arial"/>
          <w:sz w:val="24"/>
          <w:szCs w:val="24"/>
          <w:lang w:val="en-GB" w:eastAsia="en-GB"/>
        </w:rPr>
        <w:t xml:space="preserve"> </w:t>
      </w:r>
    </w:p>
    <w:p w14:paraId="35A3A428"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Health and Safety Executive (2025) </w:t>
      </w:r>
      <w:r w:rsidRPr="00320ED2">
        <w:rPr>
          <w:rFonts w:ascii="Arial" w:eastAsia="Times New Roman" w:hAnsi="Arial" w:cs="Arial"/>
          <w:i/>
          <w:iCs/>
          <w:sz w:val="24"/>
          <w:szCs w:val="24"/>
          <w:lang w:val="en-GB" w:eastAsia="en-GB"/>
        </w:rPr>
        <w:t>Risk Assessment</w:t>
      </w:r>
      <w:r w:rsidRPr="00320ED2">
        <w:rPr>
          <w:rFonts w:ascii="Arial" w:eastAsia="Times New Roman" w:hAnsi="Arial" w:cs="Arial"/>
          <w:sz w:val="24"/>
          <w:szCs w:val="24"/>
          <w:lang w:val="en-GB" w:eastAsia="en-GB"/>
        </w:rPr>
        <w:t xml:space="preserve">. </w:t>
      </w:r>
      <w:hyperlink r:id="rId60" w:tgtFrame="_blank" w:history="1">
        <w:r w:rsidRPr="00320ED2">
          <w:rPr>
            <w:rFonts w:ascii="Arial" w:eastAsia="Times New Roman" w:hAnsi="Arial" w:cs="Arial"/>
            <w:color w:val="0000FF"/>
            <w:sz w:val="24"/>
            <w:szCs w:val="24"/>
            <w:u w:val="single"/>
            <w:lang w:val="en-GB" w:eastAsia="en-GB"/>
          </w:rPr>
          <w:t>HSE</w:t>
        </w:r>
      </w:hyperlink>
      <w:r w:rsidRPr="00320ED2">
        <w:rPr>
          <w:rFonts w:ascii="Arial" w:eastAsia="Times New Roman" w:hAnsi="Arial" w:cs="Arial"/>
          <w:sz w:val="24"/>
          <w:szCs w:val="24"/>
          <w:lang w:val="en-GB" w:eastAsia="en-GB"/>
        </w:rPr>
        <w:t xml:space="preserve"> </w:t>
      </w:r>
    </w:p>
    <w:p w14:paraId="61DD5D75"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HM Revenue &amp; Customs (2025) </w:t>
      </w:r>
      <w:r w:rsidRPr="00320ED2">
        <w:rPr>
          <w:rFonts w:ascii="Arial" w:eastAsia="Times New Roman" w:hAnsi="Arial" w:cs="Arial"/>
          <w:i/>
          <w:iCs/>
          <w:sz w:val="24"/>
          <w:szCs w:val="24"/>
          <w:lang w:val="en-GB" w:eastAsia="en-GB"/>
        </w:rPr>
        <w:t>Starting Your Own Business</w:t>
      </w:r>
      <w:r w:rsidRPr="00320ED2">
        <w:rPr>
          <w:rFonts w:ascii="Arial" w:eastAsia="Times New Roman" w:hAnsi="Arial" w:cs="Arial"/>
          <w:sz w:val="24"/>
          <w:szCs w:val="24"/>
          <w:lang w:val="en-GB" w:eastAsia="en-GB"/>
        </w:rPr>
        <w:t xml:space="preserve">. </w:t>
      </w:r>
      <w:hyperlink r:id="rId61" w:tgtFrame="_blank" w:history="1">
        <w:r w:rsidRPr="00320ED2">
          <w:rPr>
            <w:rFonts w:ascii="Arial" w:eastAsia="Times New Roman" w:hAnsi="Arial" w:cs="Arial"/>
            <w:color w:val="0000FF"/>
            <w:sz w:val="24"/>
            <w:szCs w:val="24"/>
            <w:u w:val="single"/>
            <w:lang w:val="en-GB" w:eastAsia="en-GB"/>
          </w:rPr>
          <w:t>GOV.UK</w:t>
        </w:r>
      </w:hyperlink>
      <w:r w:rsidRPr="00320ED2">
        <w:rPr>
          <w:rFonts w:ascii="Arial" w:eastAsia="Times New Roman" w:hAnsi="Arial" w:cs="Arial"/>
          <w:sz w:val="24"/>
          <w:szCs w:val="24"/>
          <w:lang w:val="en-GB" w:eastAsia="en-GB"/>
        </w:rPr>
        <w:t xml:space="preserve"> </w:t>
      </w:r>
    </w:p>
    <w:p w14:paraId="045743EC"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HM Revenue &amp; Customs (2025) </w:t>
      </w:r>
      <w:r w:rsidRPr="00320ED2">
        <w:rPr>
          <w:rFonts w:ascii="Arial" w:eastAsia="Times New Roman" w:hAnsi="Arial" w:cs="Arial"/>
          <w:i/>
          <w:iCs/>
          <w:sz w:val="24"/>
          <w:szCs w:val="24"/>
          <w:lang w:val="en-GB" w:eastAsia="en-GB"/>
        </w:rPr>
        <w:t>Business Tax</w:t>
      </w:r>
      <w:r w:rsidRPr="00320ED2">
        <w:rPr>
          <w:rFonts w:ascii="Arial" w:eastAsia="Times New Roman" w:hAnsi="Arial" w:cs="Arial"/>
          <w:sz w:val="24"/>
          <w:szCs w:val="24"/>
          <w:lang w:val="en-GB" w:eastAsia="en-GB"/>
        </w:rPr>
        <w:t xml:space="preserve">. GOV.UK </w:t>
      </w:r>
    </w:p>
    <w:p w14:paraId="22D57639"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Information Commissioner's Office (2025) </w:t>
      </w:r>
      <w:r w:rsidRPr="00320ED2">
        <w:rPr>
          <w:rFonts w:ascii="Arial" w:eastAsia="Times New Roman" w:hAnsi="Arial" w:cs="Arial"/>
          <w:i/>
          <w:iCs/>
          <w:sz w:val="24"/>
          <w:szCs w:val="24"/>
          <w:lang w:val="en-GB" w:eastAsia="en-GB"/>
        </w:rPr>
        <w:t>Data Protection and Your Business</w:t>
      </w:r>
      <w:r w:rsidRPr="00320ED2">
        <w:rPr>
          <w:rFonts w:ascii="Arial" w:eastAsia="Times New Roman" w:hAnsi="Arial" w:cs="Arial"/>
          <w:sz w:val="24"/>
          <w:szCs w:val="24"/>
          <w:lang w:val="en-GB" w:eastAsia="en-GB"/>
        </w:rPr>
        <w:t xml:space="preserve">. </w:t>
      </w:r>
      <w:hyperlink r:id="rId62" w:tgtFrame="_blank" w:history="1">
        <w:r w:rsidRPr="00320ED2">
          <w:rPr>
            <w:rFonts w:ascii="Arial" w:eastAsia="Times New Roman" w:hAnsi="Arial" w:cs="Arial"/>
            <w:color w:val="0000FF"/>
            <w:sz w:val="24"/>
            <w:szCs w:val="24"/>
            <w:u w:val="single"/>
            <w:lang w:val="en-GB" w:eastAsia="en-GB"/>
          </w:rPr>
          <w:t>GOV.UK/ICO</w:t>
        </w:r>
      </w:hyperlink>
      <w:r w:rsidRPr="00320ED2">
        <w:rPr>
          <w:rFonts w:ascii="Arial" w:eastAsia="Times New Roman" w:hAnsi="Arial" w:cs="Arial"/>
          <w:sz w:val="24"/>
          <w:szCs w:val="24"/>
          <w:lang w:val="en-GB" w:eastAsia="en-GB"/>
        </w:rPr>
        <w:t xml:space="preserve"> </w:t>
      </w:r>
    </w:p>
    <w:p w14:paraId="7225391A"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Information Commissioner's Office (2022) </w:t>
      </w:r>
      <w:r w:rsidRPr="00320ED2">
        <w:rPr>
          <w:rFonts w:ascii="Arial" w:eastAsia="Times New Roman" w:hAnsi="Arial" w:cs="Arial"/>
          <w:i/>
          <w:iCs/>
          <w:sz w:val="24"/>
          <w:szCs w:val="24"/>
          <w:lang w:val="en-GB" w:eastAsia="en-GB"/>
        </w:rPr>
        <w:t>Data Subject Rights</w:t>
      </w:r>
      <w:r w:rsidRPr="00320ED2">
        <w:rPr>
          <w:rFonts w:ascii="Arial" w:eastAsia="Times New Roman" w:hAnsi="Arial" w:cs="Arial"/>
          <w:sz w:val="24"/>
          <w:szCs w:val="24"/>
          <w:lang w:val="en-GB" w:eastAsia="en-GB"/>
        </w:rPr>
        <w:t xml:space="preserve">. </w:t>
      </w:r>
      <w:hyperlink r:id="rId63" w:tgtFrame="_blank" w:history="1">
        <w:r w:rsidRPr="00320ED2">
          <w:rPr>
            <w:rFonts w:ascii="Arial" w:eastAsia="Times New Roman" w:hAnsi="Arial" w:cs="Arial"/>
            <w:color w:val="0000FF"/>
            <w:sz w:val="24"/>
            <w:szCs w:val="24"/>
            <w:u w:val="single"/>
            <w:lang w:val="en-GB" w:eastAsia="en-GB"/>
          </w:rPr>
          <w:t>GOV.UK</w:t>
        </w:r>
      </w:hyperlink>
      <w:r w:rsidRPr="00320ED2">
        <w:rPr>
          <w:rFonts w:ascii="Arial" w:eastAsia="Times New Roman" w:hAnsi="Arial" w:cs="Arial"/>
          <w:sz w:val="24"/>
          <w:szCs w:val="24"/>
          <w:lang w:val="en-GB" w:eastAsia="en-GB"/>
        </w:rPr>
        <w:t xml:space="preserve"> </w:t>
      </w:r>
    </w:p>
    <w:p w14:paraId="190C96D4"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Office for National Statistics (2025) </w:t>
      </w:r>
      <w:r w:rsidRPr="00320ED2">
        <w:rPr>
          <w:rFonts w:ascii="Arial" w:eastAsia="Times New Roman" w:hAnsi="Arial" w:cs="Arial"/>
          <w:i/>
          <w:iCs/>
          <w:sz w:val="24"/>
          <w:szCs w:val="24"/>
          <w:lang w:val="en-GB" w:eastAsia="en-GB"/>
        </w:rPr>
        <w:t>UK Business: Activity, Size and Location 2025</w:t>
      </w:r>
      <w:r w:rsidRPr="00320ED2">
        <w:rPr>
          <w:rFonts w:ascii="Arial" w:eastAsia="Times New Roman" w:hAnsi="Arial" w:cs="Arial"/>
          <w:sz w:val="24"/>
          <w:szCs w:val="24"/>
          <w:lang w:val="en-GB" w:eastAsia="en-GB"/>
        </w:rPr>
        <w:t xml:space="preserve">. </w:t>
      </w:r>
      <w:hyperlink r:id="rId64" w:tgtFrame="_blank" w:history="1">
        <w:r w:rsidRPr="00320ED2">
          <w:rPr>
            <w:rFonts w:ascii="Arial" w:eastAsia="Times New Roman" w:hAnsi="Arial" w:cs="Arial"/>
            <w:color w:val="0000FF"/>
            <w:sz w:val="24"/>
            <w:szCs w:val="24"/>
            <w:u w:val="single"/>
            <w:lang w:val="en-GB" w:eastAsia="en-GB"/>
          </w:rPr>
          <w:t>ONS</w:t>
        </w:r>
      </w:hyperlink>
      <w:r w:rsidRPr="00320ED2">
        <w:rPr>
          <w:rFonts w:ascii="Arial" w:eastAsia="Times New Roman" w:hAnsi="Arial" w:cs="Arial"/>
          <w:sz w:val="24"/>
          <w:szCs w:val="24"/>
          <w:lang w:val="en-GB" w:eastAsia="en-GB"/>
        </w:rPr>
        <w:t xml:space="preserve"> </w:t>
      </w:r>
    </w:p>
    <w:p w14:paraId="13030A93"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Office for National Statistics (2025) </w:t>
      </w:r>
      <w:r w:rsidRPr="00320ED2">
        <w:rPr>
          <w:rFonts w:ascii="Arial" w:eastAsia="Times New Roman" w:hAnsi="Arial" w:cs="Arial"/>
          <w:i/>
          <w:iCs/>
          <w:sz w:val="24"/>
          <w:szCs w:val="24"/>
          <w:lang w:val="en-GB" w:eastAsia="en-GB"/>
        </w:rPr>
        <w:t>Business Demography</w:t>
      </w:r>
      <w:r w:rsidRPr="00320ED2">
        <w:rPr>
          <w:rFonts w:ascii="Arial" w:eastAsia="Times New Roman" w:hAnsi="Arial" w:cs="Arial"/>
          <w:sz w:val="24"/>
          <w:szCs w:val="24"/>
          <w:lang w:val="en-GB" w:eastAsia="en-GB"/>
        </w:rPr>
        <w:t xml:space="preserve">. </w:t>
      </w:r>
      <w:hyperlink r:id="rId65" w:tgtFrame="_blank" w:history="1">
        <w:r w:rsidRPr="00320ED2">
          <w:rPr>
            <w:rFonts w:ascii="Arial" w:eastAsia="Times New Roman" w:hAnsi="Arial" w:cs="Arial"/>
            <w:color w:val="0000FF"/>
            <w:sz w:val="24"/>
            <w:szCs w:val="24"/>
            <w:u w:val="single"/>
            <w:lang w:val="en-GB" w:eastAsia="en-GB"/>
          </w:rPr>
          <w:t>ONS Business Demography</w:t>
        </w:r>
      </w:hyperlink>
      <w:r w:rsidRPr="00320ED2">
        <w:rPr>
          <w:rFonts w:ascii="Arial" w:eastAsia="Times New Roman" w:hAnsi="Arial" w:cs="Arial"/>
          <w:sz w:val="24"/>
          <w:szCs w:val="24"/>
          <w:lang w:val="en-GB" w:eastAsia="en-GB"/>
        </w:rPr>
        <w:t xml:space="preserve"> </w:t>
      </w:r>
    </w:p>
    <w:p w14:paraId="76B96EC8"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Office for National Statistics (2025) </w:t>
      </w:r>
      <w:r w:rsidRPr="00320ED2">
        <w:rPr>
          <w:rFonts w:ascii="Arial" w:eastAsia="Times New Roman" w:hAnsi="Arial" w:cs="Arial"/>
          <w:i/>
          <w:iCs/>
          <w:sz w:val="24"/>
          <w:szCs w:val="24"/>
          <w:lang w:val="en-GB" w:eastAsia="en-GB"/>
        </w:rPr>
        <w:t>Labour Market Overview, UK</w:t>
      </w:r>
      <w:r w:rsidRPr="00320ED2">
        <w:rPr>
          <w:rFonts w:ascii="Arial" w:eastAsia="Times New Roman" w:hAnsi="Arial" w:cs="Arial"/>
          <w:sz w:val="24"/>
          <w:szCs w:val="24"/>
          <w:lang w:val="en-GB" w:eastAsia="en-GB"/>
        </w:rPr>
        <w:t xml:space="preserve">. </w:t>
      </w:r>
      <w:hyperlink r:id="rId66" w:tgtFrame="_blank" w:history="1">
        <w:r w:rsidRPr="00320ED2">
          <w:rPr>
            <w:rFonts w:ascii="Arial" w:eastAsia="Times New Roman" w:hAnsi="Arial" w:cs="Arial"/>
            <w:color w:val="0000FF"/>
            <w:sz w:val="24"/>
            <w:szCs w:val="24"/>
            <w:u w:val="single"/>
            <w:lang w:val="en-GB" w:eastAsia="en-GB"/>
          </w:rPr>
          <w:t>ONS Labour Market</w:t>
        </w:r>
      </w:hyperlink>
      <w:r w:rsidRPr="00320ED2">
        <w:rPr>
          <w:rFonts w:ascii="Arial" w:eastAsia="Times New Roman" w:hAnsi="Arial" w:cs="Arial"/>
          <w:sz w:val="24"/>
          <w:szCs w:val="24"/>
          <w:lang w:val="en-GB" w:eastAsia="en-GB"/>
        </w:rPr>
        <w:t xml:space="preserve"> </w:t>
      </w:r>
    </w:p>
    <w:p w14:paraId="42DBF680"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Office for National Statistics (2025) </w:t>
      </w:r>
      <w:r w:rsidRPr="00320ED2">
        <w:rPr>
          <w:rFonts w:ascii="Arial" w:eastAsia="Times New Roman" w:hAnsi="Arial" w:cs="Arial"/>
          <w:i/>
          <w:iCs/>
          <w:sz w:val="24"/>
          <w:szCs w:val="24"/>
          <w:lang w:val="en-GB" w:eastAsia="en-GB"/>
        </w:rPr>
        <w:t>Consumer Price Inflation, UK</w:t>
      </w:r>
      <w:r w:rsidRPr="00320ED2">
        <w:rPr>
          <w:rFonts w:ascii="Arial" w:eastAsia="Times New Roman" w:hAnsi="Arial" w:cs="Arial"/>
          <w:sz w:val="24"/>
          <w:szCs w:val="24"/>
          <w:lang w:val="en-GB" w:eastAsia="en-GB"/>
        </w:rPr>
        <w:t xml:space="preserve">. </w:t>
      </w:r>
      <w:hyperlink r:id="rId67" w:tgtFrame="_blank" w:history="1">
        <w:r w:rsidRPr="00320ED2">
          <w:rPr>
            <w:rFonts w:ascii="Arial" w:eastAsia="Times New Roman" w:hAnsi="Arial" w:cs="Arial"/>
            <w:color w:val="0000FF"/>
            <w:sz w:val="24"/>
            <w:szCs w:val="24"/>
            <w:u w:val="single"/>
            <w:lang w:val="en-GB" w:eastAsia="en-GB"/>
          </w:rPr>
          <w:t>ONS CPI</w:t>
        </w:r>
      </w:hyperlink>
      <w:r w:rsidRPr="00320ED2">
        <w:rPr>
          <w:rFonts w:ascii="Arial" w:eastAsia="Times New Roman" w:hAnsi="Arial" w:cs="Arial"/>
          <w:sz w:val="24"/>
          <w:szCs w:val="24"/>
          <w:lang w:val="en-GB" w:eastAsia="en-GB"/>
        </w:rPr>
        <w:t xml:space="preserve"> </w:t>
      </w:r>
    </w:p>
    <w:p w14:paraId="0B8C727B"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Office for National Statistics (2025) </w:t>
      </w:r>
      <w:r w:rsidRPr="00320ED2">
        <w:rPr>
          <w:rFonts w:ascii="Arial" w:eastAsia="Times New Roman" w:hAnsi="Arial" w:cs="Arial"/>
          <w:i/>
          <w:iCs/>
          <w:sz w:val="24"/>
          <w:szCs w:val="24"/>
          <w:lang w:val="en-GB" w:eastAsia="en-GB"/>
        </w:rPr>
        <w:t>Retail Sales, Great Britain</w:t>
      </w:r>
      <w:r w:rsidRPr="00320ED2">
        <w:rPr>
          <w:rFonts w:ascii="Arial" w:eastAsia="Times New Roman" w:hAnsi="Arial" w:cs="Arial"/>
          <w:sz w:val="24"/>
          <w:szCs w:val="24"/>
          <w:lang w:val="en-GB" w:eastAsia="en-GB"/>
        </w:rPr>
        <w:t xml:space="preserve">. </w:t>
      </w:r>
      <w:hyperlink r:id="rId68" w:tgtFrame="_blank" w:history="1">
        <w:r w:rsidRPr="00320ED2">
          <w:rPr>
            <w:rFonts w:ascii="Arial" w:eastAsia="Times New Roman" w:hAnsi="Arial" w:cs="Arial"/>
            <w:color w:val="0000FF"/>
            <w:sz w:val="24"/>
            <w:szCs w:val="24"/>
            <w:u w:val="single"/>
            <w:lang w:val="en-GB" w:eastAsia="en-GB"/>
          </w:rPr>
          <w:t>ONS Retail Sales</w:t>
        </w:r>
      </w:hyperlink>
      <w:r w:rsidRPr="00320ED2">
        <w:rPr>
          <w:rFonts w:ascii="Arial" w:eastAsia="Times New Roman" w:hAnsi="Arial" w:cs="Arial"/>
          <w:sz w:val="24"/>
          <w:szCs w:val="24"/>
          <w:lang w:val="en-GB" w:eastAsia="en-GB"/>
        </w:rPr>
        <w:t xml:space="preserve"> </w:t>
      </w:r>
    </w:p>
    <w:p w14:paraId="26109454"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Office for National Statistics (2025) </w:t>
      </w:r>
      <w:r w:rsidRPr="00320ED2">
        <w:rPr>
          <w:rFonts w:ascii="Arial" w:eastAsia="Times New Roman" w:hAnsi="Arial" w:cs="Arial"/>
          <w:i/>
          <w:iCs/>
          <w:sz w:val="24"/>
          <w:szCs w:val="24"/>
          <w:lang w:val="en-GB" w:eastAsia="en-GB"/>
        </w:rPr>
        <w:t>Family Spending</w:t>
      </w:r>
      <w:r w:rsidRPr="00320ED2">
        <w:rPr>
          <w:rFonts w:ascii="Arial" w:eastAsia="Times New Roman" w:hAnsi="Arial" w:cs="Arial"/>
          <w:sz w:val="24"/>
          <w:szCs w:val="24"/>
          <w:lang w:val="en-GB" w:eastAsia="en-GB"/>
        </w:rPr>
        <w:t xml:space="preserve">. </w:t>
      </w:r>
      <w:hyperlink r:id="rId69" w:tgtFrame="_blank" w:history="1">
        <w:r w:rsidRPr="00320ED2">
          <w:rPr>
            <w:rFonts w:ascii="Arial" w:eastAsia="Times New Roman" w:hAnsi="Arial" w:cs="Arial"/>
            <w:color w:val="0000FF"/>
            <w:sz w:val="24"/>
            <w:szCs w:val="24"/>
            <w:u w:val="single"/>
            <w:lang w:val="en-GB" w:eastAsia="en-GB"/>
          </w:rPr>
          <w:t>ONS</w:t>
        </w:r>
      </w:hyperlink>
      <w:r w:rsidRPr="00320ED2">
        <w:rPr>
          <w:rFonts w:ascii="Arial" w:eastAsia="Times New Roman" w:hAnsi="Arial" w:cs="Arial"/>
          <w:sz w:val="24"/>
          <w:szCs w:val="24"/>
          <w:lang w:val="en-GB" w:eastAsia="en-GB"/>
        </w:rPr>
        <w:t xml:space="preserve"> </w:t>
      </w:r>
    </w:p>
    <w:p w14:paraId="65172478"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Department for Business and Trade (2025) </w:t>
      </w:r>
      <w:r w:rsidRPr="00320ED2">
        <w:rPr>
          <w:rFonts w:ascii="Arial" w:eastAsia="Times New Roman" w:hAnsi="Arial" w:cs="Arial"/>
          <w:i/>
          <w:iCs/>
          <w:sz w:val="24"/>
          <w:szCs w:val="24"/>
          <w:lang w:val="en-GB" w:eastAsia="en-GB"/>
        </w:rPr>
        <w:t>Consumer Rights Act Guidance</w:t>
      </w:r>
      <w:r w:rsidRPr="00320ED2">
        <w:rPr>
          <w:rFonts w:ascii="Arial" w:eastAsia="Times New Roman" w:hAnsi="Arial" w:cs="Arial"/>
          <w:sz w:val="24"/>
          <w:szCs w:val="24"/>
          <w:lang w:val="en-GB" w:eastAsia="en-GB"/>
        </w:rPr>
        <w:t xml:space="preserve">. </w:t>
      </w:r>
      <w:hyperlink r:id="rId70" w:tgtFrame="_blank" w:history="1">
        <w:r w:rsidRPr="00320ED2">
          <w:rPr>
            <w:rFonts w:ascii="Arial" w:eastAsia="Times New Roman" w:hAnsi="Arial" w:cs="Arial"/>
            <w:color w:val="0000FF"/>
            <w:sz w:val="24"/>
            <w:szCs w:val="24"/>
            <w:u w:val="single"/>
            <w:lang w:val="en-GB" w:eastAsia="en-GB"/>
          </w:rPr>
          <w:t>GOV.UK</w:t>
        </w:r>
      </w:hyperlink>
      <w:r w:rsidRPr="00320ED2">
        <w:rPr>
          <w:rFonts w:ascii="Arial" w:eastAsia="Times New Roman" w:hAnsi="Arial" w:cs="Arial"/>
          <w:sz w:val="24"/>
          <w:szCs w:val="24"/>
          <w:lang w:val="en-GB" w:eastAsia="en-GB"/>
        </w:rPr>
        <w:t xml:space="preserve"> </w:t>
      </w:r>
    </w:p>
    <w:p w14:paraId="43DEF426"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Department for Business and Trade (2025) </w:t>
      </w:r>
      <w:r w:rsidRPr="00320ED2">
        <w:rPr>
          <w:rFonts w:ascii="Arial" w:eastAsia="Times New Roman" w:hAnsi="Arial" w:cs="Arial"/>
          <w:i/>
          <w:iCs/>
          <w:sz w:val="24"/>
          <w:szCs w:val="24"/>
          <w:lang w:val="en-GB" w:eastAsia="en-GB"/>
        </w:rPr>
        <w:t>Consumer Protection Guidance for Businesses</w:t>
      </w:r>
      <w:r w:rsidRPr="00320ED2">
        <w:rPr>
          <w:rFonts w:ascii="Arial" w:eastAsia="Times New Roman" w:hAnsi="Arial" w:cs="Arial"/>
          <w:sz w:val="24"/>
          <w:szCs w:val="24"/>
          <w:lang w:val="en-GB" w:eastAsia="en-GB"/>
        </w:rPr>
        <w:t xml:space="preserve">. GOV.UK </w:t>
      </w:r>
    </w:p>
    <w:p w14:paraId="5B492680"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GOV.UK (2025) </w:t>
      </w:r>
      <w:r w:rsidRPr="00320ED2">
        <w:rPr>
          <w:rFonts w:ascii="Arial" w:eastAsia="Times New Roman" w:hAnsi="Arial" w:cs="Arial"/>
          <w:i/>
          <w:iCs/>
          <w:sz w:val="24"/>
          <w:szCs w:val="24"/>
          <w:lang w:val="en-GB" w:eastAsia="en-GB"/>
        </w:rPr>
        <w:t>Marketing and Advertising: The Law</w:t>
      </w:r>
      <w:r w:rsidRPr="00320ED2">
        <w:rPr>
          <w:rFonts w:ascii="Arial" w:eastAsia="Times New Roman" w:hAnsi="Arial" w:cs="Arial"/>
          <w:sz w:val="24"/>
          <w:szCs w:val="24"/>
          <w:lang w:val="en-GB" w:eastAsia="en-GB"/>
        </w:rPr>
        <w:t xml:space="preserve">. </w:t>
      </w:r>
      <w:hyperlink r:id="rId71" w:tgtFrame="_blank" w:history="1">
        <w:r w:rsidRPr="00320ED2">
          <w:rPr>
            <w:rFonts w:ascii="Arial" w:eastAsia="Times New Roman" w:hAnsi="Arial" w:cs="Arial"/>
            <w:color w:val="0000FF"/>
            <w:sz w:val="24"/>
            <w:szCs w:val="24"/>
            <w:u w:val="single"/>
            <w:lang w:val="en-GB" w:eastAsia="en-GB"/>
          </w:rPr>
          <w:t>GOV.UK</w:t>
        </w:r>
      </w:hyperlink>
      <w:r w:rsidRPr="00320ED2">
        <w:rPr>
          <w:rFonts w:ascii="Arial" w:eastAsia="Times New Roman" w:hAnsi="Arial" w:cs="Arial"/>
          <w:sz w:val="24"/>
          <w:szCs w:val="24"/>
          <w:lang w:val="en-GB" w:eastAsia="en-GB"/>
        </w:rPr>
        <w:t xml:space="preserve"> </w:t>
      </w:r>
    </w:p>
    <w:p w14:paraId="2056EE65"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GOV.UK (2025) </w:t>
      </w:r>
      <w:r w:rsidRPr="00320ED2">
        <w:rPr>
          <w:rFonts w:ascii="Arial" w:eastAsia="Times New Roman" w:hAnsi="Arial" w:cs="Arial"/>
          <w:i/>
          <w:iCs/>
          <w:sz w:val="24"/>
          <w:szCs w:val="24"/>
          <w:lang w:val="en-GB" w:eastAsia="en-GB"/>
        </w:rPr>
        <w:t>Running a Business</w:t>
      </w:r>
      <w:r w:rsidRPr="00320ED2">
        <w:rPr>
          <w:rFonts w:ascii="Arial" w:eastAsia="Times New Roman" w:hAnsi="Arial" w:cs="Arial"/>
          <w:sz w:val="24"/>
          <w:szCs w:val="24"/>
          <w:lang w:val="en-GB" w:eastAsia="en-GB"/>
        </w:rPr>
        <w:t xml:space="preserve">. </w:t>
      </w:r>
      <w:hyperlink r:id="rId72" w:tgtFrame="_blank" w:history="1">
        <w:r w:rsidRPr="00320ED2">
          <w:rPr>
            <w:rFonts w:ascii="Arial" w:eastAsia="Times New Roman" w:hAnsi="Arial" w:cs="Arial"/>
            <w:color w:val="0000FF"/>
            <w:sz w:val="24"/>
            <w:szCs w:val="24"/>
            <w:u w:val="single"/>
            <w:lang w:val="en-GB" w:eastAsia="en-GB"/>
          </w:rPr>
          <w:t>GOV.UK Business Guidance</w:t>
        </w:r>
      </w:hyperlink>
      <w:r w:rsidRPr="00320ED2">
        <w:rPr>
          <w:rFonts w:ascii="Arial" w:eastAsia="Times New Roman" w:hAnsi="Arial" w:cs="Arial"/>
          <w:sz w:val="24"/>
          <w:szCs w:val="24"/>
          <w:lang w:val="en-GB" w:eastAsia="en-GB"/>
        </w:rPr>
        <w:t xml:space="preserve"> </w:t>
      </w:r>
    </w:p>
    <w:p w14:paraId="42044FC4"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GOV.UK (2025) </w:t>
      </w:r>
      <w:r w:rsidRPr="00320ED2">
        <w:rPr>
          <w:rFonts w:ascii="Arial" w:eastAsia="Times New Roman" w:hAnsi="Arial" w:cs="Arial"/>
          <w:i/>
          <w:iCs/>
          <w:sz w:val="24"/>
          <w:szCs w:val="24"/>
          <w:lang w:val="en-GB" w:eastAsia="en-GB"/>
        </w:rPr>
        <w:t>Food, Hospitality and Retail</w:t>
      </w:r>
      <w:r w:rsidRPr="00320ED2">
        <w:rPr>
          <w:rFonts w:ascii="Arial" w:eastAsia="Times New Roman" w:hAnsi="Arial" w:cs="Arial"/>
          <w:sz w:val="24"/>
          <w:szCs w:val="24"/>
          <w:lang w:val="en-GB" w:eastAsia="en-GB"/>
        </w:rPr>
        <w:t xml:space="preserve">. </w:t>
      </w:r>
      <w:hyperlink r:id="rId73" w:tgtFrame="_blank" w:history="1">
        <w:r w:rsidRPr="00320ED2">
          <w:rPr>
            <w:rFonts w:ascii="Arial" w:eastAsia="Times New Roman" w:hAnsi="Arial" w:cs="Arial"/>
            <w:color w:val="0000FF"/>
            <w:sz w:val="24"/>
            <w:szCs w:val="24"/>
            <w:u w:val="single"/>
            <w:lang w:val="en-GB" w:eastAsia="en-GB"/>
          </w:rPr>
          <w:t>GOV.UK</w:t>
        </w:r>
      </w:hyperlink>
      <w:r w:rsidRPr="00320ED2">
        <w:rPr>
          <w:rFonts w:ascii="Arial" w:eastAsia="Times New Roman" w:hAnsi="Arial" w:cs="Arial"/>
          <w:sz w:val="24"/>
          <w:szCs w:val="24"/>
          <w:lang w:val="en-GB" w:eastAsia="en-GB"/>
        </w:rPr>
        <w:t xml:space="preserve"> </w:t>
      </w:r>
    </w:p>
    <w:p w14:paraId="3A74D916"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Companies House (2025) </w:t>
      </w:r>
      <w:r w:rsidRPr="00320ED2">
        <w:rPr>
          <w:rFonts w:ascii="Arial" w:eastAsia="Times New Roman" w:hAnsi="Arial" w:cs="Arial"/>
          <w:i/>
          <w:iCs/>
          <w:sz w:val="24"/>
          <w:szCs w:val="24"/>
          <w:lang w:val="en-GB" w:eastAsia="en-GB"/>
        </w:rPr>
        <w:t>Incorporation and Registration</w:t>
      </w:r>
      <w:r w:rsidRPr="00320ED2">
        <w:rPr>
          <w:rFonts w:ascii="Arial" w:eastAsia="Times New Roman" w:hAnsi="Arial" w:cs="Arial"/>
          <w:sz w:val="24"/>
          <w:szCs w:val="24"/>
          <w:lang w:val="en-GB" w:eastAsia="en-GB"/>
        </w:rPr>
        <w:t xml:space="preserve">. </w:t>
      </w:r>
      <w:hyperlink r:id="rId74" w:tgtFrame="_blank" w:history="1">
        <w:r w:rsidRPr="00320ED2">
          <w:rPr>
            <w:rFonts w:ascii="Arial" w:eastAsia="Times New Roman" w:hAnsi="Arial" w:cs="Arial"/>
            <w:color w:val="0000FF"/>
            <w:sz w:val="24"/>
            <w:szCs w:val="24"/>
            <w:u w:val="single"/>
            <w:lang w:val="en-GB" w:eastAsia="en-GB"/>
          </w:rPr>
          <w:t>Companies House</w:t>
        </w:r>
      </w:hyperlink>
      <w:r w:rsidRPr="00320ED2">
        <w:rPr>
          <w:rFonts w:ascii="Arial" w:eastAsia="Times New Roman" w:hAnsi="Arial" w:cs="Arial"/>
          <w:sz w:val="24"/>
          <w:szCs w:val="24"/>
          <w:lang w:val="en-GB" w:eastAsia="en-GB"/>
        </w:rPr>
        <w:t xml:space="preserve"> </w:t>
      </w:r>
    </w:p>
    <w:p w14:paraId="2FB8F464"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UK Government (2025) </w:t>
      </w:r>
      <w:r w:rsidRPr="00320ED2">
        <w:rPr>
          <w:rFonts w:ascii="Arial" w:eastAsia="Times New Roman" w:hAnsi="Arial" w:cs="Arial"/>
          <w:i/>
          <w:iCs/>
          <w:sz w:val="24"/>
          <w:szCs w:val="24"/>
          <w:lang w:val="en-GB" w:eastAsia="en-GB"/>
        </w:rPr>
        <w:t>Employment Rights</w:t>
      </w:r>
      <w:r w:rsidRPr="00320ED2">
        <w:rPr>
          <w:rFonts w:ascii="Arial" w:eastAsia="Times New Roman" w:hAnsi="Arial" w:cs="Arial"/>
          <w:sz w:val="24"/>
          <w:szCs w:val="24"/>
          <w:lang w:val="en-GB" w:eastAsia="en-GB"/>
        </w:rPr>
        <w:t xml:space="preserve">. </w:t>
      </w:r>
      <w:hyperlink r:id="rId75" w:tgtFrame="_blank" w:history="1">
        <w:r w:rsidRPr="00320ED2">
          <w:rPr>
            <w:rFonts w:ascii="Arial" w:eastAsia="Times New Roman" w:hAnsi="Arial" w:cs="Arial"/>
            <w:color w:val="0000FF"/>
            <w:sz w:val="24"/>
            <w:szCs w:val="24"/>
            <w:u w:val="single"/>
            <w:lang w:val="en-GB" w:eastAsia="en-GB"/>
          </w:rPr>
          <w:t>GOV.UK Employment Rights</w:t>
        </w:r>
      </w:hyperlink>
      <w:r w:rsidRPr="00320ED2">
        <w:rPr>
          <w:rFonts w:ascii="Arial" w:eastAsia="Times New Roman" w:hAnsi="Arial" w:cs="Arial"/>
          <w:sz w:val="24"/>
          <w:szCs w:val="24"/>
          <w:lang w:val="en-GB" w:eastAsia="en-GB"/>
        </w:rPr>
        <w:t xml:space="preserve"> </w:t>
      </w:r>
    </w:p>
    <w:p w14:paraId="65845A2C"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UK Government (2025) </w:t>
      </w:r>
      <w:r w:rsidRPr="00320ED2">
        <w:rPr>
          <w:rFonts w:ascii="Arial" w:eastAsia="Times New Roman" w:hAnsi="Arial" w:cs="Arial"/>
          <w:i/>
          <w:iCs/>
          <w:sz w:val="24"/>
          <w:szCs w:val="24"/>
          <w:lang w:val="en-GB" w:eastAsia="en-GB"/>
        </w:rPr>
        <w:t>Working Time Regulations</w:t>
      </w:r>
      <w:r w:rsidRPr="00320ED2">
        <w:rPr>
          <w:rFonts w:ascii="Arial" w:eastAsia="Times New Roman" w:hAnsi="Arial" w:cs="Arial"/>
          <w:sz w:val="24"/>
          <w:szCs w:val="24"/>
          <w:lang w:val="en-GB" w:eastAsia="en-GB"/>
        </w:rPr>
        <w:t xml:space="preserve">. </w:t>
      </w:r>
      <w:hyperlink r:id="rId76" w:tgtFrame="_blank" w:history="1">
        <w:r w:rsidRPr="00320ED2">
          <w:rPr>
            <w:rFonts w:ascii="Arial" w:eastAsia="Times New Roman" w:hAnsi="Arial" w:cs="Arial"/>
            <w:color w:val="0000FF"/>
            <w:sz w:val="24"/>
            <w:szCs w:val="24"/>
            <w:u w:val="single"/>
            <w:lang w:val="en-GB" w:eastAsia="en-GB"/>
          </w:rPr>
          <w:t>GOV.UK</w:t>
        </w:r>
      </w:hyperlink>
      <w:r w:rsidRPr="00320ED2">
        <w:rPr>
          <w:rFonts w:ascii="Arial" w:eastAsia="Times New Roman" w:hAnsi="Arial" w:cs="Arial"/>
          <w:sz w:val="24"/>
          <w:szCs w:val="24"/>
          <w:lang w:val="en-GB" w:eastAsia="en-GB"/>
        </w:rPr>
        <w:t xml:space="preserve"> </w:t>
      </w:r>
    </w:p>
    <w:p w14:paraId="21842C84"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UK Government (2025) </w:t>
      </w:r>
      <w:r w:rsidRPr="00320ED2">
        <w:rPr>
          <w:rFonts w:ascii="Arial" w:eastAsia="Times New Roman" w:hAnsi="Arial" w:cs="Arial"/>
          <w:i/>
          <w:iCs/>
          <w:sz w:val="24"/>
          <w:szCs w:val="24"/>
          <w:lang w:val="en-GB" w:eastAsia="en-GB"/>
        </w:rPr>
        <w:t>Holiday Entitlement and Pay</w:t>
      </w:r>
      <w:r w:rsidRPr="00320ED2">
        <w:rPr>
          <w:rFonts w:ascii="Arial" w:eastAsia="Times New Roman" w:hAnsi="Arial" w:cs="Arial"/>
          <w:sz w:val="24"/>
          <w:szCs w:val="24"/>
          <w:lang w:val="en-GB" w:eastAsia="en-GB"/>
        </w:rPr>
        <w:t xml:space="preserve">. </w:t>
      </w:r>
      <w:hyperlink r:id="rId77" w:tgtFrame="_blank" w:history="1">
        <w:r w:rsidRPr="00320ED2">
          <w:rPr>
            <w:rFonts w:ascii="Arial" w:eastAsia="Times New Roman" w:hAnsi="Arial" w:cs="Arial"/>
            <w:color w:val="0000FF"/>
            <w:sz w:val="24"/>
            <w:szCs w:val="24"/>
            <w:u w:val="single"/>
            <w:lang w:val="en-GB" w:eastAsia="en-GB"/>
          </w:rPr>
          <w:t>GOV.UK</w:t>
        </w:r>
      </w:hyperlink>
      <w:r w:rsidRPr="00320ED2">
        <w:rPr>
          <w:rFonts w:ascii="Arial" w:eastAsia="Times New Roman" w:hAnsi="Arial" w:cs="Arial"/>
          <w:sz w:val="24"/>
          <w:szCs w:val="24"/>
          <w:lang w:val="en-GB" w:eastAsia="en-GB"/>
        </w:rPr>
        <w:t xml:space="preserve"> </w:t>
      </w:r>
    </w:p>
    <w:p w14:paraId="66AC9852"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lastRenderedPageBreak/>
        <w:t xml:space="preserve">UK Government (2025) </w:t>
      </w:r>
      <w:r w:rsidRPr="00320ED2">
        <w:rPr>
          <w:rFonts w:ascii="Arial" w:eastAsia="Times New Roman" w:hAnsi="Arial" w:cs="Arial"/>
          <w:i/>
          <w:iCs/>
          <w:sz w:val="24"/>
          <w:szCs w:val="24"/>
          <w:lang w:val="en-GB" w:eastAsia="en-GB"/>
        </w:rPr>
        <w:t>Statutory Sick Pay</w:t>
      </w:r>
      <w:r w:rsidRPr="00320ED2">
        <w:rPr>
          <w:rFonts w:ascii="Arial" w:eastAsia="Times New Roman" w:hAnsi="Arial" w:cs="Arial"/>
          <w:sz w:val="24"/>
          <w:szCs w:val="24"/>
          <w:lang w:val="en-GB" w:eastAsia="en-GB"/>
        </w:rPr>
        <w:t xml:space="preserve">. </w:t>
      </w:r>
      <w:hyperlink r:id="rId78" w:tgtFrame="_blank" w:history="1">
        <w:r w:rsidRPr="00320ED2">
          <w:rPr>
            <w:rFonts w:ascii="Arial" w:eastAsia="Times New Roman" w:hAnsi="Arial" w:cs="Arial"/>
            <w:color w:val="0000FF"/>
            <w:sz w:val="24"/>
            <w:szCs w:val="24"/>
            <w:u w:val="single"/>
            <w:lang w:val="en-GB" w:eastAsia="en-GB"/>
          </w:rPr>
          <w:t>GOV.UK</w:t>
        </w:r>
      </w:hyperlink>
      <w:r w:rsidRPr="00320ED2">
        <w:rPr>
          <w:rFonts w:ascii="Arial" w:eastAsia="Times New Roman" w:hAnsi="Arial" w:cs="Arial"/>
          <w:sz w:val="24"/>
          <w:szCs w:val="24"/>
          <w:lang w:val="en-GB" w:eastAsia="en-GB"/>
        </w:rPr>
        <w:t xml:space="preserve"> </w:t>
      </w:r>
    </w:p>
    <w:p w14:paraId="065C6FDD"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UK Government (2025) </w:t>
      </w:r>
      <w:r w:rsidRPr="00320ED2">
        <w:rPr>
          <w:rFonts w:ascii="Arial" w:eastAsia="Times New Roman" w:hAnsi="Arial" w:cs="Arial"/>
          <w:i/>
          <w:iCs/>
          <w:sz w:val="24"/>
          <w:szCs w:val="24"/>
          <w:lang w:val="en-GB" w:eastAsia="en-GB"/>
        </w:rPr>
        <w:t>Employers’ Liability Insurance</w:t>
      </w:r>
      <w:r w:rsidRPr="00320ED2">
        <w:rPr>
          <w:rFonts w:ascii="Arial" w:eastAsia="Times New Roman" w:hAnsi="Arial" w:cs="Arial"/>
          <w:sz w:val="24"/>
          <w:szCs w:val="24"/>
          <w:lang w:val="en-GB" w:eastAsia="en-GB"/>
        </w:rPr>
        <w:t xml:space="preserve">. </w:t>
      </w:r>
      <w:hyperlink r:id="rId79" w:tgtFrame="_blank" w:history="1">
        <w:r w:rsidRPr="00320ED2">
          <w:rPr>
            <w:rFonts w:ascii="Arial" w:eastAsia="Times New Roman" w:hAnsi="Arial" w:cs="Arial"/>
            <w:color w:val="0000FF"/>
            <w:sz w:val="24"/>
            <w:szCs w:val="24"/>
            <w:u w:val="single"/>
            <w:lang w:val="en-GB" w:eastAsia="en-GB"/>
          </w:rPr>
          <w:t>GOV.UK</w:t>
        </w:r>
      </w:hyperlink>
      <w:r w:rsidRPr="00320ED2">
        <w:rPr>
          <w:rFonts w:ascii="Arial" w:eastAsia="Times New Roman" w:hAnsi="Arial" w:cs="Arial"/>
          <w:sz w:val="24"/>
          <w:szCs w:val="24"/>
          <w:lang w:val="en-GB" w:eastAsia="en-GB"/>
        </w:rPr>
        <w:t xml:space="preserve"> </w:t>
      </w:r>
    </w:p>
    <w:p w14:paraId="233C1E3F"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UK Government (2025) </w:t>
      </w:r>
      <w:r w:rsidRPr="00320ED2">
        <w:rPr>
          <w:rFonts w:ascii="Arial" w:eastAsia="Times New Roman" w:hAnsi="Arial" w:cs="Arial"/>
          <w:i/>
          <w:iCs/>
          <w:sz w:val="24"/>
          <w:szCs w:val="24"/>
          <w:lang w:val="en-GB" w:eastAsia="en-GB"/>
        </w:rPr>
        <w:t>Fire Safety in the Workplace</w:t>
      </w:r>
      <w:r w:rsidRPr="00320ED2">
        <w:rPr>
          <w:rFonts w:ascii="Arial" w:eastAsia="Times New Roman" w:hAnsi="Arial" w:cs="Arial"/>
          <w:sz w:val="24"/>
          <w:szCs w:val="24"/>
          <w:lang w:val="en-GB" w:eastAsia="en-GB"/>
        </w:rPr>
        <w:t xml:space="preserve">. </w:t>
      </w:r>
      <w:hyperlink r:id="rId80" w:tgtFrame="_blank" w:history="1">
        <w:r w:rsidRPr="00320ED2">
          <w:rPr>
            <w:rFonts w:ascii="Arial" w:eastAsia="Times New Roman" w:hAnsi="Arial" w:cs="Arial"/>
            <w:color w:val="0000FF"/>
            <w:sz w:val="24"/>
            <w:szCs w:val="24"/>
            <w:u w:val="single"/>
            <w:lang w:val="en-GB" w:eastAsia="en-GB"/>
          </w:rPr>
          <w:t>GOV.UK</w:t>
        </w:r>
      </w:hyperlink>
      <w:r w:rsidRPr="00320ED2">
        <w:rPr>
          <w:rFonts w:ascii="Arial" w:eastAsia="Times New Roman" w:hAnsi="Arial" w:cs="Arial"/>
          <w:sz w:val="24"/>
          <w:szCs w:val="24"/>
          <w:lang w:val="en-GB" w:eastAsia="en-GB"/>
        </w:rPr>
        <w:t xml:space="preserve"> </w:t>
      </w:r>
    </w:p>
    <w:p w14:paraId="546109C3"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UK Government (2025) </w:t>
      </w:r>
      <w:r w:rsidRPr="00320ED2">
        <w:rPr>
          <w:rFonts w:ascii="Arial" w:eastAsia="Times New Roman" w:hAnsi="Arial" w:cs="Arial"/>
          <w:i/>
          <w:iCs/>
          <w:sz w:val="24"/>
          <w:szCs w:val="24"/>
          <w:lang w:val="en-GB" w:eastAsia="en-GB"/>
        </w:rPr>
        <w:t>Health and Safety at Work</w:t>
      </w:r>
      <w:r w:rsidRPr="00320ED2">
        <w:rPr>
          <w:rFonts w:ascii="Arial" w:eastAsia="Times New Roman" w:hAnsi="Arial" w:cs="Arial"/>
          <w:sz w:val="24"/>
          <w:szCs w:val="24"/>
          <w:lang w:val="en-GB" w:eastAsia="en-GB"/>
        </w:rPr>
        <w:t xml:space="preserve">. GOV.UK </w:t>
      </w:r>
    </w:p>
    <w:p w14:paraId="29C0647E"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UK Government (2025) </w:t>
      </w:r>
      <w:r w:rsidRPr="00320ED2">
        <w:rPr>
          <w:rFonts w:ascii="Arial" w:eastAsia="Times New Roman" w:hAnsi="Arial" w:cs="Arial"/>
          <w:i/>
          <w:iCs/>
          <w:sz w:val="24"/>
          <w:szCs w:val="24"/>
          <w:lang w:val="en-GB" w:eastAsia="en-GB"/>
        </w:rPr>
        <w:t>Business Rates</w:t>
      </w:r>
      <w:r w:rsidRPr="00320ED2">
        <w:rPr>
          <w:rFonts w:ascii="Arial" w:eastAsia="Times New Roman" w:hAnsi="Arial" w:cs="Arial"/>
          <w:sz w:val="24"/>
          <w:szCs w:val="24"/>
          <w:lang w:val="en-GB" w:eastAsia="en-GB"/>
        </w:rPr>
        <w:t xml:space="preserve">. </w:t>
      </w:r>
      <w:hyperlink r:id="rId81" w:tgtFrame="_blank" w:history="1">
        <w:r w:rsidRPr="00320ED2">
          <w:rPr>
            <w:rFonts w:ascii="Arial" w:eastAsia="Times New Roman" w:hAnsi="Arial" w:cs="Arial"/>
            <w:color w:val="0000FF"/>
            <w:sz w:val="24"/>
            <w:szCs w:val="24"/>
            <w:u w:val="single"/>
            <w:lang w:val="en-GB" w:eastAsia="en-GB"/>
          </w:rPr>
          <w:t>GOV.UK</w:t>
        </w:r>
      </w:hyperlink>
      <w:r w:rsidRPr="00320ED2">
        <w:rPr>
          <w:rFonts w:ascii="Arial" w:eastAsia="Times New Roman" w:hAnsi="Arial" w:cs="Arial"/>
          <w:sz w:val="24"/>
          <w:szCs w:val="24"/>
          <w:lang w:val="en-GB" w:eastAsia="en-GB"/>
        </w:rPr>
        <w:t xml:space="preserve"> </w:t>
      </w:r>
    </w:p>
    <w:p w14:paraId="54DC09C4"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British Standards Institution (2024) </w:t>
      </w:r>
      <w:r w:rsidRPr="00320ED2">
        <w:rPr>
          <w:rFonts w:ascii="Arial" w:eastAsia="Times New Roman" w:hAnsi="Arial" w:cs="Arial"/>
          <w:i/>
          <w:iCs/>
          <w:sz w:val="24"/>
          <w:szCs w:val="24"/>
          <w:lang w:val="en-GB" w:eastAsia="en-GB"/>
        </w:rPr>
        <w:t>Quality Management Systems – ISO 9001</w:t>
      </w:r>
      <w:r w:rsidRPr="00320ED2">
        <w:rPr>
          <w:rFonts w:ascii="Arial" w:eastAsia="Times New Roman" w:hAnsi="Arial" w:cs="Arial"/>
          <w:sz w:val="24"/>
          <w:szCs w:val="24"/>
          <w:lang w:val="en-GB" w:eastAsia="en-GB"/>
        </w:rPr>
        <w:t xml:space="preserve">. BSI </w:t>
      </w:r>
    </w:p>
    <w:p w14:paraId="186F95CC"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International Organization for Standardization (2015) </w:t>
      </w:r>
      <w:r w:rsidRPr="00320ED2">
        <w:rPr>
          <w:rFonts w:ascii="Arial" w:eastAsia="Times New Roman" w:hAnsi="Arial" w:cs="Arial"/>
          <w:i/>
          <w:iCs/>
          <w:sz w:val="24"/>
          <w:szCs w:val="24"/>
          <w:lang w:val="en-GB" w:eastAsia="en-GB"/>
        </w:rPr>
        <w:t>ISO 9001:2015 Quality Management Systems</w:t>
      </w:r>
      <w:r w:rsidRPr="00320ED2">
        <w:rPr>
          <w:rFonts w:ascii="Arial" w:eastAsia="Times New Roman" w:hAnsi="Arial" w:cs="Arial"/>
          <w:sz w:val="24"/>
          <w:szCs w:val="24"/>
          <w:lang w:val="en-GB" w:eastAsia="en-GB"/>
        </w:rPr>
        <w:t xml:space="preserve">. </w:t>
      </w:r>
      <w:hyperlink r:id="rId82" w:tgtFrame="_blank" w:history="1">
        <w:r w:rsidRPr="00320ED2">
          <w:rPr>
            <w:rFonts w:ascii="Arial" w:eastAsia="Times New Roman" w:hAnsi="Arial" w:cs="Arial"/>
            <w:color w:val="0000FF"/>
            <w:sz w:val="24"/>
            <w:szCs w:val="24"/>
            <w:u w:val="single"/>
            <w:lang w:val="en-GB" w:eastAsia="en-GB"/>
          </w:rPr>
          <w:t>ISO</w:t>
        </w:r>
      </w:hyperlink>
      <w:r w:rsidRPr="00320ED2">
        <w:rPr>
          <w:rFonts w:ascii="Arial" w:eastAsia="Times New Roman" w:hAnsi="Arial" w:cs="Arial"/>
          <w:sz w:val="24"/>
          <w:szCs w:val="24"/>
          <w:lang w:val="en-GB" w:eastAsia="en-GB"/>
        </w:rPr>
        <w:t xml:space="preserve"> </w:t>
      </w:r>
    </w:p>
    <w:p w14:paraId="0BD274AD"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International Organization for Standardization (2018) </w:t>
      </w:r>
      <w:r w:rsidRPr="00320ED2">
        <w:rPr>
          <w:rFonts w:ascii="Arial" w:eastAsia="Times New Roman" w:hAnsi="Arial" w:cs="Arial"/>
          <w:i/>
          <w:iCs/>
          <w:sz w:val="24"/>
          <w:szCs w:val="24"/>
          <w:lang w:val="en-GB" w:eastAsia="en-GB"/>
        </w:rPr>
        <w:t>ISO 31000: Risk Management</w:t>
      </w:r>
      <w:r w:rsidRPr="00320ED2">
        <w:rPr>
          <w:rFonts w:ascii="Arial" w:eastAsia="Times New Roman" w:hAnsi="Arial" w:cs="Arial"/>
          <w:sz w:val="24"/>
          <w:szCs w:val="24"/>
          <w:lang w:val="en-GB" w:eastAsia="en-GB"/>
        </w:rPr>
        <w:t xml:space="preserve">. </w:t>
      </w:r>
      <w:hyperlink r:id="rId83" w:tgtFrame="_blank" w:history="1">
        <w:r w:rsidRPr="00320ED2">
          <w:rPr>
            <w:rFonts w:ascii="Arial" w:eastAsia="Times New Roman" w:hAnsi="Arial" w:cs="Arial"/>
            <w:color w:val="0000FF"/>
            <w:sz w:val="24"/>
            <w:szCs w:val="24"/>
            <w:u w:val="single"/>
            <w:lang w:val="en-GB" w:eastAsia="en-GB"/>
          </w:rPr>
          <w:t>ISO</w:t>
        </w:r>
      </w:hyperlink>
      <w:r w:rsidRPr="00320ED2">
        <w:rPr>
          <w:rFonts w:ascii="Arial" w:eastAsia="Times New Roman" w:hAnsi="Arial" w:cs="Arial"/>
          <w:sz w:val="24"/>
          <w:szCs w:val="24"/>
          <w:lang w:val="en-GB" w:eastAsia="en-GB"/>
        </w:rPr>
        <w:t xml:space="preserve"> </w:t>
      </w:r>
    </w:p>
    <w:p w14:paraId="23D2C1DA"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International Organization for Standardization (2021) </w:t>
      </w:r>
      <w:r w:rsidRPr="00320ED2">
        <w:rPr>
          <w:rFonts w:ascii="Arial" w:eastAsia="Times New Roman" w:hAnsi="Arial" w:cs="Arial"/>
          <w:i/>
          <w:iCs/>
          <w:sz w:val="24"/>
          <w:szCs w:val="24"/>
          <w:lang w:val="en-GB" w:eastAsia="en-GB"/>
        </w:rPr>
        <w:t>ISO 45001 Occupational Health and Safety</w:t>
      </w:r>
      <w:r w:rsidRPr="00320ED2">
        <w:rPr>
          <w:rFonts w:ascii="Arial" w:eastAsia="Times New Roman" w:hAnsi="Arial" w:cs="Arial"/>
          <w:sz w:val="24"/>
          <w:szCs w:val="24"/>
          <w:lang w:val="en-GB" w:eastAsia="en-GB"/>
        </w:rPr>
        <w:t xml:space="preserve">. </w:t>
      </w:r>
      <w:hyperlink r:id="rId84" w:tgtFrame="_blank" w:history="1">
        <w:r w:rsidRPr="00320ED2">
          <w:rPr>
            <w:rFonts w:ascii="Arial" w:eastAsia="Times New Roman" w:hAnsi="Arial" w:cs="Arial"/>
            <w:color w:val="0000FF"/>
            <w:sz w:val="24"/>
            <w:szCs w:val="24"/>
            <w:u w:val="single"/>
            <w:lang w:val="en-GB" w:eastAsia="en-GB"/>
          </w:rPr>
          <w:t>ISO</w:t>
        </w:r>
      </w:hyperlink>
      <w:r w:rsidRPr="00320ED2">
        <w:rPr>
          <w:rFonts w:ascii="Arial" w:eastAsia="Times New Roman" w:hAnsi="Arial" w:cs="Arial"/>
          <w:sz w:val="24"/>
          <w:szCs w:val="24"/>
          <w:lang w:val="en-GB" w:eastAsia="en-GB"/>
        </w:rPr>
        <w:t xml:space="preserve"> </w:t>
      </w:r>
    </w:p>
    <w:p w14:paraId="67639A17"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International Organization for Standardization (2022) </w:t>
      </w:r>
      <w:r w:rsidRPr="00320ED2">
        <w:rPr>
          <w:rFonts w:ascii="Arial" w:eastAsia="Times New Roman" w:hAnsi="Arial" w:cs="Arial"/>
          <w:i/>
          <w:iCs/>
          <w:sz w:val="24"/>
          <w:szCs w:val="24"/>
          <w:lang w:val="en-GB" w:eastAsia="en-GB"/>
        </w:rPr>
        <w:t>ISO 14001 Environmental Management</w:t>
      </w:r>
      <w:r w:rsidRPr="00320ED2">
        <w:rPr>
          <w:rFonts w:ascii="Arial" w:eastAsia="Times New Roman" w:hAnsi="Arial" w:cs="Arial"/>
          <w:sz w:val="24"/>
          <w:szCs w:val="24"/>
          <w:lang w:val="en-GB" w:eastAsia="en-GB"/>
        </w:rPr>
        <w:t xml:space="preserve">. </w:t>
      </w:r>
      <w:hyperlink r:id="rId85" w:tgtFrame="_blank" w:history="1">
        <w:r w:rsidRPr="00320ED2">
          <w:rPr>
            <w:rFonts w:ascii="Arial" w:eastAsia="Times New Roman" w:hAnsi="Arial" w:cs="Arial"/>
            <w:color w:val="0000FF"/>
            <w:sz w:val="24"/>
            <w:szCs w:val="24"/>
            <w:u w:val="single"/>
            <w:lang w:val="en-GB" w:eastAsia="en-GB"/>
          </w:rPr>
          <w:t>ISO</w:t>
        </w:r>
      </w:hyperlink>
      <w:r w:rsidRPr="00320ED2">
        <w:rPr>
          <w:rFonts w:ascii="Arial" w:eastAsia="Times New Roman" w:hAnsi="Arial" w:cs="Arial"/>
          <w:sz w:val="24"/>
          <w:szCs w:val="24"/>
          <w:lang w:val="en-GB" w:eastAsia="en-GB"/>
        </w:rPr>
        <w:t xml:space="preserve"> </w:t>
      </w:r>
    </w:p>
    <w:p w14:paraId="731B52A6"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Christopher, M. and Peck, H. (2004) ‘Building the resilient supply chain’, </w:t>
      </w:r>
      <w:r w:rsidRPr="00320ED2">
        <w:rPr>
          <w:rFonts w:ascii="Arial" w:eastAsia="Times New Roman" w:hAnsi="Arial" w:cs="Arial"/>
          <w:i/>
          <w:iCs/>
          <w:sz w:val="24"/>
          <w:szCs w:val="24"/>
          <w:lang w:val="en-GB" w:eastAsia="en-GB"/>
        </w:rPr>
        <w:t>International Journal of Logistics Management</w:t>
      </w:r>
      <w:r w:rsidRPr="00320ED2">
        <w:rPr>
          <w:rFonts w:ascii="Arial" w:eastAsia="Times New Roman" w:hAnsi="Arial" w:cs="Arial"/>
          <w:sz w:val="24"/>
          <w:szCs w:val="24"/>
          <w:lang w:val="en-GB" w:eastAsia="en-GB"/>
        </w:rPr>
        <w:t xml:space="preserve">, 15(2), pp. 1–14. </w:t>
      </w:r>
      <w:hyperlink r:id="rId86" w:tgtFrame="_blank" w:history="1">
        <w:r w:rsidRPr="00320ED2">
          <w:rPr>
            <w:rFonts w:ascii="Arial" w:eastAsia="Times New Roman" w:hAnsi="Arial" w:cs="Arial"/>
            <w:color w:val="0000FF"/>
            <w:sz w:val="24"/>
            <w:szCs w:val="24"/>
            <w:u w:val="single"/>
            <w:lang w:val="en-GB" w:eastAsia="en-GB"/>
          </w:rPr>
          <w:t>Article DOI/search</w:t>
        </w:r>
      </w:hyperlink>
      <w:r w:rsidRPr="00320ED2">
        <w:rPr>
          <w:rFonts w:ascii="Arial" w:eastAsia="Times New Roman" w:hAnsi="Arial" w:cs="Arial"/>
          <w:sz w:val="24"/>
          <w:szCs w:val="24"/>
          <w:lang w:val="en-GB" w:eastAsia="en-GB"/>
        </w:rPr>
        <w:t xml:space="preserve"> </w:t>
      </w:r>
    </w:p>
    <w:p w14:paraId="7A3E9287"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Sheffi</w:t>
      </w:r>
      <w:proofErr w:type="spellEnd"/>
      <w:r w:rsidRPr="00320ED2">
        <w:rPr>
          <w:rFonts w:ascii="Arial" w:eastAsia="Times New Roman" w:hAnsi="Arial" w:cs="Arial"/>
          <w:sz w:val="24"/>
          <w:szCs w:val="24"/>
          <w:lang w:val="en-GB" w:eastAsia="en-GB"/>
        </w:rPr>
        <w:t xml:space="preserve">, Y. (2015) </w:t>
      </w:r>
      <w:r w:rsidRPr="00320ED2">
        <w:rPr>
          <w:rFonts w:ascii="Arial" w:eastAsia="Times New Roman" w:hAnsi="Arial" w:cs="Arial"/>
          <w:i/>
          <w:iCs/>
          <w:sz w:val="24"/>
          <w:szCs w:val="24"/>
          <w:lang w:val="en-GB" w:eastAsia="en-GB"/>
        </w:rPr>
        <w:t>The Power of Resilience</w:t>
      </w:r>
      <w:r w:rsidRPr="00320ED2">
        <w:rPr>
          <w:rFonts w:ascii="Arial" w:eastAsia="Times New Roman" w:hAnsi="Arial" w:cs="Arial"/>
          <w:sz w:val="24"/>
          <w:szCs w:val="24"/>
          <w:lang w:val="en-GB" w:eastAsia="en-GB"/>
        </w:rPr>
        <w:t xml:space="preserve">. Cambridge, MA: MIT Press. MIT Press </w:t>
      </w:r>
    </w:p>
    <w:p w14:paraId="4D88385B"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Ivanov, D. and </w:t>
      </w:r>
      <w:proofErr w:type="spellStart"/>
      <w:r w:rsidRPr="00320ED2">
        <w:rPr>
          <w:rFonts w:ascii="Arial" w:eastAsia="Times New Roman" w:hAnsi="Arial" w:cs="Arial"/>
          <w:sz w:val="24"/>
          <w:szCs w:val="24"/>
          <w:lang w:val="en-GB" w:eastAsia="en-GB"/>
        </w:rPr>
        <w:t>Dolgui</w:t>
      </w:r>
      <w:proofErr w:type="spellEnd"/>
      <w:r w:rsidRPr="00320ED2">
        <w:rPr>
          <w:rFonts w:ascii="Arial" w:eastAsia="Times New Roman" w:hAnsi="Arial" w:cs="Arial"/>
          <w:sz w:val="24"/>
          <w:szCs w:val="24"/>
          <w:lang w:val="en-GB" w:eastAsia="en-GB"/>
        </w:rPr>
        <w:t xml:space="preserve">, A. (2020) ‘Viability of intertwined supply networks’, </w:t>
      </w:r>
      <w:r w:rsidRPr="00320ED2">
        <w:rPr>
          <w:rFonts w:ascii="Arial" w:eastAsia="Times New Roman" w:hAnsi="Arial" w:cs="Arial"/>
          <w:i/>
          <w:iCs/>
          <w:sz w:val="24"/>
          <w:szCs w:val="24"/>
          <w:lang w:val="en-GB" w:eastAsia="en-GB"/>
        </w:rPr>
        <w:t>International Journal of Production Research</w:t>
      </w:r>
      <w:r w:rsidRPr="00320ED2">
        <w:rPr>
          <w:rFonts w:ascii="Arial" w:eastAsia="Times New Roman" w:hAnsi="Arial" w:cs="Arial"/>
          <w:sz w:val="24"/>
          <w:szCs w:val="24"/>
          <w:lang w:val="en-GB" w:eastAsia="en-GB"/>
        </w:rPr>
        <w:t xml:space="preserve">, 58(10), pp. 2904–2915. Article DOI </w:t>
      </w:r>
    </w:p>
    <w:p w14:paraId="7DE6E9E0"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Queiroz</w:t>
      </w:r>
      <w:proofErr w:type="spellEnd"/>
      <w:r w:rsidRPr="00320ED2">
        <w:rPr>
          <w:rFonts w:ascii="Arial" w:eastAsia="Times New Roman" w:hAnsi="Arial" w:cs="Arial"/>
          <w:sz w:val="24"/>
          <w:szCs w:val="24"/>
          <w:lang w:val="en-GB" w:eastAsia="en-GB"/>
        </w:rPr>
        <w:t xml:space="preserve">, M.M., Ivanov, D., </w:t>
      </w:r>
      <w:proofErr w:type="spellStart"/>
      <w:r w:rsidRPr="00320ED2">
        <w:rPr>
          <w:rFonts w:ascii="Arial" w:eastAsia="Times New Roman" w:hAnsi="Arial" w:cs="Arial"/>
          <w:sz w:val="24"/>
          <w:szCs w:val="24"/>
          <w:lang w:val="en-GB" w:eastAsia="en-GB"/>
        </w:rPr>
        <w:t>Dolgui</w:t>
      </w:r>
      <w:proofErr w:type="spellEnd"/>
      <w:r w:rsidRPr="00320ED2">
        <w:rPr>
          <w:rFonts w:ascii="Arial" w:eastAsia="Times New Roman" w:hAnsi="Arial" w:cs="Arial"/>
          <w:sz w:val="24"/>
          <w:szCs w:val="24"/>
          <w:lang w:val="en-GB" w:eastAsia="en-GB"/>
        </w:rPr>
        <w:t xml:space="preserve">, A. and </w:t>
      </w:r>
      <w:proofErr w:type="spellStart"/>
      <w:r w:rsidRPr="00320ED2">
        <w:rPr>
          <w:rFonts w:ascii="Arial" w:eastAsia="Times New Roman" w:hAnsi="Arial" w:cs="Arial"/>
          <w:sz w:val="24"/>
          <w:szCs w:val="24"/>
          <w:lang w:val="en-GB" w:eastAsia="en-GB"/>
        </w:rPr>
        <w:t>Fosso</w:t>
      </w:r>
      <w:proofErr w:type="spellEnd"/>
      <w:r w:rsidRPr="00320ED2">
        <w:rPr>
          <w:rFonts w:ascii="Arial" w:eastAsia="Times New Roman" w:hAnsi="Arial" w:cs="Arial"/>
          <w:sz w:val="24"/>
          <w:szCs w:val="24"/>
          <w:lang w:val="en-GB" w:eastAsia="en-GB"/>
        </w:rPr>
        <w:t xml:space="preserve"> </w:t>
      </w:r>
      <w:proofErr w:type="spellStart"/>
      <w:r w:rsidRPr="00320ED2">
        <w:rPr>
          <w:rFonts w:ascii="Arial" w:eastAsia="Times New Roman" w:hAnsi="Arial" w:cs="Arial"/>
          <w:sz w:val="24"/>
          <w:szCs w:val="24"/>
          <w:lang w:val="en-GB" w:eastAsia="en-GB"/>
        </w:rPr>
        <w:t>Wamba</w:t>
      </w:r>
      <w:proofErr w:type="spellEnd"/>
      <w:r w:rsidRPr="00320ED2">
        <w:rPr>
          <w:rFonts w:ascii="Arial" w:eastAsia="Times New Roman" w:hAnsi="Arial" w:cs="Arial"/>
          <w:sz w:val="24"/>
          <w:szCs w:val="24"/>
          <w:lang w:val="en-GB" w:eastAsia="en-GB"/>
        </w:rPr>
        <w:t xml:space="preserve">, S. (2020) ‘Impacts of epidemic outbreaks on supply chains’, </w:t>
      </w:r>
      <w:r w:rsidRPr="00320ED2">
        <w:rPr>
          <w:rFonts w:ascii="Arial" w:eastAsia="Times New Roman" w:hAnsi="Arial" w:cs="Arial"/>
          <w:i/>
          <w:iCs/>
          <w:sz w:val="24"/>
          <w:szCs w:val="24"/>
          <w:lang w:val="en-GB" w:eastAsia="en-GB"/>
        </w:rPr>
        <w:t>International Journal of Production Research</w:t>
      </w:r>
      <w:r w:rsidRPr="00320ED2">
        <w:rPr>
          <w:rFonts w:ascii="Arial" w:eastAsia="Times New Roman" w:hAnsi="Arial" w:cs="Arial"/>
          <w:sz w:val="24"/>
          <w:szCs w:val="24"/>
          <w:lang w:val="en-GB" w:eastAsia="en-GB"/>
        </w:rPr>
        <w:t xml:space="preserve">, 58(10), pp. 2877–2893. </w:t>
      </w:r>
      <w:hyperlink r:id="rId87"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1EA72905"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Ivanov, D. (2021) ‘Supply chain viability and the COVID-19 pandemic’, </w:t>
      </w:r>
      <w:r w:rsidRPr="00320ED2">
        <w:rPr>
          <w:rFonts w:ascii="Arial" w:eastAsia="Times New Roman" w:hAnsi="Arial" w:cs="Arial"/>
          <w:i/>
          <w:iCs/>
          <w:sz w:val="24"/>
          <w:szCs w:val="24"/>
          <w:lang w:val="en-GB" w:eastAsia="en-GB"/>
        </w:rPr>
        <w:t>International Journal of Production Research</w:t>
      </w:r>
      <w:r w:rsidRPr="00320ED2">
        <w:rPr>
          <w:rFonts w:ascii="Arial" w:eastAsia="Times New Roman" w:hAnsi="Arial" w:cs="Arial"/>
          <w:sz w:val="24"/>
          <w:szCs w:val="24"/>
          <w:lang w:val="en-GB" w:eastAsia="en-GB"/>
        </w:rPr>
        <w:t xml:space="preserve">, 59(12), pp. 3535–3555. Article DOI </w:t>
      </w:r>
    </w:p>
    <w:p w14:paraId="0DDD5500"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Christopher, M. (2016) ‘Logistics and supply chain management’, 5th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Harlow: Pearson. </w:t>
      </w:r>
      <w:hyperlink r:id="rId88" w:tgtFrame="_blank" w:history="1">
        <w:r w:rsidRPr="00320ED2">
          <w:rPr>
            <w:rFonts w:ascii="Arial" w:eastAsia="Times New Roman" w:hAnsi="Arial" w:cs="Arial"/>
            <w:color w:val="0000FF"/>
            <w:sz w:val="24"/>
            <w:szCs w:val="24"/>
            <w:u w:val="single"/>
            <w:lang w:val="en-GB" w:eastAsia="en-GB"/>
          </w:rPr>
          <w:t>Pearson</w:t>
        </w:r>
      </w:hyperlink>
      <w:r w:rsidRPr="00320ED2">
        <w:rPr>
          <w:rFonts w:ascii="Arial" w:eastAsia="Times New Roman" w:hAnsi="Arial" w:cs="Arial"/>
          <w:sz w:val="24"/>
          <w:szCs w:val="24"/>
          <w:lang w:val="en-GB" w:eastAsia="en-GB"/>
        </w:rPr>
        <w:t xml:space="preserve"> </w:t>
      </w:r>
    </w:p>
    <w:p w14:paraId="7F128C9B"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Mentzer</w:t>
      </w:r>
      <w:proofErr w:type="spellEnd"/>
      <w:r w:rsidRPr="00320ED2">
        <w:rPr>
          <w:rFonts w:ascii="Arial" w:eastAsia="Times New Roman" w:hAnsi="Arial" w:cs="Arial"/>
          <w:sz w:val="24"/>
          <w:szCs w:val="24"/>
          <w:lang w:val="en-GB" w:eastAsia="en-GB"/>
        </w:rPr>
        <w:t xml:space="preserve">, J.T. et al. (2001) ‘Defining supply chain management’, </w:t>
      </w:r>
      <w:r w:rsidRPr="00320ED2">
        <w:rPr>
          <w:rFonts w:ascii="Arial" w:eastAsia="Times New Roman" w:hAnsi="Arial" w:cs="Arial"/>
          <w:i/>
          <w:iCs/>
          <w:sz w:val="24"/>
          <w:szCs w:val="24"/>
          <w:lang w:val="en-GB" w:eastAsia="en-GB"/>
        </w:rPr>
        <w:t>Journal of Business Logistics</w:t>
      </w:r>
      <w:r w:rsidRPr="00320ED2">
        <w:rPr>
          <w:rFonts w:ascii="Arial" w:eastAsia="Times New Roman" w:hAnsi="Arial" w:cs="Arial"/>
          <w:sz w:val="24"/>
          <w:szCs w:val="24"/>
          <w:lang w:val="en-GB" w:eastAsia="en-GB"/>
        </w:rPr>
        <w:t xml:space="preserve">, 22(2), pp. 1–25. </w:t>
      </w:r>
      <w:hyperlink r:id="rId89" w:tgtFrame="_blank" w:history="1">
        <w:r w:rsidRPr="00320ED2">
          <w:rPr>
            <w:rFonts w:ascii="Arial" w:eastAsia="Times New Roman" w:hAnsi="Arial" w:cs="Arial"/>
            <w:color w:val="0000FF"/>
            <w:sz w:val="24"/>
            <w:szCs w:val="24"/>
            <w:u w:val="single"/>
            <w:lang w:val="en-GB" w:eastAsia="en-GB"/>
          </w:rPr>
          <w:t>Article DOI/search</w:t>
        </w:r>
      </w:hyperlink>
      <w:r w:rsidRPr="00320ED2">
        <w:rPr>
          <w:rFonts w:ascii="Arial" w:eastAsia="Times New Roman" w:hAnsi="Arial" w:cs="Arial"/>
          <w:sz w:val="24"/>
          <w:szCs w:val="24"/>
          <w:lang w:val="en-GB" w:eastAsia="en-GB"/>
        </w:rPr>
        <w:t xml:space="preserve"> </w:t>
      </w:r>
    </w:p>
    <w:p w14:paraId="05A90B93"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lastRenderedPageBreak/>
        <w:t xml:space="preserve">Lee, H.L. (2004) ‘The triple-A supply chain’, </w:t>
      </w:r>
      <w:r w:rsidRPr="00320ED2">
        <w:rPr>
          <w:rFonts w:ascii="Arial" w:eastAsia="Times New Roman" w:hAnsi="Arial" w:cs="Arial"/>
          <w:i/>
          <w:iCs/>
          <w:sz w:val="24"/>
          <w:szCs w:val="24"/>
          <w:lang w:val="en-GB" w:eastAsia="en-GB"/>
        </w:rPr>
        <w:t>Harvard Business Review</w:t>
      </w:r>
      <w:r w:rsidRPr="00320ED2">
        <w:rPr>
          <w:rFonts w:ascii="Arial" w:eastAsia="Times New Roman" w:hAnsi="Arial" w:cs="Arial"/>
          <w:sz w:val="24"/>
          <w:szCs w:val="24"/>
          <w:lang w:val="en-GB" w:eastAsia="en-GB"/>
        </w:rPr>
        <w:t xml:space="preserve">, 82(10), pp. 102–112. </w:t>
      </w:r>
      <w:hyperlink r:id="rId90" w:tgtFrame="_blank" w:history="1">
        <w:r w:rsidRPr="00320ED2">
          <w:rPr>
            <w:rFonts w:ascii="Arial" w:eastAsia="Times New Roman" w:hAnsi="Arial" w:cs="Arial"/>
            <w:color w:val="0000FF"/>
            <w:sz w:val="24"/>
            <w:szCs w:val="24"/>
            <w:u w:val="single"/>
            <w:lang w:val="en-GB" w:eastAsia="en-GB"/>
          </w:rPr>
          <w:t>Harvard Business Review</w:t>
        </w:r>
      </w:hyperlink>
      <w:r w:rsidRPr="00320ED2">
        <w:rPr>
          <w:rFonts w:ascii="Arial" w:eastAsia="Times New Roman" w:hAnsi="Arial" w:cs="Arial"/>
          <w:sz w:val="24"/>
          <w:szCs w:val="24"/>
          <w:lang w:val="en-GB" w:eastAsia="en-GB"/>
        </w:rPr>
        <w:t xml:space="preserve"> </w:t>
      </w:r>
    </w:p>
    <w:p w14:paraId="412DC438"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Armstrong, M. and Taylor, S. (2023) </w:t>
      </w:r>
      <w:r w:rsidRPr="00320ED2">
        <w:rPr>
          <w:rFonts w:ascii="Arial" w:eastAsia="Times New Roman" w:hAnsi="Arial" w:cs="Arial"/>
          <w:i/>
          <w:iCs/>
          <w:sz w:val="24"/>
          <w:szCs w:val="24"/>
          <w:lang w:val="en-GB" w:eastAsia="en-GB"/>
        </w:rPr>
        <w:t>Armstrong's Handbook of Human Resource Management Practice</w:t>
      </w:r>
      <w:r w:rsidRPr="00320ED2">
        <w:rPr>
          <w:rFonts w:ascii="Arial" w:eastAsia="Times New Roman" w:hAnsi="Arial" w:cs="Arial"/>
          <w:sz w:val="24"/>
          <w:szCs w:val="24"/>
          <w:lang w:val="en-GB" w:eastAsia="en-GB"/>
        </w:rPr>
        <w:t xml:space="preserve">. 16th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London: </w:t>
      </w:r>
      <w:proofErr w:type="spellStart"/>
      <w:r w:rsidRPr="00320ED2">
        <w:rPr>
          <w:rFonts w:ascii="Arial" w:eastAsia="Times New Roman" w:hAnsi="Arial" w:cs="Arial"/>
          <w:sz w:val="24"/>
          <w:szCs w:val="24"/>
          <w:lang w:val="en-GB" w:eastAsia="en-GB"/>
        </w:rPr>
        <w:t>Kogan</w:t>
      </w:r>
      <w:proofErr w:type="spellEnd"/>
      <w:r w:rsidRPr="00320ED2">
        <w:rPr>
          <w:rFonts w:ascii="Arial" w:eastAsia="Times New Roman" w:hAnsi="Arial" w:cs="Arial"/>
          <w:sz w:val="24"/>
          <w:szCs w:val="24"/>
          <w:lang w:val="en-GB" w:eastAsia="en-GB"/>
        </w:rPr>
        <w:t xml:space="preserve"> Page. </w:t>
      </w:r>
      <w:hyperlink r:id="rId91" w:tgtFrame="_blank" w:history="1">
        <w:proofErr w:type="spellStart"/>
        <w:r w:rsidRPr="00320ED2">
          <w:rPr>
            <w:rFonts w:ascii="Arial" w:eastAsia="Times New Roman" w:hAnsi="Arial" w:cs="Arial"/>
            <w:color w:val="0000FF"/>
            <w:sz w:val="24"/>
            <w:szCs w:val="24"/>
            <w:u w:val="single"/>
            <w:lang w:val="en-GB" w:eastAsia="en-GB"/>
          </w:rPr>
          <w:t>Kogan</w:t>
        </w:r>
        <w:proofErr w:type="spellEnd"/>
        <w:r w:rsidRPr="00320ED2">
          <w:rPr>
            <w:rFonts w:ascii="Arial" w:eastAsia="Times New Roman" w:hAnsi="Arial" w:cs="Arial"/>
            <w:color w:val="0000FF"/>
            <w:sz w:val="24"/>
            <w:szCs w:val="24"/>
            <w:u w:val="single"/>
            <w:lang w:val="en-GB" w:eastAsia="en-GB"/>
          </w:rPr>
          <w:t xml:space="preserve"> Page</w:t>
        </w:r>
      </w:hyperlink>
      <w:r w:rsidRPr="00320ED2">
        <w:rPr>
          <w:rFonts w:ascii="Arial" w:eastAsia="Times New Roman" w:hAnsi="Arial" w:cs="Arial"/>
          <w:sz w:val="24"/>
          <w:szCs w:val="24"/>
          <w:lang w:val="en-GB" w:eastAsia="en-GB"/>
        </w:rPr>
        <w:t xml:space="preserve"> </w:t>
      </w:r>
    </w:p>
    <w:p w14:paraId="13CD6C91"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Boxall, P. and Purcell, J. (2016) </w:t>
      </w:r>
      <w:r w:rsidRPr="00320ED2">
        <w:rPr>
          <w:rFonts w:ascii="Arial" w:eastAsia="Times New Roman" w:hAnsi="Arial" w:cs="Arial"/>
          <w:i/>
          <w:iCs/>
          <w:sz w:val="24"/>
          <w:szCs w:val="24"/>
          <w:lang w:val="en-GB" w:eastAsia="en-GB"/>
        </w:rPr>
        <w:t>Strategy and Human Resource Management</w:t>
      </w:r>
      <w:r w:rsidRPr="00320ED2">
        <w:rPr>
          <w:rFonts w:ascii="Arial" w:eastAsia="Times New Roman" w:hAnsi="Arial" w:cs="Arial"/>
          <w:sz w:val="24"/>
          <w:szCs w:val="24"/>
          <w:lang w:val="en-GB" w:eastAsia="en-GB"/>
        </w:rPr>
        <w:t xml:space="preserve">. 4th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London: Palgrave. Publisher </w:t>
      </w:r>
    </w:p>
    <w:p w14:paraId="4ACAB072"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Bratton, J. and Gold, J. (2017) </w:t>
      </w:r>
      <w:r w:rsidRPr="00320ED2">
        <w:rPr>
          <w:rFonts w:ascii="Arial" w:eastAsia="Times New Roman" w:hAnsi="Arial" w:cs="Arial"/>
          <w:i/>
          <w:iCs/>
          <w:sz w:val="24"/>
          <w:szCs w:val="24"/>
          <w:lang w:val="en-GB" w:eastAsia="en-GB"/>
        </w:rPr>
        <w:t>Human Resource Management: Theory and Practice</w:t>
      </w:r>
      <w:r w:rsidRPr="00320ED2">
        <w:rPr>
          <w:rFonts w:ascii="Arial" w:eastAsia="Times New Roman" w:hAnsi="Arial" w:cs="Arial"/>
          <w:sz w:val="24"/>
          <w:szCs w:val="24"/>
          <w:lang w:val="en-GB" w:eastAsia="en-GB"/>
        </w:rPr>
        <w:t xml:space="preserve">. 6th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London: Palgrave. </w:t>
      </w:r>
      <w:hyperlink r:id="rId92" w:tgtFrame="_blank" w:history="1">
        <w:r w:rsidRPr="00320ED2">
          <w:rPr>
            <w:rFonts w:ascii="Arial" w:eastAsia="Times New Roman" w:hAnsi="Arial" w:cs="Arial"/>
            <w:color w:val="0000FF"/>
            <w:sz w:val="24"/>
            <w:szCs w:val="24"/>
            <w:u w:val="single"/>
            <w:lang w:val="en-GB" w:eastAsia="en-GB"/>
          </w:rPr>
          <w:t>Springer</w:t>
        </w:r>
      </w:hyperlink>
      <w:r w:rsidRPr="00320ED2">
        <w:rPr>
          <w:rFonts w:ascii="Arial" w:eastAsia="Times New Roman" w:hAnsi="Arial" w:cs="Arial"/>
          <w:sz w:val="24"/>
          <w:szCs w:val="24"/>
          <w:lang w:val="en-GB" w:eastAsia="en-GB"/>
        </w:rPr>
        <w:t xml:space="preserve"> </w:t>
      </w:r>
    </w:p>
    <w:p w14:paraId="5CDFE0FA"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Guest, D.E. (1997) ‘Human resource management and performance’, </w:t>
      </w:r>
      <w:r w:rsidRPr="00320ED2">
        <w:rPr>
          <w:rFonts w:ascii="Arial" w:eastAsia="Times New Roman" w:hAnsi="Arial" w:cs="Arial"/>
          <w:i/>
          <w:iCs/>
          <w:sz w:val="24"/>
          <w:szCs w:val="24"/>
          <w:lang w:val="en-GB" w:eastAsia="en-GB"/>
        </w:rPr>
        <w:t>International Journal of Human Resource Management</w:t>
      </w:r>
      <w:r w:rsidRPr="00320ED2">
        <w:rPr>
          <w:rFonts w:ascii="Arial" w:eastAsia="Times New Roman" w:hAnsi="Arial" w:cs="Arial"/>
          <w:sz w:val="24"/>
          <w:szCs w:val="24"/>
          <w:lang w:val="en-GB" w:eastAsia="en-GB"/>
        </w:rPr>
        <w:t xml:space="preserve">, 8(3), pp. 263–276. </w:t>
      </w:r>
      <w:hyperlink r:id="rId93"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13C6AF50"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Becker, B.E. and </w:t>
      </w:r>
      <w:proofErr w:type="spellStart"/>
      <w:r w:rsidRPr="00320ED2">
        <w:rPr>
          <w:rFonts w:ascii="Arial" w:eastAsia="Times New Roman" w:hAnsi="Arial" w:cs="Arial"/>
          <w:sz w:val="24"/>
          <w:szCs w:val="24"/>
          <w:lang w:val="en-GB" w:eastAsia="en-GB"/>
        </w:rPr>
        <w:t>Huselid</w:t>
      </w:r>
      <w:proofErr w:type="spellEnd"/>
      <w:r w:rsidRPr="00320ED2">
        <w:rPr>
          <w:rFonts w:ascii="Arial" w:eastAsia="Times New Roman" w:hAnsi="Arial" w:cs="Arial"/>
          <w:sz w:val="24"/>
          <w:szCs w:val="24"/>
          <w:lang w:val="en-GB" w:eastAsia="en-GB"/>
        </w:rPr>
        <w:t xml:space="preserve">, M.A. (2006) ‘Strategic human resources management’, </w:t>
      </w:r>
      <w:r w:rsidRPr="00320ED2">
        <w:rPr>
          <w:rFonts w:ascii="Arial" w:eastAsia="Times New Roman" w:hAnsi="Arial" w:cs="Arial"/>
          <w:i/>
          <w:iCs/>
          <w:sz w:val="24"/>
          <w:szCs w:val="24"/>
          <w:lang w:val="en-GB" w:eastAsia="en-GB"/>
        </w:rPr>
        <w:t>Academy of Management Perspectives</w:t>
      </w:r>
      <w:r w:rsidRPr="00320ED2">
        <w:rPr>
          <w:rFonts w:ascii="Arial" w:eastAsia="Times New Roman" w:hAnsi="Arial" w:cs="Arial"/>
          <w:sz w:val="24"/>
          <w:szCs w:val="24"/>
          <w:lang w:val="en-GB" w:eastAsia="en-GB"/>
        </w:rPr>
        <w:t xml:space="preserve">, 20(1), pp. 34–48. Article DOI/search </w:t>
      </w:r>
    </w:p>
    <w:p w14:paraId="48405765"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Jiang, K., </w:t>
      </w:r>
      <w:proofErr w:type="spellStart"/>
      <w:r w:rsidRPr="00320ED2">
        <w:rPr>
          <w:rFonts w:ascii="Arial" w:eastAsia="Times New Roman" w:hAnsi="Arial" w:cs="Arial"/>
          <w:sz w:val="24"/>
          <w:szCs w:val="24"/>
          <w:lang w:val="en-GB" w:eastAsia="en-GB"/>
        </w:rPr>
        <w:t>Lepak</w:t>
      </w:r>
      <w:proofErr w:type="spellEnd"/>
      <w:r w:rsidRPr="00320ED2">
        <w:rPr>
          <w:rFonts w:ascii="Arial" w:eastAsia="Times New Roman" w:hAnsi="Arial" w:cs="Arial"/>
          <w:sz w:val="24"/>
          <w:szCs w:val="24"/>
          <w:lang w:val="en-GB" w:eastAsia="en-GB"/>
        </w:rPr>
        <w:t xml:space="preserve">, D.P., Hu, J. and Baer, J.C. (2012) ‘How does human resource management influence organizational outcomes?’, </w:t>
      </w:r>
      <w:r w:rsidRPr="00320ED2">
        <w:rPr>
          <w:rFonts w:ascii="Arial" w:eastAsia="Times New Roman" w:hAnsi="Arial" w:cs="Arial"/>
          <w:i/>
          <w:iCs/>
          <w:sz w:val="24"/>
          <w:szCs w:val="24"/>
          <w:lang w:val="en-GB" w:eastAsia="en-GB"/>
        </w:rPr>
        <w:t>Academy of Management Journal</w:t>
      </w:r>
      <w:r w:rsidRPr="00320ED2">
        <w:rPr>
          <w:rFonts w:ascii="Arial" w:eastAsia="Times New Roman" w:hAnsi="Arial" w:cs="Arial"/>
          <w:sz w:val="24"/>
          <w:szCs w:val="24"/>
          <w:lang w:val="en-GB" w:eastAsia="en-GB"/>
        </w:rPr>
        <w:t xml:space="preserve">, 55(6), pp. 1264–1294. </w:t>
      </w:r>
      <w:hyperlink r:id="rId94"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67659488"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Noe</w:t>
      </w:r>
      <w:proofErr w:type="spellEnd"/>
      <w:r w:rsidRPr="00320ED2">
        <w:rPr>
          <w:rFonts w:ascii="Arial" w:eastAsia="Times New Roman" w:hAnsi="Arial" w:cs="Arial"/>
          <w:sz w:val="24"/>
          <w:szCs w:val="24"/>
          <w:lang w:val="en-GB" w:eastAsia="en-GB"/>
        </w:rPr>
        <w:t xml:space="preserve">, R.A. (2020) </w:t>
      </w:r>
      <w:r w:rsidRPr="00320ED2">
        <w:rPr>
          <w:rFonts w:ascii="Arial" w:eastAsia="Times New Roman" w:hAnsi="Arial" w:cs="Arial"/>
          <w:i/>
          <w:iCs/>
          <w:sz w:val="24"/>
          <w:szCs w:val="24"/>
          <w:lang w:val="en-GB" w:eastAsia="en-GB"/>
        </w:rPr>
        <w:t>Employee Training and Development</w:t>
      </w:r>
      <w:r w:rsidRPr="00320ED2">
        <w:rPr>
          <w:rFonts w:ascii="Arial" w:eastAsia="Times New Roman" w:hAnsi="Arial" w:cs="Arial"/>
          <w:sz w:val="24"/>
          <w:szCs w:val="24"/>
          <w:lang w:val="en-GB" w:eastAsia="en-GB"/>
        </w:rPr>
        <w:t xml:space="preserve">. 8th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New York: McGraw-Hill. </w:t>
      </w:r>
      <w:hyperlink r:id="rId95" w:tgtFrame="_blank" w:history="1">
        <w:r w:rsidRPr="00320ED2">
          <w:rPr>
            <w:rFonts w:ascii="Arial" w:eastAsia="Times New Roman" w:hAnsi="Arial" w:cs="Arial"/>
            <w:color w:val="0000FF"/>
            <w:sz w:val="24"/>
            <w:szCs w:val="24"/>
            <w:u w:val="single"/>
            <w:lang w:val="en-GB" w:eastAsia="en-GB"/>
          </w:rPr>
          <w:t>McGraw Hill</w:t>
        </w:r>
      </w:hyperlink>
      <w:r w:rsidRPr="00320ED2">
        <w:rPr>
          <w:rFonts w:ascii="Arial" w:eastAsia="Times New Roman" w:hAnsi="Arial" w:cs="Arial"/>
          <w:sz w:val="24"/>
          <w:szCs w:val="24"/>
          <w:lang w:val="en-GB" w:eastAsia="en-GB"/>
        </w:rPr>
        <w:t xml:space="preserve"> </w:t>
      </w:r>
    </w:p>
    <w:p w14:paraId="3F001340"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Panagiotakopoulos</w:t>
      </w:r>
      <w:proofErr w:type="spellEnd"/>
      <w:r w:rsidRPr="00320ED2">
        <w:rPr>
          <w:rFonts w:ascii="Arial" w:eastAsia="Times New Roman" w:hAnsi="Arial" w:cs="Arial"/>
          <w:sz w:val="24"/>
          <w:szCs w:val="24"/>
          <w:lang w:val="en-GB" w:eastAsia="en-GB"/>
        </w:rPr>
        <w:t xml:space="preserve">, A. (2020) ‘Exploring the link between management training and organizational performance in the small business context’, </w:t>
      </w:r>
      <w:r w:rsidRPr="00320ED2">
        <w:rPr>
          <w:rFonts w:ascii="Arial" w:eastAsia="Times New Roman" w:hAnsi="Arial" w:cs="Arial"/>
          <w:i/>
          <w:iCs/>
          <w:sz w:val="24"/>
          <w:szCs w:val="24"/>
          <w:lang w:val="en-GB" w:eastAsia="en-GB"/>
        </w:rPr>
        <w:t>Journal of Workplace Learning</w:t>
      </w:r>
      <w:r w:rsidRPr="00320ED2">
        <w:rPr>
          <w:rFonts w:ascii="Arial" w:eastAsia="Times New Roman" w:hAnsi="Arial" w:cs="Arial"/>
          <w:sz w:val="24"/>
          <w:szCs w:val="24"/>
          <w:lang w:val="en-GB" w:eastAsia="en-GB"/>
        </w:rPr>
        <w:t xml:space="preserve">, 32(4), pp. 245–257. </w:t>
      </w:r>
      <w:hyperlink r:id="rId96" w:tgtFrame="_blank" w:history="1">
        <w:r w:rsidRPr="00320ED2">
          <w:rPr>
            <w:rFonts w:ascii="Arial" w:eastAsia="Times New Roman" w:hAnsi="Arial" w:cs="Arial"/>
            <w:color w:val="0000FF"/>
            <w:sz w:val="24"/>
            <w:szCs w:val="24"/>
            <w:u w:val="single"/>
            <w:lang w:val="en-GB" w:eastAsia="en-GB"/>
          </w:rPr>
          <w:t>Emerald/Article DOI</w:t>
        </w:r>
      </w:hyperlink>
      <w:r w:rsidRPr="00320ED2">
        <w:rPr>
          <w:rFonts w:ascii="Arial" w:eastAsia="Times New Roman" w:hAnsi="Arial" w:cs="Arial"/>
          <w:sz w:val="24"/>
          <w:szCs w:val="24"/>
          <w:lang w:val="en-GB" w:eastAsia="en-GB"/>
        </w:rPr>
        <w:t xml:space="preserve"> </w:t>
      </w:r>
    </w:p>
    <w:p w14:paraId="00EF6308"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i/>
          <w:iCs/>
          <w:sz w:val="24"/>
          <w:szCs w:val="24"/>
          <w:lang w:val="en-GB" w:eastAsia="en-GB"/>
        </w:rPr>
        <w:t>Training and performance in SMEs: Empirical evidence from large-scale data from the UK</w:t>
      </w:r>
      <w:r w:rsidRPr="00320ED2">
        <w:rPr>
          <w:rFonts w:ascii="Arial" w:eastAsia="Times New Roman" w:hAnsi="Arial" w:cs="Arial"/>
          <w:sz w:val="24"/>
          <w:szCs w:val="24"/>
          <w:lang w:val="en-GB" w:eastAsia="en-GB"/>
        </w:rPr>
        <w:t xml:space="preserve"> (2023), </w:t>
      </w:r>
      <w:r w:rsidRPr="00320ED2">
        <w:rPr>
          <w:rFonts w:ascii="Arial" w:eastAsia="Times New Roman" w:hAnsi="Arial" w:cs="Arial"/>
          <w:i/>
          <w:iCs/>
          <w:sz w:val="24"/>
          <w:szCs w:val="24"/>
          <w:lang w:val="en-GB" w:eastAsia="en-GB"/>
        </w:rPr>
        <w:t>Journal of Small Business Management</w:t>
      </w:r>
      <w:r w:rsidRPr="00320ED2">
        <w:rPr>
          <w:rFonts w:ascii="Arial" w:eastAsia="Times New Roman" w:hAnsi="Arial" w:cs="Arial"/>
          <w:sz w:val="24"/>
          <w:szCs w:val="24"/>
          <w:lang w:val="en-GB" w:eastAsia="en-GB"/>
        </w:rPr>
        <w:t xml:space="preserve">, 61(2). </w:t>
      </w:r>
      <w:hyperlink r:id="rId97"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7AB6E924"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proofErr w:type="spellStart"/>
      <w:r w:rsidRPr="00320ED2">
        <w:rPr>
          <w:rFonts w:ascii="Arial" w:eastAsia="Times New Roman" w:hAnsi="Arial" w:cs="Arial"/>
          <w:sz w:val="24"/>
          <w:szCs w:val="24"/>
          <w:lang w:val="en-GB" w:eastAsia="en-GB"/>
        </w:rPr>
        <w:t>Deci</w:t>
      </w:r>
      <w:proofErr w:type="spellEnd"/>
      <w:r w:rsidRPr="00320ED2">
        <w:rPr>
          <w:rFonts w:ascii="Arial" w:eastAsia="Times New Roman" w:hAnsi="Arial" w:cs="Arial"/>
          <w:sz w:val="24"/>
          <w:szCs w:val="24"/>
          <w:lang w:val="en-GB" w:eastAsia="en-GB"/>
        </w:rPr>
        <w:t xml:space="preserve">, E.L. and Ryan, R.M. (2000) ‘The “what” and “why” of goal pursuits’, </w:t>
      </w:r>
      <w:r w:rsidRPr="00320ED2">
        <w:rPr>
          <w:rFonts w:ascii="Arial" w:eastAsia="Times New Roman" w:hAnsi="Arial" w:cs="Arial"/>
          <w:i/>
          <w:iCs/>
          <w:sz w:val="24"/>
          <w:szCs w:val="24"/>
          <w:lang w:val="en-GB" w:eastAsia="en-GB"/>
        </w:rPr>
        <w:t>Psychological Inquiry</w:t>
      </w:r>
      <w:r w:rsidRPr="00320ED2">
        <w:rPr>
          <w:rFonts w:ascii="Arial" w:eastAsia="Times New Roman" w:hAnsi="Arial" w:cs="Arial"/>
          <w:sz w:val="24"/>
          <w:szCs w:val="24"/>
          <w:lang w:val="en-GB" w:eastAsia="en-GB"/>
        </w:rPr>
        <w:t xml:space="preserve">, 11(4), pp. 227–268. </w:t>
      </w:r>
      <w:hyperlink r:id="rId98"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561B15F8"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Locke, E.A. and Latham, G.P. (2002) ‘Building a practically useful theory of goal setting’, </w:t>
      </w:r>
      <w:r w:rsidRPr="00320ED2">
        <w:rPr>
          <w:rFonts w:ascii="Arial" w:eastAsia="Times New Roman" w:hAnsi="Arial" w:cs="Arial"/>
          <w:i/>
          <w:iCs/>
          <w:sz w:val="24"/>
          <w:szCs w:val="24"/>
          <w:lang w:val="en-GB" w:eastAsia="en-GB"/>
        </w:rPr>
        <w:t>American Psychologist</w:t>
      </w:r>
      <w:r w:rsidRPr="00320ED2">
        <w:rPr>
          <w:rFonts w:ascii="Arial" w:eastAsia="Times New Roman" w:hAnsi="Arial" w:cs="Arial"/>
          <w:sz w:val="24"/>
          <w:szCs w:val="24"/>
          <w:lang w:val="en-GB" w:eastAsia="en-GB"/>
        </w:rPr>
        <w:t xml:space="preserve">, 57(9), pp. 705–717. </w:t>
      </w:r>
      <w:hyperlink r:id="rId99"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6826B544"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Kotler, P. and Keller, K.L. (2016) </w:t>
      </w:r>
      <w:r w:rsidRPr="00320ED2">
        <w:rPr>
          <w:rFonts w:ascii="Arial" w:eastAsia="Times New Roman" w:hAnsi="Arial" w:cs="Arial"/>
          <w:i/>
          <w:iCs/>
          <w:sz w:val="24"/>
          <w:szCs w:val="24"/>
          <w:lang w:val="en-GB" w:eastAsia="en-GB"/>
        </w:rPr>
        <w:t>Marketing Management</w:t>
      </w:r>
      <w:r w:rsidRPr="00320ED2">
        <w:rPr>
          <w:rFonts w:ascii="Arial" w:eastAsia="Times New Roman" w:hAnsi="Arial" w:cs="Arial"/>
          <w:sz w:val="24"/>
          <w:szCs w:val="24"/>
          <w:lang w:val="en-GB" w:eastAsia="en-GB"/>
        </w:rPr>
        <w:t xml:space="preserve">. 15th </w:t>
      </w:r>
      <w:proofErr w:type="spellStart"/>
      <w:r w:rsidRPr="00320ED2">
        <w:rPr>
          <w:rFonts w:ascii="Arial" w:eastAsia="Times New Roman" w:hAnsi="Arial" w:cs="Arial"/>
          <w:sz w:val="24"/>
          <w:szCs w:val="24"/>
          <w:lang w:val="en-GB" w:eastAsia="en-GB"/>
        </w:rPr>
        <w:t>edn</w:t>
      </w:r>
      <w:proofErr w:type="spellEnd"/>
      <w:r w:rsidRPr="00320ED2">
        <w:rPr>
          <w:rFonts w:ascii="Arial" w:eastAsia="Times New Roman" w:hAnsi="Arial" w:cs="Arial"/>
          <w:sz w:val="24"/>
          <w:szCs w:val="24"/>
          <w:lang w:val="en-GB" w:eastAsia="en-GB"/>
        </w:rPr>
        <w:t xml:space="preserve">. Harlow: Pearson. </w:t>
      </w:r>
      <w:hyperlink r:id="rId100" w:tgtFrame="_blank" w:history="1">
        <w:r w:rsidRPr="00320ED2">
          <w:rPr>
            <w:rFonts w:ascii="Arial" w:eastAsia="Times New Roman" w:hAnsi="Arial" w:cs="Arial"/>
            <w:color w:val="0000FF"/>
            <w:sz w:val="24"/>
            <w:szCs w:val="24"/>
            <w:u w:val="single"/>
            <w:lang w:val="en-GB" w:eastAsia="en-GB"/>
          </w:rPr>
          <w:t>Pearson</w:t>
        </w:r>
      </w:hyperlink>
      <w:r w:rsidRPr="00320ED2">
        <w:rPr>
          <w:rFonts w:ascii="Arial" w:eastAsia="Times New Roman" w:hAnsi="Arial" w:cs="Arial"/>
          <w:sz w:val="24"/>
          <w:szCs w:val="24"/>
          <w:lang w:val="en-GB" w:eastAsia="en-GB"/>
        </w:rPr>
        <w:t xml:space="preserve"> </w:t>
      </w:r>
    </w:p>
    <w:p w14:paraId="3004DA4E"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Lemon, K.N. and </w:t>
      </w:r>
      <w:proofErr w:type="spellStart"/>
      <w:r w:rsidRPr="00320ED2">
        <w:rPr>
          <w:rFonts w:ascii="Arial" w:eastAsia="Times New Roman" w:hAnsi="Arial" w:cs="Arial"/>
          <w:sz w:val="24"/>
          <w:szCs w:val="24"/>
          <w:lang w:val="en-GB" w:eastAsia="en-GB"/>
        </w:rPr>
        <w:t>Verhoef</w:t>
      </w:r>
      <w:proofErr w:type="spellEnd"/>
      <w:r w:rsidRPr="00320ED2">
        <w:rPr>
          <w:rFonts w:ascii="Arial" w:eastAsia="Times New Roman" w:hAnsi="Arial" w:cs="Arial"/>
          <w:sz w:val="24"/>
          <w:szCs w:val="24"/>
          <w:lang w:val="en-GB" w:eastAsia="en-GB"/>
        </w:rPr>
        <w:t xml:space="preserve">, P.C. (2016) ‘Understanding customer experience throughout the customer journey’, </w:t>
      </w:r>
      <w:r w:rsidRPr="00320ED2">
        <w:rPr>
          <w:rFonts w:ascii="Arial" w:eastAsia="Times New Roman" w:hAnsi="Arial" w:cs="Arial"/>
          <w:i/>
          <w:iCs/>
          <w:sz w:val="24"/>
          <w:szCs w:val="24"/>
          <w:lang w:val="en-GB" w:eastAsia="en-GB"/>
        </w:rPr>
        <w:t>Journal of Marketing</w:t>
      </w:r>
      <w:r w:rsidRPr="00320ED2">
        <w:rPr>
          <w:rFonts w:ascii="Arial" w:eastAsia="Times New Roman" w:hAnsi="Arial" w:cs="Arial"/>
          <w:sz w:val="24"/>
          <w:szCs w:val="24"/>
          <w:lang w:val="en-GB" w:eastAsia="en-GB"/>
        </w:rPr>
        <w:t xml:space="preserve">, 80(6), pp. 69–96. </w:t>
      </w:r>
      <w:hyperlink r:id="rId101" w:tgtFrame="_blank" w:history="1">
        <w:r w:rsidRPr="00320ED2">
          <w:rPr>
            <w:rFonts w:ascii="Arial" w:eastAsia="Times New Roman" w:hAnsi="Arial" w:cs="Arial"/>
            <w:color w:val="0000FF"/>
            <w:sz w:val="24"/>
            <w:szCs w:val="24"/>
            <w:u w:val="single"/>
            <w:lang w:val="en-GB" w:eastAsia="en-GB"/>
          </w:rPr>
          <w:t>Article DOI</w:t>
        </w:r>
      </w:hyperlink>
      <w:r w:rsidRPr="00320ED2">
        <w:rPr>
          <w:rFonts w:ascii="Arial" w:eastAsia="Times New Roman" w:hAnsi="Arial" w:cs="Arial"/>
          <w:sz w:val="24"/>
          <w:szCs w:val="24"/>
          <w:lang w:val="en-GB" w:eastAsia="en-GB"/>
        </w:rPr>
        <w:t xml:space="preserve"> </w:t>
      </w:r>
    </w:p>
    <w:p w14:paraId="4537ABB1"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lastRenderedPageBreak/>
        <w:t xml:space="preserve">Payne, A., </w:t>
      </w:r>
      <w:proofErr w:type="spellStart"/>
      <w:r w:rsidRPr="00320ED2">
        <w:rPr>
          <w:rFonts w:ascii="Arial" w:eastAsia="Times New Roman" w:hAnsi="Arial" w:cs="Arial"/>
          <w:sz w:val="24"/>
          <w:szCs w:val="24"/>
          <w:lang w:val="en-GB" w:eastAsia="en-GB"/>
        </w:rPr>
        <w:t>Frow</w:t>
      </w:r>
      <w:proofErr w:type="spellEnd"/>
      <w:r w:rsidRPr="00320ED2">
        <w:rPr>
          <w:rFonts w:ascii="Arial" w:eastAsia="Times New Roman" w:hAnsi="Arial" w:cs="Arial"/>
          <w:sz w:val="24"/>
          <w:szCs w:val="24"/>
          <w:lang w:val="en-GB" w:eastAsia="en-GB"/>
        </w:rPr>
        <w:t xml:space="preserve">, P. and Eggert, A. (2017) ‘A strategic framework for customer relationship management’, </w:t>
      </w:r>
      <w:r w:rsidRPr="00320ED2">
        <w:rPr>
          <w:rFonts w:ascii="Arial" w:eastAsia="Times New Roman" w:hAnsi="Arial" w:cs="Arial"/>
          <w:i/>
          <w:iCs/>
          <w:sz w:val="24"/>
          <w:szCs w:val="24"/>
          <w:lang w:val="en-GB" w:eastAsia="en-GB"/>
        </w:rPr>
        <w:t>Journal of the Academy of Marketing Science</w:t>
      </w:r>
      <w:r w:rsidRPr="00320ED2">
        <w:rPr>
          <w:rFonts w:ascii="Arial" w:eastAsia="Times New Roman" w:hAnsi="Arial" w:cs="Arial"/>
          <w:sz w:val="24"/>
          <w:szCs w:val="24"/>
          <w:lang w:val="en-GB" w:eastAsia="en-GB"/>
        </w:rPr>
        <w:t xml:space="preserve">, 45, pp. 135–152. Article DOI </w:t>
      </w:r>
    </w:p>
    <w:p w14:paraId="03C2787A"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Morgan, N.A. (2012) ‘Marketing and business performance’, </w:t>
      </w:r>
      <w:r w:rsidRPr="00320ED2">
        <w:rPr>
          <w:rFonts w:ascii="Arial" w:eastAsia="Times New Roman" w:hAnsi="Arial" w:cs="Arial"/>
          <w:i/>
          <w:iCs/>
          <w:sz w:val="24"/>
          <w:szCs w:val="24"/>
          <w:lang w:val="en-GB" w:eastAsia="en-GB"/>
        </w:rPr>
        <w:t>Journal of the Academy of Marketing Science</w:t>
      </w:r>
      <w:r w:rsidRPr="00320ED2">
        <w:rPr>
          <w:rFonts w:ascii="Arial" w:eastAsia="Times New Roman" w:hAnsi="Arial" w:cs="Arial"/>
          <w:sz w:val="24"/>
          <w:szCs w:val="24"/>
          <w:lang w:val="en-GB" w:eastAsia="en-GB"/>
        </w:rPr>
        <w:t xml:space="preserve">, 40, pp. 102–119. Article DOI </w:t>
      </w:r>
    </w:p>
    <w:p w14:paraId="56948542" w14:textId="77777777" w:rsidR="00320ED2" w:rsidRPr="00320ED2" w:rsidRDefault="00320ED2" w:rsidP="00320ED2">
      <w:pPr>
        <w:numPr>
          <w:ilvl w:val="0"/>
          <w:numId w:val="47"/>
        </w:numPr>
        <w:spacing w:before="100" w:beforeAutospacing="1" w:after="100" w:afterAutospacing="1" w:line="360" w:lineRule="auto"/>
        <w:jc w:val="both"/>
        <w:rPr>
          <w:rFonts w:ascii="Arial" w:eastAsia="Times New Roman" w:hAnsi="Arial" w:cs="Arial"/>
          <w:sz w:val="24"/>
          <w:szCs w:val="24"/>
          <w:lang w:val="en-GB" w:eastAsia="en-GB"/>
        </w:rPr>
      </w:pPr>
      <w:r w:rsidRPr="00320ED2">
        <w:rPr>
          <w:rFonts w:ascii="Arial" w:eastAsia="Times New Roman" w:hAnsi="Arial" w:cs="Arial"/>
          <w:sz w:val="24"/>
          <w:szCs w:val="24"/>
          <w:lang w:val="en-GB" w:eastAsia="en-GB"/>
        </w:rPr>
        <w:t xml:space="preserve">Hein, A., </w:t>
      </w:r>
      <w:proofErr w:type="spellStart"/>
      <w:r w:rsidRPr="00320ED2">
        <w:rPr>
          <w:rFonts w:ascii="Arial" w:eastAsia="Times New Roman" w:hAnsi="Arial" w:cs="Arial"/>
          <w:sz w:val="24"/>
          <w:szCs w:val="24"/>
          <w:lang w:val="en-GB" w:eastAsia="en-GB"/>
        </w:rPr>
        <w:t>Weking</w:t>
      </w:r>
      <w:proofErr w:type="spellEnd"/>
      <w:r w:rsidRPr="00320ED2">
        <w:rPr>
          <w:rFonts w:ascii="Arial" w:eastAsia="Times New Roman" w:hAnsi="Arial" w:cs="Arial"/>
          <w:sz w:val="24"/>
          <w:szCs w:val="24"/>
          <w:lang w:val="en-GB" w:eastAsia="en-GB"/>
        </w:rPr>
        <w:t xml:space="preserve">, J., </w:t>
      </w:r>
      <w:proofErr w:type="spellStart"/>
      <w:r w:rsidRPr="00320ED2">
        <w:rPr>
          <w:rFonts w:ascii="Arial" w:eastAsia="Times New Roman" w:hAnsi="Arial" w:cs="Arial"/>
          <w:sz w:val="24"/>
          <w:szCs w:val="24"/>
          <w:lang w:val="en-GB" w:eastAsia="en-GB"/>
        </w:rPr>
        <w:t>Schreieck</w:t>
      </w:r>
      <w:proofErr w:type="spellEnd"/>
      <w:r w:rsidRPr="00320ED2">
        <w:rPr>
          <w:rFonts w:ascii="Arial" w:eastAsia="Times New Roman" w:hAnsi="Arial" w:cs="Arial"/>
          <w:sz w:val="24"/>
          <w:szCs w:val="24"/>
          <w:lang w:val="en-GB" w:eastAsia="en-GB"/>
        </w:rPr>
        <w:t xml:space="preserve">, M. and </w:t>
      </w:r>
      <w:proofErr w:type="spellStart"/>
      <w:r w:rsidRPr="00320ED2">
        <w:rPr>
          <w:rFonts w:ascii="Arial" w:eastAsia="Times New Roman" w:hAnsi="Arial" w:cs="Arial"/>
          <w:sz w:val="24"/>
          <w:szCs w:val="24"/>
          <w:lang w:val="en-GB" w:eastAsia="en-GB"/>
        </w:rPr>
        <w:t>Krcmar</w:t>
      </w:r>
      <w:proofErr w:type="spellEnd"/>
      <w:r w:rsidRPr="00320ED2">
        <w:rPr>
          <w:rFonts w:ascii="Arial" w:eastAsia="Times New Roman" w:hAnsi="Arial" w:cs="Arial"/>
          <w:sz w:val="24"/>
          <w:szCs w:val="24"/>
          <w:lang w:val="en-GB" w:eastAsia="en-GB"/>
        </w:rPr>
        <w:t xml:space="preserve">, H. (2022) ‘Continuous business model innovation and dynamic capabilities’, </w:t>
      </w:r>
      <w:r w:rsidRPr="00320ED2">
        <w:rPr>
          <w:rFonts w:ascii="Arial" w:eastAsia="Times New Roman" w:hAnsi="Arial" w:cs="Arial"/>
          <w:i/>
          <w:iCs/>
          <w:sz w:val="24"/>
          <w:szCs w:val="24"/>
          <w:lang w:val="en-GB" w:eastAsia="en-GB"/>
        </w:rPr>
        <w:t>International Journal of Innovation Management</w:t>
      </w:r>
      <w:r w:rsidRPr="00320ED2">
        <w:rPr>
          <w:rFonts w:ascii="Arial" w:eastAsia="Times New Roman" w:hAnsi="Arial" w:cs="Arial"/>
          <w:sz w:val="24"/>
          <w:szCs w:val="24"/>
          <w:lang w:val="en-GB" w:eastAsia="en-GB"/>
        </w:rPr>
        <w:t xml:space="preserve">. </w:t>
      </w:r>
      <w:hyperlink r:id="rId102" w:tgtFrame="_blank" w:history="1">
        <w:r w:rsidRPr="00320ED2">
          <w:rPr>
            <w:rFonts w:ascii="Arial" w:eastAsia="Times New Roman" w:hAnsi="Arial" w:cs="Arial"/>
            <w:color w:val="0000FF"/>
            <w:sz w:val="24"/>
            <w:szCs w:val="24"/>
            <w:u w:val="single"/>
            <w:lang w:val="en-GB" w:eastAsia="en-GB"/>
          </w:rPr>
          <w:t>Article DOI</w:t>
        </w:r>
      </w:hyperlink>
    </w:p>
    <w:p w14:paraId="2FDE5FE9" w14:textId="77777777" w:rsidR="00320ED2" w:rsidRPr="00E61401" w:rsidRDefault="00320ED2" w:rsidP="00E61401">
      <w:pPr>
        <w:spacing w:line="360" w:lineRule="auto"/>
        <w:jc w:val="both"/>
        <w:rPr>
          <w:rFonts w:ascii="Arial" w:hAnsi="Arial" w:cs="Arial"/>
          <w:sz w:val="24"/>
          <w:szCs w:val="24"/>
          <w:lang w:val="en-GB" w:eastAsia="en-GB"/>
        </w:rPr>
      </w:pPr>
    </w:p>
    <w:p w14:paraId="79CA33EF" w14:textId="77777777" w:rsidR="00606942" w:rsidRPr="0049422E" w:rsidRDefault="00606942" w:rsidP="00E04AAD">
      <w:pPr>
        <w:spacing w:before="240" w:line="360" w:lineRule="auto"/>
        <w:jc w:val="both"/>
        <w:rPr>
          <w:rFonts w:ascii="Arial" w:hAnsi="Arial" w:cs="Arial"/>
          <w:sz w:val="24"/>
          <w:szCs w:val="24"/>
          <w:lang w:val="en-GB" w:eastAsia="en-GB"/>
        </w:rPr>
      </w:pPr>
    </w:p>
    <w:sectPr w:rsidR="00606942" w:rsidRPr="0049422E" w:rsidSect="00B50C6B">
      <w:headerReference w:type="default" r:id="rId103"/>
      <w:footerReference w:type="default" r:id="rId10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A1C611" w14:textId="77777777" w:rsidR="00FD46DB" w:rsidRDefault="00FD46DB" w:rsidP="00226B65">
      <w:pPr>
        <w:spacing w:after="0" w:line="240" w:lineRule="auto"/>
      </w:pPr>
      <w:r>
        <w:separator/>
      </w:r>
    </w:p>
  </w:endnote>
  <w:endnote w:type="continuationSeparator" w:id="0">
    <w:p w14:paraId="3416507E" w14:textId="77777777" w:rsidR="00FD46DB" w:rsidRDefault="00FD46DB" w:rsidP="00226B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665987"/>
      <w:docPartObj>
        <w:docPartGallery w:val="Page Numbers (Bottom of Page)"/>
        <w:docPartUnique/>
      </w:docPartObj>
    </w:sdtPr>
    <w:sdtEndPr>
      <w:rPr>
        <w:noProof/>
      </w:rPr>
    </w:sdtEndPr>
    <w:sdtContent>
      <w:p w14:paraId="11FBF282" w14:textId="4A8A94BD" w:rsidR="00FF2927" w:rsidRDefault="00FF2927">
        <w:pPr>
          <w:pStyle w:val="Footer"/>
          <w:jc w:val="center"/>
        </w:pPr>
        <w:r>
          <w:fldChar w:fldCharType="begin"/>
        </w:r>
        <w:r>
          <w:instrText xml:space="preserve"> PAGE   \* MERGEFORMAT </w:instrText>
        </w:r>
        <w:r>
          <w:fldChar w:fldCharType="separate"/>
        </w:r>
        <w:r w:rsidR="00DC6032">
          <w:rPr>
            <w:noProof/>
          </w:rPr>
          <w:t>v</w:t>
        </w:r>
        <w:r>
          <w:rPr>
            <w:noProof/>
          </w:rPr>
          <w:fldChar w:fldCharType="end"/>
        </w:r>
      </w:p>
    </w:sdtContent>
  </w:sdt>
  <w:p w14:paraId="09932598" w14:textId="77777777" w:rsidR="00FF2927" w:rsidRDefault="00FF292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161675"/>
      <w:docPartObj>
        <w:docPartGallery w:val="Page Numbers (Bottom of Page)"/>
        <w:docPartUnique/>
      </w:docPartObj>
    </w:sdtPr>
    <w:sdtEndPr>
      <w:rPr>
        <w:noProof/>
      </w:rPr>
    </w:sdtEndPr>
    <w:sdtContent>
      <w:p w14:paraId="3135B97B" w14:textId="0255C9DB" w:rsidR="00FF2927" w:rsidRDefault="00FF2927">
        <w:pPr>
          <w:pStyle w:val="Footer"/>
          <w:jc w:val="center"/>
        </w:pPr>
        <w:r>
          <w:fldChar w:fldCharType="begin"/>
        </w:r>
        <w:r>
          <w:instrText xml:space="preserve"> PAGE   \* MERGEFORMAT </w:instrText>
        </w:r>
        <w:r>
          <w:fldChar w:fldCharType="separate"/>
        </w:r>
        <w:r w:rsidR="00DC6032">
          <w:rPr>
            <w:noProof/>
          </w:rPr>
          <w:t>1</w:t>
        </w:r>
        <w:r>
          <w:rPr>
            <w:noProof/>
          </w:rPr>
          <w:fldChar w:fldCharType="end"/>
        </w:r>
      </w:p>
    </w:sdtContent>
  </w:sdt>
  <w:p w14:paraId="751981B7" w14:textId="77777777" w:rsidR="00FF2927" w:rsidRPr="00F706E3" w:rsidRDefault="00FF2927">
    <w:pPr>
      <w:pStyle w:val="Footer"/>
      <w:rPr>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32B52" w14:textId="77777777" w:rsidR="00FD46DB" w:rsidRDefault="00FD46DB" w:rsidP="00226B65">
      <w:pPr>
        <w:spacing w:after="0" w:line="240" w:lineRule="auto"/>
      </w:pPr>
      <w:r>
        <w:separator/>
      </w:r>
    </w:p>
  </w:footnote>
  <w:footnote w:type="continuationSeparator" w:id="0">
    <w:p w14:paraId="5F41BC20" w14:textId="77777777" w:rsidR="00FD46DB" w:rsidRDefault="00FD46DB" w:rsidP="00226B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04CB" w14:textId="77777777" w:rsidR="00FF2927" w:rsidRDefault="00FF292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2578"/>
    <w:multiLevelType w:val="multilevel"/>
    <w:tmpl w:val="4E38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860767"/>
    <w:multiLevelType w:val="multilevel"/>
    <w:tmpl w:val="4036A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A0B52"/>
    <w:multiLevelType w:val="multilevel"/>
    <w:tmpl w:val="D8A60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77D5A"/>
    <w:multiLevelType w:val="multilevel"/>
    <w:tmpl w:val="85F48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31094"/>
    <w:multiLevelType w:val="multilevel"/>
    <w:tmpl w:val="4FC84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C309F0"/>
    <w:multiLevelType w:val="multilevel"/>
    <w:tmpl w:val="DABAB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373DE2"/>
    <w:multiLevelType w:val="multilevel"/>
    <w:tmpl w:val="7BE0D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C446E3"/>
    <w:multiLevelType w:val="hybridMultilevel"/>
    <w:tmpl w:val="82FA4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264844"/>
    <w:multiLevelType w:val="multilevel"/>
    <w:tmpl w:val="22D84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4E6A2D"/>
    <w:multiLevelType w:val="multilevel"/>
    <w:tmpl w:val="051A3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04601A"/>
    <w:multiLevelType w:val="multilevel"/>
    <w:tmpl w:val="0CE61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627FA0"/>
    <w:multiLevelType w:val="multilevel"/>
    <w:tmpl w:val="F6E2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6E167F"/>
    <w:multiLevelType w:val="multilevel"/>
    <w:tmpl w:val="59383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E11CB2"/>
    <w:multiLevelType w:val="hybridMultilevel"/>
    <w:tmpl w:val="30D851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F5236E"/>
    <w:multiLevelType w:val="multilevel"/>
    <w:tmpl w:val="D106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1C4BD4"/>
    <w:multiLevelType w:val="hybridMultilevel"/>
    <w:tmpl w:val="AED6C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046752"/>
    <w:multiLevelType w:val="multilevel"/>
    <w:tmpl w:val="F954B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5D1F11"/>
    <w:multiLevelType w:val="multilevel"/>
    <w:tmpl w:val="2912F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F02E27"/>
    <w:multiLevelType w:val="multilevel"/>
    <w:tmpl w:val="83526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605FC9"/>
    <w:multiLevelType w:val="multilevel"/>
    <w:tmpl w:val="E1C03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66648C"/>
    <w:multiLevelType w:val="multilevel"/>
    <w:tmpl w:val="5B8C6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6739B5"/>
    <w:multiLevelType w:val="multilevel"/>
    <w:tmpl w:val="0E8ED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0012B1"/>
    <w:multiLevelType w:val="multilevel"/>
    <w:tmpl w:val="6844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213DCE"/>
    <w:multiLevelType w:val="multilevel"/>
    <w:tmpl w:val="A9BE5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B80556"/>
    <w:multiLevelType w:val="multilevel"/>
    <w:tmpl w:val="AA3A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BC1016"/>
    <w:multiLevelType w:val="multilevel"/>
    <w:tmpl w:val="9BA6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3C25AB"/>
    <w:multiLevelType w:val="hybridMultilevel"/>
    <w:tmpl w:val="733C66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234BCD"/>
    <w:multiLevelType w:val="multilevel"/>
    <w:tmpl w:val="9D3C6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007B0E"/>
    <w:multiLevelType w:val="multilevel"/>
    <w:tmpl w:val="5482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DF3238"/>
    <w:multiLevelType w:val="multilevel"/>
    <w:tmpl w:val="7A8CE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0B7E46"/>
    <w:multiLevelType w:val="hybridMultilevel"/>
    <w:tmpl w:val="0922CA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7A51B9"/>
    <w:multiLevelType w:val="multilevel"/>
    <w:tmpl w:val="E04A0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80485A"/>
    <w:multiLevelType w:val="multilevel"/>
    <w:tmpl w:val="AB86B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7437BB"/>
    <w:multiLevelType w:val="multilevel"/>
    <w:tmpl w:val="5A8C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6F75A0"/>
    <w:multiLevelType w:val="multilevel"/>
    <w:tmpl w:val="7C30C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9F22D0"/>
    <w:multiLevelType w:val="multilevel"/>
    <w:tmpl w:val="6E6A7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986486"/>
    <w:multiLevelType w:val="multilevel"/>
    <w:tmpl w:val="6AAE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EB0484"/>
    <w:multiLevelType w:val="multilevel"/>
    <w:tmpl w:val="E2BA8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3A4D8E"/>
    <w:multiLevelType w:val="multilevel"/>
    <w:tmpl w:val="30B4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E71192"/>
    <w:multiLevelType w:val="multilevel"/>
    <w:tmpl w:val="9B26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D434E0"/>
    <w:multiLevelType w:val="multilevel"/>
    <w:tmpl w:val="7A581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A34F69"/>
    <w:multiLevelType w:val="multilevel"/>
    <w:tmpl w:val="8938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3E0FED"/>
    <w:multiLevelType w:val="multilevel"/>
    <w:tmpl w:val="337689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433E07"/>
    <w:multiLevelType w:val="multilevel"/>
    <w:tmpl w:val="82E28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AF3228"/>
    <w:multiLevelType w:val="multilevel"/>
    <w:tmpl w:val="D2EAE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B9B3EE9"/>
    <w:multiLevelType w:val="hybridMultilevel"/>
    <w:tmpl w:val="454A8E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6A4DC6"/>
    <w:multiLevelType w:val="multilevel"/>
    <w:tmpl w:val="B850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5"/>
  </w:num>
  <w:num w:numId="3">
    <w:abstractNumId w:val="43"/>
  </w:num>
  <w:num w:numId="4">
    <w:abstractNumId w:val="15"/>
  </w:num>
  <w:num w:numId="5">
    <w:abstractNumId w:val="26"/>
  </w:num>
  <w:num w:numId="6">
    <w:abstractNumId w:val="30"/>
  </w:num>
  <w:num w:numId="7">
    <w:abstractNumId w:val="42"/>
  </w:num>
  <w:num w:numId="8">
    <w:abstractNumId w:val="9"/>
  </w:num>
  <w:num w:numId="9">
    <w:abstractNumId w:val="3"/>
  </w:num>
  <w:num w:numId="10">
    <w:abstractNumId w:val="4"/>
  </w:num>
  <w:num w:numId="11">
    <w:abstractNumId w:val="33"/>
  </w:num>
  <w:num w:numId="12">
    <w:abstractNumId w:val="39"/>
  </w:num>
  <w:num w:numId="13">
    <w:abstractNumId w:val="37"/>
  </w:num>
  <w:num w:numId="14">
    <w:abstractNumId w:val="12"/>
  </w:num>
  <w:num w:numId="15">
    <w:abstractNumId w:val="8"/>
  </w:num>
  <w:num w:numId="16">
    <w:abstractNumId w:val="18"/>
  </w:num>
  <w:num w:numId="17">
    <w:abstractNumId w:val="36"/>
  </w:num>
  <w:num w:numId="18">
    <w:abstractNumId w:val="2"/>
  </w:num>
  <w:num w:numId="19">
    <w:abstractNumId w:val="44"/>
  </w:num>
  <w:num w:numId="20">
    <w:abstractNumId w:val="1"/>
  </w:num>
  <w:num w:numId="21">
    <w:abstractNumId w:val="40"/>
  </w:num>
  <w:num w:numId="22">
    <w:abstractNumId w:val="5"/>
  </w:num>
  <w:num w:numId="23">
    <w:abstractNumId w:val="28"/>
  </w:num>
  <w:num w:numId="24">
    <w:abstractNumId w:val="21"/>
  </w:num>
  <w:num w:numId="25">
    <w:abstractNumId w:val="11"/>
  </w:num>
  <w:num w:numId="26">
    <w:abstractNumId w:val="25"/>
  </w:num>
  <w:num w:numId="27">
    <w:abstractNumId w:val="0"/>
  </w:num>
  <w:num w:numId="28">
    <w:abstractNumId w:val="41"/>
  </w:num>
  <w:num w:numId="29">
    <w:abstractNumId w:val="38"/>
  </w:num>
  <w:num w:numId="30">
    <w:abstractNumId w:val="35"/>
  </w:num>
  <w:num w:numId="31">
    <w:abstractNumId w:val="14"/>
  </w:num>
  <w:num w:numId="32">
    <w:abstractNumId w:val="29"/>
  </w:num>
  <w:num w:numId="33">
    <w:abstractNumId w:val="16"/>
  </w:num>
  <w:num w:numId="34">
    <w:abstractNumId w:val="6"/>
  </w:num>
  <w:num w:numId="35">
    <w:abstractNumId w:val="17"/>
  </w:num>
  <w:num w:numId="36">
    <w:abstractNumId w:val="46"/>
  </w:num>
  <w:num w:numId="37">
    <w:abstractNumId w:val="27"/>
  </w:num>
  <w:num w:numId="38">
    <w:abstractNumId w:val="10"/>
  </w:num>
  <w:num w:numId="39">
    <w:abstractNumId w:val="13"/>
  </w:num>
  <w:num w:numId="40">
    <w:abstractNumId w:val="24"/>
  </w:num>
  <w:num w:numId="41">
    <w:abstractNumId w:val="19"/>
  </w:num>
  <w:num w:numId="42">
    <w:abstractNumId w:val="22"/>
  </w:num>
  <w:num w:numId="43">
    <w:abstractNumId w:val="34"/>
  </w:num>
  <w:num w:numId="44">
    <w:abstractNumId w:val="31"/>
  </w:num>
  <w:num w:numId="45">
    <w:abstractNumId w:val="32"/>
  </w:num>
  <w:num w:numId="46">
    <w:abstractNumId w:val="23"/>
  </w:num>
  <w:num w:numId="47">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30"/>
    <w:rsid w:val="0000170D"/>
    <w:rsid w:val="00002D76"/>
    <w:rsid w:val="00004D04"/>
    <w:rsid w:val="00004D6C"/>
    <w:rsid w:val="00004F05"/>
    <w:rsid w:val="00007561"/>
    <w:rsid w:val="00007FFB"/>
    <w:rsid w:val="000117E4"/>
    <w:rsid w:val="00012261"/>
    <w:rsid w:val="00013335"/>
    <w:rsid w:val="0001370B"/>
    <w:rsid w:val="00015648"/>
    <w:rsid w:val="00023F41"/>
    <w:rsid w:val="0002406A"/>
    <w:rsid w:val="00027E3A"/>
    <w:rsid w:val="0003067C"/>
    <w:rsid w:val="0003247A"/>
    <w:rsid w:val="00036E37"/>
    <w:rsid w:val="00041586"/>
    <w:rsid w:val="000438AB"/>
    <w:rsid w:val="00044370"/>
    <w:rsid w:val="000447C7"/>
    <w:rsid w:val="00045BE0"/>
    <w:rsid w:val="00046CE1"/>
    <w:rsid w:val="000479E1"/>
    <w:rsid w:val="00047C8C"/>
    <w:rsid w:val="00050148"/>
    <w:rsid w:val="00052669"/>
    <w:rsid w:val="000573C7"/>
    <w:rsid w:val="00064403"/>
    <w:rsid w:val="000720BB"/>
    <w:rsid w:val="00072CF9"/>
    <w:rsid w:val="00074493"/>
    <w:rsid w:val="000754D0"/>
    <w:rsid w:val="000755AF"/>
    <w:rsid w:val="00082254"/>
    <w:rsid w:val="00094C6A"/>
    <w:rsid w:val="00095B12"/>
    <w:rsid w:val="000A0440"/>
    <w:rsid w:val="000A1D89"/>
    <w:rsid w:val="000A297B"/>
    <w:rsid w:val="000A5248"/>
    <w:rsid w:val="000A66F0"/>
    <w:rsid w:val="000A6A23"/>
    <w:rsid w:val="000A7D86"/>
    <w:rsid w:val="000B0548"/>
    <w:rsid w:val="000B2740"/>
    <w:rsid w:val="000B2756"/>
    <w:rsid w:val="000B3E28"/>
    <w:rsid w:val="000B4B84"/>
    <w:rsid w:val="000B5FCE"/>
    <w:rsid w:val="000B6E6E"/>
    <w:rsid w:val="000C4DA0"/>
    <w:rsid w:val="000C6B7F"/>
    <w:rsid w:val="000C7D8E"/>
    <w:rsid w:val="000C7FAD"/>
    <w:rsid w:val="000D5F4B"/>
    <w:rsid w:val="000D674A"/>
    <w:rsid w:val="000E1B28"/>
    <w:rsid w:val="000E68F1"/>
    <w:rsid w:val="000E76ED"/>
    <w:rsid w:val="000F0747"/>
    <w:rsid w:val="000F0956"/>
    <w:rsid w:val="000F0EB4"/>
    <w:rsid w:val="000F5EA9"/>
    <w:rsid w:val="00100F99"/>
    <w:rsid w:val="00105DB6"/>
    <w:rsid w:val="001064E9"/>
    <w:rsid w:val="00106CC9"/>
    <w:rsid w:val="00113FA5"/>
    <w:rsid w:val="00114D7F"/>
    <w:rsid w:val="00116CDA"/>
    <w:rsid w:val="00120896"/>
    <w:rsid w:val="00122C26"/>
    <w:rsid w:val="00124FA6"/>
    <w:rsid w:val="001254F4"/>
    <w:rsid w:val="001269B6"/>
    <w:rsid w:val="001346AE"/>
    <w:rsid w:val="00134C55"/>
    <w:rsid w:val="00137567"/>
    <w:rsid w:val="0014511B"/>
    <w:rsid w:val="0014628F"/>
    <w:rsid w:val="00153F74"/>
    <w:rsid w:val="00154BCB"/>
    <w:rsid w:val="001640E8"/>
    <w:rsid w:val="00167C72"/>
    <w:rsid w:val="00167EB0"/>
    <w:rsid w:val="00170C56"/>
    <w:rsid w:val="00172363"/>
    <w:rsid w:val="001740E6"/>
    <w:rsid w:val="00176736"/>
    <w:rsid w:val="001801FE"/>
    <w:rsid w:val="00180666"/>
    <w:rsid w:val="00187F30"/>
    <w:rsid w:val="001906A4"/>
    <w:rsid w:val="001929B4"/>
    <w:rsid w:val="001962E4"/>
    <w:rsid w:val="001964B6"/>
    <w:rsid w:val="001A08AB"/>
    <w:rsid w:val="001A2504"/>
    <w:rsid w:val="001A5991"/>
    <w:rsid w:val="001A686C"/>
    <w:rsid w:val="001A70A9"/>
    <w:rsid w:val="001A7189"/>
    <w:rsid w:val="001B0AF8"/>
    <w:rsid w:val="001B2435"/>
    <w:rsid w:val="001B3201"/>
    <w:rsid w:val="001B6E3E"/>
    <w:rsid w:val="001C26FD"/>
    <w:rsid w:val="001D3EBB"/>
    <w:rsid w:val="001D5EF2"/>
    <w:rsid w:val="001D7434"/>
    <w:rsid w:val="001E339C"/>
    <w:rsid w:val="001E64B7"/>
    <w:rsid w:val="001F27A2"/>
    <w:rsid w:val="001F2B4D"/>
    <w:rsid w:val="002049FF"/>
    <w:rsid w:val="00206428"/>
    <w:rsid w:val="002068A4"/>
    <w:rsid w:val="002073FB"/>
    <w:rsid w:val="00211196"/>
    <w:rsid w:val="002119EB"/>
    <w:rsid w:val="002129FD"/>
    <w:rsid w:val="00212ED5"/>
    <w:rsid w:val="002152EC"/>
    <w:rsid w:val="0021585B"/>
    <w:rsid w:val="002170D5"/>
    <w:rsid w:val="00217291"/>
    <w:rsid w:val="00220330"/>
    <w:rsid w:val="00220A5E"/>
    <w:rsid w:val="00221E59"/>
    <w:rsid w:val="00225388"/>
    <w:rsid w:val="00226606"/>
    <w:rsid w:val="00226B65"/>
    <w:rsid w:val="00226C15"/>
    <w:rsid w:val="0023208B"/>
    <w:rsid w:val="00233662"/>
    <w:rsid w:val="00236100"/>
    <w:rsid w:val="00241AE4"/>
    <w:rsid w:val="0024412D"/>
    <w:rsid w:val="00244702"/>
    <w:rsid w:val="00244CCB"/>
    <w:rsid w:val="00244FAE"/>
    <w:rsid w:val="00250651"/>
    <w:rsid w:val="002520F7"/>
    <w:rsid w:val="00253991"/>
    <w:rsid w:val="002570C1"/>
    <w:rsid w:val="002576E9"/>
    <w:rsid w:val="002620F2"/>
    <w:rsid w:val="00265497"/>
    <w:rsid w:val="00270008"/>
    <w:rsid w:val="00284522"/>
    <w:rsid w:val="00287FB7"/>
    <w:rsid w:val="002920E6"/>
    <w:rsid w:val="002930B6"/>
    <w:rsid w:val="00293DE1"/>
    <w:rsid w:val="00294FF8"/>
    <w:rsid w:val="002A1E74"/>
    <w:rsid w:val="002A6FCA"/>
    <w:rsid w:val="002A72BC"/>
    <w:rsid w:val="002B1BD3"/>
    <w:rsid w:val="002B3460"/>
    <w:rsid w:val="002B5F3C"/>
    <w:rsid w:val="002B623B"/>
    <w:rsid w:val="002B719C"/>
    <w:rsid w:val="002B7538"/>
    <w:rsid w:val="002C218A"/>
    <w:rsid w:val="002C23A0"/>
    <w:rsid w:val="002C6544"/>
    <w:rsid w:val="002D3C6B"/>
    <w:rsid w:val="002D4A25"/>
    <w:rsid w:val="002D6462"/>
    <w:rsid w:val="002D7021"/>
    <w:rsid w:val="002E1E0A"/>
    <w:rsid w:val="002E2D64"/>
    <w:rsid w:val="002E4DF0"/>
    <w:rsid w:val="002E5287"/>
    <w:rsid w:val="002F1D43"/>
    <w:rsid w:val="002F6A3D"/>
    <w:rsid w:val="00302559"/>
    <w:rsid w:val="00304029"/>
    <w:rsid w:val="00306545"/>
    <w:rsid w:val="00312AF4"/>
    <w:rsid w:val="00313BDB"/>
    <w:rsid w:val="003145AB"/>
    <w:rsid w:val="003146AD"/>
    <w:rsid w:val="0031596D"/>
    <w:rsid w:val="00316DB9"/>
    <w:rsid w:val="00320ED2"/>
    <w:rsid w:val="003220A6"/>
    <w:rsid w:val="003238BC"/>
    <w:rsid w:val="00325211"/>
    <w:rsid w:val="00326EBB"/>
    <w:rsid w:val="0032756A"/>
    <w:rsid w:val="00332B69"/>
    <w:rsid w:val="00335E27"/>
    <w:rsid w:val="00336C69"/>
    <w:rsid w:val="00336F5B"/>
    <w:rsid w:val="0034076E"/>
    <w:rsid w:val="00340969"/>
    <w:rsid w:val="00345B65"/>
    <w:rsid w:val="003546B9"/>
    <w:rsid w:val="003554EF"/>
    <w:rsid w:val="00356452"/>
    <w:rsid w:val="00361E3B"/>
    <w:rsid w:val="003657C6"/>
    <w:rsid w:val="003676E0"/>
    <w:rsid w:val="0037334C"/>
    <w:rsid w:val="00376D86"/>
    <w:rsid w:val="003806B5"/>
    <w:rsid w:val="0038198C"/>
    <w:rsid w:val="003822FD"/>
    <w:rsid w:val="00383247"/>
    <w:rsid w:val="00396281"/>
    <w:rsid w:val="0039798E"/>
    <w:rsid w:val="003A271D"/>
    <w:rsid w:val="003A3412"/>
    <w:rsid w:val="003A39A4"/>
    <w:rsid w:val="003A6E14"/>
    <w:rsid w:val="003B088A"/>
    <w:rsid w:val="003B1110"/>
    <w:rsid w:val="003B2213"/>
    <w:rsid w:val="003B27F6"/>
    <w:rsid w:val="003B280D"/>
    <w:rsid w:val="003B45A8"/>
    <w:rsid w:val="003C26CE"/>
    <w:rsid w:val="003C45F7"/>
    <w:rsid w:val="003C550C"/>
    <w:rsid w:val="003C60B2"/>
    <w:rsid w:val="003C7318"/>
    <w:rsid w:val="003D071E"/>
    <w:rsid w:val="003D0CA0"/>
    <w:rsid w:val="003D393B"/>
    <w:rsid w:val="003D42B7"/>
    <w:rsid w:val="003D7187"/>
    <w:rsid w:val="003E0A7D"/>
    <w:rsid w:val="003E0AAA"/>
    <w:rsid w:val="003E4183"/>
    <w:rsid w:val="003E554F"/>
    <w:rsid w:val="003F047C"/>
    <w:rsid w:val="003F17FF"/>
    <w:rsid w:val="00402F9F"/>
    <w:rsid w:val="00403881"/>
    <w:rsid w:val="00410EE2"/>
    <w:rsid w:val="00415A7C"/>
    <w:rsid w:val="00415D83"/>
    <w:rsid w:val="00420F82"/>
    <w:rsid w:val="004229B7"/>
    <w:rsid w:val="00422ACC"/>
    <w:rsid w:val="004257F5"/>
    <w:rsid w:val="00426935"/>
    <w:rsid w:val="00430977"/>
    <w:rsid w:val="00433D54"/>
    <w:rsid w:val="004374F8"/>
    <w:rsid w:val="00440CB8"/>
    <w:rsid w:val="004439A2"/>
    <w:rsid w:val="00445244"/>
    <w:rsid w:val="00453801"/>
    <w:rsid w:val="00453BDD"/>
    <w:rsid w:val="00460368"/>
    <w:rsid w:val="00460EDC"/>
    <w:rsid w:val="00460F76"/>
    <w:rsid w:val="004664C0"/>
    <w:rsid w:val="00467C2B"/>
    <w:rsid w:val="00475CF8"/>
    <w:rsid w:val="004778E6"/>
    <w:rsid w:val="00482C55"/>
    <w:rsid w:val="0048704A"/>
    <w:rsid w:val="00493CD3"/>
    <w:rsid w:val="0049422E"/>
    <w:rsid w:val="00494567"/>
    <w:rsid w:val="00497383"/>
    <w:rsid w:val="004A0E5E"/>
    <w:rsid w:val="004A2239"/>
    <w:rsid w:val="004A3190"/>
    <w:rsid w:val="004A3ACD"/>
    <w:rsid w:val="004A4D7C"/>
    <w:rsid w:val="004A5857"/>
    <w:rsid w:val="004A669A"/>
    <w:rsid w:val="004A6E35"/>
    <w:rsid w:val="004A7C6B"/>
    <w:rsid w:val="004B2D5C"/>
    <w:rsid w:val="004B7F03"/>
    <w:rsid w:val="004C0434"/>
    <w:rsid w:val="004C1558"/>
    <w:rsid w:val="004C2484"/>
    <w:rsid w:val="004C5F1B"/>
    <w:rsid w:val="004C67BA"/>
    <w:rsid w:val="004C6BDB"/>
    <w:rsid w:val="004D0A7B"/>
    <w:rsid w:val="004D498B"/>
    <w:rsid w:val="004E1A81"/>
    <w:rsid w:val="004E5561"/>
    <w:rsid w:val="004E59D2"/>
    <w:rsid w:val="004F0EA4"/>
    <w:rsid w:val="004F1B66"/>
    <w:rsid w:val="004F1B8C"/>
    <w:rsid w:val="004F31F9"/>
    <w:rsid w:val="004F7E53"/>
    <w:rsid w:val="005007A7"/>
    <w:rsid w:val="0050370C"/>
    <w:rsid w:val="00505BC0"/>
    <w:rsid w:val="0050713D"/>
    <w:rsid w:val="00507E1C"/>
    <w:rsid w:val="00512825"/>
    <w:rsid w:val="00513767"/>
    <w:rsid w:val="00515CB2"/>
    <w:rsid w:val="005174E7"/>
    <w:rsid w:val="00520D8F"/>
    <w:rsid w:val="005210CD"/>
    <w:rsid w:val="00522D32"/>
    <w:rsid w:val="00523927"/>
    <w:rsid w:val="00523B1C"/>
    <w:rsid w:val="00526E02"/>
    <w:rsid w:val="00532B48"/>
    <w:rsid w:val="00534005"/>
    <w:rsid w:val="005356A2"/>
    <w:rsid w:val="00537015"/>
    <w:rsid w:val="005410CD"/>
    <w:rsid w:val="00547219"/>
    <w:rsid w:val="0055279E"/>
    <w:rsid w:val="00556B65"/>
    <w:rsid w:val="005572AB"/>
    <w:rsid w:val="00561392"/>
    <w:rsid w:val="00562A0A"/>
    <w:rsid w:val="00563659"/>
    <w:rsid w:val="005647F3"/>
    <w:rsid w:val="00573E08"/>
    <w:rsid w:val="00574327"/>
    <w:rsid w:val="005829EB"/>
    <w:rsid w:val="00583BA8"/>
    <w:rsid w:val="005846CF"/>
    <w:rsid w:val="00584996"/>
    <w:rsid w:val="005859A6"/>
    <w:rsid w:val="00587052"/>
    <w:rsid w:val="0059125D"/>
    <w:rsid w:val="005916C6"/>
    <w:rsid w:val="005935D1"/>
    <w:rsid w:val="005942B4"/>
    <w:rsid w:val="00596E2D"/>
    <w:rsid w:val="005A3143"/>
    <w:rsid w:val="005A3D8C"/>
    <w:rsid w:val="005A4E1A"/>
    <w:rsid w:val="005A5A78"/>
    <w:rsid w:val="005A6570"/>
    <w:rsid w:val="005B1BE5"/>
    <w:rsid w:val="005B203B"/>
    <w:rsid w:val="005B7A69"/>
    <w:rsid w:val="005C08FE"/>
    <w:rsid w:val="005C5A1B"/>
    <w:rsid w:val="005C7A31"/>
    <w:rsid w:val="005D05D7"/>
    <w:rsid w:val="005D1B65"/>
    <w:rsid w:val="005D2B4F"/>
    <w:rsid w:val="005D4446"/>
    <w:rsid w:val="005D5DFF"/>
    <w:rsid w:val="005D7E96"/>
    <w:rsid w:val="005E651E"/>
    <w:rsid w:val="005F32BF"/>
    <w:rsid w:val="005F50A5"/>
    <w:rsid w:val="005F5171"/>
    <w:rsid w:val="005F5B09"/>
    <w:rsid w:val="00600C4A"/>
    <w:rsid w:val="00604954"/>
    <w:rsid w:val="00606019"/>
    <w:rsid w:val="00606942"/>
    <w:rsid w:val="006130A6"/>
    <w:rsid w:val="00622191"/>
    <w:rsid w:val="00624EC2"/>
    <w:rsid w:val="0063171D"/>
    <w:rsid w:val="00632A83"/>
    <w:rsid w:val="00641A51"/>
    <w:rsid w:val="00642665"/>
    <w:rsid w:val="00646D06"/>
    <w:rsid w:val="00651809"/>
    <w:rsid w:val="0065437D"/>
    <w:rsid w:val="006562F7"/>
    <w:rsid w:val="00656CC7"/>
    <w:rsid w:val="00661A72"/>
    <w:rsid w:val="0066448A"/>
    <w:rsid w:val="006657D1"/>
    <w:rsid w:val="00666BD6"/>
    <w:rsid w:val="0066772B"/>
    <w:rsid w:val="00670F56"/>
    <w:rsid w:val="0067434B"/>
    <w:rsid w:val="00674D39"/>
    <w:rsid w:val="006759BF"/>
    <w:rsid w:val="006801A4"/>
    <w:rsid w:val="006811F5"/>
    <w:rsid w:val="00682321"/>
    <w:rsid w:val="006828AF"/>
    <w:rsid w:val="00683B26"/>
    <w:rsid w:val="0068478F"/>
    <w:rsid w:val="00685B04"/>
    <w:rsid w:val="0069026C"/>
    <w:rsid w:val="00690A54"/>
    <w:rsid w:val="00691DE2"/>
    <w:rsid w:val="00692F51"/>
    <w:rsid w:val="006A3C5B"/>
    <w:rsid w:val="006A445B"/>
    <w:rsid w:val="006A52C0"/>
    <w:rsid w:val="006A5392"/>
    <w:rsid w:val="006A67AF"/>
    <w:rsid w:val="006B0B70"/>
    <w:rsid w:val="006B10AA"/>
    <w:rsid w:val="006B2BF5"/>
    <w:rsid w:val="006B2C43"/>
    <w:rsid w:val="006B2F97"/>
    <w:rsid w:val="006B4CFC"/>
    <w:rsid w:val="006B4F02"/>
    <w:rsid w:val="006B68BD"/>
    <w:rsid w:val="006C1E78"/>
    <w:rsid w:val="006C24DA"/>
    <w:rsid w:val="006C4681"/>
    <w:rsid w:val="006C7061"/>
    <w:rsid w:val="006D021F"/>
    <w:rsid w:val="006D0F86"/>
    <w:rsid w:val="006D1ABF"/>
    <w:rsid w:val="006D2A89"/>
    <w:rsid w:val="006D3621"/>
    <w:rsid w:val="006D4429"/>
    <w:rsid w:val="006D527A"/>
    <w:rsid w:val="006E19FF"/>
    <w:rsid w:val="006E29E7"/>
    <w:rsid w:val="006E45FD"/>
    <w:rsid w:val="006E4CEC"/>
    <w:rsid w:val="006E6B3E"/>
    <w:rsid w:val="006F45D0"/>
    <w:rsid w:val="006F5AA8"/>
    <w:rsid w:val="006F72FE"/>
    <w:rsid w:val="006F7B3F"/>
    <w:rsid w:val="00700D03"/>
    <w:rsid w:val="00700D77"/>
    <w:rsid w:val="00702DCA"/>
    <w:rsid w:val="007058AB"/>
    <w:rsid w:val="00706755"/>
    <w:rsid w:val="00710133"/>
    <w:rsid w:val="00712E6C"/>
    <w:rsid w:val="00714606"/>
    <w:rsid w:val="00717230"/>
    <w:rsid w:val="00717BB1"/>
    <w:rsid w:val="007238C4"/>
    <w:rsid w:val="00727433"/>
    <w:rsid w:val="007301C6"/>
    <w:rsid w:val="007313BE"/>
    <w:rsid w:val="00740946"/>
    <w:rsid w:val="00741047"/>
    <w:rsid w:val="00741A4B"/>
    <w:rsid w:val="007510F2"/>
    <w:rsid w:val="00751DB9"/>
    <w:rsid w:val="00762B89"/>
    <w:rsid w:val="007650F8"/>
    <w:rsid w:val="0076720A"/>
    <w:rsid w:val="00767602"/>
    <w:rsid w:val="00771400"/>
    <w:rsid w:val="00773250"/>
    <w:rsid w:val="007732CB"/>
    <w:rsid w:val="00773DB6"/>
    <w:rsid w:val="00776EF3"/>
    <w:rsid w:val="007771A9"/>
    <w:rsid w:val="00777E77"/>
    <w:rsid w:val="00780295"/>
    <w:rsid w:val="007838AA"/>
    <w:rsid w:val="00783E97"/>
    <w:rsid w:val="00787832"/>
    <w:rsid w:val="00794174"/>
    <w:rsid w:val="00795405"/>
    <w:rsid w:val="007958E5"/>
    <w:rsid w:val="0079692D"/>
    <w:rsid w:val="007A2F5B"/>
    <w:rsid w:val="007A3BC5"/>
    <w:rsid w:val="007A7768"/>
    <w:rsid w:val="007B0C7A"/>
    <w:rsid w:val="007B17AF"/>
    <w:rsid w:val="007B2D07"/>
    <w:rsid w:val="007B5032"/>
    <w:rsid w:val="007B5D82"/>
    <w:rsid w:val="007B6510"/>
    <w:rsid w:val="007C50AF"/>
    <w:rsid w:val="007C5D58"/>
    <w:rsid w:val="007C6449"/>
    <w:rsid w:val="007D20A3"/>
    <w:rsid w:val="007D575E"/>
    <w:rsid w:val="007D6B38"/>
    <w:rsid w:val="007D762A"/>
    <w:rsid w:val="007E1958"/>
    <w:rsid w:val="007E238F"/>
    <w:rsid w:val="007F00D9"/>
    <w:rsid w:val="007F3C9C"/>
    <w:rsid w:val="007F44DE"/>
    <w:rsid w:val="007F46AC"/>
    <w:rsid w:val="008008A7"/>
    <w:rsid w:val="00801A51"/>
    <w:rsid w:val="008028C3"/>
    <w:rsid w:val="008058A4"/>
    <w:rsid w:val="00830A28"/>
    <w:rsid w:val="00831696"/>
    <w:rsid w:val="008328A6"/>
    <w:rsid w:val="00835784"/>
    <w:rsid w:val="00835E9A"/>
    <w:rsid w:val="0084379F"/>
    <w:rsid w:val="00846ED2"/>
    <w:rsid w:val="008505D3"/>
    <w:rsid w:val="008526BD"/>
    <w:rsid w:val="008558D0"/>
    <w:rsid w:val="00855D08"/>
    <w:rsid w:val="00856BBB"/>
    <w:rsid w:val="00864625"/>
    <w:rsid w:val="0086473A"/>
    <w:rsid w:val="00871EDA"/>
    <w:rsid w:val="00873848"/>
    <w:rsid w:val="00873C00"/>
    <w:rsid w:val="008740F8"/>
    <w:rsid w:val="008741B9"/>
    <w:rsid w:val="00887DE5"/>
    <w:rsid w:val="00890E7B"/>
    <w:rsid w:val="00892027"/>
    <w:rsid w:val="00893394"/>
    <w:rsid w:val="0089526A"/>
    <w:rsid w:val="008A0DD0"/>
    <w:rsid w:val="008A4171"/>
    <w:rsid w:val="008A5783"/>
    <w:rsid w:val="008B519F"/>
    <w:rsid w:val="008B52D5"/>
    <w:rsid w:val="008B67AC"/>
    <w:rsid w:val="008C346C"/>
    <w:rsid w:val="008C45E2"/>
    <w:rsid w:val="008C5799"/>
    <w:rsid w:val="008D295A"/>
    <w:rsid w:val="008E5A3F"/>
    <w:rsid w:val="008F15FE"/>
    <w:rsid w:val="0090018A"/>
    <w:rsid w:val="00901F1B"/>
    <w:rsid w:val="00903846"/>
    <w:rsid w:val="0090495E"/>
    <w:rsid w:val="00904BE5"/>
    <w:rsid w:val="00905B1B"/>
    <w:rsid w:val="00906685"/>
    <w:rsid w:val="00911CA1"/>
    <w:rsid w:val="009132F1"/>
    <w:rsid w:val="00913951"/>
    <w:rsid w:val="00915D41"/>
    <w:rsid w:val="0092313B"/>
    <w:rsid w:val="009239EF"/>
    <w:rsid w:val="009277B8"/>
    <w:rsid w:val="009346B5"/>
    <w:rsid w:val="00941029"/>
    <w:rsid w:val="009413A3"/>
    <w:rsid w:val="009414C5"/>
    <w:rsid w:val="00942173"/>
    <w:rsid w:val="00944003"/>
    <w:rsid w:val="00945E0C"/>
    <w:rsid w:val="009478CB"/>
    <w:rsid w:val="009642D1"/>
    <w:rsid w:val="009658A9"/>
    <w:rsid w:val="00974D5F"/>
    <w:rsid w:val="00974E94"/>
    <w:rsid w:val="00975E5B"/>
    <w:rsid w:val="009764C4"/>
    <w:rsid w:val="009779F0"/>
    <w:rsid w:val="009822F6"/>
    <w:rsid w:val="00983629"/>
    <w:rsid w:val="0098403E"/>
    <w:rsid w:val="009860C8"/>
    <w:rsid w:val="00995469"/>
    <w:rsid w:val="009A0624"/>
    <w:rsid w:val="009A4E85"/>
    <w:rsid w:val="009A710A"/>
    <w:rsid w:val="009B0B7E"/>
    <w:rsid w:val="009B2B4A"/>
    <w:rsid w:val="009B5010"/>
    <w:rsid w:val="009C300E"/>
    <w:rsid w:val="009C31FA"/>
    <w:rsid w:val="009C4671"/>
    <w:rsid w:val="009C4AA4"/>
    <w:rsid w:val="009C7909"/>
    <w:rsid w:val="009D2B0E"/>
    <w:rsid w:val="009D716D"/>
    <w:rsid w:val="009E3967"/>
    <w:rsid w:val="009E3B11"/>
    <w:rsid w:val="009E4AAA"/>
    <w:rsid w:val="009E77E0"/>
    <w:rsid w:val="009F5F32"/>
    <w:rsid w:val="009F613F"/>
    <w:rsid w:val="00A02C1D"/>
    <w:rsid w:val="00A02DC5"/>
    <w:rsid w:val="00A03816"/>
    <w:rsid w:val="00A04741"/>
    <w:rsid w:val="00A11C56"/>
    <w:rsid w:val="00A14AD2"/>
    <w:rsid w:val="00A1613E"/>
    <w:rsid w:val="00A161D9"/>
    <w:rsid w:val="00A2397F"/>
    <w:rsid w:val="00A31DCA"/>
    <w:rsid w:val="00A32809"/>
    <w:rsid w:val="00A359D9"/>
    <w:rsid w:val="00A40A61"/>
    <w:rsid w:val="00A41811"/>
    <w:rsid w:val="00A41950"/>
    <w:rsid w:val="00A46CDF"/>
    <w:rsid w:val="00A47879"/>
    <w:rsid w:val="00A47AF4"/>
    <w:rsid w:val="00A553F3"/>
    <w:rsid w:val="00A61981"/>
    <w:rsid w:val="00A629F8"/>
    <w:rsid w:val="00A62C61"/>
    <w:rsid w:val="00A6667F"/>
    <w:rsid w:val="00A66D87"/>
    <w:rsid w:val="00A7047A"/>
    <w:rsid w:val="00A7274B"/>
    <w:rsid w:val="00A819B9"/>
    <w:rsid w:val="00A85AAC"/>
    <w:rsid w:val="00A86125"/>
    <w:rsid w:val="00A94592"/>
    <w:rsid w:val="00A960C0"/>
    <w:rsid w:val="00A9718C"/>
    <w:rsid w:val="00AA17D5"/>
    <w:rsid w:val="00AA40C7"/>
    <w:rsid w:val="00AA618E"/>
    <w:rsid w:val="00AB2619"/>
    <w:rsid w:val="00AB2863"/>
    <w:rsid w:val="00AB38F4"/>
    <w:rsid w:val="00AB400A"/>
    <w:rsid w:val="00AB5361"/>
    <w:rsid w:val="00AB5E8C"/>
    <w:rsid w:val="00AC24F6"/>
    <w:rsid w:val="00AC5C96"/>
    <w:rsid w:val="00AD0545"/>
    <w:rsid w:val="00AD05FC"/>
    <w:rsid w:val="00AD1DE1"/>
    <w:rsid w:val="00AD4C18"/>
    <w:rsid w:val="00AD507F"/>
    <w:rsid w:val="00AD5653"/>
    <w:rsid w:val="00AE151D"/>
    <w:rsid w:val="00AE237C"/>
    <w:rsid w:val="00AE2BB9"/>
    <w:rsid w:val="00AF137C"/>
    <w:rsid w:val="00AF152B"/>
    <w:rsid w:val="00AF39EE"/>
    <w:rsid w:val="00AF6385"/>
    <w:rsid w:val="00AF6DBE"/>
    <w:rsid w:val="00B01263"/>
    <w:rsid w:val="00B10013"/>
    <w:rsid w:val="00B1495C"/>
    <w:rsid w:val="00B16CDD"/>
    <w:rsid w:val="00B226A4"/>
    <w:rsid w:val="00B2423C"/>
    <w:rsid w:val="00B261B1"/>
    <w:rsid w:val="00B30498"/>
    <w:rsid w:val="00B32EC1"/>
    <w:rsid w:val="00B32FD6"/>
    <w:rsid w:val="00B37F80"/>
    <w:rsid w:val="00B41158"/>
    <w:rsid w:val="00B413F3"/>
    <w:rsid w:val="00B4323B"/>
    <w:rsid w:val="00B46763"/>
    <w:rsid w:val="00B4783C"/>
    <w:rsid w:val="00B50C6B"/>
    <w:rsid w:val="00B600DF"/>
    <w:rsid w:val="00B6513D"/>
    <w:rsid w:val="00B65360"/>
    <w:rsid w:val="00B70B37"/>
    <w:rsid w:val="00B72AA4"/>
    <w:rsid w:val="00B753F2"/>
    <w:rsid w:val="00B76C33"/>
    <w:rsid w:val="00B82C18"/>
    <w:rsid w:val="00B84A59"/>
    <w:rsid w:val="00B92C9F"/>
    <w:rsid w:val="00B94C1E"/>
    <w:rsid w:val="00B97ACC"/>
    <w:rsid w:val="00BA160D"/>
    <w:rsid w:val="00BA1C87"/>
    <w:rsid w:val="00BA34E4"/>
    <w:rsid w:val="00BA765C"/>
    <w:rsid w:val="00BB0876"/>
    <w:rsid w:val="00BB1857"/>
    <w:rsid w:val="00BB68B7"/>
    <w:rsid w:val="00BC06FB"/>
    <w:rsid w:val="00BC30E7"/>
    <w:rsid w:val="00BC3E68"/>
    <w:rsid w:val="00BC414F"/>
    <w:rsid w:val="00BC4173"/>
    <w:rsid w:val="00BC79AE"/>
    <w:rsid w:val="00BD2270"/>
    <w:rsid w:val="00BD44AF"/>
    <w:rsid w:val="00BD5A18"/>
    <w:rsid w:val="00BD744C"/>
    <w:rsid w:val="00BD74DA"/>
    <w:rsid w:val="00BE031E"/>
    <w:rsid w:val="00BE751F"/>
    <w:rsid w:val="00BF0DEC"/>
    <w:rsid w:val="00C02C66"/>
    <w:rsid w:val="00C03DB9"/>
    <w:rsid w:val="00C04769"/>
    <w:rsid w:val="00C04A2D"/>
    <w:rsid w:val="00C04ACD"/>
    <w:rsid w:val="00C0563D"/>
    <w:rsid w:val="00C056A3"/>
    <w:rsid w:val="00C13F03"/>
    <w:rsid w:val="00C14FFA"/>
    <w:rsid w:val="00C1648C"/>
    <w:rsid w:val="00C16CC4"/>
    <w:rsid w:val="00C226CC"/>
    <w:rsid w:val="00C23CE7"/>
    <w:rsid w:val="00C25348"/>
    <w:rsid w:val="00C26FE0"/>
    <w:rsid w:val="00C34222"/>
    <w:rsid w:val="00C34763"/>
    <w:rsid w:val="00C36142"/>
    <w:rsid w:val="00C362B0"/>
    <w:rsid w:val="00C370CE"/>
    <w:rsid w:val="00C37F76"/>
    <w:rsid w:val="00C4391B"/>
    <w:rsid w:val="00C45B35"/>
    <w:rsid w:val="00C5065E"/>
    <w:rsid w:val="00C53B43"/>
    <w:rsid w:val="00C627AB"/>
    <w:rsid w:val="00C63B8E"/>
    <w:rsid w:val="00C65039"/>
    <w:rsid w:val="00C666C9"/>
    <w:rsid w:val="00C72CC9"/>
    <w:rsid w:val="00C735EF"/>
    <w:rsid w:val="00C80C9F"/>
    <w:rsid w:val="00C810A4"/>
    <w:rsid w:val="00C84906"/>
    <w:rsid w:val="00C9473E"/>
    <w:rsid w:val="00C95F86"/>
    <w:rsid w:val="00CA4146"/>
    <w:rsid w:val="00CA5379"/>
    <w:rsid w:val="00CB058D"/>
    <w:rsid w:val="00CB34E1"/>
    <w:rsid w:val="00CB4D9D"/>
    <w:rsid w:val="00CC0BEE"/>
    <w:rsid w:val="00CC1A9A"/>
    <w:rsid w:val="00CC5934"/>
    <w:rsid w:val="00CC7EF2"/>
    <w:rsid w:val="00CD1582"/>
    <w:rsid w:val="00CD28A4"/>
    <w:rsid w:val="00CD3112"/>
    <w:rsid w:val="00CD4126"/>
    <w:rsid w:val="00CD442F"/>
    <w:rsid w:val="00CD6A8F"/>
    <w:rsid w:val="00CD7D1B"/>
    <w:rsid w:val="00CF144F"/>
    <w:rsid w:val="00CF1A3F"/>
    <w:rsid w:val="00CF1B54"/>
    <w:rsid w:val="00CF23AF"/>
    <w:rsid w:val="00CF23F6"/>
    <w:rsid w:val="00CF4B19"/>
    <w:rsid w:val="00CF56A0"/>
    <w:rsid w:val="00CF5763"/>
    <w:rsid w:val="00D00924"/>
    <w:rsid w:val="00D02648"/>
    <w:rsid w:val="00D11636"/>
    <w:rsid w:val="00D138CD"/>
    <w:rsid w:val="00D14E51"/>
    <w:rsid w:val="00D21550"/>
    <w:rsid w:val="00D22839"/>
    <w:rsid w:val="00D26005"/>
    <w:rsid w:val="00D2684D"/>
    <w:rsid w:val="00D26AC0"/>
    <w:rsid w:val="00D3761F"/>
    <w:rsid w:val="00D41F95"/>
    <w:rsid w:val="00D441EA"/>
    <w:rsid w:val="00D44498"/>
    <w:rsid w:val="00D45A22"/>
    <w:rsid w:val="00D45C36"/>
    <w:rsid w:val="00D47C5A"/>
    <w:rsid w:val="00D6240E"/>
    <w:rsid w:val="00D66D1A"/>
    <w:rsid w:val="00D67855"/>
    <w:rsid w:val="00D75C64"/>
    <w:rsid w:val="00D77381"/>
    <w:rsid w:val="00D77754"/>
    <w:rsid w:val="00D80E7A"/>
    <w:rsid w:val="00D814EC"/>
    <w:rsid w:val="00D81985"/>
    <w:rsid w:val="00D859A2"/>
    <w:rsid w:val="00D906FC"/>
    <w:rsid w:val="00D90E1F"/>
    <w:rsid w:val="00D938DF"/>
    <w:rsid w:val="00D9693D"/>
    <w:rsid w:val="00DA15E7"/>
    <w:rsid w:val="00DA3D95"/>
    <w:rsid w:val="00DA6144"/>
    <w:rsid w:val="00DA6228"/>
    <w:rsid w:val="00DB4F88"/>
    <w:rsid w:val="00DC0322"/>
    <w:rsid w:val="00DC0C90"/>
    <w:rsid w:val="00DC2C68"/>
    <w:rsid w:val="00DC3B87"/>
    <w:rsid w:val="00DC42E2"/>
    <w:rsid w:val="00DC4E73"/>
    <w:rsid w:val="00DC6032"/>
    <w:rsid w:val="00DD3D48"/>
    <w:rsid w:val="00DE1821"/>
    <w:rsid w:val="00DE2DBB"/>
    <w:rsid w:val="00DE6ADF"/>
    <w:rsid w:val="00DE7AA6"/>
    <w:rsid w:val="00DF1267"/>
    <w:rsid w:val="00DF1613"/>
    <w:rsid w:val="00DF6E27"/>
    <w:rsid w:val="00DF7256"/>
    <w:rsid w:val="00E003C4"/>
    <w:rsid w:val="00E005EF"/>
    <w:rsid w:val="00E01760"/>
    <w:rsid w:val="00E031E9"/>
    <w:rsid w:val="00E036D0"/>
    <w:rsid w:val="00E04AAD"/>
    <w:rsid w:val="00E04D4C"/>
    <w:rsid w:val="00E0797A"/>
    <w:rsid w:val="00E10BC4"/>
    <w:rsid w:val="00E122C3"/>
    <w:rsid w:val="00E1314E"/>
    <w:rsid w:val="00E13C23"/>
    <w:rsid w:val="00E145DA"/>
    <w:rsid w:val="00E21BAF"/>
    <w:rsid w:val="00E21DDB"/>
    <w:rsid w:val="00E23192"/>
    <w:rsid w:val="00E266A0"/>
    <w:rsid w:val="00E2725F"/>
    <w:rsid w:val="00E277A8"/>
    <w:rsid w:val="00E33D86"/>
    <w:rsid w:val="00E343F5"/>
    <w:rsid w:val="00E37528"/>
    <w:rsid w:val="00E515F8"/>
    <w:rsid w:val="00E54BF2"/>
    <w:rsid w:val="00E56DAD"/>
    <w:rsid w:val="00E61039"/>
    <w:rsid w:val="00E61401"/>
    <w:rsid w:val="00E614A3"/>
    <w:rsid w:val="00E631C5"/>
    <w:rsid w:val="00E726A2"/>
    <w:rsid w:val="00E72878"/>
    <w:rsid w:val="00E7376B"/>
    <w:rsid w:val="00E7437F"/>
    <w:rsid w:val="00E7458E"/>
    <w:rsid w:val="00E76418"/>
    <w:rsid w:val="00E84D6D"/>
    <w:rsid w:val="00E9012F"/>
    <w:rsid w:val="00E912D1"/>
    <w:rsid w:val="00E91C72"/>
    <w:rsid w:val="00E93AFA"/>
    <w:rsid w:val="00E9427E"/>
    <w:rsid w:val="00E95158"/>
    <w:rsid w:val="00E9640E"/>
    <w:rsid w:val="00E97712"/>
    <w:rsid w:val="00EB6094"/>
    <w:rsid w:val="00EB71D0"/>
    <w:rsid w:val="00EC0791"/>
    <w:rsid w:val="00EC3740"/>
    <w:rsid w:val="00EC390E"/>
    <w:rsid w:val="00EC65FA"/>
    <w:rsid w:val="00ED0796"/>
    <w:rsid w:val="00ED0921"/>
    <w:rsid w:val="00ED2724"/>
    <w:rsid w:val="00ED2EA7"/>
    <w:rsid w:val="00ED4A3E"/>
    <w:rsid w:val="00ED6E75"/>
    <w:rsid w:val="00EE109D"/>
    <w:rsid w:val="00EE27B8"/>
    <w:rsid w:val="00EE59A3"/>
    <w:rsid w:val="00EE5DE2"/>
    <w:rsid w:val="00EF1C26"/>
    <w:rsid w:val="00F00546"/>
    <w:rsid w:val="00F03A5C"/>
    <w:rsid w:val="00F046D3"/>
    <w:rsid w:val="00F0627D"/>
    <w:rsid w:val="00F10817"/>
    <w:rsid w:val="00F10F8D"/>
    <w:rsid w:val="00F11316"/>
    <w:rsid w:val="00F12DAD"/>
    <w:rsid w:val="00F132E8"/>
    <w:rsid w:val="00F143E2"/>
    <w:rsid w:val="00F14AF5"/>
    <w:rsid w:val="00F179A0"/>
    <w:rsid w:val="00F21C9E"/>
    <w:rsid w:val="00F22236"/>
    <w:rsid w:val="00F252C2"/>
    <w:rsid w:val="00F25E76"/>
    <w:rsid w:val="00F26FF1"/>
    <w:rsid w:val="00F317E2"/>
    <w:rsid w:val="00F32037"/>
    <w:rsid w:val="00F32B79"/>
    <w:rsid w:val="00F356CD"/>
    <w:rsid w:val="00F35AF2"/>
    <w:rsid w:val="00F44C9E"/>
    <w:rsid w:val="00F4746D"/>
    <w:rsid w:val="00F5170D"/>
    <w:rsid w:val="00F521F8"/>
    <w:rsid w:val="00F5577F"/>
    <w:rsid w:val="00F60D4A"/>
    <w:rsid w:val="00F660EC"/>
    <w:rsid w:val="00F706E3"/>
    <w:rsid w:val="00F71EF5"/>
    <w:rsid w:val="00F72E74"/>
    <w:rsid w:val="00F72EAF"/>
    <w:rsid w:val="00F74612"/>
    <w:rsid w:val="00F746DE"/>
    <w:rsid w:val="00F74726"/>
    <w:rsid w:val="00F75761"/>
    <w:rsid w:val="00F76BAB"/>
    <w:rsid w:val="00F77588"/>
    <w:rsid w:val="00F833B7"/>
    <w:rsid w:val="00F84131"/>
    <w:rsid w:val="00F862CB"/>
    <w:rsid w:val="00F927B2"/>
    <w:rsid w:val="00F955BB"/>
    <w:rsid w:val="00FA1545"/>
    <w:rsid w:val="00FA400A"/>
    <w:rsid w:val="00FA67F3"/>
    <w:rsid w:val="00FA6DDB"/>
    <w:rsid w:val="00FB0B79"/>
    <w:rsid w:val="00FB1459"/>
    <w:rsid w:val="00FB3DE2"/>
    <w:rsid w:val="00FB416B"/>
    <w:rsid w:val="00FB7E3E"/>
    <w:rsid w:val="00FC12C2"/>
    <w:rsid w:val="00FC239A"/>
    <w:rsid w:val="00FC2848"/>
    <w:rsid w:val="00FC44BA"/>
    <w:rsid w:val="00FC715C"/>
    <w:rsid w:val="00FD07B4"/>
    <w:rsid w:val="00FD2C9A"/>
    <w:rsid w:val="00FD46DB"/>
    <w:rsid w:val="00FE124A"/>
    <w:rsid w:val="00FE27F9"/>
    <w:rsid w:val="00FE6FF5"/>
    <w:rsid w:val="00FF2927"/>
    <w:rsid w:val="00FF4AEF"/>
    <w:rsid w:val="00FF4EA5"/>
    <w:rsid w:val="00FF5F31"/>
    <w:rsid w:val="00FF6803"/>
    <w:rsid w:val="00FF79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FF80EB"/>
  <w15:chartTrackingRefBased/>
  <w15:docId w15:val="{4724AF2D-6F3E-4101-B8CB-AD6A05303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0A3"/>
    <w:pPr>
      <w:spacing w:line="259" w:lineRule="auto"/>
    </w:pPr>
    <w:rPr>
      <w:kern w:val="0"/>
      <w:sz w:val="22"/>
      <w:szCs w:val="22"/>
      <w14:ligatures w14:val="none"/>
    </w:rPr>
  </w:style>
  <w:style w:type="paragraph" w:styleId="Heading1">
    <w:name w:val="heading 1"/>
    <w:basedOn w:val="Normal"/>
    <w:next w:val="Normal"/>
    <w:link w:val="Heading1Char"/>
    <w:uiPriority w:val="9"/>
    <w:qFormat/>
    <w:rsid w:val="00BF0DEC"/>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F0DEC"/>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547219"/>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187F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7F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7F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7F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7F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7F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0DEC"/>
    <w:rPr>
      <w:rFonts w:ascii="Arial" w:eastAsiaTheme="majorEastAsia" w:hAnsi="Arial" w:cstheme="majorBidi"/>
      <w:b/>
      <w:color w:val="000000" w:themeColor="text1"/>
      <w:kern w:val="0"/>
      <w:sz w:val="32"/>
      <w:szCs w:val="40"/>
      <w14:ligatures w14:val="none"/>
    </w:rPr>
  </w:style>
  <w:style w:type="character" w:customStyle="1" w:styleId="Heading2Char">
    <w:name w:val="Heading 2 Char"/>
    <w:basedOn w:val="DefaultParagraphFont"/>
    <w:link w:val="Heading2"/>
    <w:uiPriority w:val="9"/>
    <w:rsid w:val="00BF0DEC"/>
    <w:rPr>
      <w:rFonts w:ascii="Arial" w:eastAsiaTheme="majorEastAsia" w:hAnsi="Arial" w:cstheme="majorBidi"/>
      <w:b/>
      <w:color w:val="000000" w:themeColor="text1"/>
      <w:kern w:val="0"/>
      <w:sz w:val="28"/>
      <w:szCs w:val="32"/>
      <w14:ligatures w14:val="none"/>
    </w:rPr>
  </w:style>
  <w:style w:type="character" w:customStyle="1" w:styleId="Heading3Char">
    <w:name w:val="Heading 3 Char"/>
    <w:basedOn w:val="DefaultParagraphFont"/>
    <w:link w:val="Heading3"/>
    <w:uiPriority w:val="9"/>
    <w:rsid w:val="00547219"/>
    <w:rPr>
      <w:rFonts w:ascii="Arial" w:eastAsiaTheme="majorEastAsia" w:hAnsi="Arial" w:cstheme="majorBidi"/>
      <w:b/>
      <w:color w:val="000000" w:themeColor="text1"/>
      <w:kern w:val="0"/>
      <w:szCs w:val="28"/>
      <w14:ligatures w14:val="none"/>
    </w:rPr>
  </w:style>
  <w:style w:type="character" w:customStyle="1" w:styleId="Heading4Char">
    <w:name w:val="Heading 4 Char"/>
    <w:basedOn w:val="DefaultParagraphFont"/>
    <w:link w:val="Heading4"/>
    <w:uiPriority w:val="9"/>
    <w:semiHidden/>
    <w:rsid w:val="00187F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7F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7F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7F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7F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7F30"/>
    <w:rPr>
      <w:rFonts w:eastAsiaTheme="majorEastAsia" w:cstheme="majorBidi"/>
      <w:color w:val="272727" w:themeColor="text1" w:themeTint="D8"/>
    </w:rPr>
  </w:style>
  <w:style w:type="paragraph" w:styleId="Title">
    <w:name w:val="Title"/>
    <w:basedOn w:val="Normal"/>
    <w:next w:val="Normal"/>
    <w:link w:val="TitleChar"/>
    <w:uiPriority w:val="10"/>
    <w:qFormat/>
    <w:rsid w:val="00187F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7F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7F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7F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7F30"/>
    <w:pPr>
      <w:spacing w:before="160"/>
      <w:jc w:val="center"/>
    </w:pPr>
    <w:rPr>
      <w:i/>
      <w:iCs/>
      <w:color w:val="404040" w:themeColor="text1" w:themeTint="BF"/>
    </w:rPr>
  </w:style>
  <w:style w:type="character" w:customStyle="1" w:styleId="QuoteChar">
    <w:name w:val="Quote Char"/>
    <w:basedOn w:val="DefaultParagraphFont"/>
    <w:link w:val="Quote"/>
    <w:uiPriority w:val="29"/>
    <w:rsid w:val="00187F30"/>
    <w:rPr>
      <w:i/>
      <w:iCs/>
      <w:color w:val="404040" w:themeColor="text1" w:themeTint="BF"/>
    </w:rPr>
  </w:style>
  <w:style w:type="paragraph" w:styleId="ListParagraph">
    <w:name w:val="List Paragraph"/>
    <w:basedOn w:val="Normal"/>
    <w:uiPriority w:val="34"/>
    <w:qFormat/>
    <w:rsid w:val="00187F30"/>
    <w:pPr>
      <w:ind w:left="720"/>
      <w:contextualSpacing/>
    </w:pPr>
  </w:style>
  <w:style w:type="character" w:styleId="IntenseEmphasis">
    <w:name w:val="Intense Emphasis"/>
    <w:basedOn w:val="DefaultParagraphFont"/>
    <w:uiPriority w:val="21"/>
    <w:qFormat/>
    <w:rsid w:val="00187F30"/>
    <w:rPr>
      <w:i/>
      <w:iCs/>
      <w:color w:val="2F5496" w:themeColor="accent1" w:themeShade="BF"/>
    </w:rPr>
  </w:style>
  <w:style w:type="paragraph" w:styleId="IntenseQuote">
    <w:name w:val="Intense Quote"/>
    <w:basedOn w:val="Normal"/>
    <w:next w:val="Normal"/>
    <w:link w:val="IntenseQuoteChar"/>
    <w:uiPriority w:val="30"/>
    <w:qFormat/>
    <w:rsid w:val="00187F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F30"/>
    <w:rPr>
      <w:i/>
      <w:iCs/>
      <w:color w:val="2F5496" w:themeColor="accent1" w:themeShade="BF"/>
    </w:rPr>
  </w:style>
  <w:style w:type="character" w:styleId="IntenseReference">
    <w:name w:val="Intense Reference"/>
    <w:basedOn w:val="DefaultParagraphFont"/>
    <w:uiPriority w:val="32"/>
    <w:qFormat/>
    <w:rsid w:val="00187F30"/>
    <w:rPr>
      <w:b/>
      <w:bCs/>
      <w:smallCaps/>
      <w:color w:val="2F5496" w:themeColor="accent1" w:themeShade="BF"/>
      <w:spacing w:val="5"/>
    </w:rPr>
  </w:style>
  <w:style w:type="character" w:styleId="Hyperlink">
    <w:name w:val="Hyperlink"/>
    <w:basedOn w:val="DefaultParagraphFont"/>
    <w:uiPriority w:val="99"/>
    <w:unhideWhenUsed/>
    <w:rsid w:val="00A31DCA"/>
    <w:rPr>
      <w:color w:val="0563C1" w:themeColor="hyperlink"/>
      <w:u w:val="single"/>
    </w:rPr>
  </w:style>
  <w:style w:type="paragraph" w:styleId="Footer">
    <w:name w:val="footer"/>
    <w:basedOn w:val="Normal"/>
    <w:link w:val="FooterChar"/>
    <w:uiPriority w:val="99"/>
    <w:unhideWhenUsed/>
    <w:rsid w:val="00A31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DCA"/>
    <w:rPr>
      <w:kern w:val="0"/>
      <w:sz w:val="22"/>
      <w:szCs w:val="22"/>
      <w14:ligatures w14:val="none"/>
    </w:rPr>
  </w:style>
  <w:style w:type="paragraph" w:styleId="TOCHeading">
    <w:name w:val="TOC Heading"/>
    <w:basedOn w:val="Heading1"/>
    <w:next w:val="Normal"/>
    <w:uiPriority w:val="39"/>
    <w:unhideWhenUsed/>
    <w:qFormat/>
    <w:rsid w:val="00A31DCA"/>
    <w:pPr>
      <w:spacing w:before="240" w:after="0"/>
      <w:outlineLvl w:val="9"/>
    </w:pPr>
    <w:rPr>
      <w:b w:val="0"/>
      <w:szCs w:val="32"/>
    </w:rPr>
  </w:style>
  <w:style w:type="paragraph" w:styleId="TOC1">
    <w:name w:val="toc 1"/>
    <w:basedOn w:val="Normal"/>
    <w:next w:val="Normal"/>
    <w:autoRedefine/>
    <w:uiPriority w:val="39"/>
    <w:unhideWhenUsed/>
    <w:rsid w:val="00A31DCA"/>
    <w:pPr>
      <w:spacing w:after="100"/>
    </w:pPr>
  </w:style>
  <w:style w:type="paragraph" w:styleId="TOC2">
    <w:name w:val="toc 2"/>
    <w:basedOn w:val="Normal"/>
    <w:next w:val="Normal"/>
    <w:autoRedefine/>
    <w:uiPriority w:val="39"/>
    <w:unhideWhenUsed/>
    <w:rsid w:val="00A31DCA"/>
    <w:pPr>
      <w:spacing w:after="100"/>
      <w:ind w:left="220"/>
    </w:pPr>
  </w:style>
  <w:style w:type="table" w:styleId="TableGrid">
    <w:name w:val="Table Grid"/>
    <w:basedOn w:val="TableNormal"/>
    <w:uiPriority w:val="39"/>
    <w:rsid w:val="00CA41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CA41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aption">
    <w:name w:val="caption"/>
    <w:basedOn w:val="Normal"/>
    <w:next w:val="Normal"/>
    <w:uiPriority w:val="35"/>
    <w:unhideWhenUsed/>
    <w:qFormat/>
    <w:rsid w:val="00CA4146"/>
    <w:pPr>
      <w:spacing w:after="200" w:line="240" w:lineRule="auto"/>
    </w:pPr>
    <w:rPr>
      <w:i/>
      <w:iCs/>
      <w:color w:val="44546A" w:themeColor="text2"/>
      <w:kern w:val="2"/>
      <w:sz w:val="18"/>
      <w:szCs w:val="18"/>
      <w14:ligatures w14:val="standardContextual"/>
    </w:rPr>
  </w:style>
  <w:style w:type="character" w:customStyle="1" w:styleId="UnresolvedMention1">
    <w:name w:val="Unresolved Mention1"/>
    <w:basedOn w:val="DefaultParagraphFont"/>
    <w:uiPriority w:val="99"/>
    <w:semiHidden/>
    <w:unhideWhenUsed/>
    <w:rsid w:val="00A161D9"/>
    <w:rPr>
      <w:color w:val="605E5C"/>
      <w:shd w:val="clear" w:color="auto" w:fill="E1DFDD"/>
    </w:rPr>
  </w:style>
  <w:style w:type="paragraph" w:styleId="Header">
    <w:name w:val="header"/>
    <w:basedOn w:val="Normal"/>
    <w:link w:val="HeaderChar"/>
    <w:uiPriority w:val="99"/>
    <w:unhideWhenUsed/>
    <w:rsid w:val="00226B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B65"/>
    <w:rPr>
      <w:kern w:val="0"/>
      <w:sz w:val="22"/>
      <w:szCs w:val="22"/>
      <w14:ligatures w14:val="none"/>
    </w:rPr>
  </w:style>
  <w:style w:type="paragraph" w:styleId="TOC3">
    <w:name w:val="toc 3"/>
    <w:basedOn w:val="Normal"/>
    <w:next w:val="Normal"/>
    <w:autoRedefine/>
    <w:uiPriority w:val="39"/>
    <w:unhideWhenUsed/>
    <w:rsid w:val="00D77754"/>
    <w:pPr>
      <w:spacing w:after="100"/>
      <w:ind w:left="440"/>
    </w:pPr>
  </w:style>
  <w:style w:type="table" w:styleId="PlainTable1">
    <w:name w:val="Plain Table 1"/>
    <w:basedOn w:val="TableNormal"/>
    <w:uiPriority w:val="41"/>
    <w:rsid w:val="003B280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5572AB"/>
    <w:pPr>
      <w:spacing w:after="0"/>
    </w:pPr>
  </w:style>
  <w:style w:type="paragraph" w:styleId="NormalWeb">
    <w:name w:val="Normal (Web)"/>
    <w:basedOn w:val="Normal"/>
    <w:uiPriority w:val="99"/>
    <w:semiHidden/>
    <w:unhideWhenUsed/>
    <w:rsid w:val="00EF1C2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4E5561"/>
    <w:rPr>
      <w:color w:val="954F72" w:themeColor="followedHyperlink"/>
      <w:u w:val="single"/>
    </w:rPr>
  </w:style>
  <w:style w:type="character" w:customStyle="1" w:styleId="UnresolvedMention">
    <w:name w:val="Unresolved Mention"/>
    <w:basedOn w:val="DefaultParagraphFont"/>
    <w:uiPriority w:val="99"/>
    <w:semiHidden/>
    <w:unhideWhenUsed/>
    <w:rsid w:val="00302559"/>
    <w:rPr>
      <w:color w:val="605E5C"/>
      <w:shd w:val="clear" w:color="auto" w:fill="E1DFDD"/>
    </w:rPr>
  </w:style>
  <w:style w:type="character" w:customStyle="1" w:styleId="apple-style-span">
    <w:name w:val="apple-style-span"/>
    <w:rsid w:val="00F12DAD"/>
  </w:style>
  <w:style w:type="character" w:customStyle="1" w:styleId="nw1">
    <w:name w:val="nw1"/>
    <w:uiPriority w:val="99"/>
    <w:rsid w:val="00F12DAD"/>
  </w:style>
  <w:style w:type="paragraph" w:customStyle="1" w:styleId="NormalWeb1">
    <w:name w:val="Normal (Web)1"/>
    <w:basedOn w:val="Normal"/>
    <w:uiPriority w:val="99"/>
    <w:rsid w:val="00403881"/>
    <w:pPr>
      <w:spacing w:after="0" w:line="240" w:lineRule="auto"/>
    </w:pPr>
    <w:rPr>
      <w:rFonts w:ascii="Times New Roman" w:eastAsia="Calibri" w:hAnsi="Times New Roman" w:cs="Times New Roman"/>
      <w:sz w:val="24"/>
      <w:szCs w:val="24"/>
      <w:lang w:val="en-GB" w:eastAsia="en-GB"/>
    </w:rPr>
  </w:style>
  <w:style w:type="paragraph" w:customStyle="1" w:styleId="pdq2pgselectionanchorcontainer">
    <w:name w:val="pdq2pg_selectionanchorcontainer"/>
    <w:basedOn w:val="Normal"/>
    <w:rsid w:val="00BD5A1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F317E2"/>
    <w:rPr>
      <w:b/>
      <w:bCs/>
    </w:rPr>
  </w:style>
  <w:style w:type="paragraph" w:styleId="TOC4">
    <w:name w:val="toc 4"/>
    <w:basedOn w:val="Normal"/>
    <w:next w:val="Normal"/>
    <w:autoRedefine/>
    <w:uiPriority w:val="39"/>
    <w:unhideWhenUsed/>
    <w:rsid w:val="00E031E9"/>
    <w:pPr>
      <w:spacing w:after="100"/>
      <w:ind w:left="660"/>
    </w:pPr>
    <w:rPr>
      <w:rFonts w:eastAsiaTheme="minorEastAsia"/>
      <w:lang w:val="en-GB" w:eastAsia="en-GB"/>
    </w:rPr>
  </w:style>
  <w:style w:type="paragraph" w:styleId="TOC5">
    <w:name w:val="toc 5"/>
    <w:basedOn w:val="Normal"/>
    <w:next w:val="Normal"/>
    <w:autoRedefine/>
    <w:uiPriority w:val="39"/>
    <w:unhideWhenUsed/>
    <w:rsid w:val="00E031E9"/>
    <w:pPr>
      <w:spacing w:after="100"/>
      <w:ind w:left="880"/>
    </w:pPr>
    <w:rPr>
      <w:rFonts w:eastAsiaTheme="minorEastAsia"/>
      <w:lang w:val="en-GB" w:eastAsia="en-GB"/>
    </w:rPr>
  </w:style>
  <w:style w:type="paragraph" w:styleId="TOC6">
    <w:name w:val="toc 6"/>
    <w:basedOn w:val="Normal"/>
    <w:next w:val="Normal"/>
    <w:autoRedefine/>
    <w:uiPriority w:val="39"/>
    <w:unhideWhenUsed/>
    <w:rsid w:val="00E031E9"/>
    <w:pPr>
      <w:spacing w:after="100"/>
      <w:ind w:left="1100"/>
    </w:pPr>
    <w:rPr>
      <w:rFonts w:eastAsiaTheme="minorEastAsia"/>
      <w:lang w:val="en-GB" w:eastAsia="en-GB"/>
    </w:rPr>
  </w:style>
  <w:style w:type="paragraph" w:styleId="TOC7">
    <w:name w:val="toc 7"/>
    <w:basedOn w:val="Normal"/>
    <w:next w:val="Normal"/>
    <w:autoRedefine/>
    <w:uiPriority w:val="39"/>
    <w:unhideWhenUsed/>
    <w:rsid w:val="00E031E9"/>
    <w:pPr>
      <w:spacing w:after="100"/>
      <w:ind w:left="1320"/>
    </w:pPr>
    <w:rPr>
      <w:rFonts w:eastAsiaTheme="minorEastAsia"/>
      <w:lang w:val="en-GB" w:eastAsia="en-GB"/>
    </w:rPr>
  </w:style>
  <w:style w:type="paragraph" w:styleId="TOC8">
    <w:name w:val="toc 8"/>
    <w:basedOn w:val="Normal"/>
    <w:next w:val="Normal"/>
    <w:autoRedefine/>
    <w:uiPriority w:val="39"/>
    <w:unhideWhenUsed/>
    <w:rsid w:val="00E031E9"/>
    <w:pPr>
      <w:spacing w:after="100"/>
      <w:ind w:left="1540"/>
    </w:pPr>
    <w:rPr>
      <w:rFonts w:eastAsiaTheme="minorEastAsia"/>
      <w:lang w:val="en-GB" w:eastAsia="en-GB"/>
    </w:rPr>
  </w:style>
  <w:style w:type="paragraph" w:styleId="TOC9">
    <w:name w:val="toc 9"/>
    <w:basedOn w:val="Normal"/>
    <w:next w:val="Normal"/>
    <w:autoRedefine/>
    <w:uiPriority w:val="39"/>
    <w:unhideWhenUsed/>
    <w:rsid w:val="00E031E9"/>
    <w:pPr>
      <w:spacing w:after="100"/>
      <w:ind w:left="1760"/>
    </w:pPr>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35130">
      <w:bodyDiv w:val="1"/>
      <w:marLeft w:val="0"/>
      <w:marRight w:val="0"/>
      <w:marTop w:val="0"/>
      <w:marBottom w:val="0"/>
      <w:divBdr>
        <w:top w:val="none" w:sz="0" w:space="0" w:color="auto"/>
        <w:left w:val="none" w:sz="0" w:space="0" w:color="auto"/>
        <w:bottom w:val="none" w:sz="0" w:space="0" w:color="auto"/>
        <w:right w:val="none" w:sz="0" w:space="0" w:color="auto"/>
      </w:divBdr>
    </w:div>
    <w:div w:id="128909953">
      <w:bodyDiv w:val="1"/>
      <w:marLeft w:val="0"/>
      <w:marRight w:val="0"/>
      <w:marTop w:val="0"/>
      <w:marBottom w:val="0"/>
      <w:divBdr>
        <w:top w:val="none" w:sz="0" w:space="0" w:color="auto"/>
        <w:left w:val="none" w:sz="0" w:space="0" w:color="auto"/>
        <w:bottom w:val="none" w:sz="0" w:space="0" w:color="auto"/>
        <w:right w:val="none" w:sz="0" w:space="0" w:color="auto"/>
      </w:divBdr>
      <w:divsChild>
        <w:div w:id="468597640">
          <w:blockQuote w:val="1"/>
          <w:marLeft w:val="720"/>
          <w:marRight w:val="720"/>
          <w:marTop w:val="100"/>
          <w:marBottom w:val="100"/>
          <w:divBdr>
            <w:top w:val="none" w:sz="0" w:space="0" w:color="auto"/>
            <w:left w:val="none" w:sz="0" w:space="0" w:color="auto"/>
            <w:bottom w:val="none" w:sz="0" w:space="0" w:color="auto"/>
            <w:right w:val="none" w:sz="0" w:space="0" w:color="auto"/>
          </w:divBdr>
        </w:div>
        <w:div w:id="2766442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947356">
      <w:bodyDiv w:val="1"/>
      <w:marLeft w:val="0"/>
      <w:marRight w:val="0"/>
      <w:marTop w:val="0"/>
      <w:marBottom w:val="0"/>
      <w:divBdr>
        <w:top w:val="none" w:sz="0" w:space="0" w:color="auto"/>
        <w:left w:val="none" w:sz="0" w:space="0" w:color="auto"/>
        <w:bottom w:val="none" w:sz="0" w:space="0" w:color="auto"/>
        <w:right w:val="none" w:sz="0" w:space="0" w:color="auto"/>
      </w:divBdr>
    </w:div>
    <w:div w:id="191694876">
      <w:bodyDiv w:val="1"/>
      <w:marLeft w:val="0"/>
      <w:marRight w:val="0"/>
      <w:marTop w:val="0"/>
      <w:marBottom w:val="0"/>
      <w:divBdr>
        <w:top w:val="none" w:sz="0" w:space="0" w:color="auto"/>
        <w:left w:val="none" w:sz="0" w:space="0" w:color="auto"/>
        <w:bottom w:val="none" w:sz="0" w:space="0" w:color="auto"/>
        <w:right w:val="none" w:sz="0" w:space="0" w:color="auto"/>
      </w:divBdr>
    </w:div>
    <w:div w:id="197083040">
      <w:bodyDiv w:val="1"/>
      <w:marLeft w:val="0"/>
      <w:marRight w:val="0"/>
      <w:marTop w:val="0"/>
      <w:marBottom w:val="0"/>
      <w:divBdr>
        <w:top w:val="none" w:sz="0" w:space="0" w:color="auto"/>
        <w:left w:val="none" w:sz="0" w:space="0" w:color="auto"/>
        <w:bottom w:val="none" w:sz="0" w:space="0" w:color="auto"/>
        <w:right w:val="none" w:sz="0" w:space="0" w:color="auto"/>
      </w:divBdr>
      <w:divsChild>
        <w:div w:id="1531335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4745424">
      <w:bodyDiv w:val="1"/>
      <w:marLeft w:val="0"/>
      <w:marRight w:val="0"/>
      <w:marTop w:val="0"/>
      <w:marBottom w:val="0"/>
      <w:divBdr>
        <w:top w:val="none" w:sz="0" w:space="0" w:color="auto"/>
        <w:left w:val="none" w:sz="0" w:space="0" w:color="auto"/>
        <w:bottom w:val="none" w:sz="0" w:space="0" w:color="auto"/>
        <w:right w:val="none" w:sz="0" w:space="0" w:color="auto"/>
      </w:divBdr>
    </w:div>
    <w:div w:id="317347653">
      <w:bodyDiv w:val="1"/>
      <w:marLeft w:val="0"/>
      <w:marRight w:val="0"/>
      <w:marTop w:val="0"/>
      <w:marBottom w:val="0"/>
      <w:divBdr>
        <w:top w:val="none" w:sz="0" w:space="0" w:color="auto"/>
        <w:left w:val="none" w:sz="0" w:space="0" w:color="auto"/>
        <w:bottom w:val="none" w:sz="0" w:space="0" w:color="auto"/>
        <w:right w:val="none" w:sz="0" w:space="0" w:color="auto"/>
      </w:divBdr>
      <w:divsChild>
        <w:div w:id="614825511">
          <w:blockQuote w:val="1"/>
          <w:marLeft w:val="720"/>
          <w:marRight w:val="720"/>
          <w:marTop w:val="100"/>
          <w:marBottom w:val="100"/>
          <w:divBdr>
            <w:top w:val="none" w:sz="0" w:space="0" w:color="auto"/>
            <w:left w:val="none" w:sz="0" w:space="0" w:color="auto"/>
            <w:bottom w:val="none" w:sz="0" w:space="0" w:color="auto"/>
            <w:right w:val="none" w:sz="0" w:space="0" w:color="auto"/>
          </w:divBdr>
        </w:div>
        <w:div w:id="921111541">
          <w:blockQuote w:val="1"/>
          <w:marLeft w:val="720"/>
          <w:marRight w:val="720"/>
          <w:marTop w:val="100"/>
          <w:marBottom w:val="100"/>
          <w:divBdr>
            <w:top w:val="none" w:sz="0" w:space="0" w:color="auto"/>
            <w:left w:val="none" w:sz="0" w:space="0" w:color="auto"/>
            <w:bottom w:val="none" w:sz="0" w:space="0" w:color="auto"/>
            <w:right w:val="none" w:sz="0" w:space="0" w:color="auto"/>
          </w:divBdr>
        </w:div>
        <w:div w:id="1578204352">
          <w:blockQuote w:val="1"/>
          <w:marLeft w:val="720"/>
          <w:marRight w:val="720"/>
          <w:marTop w:val="100"/>
          <w:marBottom w:val="100"/>
          <w:divBdr>
            <w:top w:val="none" w:sz="0" w:space="0" w:color="auto"/>
            <w:left w:val="none" w:sz="0" w:space="0" w:color="auto"/>
            <w:bottom w:val="none" w:sz="0" w:space="0" w:color="auto"/>
            <w:right w:val="none" w:sz="0" w:space="0" w:color="auto"/>
          </w:divBdr>
        </w:div>
        <w:div w:id="1034387045">
          <w:blockQuote w:val="1"/>
          <w:marLeft w:val="720"/>
          <w:marRight w:val="720"/>
          <w:marTop w:val="100"/>
          <w:marBottom w:val="100"/>
          <w:divBdr>
            <w:top w:val="none" w:sz="0" w:space="0" w:color="auto"/>
            <w:left w:val="none" w:sz="0" w:space="0" w:color="auto"/>
            <w:bottom w:val="none" w:sz="0" w:space="0" w:color="auto"/>
            <w:right w:val="none" w:sz="0" w:space="0" w:color="auto"/>
          </w:divBdr>
        </w:div>
        <w:div w:id="2348968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79804426">
          <w:blockQuote w:val="1"/>
          <w:marLeft w:val="720"/>
          <w:marRight w:val="720"/>
          <w:marTop w:val="100"/>
          <w:marBottom w:val="100"/>
          <w:divBdr>
            <w:top w:val="none" w:sz="0" w:space="0" w:color="auto"/>
            <w:left w:val="none" w:sz="0" w:space="0" w:color="auto"/>
            <w:bottom w:val="none" w:sz="0" w:space="0" w:color="auto"/>
            <w:right w:val="none" w:sz="0" w:space="0" w:color="auto"/>
          </w:divBdr>
        </w:div>
        <w:div w:id="773018950">
          <w:blockQuote w:val="1"/>
          <w:marLeft w:val="720"/>
          <w:marRight w:val="720"/>
          <w:marTop w:val="100"/>
          <w:marBottom w:val="100"/>
          <w:divBdr>
            <w:top w:val="none" w:sz="0" w:space="0" w:color="auto"/>
            <w:left w:val="none" w:sz="0" w:space="0" w:color="auto"/>
            <w:bottom w:val="none" w:sz="0" w:space="0" w:color="auto"/>
            <w:right w:val="none" w:sz="0" w:space="0" w:color="auto"/>
          </w:divBdr>
        </w:div>
        <w:div w:id="1966740906">
          <w:blockQuote w:val="1"/>
          <w:marLeft w:val="720"/>
          <w:marRight w:val="720"/>
          <w:marTop w:val="100"/>
          <w:marBottom w:val="100"/>
          <w:divBdr>
            <w:top w:val="none" w:sz="0" w:space="0" w:color="auto"/>
            <w:left w:val="none" w:sz="0" w:space="0" w:color="auto"/>
            <w:bottom w:val="none" w:sz="0" w:space="0" w:color="auto"/>
            <w:right w:val="none" w:sz="0" w:space="0" w:color="auto"/>
          </w:divBdr>
        </w:div>
        <w:div w:id="1704163963">
          <w:blockQuote w:val="1"/>
          <w:marLeft w:val="720"/>
          <w:marRight w:val="720"/>
          <w:marTop w:val="100"/>
          <w:marBottom w:val="100"/>
          <w:divBdr>
            <w:top w:val="none" w:sz="0" w:space="0" w:color="auto"/>
            <w:left w:val="none" w:sz="0" w:space="0" w:color="auto"/>
            <w:bottom w:val="none" w:sz="0" w:space="0" w:color="auto"/>
            <w:right w:val="none" w:sz="0" w:space="0" w:color="auto"/>
          </w:divBdr>
        </w:div>
        <w:div w:id="1183544115">
          <w:marLeft w:val="0"/>
          <w:marRight w:val="0"/>
          <w:marTop w:val="0"/>
          <w:marBottom w:val="0"/>
          <w:divBdr>
            <w:top w:val="none" w:sz="0" w:space="0" w:color="auto"/>
            <w:left w:val="none" w:sz="0" w:space="0" w:color="auto"/>
            <w:bottom w:val="none" w:sz="0" w:space="0" w:color="auto"/>
            <w:right w:val="none" w:sz="0" w:space="0" w:color="auto"/>
          </w:divBdr>
          <w:divsChild>
            <w:div w:id="133675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731384">
      <w:bodyDiv w:val="1"/>
      <w:marLeft w:val="0"/>
      <w:marRight w:val="0"/>
      <w:marTop w:val="0"/>
      <w:marBottom w:val="0"/>
      <w:divBdr>
        <w:top w:val="none" w:sz="0" w:space="0" w:color="auto"/>
        <w:left w:val="none" w:sz="0" w:space="0" w:color="auto"/>
        <w:bottom w:val="none" w:sz="0" w:space="0" w:color="auto"/>
        <w:right w:val="none" w:sz="0" w:space="0" w:color="auto"/>
      </w:divBdr>
    </w:div>
    <w:div w:id="373776778">
      <w:bodyDiv w:val="1"/>
      <w:marLeft w:val="0"/>
      <w:marRight w:val="0"/>
      <w:marTop w:val="0"/>
      <w:marBottom w:val="0"/>
      <w:divBdr>
        <w:top w:val="none" w:sz="0" w:space="0" w:color="auto"/>
        <w:left w:val="none" w:sz="0" w:space="0" w:color="auto"/>
        <w:bottom w:val="none" w:sz="0" w:space="0" w:color="auto"/>
        <w:right w:val="none" w:sz="0" w:space="0" w:color="auto"/>
      </w:divBdr>
    </w:div>
    <w:div w:id="393697766">
      <w:bodyDiv w:val="1"/>
      <w:marLeft w:val="0"/>
      <w:marRight w:val="0"/>
      <w:marTop w:val="0"/>
      <w:marBottom w:val="0"/>
      <w:divBdr>
        <w:top w:val="none" w:sz="0" w:space="0" w:color="auto"/>
        <w:left w:val="none" w:sz="0" w:space="0" w:color="auto"/>
        <w:bottom w:val="none" w:sz="0" w:space="0" w:color="auto"/>
        <w:right w:val="none" w:sz="0" w:space="0" w:color="auto"/>
      </w:divBdr>
    </w:div>
    <w:div w:id="403920010">
      <w:bodyDiv w:val="1"/>
      <w:marLeft w:val="0"/>
      <w:marRight w:val="0"/>
      <w:marTop w:val="0"/>
      <w:marBottom w:val="0"/>
      <w:divBdr>
        <w:top w:val="none" w:sz="0" w:space="0" w:color="auto"/>
        <w:left w:val="none" w:sz="0" w:space="0" w:color="auto"/>
        <w:bottom w:val="none" w:sz="0" w:space="0" w:color="auto"/>
        <w:right w:val="none" w:sz="0" w:space="0" w:color="auto"/>
      </w:divBdr>
      <w:divsChild>
        <w:div w:id="269096131">
          <w:marLeft w:val="0"/>
          <w:marRight w:val="0"/>
          <w:marTop w:val="0"/>
          <w:marBottom w:val="0"/>
          <w:divBdr>
            <w:top w:val="none" w:sz="0" w:space="0" w:color="auto"/>
            <w:left w:val="none" w:sz="0" w:space="0" w:color="auto"/>
            <w:bottom w:val="none" w:sz="0" w:space="0" w:color="auto"/>
            <w:right w:val="none" w:sz="0" w:space="0" w:color="auto"/>
          </w:divBdr>
          <w:divsChild>
            <w:div w:id="51951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996008">
      <w:bodyDiv w:val="1"/>
      <w:marLeft w:val="0"/>
      <w:marRight w:val="0"/>
      <w:marTop w:val="0"/>
      <w:marBottom w:val="0"/>
      <w:divBdr>
        <w:top w:val="none" w:sz="0" w:space="0" w:color="auto"/>
        <w:left w:val="none" w:sz="0" w:space="0" w:color="auto"/>
        <w:bottom w:val="none" w:sz="0" w:space="0" w:color="auto"/>
        <w:right w:val="none" w:sz="0" w:space="0" w:color="auto"/>
      </w:divBdr>
    </w:div>
    <w:div w:id="537622449">
      <w:bodyDiv w:val="1"/>
      <w:marLeft w:val="0"/>
      <w:marRight w:val="0"/>
      <w:marTop w:val="0"/>
      <w:marBottom w:val="0"/>
      <w:divBdr>
        <w:top w:val="none" w:sz="0" w:space="0" w:color="auto"/>
        <w:left w:val="none" w:sz="0" w:space="0" w:color="auto"/>
        <w:bottom w:val="none" w:sz="0" w:space="0" w:color="auto"/>
        <w:right w:val="none" w:sz="0" w:space="0" w:color="auto"/>
      </w:divBdr>
      <w:divsChild>
        <w:div w:id="725374606">
          <w:marLeft w:val="0"/>
          <w:marRight w:val="0"/>
          <w:marTop w:val="0"/>
          <w:marBottom w:val="0"/>
          <w:divBdr>
            <w:top w:val="none" w:sz="0" w:space="0" w:color="auto"/>
            <w:left w:val="none" w:sz="0" w:space="0" w:color="auto"/>
            <w:bottom w:val="none" w:sz="0" w:space="0" w:color="auto"/>
            <w:right w:val="none" w:sz="0" w:space="0" w:color="auto"/>
          </w:divBdr>
          <w:divsChild>
            <w:div w:id="128512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543868">
      <w:bodyDiv w:val="1"/>
      <w:marLeft w:val="0"/>
      <w:marRight w:val="0"/>
      <w:marTop w:val="0"/>
      <w:marBottom w:val="0"/>
      <w:divBdr>
        <w:top w:val="none" w:sz="0" w:space="0" w:color="auto"/>
        <w:left w:val="none" w:sz="0" w:space="0" w:color="auto"/>
        <w:bottom w:val="none" w:sz="0" w:space="0" w:color="auto"/>
        <w:right w:val="none" w:sz="0" w:space="0" w:color="auto"/>
      </w:divBdr>
    </w:div>
    <w:div w:id="668868252">
      <w:bodyDiv w:val="1"/>
      <w:marLeft w:val="0"/>
      <w:marRight w:val="0"/>
      <w:marTop w:val="0"/>
      <w:marBottom w:val="0"/>
      <w:divBdr>
        <w:top w:val="none" w:sz="0" w:space="0" w:color="auto"/>
        <w:left w:val="none" w:sz="0" w:space="0" w:color="auto"/>
        <w:bottom w:val="none" w:sz="0" w:space="0" w:color="auto"/>
        <w:right w:val="none" w:sz="0" w:space="0" w:color="auto"/>
      </w:divBdr>
    </w:div>
    <w:div w:id="705720507">
      <w:bodyDiv w:val="1"/>
      <w:marLeft w:val="0"/>
      <w:marRight w:val="0"/>
      <w:marTop w:val="0"/>
      <w:marBottom w:val="0"/>
      <w:divBdr>
        <w:top w:val="none" w:sz="0" w:space="0" w:color="auto"/>
        <w:left w:val="none" w:sz="0" w:space="0" w:color="auto"/>
        <w:bottom w:val="none" w:sz="0" w:space="0" w:color="auto"/>
        <w:right w:val="none" w:sz="0" w:space="0" w:color="auto"/>
      </w:divBdr>
    </w:div>
    <w:div w:id="731924125">
      <w:bodyDiv w:val="1"/>
      <w:marLeft w:val="0"/>
      <w:marRight w:val="0"/>
      <w:marTop w:val="0"/>
      <w:marBottom w:val="0"/>
      <w:divBdr>
        <w:top w:val="none" w:sz="0" w:space="0" w:color="auto"/>
        <w:left w:val="none" w:sz="0" w:space="0" w:color="auto"/>
        <w:bottom w:val="none" w:sz="0" w:space="0" w:color="auto"/>
        <w:right w:val="none" w:sz="0" w:space="0" w:color="auto"/>
      </w:divBdr>
    </w:div>
    <w:div w:id="778766738">
      <w:bodyDiv w:val="1"/>
      <w:marLeft w:val="0"/>
      <w:marRight w:val="0"/>
      <w:marTop w:val="0"/>
      <w:marBottom w:val="0"/>
      <w:divBdr>
        <w:top w:val="none" w:sz="0" w:space="0" w:color="auto"/>
        <w:left w:val="none" w:sz="0" w:space="0" w:color="auto"/>
        <w:bottom w:val="none" w:sz="0" w:space="0" w:color="auto"/>
        <w:right w:val="none" w:sz="0" w:space="0" w:color="auto"/>
      </w:divBdr>
      <w:divsChild>
        <w:div w:id="12574002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84030659">
          <w:blockQuote w:val="1"/>
          <w:marLeft w:val="720"/>
          <w:marRight w:val="720"/>
          <w:marTop w:val="100"/>
          <w:marBottom w:val="100"/>
          <w:divBdr>
            <w:top w:val="none" w:sz="0" w:space="0" w:color="auto"/>
            <w:left w:val="none" w:sz="0" w:space="0" w:color="auto"/>
            <w:bottom w:val="none" w:sz="0" w:space="0" w:color="auto"/>
            <w:right w:val="none" w:sz="0" w:space="0" w:color="auto"/>
          </w:divBdr>
        </w:div>
        <w:div w:id="29498171">
          <w:marLeft w:val="0"/>
          <w:marRight w:val="0"/>
          <w:marTop w:val="0"/>
          <w:marBottom w:val="0"/>
          <w:divBdr>
            <w:top w:val="none" w:sz="0" w:space="0" w:color="auto"/>
            <w:left w:val="none" w:sz="0" w:space="0" w:color="auto"/>
            <w:bottom w:val="none" w:sz="0" w:space="0" w:color="auto"/>
            <w:right w:val="none" w:sz="0" w:space="0" w:color="auto"/>
          </w:divBdr>
          <w:divsChild>
            <w:div w:id="407503762">
              <w:marLeft w:val="0"/>
              <w:marRight w:val="0"/>
              <w:marTop w:val="0"/>
              <w:marBottom w:val="0"/>
              <w:divBdr>
                <w:top w:val="none" w:sz="0" w:space="0" w:color="auto"/>
                <w:left w:val="none" w:sz="0" w:space="0" w:color="auto"/>
                <w:bottom w:val="none" w:sz="0" w:space="0" w:color="auto"/>
                <w:right w:val="none" w:sz="0" w:space="0" w:color="auto"/>
              </w:divBdr>
            </w:div>
          </w:divsChild>
        </w:div>
        <w:div w:id="762454713">
          <w:blockQuote w:val="1"/>
          <w:marLeft w:val="720"/>
          <w:marRight w:val="720"/>
          <w:marTop w:val="100"/>
          <w:marBottom w:val="100"/>
          <w:divBdr>
            <w:top w:val="none" w:sz="0" w:space="0" w:color="auto"/>
            <w:left w:val="none" w:sz="0" w:space="0" w:color="auto"/>
            <w:bottom w:val="none" w:sz="0" w:space="0" w:color="auto"/>
            <w:right w:val="none" w:sz="0" w:space="0" w:color="auto"/>
          </w:divBdr>
        </w:div>
        <w:div w:id="806512787">
          <w:blockQuote w:val="1"/>
          <w:marLeft w:val="720"/>
          <w:marRight w:val="720"/>
          <w:marTop w:val="100"/>
          <w:marBottom w:val="100"/>
          <w:divBdr>
            <w:top w:val="none" w:sz="0" w:space="0" w:color="auto"/>
            <w:left w:val="none" w:sz="0" w:space="0" w:color="auto"/>
            <w:bottom w:val="none" w:sz="0" w:space="0" w:color="auto"/>
            <w:right w:val="none" w:sz="0" w:space="0" w:color="auto"/>
          </w:divBdr>
        </w:div>
        <w:div w:id="436802074">
          <w:blockQuote w:val="1"/>
          <w:marLeft w:val="720"/>
          <w:marRight w:val="720"/>
          <w:marTop w:val="100"/>
          <w:marBottom w:val="100"/>
          <w:divBdr>
            <w:top w:val="none" w:sz="0" w:space="0" w:color="auto"/>
            <w:left w:val="none" w:sz="0" w:space="0" w:color="auto"/>
            <w:bottom w:val="none" w:sz="0" w:space="0" w:color="auto"/>
            <w:right w:val="none" w:sz="0" w:space="0" w:color="auto"/>
          </w:divBdr>
        </w:div>
        <w:div w:id="226763168">
          <w:blockQuote w:val="1"/>
          <w:marLeft w:val="720"/>
          <w:marRight w:val="720"/>
          <w:marTop w:val="100"/>
          <w:marBottom w:val="100"/>
          <w:divBdr>
            <w:top w:val="none" w:sz="0" w:space="0" w:color="auto"/>
            <w:left w:val="none" w:sz="0" w:space="0" w:color="auto"/>
            <w:bottom w:val="none" w:sz="0" w:space="0" w:color="auto"/>
            <w:right w:val="none" w:sz="0" w:space="0" w:color="auto"/>
          </w:divBdr>
        </w:div>
        <w:div w:id="250624151">
          <w:blockQuote w:val="1"/>
          <w:marLeft w:val="720"/>
          <w:marRight w:val="720"/>
          <w:marTop w:val="100"/>
          <w:marBottom w:val="100"/>
          <w:divBdr>
            <w:top w:val="none" w:sz="0" w:space="0" w:color="auto"/>
            <w:left w:val="none" w:sz="0" w:space="0" w:color="auto"/>
            <w:bottom w:val="none" w:sz="0" w:space="0" w:color="auto"/>
            <w:right w:val="none" w:sz="0" w:space="0" w:color="auto"/>
          </w:divBdr>
        </w:div>
        <w:div w:id="480267726">
          <w:blockQuote w:val="1"/>
          <w:marLeft w:val="720"/>
          <w:marRight w:val="720"/>
          <w:marTop w:val="100"/>
          <w:marBottom w:val="100"/>
          <w:divBdr>
            <w:top w:val="none" w:sz="0" w:space="0" w:color="auto"/>
            <w:left w:val="none" w:sz="0" w:space="0" w:color="auto"/>
            <w:bottom w:val="none" w:sz="0" w:space="0" w:color="auto"/>
            <w:right w:val="none" w:sz="0" w:space="0" w:color="auto"/>
          </w:divBdr>
        </w:div>
        <w:div w:id="401606748">
          <w:marLeft w:val="0"/>
          <w:marRight w:val="0"/>
          <w:marTop w:val="0"/>
          <w:marBottom w:val="0"/>
          <w:divBdr>
            <w:top w:val="none" w:sz="0" w:space="0" w:color="auto"/>
            <w:left w:val="none" w:sz="0" w:space="0" w:color="auto"/>
            <w:bottom w:val="none" w:sz="0" w:space="0" w:color="auto"/>
            <w:right w:val="none" w:sz="0" w:space="0" w:color="auto"/>
          </w:divBdr>
          <w:divsChild>
            <w:div w:id="901713731">
              <w:marLeft w:val="0"/>
              <w:marRight w:val="0"/>
              <w:marTop w:val="0"/>
              <w:marBottom w:val="0"/>
              <w:divBdr>
                <w:top w:val="none" w:sz="0" w:space="0" w:color="auto"/>
                <w:left w:val="none" w:sz="0" w:space="0" w:color="auto"/>
                <w:bottom w:val="none" w:sz="0" w:space="0" w:color="auto"/>
                <w:right w:val="none" w:sz="0" w:space="0" w:color="auto"/>
              </w:divBdr>
            </w:div>
          </w:divsChild>
        </w:div>
        <w:div w:id="11112404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0171020">
      <w:bodyDiv w:val="1"/>
      <w:marLeft w:val="0"/>
      <w:marRight w:val="0"/>
      <w:marTop w:val="0"/>
      <w:marBottom w:val="0"/>
      <w:divBdr>
        <w:top w:val="none" w:sz="0" w:space="0" w:color="auto"/>
        <w:left w:val="none" w:sz="0" w:space="0" w:color="auto"/>
        <w:bottom w:val="none" w:sz="0" w:space="0" w:color="auto"/>
        <w:right w:val="none" w:sz="0" w:space="0" w:color="auto"/>
      </w:divBdr>
    </w:div>
    <w:div w:id="816728740">
      <w:bodyDiv w:val="1"/>
      <w:marLeft w:val="0"/>
      <w:marRight w:val="0"/>
      <w:marTop w:val="0"/>
      <w:marBottom w:val="0"/>
      <w:divBdr>
        <w:top w:val="none" w:sz="0" w:space="0" w:color="auto"/>
        <w:left w:val="none" w:sz="0" w:space="0" w:color="auto"/>
        <w:bottom w:val="none" w:sz="0" w:space="0" w:color="auto"/>
        <w:right w:val="none" w:sz="0" w:space="0" w:color="auto"/>
      </w:divBdr>
      <w:divsChild>
        <w:div w:id="494687593">
          <w:marLeft w:val="0"/>
          <w:marRight w:val="0"/>
          <w:marTop w:val="0"/>
          <w:marBottom w:val="0"/>
          <w:divBdr>
            <w:top w:val="none" w:sz="0" w:space="0" w:color="auto"/>
            <w:left w:val="none" w:sz="0" w:space="0" w:color="auto"/>
            <w:bottom w:val="none" w:sz="0" w:space="0" w:color="auto"/>
            <w:right w:val="none" w:sz="0" w:space="0" w:color="auto"/>
          </w:divBdr>
          <w:divsChild>
            <w:div w:id="1698697611">
              <w:marLeft w:val="0"/>
              <w:marRight w:val="0"/>
              <w:marTop w:val="0"/>
              <w:marBottom w:val="0"/>
              <w:divBdr>
                <w:top w:val="none" w:sz="0" w:space="0" w:color="auto"/>
                <w:left w:val="none" w:sz="0" w:space="0" w:color="auto"/>
                <w:bottom w:val="none" w:sz="0" w:space="0" w:color="auto"/>
                <w:right w:val="none" w:sz="0" w:space="0" w:color="auto"/>
              </w:divBdr>
            </w:div>
          </w:divsChild>
        </w:div>
        <w:div w:id="1729498311">
          <w:marLeft w:val="0"/>
          <w:marRight w:val="0"/>
          <w:marTop w:val="0"/>
          <w:marBottom w:val="0"/>
          <w:divBdr>
            <w:top w:val="none" w:sz="0" w:space="0" w:color="auto"/>
            <w:left w:val="none" w:sz="0" w:space="0" w:color="auto"/>
            <w:bottom w:val="none" w:sz="0" w:space="0" w:color="auto"/>
            <w:right w:val="none" w:sz="0" w:space="0" w:color="auto"/>
          </w:divBdr>
          <w:divsChild>
            <w:div w:id="54849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843846">
      <w:bodyDiv w:val="1"/>
      <w:marLeft w:val="0"/>
      <w:marRight w:val="0"/>
      <w:marTop w:val="0"/>
      <w:marBottom w:val="0"/>
      <w:divBdr>
        <w:top w:val="none" w:sz="0" w:space="0" w:color="auto"/>
        <w:left w:val="none" w:sz="0" w:space="0" w:color="auto"/>
        <w:bottom w:val="none" w:sz="0" w:space="0" w:color="auto"/>
        <w:right w:val="none" w:sz="0" w:space="0" w:color="auto"/>
      </w:divBdr>
    </w:div>
    <w:div w:id="971907089">
      <w:bodyDiv w:val="1"/>
      <w:marLeft w:val="0"/>
      <w:marRight w:val="0"/>
      <w:marTop w:val="0"/>
      <w:marBottom w:val="0"/>
      <w:divBdr>
        <w:top w:val="none" w:sz="0" w:space="0" w:color="auto"/>
        <w:left w:val="none" w:sz="0" w:space="0" w:color="auto"/>
        <w:bottom w:val="none" w:sz="0" w:space="0" w:color="auto"/>
        <w:right w:val="none" w:sz="0" w:space="0" w:color="auto"/>
      </w:divBdr>
    </w:div>
    <w:div w:id="1119297511">
      <w:bodyDiv w:val="1"/>
      <w:marLeft w:val="0"/>
      <w:marRight w:val="0"/>
      <w:marTop w:val="0"/>
      <w:marBottom w:val="0"/>
      <w:divBdr>
        <w:top w:val="none" w:sz="0" w:space="0" w:color="auto"/>
        <w:left w:val="none" w:sz="0" w:space="0" w:color="auto"/>
        <w:bottom w:val="none" w:sz="0" w:space="0" w:color="auto"/>
        <w:right w:val="none" w:sz="0" w:space="0" w:color="auto"/>
      </w:divBdr>
    </w:div>
    <w:div w:id="1183588494">
      <w:bodyDiv w:val="1"/>
      <w:marLeft w:val="0"/>
      <w:marRight w:val="0"/>
      <w:marTop w:val="0"/>
      <w:marBottom w:val="0"/>
      <w:divBdr>
        <w:top w:val="none" w:sz="0" w:space="0" w:color="auto"/>
        <w:left w:val="none" w:sz="0" w:space="0" w:color="auto"/>
        <w:bottom w:val="none" w:sz="0" w:space="0" w:color="auto"/>
        <w:right w:val="none" w:sz="0" w:space="0" w:color="auto"/>
      </w:divBdr>
    </w:div>
    <w:div w:id="1260600363">
      <w:bodyDiv w:val="1"/>
      <w:marLeft w:val="0"/>
      <w:marRight w:val="0"/>
      <w:marTop w:val="0"/>
      <w:marBottom w:val="0"/>
      <w:divBdr>
        <w:top w:val="none" w:sz="0" w:space="0" w:color="auto"/>
        <w:left w:val="none" w:sz="0" w:space="0" w:color="auto"/>
        <w:bottom w:val="none" w:sz="0" w:space="0" w:color="auto"/>
        <w:right w:val="none" w:sz="0" w:space="0" w:color="auto"/>
      </w:divBdr>
      <w:divsChild>
        <w:div w:id="640621658">
          <w:marLeft w:val="0"/>
          <w:marRight w:val="0"/>
          <w:marTop w:val="0"/>
          <w:marBottom w:val="0"/>
          <w:divBdr>
            <w:top w:val="none" w:sz="0" w:space="0" w:color="auto"/>
            <w:left w:val="none" w:sz="0" w:space="0" w:color="auto"/>
            <w:bottom w:val="none" w:sz="0" w:space="0" w:color="auto"/>
            <w:right w:val="none" w:sz="0" w:space="0" w:color="auto"/>
          </w:divBdr>
          <w:divsChild>
            <w:div w:id="170983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189649">
      <w:bodyDiv w:val="1"/>
      <w:marLeft w:val="0"/>
      <w:marRight w:val="0"/>
      <w:marTop w:val="0"/>
      <w:marBottom w:val="0"/>
      <w:divBdr>
        <w:top w:val="none" w:sz="0" w:space="0" w:color="auto"/>
        <w:left w:val="none" w:sz="0" w:space="0" w:color="auto"/>
        <w:bottom w:val="none" w:sz="0" w:space="0" w:color="auto"/>
        <w:right w:val="none" w:sz="0" w:space="0" w:color="auto"/>
      </w:divBdr>
    </w:div>
    <w:div w:id="1304314046">
      <w:bodyDiv w:val="1"/>
      <w:marLeft w:val="0"/>
      <w:marRight w:val="0"/>
      <w:marTop w:val="0"/>
      <w:marBottom w:val="0"/>
      <w:divBdr>
        <w:top w:val="none" w:sz="0" w:space="0" w:color="auto"/>
        <w:left w:val="none" w:sz="0" w:space="0" w:color="auto"/>
        <w:bottom w:val="none" w:sz="0" w:space="0" w:color="auto"/>
        <w:right w:val="none" w:sz="0" w:space="0" w:color="auto"/>
      </w:divBdr>
    </w:div>
    <w:div w:id="1333148151">
      <w:bodyDiv w:val="1"/>
      <w:marLeft w:val="0"/>
      <w:marRight w:val="0"/>
      <w:marTop w:val="0"/>
      <w:marBottom w:val="0"/>
      <w:divBdr>
        <w:top w:val="none" w:sz="0" w:space="0" w:color="auto"/>
        <w:left w:val="none" w:sz="0" w:space="0" w:color="auto"/>
        <w:bottom w:val="none" w:sz="0" w:space="0" w:color="auto"/>
        <w:right w:val="none" w:sz="0" w:space="0" w:color="auto"/>
      </w:divBdr>
    </w:div>
    <w:div w:id="1406534479">
      <w:bodyDiv w:val="1"/>
      <w:marLeft w:val="0"/>
      <w:marRight w:val="0"/>
      <w:marTop w:val="0"/>
      <w:marBottom w:val="0"/>
      <w:divBdr>
        <w:top w:val="none" w:sz="0" w:space="0" w:color="auto"/>
        <w:left w:val="none" w:sz="0" w:space="0" w:color="auto"/>
        <w:bottom w:val="none" w:sz="0" w:space="0" w:color="auto"/>
        <w:right w:val="none" w:sz="0" w:space="0" w:color="auto"/>
      </w:divBdr>
      <w:divsChild>
        <w:div w:id="349718632">
          <w:marLeft w:val="0"/>
          <w:marRight w:val="0"/>
          <w:marTop w:val="0"/>
          <w:marBottom w:val="0"/>
          <w:divBdr>
            <w:top w:val="none" w:sz="0" w:space="0" w:color="auto"/>
            <w:left w:val="none" w:sz="0" w:space="0" w:color="auto"/>
            <w:bottom w:val="none" w:sz="0" w:space="0" w:color="auto"/>
            <w:right w:val="none" w:sz="0" w:space="0" w:color="auto"/>
          </w:divBdr>
          <w:divsChild>
            <w:div w:id="408770203">
              <w:marLeft w:val="0"/>
              <w:marRight w:val="0"/>
              <w:marTop w:val="0"/>
              <w:marBottom w:val="0"/>
              <w:divBdr>
                <w:top w:val="none" w:sz="0" w:space="0" w:color="auto"/>
                <w:left w:val="none" w:sz="0" w:space="0" w:color="auto"/>
                <w:bottom w:val="none" w:sz="0" w:space="0" w:color="auto"/>
                <w:right w:val="none" w:sz="0" w:space="0" w:color="auto"/>
              </w:divBdr>
              <w:divsChild>
                <w:div w:id="1100250094">
                  <w:marLeft w:val="0"/>
                  <w:marRight w:val="0"/>
                  <w:marTop w:val="0"/>
                  <w:marBottom w:val="0"/>
                  <w:divBdr>
                    <w:top w:val="none" w:sz="0" w:space="0" w:color="auto"/>
                    <w:left w:val="none" w:sz="0" w:space="0" w:color="auto"/>
                    <w:bottom w:val="none" w:sz="0" w:space="0" w:color="auto"/>
                    <w:right w:val="none" w:sz="0" w:space="0" w:color="auto"/>
                  </w:divBdr>
                  <w:divsChild>
                    <w:div w:id="1714578050">
                      <w:marLeft w:val="0"/>
                      <w:marRight w:val="0"/>
                      <w:marTop w:val="0"/>
                      <w:marBottom w:val="0"/>
                      <w:divBdr>
                        <w:top w:val="none" w:sz="0" w:space="0" w:color="auto"/>
                        <w:left w:val="none" w:sz="0" w:space="0" w:color="auto"/>
                        <w:bottom w:val="none" w:sz="0" w:space="0" w:color="auto"/>
                        <w:right w:val="none" w:sz="0" w:space="0" w:color="auto"/>
                      </w:divBdr>
                      <w:divsChild>
                        <w:div w:id="92170393">
                          <w:marLeft w:val="0"/>
                          <w:marRight w:val="0"/>
                          <w:marTop w:val="0"/>
                          <w:marBottom w:val="0"/>
                          <w:divBdr>
                            <w:top w:val="none" w:sz="0" w:space="0" w:color="auto"/>
                            <w:left w:val="none" w:sz="0" w:space="0" w:color="auto"/>
                            <w:bottom w:val="none" w:sz="0" w:space="0" w:color="auto"/>
                            <w:right w:val="none" w:sz="0" w:space="0" w:color="auto"/>
                          </w:divBdr>
                          <w:divsChild>
                            <w:div w:id="1868324200">
                              <w:marLeft w:val="0"/>
                              <w:marRight w:val="0"/>
                              <w:marTop w:val="0"/>
                              <w:marBottom w:val="0"/>
                              <w:divBdr>
                                <w:top w:val="none" w:sz="0" w:space="0" w:color="auto"/>
                                <w:left w:val="none" w:sz="0" w:space="0" w:color="auto"/>
                                <w:bottom w:val="none" w:sz="0" w:space="0" w:color="auto"/>
                                <w:right w:val="none" w:sz="0" w:space="0" w:color="auto"/>
                              </w:divBdr>
                              <w:divsChild>
                                <w:div w:id="24138377">
                                  <w:marLeft w:val="0"/>
                                  <w:marRight w:val="0"/>
                                  <w:marTop w:val="0"/>
                                  <w:marBottom w:val="0"/>
                                  <w:divBdr>
                                    <w:top w:val="none" w:sz="0" w:space="0" w:color="auto"/>
                                    <w:left w:val="none" w:sz="0" w:space="0" w:color="auto"/>
                                    <w:bottom w:val="none" w:sz="0" w:space="0" w:color="auto"/>
                                    <w:right w:val="none" w:sz="0" w:space="0" w:color="auto"/>
                                  </w:divBdr>
                                  <w:divsChild>
                                    <w:div w:id="1648170929">
                                      <w:marLeft w:val="0"/>
                                      <w:marRight w:val="0"/>
                                      <w:marTop w:val="0"/>
                                      <w:marBottom w:val="0"/>
                                      <w:divBdr>
                                        <w:top w:val="none" w:sz="0" w:space="0" w:color="auto"/>
                                        <w:left w:val="none" w:sz="0" w:space="0" w:color="auto"/>
                                        <w:bottom w:val="none" w:sz="0" w:space="0" w:color="auto"/>
                                        <w:right w:val="none" w:sz="0" w:space="0" w:color="auto"/>
                                      </w:divBdr>
                                      <w:divsChild>
                                        <w:div w:id="477650516">
                                          <w:marLeft w:val="0"/>
                                          <w:marRight w:val="0"/>
                                          <w:marTop w:val="0"/>
                                          <w:marBottom w:val="0"/>
                                          <w:divBdr>
                                            <w:top w:val="none" w:sz="0" w:space="0" w:color="auto"/>
                                            <w:left w:val="none" w:sz="0" w:space="0" w:color="auto"/>
                                            <w:bottom w:val="none" w:sz="0" w:space="0" w:color="auto"/>
                                            <w:right w:val="none" w:sz="0" w:space="0" w:color="auto"/>
                                          </w:divBdr>
                                          <w:divsChild>
                                            <w:div w:id="2131972516">
                                              <w:marLeft w:val="0"/>
                                              <w:marRight w:val="0"/>
                                              <w:marTop w:val="0"/>
                                              <w:marBottom w:val="0"/>
                                              <w:divBdr>
                                                <w:top w:val="none" w:sz="0" w:space="0" w:color="auto"/>
                                                <w:left w:val="none" w:sz="0" w:space="0" w:color="auto"/>
                                                <w:bottom w:val="none" w:sz="0" w:space="0" w:color="auto"/>
                                                <w:right w:val="none" w:sz="0" w:space="0" w:color="auto"/>
                                              </w:divBdr>
                                              <w:divsChild>
                                                <w:div w:id="517348974">
                                                  <w:marLeft w:val="0"/>
                                                  <w:marRight w:val="0"/>
                                                  <w:marTop w:val="0"/>
                                                  <w:marBottom w:val="0"/>
                                                  <w:divBdr>
                                                    <w:top w:val="none" w:sz="0" w:space="0" w:color="auto"/>
                                                    <w:left w:val="none" w:sz="0" w:space="0" w:color="auto"/>
                                                    <w:bottom w:val="none" w:sz="0" w:space="0" w:color="auto"/>
                                                    <w:right w:val="none" w:sz="0" w:space="0" w:color="auto"/>
                                                  </w:divBdr>
                                                  <w:divsChild>
                                                    <w:div w:id="269777059">
                                                      <w:marLeft w:val="0"/>
                                                      <w:marRight w:val="0"/>
                                                      <w:marTop w:val="0"/>
                                                      <w:marBottom w:val="0"/>
                                                      <w:divBdr>
                                                        <w:top w:val="none" w:sz="0" w:space="0" w:color="auto"/>
                                                        <w:left w:val="none" w:sz="0" w:space="0" w:color="auto"/>
                                                        <w:bottom w:val="none" w:sz="0" w:space="0" w:color="auto"/>
                                                        <w:right w:val="none" w:sz="0" w:space="0" w:color="auto"/>
                                                      </w:divBdr>
                                                      <w:divsChild>
                                                        <w:div w:id="202979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10884391">
      <w:bodyDiv w:val="1"/>
      <w:marLeft w:val="0"/>
      <w:marRight w:val="0"/>
      <w:marTop w:val="0"/>
      <w:marBottom w:val="0"/>
      <w:divBdr>
        <w:top w:val="none" w:sz="0" w:space="0" w:color="auto"/>
        <w:left w:val="none" w:sz="0" w:space="0" w:color="auto"/>
        <w:bottom w:val="none" w:sz="0" w:space="0" w:color="auto"/>
        <w:right w:val="none" w:sz="0" w:space="0" w:color="auto"/>
      </w:divBdr>
    </w:div>
    <w:div w:id="1424187494">
      <w:bodyDiv w:val="1"/>
      <w:marLeft w:val="0"/>
      <w:marRight w:val="0"/>
      <w:marTop w:val="0"/>
      <w:marBottom w:val="0"/>
      <w:divBdr>
        <w:top w:val="none" w:sz="0" w:space="0" w:color="auto"/>
        <w:left w:val="none" w:sz="0" w:space="0" w:color="auto"/>
        <w:bottom w:val="none" w:sz="0" w:space="0" w:color="auto"/>
        <w:right w:val="none" w:sz="0" w:space="0" w:color="auto"/>
      </w:divBdr>
    </w:div>
    <w:div w:id="1432162738">
      <w:bodyDiv w:val="1"/>
      <w:marLeft w:val="0"/>
      <w:marRight w:val="0"/>
      <w:marTop w:val="0"/>
      <w:marBottom w:val="0"/>
      <w:divBdr>
        <w:top w:val="none" w:sz="0" w:space="0" w:color="auto"/>
        <w:left w:val="none" w:sz="0" w:space="0" w:color="auto"/>
        <w:bottom w:val="none" w:sz="0" w:space="0" w:color="auto"/>
        <w:right w:val="none" w:sz="0" w:space="0" w:color="auto"/>
      </w:divBdr>
    </w:div>
    <w:div w:id="1468402507">
      <w:bodyDiv w:val="1"/>
      <w:marLeft w:val="0"/>
      <w:marRight w:val="0"/>
      <w:marTop w:val="0"/>
      <w:marBottom w:val="0"/>
      <w:divBdr>
        <w:top w:val="none" w:sz="0" w:space="0" w:color="auto"/>
        <w:left w:val="none" w:sz="0" w:space="0" w:color="auto"/>
        <w:bottom w:val="none" w:sz="0" w:space="0" w:color="auto"/>
        <w:right w:val="none" w:sz="0" w:space="0" w:color="auto"/>
      </w:divBdr>
    </w:div>
    <w:div w:id="1630356818">
      <w:bodyDiv w:val="1"/>
      <w:marLeft w:val="0"/>
      <w:marRight w:val="0"/>
      <w:marTop w:val="0"/>
      <w:marBottom w:val="0"/>
      <w:divBdr>
        <w:top w:val="none" w:sz="0" w:space="0" w:color="auto"/>
        <w:left w:val="none" w:sz="0" w:space="0" w:color="auto"/>
        <w:bottom w:val="none" w:sz="0" w:space="0" w:color="auto"/>
        <w:right w:val="none" w:sz="0" w:space="0" w:color="auto"/>
      </w:divBdr>
    </w:div>
    <w:div w:id="1730153345">
      <w:bodyDiv w:val="1"/>
      <w:marLeft w:val="0"/>
      <w:marRight w:val="0"/>
      <w:marTop w:val="0"/>
      <w:marBottom w:val="0"/>
      <w:divBdr>
        <w:top w:val="none" w:sz="0" w:space="0" w:color="auto"/>
        <w:left w:val="none" w:sz="0" w:space="0" w:color="auto"/>
        <w:bottom w:val="none" w:sz="0" w:space="0" w:color="auto"/>
        <w:right w:val="none" w:sz="0" w:space="0" w:color="auto"/>
      </w:divBdr>
    </w:div>
    <w:div w:id="1766924918">
      <w:bodyDiv w:val="1"/>
      <w:marLeft w:val="0"/>
      <w:marRight w:val="0"/>
      <w:marTop w:val="0"/>
      <w:marBottom w:val="0"/>
      <w:divBdr>
        <w:top w:val="none" w:sz="0" w:space="0" w:color="auto"/>
        <w:left w:val="none" w:sz="0" w:space="0" w:color="auto"/>
        <w:bottom w:val="none" w:sz="0" w:space="0" w:color="auto"/>
        <w:right w:val="none" w:sz="0" w:space="0" w:color="auto"/>
      </w:divBdr>
    </w:div>
    <w:div w:id="1771658797">
      <w:bodyDiv w:val="1"/>
      <w:marLeft w:val="0"/>
      <w:marRight w:val="0"/>
      <w:marTop w:val="0"/>
      <w:marBottom w:val="0"/>
      <w:divBdr>
        <w:top w:val="none" w:sz="0" w:space="0" w:color="auto"/>
        <w:left w:val="none" w:sz="0" w:space="0" w:color="auto"/>
        <w:bottom w:val="none" w:sz="0" w:space="0" w:color="auto"/>
        <w:right w:val="none" w:sz="0" w:space="0" w:color="auto"/>
      </w:divBdr>
    </w:div>
    <w:div w:id="1815097183">
      <w:bodyDiv w:val="1"/>
      <w:marLeft w:val="0"/>
      <w:marRight w:val="0"/>
      <w:marTop w:val="0"/>
      <w:marBottom w:val="0"/>
      <w:divBdr>
        <w:top w:val="none" w:sz="0" w:space="0" w:color="auto"/>
        <w:left w:val="none" w:sz="0" w:space="0" w:color="auto"/>
        <w:bottom w:val="none" w:sz="0" w:space="0" w:color="auto"/>
        <w:right w:val="none" w:sz="0" w:space="0" w:color="auto"/>
      </w:divBdr>
    </w:div>
    <w:div w:id="1850175677">
      <w:bodyDiv w:val="1"/>
      <w:marLeft w:val="0"/>
      <w:marRight w:val="0"/>
      <w:marTop w:val="0"/>
      <w:marBottom w:val="0"/>
      <w:divBdr>
        <w:top w:val="none" w:sz="0" w:space="0" w:color="auto"/>
        <w:left w:val="none" w:sz="0" w:space="0" w:color="auto"/>
        <w:bottom w:val="none" w:sz="0" w:space="0" w:color="auto"/>
        <w:right w:val="none" w:sz="0" w:space="0" w:color="auto"/>
      </w:divBdr>
    </w:div>
    <w:div w:id="1851947034">
      <w:bodyDiv w:val="1"/>
      <w:marLeft w:val="0"/>
      <w:marRight w:val="0"/>
      <w:marTop w:val="0"/>
      <w:marBottom w:val="0"/>
      <w:divBdr>
        <w:top w:val="none" w:sz="0" w:space="0" w:color="auto"/>
        <w:left w:val="none" w:sz="0" w:space="0" w:color="auto"/>
        <w:bottom w:val="none" w:sz="0" w:space="0" w:color="auto"/>
        <w:right w:val="none" w:sz="0" w:space="0" w:color="auto"/>
      </w:divBdr>
    </w:div>
    <w:div w:id="1868594843">
      <w:bodyDiv w:val="1"/>
      <w:marLeft w:val="0"/>
      <w:marRight w:val="0"/>
      <w:marTop w:val="0"/>
      <w:marBottom w:val="0"/>
      <w:divBdr>
        <w:top w:val="none" w:sz="0" w:space="0" w:color="auto"/>
        <w:left w:val="none" w:sz="0" w:space="0" w:color="auto"/>
        <w:bottom w:val="none" w:sz="0" w:space="0" w:color="auto"/>
        <w:right w:val="none" w:sz="0" w:space="0" w:color="auto"/>
      </w:divBdr>
    </w:div>
    <w:div w:id="1874346627">
      <w:bodyDiv w:val="1"/>
      <w:marLeft w:val="0"/>
      <w:marRight w:val="0"/>
      <w:marTop w:val="0"/>
      <w:marBottom w:val="0"/>
      <w:divBdr>
        <w:top w:val="none" w:sz="0" w:space="0" w:color="auto"/>
        <w:left w:val="none" w:sz="0" w:space="0" w:color="auto"/>
        <w:bottom w:val="none" w:sz="0" w:space="0" w:color="auto"/>
        <w:right w:val="none" w:sz="0" w:space="0" w:color="auto"/>
      </w:divBdr>
      <w:divsChild>
        <w:div w:id="180703371">
          <w:marLeft w:val="0"/>
          <w:marRight w:val="0"/>
          <w:marTop w:val="0"/>
          <w:marBottom w:val="0"/>
          <w:divBdr>
            <w:top w:val="none" w:sz="0" w:space="0" w:color="auto"/>
            <w:left w:val="none" w:sz="0" w:space="0" w:color="auto"/>
            <w:bottom w:val="none" w:sz="0" w:space="0" w:color="auto"/>
            <w:right w:val="none" w:sz="0" w:space="0" w:color="auto"/>
          </w:divBdr>
          <w:divsChild>
            <w:div w:id="91417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635286">
      <w:bodyDiv w:val="1"/>
      <w:marLeft w:val="0"/>
      <w:marRight w:val="0"/>
      <w:marTop w:val="0"/>
      <w:marBottom w:val="0"/>
      <w:divBdr>
        <w:top w:val="none" w:sz="0" w:space="0" w:color="auto"/>
        <w:left w:val="none" w:sz="0" w:space="0" w:color="auto"/>
        <w:bottom w:val="none" w:sz="0" w:space="0" w:color="auto"/>
        <w:right w:val="none" w:sz="0" w:space="0" w:color="auto"/>
      </w:divBdr>
      <w:divsChild>
        <w:div w:id="1759013288">
          <w:blockQuote w:val="1"/>
          <w:marLeft w:val="720"/>
          <w:marRight w:val="720"/>
          <w:marTop w:val="100"/>
          <w:marBottom w:val="100"/>
          <w:divBdr>
            <w:top w:val="none" w:sz="0" w:space="0" w:color="auto"/>
            <w:left w:val="none" w:sz="0" w:space="0" w:color="auto"/>
            <w:bottom w:val="none" w:sz="0" w:space="0" w:color="auto"/>
            <w:right w:val="none" w:sz="0" w:space="0" w:color="auto"/>
          </w:divBdr>
        </w:div>
        <w:div w:id="304437421">
          <w:marLeft w:val="0"/>
          <w:marRight w:val="0"/>
          <w:marTop w:val="0"/>
          <w:marBottom w:val="0"/>
          <w:divBdr>
            <w:top w:val="none" w:sz="0" w:space="0" w:color="auto"/>
            <w:left w:val="none" w:sz="0" w:space="0" w:color="auto"/>
            <w:bottom w:val="none" w:sz="0" w:space="0" w:color="auto"/>
            <w:right w:val="none" w:sz="0" w:space="0" w:color="auto"/>
          </w:divBdr>
          <w:divsChild>
            <w:div w:id="1065375077">
              <w:marLeft w:val="0"/>
              <w:marRight w:val="0"/>
              <w:marTop w:val="0"/>
              <w:marBottom w:val="0"/>
              <w:divBdr>
                <w:top w:val="none" w:sz="0" w:space="0" w:color="auto"/>
                <w:left w:val="none" w:sz="0" w:space="0" w:color="auto"/>
                <w:bottom w:val="none" w:sz="0" w:space="0" w:color="auto"/>
                <w:right w:val="none" w:sz="0" w:space="0" w:color="auto"/>
              </w:divBdr>
            </w:div>
          </w:divsChild>
        </w:div>
        <w:div w:id="19072984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101315">
          <w:blockQuote w:val="1"/>
          <w:marLeft w:val="720"/>
          <w:marRight w:val="720"/>
          <w:marTop w:val="100"/>
          <w:marBottom w:val="100"/>
          <w:divBdr>
            <w:top w:val="none" w:sz="0" w:space="0" w:color="auto"/>
            <w:left w:val="none" w:sz="0" w:space="0" w:color="auto"/>
            <w:bottom w:val="none" w:sz="0" w:space="0" w:color="auto"/>
            <w:right w:val="none" w:sz="0" w:space="0" w:color="auto"/>
          </w:divBdr>
        </w:div>
        <w:div w:id="330183408">
          <w:blockQuote w:val="1"/>
          <w:marLeft w:val="720"/>
          <w:marRight w:val="720"/>
          <w:marTop w:val="100"/>
          <w:marBottom w:val="100"/>
          <w:divBdr>
            <w:top w:val="none" w:sz="0" w:space="0" w:color="auto"/>
            <w:left w:val="none" w:sz="0" w:space="0" w:color="auto"/>
            <w:bottom w:val="none" w:sz="0" w:space="0" w:color="auto"/>
            <w:right w:val="none" w:sz="0" w:space="0" w:color="auto"/>
          </w:divBdr>
        </w:div>
        <w:div w:id="1606569546">
          <w:marLeft w:val="0"/>
          <w:marRight w:val="0"/>
          <w:marTop w:val="0"/>
          <w:marBottom w:val="0"/>
          <w:divBdr>
            <w:top w:val="none" w:sz="0" w:space="0" w:color="auto"/>
            <w:left w:val="none" w:sz="0" w:space="0" w:color="auto"/>
            <w:bottom w:val="none" w:sz="0" w:space="0" w:color="auto"/>
            <w:right w:val="none" w:sz="0" w:space="0" w:color="auto"/>
          </w:divBdr>
          <w:divsChild>
            <w:div w:id="1327825469">
              <w:marLeft w:val="0"/>
              <w:marRight w:val="0"/>
              <w:marTop w:val="0"/>
              <w:marBottom w:val="0"/>
              <w:divBdr>
                <w:top w:val="none" w:sz="0" w:space="0" w:color="auto"/>
                <w:left w:val="none" w:sz="0" w:space="0" w:color="auto"/>
                <w:bottom w:val="none" w:sz="0" w:space="0" w:color="auto"/>
                <w:right w:val="none" w:sz="0" w:space="0" w:color="auto"/>
              </w:divBdr>
            </w:div>
          </w:divsChild>
        </w:div>
        <w:div w:id="1346904983">
          <w:blockQuote w:val="1"/>
          <w:marLeft w:val="720"/>
          <w:marRight w:val="720"/>
          <w:marTop w:val="100"/>
          <w:marBottom w:val="100"/>
          <w:divBdr>
            <w:top w:val="none" w:sz="0" w:space="0" w:color="auto"/>
            <w:left w:val="none" w:sz="0" w:space="0" w:color="auto"/>
            <w:bottom w:val="none" w:sz="0" w:space="0" w:color="auto"/>
            <w:right w:val="none" w:sz="0" w:space="0" w:color="auto"/>
          </w:divBdr>
        </w:div>
        <w:div w:id="2003659354">
          <w:blockQuote w:val="1"/>
          <w:marLeft w:val="720"/>
          <w:marRight w:val="720"/>
          <w:marTop w:val="100"/>
          <w:marBottom w:val="100"/>
          <w:divBdr>
            <w:top w:val="none" w:sz="0" w:space="0" w:color="auto"/>
            <w:left w:val="none" w:sz="0" w:space="0" w:color="auto"/>
            <w:bottom w:val="none" w:sz="0" w:space="0" w:color="auto"/>
            <w:right w:val="none" w:sz="0" w:space="0" w:color="auto"/>
          </w:divBdr>
        </w:div>
        <w:div w:id="173618553">
          <w:marLeft w:val="0"/>
          <w:marRight w:val="0"/>
          <w:marTop w:val="0"/>
          <w:marBottom w:val="0"/>
          <w:divBdr>
            <w:top w:val="none" w:sz="0" w:space="0" w:color="auto"/>
            <w:left w:val="none" w:sz="0" w:space="0" w:color="auto"/>
            <w:bottom w:val="none" w:sz="0" w:space="0" w:color="auto"/>
            <w:right w:val="none" w:sz="0" w:space="0" w:color="auto"/>
          </w:divBdr>
          <w:divsChild>
            <w:div w:id="2078089208">
              <w:marLeft w:val="0"/>
              <w:marRight w:val="0"/>
              <w:marTop w:val="0"/>
              <w:marBottom w:val="0"/>
              <w:divBdr>
                <w:top w:val="none" w:sz="0" w:space="0" w:color="auto"/>
                <w:left w:val="none" w:sz="0" w:space="0" w:color="auto"/>
                <w:bottom w:val="none" w:sz="0" w:space="0" w:color="auto"/>
                <w:right w:val="none" w:sz="0" w:space="0" w:color="auto"/>
              </w:divBdr>
            </w:div>
          </w:divsChild>
        </w:div>
        <w:div w:id="1125076560">
          <w:blockQuote w:val="1"/>
          <w:marLeft w:val="720"/>
          <w:marRight w:val="720"/>
          <w:marTop w:val="100"/>
          <w:marBottom w:val="100"/>
          <w:divBdr>
            <w:top w:val="none" w:sz="0" w:space="0" w:color="auto"/>
            <w:left w:val="none" w:sz="0" w:space="0" w:color="auto"/>
            <w:bottom w:val="none" w:sz="0" w:space="0" w:color="auto"/>
            <w:right w:val="none" w:sz="0" w:space="0" w:color="auto"/>
          </w:divBdr>
        </w:div>
        <w:div w:id="17402443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9076178">
      <w:bodyDiv w:val="1"/>
      <w:marLeft w:val="0"/>
      <w:marRight w:val="0"/>
      <w:marTop w:val="0"/>
      <w:marBottom w:val="0"/>
      <w:divBdr>
        <w:top w:val="none" w:sz="0" w:space="0" w:color="auto"/>
        <w:left w:val="none" w:sz="0" w:space="0" w:color="auto"/>
        <w:bottom w:val="none" w:sz="0" w:space="0" w:color="auto"/>
        <w:right w:val="none" w:sz="0" w:space="0" w:color="auto"/>
      </w:divBdr>
    </w:div>
    <w:div w:id="1933053721">
      <w:bodyDiv w:val="1"/>
      <w:marLeft w:val="0"/>
      <w:marRight w:val="0"/>
      <w:marTop w:val="0"/>
      <w:marBottom w:val="0"/>
      <w:divBdr>
        <w:top w:val="none" w:sz="0" w:space="0" w:color="auto"/>
        <w:left w:val="none" w:sz="0" w:space="0" w:color="auto"/>
        <w:bottom w:val="none" w:sz="0" w:space="0" w:color="auto"/>
        <w:right w:val="none" w:sz="0" w:space="0" w:color="auto"/>
      </w:divBdr>
    </w:div>
    <w:div w:id="1966540037">
      <w:bodyDiv w:val="1"/>
      <w:marLeft w:val="0"/>
      <w:marRight w:val="0"/>
      <w:marTop w:val="0"/>
      <w:marBottom w:val="0"/>
      <w:divBdr>
        <w:top w:val="none" w:sz="0" w:space="0" w:color="auto"/>
        <w:left w:val="none" w:sz="0" w:space="0" w:color="auto"/>
        <w:bottom w:val="none" w:sz="0" w:space="0" w:color="auto"/>
        <w:right w:val="none" w:sz="0" w:space="0" w:color="auto"/>
      </w:divBdr>
    </w:div>
    <w:div w:id="205330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general-food-law/general-food-law?utm_source=chatgpt.com" TargetMode="External"/><Relationship Id="rId21" Type="http://schemas.openxmlformats.org/officeDocument/2006/relationships/hyperlink" Target="https://www.gov.uk/government/statistics/business-population-estimates-2025/business-population-estimates-for-the-uk-and-regions-2025-statistical-release?utm_source=chatgpt.com" TargetMode="External"/><Relationship Id="rId42" Type="http://schemas.openxmlformats.org/officeDocument/2006/relationships/hyperlink" Target="https://www.mckinsey.com/capabilities/growth-marketing-and-sales/our-insights?utm_source=chatgpt.com" TargetMode="External"/><Relationship Id="rId47" Type="http://schemas.openxmlformats.org/officeDocument/2006/relationships/hyperlink" Target="https://www.hup.harvard.edu/?utm_source=chatgpt.com" TargetMode="External"/><Relationship Id="rId63" Type="http://schemas.openxmlformats.org/officeDocument/2006/relationships/hyperlink" Target="https://www.gov.uk/government/publications/data-subject-rights/data-subject-rights?utm_source=chatgpt.com" TargetMode="External"/><Relationship Id="rId68" Type="http://schemas.openxmlformats.org/officeDocument/2006/relationships/hyperlink" Target="https://www.ons.gov.uk/businessindustryandtrade/retailindustry?utm_source=chatgpt.com" TargetMode="External"/><Relationship Id="rId84" Type="http://schemas.openxmlformats.org/officeDocument/2006/relationships/hyperlink" Target="https://www.iso.org/iso-45001-occupational-health-and-safety.html?utm_source=chatgpt.com" TargetMode="External"/><Relationship Id="rId89" Type="http://schemas.openxmlformats.org/officeDocument/2006/relationships/hyperlink" Target="https://doi.org/10.1002/j.2158-1592.2001.tb00001.x?utm_source=chatgpt.com" TargetMode="External"/><Relationship Id="rId7" Type="http://schemas.openxmlformats.org/officeDocument/2006/relationships/endnotes" Target="endnotes.xml"/><Relationship Id="rId71" Type="http://schemas.openxmlformats.org/officeDocument/2006/relationships/hyperlink" Target="https://www.gov.uk/marketing-advertising-law?utm_source=chatgpt.com" TargetMode="External"/><Relationship Id="rId92" Type="http://schemas.openxmlformats.org/officeDocument/2006/relationships/hyperlink" Target="https://link.springer.com/?utm_source=chatgpt.com" TargetMode="External"/><Relationship Id="rId2" Type="http://schemas.openxmlformats.org/officeDocument/2006/relationships/numbering" Target="numbering.xml"/><Relationship Id="rId16" Type="http://schemas.openxmlformats.org/officeDocument/2006/relationships/hyperlink" Target="https://doi.org/10.1007/s40547-020-00112-7?utm_source=chatgpt.com" TargetMode="External"/><Relationship Id="rId29" Type="http://schemas.openxmlformats.org/officeDocument/2006/relationships/hyperlink" Target="https://www.routledge.com/?utm_source=chatgpt.com" TargetMode="External"/><Relationship Id="rId11" Type="http://schemas.openxmlformats.org/officeDocument/2006/relationships/footer" Target="footer1.xml"/><Relationship Id="rId24" Type="http://schemas.openxmlformats.org/officeDocument/2006/relationships/hyperlink" Target="https://www.mheducation.com/?utm_source=chatgpt.com" TargetMode="External"/><Relationship Id="rId32" Type="http://schemas.openxmlformats.org/officeDocument/2006/relationships/hyperlink" Target="https://www.cengage.com/?utm_source=chatgpt.com" TargetMode="External"/><Relationship Id="rId37" Type="http://schemas.openxmlformats.org/officeDocument/2006/relationships/hyperlink" Target="https://www.pearson.com/?utm_source=chatgpt.com" TargetMode="External"/><Relationship Id="rId40" Type="http://schemas.openxmlformats.org/officeDocument/2006/relationships/hyperlink" Target="https://doi.org/10.1002/sej.1373?utm_source=chatgpt.com" TargetMode="External"/><Relationship Id="rId45" Type="http://schemas.openxmlformats.org/officeDocument/2006/relationships/hyperlink" Target="https://hbr.org/1990/05/the-core-competence-of-the-corporation?utm_source=chatgpt.com" TargetMode="External"/><Relationship Id="rId53" Type="http://schemas.openxmlformats.org/officeDocument/2006/relationships/hyperlink" Target="https://doi.org/10.1002/smj.4250050207?utm_source=chatgpt.com" TargetMode="External"/><Relationship Id="rId58" Type="http://schemas.openxmlformats.org/officeDocument/2006/relationships/hyperlink" Target="https://www.cipd.org/uk/knowledge/?utm_source=chatgpt.com" TargetMode="External"/><Relationship Id="rId66" Type="http://schemas.openxmlformats.org/officeDocument/2006/relationships/hyperlink" Target="https://www.ons.gov.uk/employmentandlabourmarket/peopleinwork/employmentandemployeetypes?utm_source=chatgpt.com" TargetMode="External"/><Relationship Id="rId74" Type="http://schemas.openxmlformats.org/officeDocument/2006/relationships/hyperlink" Target="https://www.gov.uk/government/organisations/companies-house?utm_source=chatgpt.com" TargetMode="External"/><Relationship Id="rId79" Type="http://schemas.openxmlformats.org/officeDocument/2006/relationships/hyperlink" Target="https://www.gov.uk/employers-liability-insurance?utm_source=chatgpt.com" TargetMode="External"/><Relationship Id="rId87" Type="http://schemas.openxmlformats.org/officeDocument/2006/relationships/hyperlink" Target="https://doi.org/10.1080/00207543.2020.1750727?utm_source=chatgpt.com" TargetMode="External"/><Relationship Id="rId102" Type="http://schemas.openxmlformats.org/officeDocument/2006/relationships/hyperlink" Target="https://doi.org/10.1142/S1363919622500384?utm_source=chatgpt.com" TargetMode="External"/><Relationship Id="rId5" Type="http://schemas.openxmlformats.org/officeDocument/2006/relationships/webSettings" Target="webSettings.xml"/><Relationship Id="rId61" Type="http://schemas.openxmlformats.org/officeDocument/2006/relationships/hyperlink" Target="https://www.gov.uk/set-up-business?utm_source=chatgpt.com" TargetMode="External"/><Relationship Id="rId82" Type="http://schemas.openxmlformats.org/officeDocument/2006/relationships/hyperlink" Target="https://www.iso.org/standard/62085.html?utm_source=chatgpt.com" TargetMode="External"/><Relationship Id="rId90" Type="http://schemas.openxmlformats.org/officeDocument/2006/relationships/hyperlink" Target="https://hbr.org/2004/10/the-triple-a-supply-chain?utm_source=chatgpt.com" TargetMode="External"/><Relationship Id="rId95" Type="http://schemas.openxmlformats.org/officeDocument/2006/relationships/hyperlink" Target="https://www.mheducation.com/?utm_source=chatgpt.com" TargetMode="External"/><Relationship Id="rId19" Type="http://schemas.openxmlformats.org/officeDocument/2006/relationships/hyperlink" Target="https://doi.org/10.1177/104225879101600102?utm_source=chatgpt.com" TargetMode="External"/><Relationship Id="rId14" Type="http://schemas.openxmlformats.org/officeDocument/2006/relationships/hyperlink" Target="https://doi.org/10.1177/014920639101700108?utm_source=chatgpt.com" TargetMode="External"/><Relationship Id="rId22" Type="http://schemas.openxmlformats.org/officeDocument/2006/relationships/hyperlink" Target="https://www.gov.uk/government/organisations/department-for-business-innovation-skills/series/small-business-survey-reports?utm_source=chatgpt.com" TargetMode="External"/><Relationship Id="rId27" Type="http://schemas.openxmlformats.org/officeDocument/2006/relationships/hyperlink" Target="https://www.gov.uk/guidance/starting-a-food-business?utm_source=chatgpt.com" TargetMode="External"/><Relationship Id="rId30" Type="http://schemas.openxmlformats.org/officeDocument/2006/relationships/hyperlink" Target="https://www.pearson.com/?utm_source=chatgpt.com" TargetMode="External"/><Relationship Id="rId35" Type="http://schemas.openxmlformats.org/officeDocument/2006/relationships/hyperlink" Target="https://www.pearson.com/?utm_source=chatgpt.com" TargetMode="External"/><Relationship Id="rId43" Type="http://schemas.openxmlformats.org/officeDocument/2006/relationships/hyperlink" Target="https://doi.org/10.1007/s11747-018-0598-1?utm_source=chatgpt.com" TargetMode="External"/><Relationship Id="rId48" Type="http://schemas.openxmlformats.org/officeDocument/2006/relationships/hyperlink" Target="https://doi.org/10.1177/1042258719899415?utm_source=chatgpt.com" TargetMode="External"/><Relationship Id="rId56" Type="http://schemas.openxmlformats.org/officeDocument/2006/relationships/hyperlink" Target="https://www.cim.co.uk/?utm_source=chatgpt.com" TargetMode="External"/><Relationship Id="rId64" Type="http://schemas.openxmlformats.org/officeDocument/2006/relationships/hyperlink" Target="https://www.ons.gov.uk/businessindustryandtrade/business/activitysizeandlocation/bulletins/ukbusinessactivitysizeandlocation/latest?utm_source=chatgpt.com" TargetMode="External"/><Relationship Id="rId69" Type="http://schemas.openxmlformats.org/officeDocument/2006/relationships/hyperlink" Target="https://www.ons.gov.uk/peoplepopulationandcommunity/personalandhouseholdfinances/expenditure?utm_source=chatgpt.com" TargetMode="External"/><Relationship Id="rId77" Type="http://schemas.openxmlformats.org/officeDocument/2006/relationships/hyperlink" Target="https://www.gov.uk/holiday-entitlement-rights?utm_source=chatgpt.com" TargetMode="External"/><Relationship Id="rId100" Type="http://schemas.openxmlformats.org/officeDocument/2006/relationships/hyperlink" Target="https://www.pearson.com/?utm_source=chatgpt.com" TargetMode="External"/><Relationship Id="rId105"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16/j.lrp.2017.06.007?utm_source=chatgpt.com" TargetMode="External"/><Relationship Id="rId72" Type="http://schemas.openxmlformats.org/officeDocument/2006/relationships/hyperlink" Target="https://www.gov.uk/browse/business/keep-your-business-running?utm_source=chatgpt.com" TargetMode="External"/><Relationship Id="rId80" Type="http://schemas.openxmlformats.org/officeDocument/2006/relationships/hyperlink" Target="https://www.gov.uk/workplace-fire-safety-your-responsibilities?utm_source=chatgpt.com" TargetMode="External"/><Relationship Id="rId85" Type="http://schemas.openxmlformats.org/officeDocument/2006/relationships/hyperlink" Target="https://www.iso.org/iso-14001-environmental-management.html?utm_source=chatgpt.com" TargetMode="External"/><Relationship Id="rId93" Type="http://schemas.openxmlformats.org/officeDocument/2006/relationships/hyperlink" Target="https://doi.org/10.1080/095851997341630?utm_source=chatgpt.com" TargetMode="External"/><Relationship Id="rId98" Type="http://schemas.openxmlformats.org/officeDocument/2006/relationships/hyperlink" Target="https://doi.org/10.1207/S15327965PLI1104_01?utm_source=chatgpt.com"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british-business-bank.co.uk/about/research-and-publications/small-business-finance-markets-report-2025?utm_source=chatgpt.com" TargetMode="External"/><Relationship Id="rId25" Type="http://schemas.openxmlformats.org/officeDocument/2006/relationships/hyperlink" Target="https://single-market-economy.ec.europa.eu/?utm_source=chatgpt.com" TargetMode="External"/><Relationship Id="rId33" Type="http://schemas.openxmlformats.org/officeDocument/2006/relationships/hyperlink" Target="https://www.gov.uk/data-protection-your-business?utm_source=chatgpt.com" TargetMode="External"/><Relationship Id="rId38" Type="http://schemas.openxmlformats.org/officeDocument/2006/relationships/hyperlink" Target="https://www.pearson.com/?utm_source=chatgpt.com" TargetMode="External"/><Relationship Id="rId46" Type="http://schemas.openxmlformats.org/officeDocument/2006/relationships/hyperlink" Target="https://www.pearson.com/?utm_source=chatgpt.com" TargetMode="External"/><Relationship Id="rId59" Type="http://schemas.openxmlformats.org/officeDocument/2006/relationships/hyperlink" Target="https://www.hse.gov.uk/simple-health-safety/?utm_source=chatgpt.com" TargetMode="External"/><Relationship Id="rId67" Type="http://schemas.openxmlformats.org/officeDocument/2006/relationships/hyperlink" Target="https://www.ons.gov.uk/economy/inflationandpriceindices?utm_source=chatgpt.com" TargetMode="External"/><Relationship Id="rId103" Type="http://schemas.openxmlformats.org/officeDocument/2006/relationships/header" Target="header1.xml"/><Relationship Id="rId20" Type="http://schemas.openxmlformats.org/officeDocument/2006/relationships/hyperlink" Target="https://www.pearson.com/?utm_source=chatgpt.com" TargetMode="External"/><Relationship Id="rId41" Type="http://schemas.openxmlformats.org/officeDocument/2006/relationships/hyperlink" Target="https://doi.org/10.1016/j.bushor.2017.09.003?utm_source=chatgpt.com" TargetMode="External"/><Relationship Id="rId54" Type="http://schemas.openxmlformats.org/officeDocument/2006/relationships/hyperlink" Target="https://data.worldbank.org/?utm_source=chatgpt.com" TargetMode="External"/><Relationship Id="rId62" Type="http://schemas.openxmlformats.org/officeDocument/2006/relationships/hyperlink" Target="https://www.gov.uk/data-protection-your-business?utm_source=chatgpt.com" TargetMode="External"/><Relationship Id="rId70" Type="http://schemas.openxmlformats.org/officeDocument/2006/relationships/hyperlink" Target="https://www.gov.uk/consumer-protection-rights?utm_source=chatgpt.com" TargetMode="External"/><Relationship Id="rId75" Type="http://schemas.openxmlformats.org/officeDocument/2006/relationships/hyperlink" Target="https://www.gov.uk/employment-contracts-and-conditions?utm_source=chatgpt.com" TargetMode="External"/><Relationship Id="rId83" Type="http://schemas.openxmlformats.org/officeDocument/2006/relationships/hyperlink" Target="https://www.iso.org/iso-31000-risk-management.html?utm_source=chatgpt.com" TargetMode="External"/><Relationship Id="rId88" Type="http://schemas.openxmlformats.org/officeDocument/2006/relationships/hyperlink" Target="https://www.pearson.com/?utm_source=chatgpt.com" TargetMode="External"/><Relationship Id="rId91" Type="http://schemas.openxmlformats.org/officeDocument/2006/relationships/hyperlink" Target="https://www.koganpage.com/?utm_source=chatgpt.com" TargetMode="External"/><Relationship Id="rId96" Type="http://schemas.openxmlformats.org/officeDocument/2006/relationships/hyperlink" Target="https://doi.org/10.1108%2FJWL-10-2019-0121?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07/s11747-019-00718-x?utm_source=chatgpt.com" TargetMode="External"/><Relationship Id="rId23" Type="http://schemas.openxmlformats.org/officeDocument/2006/relationships/hyperlink" Target="https://www.gov.uk/guidance/calculating-the-minimum-wage?utm_source=chatgpt.com" TargetMode="External"/><Relationship Id="rId28" Type="http://schemas.openxmlformats.org/officeDocument/2006/relationships/hyperlink" Target="https://www.wiley.com/?utm_source=chatgpt.com" TargetMode="External"/><Relationship Id="rId36" Type="http://schemas.openxmlformats.org/officeDocument/2006/relationships/hyperlink" Target="https://hbr.org/?utm_source=chatgpt.com" TargetMode="External"/><Relationship Id="rId49" Type="http://schemas.openxmlformats.org/officeDocument/2006/relationships/hyperlink" Target="https://doi.org/10.1108%2FIJEBR-01-2020-0030?utm_source=chatgpt.com" TargetMode="External"/><Relationship Id="rId57" Type="http://schemas.openxmlformats.org/officeDocument/2006/relationships/hyperlink" Target="https://www.cipd.org/uk/knowledge/reports/goodwork/?utm_source=chatgpt.com" TargetMode="External"/><Relationship Id="rId106"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hyperlink" Target="https://www.mheducation.com/?utm_source=chatgpt.com" TargetMode="External"/><Relationship Id="rId44" Type="http://schemas.openxmlformats.org/officeDocument/2006/relationships/hyperlink" Target="https://doi.org/10.1108%2FJWL-10-2019-0121?utm_source=chatgpt.com" TargetMode="External"/><Relationship Id="rId52" Type="http://schemas.openxmlformats.org/officeDocument/2006/relationships/hyperlink" Target="https://doi.org/10.1007/s11747-007-0069-6?utm_source=chatgpt.com" TargetMode="External"/><Relationship Id="rId60" Type="http://schemas.openxmlformats.org/officeDocument/2006/relationships/hyperlink" Target="https://www.hse.gov.uk/simple-health-safety/risk/?utm_source=chatgpt.com" TargetMode="External"/><Relationship Id="rId65" Type="http://schemas.openxmlformats.org/officeDocument/2006/relationships/hyperlink" Target="https://www.ons.gov.uk/businessindustryandtrade/business/activitysizeandlocation?utm_source=chatgpt.com" TargetMode="External"/><Relationship Id="rId73" Type="http://schemas.openxmlformats.org/officeDocument/2006/relationships/hyperlink" Target="https://www.gov.uk/browse/business/food-hospitality-retail?utm_source=chatgpt.com" TargetMode="External"/><Relationship Id="rId78" Type="http://schemas.openxmlformats.org/officeDocument/2006/relationships/hyperlink" Target="https://www.gov.uk/statutory-sick-pay?utm_source=chatgpt.com" TargetMode="External"/><Relationship Id="rId81" Type="http://schemas.openxmlformats.org/officeDocument/2006/relationships/hyperlink" Target="https://www.gov.uk/introduction-to-business-rates?utm_source=chatgpt.com" TargetMode="External"/><Relationship Id="rId86" Type="http://schemas.openxmlformats.org/officeDocument/2006/relationships/hyperlink" Target="https://doi.org/10.1108/09574090410700275?utm_source=chatgpt.com" TargetMode="External"/><Relationship Id="rId94" Type="http://schemas.openxmlformats.org/officeDocument/2006/relationships/hyperlink" Target="https://doi.org/10.5465/amj.2011.0088?utm_source=chatgpt.com" TargetMode="External"/><Relationship Id="rId99" Type="http://schemas.openxmlformats.org/officeDocument/2006/relationships/hyperlink" Target="https://doi.org/10.1037/0003-066X.57.9.705?utm_source=chatgpt.com" TargetMode="External"/><Relationship Id="rId101" Type="http://schemas.openxmlformats.org/officeDocument/2006/relationships/hyperlink" Target="https://doi.org/10.1509/jm.15.0420?utm_source=chatgpt.com" TargetMode="External"/><Relationship Id="rId4" Type="http://schemas.openxmlformats.org/officeDocument/2006/relationships/settings" Target="settings.xml"/><Relationship Id="rId9" Type="http://schemas.microsoft.com/office/2007/relationships/hdphoto" Target="media/hdphoto1.wdp"/><Relationship Id="rId13" Type="http://schemas.openxmlformats.org/officeDocument/2006/relationships/image" Target="media/image4.png"/><Relationship Id="rId18" Type="http://schemas.openxmlformats.org/officeDocument/2006/relationships/hyperlink" Target="https://www.pearson.com/?utm_source=chatgpt.com" TargetMode="External"/><Relationship Id="rId39" Type="http://schemas.openxmlformats.org/officeDocument/2006/relationships/hyperlink" Target="https://www.wiley.com/?utm_source=chatgpt.com" TargetMode="External"/><Relationship Id="rId34" Type="http://schemas.openxmlformats.org/officeDocument/2006/relationships/hyperlink" Target="https://ico.org.uk/for-organisations/uk-gdpr-guidance-and-resources/?utm_source=chatgpt.com" TargetMode="External"/><Relationship Id="rId50" Type="http://schemas.openxmlformats.org/officeDocument/2006/relationships/hyperlink" Target="https://www.pearson.com/?utm_source=chatgpt.com" TargetMode="External"/><Relationship Id="rId55" Type="http://schemas.openxmlformats.org/officeDocument/2006/relationships/hyperlink" Target="https://www.weforum.org/publications/the-future-of-jobs-report-2023/?utm_source=chatgpt.com" TargetMode="External"/><Relationship Id="rId76" Type="http://schemas.openxmlformats.org/officeDocument/2006/relationships/hyperlink" Target="https://www.gov.uk/maximum-weekly-working-hours?utm_source=chatgpt.com" TargetMode="External"/><Relationship Id="rId97" Type="http://schemas.openxmlformats.org/officeDocument/2006/relationships/hyperlink" Target="https://doi.org/10.1080/00472778.2020.1816431?utm_source=chatgpt.com" TargetMode="External"/><Relationship Id="rId10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CC399-EC05-4AC2-914D-7CE408616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72</Pages>
  <Words>20754</Words>
  <Characters>118304</Characters>
  <Application>Microsoft Office Word</Application>
  <DocSecurity>0</DocSecurity>
  <Lines>985</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Biplob das</dc:creator>
  <cp:keywords/>
  <dc:description/>
  <cp:lastModifiedBy>MLC</cp:lastModifiedBy>
  <cp:revision>171</cp:revision>
  <cp:lastPrinted>2025-09-29T07:23:00Z</cp:lastPrinted>
  <dcterms:created xsi:type="dcterms:W3CDTF">2026-08-14T06:32:00Z</dcterms:created>
  <dcterms:modified xsi:type="dcterms:W3CDTF">2026-08-31T11:57:00Z</dcterms:modified>
</cp:coreProperties>
</file>