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after="480" w:line="360" w:lineRule="auto"/>
        <w:jc w:val="center"/>
      </w:pPr>
      <w:r>
        <w:rPr>
          <w:rFonts w:ascii="Arial" w:hAnsi="Arial"/>
          <w:sz w:val="24"/>
        </w:rPr>
        <w:drawing>
          <wp:inline xmlns:a="http://schemas.openxmlformats.org/drawingml/2006/main" xmlns:pic="http://schemas.openxmlformats.org/drawingml/2006/picture">
            <wp:extent cx="2926080" cy="970483"/>
            <wp:docPr id="1" name="Picture 1"/>
            <wp:cNvGraphicFramePr>
              <a:graphicFrameLocks noChangeAspect="1"/>
            </wp:cNvGraphicFramePr>
            <a:graphic>
              <a:graphicData uri="http://schemas.openxmlformats.org/drawingml/2006/picture">
                <pic:pic>
                  <pic:nvPicPr>
                    <pic:cNvPr id="0" name="uwtsd_logo.png"/>
                    <pic:cNvPicPr/>
                  </pic:nvPicPr>
                  <pic:blipFill>
                    <a:blip r:embed="rId9"/>
                    <a:stretch>
                      <a:fillRect/>
                    </a:stretch>
                  </pic:blipFill>
                  <pic:spPr>
                    <a:xfrm>
                      <a:off x="0" y="0"/>
                      <a:ext cx="2926080" cy="970483"/>
                    </a:xfrm>
                    <a:prstGeom prst="rect"/>
                  </pic:spPr>
                </pic:pic>
              </a:graphicData>
            </a:graphic>
          </wp:inline>
        </w:drawing>
      </w:r>
    </w:p>
    <w:p>
      <w:pPr>
        <w:spacing w:after="480" w:line="360" w:lineRule="auto"/>
        <w:jc w:val="center"/>
      </w:pPr>
      <w:r>
        <w:rPr>
          <w:rFonts w:ascii="Arial" w:hAnsi="Arial"/>
          <w:b w:val="0"/>
          <w:i w:val="0"/>
          <w:sz w:val="24"/>
        </w:rPr>
        <w:t>Enterprise and Entrepreneurship</w:t>
      </w:r>
    </w:p>
    <w:p>
      <w:pPr>
        <w:spacing w:after="400" w:line="360" w:lineRule="auto"/>
        <w:jc w:val="center"/>
      </w:pPr>
      <w:r>
        <w:rPr>
          <w:rFonts w:ascii="Arial" w:hAnsi="Arial"/>
          <w:b w:val="0"/>
          <w:i w:val="0"/>
          <w:sz w:val="24"/>
        </w:rPr>
        <w:t>Individual Written Business Plan</w:t>
      </w:r>
    </w:p>
    <w:p>
      <w:pPr>
        <w:spacing w:after="80" w:line="360" w:lineRule="auto"/>
        <w:jc w:val="center"/>
      </w:pPr>
      <w:r>
        <w:rPr>
          <w:rFonts w:ascii="Arial" w:hAnsi="Arial"/>
          <w:b/>
          <w:i w:val="0"/>
          <w:color w:val="000000"/>
          <w:sz w:val="24"/>
        </w:rPr>
        <w:t>StudentHub</w:t>
      </w:r>
    </w:p>
    <w:p>
      <w:pPr>
        <w:spacing w:after="560" w:line="360" w:lineRule="auto"/>
        <w:jc w:val="center"/>
      </w:pPr>
      <w:r>
        <w:rPr>
          <w:rFonts w:ascii="Arial" w:hAnsi="Arial"/>
          <w:b w:val="0"/>
          <w:i w:val="0"/>
          <w:sz w:val="24"/>
        </w:rPr>
        <w:t>A credible online site that will help students develop</w:t>
      </w:r>
    </w:p>
    <w:p>
      <w:pPr>
        <w:spacing w:after="80" w:line="360" w:lineRule="auto"/>
        <w:jc w:val="center"/>
      </w:pPr>
      <w:r>
        <w:rPr>
          <w:rFonts w:ascii="Arial" w:hAnsi="Arial"/>
          <w:b w:val="0"/>
          <w:i w:val="0"/>
          <w:sz w:val="24"/>
        </w:rPr>
        <w:t>Student: Julian Miguel Balmores</w:t>
      </w:r>
    </w:p>
    <w:p>
      <w:pPr>
        <w:spacing w:after="80" w:line="360" w:lineRule="auto"/>
        <w:jc w:val="center"/>
      </w:pPr>
      <w:r>
        <w:rPr>
          <w:rFonts w:ascii="Arial" w:hAnsi="Arial"/>
          <w:b w:val="0"/>
          <w:i w:val="0"/>
          <w:sz w:val="24"/>
        </w:rPr>
        <w:t>Student ID: 2517087</w:t>
      </w:r>
    </w:p>
    <w:p>
      <w:pPr>
        <w:spacing w:after="80" w:line="360" w:lineRule="auto"/>
        <w:jc w:val="center"/>
      </w:pPr>
      <w:r>
        <w:rPr>
          <w:rFonts w:ascii="Arial" w:hAnsi="Arial"/>
          <w:b w:val="0"/>
          <w:i w:val="0"/>
          <w:sz w:val="24"/>
        </w:rPr>
        <w:t>Coursework: Certificate in Higher Education Business Skills for the Workplace</w:t>
      </w:r>
    </w:p>
    <w:p>
      <w:pPr>
        <w:spacing w:after="80" w:line="360" w:lineRule="auto"/>
        <w:jc w:val="center"/>
      </w:pPr>
      <w:r>
        <w:rPr>
          <w:rFonts w:ascii="Arial" w:hAnsi="Arial"/>
          <w:b w:val="0"/>
          <w:i w:val="0"/>
          <w:sz w:val="24"/>
        </w:rPr>
        <w:t>Module: Enterprise and Entrepreneurship (LCLM4006)</w:t>
      </w:r>
    </w:p>
    <w:p>
      <w:pPr>
        <w:spacing w:after="80" w:line="360" w:lineRule="auto"/>
        <w:jc w:val="center"/>
      </w:pPr>
      <w:r>
        <w:rPr>
          <w:rFonts w:ascii="Arial" w:hAnsi="Arial"/>
          <w:b w:val="0"/>
          <w:i w:val="0"/>
          <w:sz w:val="24"/>
        </w:rPr>
        <w:t>Course lecturer: Dr Charles Oham (London campus)</w:t>
      </w:r>
    </w:p>
    <w:p>
      <w:pPr>
        <w:spacing w:after="80" w:line="360" w:lineRule="auto"/>
        <w:jc w:val="center"/>
      </w:pPr>
      <w:r>
        <w:rPr>
          <w:rFonts w:ascii="Arial" w:hAnsi="Arial"/>
          <w:b w:val="0"/>
          <w:i w:val="0"/>
          <w:sz w:val="24"/>
        </w:rPr>
        <w:t>Due date: Monday 27th July 2026</w:t>
      </w:r>
    </w:p>
    <w:p>
      <w:pPr>
        <w:spacing w:after="80" w:line="360" w:lineRule="auto"/>
        <w:jc w:val="center"/>
      </w:pPr>
      <w:r>
        <w:rPr>
          <w:rFonts w:ascii="Arial" w:hAnsi="Arial"/>
          <w:sz w:val="24"/>
        </w:rPr>
        <w:t>Main-body word count: 1,482</w:t>
      </w:r>
    </w:p>
    <w:p>
      <w:pPr>
        <w:spacing w:line="360" w:lineRule="auto"/>
      </w:pPr>
      <w:r>
        <w:rPr>
          <w:rFonts w:ascii="Arial" w:hAnsi="Arial"/>
          <w:sz w:val="24"/>
        </w:rPr>
        <w:br w:type="page"/>
      </w:r>
    </w:p>
    <w:p>
      <w:pPr>
        <w:pStyle w:val="Heading1"/>
        <w:keepNext/>
        <w:spacing w:before="200" w:after="100" w:line="360" w:lineRule="auto"/>
      </w:pPr>
      <w:r>
        <w:rPr>
          <w:rFonts w:ascii="Arial" w:hAnsi="Arial"/>
          <w:sz w:val="24"/>
        </w:rPr>
        <w:t>Table of Contents</w:t>
      </w:r>
    </w:p>
    <w:tbl>
      <w:tblPr>
        <w:tblStyle w:val="TableGrid"/>
        <w:tblW w:type="dxa" w:w="9120"/>
        <w:jc w:val="center"/>
        <w:tblLayout w:type="fixed"/>
        <w:tblLook w:firstColumn="1" w:firstRow="1" w:lastColumn="0" w:lastRow="0" w:noHBand="0" w:noVBand="1" w:val="04A0"/>
      </w:tblPr>
      <w:tblGrid>
        <w:gridCol w:w="3400"/>
        <w:gridCol w:w="1500"/>
      </w:tblGrid>
      <w:tr>
        <w:trPr>
          <w:tblHeader w:val="true"/>
          <w:cantSplit w:val="true"/>
        </w:trPr>
        <w:tc>
          <w:tcPr>
            <w:tcW w:type="dxa" w:w="8208"/>
            <w:shd w:fill="000000"/>
            <w:vAlign w:val="center"/>
            <w:tcMar>
              <w:top w:w="100" w:type="dxa"/>
              <w:start w:w="120" w:type="dxa"/>
              <w:bottom w:w="100" w:type="dxa"/>
              <w:end w:w="120" w:type="dxa"/>
            </w:tcMar>
          </w:tcPr>
          <w:p>
            <w:pPr>
              <w:spacing w:line="360" w:lineRule="auto"/>
            </w:pPr>
            <w:r>
              <w:rPr>
                <w:rFonts w:ascii="Arial" w:hAnsi="Arial"/>
                <w:sz w:val="24"/>
              </w:rPr>
              <w:t>Section</w:t>
            </w:r>
          </w:p>
        </w:tc>
        <w:tc>
          <w:tcPr>
            <w:tcW w:type="dxa" w:w="936"/>
            <w:shd w:fill="000000"/>
            <w:vAlign w:val="center"/>
            <w:tcMar>
              <w:top w:w="100" w:type="dxa"/>
              <w:start w:w="120" w:type="dxa"/>
              <w:bottom w:w="100" w:type="dxa"/>
              <w:end w:w="120" w:type="dxa"/>
            </w:tcMar>
          </w:tcPr>
          <w:p>
            <w:pPr>
              <w:spacing w:line="360" w:lineRule="auto"/>
            </w:pPr>
            <w:r>
              <w:rPr>
                <w:rFonts w:ascii="Arial" w:hAnsi="Arial"/>
                <w:sz w:val="24"/>
              </w:rPr>
              <w:t>Page</w:t>
            </w:r>
          </w:p>
        </w:tc>
      </w:tr>
      <w:tr>
        <w:trPr>
          <w:cantSplit w:val="true"/>
        </w:trPr>
        <w:tc>
          <w:tcPr>
            <w:tcW w:type="dxa" w:w="3400"/>
          </w:tcPr>
          <w:p>
            <w:pPr>
              <w:spacing w:line="360" w:lineRule="auto"/>
            </w:pPr>
            <w:r>
              <w:rPr>
                <w:rFonts w:ascii="Arial" w:hAnsi="Arial"/>
                <w:sz w:val="24"/>
              </w:rPr>
              <w:t>Executive Summary</w:t>
            </w:r>
          </w:p>
        </w:tc>
        <w:tc>
          <w:tcPr>
            <w:tcW w:type="dxa" w:w="1500"/>
          </w:tcPr>
          <w:p>
            <w:pPr>
              <w:spacing w:line="360" w:lineRule="auto"/>
            </w:pPr>
            <w:r>
              <w:rPr>
                <w:rFonts w:ascii="Arial" w:hAnsi="Arial"/>
                <w:sz w:val="24"/>
              </w:rPr>
              <w:t>3</w:t>
            </w:r>
          </w:p>
        </w:tc>
      </w:tr>
      <w:tr>
        <w:trPr>
          <w:cantSplit w:val="true"/>
        </w:trPr>
        <w:tc>
          <w:tcPr>
            <w:tcW w:type="dxa" w:w="3400"/>
          </w:tcPr>
          <w:p>
            <w:pPr>
              <w:spacing w:line="360" w:lineRule="auto"/>
            </w:pPr>
            <w:r>
              <w:rPr>
                <w:rFonts w:ascii="Arial" w:hAnsi="Arial"/>
                <w:sz w:val="24"/>
              </w:rPr>
              <w:t>1. Overview of the Business Idea</w:t>
            </w:r>
          </w:p>
        </w:tc>
        <w:tc>
          <w:tcPr>
            <w:tcW w:type="dxa" w:w="1500"/>
          </w:tcPr>
          <w:p>
            <w:pPr>
              <w:spacing w:line="360" w:lineRule="auto"/>
            </w:pPr>
            <w:r>
              <w:rPr>
                <w:rFonts w:ascii="Arial" w:hAnsi="Arial"/>
                <w:sz w:val="24"/>
              </w:rPr>
              <w:t>3</w:t>
            </w:r>
          </w:p>
        </w:tc>
      </w:tr>
      <w:tr>
        <w:trPr>
          <w:cantSplit w:val="true"/>
        </w:trPr>
        <w:tc>
          <w:tcPr>
            <w:tcW w:type="dxa" w:w="3400"/>
          </w:tcPr>
          <w:p>
            <w:pPr>
              <w:spacing w:line="360" w:lineRule="auto"/>
            </w:pPr>
            <w:r>
              <w:rPr>
                <w:rFonts w:ascii="Arial" w:hAnsi="Arial"/>
                <w:sz w:val="24"/>
              </w:rPr>
              <w:t>2. Market Research</w:t>
            </w:r>
          </w:p>
        </w:tc>
        <w:tc>
          <w:tcPr>
            <w:tcW w:type="dxa" w:w="1500"/>
          </w:tcPr>
          <w:p>
            <w:pPr>
              <w:spacing w:line="360" w:lineRule="auto"/>
            </w:pPr>
            <w:r>
              <w:rPr>
                <w:rFonts w:ascii="Arial" w:hAnsi="Arial"/>
                <w:sz w:val="24"/>
              </w:rPr>
              <w:t>6</w:t>
            </w:r>
          </w:p>
        </w:tc>
      </w:tr>
      <w:tr>
        <w:trPr>
          <w:cantSplit w:val="true"/>
        </w:trPr>
        <w:tc>
          <w:tcPr>
            <w:tcW w:type="dxa" w:w="3400"/>
          </w:tcPr>
          <w:p>
            <w:pPr>
              <w:spacing w:line="360" w:lineRule="auto"/>
            </w:pPr>
            <w:r>
              <w:rPr>
                <w:rFonts w:ascii="Arial" w:hAnsi="Arial"/>
                <w:sz w:val="24"/>
              </w:rPr>
              <w:t>3. Marketing Communications</w:t>
            </w:r>
          </w:p>
        </w:tc>
        <w:tc>
          <w:tcPr>
            <w:tcW w:type="dxa" w:w="1500"/>
          </w:tcPr>
          <w:p>
            <w:pPr>
              <w:spacing w:line="360" w:lineRule="auto"/>
            </w:pPr>
            <w:r>
              <w:rPr>
                <w:rFonts w:ascii="Arial" w:hAnsi="Arial"/>
                <w:sz w:val="24"/>
              </w:rPr>
              <w:t>8</w:t>
            </w:r>
          </w:p>
        </w:tc>
      </w:tr>
      <w:tr>
        <w:trPr>
          <w:cantSplit w:val="true"/>
        </w:trPr>
        <w:tc>
          <w:tcPr>
            <w:tcW w:type="dxa" w:w="3400"/>
          </w:tcPr>
          <w:p>
            <w:pPr>
              <w:spacing w:line="360" w:lineRule="auto"/>
            </w:pPr>
            <w:r>
              <w:rPr>
                <w:rFonts w:ascii="Arial" w:hAnsi="Arial"/>
                <w:sz w:val="24"/>
              </w:rPr>
              <w:t>4. Financials</w:t>
            </w:r>
          </w:p>
        </w:tc>
        <w:tc>
          <w:tcPr>
            <w:tcW w:type="dxa" w:w="1500"/>
          </w:tcPr>
          <w:p>
            <w:pPr>
              <w:spacing w:line="360" w:lineRule="auto"/>
            </w:pPr>
            <w:r>
              <w:rPr>
                <w:rFonts w:ascii="Arial" w:hAnsi="Arial"/>
                <w:sz w:val="24"/>
              </w:rPr>
              <w:t>9</w:t>
            </w:r>
          </w:p>
        </w:tc>
      </w:tr>
      <w:tr>
        <w:trPr>
          <w:cantSplit w:val="true"/>
        </w:trPr>
        <w:tc>
          <w:tcPr>
            <w:tcW w:type="dxa" w:w="3400"/>
          </w:tcPr>
          <w:p>
            <w:pPr>
              <w:spacing w:line="360" w:lineRule="auto"/>
            </w:pPr>
            <w:r>
              <w:rPr>
                <w:rFonts w:ascii="Arial" w:hAnsi="Arial"/>
                <w:sz w:val="24"/>
              </w:rPr>
              <w:t>5. Reference List</w:t>
            </w:r>
          </w:p>
        </w:tc>
        <w:tc>
          <w:tcPr>
            <w:tcW w:type="dxa" w:w="1500"/>
          </w:tcPr>
          <w:p>
            <w:pPr>
              <w:spacing w:line="360" w:lineRule="auto"/>
            </w:pPr>
            <w:r>
              <w:rPr>
                <w:rFonts w:ascii="Arial" w:hAnsi="Arial"/>
                <w:sz w:val="24"/>
              </w:rPr>
              <w:t>13</w:t>
            </w:r>
          </w:p>
        </w:tc>
      </w:tr>
    </w:tbl>
    <w:p>
      <w:pPr>
        <w:spacing w:line="360" w:lineRule="auto"/>
      </w:pPr>
      <w:r>
        <w:rPr>
          <w:rFonts w:ascii="Arial" w:hAnsi="Arial"/>
          <w:sz w:val="24"/>
        </w:rPr>
        <w:br w:type="page"/>
      </w:r>
    </w:p>
    <w:p>
      <w:pPr>
        <w:pStyle w:val="Heading1"/>
        <w:keepNext/>
        <w:spacing w:before="200" w:after="100" w:line="360" w:lineRule="auto"/>
      </w:pPr>
      <w:r>
        <w:rPr>
          <w:rFonts w:ascii="Arial" w:hAnsi="Arial"/>
          <w:b/>
          <w:i w:val="0"/>
          <w:color w:val="000000"/>
          <w:sz w:val="24"/>
        </w:rPr>
        <w:t>Executive Summary</w:t>
      </w:r>
    </w:p>
    <w:p>
      <w:pPr>
        <w:spacing w:line="360" w:lineRule="auto" w:after="120"/>
      </w:pPr>
      <w:r>
        <w:rPr>
          <w:rFonts w:ascii="Arial" w:hAnsi="Arial"/>
          <w:sz w:val="24"/>
        </w:rPr>
        <w:t>StudentHub is a digital platform designed for UK university students. It brings together part-time jobs, affordable accommodation, tutoring, study groups and second-hand textbooks. The business addresses rising living costs, difficulty finding flexible work, expensive study materials and limited access to academic guidance.</w:t>
      </w:r>
    </w:p>
    <w:p>
      <w:pPr>
        <w:spacing w:line="360" w:lineRule="auto" w:after="120"/>
      </w:pPr>
      <w:r>
        <w:rPr>
          <w:rFonts w:ascii="Arial" w:hAnsi="Arial"/>
          <w:sz w:val="24"/>
        </w:rPr>
        <w:t>Revenue will come from premium subscriptions, advertising partnerships and commissions from verified employers, tutors and landlords. Its competitive advantage is the convenience of providing several trusted student services through one platform.</w:t>
      </w:r>
    </w:p>
    <w:p>
      <w:pPr>
        <w:spacing w:line="360" w:lineRule="auto"/>
      </w:pPr>
    </w:p>
    <w:p>
      <w:pPr>
        <w:pStyle w:val="Heading1"/>
        <w:keepNext/>
        <w:spacing w:before="200" w:after="100" w:line="360" w:lineRule="auto"/>
      </w:pPr>
      <w:r>
        <w:rPr>
          <w:rFonts w:ascii="Arial" w:hAnsi="Arial"/>
          <w:b/>
          <w:i w:val="0"/>
          <w:color w:val="000000"/>
          <w:sz w:val="24"/>
        </w:rPr>
        <w:t>1. Overview of the Business Idea</w:t>
      </w:r>
    </w:p>
    <w:p>
      <w:pPr>
        <w:pStyle w:val="Heading2"/>
        <w:keepNext/>
        <w:spacing w:before="140" w:after="100" w:line="360" w:lineRule="auto"/>
      </w:pPr>
      <w:r>
        <w:rPr>
          <w:rFonts w:ascii="Arial" w:hAnsi="Arial"/>
          <w:b/>
          <w:i w:val="0"/>
          <w:color w:val="000000"/>
          <w:sz w:val="24"/>
        </w:rPr>
        <w:t>1.1 Business concept, location and mission</w:t>
      </w:r>
    </w:p>
    <w:p>
      <w:pPr>
        <w:spacing w:line="360" w:lineRule="auto" w:after="120"/>
      </w:pPr>
      <w:r>
        <w:rPr>
          <w:rFonts w:ascii="Arial" w:hAnsi="Arial"/>
          <w:b w:val="0"/>
          <w:i w:val="0"/>
          <w:sz w:val="24"/>
        </w:rPr>
        <w:t>Business name: StudentHub</w:t>
      </w:r>
    </w:p>
    <w:p>
      <w:pPr>
        <w:spacing w:line="360" w:lineRule="auto" w:after="120"/>
      </w:pPr>
      <w:r>
        <w:rPr>
          <w:rFonts w:ascii="Arial" w:hAnsi="Arial"/>
          <w:b w:val="0"/>
          <w:i w:val="0"/>
          <w:sz w:val="24"/>
        </w:rPr>
        <w:t>Location: The business will be an online platform focusing on universities located in London.</w:t>
      </w:r>
    </w:p>
    <w:p>
      <w:pPr>
        <w:spacing w:line="360" w:lineRule="auto" w:after="120"/>
      </w:pPr>
      <w:r>
        <w:rPr>
          <w:rFonts w:ascii="Arial" w:hAnsi="Arial"/>
          <w:sz w:val="24"/>
        </w:rPr>
        <w:t>StudentHub is a mobile application connecting university students with local part-time work, freelance opportunities, affordable accommodation, study groups, tutors and second-hand textbooks.</w:t>
      </w:r>
    </w:p>
    <w:p>
      <w:pPr>
        <w:spacing w:line="360" w:lineRule="auto" w:after="120"/>
      </w:pPr>
      <w:r>
        <w:rPr>
          <w:rFonts w:ascii="Arial" w:hAnsi="Arial"/>
          <w:sz w:val="24"/>
        </w:rPr>
        <w:t>Many students struggle to find trustworthy accommodation, flexible work and academic guidance alongside their studies. StudentHub addresses this need through one platform and generates income from premium subscriptions, local advertising and commissions from verified providers.</w:t>
      </w:r>
    </w:p>
    <w:p>
      <w:pPr>
        <w:spacing w:line="360" w:lineRule="auto" w:after="120"/>
      </w:pPr>
      <w:r>
        <w:rPr>
          <w:rFonts w:ascii="Arial" w:hAnsi="Arial"/>
          <w:sz w:val="24"/>
        </w:rPr>
        <w:t>Mission statement: To simplify student life through a trusted platform that supports students academically, financially and socially.</w:t>
      </w:r>
    </w:p>
    <w:p>
      <w:pPr>
        <w:pStyle w:val="Heading2"/>
        <w:keepNext/>
        <w:spacing w:before="140" w:after="100" w:line="360" w:lineRule="auto"/>
      </w:pPr>
      <w:r>
        <w:rPr>
          <w:rFonts w:ascii="Arial" w:hAnsi="Arial"/>
          <w:b/>
          <w:i w:val="0"/>
          <w:color w:val="000000"/>
          <w:sz w:val="24"/>
        </w:rPr>
        <w:t>1.2 Entrepreneurial process and opportunity</w:t>
      </w:r>
    </w:p>
    <w:p>
      <w:pPr>
        <w:numPr>
          <w:ilvl w:val="0"/>
          <w:numId w:val="10"/>
        </w:numPr>
        <w:spacing w:line="360" w:lineRule="auto" w:after="60"/>
      </w:pPr>
      <w:r>
        <w:rPr>
          <w:rFonts w:ascii="Arial" w:hAnsi="Arial"/>
          <w:sz w:val="24"/>
        </w:rPr>
        <w:t>Problems identified: rising living costs, difficulty finding part-time work, expensive textbooks, limited academic support and housing scams.</w:t>
      </w:r>
    </w:p>
    <w:p>
      <w:pPr>
        <w:numPr>
          <w:ilvl w:val="0"/>
          <w:numId w:val="10"/>
        </w:numPr>
        <w:spacing w:line="360" w:lineRule="auto" w:after="60"/>
      </w:pPr>
      <w:r>
        <w:rPr>
          <w:rFonts w:ascii="Arial" w:hAnsi="Arial"/>
          <w:sz w:val="24"/>
        </w:rPr>
        <w:t>Opportunity: UK higher education recorded 2,863,180 student enrolments in 2024/25, creating a substantial market for affordable and reliable student services (HESA, 2026).</w:t>
      </w:r>
    </w:p>
    <w:p>
      <w:pPr>
        <w:spacing w:line="360" w:lineRule="auto"/>
      </w:pPr>
    </w:p>
    <w:p>
      <w:pPr>
        <w:pStyle w:val="Heading2"/>
        <w:keepNext/>
        <w:spacing w:before="140" w:after="100" w:line="360" w:lineRule="auto"/>
      </w:pPr>
      <w:r>
        <w:rPr>
          <w:rFonts w:ascii="Arial" w:hAnsi="Arial"/>
          <w:b/>
          <w:i w:val="0"/>
          <w:color w:val="000000"/>
          <w:sz w:val="24"/>
        </w:rPr>
        <w:t>1.3 Product, competitive advantage and community value</w:t>
      </w:r>
    </w:p>
    <w:p>
      <w:pPr>
        <w:spacing w:line="360" w:lineRule="auto" w:after="120"/>
      </w:pPr>
      <w:r>
        <w:rPr>
          <w:rFonts w:ascii="Arial" w:hAnsi="Arial"/>
          <w:sz w:val="24"/>
        </w:rPr>
        <w:t>StudentHub combines employment, accommodation, tutoring, study groups and a textbook marketplace. LinkedIn, Indeed and SpareRoom specialise in narrower categories. StudentHub therefore offers students greater convenience and reduces the time spent searching across separate websites.</w:t>
      </w:r>
    </w:p>
    <w:p>
      <w:pPr>
        <w:spacing w:after="120" w:line="360" w:lineRule="auto"/>
      </w:pPr>
      <w:r>
        <w:rPr>
          <w:rFonts w:ascii="Arial" w:hAnsi="Arial"/>
          <w:sz w:val="24"/>
        </w:rPr>
        <w:t>Trust is central to StudentHub. Employers and landlords will complete identity checks, tutors will provide qualifications and students will verify university email addresses. Reviews, reporting tools and complaint procedures will support the removal of misleading adverts and responses to safety concerns. Research shows that reviews and safety mechanisms can strengthen trust in sharing platforms (Li and Wang, 2020). The London pilot will use manual listing checks before automated screening is added.</w:t>
      </w:r>
    </w:p>
    <w:p>
      <w:pPr>
        <w:spacing w:after="120" w:line="360" w:lineRule="auto"/>
      </w:pPr>
      <w:r>
        <w:rPr>
          <w:rFonts w:ascii="Arial" w:hAnsi="Arial"/>
          <w:sz w:val="24"/>
        </w:rPr>
        <w:t>StudentHub also creates community and environmental value. Reusing textbooks reduces waste and supports students under financial pressure; 49% of students surveyed by the ONS reported financial difficulties (ONS, 2023). Study groups may reduce isolation by connecting peers. Partnerships with student societies will promote digital inclusion and scam awareness, encouraging repeat use of a safe and affordable platform.</w:t>
      </w:r>
    </w:p>
    <w:p>
      <w:pPr>
        <w:keepNext/>
        <w:spacing w:line="360" w:lineRule="auto"/>
      </w:pPr>
      <w:r>
        <w:rPr>
          <w:rFonts w:ascii="Arial" w:hAnsi="Arial"/>
          <w:b/>
          <w:sz w:val="24"/>
        </w:rPr>
        <w:t>Table 1: StudentHub service value</w:t>
      </w:r>
    </w:p>
    <w:tbl>
      <w:tblPr>
        <w:tblStyle w:val="TableGrid"/>
        <w:tblW w:type="dxa" w:w="9120"/>
        <w:jc w:val="center"/>
        <w:tblLayout w:type="fixed"/>
        <w:tblLook w:firstColumn="1" w:firstRow="1" w:lastColumn="0" w:lastRow="0" w:noHBand="0" w:noVBand="1" w:val="04A0"/>
      </w:tblPr>
      <w:tblGrid>
        <w:gridCol w:w="2200"/>
        <w:gridCol w:w="3300"/>
        <w:gridCol w:w="3620"/>
      </w:tblGrid>
      <w:tr>
        <w:trPr>
          <w:tblHeader w:val="true"/>
          <w:cantSplit w:val="true"/>
        </w:trPr>
        <w:tc>
          <w:tcPr>
            <w:tcW w:type="dxa" w:w="2200"/>
            <w:shd w:fill="000000"/>
            <w:vAlign w:val="center"/>
            <w:tcMar>
              <w:top w:w="100" w:type="dxa"/>
              <w:start w:w="120" w:type="dxa"/>
              <w:bottom w:w="100" w:type="dxa"/>
              <w:end w:w="120" w:type="dxa"/>
            </w:tcMar>
          </w:tcPr>
          <w:p>
            <w:pPr>
              <w:spacing w:line="360" w:lineRule="auto"/>
            </w:pPr>
            <w:r>
              <w:rPr>
                <w:rFonts w:ascii="Arial" w:hAnsi="Arial"/>
                <w:b/>
                <w:color w:val="FFFFFF"/>
                <w:sz w:val="24"/>
              </w:rPr>
              <w:t>Feature</w:t>
            </w:r>
          </w:p>
        </w:tc>
        <w:tc>
          <w:tcPr>
            <w:tcW w:type="dxa" w:w="3300"/>
            <w:shd w:fill="000000"/>
            <w:vAlign w:val="center"/>
            <w:tcMar>
              <w:top w:w="100" w:type="dxa"/>
              <w:start w:w="120" w:type="dxa"/>
              <w:bottom w:w="100" w:type="dxa"/>
              <w:end w:w="120" w:type="dxa"/>
            </w:tcMar>
          </w:tcPr>
          <w:p>
            <w:pPr>
              <w:spacing w:line="360" w:lineRule="auto"/>
            </w:pPr>
            <w:r>
              <w:rPr>
                <w:rFonts w:ascii="Arial" w:hAnsi="Arial"/>
                <w:b/>
                <w:color w:val="FFFFFF"/>
                <w:sz w:val="24"/>
              </w:rPr>
              <w:t>Student value</w:t>
            </w:r>
          </w:p>
        </w:tc>
        <w:tc>
          <w:tcPr>
            <w:tcW w:type="dxa" w:w="3620"/>
            <w:shd w:fill="000000"/>
            <w:vAlign w:val="center"/>
            <w:tcMar>
              <w:top w:w="100" w:type="dxa"/>
              <w:start w:w="120" w:type="dxa"/>
              <w:bottom w:w="100" w:type="dxa"/>
              <w:end w:w="120" w:type="dxa"/>
            </w:tcMar>
          </w:tcPr>
          <w:p>
            <w:pPr>
              <w:spacing w:line="360" w:lineRule="auto"/>
            </w:pPr>
            <w:r>
              <w:rPr>
                <w:rFonts w:ascii="Arial" w:hAnsi="Arial"/>
                <w:b/>
                <w:color w:val="FFFFFF"/>
                <w:sz w:val="24"/>
              </w:rPr>
              <w:t>Trust/community contribution</w:t>
            </w:r>
          </w:p>
        </w:tc>
      </w:tr>
      <w:tr>
        <w:trPr>
          <w:cantSplit w:val="true"/>
        </w:trPr>
        <w:tc>
          <w:tcPr>
            <w:tcW w:type="dxa" w:w="2200"/>
            <w:vAlign w:val="center"/>
            <w:tcMar>
              <w:top w:w="100" w:type="dxa"/>
              <w:start w:w="120" w:type="dxa"/>
              <w:bottom w:w="100" w:type="dxa"/>
              <w:end w:w="120" w:type="dxa"/>
            </w:tcMar>
          </w:tcPr>
          <w:p>
            <w:pPr>
              <w:spacing w:after="40" w:line="360" w:lineRule="auto"/>
            </w:pPr>
            <w:r>
              <w:rPr>
                <w:rFonts w:ascii="Arial" w:hAnsi="Arial"/>
                <w:sz w:val="24"/>
              </w:rPr>
              <w:t>Flexible jobs</w:t>
            </w:r>
          </w:p>
        </w:tc>
        <w:tc>
          <w:tcPr>
            <w:tcW w:type="dxa" w:w="3300"/>
            <w:vAlign w:val="center"/>
            <w:tcMar>
              <w:top w:w="100" w:type="dxa"/>
              <w:start w:w="120" w:type="dxa"/>
              <w:bottom w:w="100" w:type="dxa"/>
              <w:end w:w="120" w:type="dxa"/>
            </w:tcMar>
          </w:tcPr>
          <w:p>
            <w:pPr>
              <w:spacing w:after="40" w:line="360" w:lineRule="auto"/>
            </w:pPr>
            <w:r>
              <w:rPr>
                <w:rFonts w:ascii="Arial" w:hAnsi="Arial"/>
                <w:sz w:val="24"/>
              </w:rPr>
              <w:t>Work designed around study commitments.</w:t>
            </w:r>
          </w:p>
        </w:tc>
        <w:tc>
          <w:tcPr>
            <w:tcW w:type="dxa" w:w="3620"/>
            <w:vAlign w:val="center"/>
            <w:tcMar>
              <w:top w:w="100" w:type="dxa"/>
              <w:start w:w="120" w:type="dxa"/>
              <w:bottom w:w="100" w:type="dxa"/>
              <w:end w:w="120" w:type="dxa"/>
            </w:tcMar>
          </w:tcPr>
          <w:p>
            <w:pPr>
              <w:spacing w:after="40" w:line="360" w:lineRule="auto"/>
            </w:pPr>
            <w:r>
              <w:rPr>
                <w:rFonts w:ascii="Arial" w:hAnsi="Arial"/>
                <w:sz w:val="24"/>
              </w:rPr>
              <w:t>Verified employers and transparent pay/hours.</w:t>
            </w:r>
          </w:p>
        </w:tc>
      </w:tr>
      <w:tr>
        <w:trPr>
          <w:cantSplit w:val="true"/>
        </w:trPr>
        <w:tc>
          <w:tcPr>
            <w:tcW w:type="dxa" w:w="2200"/>
            <w:vAlign w:val="center"/>
            <w:shd w:fill="F2F2F2"/>
            <w:tcMar>
              <w:top w:w="100" w:type="dxa"/>
              <w:start w:w="120" w:type="dxa"/>
              <w:bottom w:w="100" w:type="dxa"/>
              <w:end w:w="120" w:type="dxa"/>
            </w:tcMar>
          </w:tcPr>
          <w:p>
            <w:pPr>
              <w:spacing w:after="40" w:line="360" w:lineRule="auto"/>
            </w:pPr>
            <w:r>
              <w:rPr>
                <w:rFonts w:ascii="Arial" w:hAnsi="Arial"/>
                <w:sz w:val="24"/>
              </w:rPr>
              <w:t>Accommodation</w:t>
            </w:r>
          </w:p>
        </w:tc>
        <w:tc>
          <w:tcPr>
            <w:tcW w:type="dxa" w:w="3300"/>
            <w:vAlign w:val="center"/>
            <w:shd w:fill="F2F2F2"/>
            <w:tcMar>
              <w:top w:w="100" w:type="dxa"/>
              <w:start w:w="120" w:type="dxa"/>
              <w:bottom w:w="100" w:type="dxa"/>
              <w:end w:w="120" w:type="dxa"/>
            </w:tcMar>
          </w:tcPr>
          <w:p>
            <w:pPr>
              <w:spacing w:after="40" w:line="360" w:lineRule="auto"/>
            </w:pPr>
            <w:r>
              <w:rPr>
                <w:rFonts w:ascii="Arial" w:hAnsi="Arial"/>
                <w:sz w:val="24"/>
              </w:rPr>
              <w:t>Affordable local options.</w:t>
            </w:r>
          </w:p>
        </w:tc>
        <w:tc>
          <w:tcPr>
            <w:tcW w:type="dxa" w:w="3620"/>
            <w:vAlign w:val="center"/>
            <w:shd w:fill="F2F2F2"/>
            <w:tcMar>
              <w:top w:w="100" w:type="dxa"/>
              <w:start w:w="120" w:type="dxa"/>
              <w:bottom w:w="100" w:type="dxa"/>
              <w:end w:w="120" w:type="dxa"/>
            </w:tcMar>
          </w:tcPr>
          <w:p>
            <w:pPr>
              <w:spacing w:after="40" w:line="360" w:lineRule="auto"/>
            </w:pPr>
            <w:r>
              <w:rPr>
                <w:rFonts w:ascii="Arial" w:hAnsi="Arial"/>
                <w:sz w:val="24"/>
              </w:rPr>
              <w:t>Landlord verification, reporting and scam guidance.</w:t>
            </w:r>
          </w:p>
        </w:tc>
      </w:tr>
      <w:tr>
        <w:trPr>
          <w:cantSplit w:val="true"/>
        </w:trPr>
        <w:tc>
          <w:tcPr>
            <w:tcW w:type="dxa" w:w="2200"/>
            <w:vAlign w:val="center"/>
            <w:tcMar>
              <w:top w:w="100" w:type="dxa"/>
              <w:start w:w="120" w:type="dxa"/>
              <w:bottom w:w="100" w:type="dxa"/>
              <w:end w:w="120" w:type="dxa"/>
            </w:tcMar>
          </w:tcPr>
          <w:p>
            <w:pPr>
              <w:spacing w:after="40" w:line="360" w:lineRule="auto"/>
            </w:pPr>
            <w:r>
              <w:rPr>
                <w:rFonts w:ascii="Arial" w:hAnsi="Arial"/>
                <w:sz w:val="24"/>
              </w:rPr>
              <w:t>Tutoring/study groups</w:t>
            </w:r>
          </w:p>
        </w:tc>
        <w:tc>
          <w:tcPr>
            <w:tcW w:type="dxa" w:w="3300"/>
            <w:vAlign w:val="center"/>
            <w:tcMar>
              <w:top w:w="100" w:type="dxa"/>
              <w:start w:w="120" w:type="dxa"/>
              <w:bottom w:w="100" w:type="dxa"/>
              <w:end w:w="120" w:type="dxa"/>
            </w:tcMar>
          </w:tcPr>
          <w:p>
            <w:pPr>
              <w:spacing w:after="40" w:line="360" w:lineRule="auto"/>
            </w:pPr>
            <w:r>
              <w:rPr>
                <w:rFonts w:ascii="Arial" w:hAnsi="Arial"/>
                <w:sz w:val="24"/>
              </w:rPr>
              <w:t>Academic and peer support.</w:t>
            </w:r>
          </w:p>
        </w:tc>
        <w:tc>
          <w:tcPr>
            <w:tcW w:type="dxa" w:w="3620"/>
            <w:vAlign w:val="center"/>
            <w:tcMar>
              <w:top w:w="100" w:type="dxa"/>
              <w:start w:w="120" w:type="dxa"/>
              <w:bottom w:w="100" w:type="dxa"/>
              <w:end w:w="120" w:type="dxa"/>
            </w:tcMar>
          </w:tcPr>
          <w:p>
            <w:pPr>
              <w:spacing w:after="40" w:line="360" w:lineRule="auto"/>
            </w:pPr>
            <w:r>
              <w:rPr>
                <w:rFonts w:ascii="Arial" w:hAnsi="Arial"/>
                <w:sz w:val="24"/>
              </w:rPr>
              <w:t>Verified student profiles, moderation and reviews.</w:t>
            </w:r>
          </w:p>
        </w:tc>
      </w:tr>
      <w:tr>
        <w:trPr>
          <w:cantSplit w:val="true"/>
        </w:trPr>
        <w:tc>
          <w:tcPr>
            <w:tcW w:type="dxa" w:w="2200"/>
            <w:vAlign w:val="center"/>
            <w:shd w:fill="F2F2F2"/>
            <w:tcMar>
              <w:top w:w="100" w:type="dxa"/>
              <w:start w:w="120" w:type="dxa"/>
              <w:bottom w:w="100" w:type="dxa"/>
              <w:end w:w="120" w:type="dxa"/>
            </w:tcMar>
          </w:tcPr>
          <w:p>
            <w:pPr>
              <w:spacing w:after="40" w:line="360" w:lineRule="auto"/>
            </w:pPr>
            <w:r>
              <w:rPr>
                <w:rFonts w:ascii="Arial" w:hAnsi="Arial"/>
                <w:sz w:val="24"/>
              </w:rPr>
              <w:t>Textbook marketplace</w:t>
            </w:r>
          </w:p>
        </w:tc>
        <w:tc>
          <w:tcPr>
            <w:tcW w:type="dxa" w:w="3300"/>
            <w:vAlign w:val="center"/>
            <w:shd w:fill="F2F2F2"/>
            <w:tcMar>
              <w:top w:w="100" w:type="dxa"/>
              <w:start w:w="120" w:type="dxa"/>
              <w:bottom w:w="100" w:type="dxa"/>
              <w:end w:w="120" w:type="dxa"/>
            </w:tcMar>
          </w:tcPr>
          <w:p>
            <w:pPr>
              <w:spacing w:after="40" w:line="360" w:lineRule="auto"/>
            </w:pPr>
            <w:r>
              <w:rPr>
                <w:rFonts w:ascii="Arial" w:hAnsi="Arial"/>
                <w:sz w:val="24"/>
              </w:rPr>
              <w:t>Lower-cost study materials.</w:t>
            </w:r>
          </w:p>
        </w:tc>
        <w:tc>
          <w:tcPr>
            <w:tcW w:type="dxa" w:w="3620"/>
            <w:vAlign w:val="center"/>
            <w:shd w:fill="F2F2F2"/>
            <w:tcMar>
              <w:top w:w="100" w:type="dxa"/>
              <w:start w:w="120" w:type="dxa"/>
              <w:bottom w:w="100" w:type="dxa"/>
              <w:end w:w="120" w:type="dxa"/>
            </w:tcMar>
          </w:tcPr>
          <w:p>
            <w:pPr>
              <w:spacing w:after="40" w:line="360" w:lineRule="auto"/>
            </w:pPr>
            <w:r>
              <w:rPr>
                <w:rFonts w:ascii="Arial" w:hAnsi="Arial"/>
                <w:sz w:val="24"/>
              </w:rPr>
              <w:t>Local reuse supports affordability and reduces waste.</w:t>
            </w:r>
          </w:p>
        </w:tc>
      </w:tr>
    </w:tbl>
    <w:p>
      <w:pPr>
        <w:spacing w:line="360" w:lineRule="auto"/>
      </w:pPr>
    </w:p>
    <w:p>
      <w:pPr>
        <w:pStyle w:val="Heading2"/>
        <w:keepNext/>
        <w:spacing w:before="140" w:after="100" w:line="360" w:lineRule="auto"/>
      </w:pPr>
      <w:r>
        <w:rPr>
          <w:rFonts w:ascii="Arial" w:hAnsi="Arial"/>
          <w:b/>
          <w:i w:val="0"/>
          <w:color w:val="000000"/>
          <w:sz w:val="24"/>
        </w:rPr>
        <w:t>1.4 Legal format and management structure</w:t>
      </w:r>
    </w:p>
    <w:p>
      <w:pPr>
        <w:spacing w:line="360" w:lineRule="auto" w:after="120"/>
      </w:pPr>
      <w:r>
        <w:rPr>
          <w:rFonts w:ascii="Arial" w:hAnsi="Arial"/>
          <w:sz w:val="24"/>
        </w:rPr>
        <w:t>StudentHub will register as a private limited company. This legal form supports a professional image, access to investment and limited liability for the founder.</w:t>
      </w:r>
    </w:p>
    <w:p>
      <w:pPr>
        <w:keepNext/>
        <w:spacing w:line="360" w:lineRule="auto"/>
      </w:pPr>
      <w:r>
        <w:rPr>
          <w:rFonts w:ascii="Arial" w:hAnsi="Arial"/>
          <w:b/>
          <w:sz w:val="24"/>
        </w:rPr>
        <w:t>Table 2: Management structure</w:t>
      </w:r>
    </w:p>
    <w:tbl>
      <w:tblPr>
        <w:tblStyle w:val="TableGrid"/>
        <w:tblW w:type="dxa" w:w="9120"/>
        <w:jc w:val="center"/>
        <w:tblLayout w:type="fixed"/>
        <w:tblLook w:firstColumn="1" w:firstRow="1" w:lastColumn="0" w:lastRow="0" w:noHBand="0" w:noVBand="1" w:val="04A0"/>
      </w:tblPr>
      <w:tblGrid>
        <w:gridCol w:w="2800"/>
        <w:gridCol w:w="6320"/>
      </w:tblGrid>
      <w:tr>
        <w:trPr>
          <w:tblHeader w:val="true"/>
          <w:cantSplit w:val="true"/>
        </w:trPr>
        <w:tc>
          <w:tcPr>
            <w:tcW w:type="dxa" w:w="2800"/>
            <w:shd w:fill="000000"/>
            <w:vAlign w:val="center"/>
            <w:tcMar>
              <w:top w:w="100" w:type="dxa"/>
              <w:start w:w="120" w:type="dxa"/>
              <w:bottom w:w="100" w:type="dxa"/>
              <w:end w:w="120" w:type="dxa"/>
            </w:tcMar>
          </w:tcPr>
          <w:p>
            <w:pPr>
              <w:spacing w:line="360" w:lineRule="auto"/>
            </w:pPr>
            <w:r>
              <w:rPr>
                <w:rFonts w:ascii="Arial" w:hAnsi="Arial"/>
                <w:b/>
                <w:color w:val="FFFFFF"/>
                <w:sz w:val="24"/>
              </w:rPr>
              <w:t>Role</w:t>
            </w:r>
          </w:p>
        </w:tc>
        <w:tc>
          <w:tcPr>
            <w:tcW w:type="dxa" w:w="6320"/>
            <w:shd w:fill="000000"/>
            <w:vAlign w:val="center"/>
            <w:tcMar>
              <w:top w:w="100" w:type="dxa"/>
              <w:start w:w="120" w:type="dxa"/>
              <w:bottom w:w="100" w:type="dxa"/>
              <w:end w:w="120" w:type="dxa"/>
            </w:tcMar>
          </w:tcPr>
          <w:p>
            <w:pPr>
              <w:spacing w:line="360" w:lineRule="auto"/>
            </w:pPr>
            <w:r>
              <w:rPr>
                <w:rFonts w:ascii="Arial" w:hAnsi="Arial"/>
                <w:b/>
                <w:color w:val="FFFFFF"/>
                <w:sz w:val="24"/>
              </w:rPr>
              <w:t>Main responsibility</w:t>
            </w:r>
          </w:p>
        </w:tc>
      </w:tr>
      <w:tr>
        <w:trPr>
          <w:cantSplit w:val="true"/>
        </w:trPr>
        <w:tc>
          <w:tcPr>
            <w:tcW w:type="dxa" w:w="2800"/>
            <w:vAlign w:val="center"/>
            <w:tcMar>
              <w:top w:w="100" w:type="dxa"/>
              <w:start w:w="120" w:type="dxa"/>
              <w:bottom w:w="100" w:type="dxa"/>
              <w:end w:w="120" w:type="dxa"/>
            </w:tcMar>
          </w:tcPr>
          <w:p>
            <w:pPr>
              <w:spacing w:after="40" w:line="360" w:lineRule="auto"/>
            </w:pPr>
            <w:r>
              <w:rPr>
                <w:rFonts w:ascii="Arial" w:hAnsi="Arial"/>
                <w:sz w:val="24"/>
              </w:rPr>
              <w:t>Founder/CEO</w:t>
            </w:r>
          </w:p>
        </w:tc>
        <w:tc>
          <w:tcPr>
            <w:tcW w:type="dxa" w:w="6320"/>
            <w:vAlign w:val="center"/>
            <w:tcMar>
              <w:top w:w="100" w:type="dxa"/>
              <w:start w:w="120" w:type="dxa"/>
              <w:bottom w:w="100" w:type="dxa"/>
              <w:end w:w="120" w:type="dxa"/>
            </w:tcMar>
          </w:tcPr>
          <w:p>
            <w:pPr>
              <w:spacing w:after="40" w:line="360" w:lineRule="auto"/>
            </w:pPr>
            <w:r>
              <w:rPr>
                <w:rFonts w:ascii="Arial" w:hAnsi="Arial"/>
                <w:sz w:val="24"/>
              </w:rPr>
              <w:t>Strategy, investor relations and university partnerships.</w:t>
            </w:r>
          </w:p>
        </w:tc>
      </w:tr>
      <w:tr>
        <w:trPr>
          <w:cantSplit w:val="true"/>
        </w:trPr>
        <w:tc>
          <w:tcPr>
            <w:tcW w:type="dxa" w:w="2800"/>
            <w:vAlign w:val="center"/>
            <w:shd w:fill="F2F2F2"/>
            <w:tcMar>
              <w:top w:w="100" w:type="dxa"/>
              <w:start w:w="120" w:type="dxa"/>
              <w:bottom w:w="100" w:type="dxa"/>
              <w:end w:w="120" w:type="dxa"/>
            </w:tcMar>
          </w:tcPr>
          <w:p>
            <w:pPr>
              <w:spacing w:after="40" w:line="360" w:lineRule="auto"/>
            </w:pPr>
            <w:r>
              <w:rPr>
                <w:rFonts w:ascii="Arial" w:hAnsi="Arial"/>
                <w:sz w:val="24"/>
              </w:rPr>
              <w:t>Technology Lead</w:t>
            </w:r>
          </w:p>
        </w:tc>
        <w:tc>
          <w:tcPr>
            <w:tcW w:type="dxa" w:w="6320"/>
            <w:vAlign w:val="center"/>
            <w:shd w:fill="F2F2F2"/>
            <w:tcMar>
              <w:top w:w="100" w:type="dxa"/>
              <w:start w:w="120" w:type="dxa"/>
              <w:bottom w:w="100" w:type="dxa"/>
              <w:end w:w="120" w:type="dxa"/>
            </w:tcMar>
          </w:tcPr>
          <w:p>
            <w:pPr>
              <w:spacing w:after="40" w:line="360" w:lineRule="auto"/>
            </w:pPr>
            <w:r>
              <w:rPr>
                <w:rFonts w:ascii="Arial" w:hAnsi="Arial"/>
                <w:sz w:val="24"/>
              </w:rPr>
              <w:t>App development, cybersecurity and platform reliability.</w:t>
            </w:r>
          </w:p>
        </w:tc>
      </w:tr>
      <w:tr>
        <w:trPr>
          <w:cantSplit w:val="true"/>
        </w:trPr>
        <w:tc>
          <w:tcPr>
            <w:tcW w:type="dxa" w:w="2800"/>
            <w:vAlign w:val="center"/>
            <w:tcMar>
              <w:top w:w="100" w:type="dxa"/>
              <w:start w:w="120" w:type="dxa"/>
              <w:bottom w:w="100" w:type="dxa"/>
              <w:end w:w="120" w:type="dxa"/>
            </w:tcMar>
          </w:tcPr>
          <w:p>
            <w:pPr>
              <w:spacing w:after="40" w:line="360" w:lineRule="auto"/>
            </w:pPr>
            <w:r>
              <w:rPr>
                <w:rFonts w:ascii="Arial" w:hAnsi="Arial"/>
                <w:sz w:val="24"/>
              </w:rPr>
              <w:t>Operations and Trust Lead</w:t>
            </w:r>
          </w:p>
        </w:tc>
        <w:tc>
          <w:tcPr>
            <w:tcW w:type="dxa" w:w="6320"/>
            <w:vAlign w:val="center"/>
            <w:tcMar>
              <w:top w:w="100" w:type="dxa"/>
              <w:start w:w="120" w:type="dxa"/>
              <w:bottom w:w="100" w:type="dxa"/>
              <w:end w:w="120" w:type="dxa"/>
            </w:tcMar>
          </w:tcPr>
          <w:p>
            <w:pPr>
              <w:spacing w:after="40" w:line="360" w:lineRule="auto"/>
            </w:pPr>
            <w:r>
              <w:rPr>
                <w:rFonts w:ascii="Arial" w:hAnsi="Arial"/>
                <w:sz w:val="24"/>
              </w:rPr>
              <w:t>Verification, moderation, complaints and service quality.</w:t>
            </w:r>
          </w:p>
        </w:tc>
      </w:tr>
      <w:tr>
        <w:trPr>
          <w:cantSplit w:val="true"/>
        </w:trPr>
        <w:tc>
          <w:tcPr>
            <w:tcW w:type="dxa" w:w="2800"/>
            <w:vAlign w:val="center"/>
            <w:shd w:fill="F2F2F2"/>
            <w:tcMar>
              <w:top w:w="100" w:type="dxa"/>
              <w:start w:w="120" w:type="dxa"/>
              <w:bottom w:w="100" w:type="dxa"/>
              <w:end w:w="120" w:type="dxa"/>
            </w:tcMar>
          </w:tcPr>
          <w:p>
            <w:pPr>
              <w:spacing w:after="40" w:line="360" w:lineRule="auto"/>
            </w:pPr>
            <w:r>
              <w:rPr>
                <w:rFonts w:ascii="Arial" w:hAnsi="Arial"/>
                <w:sz w:val="24"/>
              </w:rPr>
              <w:t>Marketing and Partnerships Lead</w:t>
            </w:r>
          </w:p>
        </w:tc>
        <w:tc>
          <w:tcPr>
            <w:tcW w:type="dxa" w:w="6320"/>
            <w:vAlign w:val="center"/>
            <w:shd w:fill="F2F2F2"/>
            <w:tcMar>
              <w:top w:w="100" w:type="dxa"/>
              <w:start w:w="120" w:type="dxa"/>
              <w:bottom w:w="100" w:type="dxa"/>
              <w:end w:w="120" w:type="dxa"/>
            </w:tcMar>
          </w:tcPr>
          <w:p>
            <w:pPr>
              <w:spacing w:after="40" w:line="360" w:lineRule="auto"/>
            </w:pPr>
            <w:r>
              <w:rPr>
                <w:rFonts w:ascii="Arial" w:hAnsi="Arial"/>
                <w:sz w:val="24"/>
              </w:rPr>
              <w:t>Student acquisition, ambassadors and local business relationships.</w:t>
            </w:r>
          </w:p>
        </w:tc>
      </w:tr>
      <w:tr>
        <w:trPr>
          <w:cantSplit w:val="true"/>
        </w:trPr>
        <w:tc>
          <w:tcPr>
            <w:tcW w:type="dxa" w:w="2800"/>
            <w:vAlign w:val="center"/>
            <w:tcMar>
              <w:top w:w="100" w:type="dxa"/>
              <w:start w:w="120" w:type="dxa"/>
              <w:bottom w:w="100" w:type="dxa"/>
              <w:end w:w="120" w:type="dxa"/>
            </w:tcMar>
          </w:tcPr>
          <w:p>
            <w:pPr>
              <w:spacing w:after="40" w:line="360" w:lineRule="auto"/>
            </w:pPr>
            <w:r>
              <w:rPr>
                <w:rFonts w:ascii="Arial" w:hAnsi="Arial"/>
                <w:sz w:val="24"/>
              </w:rPr>
              <w:t>Outsourced accountant/legal adviser</w:t>
            </w:r>
          </w:p>
        </w:tc>
        <w:tc>
          <w:tcPr>
            <w:tcW w:type="dxa" w:w="6320"/>
            <w:vAlign w:val="center"/>
            <w:tcMar>
              <w:top w:w="100" w:type="dxa"/>
              <w:start w:w="120" w:type="dxa"/>
              <w:bottom w:w="100" w:type="dxa"/>
              <w:end w:w="120" w:type="dxa"/>
            </w:tcMar>
          </w:tcPr>
          <w:p>
            <w:pPr>
              <w:spacing w:after="40" w:line="360" w:lineRule="auto"/>
            </w:pPr>
            <w:r>
              <w:rPr>
                <w:rFonts w:ascii="Arial" w:hAnsi="Arial"/>
                <w:sz w:val="24"/>
              </w:rPr>
              <w:t>Finance, filings, contracts and compliance.</w:t>
            </w:r>
          </w:p>
        </w:tc>
      </w:tr>
    </w:tbl>
    <w:p>
      <w:pPr>
        <w:spacing w:line="360" w:lineRule="auto"/>
      </w:pPr>
    </w:p>
    <w:p>
      <w:pPr>
        <w:pStyle w:val="Heading2"/>
        <w:keepNext/>
        <w:spacing w:before="140" w:after="100" w:line="360" w:lineRule="auto"/>
      </w:pPr>
      <w:r>
        <w:rPr>
          <w:rFonts w:ascii="Arial" w:hAnsi="Arial"/>
          <w:b/>
          <w:i w:val="0"/>
          <w:color w:val="000000"/>
          <w:sz w:val="24"/>
        </w:rPr>
        <w:t>1.5 SMART objectives</w:t>
      </w:r>
    </w:p>
    <w:p>
      <w:pPr>
        <w:numPr>
          <w:ilvl w:val="0"/>
          <w:numId w:val="10"/>
        </w:numPr>
        <w:spacing w:line="360" w:lineRule="auto" w:after="60"/>
      </w:pPr>
      <w:r>
        <w:rPr>
          <w:rFonts w:ascii="Arial" w:hAnsi="Arial"/>
          <w:b w:val="0"/>
          <w:i w:val="0"/>
          <w:sz w:val="24"/>
        </w:rPr>
        <w:t>Design StudentHub mobile application and website in six months.</w:t>
      </w:r>
    </w:p>
    <w:p>
      <w:pPr>
        <w:numPr>
          <w:ilvl w:val="0"/>
          <w:numId w:val="10"/>
        </w:numPr>
        <w:spacing w:line="360" w:lineRule="auto" w:after="60"/>
      </w:pPr>
      <w:r>
        <w:rPr>
          <w:rFonts w:ascii="Arial" w:hAnsi="Arial"/>
          <w:b w:val="0"/>
          <w:i w:val="0"/>
          <w:sz w:val="24"/>
        </w:rPr>
        <w:t>Find at least 1,000 users among students in one year.</w:t>
      </w:r>
    </w:p>
    <w:p>
      <w:pPr>
        <w:numPr>
          <w:ilvl w:val="0"/>
          <w:numId w:val="10"/>
        </w:numPr>
        <w:spacing w:line="360" w:lineRule="auto" w:after="60"/>
      </w:pPr>
      <w:r>
        <w:rPr>
          <w:rFonts w:ascii="Arial" w:hAnsi="Arial"/>
          <w:b w:val="0"/>
          <w:i w:val="0"/>
          <w:sz w:val="24"/>
        </w:rPr>
        <w:t>Establish at least five alliances with universities, students’ societies and/or local companies in 12 months.</w:t>
      </w:r>
    </w:p>
    <w:p>
      <w:pPr>
        <w:numPr>
          <w:ilvl w:val="0"/>
          <w:numId w:val="10"/>
        </w:numPr>
        <w:spacing w:line="360" w:lineRule="auto" w:after="60"/>
      </w:pPr>
      <w:r>
        <w:rPr>
          <w:rFonts w:ascii="Arial" w:hAnsi="Arial"/>
          <w:b w:val="0"/>
          <w:i w:val="0"/>
          <w:sz w:val="24"/>
        </w:rPr>
        <w:t>Grow the venture in 10 UK universities with 10,000 customers in the next three years.</w:t>
      </w:r>
    </w:p>
    <w:p>
      <w:pPr>
        <w:numPr>
          <w:ilvl w:val="0"/>
          <w:numId w:val="10"/>
        </w:numPr>
        <w:spacing w:line="360" w:lineRule="auto" w:after="60"/>
      </w:pPr>
      <w:r>
        <w:rPr>
          <w:rFonts w:ascii="Arial" w:hAnsi="Arial"/>
          <w:sz w:val="24"/>
        </w:rPr>
        <w:t>Reach more than 50,000 users and achieve sustainable profitability within five years.</w:t>
      </w:r>
    </w:p>
    <w:p>
      <w:pPr>
        <w:spacing w:line="360" w:lineRule="auto"/>
      </w:pPr>
    </w:p>
    <w:p>
      <w:pPr>
        <w:pStyle w:val="Heading1"/>
        <w:keepNext/>
        <w:spacing w:before="200" w:after="100" w:line="360" w:lineRule="auto"/>
      </w:pPr>
      <w:r>
        <w:rPr>
          <w:rFonts w:ascii="Arial" w:hAnsi="Arial"/>
          <w:b/>
          <w:i w:val="0"/>
          <w:color w:val="000000"/>
          <w:sz w:val="24"/>
        </w:rPr>
        <w:t>2. Market Research</w:t>
      </w:r>
    </w:p>
    <w:p>
      <w:pPr>
        <w:pStyle w:val="Heading2"/>
        <w:keepNext/>
        <w:spacing w:before="140" w:after="100" w:line="360" w:lineRule="auto"/>
      </w:pPr>
      <w:r>
        <w:rPr>
          <w:rFonts w:ascii="Arial" w:hAnsi="Arial"/>
          <w:b/>
          <w:i w:val="0"/>
          <w:color w:val="000000"/>
          <w:sz w:val="24"/>
        </w:rPr>
        <w:t>2.1 Target market</w:t>
      </w:r>
    </w:p>
    <w:p>
      <w:pPr>
        <w:spacing w:line="360" w:lineRule="auto" w:after="120"/>
      </w:pPr>
      <w:r>
        <w:rPr>
          <w:rFonts w:ascii="Arial" w:hAnsi="Arial"/>
          <w:sz w:val="24"/>
        </w:rPr>
        <w:t>The primary market is undergraduate and postgraduate students aged 18-30 who are cost-conscious, digitally confident and seeking flexible work or affordable accommodation. Secondary users include local employers, tutors, landlords and student unions. Cost pressure makes affordability important: 92% of surveyed students reported increased living costs (ONS, 2023).</w:t>
      </w:r>
    </w:p>
    <w:p>
      <w:pPr>
        <w:spacing w:line="360" w:lineRule="auto"/>
      </w:pPr>
    </w:p>
    <w:p>
      <w:pPr>
        <w:pStyle w:val="Heading2"/>
        <w:keepNext/>
        <w:spacing w:before="140" w:after="100" w:line="360" w:lineRule="auto"/>
      </w:pPr>
      <w:r>
        <w:rPr>
          <w:rFonts w:ascii="Arial" w:hAnsi="Arial"/>
          <w:b/>
          <w:i w:val="0"/>
          <w:color w:val="000000"/>
          <w:sz w:val="24"/>
        </w:rPr>
        <w:t>2.2 Competitor analysis</w:t>
      </w:r>
    </w:p>
    <w:p>
      <w:pPr>
        <w:keepNext/>
        <w:spacing w:line="360" w:lineRule="auto"/>
      </w:pPr>
      <w:r>
        <w:rPr>
          <w:rFonts w:ascii="Arial" w:hAnsi="Arial"/>
          <w:b/>
          <w:sz w:val="24"/>
        </w:rPr>
        <w:t>Table 3: Competitor analysis</w:t>
      </w:r>
    </w:p>
    <w:tbl>
      <w:tblPr>
        <w:tblStyle w:val="TableGrid"/>
        <w:tblW w:type="dxa" w:w="9120"/>
        <w:jc w:val="center"/>
        <w:tblLayout w:type="fixed"/>
        <w:tblLook w:firstColumn="1" w:firstRow="1" w:lastColumn="0" w:lastRow="0" w:noHBand="0" w:noVBand="1" w:val="04A0"/>
      </w:tblPr>
      <w:tblGrid>
        <w:gridCol w:w="2200"/>
        <w:gridCol w:w="2900"/>
        <w:gridCol w:w="4020"/>
      </w:tblGrid>
      <w:tr>
        <w:trPr>
          <w:tblHeader w:val="true"/>
          <w:cantSplit w:val="true"/>
        </w:trPr>
        <w:tc>
          <w:tcPr>
            <w:tcW w:type="dxa" w:w="2200"/>
            <w:shd w:fill="000000"/>
            <w:vAlign w:val="center"/>
            <w:tcMar>
              <w:top w:w="100" w:type="dxa"/>
              <w:start w:w="120" w:type="dxa"/>
              <w:bottom w:w="100" w:type="dxa"/>
              <w:end w:w="120" w:type="dxa"/>
            </w:tcMar>
          </w:tcPr>
          <w:p>
            <w:pPr>
              <w:spacing w:line="360" w:lineRule="auto"/>
            </w:pPr>
            <w:r>
              <w:rPr>
                <w:rFonts w:ascii="Arial" w:hAnsi="Arial"/>
                <w:b/>
                <w:color w:val="FFFFFF"/>
                <w:sz w:val="24"/>
              </w:rPr>
              <w:t>Competitor</w:t>
            </w:r>
          </w:p>
        </w:tc>
        <w:tc>
          <w:tcPr>
            <w:tcW w:type="dxa" w:w="2900"/>
            <w:shd w:fill="000000"/>
            <w:vAlign w:val="center"/>
            <w:tcMar>
              <w:top w:w="100" w:type="dxa"/>
              <w:start w:w="120" w:type="dxa"/>
              <w:bottom w:w="100" w:type="dxa"/>
              <w:end w:w="120" w:type="dxa"/>
            </w:tcMar>
          </w:tcPr>
          <w:p>
            <w:pPr>
              <w:spacing w:line="360" w:lineRule="auto"/>
            </w:pPr>
            <w:r>
              <w:rPr>
                <w:rFonts w:ascii="Arial" w:hAnsi="Arial"/>
                <w:b/>
                <w:color w:val="FFFFFF"/>
                <w:sz w:val="24"/>
              </w:rPr>
              <w:t>Strength</w:t>
            </w:r>
          </w:p>
        </w:tc>
        <w:tc>
          <w:tcPr>
            <w:tcW w:type="dxa" w:w="4020"/>
            <w:shd w:fill="000000"/>
            <w:vAlign w:val="center"/>
            <w:tcMar>
              <w:top w:w="100" w:type="dxa"/>
              <w:start w:w="120" w:type="dxa"/>
              <w:bottom w:w="100" w:type="dxa"/>
              <w:end w:w="120" w:type="dxa"/>
            </w:tcMar>
          </w:tcPr>
          <w:p>
            <w:pPr>
              <w:spacing w:line="360" w:lineRule="auto"/>
            </w:pPr>
            <w:r>
              <w:rPr>
                <w:rFonts w:ascii="Arial" w:hAnsi="Arial"/>
                <w:b/>
                <w:color w:val="FFFFFF"/>
                <w:sz w:val="24"/>
              </w:rPr>
              <w:t>Gap StudentHub aims to address</w:t>
            </w:r>
          </w:p>
        </w:tc>
      </w:tr>
      <w:tr>
        <w:trPr>
          <w:cantSplit w:val="true"/>
        </w:trPr>
        <w:tc>
          <w:tcPr>
            <w:tcW w:type="dxa" w:w="2200"/>
            <w:vAlign w:val="center"/>
            <w:tcMar>
              <w:top w:w="100" w:type="dxa"/>
              <w:start w:w="120" w:type="dxa"/>
              <w:bottom w:w="100" w:type="dxa"/>
              <w:end w:w="120" w:type="dxa"/>
            </w:tcMar>
          </w:tcPr>
          <w:p>
            <w:pPr>
              <w:spacing w:after="40" w:line="360" w:lineRule="auto"/>
            </w:pPr>
            <w:r>
              <w:rPr>
                <w:rFonts w:ascii="Arial" w:hAnsi="Arial"/>
                <w:sz w:val="24"/>
              </w:rPr>
              <w:t>LinkedIn</w:t>
            </w:r>
          </w:p>
        </w:tc>
        <w:tc>
          <w:tcPr>
            <w:tcW w:type="dxa" w:w="2900"/>
            <w:vAlign w:val="center"/>
            <w:tcMar>
              <w:top w:w="100" w:type="dxa"/>
              <w:start w:w="120" w:type="dxa"/>
              <w:bottom w:w="100" w:type="dxa"/>
              <w:end w:w="120" w:type="dxa"/>
            </w:tcMar>
          </w:tcPr>
          <w:p>
            <w:pPr>
              <w:spacing w:after="40" w:line="360" w:lineRule="auto"/>
            </w:pPr>
            <w:r>
              <w:rPr>
                <w:rFonts w:ascii="Arial" w:hAnsi="Arial"/>
                <w:sz w:val="24"/>
              </w:rPr>
              <w:t>Large professional network.</w:t>
            </w:r>
          </w:p>
        </w:tc>
        <w:tc>
          <w:tcPr>
            <w:tcW w:type="dxa" w:w="4020"/>
            <w:vAlign w:val="center"/>
            <w:tcMar>
              <w:top w:w="100" w:type="dxa"/>
              <w:start w:w="120" w:type="dxa"/>
              <w:bottom w:w="100" w:type="dxa"/>
              <w:end w:w="120" w:type="dxa"/>
            </w:tcMar>
          </w:tcPr>
          <w:p>
            <w:pPr>
              <w:spacing w:after="40" w:line="360" w:lineRule="auto"/>
            </w:pPr>
            <w:r>
              <w:rPr>
                <w:rFonts w:ascii="Arial" w:hAnsi="Arial"/>
                <w:sz w:val="24"/>
              </w:rPr>
              <w:t>Flexible according to students' schedule.</w:t>
            </w:r>
          </w:p>
        </w:tc>
      </w:tr>
      <w:tr>
        <w:trPr>
          <w:cantSplit w:val="true"/>
        </w:trPr>
        <w:tc>
          <w:tcPr>
            <w:tcW w:type="dxa" w:w="2200"/>
            <w:vAlign w:val="center"/>
            <w:shd w:fill="F2F2F2"/>
            <w:tcMar>
              <w:top w:w="100" w:type="dxa"/>
              <w:start w:w="120" w:type="dxa"/>
              <w:bottom w:w="100" w:type="dxa"/>
              <w:end w:w="120" w:type="dxa"/>
            </w:tcMar>
          </w:tcPr>
          <w:p>
            <w:pPr>
              <w:spacing w:after="40" w:line="360" w:lineRule="auto"/>
            </w:pPr>
            <w:r>
              <w:rPr>
                <w:rFonts w:ascii="Arial" w:hAnsi="Arial"/>
                <w:sz w:val="24"/>
              </w:rPr>
              <w:t>Indeed</w:t>
            </w:r>
          </w:p>
        </w:tc>
        <w:tc>
          <w:tcPr>
            <w:tcW w:type="dxa" w:w="2900"/>
            <w:vAlign w:val="center"/>
            <w:shd w:fill="F2F2F2"/>
            <w:tcMar>
              <w:top w:w="100" w:type="dxa"/>
              <w:start w:w="120" w:type="dxa"/>
              <w:bottom w:w="100" w:type="dxa"/>
              <w:end w:w="120" w:type="dxa"/>
            </w:tcMar>
          </w:tcPr>
          <w:p>
            <w:pPr>
              <w:spacing w:after="40" w:line="360" w:lineRule="auto"/>
            </w:pPr>
            <w:r>
              <w:rPr>
                <w:rFonts w:ascii="Arial" w:hAnsi="Arial"/>
                <w:sz w:val="24"/>
              </w:rPr>
              <w:t>Extensive job listings.</w:t>
            </w:r>
          </w:p>
        </w:tc>
        <w:tc>
          <w:tcPr>
            <w:tcW w:type="dxa" w:w="4020"/>
            <w:vAlign w:val="center"/>
            <w:shd w:fill="F2F2F2"/>
            <w:tcMar>
              <w:top w:w="100" w:type="dxa"/>
              <w:start w:w="120" w:type="dxa"/>
              <w:bottom w:w="100" w:type="dxa"/>
              <w:end w:w="120" w:type="dxa"/>
            </w:tcMar>
          </w:tcPr>
          <w:p>
            <w:pPr>
              <w:spacing w:after="40" w:line="360" w:lineRule="auto"/>
            </w:pPr>
            <w:r>
              <w:rPr>
                <w:rFonts w:ascii="Arial" w:hAnsi="Arial"/>
                <w:sz w:val="24"/>
              </w:rPr>
              <w:t>No accommodation, tutoring or student community.</w:t>
            </w:r>
          </w:p>
        </w:tc>
      </w:tr>
      <w:tr>
        <w:trPr>
          <w:cantSplit w:val="true"/>
        </w:trPr>
        <w:tc>
          <w:tcPr>
            <w:tcW w:type="dxa" w:w="2200"/>
            <w:vAlign w:val="center"/>
            <w:tcMar>
              <w:top w:w="100" w:type="dxa"/>
              <w:start w:w="120" w:type="dxa"/>
              <w:bottom w:w="100" w:type="dxa"/>
              <w:end w:w="120" w:type="dxa"/>
            </w:tcMar>
          </w:tcPr>
          <w:p>
            <w:pPr>
              <w:spacing w:after="40" w:line="360" w:lineRule="auto"/>
            </w:pPr>
            <w:r>
              <w:rPr>
                <w:rFonts w:ascii="Arial" w:hAnsi="Arial"/>
                <w:sz w:val="24"/>
              </w:rPr>
              <w:t>SpareRoom</w:t>
            </w:r>
          </w:p>
        </w:tc>
        <w:tc>
          <w:tcPr>
            <w:tcW w:type="dxa" w:w="2900"/>
            <w:vAlign w:val="center"/>
            <w:tcMar>
              <w:top w:w="100" w:type="dxa"/>
              <w:start w:w="120" w:type="dxa"/>
              <w:bottom w:w="100" w:type="dxa"/>
              <w:end w:w="120" w:type="dxa"/>
            </w:tcMar>
          </w:tcPr>
          <w:p>
            <w:pPr>
              <w:spacing w:after="40" w:line="360" w:lineRule="auto"/>
            </w:pPr>
            <w:r>
              <w:rPr>
                <w:rFonts w:ascii="Arial" w:hAnsi="Arial"/>
                <w:sz w:val="24"/>
              </w:rPr>
              <w:t>Accommodation expertise.</w:t>
            </w:r>
          </w:p>
        </w:tc>
        <w:tc>
          <w:tcPr>
            <w:tcW w:type="dxa" w:w="4020"/>
            <w:vAlign w:val="center"/>
            <w:tcMar>
              <w:top w:w="100" w:type="dxa"/>
              <w:start w:w="120" w:type="dxa"/>
              <w:bottom w:w="100" w:type="dxa"/>
              <w:end w:w="120" w:type="dxa"/>
            </w:tcMar>
          </w:tcPr>
          <w:p>
            <w:pPr>
              <w:spacing w:after="40" w:line="360" w:lineRule="auto"/>
            </w:pPr>
            <w:r>
              <w:rPr>
                <w:rFonts w:ascii="Arial" w:hAnsi="Arial"/>
                <w:sz w:val="24"/>
              </w:rPr>
              <w:t>Employment and academic assistance not available.</w:t>
            </w:r>
          </w:p>
        </w:tc>
      </w:tr>
      <w:tr>
        <w:trPr>
          <w:cantSplit w:val="true"/>
        </w:trPr>
        <w:tc>
          <w:tcPr>
            <w:tcW w:type="dxa" w:w="2200"/>
            <w:vAlign w:val="center"/>
            <w:shd w:fill="F2F2F2"/>
            <w:tcMar>
              <w:top w:w="100" w:type="dxa"/>
              <w:start w:w="120" w:type="dxa"/>
              <w:bottom w:w="100" w:type="dxa"/>
              <w:end w:w="120" w:type="dxa"/>
            </w:tcMar>
          </w:tcPr>
          <w:p>
            <w:pPr>
              <w:spacing w:after="40" w:line="360" w:lineRule="auto"/>
            </w:pPr>
            <w:r>
              <w:rPr>
                <w:rFonts w:ascii="Arial" w:hAnsi="Arial"/>
                <w:sz w:val="24"/>
              </w:rPr>
              <w:t>Tutorful</w:t>
            </w:r>
          </w:p>
        </w:tc>
        <w:tc>
          <w:tcPr>
            <w:tcW w:type="dxa" w:w="2900"/>
            <w:vAlign w:val="center"/>
            <w:shd w:fill="F2F2F2"/>
            <w:tcMar>
              <w:top w:w="100" w:type="dxa"/>
              <w:start w:w="120" w:type="dxa"/>
              <w:bottom w:w="100" w:type="dxa"/>
              <w:end w:w="120" w:type="dxa"/>
            </w:tcMar>
          </w:tcPr>
          <w:p>
            <w:pPr>
              <w:spacing w:after="40" w:line="360" w:lineRule="auto"/>
            </w:pPr>
            <w:r>
              <w:rPr>
                <w:rFonts w:ascii="Arial" w:hAnsi="Arial"/>
                <w:sz w:val="24"/>
              </w:rPr>
              <w:t>Specialist tutoring marketplace.</w:t>
            </w:r>
          </w:p>
        </w:tc>
        <w:tc>
          <w:tcPr>
            <w:tcW w:type="dxa" w:w="4020"/>
            <w:vAlign w:val="center"/>
            <w:shd w:fill="F2F2F2"/>
            <w:tcMar>
              <w:top w:w="100" w:type="dxa"/>
              <w:start w:w="120" w:type="dxa"/>
              <w:bottom w:w="100" w:type="dxa"/>
              <w:end w:w="120" w:type="dxa"/>
            </w:tcMar>
          </w:tcPr>
          <w:p>
            <w:pPr>
              <w:spacing w:after="40" w:line="360" w:lineRule="auto"/>
            </w:pPr>
            <w:r>
              <w:rPr>
                <w:rFonts w:ascii="Arial" w:hAnsi="Arial"/>
                <w:sz w:val="24"/>
              </w:rPr>
              <w:t>No jobs, accommodation or textbook marketplace.</w:t>
            </w:r>
          </w:p>
        </w:tc>
      </w:tr>
      <w:tr>
        <w:trPr>
          <w:cantSplit w:val="true"/>
        </w:trPr>
        <w:tc>
          <w:tcPr>
            <w:tcW w:type="dxa" w:w="2200"/>
            <w:vAlign w:val="center"/>
            <w:tcMar>
              <w:top w:w="100" w:type="dxa"/>
              <w:start w:w="120" w:type="dxa"/>
              <w:bottom w:w="100" w:type="dxa"/>
              <w:end w:w="120" w:type="dxa"/>
            </w:tcMar>
          </w:tcPr>
          <w:p>
            <w:pPr>
              <w:spacing w:after="40" w:line="360" w:lineRule="auto"/>
            </w:pPr>
            <w:r>
              <w:rPr>
                <w:rFonts w:ascii="Arial" w:hAnsi="Arial"/>
                <w:sz w:val="24"/>
              </w:rPr>
              <w:t>Facebook Groups</w:t>
            </w:r>
          </w:p>
        </w:tc>
        <w:tc>
          <w:tcPr>
            <w:tcW w:type="dxa" w:w="2900"/>
            <w:vAlign w:val="center"/>
            <w:tcMar>
              <w:top w:w="100" w:type="dxa"/>
              <w:start w:w="120" w:type="dxa"/>
              <w:bottom w:w="100" w:type="dxa"/>
              <w:end w:w="120" w:type="dxa"/>
            </w:tcMar>
          </w:tcPr>
          <w:p>
            <w:pPr>
              <w:spacing w:after="40" w:line="360" w:lineRule="auto"/>
            </w:pPr>
            <w:r>
              <w:rPr>
                <w:rFonts w:ascii="Arial" w:hAnsi="Arial"/>
                <w:sz w:val="24"/>
              </w:rPr>
              <w:t>Free and locally familiar.</w:t>
            </w:r>
          </w:p>
        </w:tc>
        <w:tc>
          <w:tcPr>
            <w:tcW w:type="dxa" w:w="4020"/>
            <w:vAlign w:val="center"/>
            <w:tcMar>
              <w:top w:w="100" w:type="dxa"/>
              <w:start w:w="120" w:type="dxa"/>
              <w:bottom w:w="100" w:type="dxa"/>
              <w:end w:w="120" w:type="dxa"/>
            </w:tcMar>
          </w:tcPr>
          <w:p>
            <w:pPr>
              <w:spacing w:after="40" w:line="360" w:lineRule="auto"/>
            </w:pPr>
            <w:r>
              <w:rPr>
                <w:rFonts w:ascii="Arial" w:hAnsi="Arial"/>
                <w:sz w:val="24"/>
              </w:rPr>
              <w:t>Inconsistent verification and scam concerns.</w:t>
            </w:r>
          </w:p>
        </w:tc>
      </w:tr>
    </w:tbl>
    <w:p>
      <w:pPr>
        <w:spacing w:line="360" w:lineRule="auto"/>
      </w:pPr>
    </w:p>
    <w:p>
      <w:pPr>
        <w:spacing w:line="360" w:lineRule="auto" w:after="120"/>
      </w:pPr>
      <w:r>
        <w:rPr>
          <w:rFonts w:ascii="Arial" w:hAnsi="Arial"/>
          <w:sz w:val="24"/>
        </w:rPr>
        <w:t>StudentHub integrates these services in one student-focused platform. Its advantages are convenience, affordability, specialisation and stronger verification.</w:t>
      </w:r>
    </w:p>
    <w:p>
      <w:pPr>
        <w:spacing w:line="360" w:lineRule="auto"/>
      </w:pPr>
    </w:p>
    <w:p>
      <w:pPr>
        <w:pStyle w:val="Heading2"/>
        <w:keepNext/>
        <w:spacing w:before="140" w:after="100" w:line="360" w:lineRule="auto"/>
      </w:pPr>
      <w:r>
        <w:rPr>
          <w:rFonts w:ascii="Arial" w:hAnsi="Arial"/>
          <w:b/>
          <w:i w:val="0"/>
          <w:color w:val="000000"/>
          <w:sz w:val="24"/>
        </w:rPr>
        <w:t>2.3 PESTEL analysis</w:t>
      </w:r>
    </w:p>
    <w:p>
      <w:pPr>
        <w:keepNext/>
        <w:spacing w:line="360" w:lineRule="auto"/>
      </w:pPr>
      <w:r>
        <w:rPr>
          <w:rFonts w:ascii="Arial" w:hAnsi="Arial"/>
          <w:b/>
          <w:sz w:val="24"/>
        </w:rPr>
        <w:t>Table 4: PESTEL analysis</w:t>
      </w:r>
    </w:p>
    <w:tbl>
      <w:tblPr>
        <w:tblStyle w:val="TableGrid"/>
        <w:tblW w:type="dxa" w:w="9120"/>
        <w:jc w:val="center"/>
        <w:tblLayout w:type="fixed"/>
        <w:tblLook w:firstColumn="1" w:firstRow="1" w:lastColumn="0" w:lastRow="0" w:noHBand="0" w:noVBand="1" w:val="04A0"/>
      </w:tblPr>
      <w:tblGrid>
        <w:gridCol w:w="1400"/>
        <w:gridCol w:w="3700"/>
        <w:gridCol w:w="4020"/>
      </w:tblGrid>
      <w:tr>
        <w:trPr>
          <w:tblHeader w:val="true"/>
          <w:cantSplit w:val="true"/>
        </w:trPr>
        <w:tc>
          <w:tcPr>
            <w:tcW w:type="dxa" w:w="1400"/>
            <w:shd w:fill="000000"/>
            <w:vAlign w:val="center"/>
            <w:tcMar>
              <w:top w:w="100" w:type="dxa"/>
              <w:start w:w="120" w:type="dxa"/>
              <w:bottom w:w="100" w:type="dxa"/>
              <w:end w:w="120" w:type="dxa"/>
            </w:tcMar>
          </w:tcPr>
          <w:p>
            <w:pPr>
              <w:spacing w:line="360" w:lineRule="auto"/>
            </w:pPr>
            <w:r>
              <w:rPr>
                <w:rFonts w:ascii="Arial" w:hAnsi="Arial"/>
                <w:b/>
                <w:color w:val="FFFFFF"/>
                <w:sz w:val="24"/>
              </w:rPr>
              <w:t>Factor</w:t>
            </w:r>
          </w:p>
        </w:tc>
        <w:tc>
          <w:tcPr>
            <w:tcW w:type="dxa" w:w="3700"/>
            <w:shd w:fill="000000"/>
            <w:vAlign w:val="center"/>
            <w:tcMar>
              <w:top w:w="100" w:type="dxa"/>
              <w:start w:w="120" w:type="dxa"/>
              <w:bottom w:w="100" w:type="dxa"/>
              <w:end w:w="120" w:type="dxa"/>
            </w:tcMar>
          </w:tcPr>
          <w:p>
            <w:pPr>
              <w:spacing w:line="360" w:lineRule="auto"/>
            </w:pPr>
            <w:r>
              <w:rPr>
                <w:rFonts w:ascii="Arial" w:hAnsi="Arial"/>
                <w:b/>
                <w:color w:val="FFFFFF"/>
                <w:sz w:val="24"/>
              </w:rPr>
              <w:t>StudentHub issue</w:t>
            </w:r>
          </w:p>
        </w:tc>
        <w:tc>
          <w:tcPr>
            <w:tcW w:type="dxa" w:w="4020"/>
            <w:shd w:fill="000000"/>
            <w:vAlign w:val="center"/>
            <w:tcMar>
              <w:top w:w="100" w:type="dxa"/>
              <w:start w:w="120" w:type="dxa"/>
              <w:bottom w:w="100" w:type="dxa"/>
              <w:end w:w="120" w:type="dxa"/>
            </w:tcMar>
          </w:tcPr>
          <w:p>
            <w:pPr>
              <w:spacing w:line="360" w:lineRule="auto"/>
            </w:pPr>
            <w:r>
              <w:rPr>
                <w:rFonts w:ascii="Arial" w:hAnsi="Arial"/>
                <w:sz w:val="24"/>
              </w:rPr>
              <w:t>Implication for StudentHub</w:t>
            </w:r>
          </w:p>
        </w:tc>
      </w:tr>
      <w:tr>
        <w:trPr>
          <w:cantSplit w:val="true"/>
        </w:trPr>
        <w:tc>
          <w:tcPr>
            <w:tcW w:type="dxa" w:w="1400"/>
            <w:vAlign w:val="center"/>
            <w:tcMar>
              <w:top w:w="100" w:type="dxa"/>
              <w:start w:w="120" w:type="dxa"/>
              <w:bottom w:w="100" w:type="dxa"/>
              <w:end w:w="120" w:type="dxa"/>
            </w:tcMar>
          </w:tcPr>
          <w:p>
            <w:pPr>
              <w:spacing w:after="40" w:line="360" w:lineRule="auto"/>
            </w:pPr>
            <w:r>
              <w:rPr>
                <w:rFonts w:ascii="Arial" w:hAnsi="Arial"/>
                <w:sz w:val="24"/>
              </w:rPr>
              <w:t>Political</w:t>
            </w:r>
          </w:p>
        </w:tc>
        <w:tc>
          <w:tcPr>
            <w:tcW w:type="dxa" w:w="3700"/>
            <w:vAlign w:val="center"/>
            <w:tcMar>
              <w:top w:w="100" w:type="dxa"/>
              <w:start w:w="120" w:type="dxa"/>
              <w:bottom w:w="100" w:type="dxa"/>
              <w:end w:w="120" w:type="dxa"/>
            </w:tcMar>
          </w:tcPr>
          <w:p>
            <w:pPr>
              <w:spacing w:after="40" w:line="360" w:lineRule="auto"/>
            </w:pPr>
            <w:r>
              <w:rPr>
                <w:rFonts w:ascii="Arial" w:hAnsi="Arial"/>
                <w:sz w:val="24"/>
              </w:rPr>
              <w:t>Government support for entrepreneurship and digital business.</w:t>
            </w:r>
          </w:p>
        </w:tc>
        <w:tc>
          <w:tcPr>
            <w:tcW w:type="dxa" w:w="4020"/>
            <w:vAlign w:val="center"/>
            <w:tcMar>
              <w:top w:w="100" w:type="dxa"/>
              <w:start w:w="120" w:type="dxa"/>
              <w:bottom w:w="100" w:type="dxa"/>
              <w:end w:w="120" w:type="dxa"/>
            </w:tcMar>
          </w:tcPr>
          <w:p>
            <w:pPr>
              <w:spacing w:line="360" w:lineRule="auto"/>
            </w:pPr>
            <w:r>
              <w:rPr>
                <w:rFonts w:ascii="Arial" w:hAnsi="Arial"/>
                <w:sz w:val="24"/>
              </w:rPr>
              <w:t>Use relevant UK enterprise support and avoid unsupported claims.</w:t>
            </w:r>
          </w:p>
        </w:tc>
      </w:tr>
      <w:tr>
        <w:trPr>
          <w:cantSplit w:val="true"/>
        </w:trPr>
        <w:tc>
          <w:tcPr>
            <w:tcW w:type="dxa" w:w="1400"/>
            <w:vAlign w:val="center"/>
            <w:shd w:fill="F2F2F2"/>
            <w:tcMar>
              <w:top w:w="100" w:type="dxa"/>
              <w:start w:w="120" w:type="dxa"/>
              <w:bottom w:w="100" w:type="dxa"/>
              <w:end w:w="120" w:type="dxa"/>
            </w:tcMar>
          </w:tcPr>
          <w:p>
            <w:pPr>
              <w:spacing w:after="40" w:line="360" w:lineRule="auto"/>
            </w:pPr>
            <w:r>
              <w:rPr>
                <w:rFonts w:ascii="Arial" w:hAnsi="Arial"/>
                <w:sz w:val="24"/>
              </w:rPr>
              <w:t>Economic</w:t>
            </w:r>
          </w:p>
        </w:tc>
        <w:tc>
          <w:tcPr>
            <w:tcW w:type="dxa" w:w="3700"/>
            <w:vAlign w:val="center"/>
            <w:shd w:fill="F2F2F2"/>
            <w:tcMar>
              <w:top w:w="100" w:type="dxa"/>
              <w:start w:w="120" w:type="dxa"/>
              <w:bottom w:w="100" w:type="dxa"/>
              <w:end w:w="120" w:type="dxa"/>
            </w:tcMar>
          </w:tcPr>
          <w:p>
            <w:pPr>
              <w:spacing w:after="40" w:line="360" w:lineRule="auto"/>
            </w:pPr>
            <w:r>
              <w:rPr>
                <w:rFonts w:ascii="Arial" w:hAnsi="Arial"/>
                <w:sz w:val="24"/>
              </w:rPr>
              <w:t>Living-cost pressure increases demand for affordable services.</w:t>
            </w:r>
          </w:p>
        </w:tc>
        <w:tc>
          <w:tcPr>
            <w:tcW w:type="dxa" w:w="4020"/>
            <w:vAlign w:val="center"/>
            <w:shd w:fill="F2F2F2"/>
            <w:tcMar>
              <w:top w:w="100" w:type="dxa"/>
              <w:start w:w="120" w:type="dxa"/>
              <w:bottom w:w="100" w:type="dxa"/>
              <w:end w:w="120" w:type="dxa"/>
            </w:tcMar>
          </w:tcPr>
          <w:p>
            <w:pPr>
              <w:spacing w:line="360" w:lineRule="auto"/>
            </w:pPr>
            <w:r>
              <w:rPr>
                <w:rFonts w:ascii="Arial" w:hAnsi="Arial"/>
                <w:sz w:val="24"/>
              </w:rPr>
              <w:t>Affordability increases demand, but pressure may reduce premium spending (ONS, 2023).</w:t>
            </w:r>
          </w:p>
        </w:tc>
      </w:tr>
      <w:tr>
        <w:trPr>
          <w:cantSplit w:val="true"/>
        </w:trPr>
        <w:tc>
          <w:tcPr>
            <w:tcW w:type="dxa" w:w="1400"/>
            <w:vAlign w:val="center"/>
            <w:tcMar>
              <w:top w:w="100" w:type="dxa"/>
              <w:start w:w="120" w:type="dxa"/>
              <w:bottom w:w="100" w:type="dxa"/>
              <w:end w:w="120" w:type="dxa"/>
            </w:tcMar>
          </w:tcPr>
          <w:p>
            <w:pPr>
              <w:spacing w:after="40" w:line="360" w:lineRule="auto"/>
            </w:pPr>
            <w:r>
              <w:rPr>
                <w:rFonts w:ascii="Arial" w:hAnsi="Arial"/>
                <w:sz w:val="24"/>
              </w:rPr>
              <w:t>Social</w:t>
            </w:r>
          </w:p>
        </w:tc>
        <w:tc>
          <w:tcPr>
            <w:tcW w:type="dxa" w:w="3700"/>
            <w:vAlign w:val="center"/>
            <w:tcMar>
              <w:top w:w="100" w:type="dxa"/>
              <w:start w:w="120" w:type="dxa"/>
              <w:bottom w:w="100" w:type="dxa"/>
              <w:end w:w="120" w:type="dxa"/>
            </w:tcMar>
          </w:tcPr>
          <w:p>
            <w:pPr>
              <w:spacing w:after="40" w:line="360" w:lineRule="auto"/>
            </w:pPr>
            <w:r>
              <w:rPr>
                <w:rFonts w:ascii="Arial" w:hAnsi="Arial"/>
                <w:sz w:val="24"/>
              </w:rPr>
              <w:t>Students increasingly use digital platforms.</w:t>
            </w:r>
          </w:p>
        </w:tc>
        <w:tc>
          <w:tcPr>
            <w:tcW w:type="dxa" w:w="4020"/>
            <w:vAlign w:val="center"/>
            <w:tcMar>
              <w:top w:w="100" w:type="dxa"/>
              <w:start w:w="120" w:type="dxa"/>
              <w:bottom w:w="100" w:type="dxa"/>
              <w:end w:w="120" w:type="dxa"/>
            </w:tcMar>
          </w:tcPr>
          <w:p>
            <w:pPr>
              <w:spacing w:line="360" w:lineRule="auto"/>
            </w:pPr>
            <w:r>
              <w:rPr>
                <w:rFonts w:ascii="Arial" w:hAnsi="Arial"/>
                <w:sz w:val="24"/>
              </w:rPr>
              <w:t>Build inclusion and trust through verification and student partnerships.</w:t>
            </w:r>
          </w:p>
        </w:tc>
      </w:tr>
      <w:tr>
        <w:trPr>
          <w:cantSplit w:val="true"/>
        </w:trPr>
        <w:tc>
          <w:tcPr>
            <w:tcW w:type="dxa" w:w="1400"/>
            <w:vAlign w:val="center"/>
            <w:shd w:fill="F2F2F2"/>
            <w:tcMar>
              <w:top w:w="100" w:type="dxa"/>
              <w:start w:w="120" w:type="dxa"/>
              <w:bottom w:w="100" w:type="dxa"/>
              <w:end w:w="120" w:type="dxa"/>
            </w:tcMar>
          </w:tcPr>
          <w:p>
            <w:pPr>
              <w:spacing w:after="40" w:line="360" w:lineRule="auto"/>
            </w:pPr>
            <w:r>
              <w:rPr>
                <w:rFonts w:ascii="Arial" w:hAnsi="Arial"/>
                <w:sz w:val="24"/>
              </w:rPr>
              <w:t>Technological</w:t>
            </w:r>
          </w:p>
        </w:tc>
        <w:tc>
          <w:tcPr>
            <w:tcW w:type="dxa" w:w="3700"/>
            <w:vAlign w:val="center"/>
            <w:shd w:fill="F2F2F2"/>
            <w:tcMar>
              <w:top w:w="100" w:type="dxa"/>
              <w:start w:w="120" w:type="dxa"/>
              <w:bottom w:w="100" w:type="dxa"/>
              <w:end w:w="120" w:type="dxa"/>
            </w:tcMar>
          </w:tcPr>
          <w:p>
            <w:pPr>
              <w:spacing w:after="40" w:line="360" w:lineRule="auto"/>
            </w:pPr>
            <w:r>
              <w:rPr>
                <w:rFonts w:ascii="Arial" w:hAnsi="Arial"/>
                <w:sz w:val="24"/>
              </w:rPr>
              <w:t>Mobile apps and AI recommendations enable personalised matching.</w:t>
            </w:r>
          </w:p>
        </w:tc>
        <w:tc>
          <w:tcPr>
            <w:tcW w:type="dxa" w:w="4020"/>
            <w:vAlign w:val="center"/>
            <w:shd w:fill="F2F2F2"/>
            <w:tcMar>
              <w:top w:w="100" w:type="dxa"/>
              <w:start w:w="120" w:type="dxa"/>
              <w:bottom w:w="100" w:type="dxa"/>
              <w:end w:w="120" w:type="dxa"/>
            </w:tcMar>
          </w:tcPr>
          <w:p>
            <w:pPr>
              <w:spacing w:line="360" w:lineRule="auto"/>
            </w:pPr>
            <w:r>
              <w:rPr>
                <w:rFonts w:ascii="Arial" w:hAnsi="Arial"/>
                <w:sz w:val="24"/>
              </w:rPr>
              <w:t>Introduce AI only when quality data exists; prioritise cybersecurity.</w:t>
            </w:r>
          </w:p>
        </w:tc>
      </w:tr>
      <w:tr>
        <w:trPr>
          <w:cantSplit w:val="true"/>
        </w:trPr>
        <w:tc>
          <w:tcPr>
            <w:tcW w:type="dxa" w:w="1400"/>
            <w:vAlign w:val="center"/>
            <w:tcMar>
              <w:top w:w="100" w:type="dxa"/>
              <w:start w:w="120" w:type="dxa"/>
              <w:bottom w:w="100" w:type="dxa"/>
              <w:end w:w="120" w:type="dxa"/>
            </w:tcMar>
          </w:tcPr>
          <w:p>
            <w:pPr>
              <w:spacing w:after="40" w:line="360" w:lineRule="auto"/>
            </w:pPr>
            <w:r>
              <w:rPr>
                <w:rFonts w:ascii="Arial" w:hAnsi="Arial"/>
                <w:sz w:val="24"/>
              </w:rPr>
              <w:t>Environmental</w:t>
            </w:r>
          </w:p>
        </w:tc>
        <w:tc>
          <w:tcPr>
            <w:tcW w:type="dxa" w:w="3700"/>
            <w:vAlign w:val="center"/>
            <w:tcMar>
              <w:top w:w="100" w:type="dxa"/>
              <w:start w:w="120" w:type="dxa"/>
              <w:bottom w:w="100" w:type="dxa"/>
              <w:end w:w="120" w:type="dxa"/>
            </w:tcMar>
          </w:tcPr>
          <w:p>
            <w:pPr>
              <w:spacing w:after="40" w:line="360" w:lineRule="auto"/>
            </w:pPr>
            <w:r>
              <w:rPr>
                <w:rFonts w:ascii="Arial" w:hAnsi="Arial"/>
                <w:sz w:val="24"/>
              </w:rPr>
              <w:t>Second-hand textbook reuse can reduce waste.</w:t>
            </w:r>
          </w:p>
        </w:tc>
        <w:tc>
          <w:tcPr>
            <w:tcW w:type="dxa" w:w="4020"/>
            <w:vAlign w:val="center"/>
            <w:tcMar>
              <w:top w:w="100" w:type="dxa"/>
              <w:start w:w="120" w:type="dxa"/>
              <w:bottom w:w="100" w:type="dxa"/>
              <w:end w:w="120" w:type="dxa"/>
            </w:tcMar>
          </w:tcPr>
          <w:p>
            <w:pPr>
              <w:spacing w:line="360" w:lineRule="auto"/>
            </w:pPr>
            <w:r>
              <w:rPr>
                <w:rFonts w:ascii="Arial" w:hAnsi="Arial"/>
                <w:sz w:val="24"/>
              </w:rPr>
              <w:t>Measure textbook reuse and avoid unverified carbon claims.</w:t>
            </w:r>
          </w:p>
        </w:tc>
      </w:tr>
      <w:tr>
        <w:trPr>
          <w:cantSplit w:val="true"/>
        </w:trPr>
        <w:tc>
          <w:tcPr>
            <w:tcW w:type="dxa" w:w="1400"/>
            <w:vAlign w:val="center"/>
            <w:shd w:fill="F2F2F2"/>
            <w:tcMar>
              <w:top w:w="100" w:type="dxa"/>
              <w:start w:w="120" w:type="dxa"/>
              <w:bottom w:w="100" w:type="dxa"/>
              <w:end w:w="120" w:type="dxa"/>
            </w:tcMar>
          </w:tcPr>
          <w:p>
            <w:pPr>
              <w:spacing w:after="40" w:line="360" w:lineRule="auto"/>
            </w:pPr>
            <w:r>
              <w:rPr>
                <w:rFonts w:ascii="Arial" w:hAnsi="Arial"/>
                <w:sz w:val="24"/>
              </w:rPr>
              <w:t>Legal</w:t>
            </w:r>
          </w:p>
        </w:tc>
        <w:tc>
          <w:tcPr>
            <w:tcW w:type="dxa" w:w="3700"/>
            <w:vAlign w:val="center"/>
            <w:shd w:fill="F2F2F2"/>
            <w:tcMar>
              <w:top w:w="100" w:type="dxa"/>
              <w:start w:w="120" w:type="dxa"/>
              <w:bottom w:w="100" w:type="dxa"/>
              <w:end w:w="120" w:type="dxa"/>
            </w:tcMar>
          </w:tcPr>
          <w:p>
            <w:pPr>
              <w:spacing w:after="40" w:line="360" w:lineRule="auto"/>
            </w:pPr>
            <w:r>
              <w:rPr>
                <w:rFonts w:ascii="Arial" w:hAnsi="Arial"/>
                <w:sz w:val="24"/>
              </w:rPr>
              <w:t>UK GDPR and consumer-protection duties apply.</w:t>
            </w:r>
          </w:p>
        </w:tc>
        <w:tc>
          <w:tcPr>
            <w:tcW w:type="dxa" w:w="4020"/>
            <w:vAlign w:val="center"/>
            <w:shd w:fill="F2F2F2"/>
            <w:tcMar>
              <w:top w:w="100" w:type="dxa"/>
              <w:start w:w="120" w:type="dxa"/>
              <w:bottom w:w="100" w:type="dxa"/>
              <w:end w:w="120" w:type="dxa"/>
            </w:tcMar>
          </w:tcPr>
          <w:p>
            <w:pPr>
              <w:spacing w:line="360" w:lineRule="auto"/>
            </w:pPr>
            <w:r>
              <w:rPr>
                <w:rFonts w:ascii="Arial" w:hAnsi="Arial"/>
                <w:sz w:val="24"/>
              </w:rPr>
              <w:t>Apply privacy by design, data minimisation and clear complaints procedures (ICO, 2026).</w:t>
            </w:r>
          </w:p>
        </w:tc>
      </w:tr>
    </w:tbl>
    <w:p>
      <w:pPr>
        <w:spacing w:line="360" w:lineRule="auto"/>
      </w:pPr>
    </w:p>
    <w:p>
      <w:pPr>
        <w:pStyle w:val="Heading2"/>
        <w:keepNext/>
        <w:spacing w:before="140" w:after="100" w:line="360" w:lineRule="auto"/>
      </w:pPr>
      <w:r>
        <w:rPr>
          <w:rFonts w:ascii="Arial" w:hAnsi="Arial"/>
          <w:b/>
          <w:i w:val="0"/>
          <w:color w:val="000000"/>
          <w:sz w:val="24"/>
        </w:rPr>
        <w:t>2.4 SWOT analysis</w:t>
      </w:r>
    </w:p>
    <w:p>
      <w:pPr>
        <w:keepNext/>
        <w:spacing w:line="360" w:lineRule="auto"/>
      </w:pPr>
      <w:r>
        <w:rPr>
          <w:rFonts w:ascii="Arial" w:hAnsi="Arial"/>
          <w:b/>
          <w:sz w:val="24"/>
        </w:rPr>
        <w:t>Table 5: SWOT analysis</w:t>
      </w:r>
    </w:p>
    <w:tbl>
      <w:tblPr>
        <w:tblStyle w:val="TableGrid"/>
        <w:tblW w:type="dxa" w:w="9120"/>
        <w:jc w:val="center"/>
        <w:tblLayout w:type="fixed"/>
        <w:tblLook w:firstColumn="1" w:firstRow="1" w:lastColumn="0" w:lastRow="0" w:noHBand="0" w:noVBand="1" w:val="04A0"/>
      </w:tblPr>
      <w:tblGrid>
        <w:gridCol w:w="2280"/>
        <w:gridCol w:w="2280"/>
        <w:gridCol w:w="2280"/>
        <w:gridCol w:w="2280"/>
      </w:tblGrid>
      <w:tr>
        <w:trPr>
          <w:tblHeader w:val="true"/>
          <w:cantSplit w:val="true"/>
        </w:trPr>
        <w:tc>
          <w:tcPr>
            <w:tcW w:type="dxa" w:w="2280"/>
            <w:shd w:fill="000000"/>
            <w:vAlign w:val="center"/>
            <w:tcMar>
              <w:top w:w="100" w:type="dxa"/>
              <w:start w:w="120" w:type="dxa"/>
              <w:bottom w:w="100" w:type="dxa"/>
              <w:end w:w="120" w:type="dxa"/>
            </w:tcMar>
          </w:tcPr>
          <w:p>
            <w:pPr>
              <w:spacing w:line="360" w:lineRule="auto"/>
            </w:pPr>
            <w:r>
              <w:rPr>
                <w:rFonts w:ascii="Arial" w:hAnsi="Arial"/>
                <w:b/>
                <w:color w:val="FFFFFF"/>
                <w:sz w:val="24"/>
              </w:rPr>
              <w:t>Strengths</w:t>
            </w:r>
          </w:p>
        </w:tc>
        <w:tc>
          <w:tcPr>
            <w:tcW w:type="dxa" w:w="2280"/>
            <w:shd w:fill="000000"/>
            <w:vAlign w:val="center"/>
            <w:tcMar>
              <w:top w:w="100" w:type="dxa"/>
              <w:start w:w="120" w:type="dxa"/>
              <w:bottom w:w="100" w:type="dxa"/>
              <w:end w:w="120" w:type="dxa"/>
            </w:tcMar>
          </w:tcPr>
          <w:p>
            <w:pPr>
              <w:spacing w:line="360" w:lineRule="auto"/>
            </w:pPr>
            <w:r>
              <w:rPr>
                <w:rFonts w:ascii="Arial" w:hAnsi="Arial"/>
                <w:b/>
                <w:color w:val="FFFFFF"/>
                <w:sz w:val="24"/>
              </w:rPr>
              <w:t>Weaknesses</w:t>
            </w:r>
          </w:p>
        </w:tc>
        <w:tc>
          <w:tcPr>
            <w:tcW w:type="dxa" w:w="2280"/>
            <w:shd w:fill="000000"/>
            <w:vAlign w:val="center"/>
            <w:tcMar>
              <w:top w:w="100" w:type="dxa"/>
              <w:start w:w="120" w:type="dxa"/>
              <w:bottom w:w="100" w:type="dxa"/>
              <w:end w:w="120" w:type="dxa"/>
            </w:tcMar>
          </w:tcPr>
          <w:p>
            <w:pPr>
              <w:spacing w:line="360" w:lineRule="auto"/>
            </w:pPr>
            <w:r>
              <w:rPr>
                <w:rFonts w:ascii="Arial" w:hAnsi="Arial"/>
                <w:b/>
                <w:color w:val="FFFFFF"/>
                <w:sz w:val="24"/>
              </w:rPr>
              <w:t>Opportunities</w:t>
            </w:r>
          </w:p>
        </w:tc>
        <w:tc>
          <w:tcPr>
            <w:tcW w:type="dxa" w:w="2280"/>
            <w:shd w:fill="000000"/>
            <w:vAlign w:val="center"/>
            <w:tcMar>
              <w:top w:w="100" w:type="dxa"/>
              <w:start w:w="120" w:type="dxa"/>
              <w:bottom w:w="100" w:type="dxa"/>
              <w:end w:w="120" w:type="dxa"/>
            </w:tcMar>
          </w:tcPr>
          <w:p>
            <w:pPr>
              <w:spacing w:line="360" w:lineRule="auto"/>
            </w:pPr>
            <w:r>
              <w:rPr>
                <w:rFonts w:ascii="Arial" w:hAnsi="Arial"/>
                <w:b/>
                <w:color w:val="FFFFFF"/>
                <w:sz w:val="24"/>
              </w:rPr>
              <w:t>Threats</w:t>
            </w:r>
          </w:p>
        </w:tc>
      </w:tr>
      <w:tr>
        <w:trPr>
          <w:cantSplit w:val="true"/>
        </w:trPr>
        <w:tc>
          <w:tcPr>
            <w:tcW w:type="dxa" w:w="2280"/>
            <w:vAlign w:val="center"/>
            <w:tcMar>
              <w:top w:w="100" w:type="dxa"/>
              <w:start w:w="120" w:type="dxa"/>
              <w:bottom w:w="100" w:type="dxa"/>
              <w:end w:w="120" w:type="dxa"/>
            </w:tcMar>
          </w:tcPr>
          <w:p>
            <w:pPr>
              <w:spacing w:after="40" w:line="360" w:lineRule="auto"/>
            </w:pPr>
            <w:r>
              <w:rPr>
                <w:rFonts w:ascii="Arial" w:hAnsi="Arial"/>
                <w:sz w:val="24"/>
              </w:rPr>
              <w:t>Large student audience; income stream diversification; mobile-oriented product.</w:t>
            </w:r>
          </w:p>
        </w:tc>
        <w:tc>
          <w:tcPr>
            <w:tcW w:type="dxa" w:w="2280"/>
            <w:vAlign w:val="center"/>
            <w:tcMar>
              <w:top w:w="100" w:type="dxa"/>
              <w:start w:w="120" w:type="dxa"/>
              <w:bottom w:w="100" w:type="dxa"/>
              <w:end w:w="120" w:type="dxa"/>
            </w:tcMar>
          </w:tcPr>
          <w:p>
            <w:pPr>
              <w:spacing w:after="40" w:line="360" w:lineRule="auto"/>
            </w:pPr>
            <w:r>
              <w:rPr>
                <w:rFonts w:ascii="Arial" w:hAnsi="Arial"/>
                <w:sz w:val="24"/>
              </w:rPr>
              <w:t>Development costs; marketing investment; no established network.</w:t>
            </w:r>
          </w:p>
        </w:tc>
        <w:tc>
          <w:tcPr>
            <w:tcW w:type="dxa" w:w="2280"/>
            <w:vAlign w:val="center"/>
            <w:tcMar>
              <w:top w:w="100" w:type="dxa"/>
              <w:start w:w="120" w:type="dxa"/>
              <w:bottom w:w="100" w:type="dxa"/>
              <w:end w:w="120" w:type="dxa"/>
            </w:tcMar>
          </w:tcPr>
          <w:p>
            <w:pPr>
              <w:spacing w:after="40" w:line="360" w:lineRule="auto"/>
            </w:pPr>
            <w:r>
              <w:rPr>
                <w:rFonts w:ascii="Arial" w:hAnsi="Arial"/>
                <w:sz w:val="24"/>
              </w:rPr>
              <w:t>University expansion; partnerships; future career and finance tools.</w:t>
            </w:r>
          </w:p>
        </w:tc>
        <w:tc>
          <w:tcPr>
            <w:tcW w:type="dxa" w:w="2280"/>
            <w:vAlign w:val="center"/>
            <w:tcMar>
              <w:top w:w="100" w:type="dxa"/>
              <w:start w:w="120" w:type="dxa"/>
              <w:bottom w:w="100" w:type="dxa"/>
              <w:end w:w="120" w:type="dxa"/>
            </w:tcMar>
          </w:tcPr>
          <w:p>
            <w:pPr>
              <w:spacing w:after="40" w:line="360" w:lineRule="auto"/>
            </w:pPr>
            <w:r>
              <w:rPr>
                <w:rFonts w:ascii="Arial" w:hAnsi="Arial"/>
                <w:sz w:val="24"/>
              </w:rPr>
              <w:t>Established platforms; recession; new competitors; regulation and technology change.</w:t>
            </w:r>
          </w:p>
        </w:tc>
      </w:tr>
    </w:tbl>
    <w:p>
      <w:pPr>
        <w:spacing w:line="360" w:lineRule="auto"/>
      </w:pPr>
    </w:p>
    <w:p>
      <w:pPr>
        <w:pStyle w:val="Heading1"/>
        <w:keepNext/>
        <w:spacing w:before="200" w:after="100" w:line="360" w:lineRule="auto"/>
      </w:pPr>
      <w:r>
        <w:rPr>
          <w:rFonts w:ascii="Arial" w:hAnsi="Arial"/>
          <w:b/>
          <w:i w:val="0"/>
          <w:color w:val="000000"/>
          <w:sz w:val="24"/>
        </w:rPr>
        <w:t>3. Marketing Communications</w:t>
      </w:r>
    </w:p>
    <w:p>
      <w:pPr>
        <w:pStyle w:val="Heading2"/>
        <w:keepNext/>
        <w:spacing w:before="140" w:after="100" w:line="360" w:lineRule="auto"/>
      </w:pPr>
      <w:r>
        <w:rPr>
          <w:rFonts w:ascii="Arial" w:hAnsi="Arial"/>
          <w:b/>
          <w:i w:val="0"/>
          <w:color w:val="000000"/>
          <w:sz w:val="24"/>
        </w:rPr>
        <w:t>3.1 Objective and marketing mix</w:t>
      </w:r>
    </w:p>
    <w:p>
      <w:pPr>
        <w:spacing w:line="360" w:lineRule="auto" w:after="120"/>
      </w:pPr>
      <w:r>
        <w:rPr>
          <w:rFonts w:ascii="Arial" w:hAnsi="Arial"/>
          <w:sz w:val="24"/>
        </w:rPr>
        <w:t>Marketing objective: Register 1,000 verified student users within 12 months.</w:t>
      </w:r>
    </w:p>
    <w:p>
      <w:pPr>
        <w:keepNext/>
        <w:spacing w:line="360" w:lineRule="auto"/>
      </w:pPr>
      <w:r>
        <w:rPr>
          <w:rFonts w:ascii="Arial" w:hAnsi="Arial"/>
          <w:b/>
          <w:sz w:val="24"/>
        </w:rPr>
        <w:t>Table 6: Marketing mix</w:t>
      </w:r>
    </w:p>
    <w:tbl>
      <w:tblPr>
        <w:tblStyle w:val="TableGrid"/>
        <w:tblW w:type="dxa" w:w="9120"/>
        <w:jc w:val="center"/>
        <w:tblLayout w:type="fixed"/>
        <w:tblLook w:firstColumn="1" w:firstRow="1" w:lastColumn="0" w:lastRow="0" w:noHBand="0" w:noVBand="1" w:val="04A0"/>
      </w:tblPr>
      <w:tblGrid>
        <w:gridCol w:w="1600"/>
        <w:gridCol w:w="7520"/>
      </w:tblGrid>
      <w:tr>
        <w:trPr>
          <w:tblHeader w:val="true"/>
          <w:cantSplit w:val="true"/>
        </w:trPr>
        <w:tc>
          <w:tcPr>
            <w:tcW w:type="dxa" w:w="1600"/>
            <w:shd w:fill="000000"/>
            <w:vAlign w:val="center"/>
            <w:tcMar>
              <w:top w:w="100" w:type="dxa"/>
              <w:start w:w="120" w:type="dxa"/>
              <w:bottom w:w="100" w:type="dxa"/>
              <w:end w:w="120" w:type="dxa"/>
            </w:tcMar>
          </w:tcPr>
          <w:p>
            <w:pPr>
              <w:spacing w:line="360" w:lineRule="auto"/>
            </w:pPr>
            <w:r>
              <w:rPr>
                <w:rFonts w:ascii="Arial" w:hAnsi="Arial"/>
                <w:b/>
                <w:color w:val="FFFFFF"/>
                <w:sz w:val="24"/>
              </w:rPr>
              <w:t>4P</w:t>
            </w:r>
          </w:p>
        </w:tc>
        <w:tc>
          <w:tcPr>
            <w:tcW w:type="dxa" w:w="7520"/>
            <w:shd w:fill="000000"/>
            <w:vAlign w:val="center"/>
            <w:tcMar>
              <w:top w:w="100" w:type="dxa"/>
              <w:start w:w="120" w:type="dxa"/>
              <w:bottom w:w="100" w:type="dxa"/>
              <w:end w:w="120" w:type="dxa"/>
            </w:tcMar>
          </w:tcPr>
          <w:p>
            <w:pPr>
              <w:spacing w:line="360" w:lineRule="auto"/>
            </w:pPr>
            <w:r>
              <w:rPr>
                <w:rFonts w:ascii="Arial" w:hAnsi="Arial"/>
                <w:b/>
                <w:color w:val="FFFFFF"/>
                <w:sz w:val="24"/>
              </w:rPr>
              <w:t>StudentHub approach</w:t>
            </w:r>
          </w:p>
        </w:tc>
      </w:tr>
      <w:tr>
        <w:trPr>
          <w:cantSplit w:val="true"/>
        </w:trPr>
        <w:tc>
          <w:tcPr>
            <w:tcW w:type="dxa" w:w="1600"/>
            <w:vAlign w:val="center"/>
            <w:tcMar>
              <w:top w:w="100" w:type="dxa"/>
              <w:start w:w="120" w:type="dxa"/>
              <w:bottom w:w="100" w:type="dxa"/>
              <w:end w:w="120" w:type="dxa"/>
            </w:tcMar>
          </w:tcPr>
          <w:p>
            <w:pPr>
              <w:spacing w:after="40" w:line="360" w:lineRule="auto"/>
            </w:pPr>
            <w:r>
              <w:rPr>
                <w:rFonts w:ascii="Arial" w:hAnsi="Arial"/>
                <w:sz w:val="24"/>
              </w:rPr>
              <w:t>Product</w:t>
            </w:r>
          </w:p>
        </w:tc>
        <w:tc>
          <w:tcPr>
            <w:tcW w:type="dxa" w:w="7520"/>
            <w:vAlign w:val="center"/>
            <w:tcMar>
              <w:top w:w="100" w:type="dxa"/>
              <w:start w:w="120" w:type="dxa"/>
              <w:bottom w:w="100" w:type="dxa"/>
              <w:end w:w="120" w:type="dxa"/>
            </w:tcMar>
          </w:tcPr>
          <w:p>
            <w:pPr>
              <w:spacing w:after="40" w:line="360" w:lineRule="auto"/>
            </w:pPr>
            <w:r>
              <w:rPr>
                <w:rFonts w:ascii="Arial" w:hAnsi="Arial"/>
                <w:sz w:val="24"/>
              </w:rPr>
              <w:t>Jobs, accommodation, tutoring, study groups and textbook resale in one verified platform.</w:t>
            </w:r>
          </w:p>
        </w:tc>
      </w:tr>
      <w:tr>
        <w:trPr>
          <w:cantSplit w:val="true"/>
        </w:trPr>
        <w:tc>
          <w:tcPr>
            <w:tcW w:type="dxa" w:w="1600"/>
            <w:vAlign w:val="center"/>
            <w:shd w:fill="F2F2F2"/>
            <w:tcMar>
              <w:top w:w="100" w:type="dxa"/>
              <w:start w:w="120" w:type="dxa"/>
              <w:bottom w:w="100" w:type="dxa"/>
              <w:end w:w="120" w:type="dxa"/>
            </w:tcMar>
          </w:tcPr>
          <w:p>
            <w:pPr>
              <w:spacing w:after="40" w:line="360" w:lineRule="auto"/>
            </w:pPr>
            <w:r>
              <w:rPr>
                <w:rFonts w:ascii="Arial" w:hAnsi="Arial"/>
                <w:sz w:val="24"/>
              </w:rPr>
              <w:t>Price</w:t>
            </w:r>
          </w:p>
        </w:tc>
        <w:tc>
          <w:tcPr>
            <w:tcW w:type="dxa" w:w="7520"/>
            <w:vAlign w:val="center"/>
            <w:shd w:fill="F2F2F2"/>
            <w:tcMar>
              <w:top w:w="100" w:type="dxa"/>
              <w:start w:w="120" w:type="dxa"/>
              <w:bottom w:w="100" w:type="dxa"/>
              <w:end w:w="120" w:type="dxa"/>
            </w:tcMar>
          </w:tcPr>
          <w:p>
            <w:pPr>
              <w:spacing w:after="40" w:line="360" w:lineRule="auto"/>
            </w:pPr>
            <w:r>
              <w:rPr>
                <w:rFonts w:ascii="Arial" w:hAnsi="Arial"/>
                <w:sz w:val="24"/>
              </w:rPr>
              <w:t>Basic package is free; premium subscription for £4.99 a month.</w:t>
            </w:r>
          </w:p>
        </w:tc>
      </w:tr>
      <w:tr>
        <w:trPr>
          <w:cantSplit w:val="true"/>
        </w:trPr>
        <w:tc>
          <w:tcPr>
            <w:tcW w:type="dxa" w:w="1600"/>
            <w:vAlign w:val="center"/>
            <w:tcMar>
              <w:top w:w="100" w:type="dxa"/>
              <w:start w:w="120" w:type="dxa"/>
              <w:bottom w:w="100" w:type="dxa"/>
              <w:end w:w="120" w:type="dxa"/>
            </w:tcMar>
          </w:tcPr>
          <w:p>
            <w:pPr>
              <w:spacing w:after="40" w:line="360" w:lineRule="auto"/>
            </w:pPr>
            <w:r>
              <w:rPr>
                <w:rFonts w:ascii="Arial" w:hAnsi="Arial"/>
                <w:sz w:val="24"/>
              </w:rPr>
              <w:t>Place</w:t>
            </w:r>
          </w:p>
        </w:tc>
        <w:tc>
          <w:tcPr>
            <w:tcW w:type="dxa" w:w="7520"/>
            <w:vAlign w:val="center"/>
            <w:tcMar>
              <w:top w:w="100" w:type="dxa"/>
              <w:start w:w="120" w:type="dxa"/>
              <w:bottom w:w="100" w:type="dxa"/>
              <w:end w:w="120" w:type="dxa"/>
            </w:tcMar>
          </w:tcPr>
          <w:p>
            <w:pPr>
              <w:spacing w:after="40" w:line="360" w:lineRule="auto"/>
            </w:pPr>
            <w:r>
              <w:rPr>
                <w:rFonts w:ascii="Arial" w:hAnsi="Arial"/>
                <w:sz w:val="24"/>
              </w:rPr>
              <w:t>Product is mobile application and website, available anytime online.</w:t>
            </w:r>
          </w:p>
        </w:tc>
      </w:tr>
      <w:tr>
        <w:trPr>
          <w:cantSplit w:val="true"/>
        </w:trPr>
        <w:tc>
          <w:tcPr>
            <w:tcW w:type="dxa" w:w="1600"/>
            <w:vAlign w:val="center"/>
            <w:shd w:fill="F2F2F2"/>
            <w:tcMar>
              <w:top w:w="100" w:type="dxa"/>
              <w:start w:w="120" w:type="dxa"/>
              <w:bottom w:w="100" w:type="dxa"/>
              <w:end w:w="120" w:type="dxa"/>
            </w:tcMar>
          </w:tcPr>
          <w:p>
            <w:pPr>
              <w:spacing w:after="40" w:line="360" w:lineRule="auto"/>
            </w:pPr>
            <w:r>
              <w:rPr>
                <w:rFonts w:ascii="Arial" w:hAnsi="Arial"/>
                <w:sz w:val="24"/>
              </w:rPr>
              <w:t>Promotion</w:t>
            </w:r>
          </w:p>
        </w:tc>
        <w:tc>
          <w:tcPr>
            <w:tcW w:type="dxa" w:w="7520"/>
            <w:vAlign w:val="center"/>
            <w:shd w:fill="F2F2F2"/>
            <w:tcMar>
              <w:top w:w="100" w:type="dxa"/>
              <w:start w:w="120" w:type="dxa"/>
              <w:bottom w:w="100" w:type="dxa"/>
              <w:end w:w="120" w:type="dxa"/>
            </w:tcMar>
          </w:tcPr>
          <w:p>
            <w:pPr>
              <w:spacing w:after="40" w:line="360" w:lineRule="auto"/>
            </w:pPr>
            <w:r>
              <w:rPr>
                <w:rFonts w:ascii="Arial" w:hAnsi="Arial"/>
                <w:sz w:val="24"/>
              </w:rPr>
              <w:t>Social media marketing, student ambassadors, university partnerships, referral program and fresher events.</w:t>
            </w:r>
          </w:p>
        </w:tc>
      </w:tr>
    </w:tbl>
    <w:p>
      <w:pPr>
        <w:spacing w:line="360" w:lineRule="auto"/>
      </w:pPr>
    </w:p>
    <w:p>
      <w:pPr>
        <w:pStyle w:val="Heading2"/>
        <w:keepNext/>
        <w:spacing w:before="140" w:after="100" w:line="360" w:lineRule="auto"/>
      </w:pPr>
      <w:r>
        <w:rPr>
          <w:rFonts w:ascii="Arial" w:hAnsi="Arial"/>
          <w:b/>
          <w:i w:val="0"/>
          <w:color w:val="000000"/>
          <w:sz w:val="24"/>
        </w:rPr>
        <w:t>3.2 Promotional strategy</w:t>
      </w:r>
    </w:p>
    <w:p>
      <w:pPr>
        <w:spacing w:line="360" w:lineRule="auto" w:after="120"/>
      </w:pPr>
      <w:r>
        <w:rPr>
          <w:rFonts w:ascii="Arial" w:hAnsi="Arial"/>
          <w:sz w:val="24"/>
        </w:rPr>
        <w:t>StudentHub will use social media, campus ambassadors and university partnerships to build awareness efficiently. A referral programme will encourage word of mouth, while Freshers' Week events will provide direct access to the target market. This integrated promotion reflects the need to coordinate communication channels around customer value (Kotler et al., 2020).</w:t>
      </w:r>
    </w:p>
    <w:p>
      <w:pPr>
        <w:keepNext/>
        <w:spacing w:line="360" w:lineRule="auto"/>
      </w:pPr>
      <w:r>
        <w:rPr>
          <w:rFonts w:ascii="Arial" w:hAnsi="Arial"/>
          <w:b/>
          <w:sz w:val="24"/>
        </w:rPr>
        <w:t>Table 7: Marketing budget</w:t>
      </w:r>
    </w:p>
    <w:tbl>
      <w:tblPr>
        <w:tblStyle w:val="TableGrid"/>
        <w:tblW w:type="dxa" w:w="9120"/>
        <w:jc w:val="center"/>
        <w:tblLayout w:type="fixed"/>
        <w:tblLook w:firstColumn="1" w:firstRow="1" w:lastColumn="0" w:lastRow="0" w:noHBand="0" w:noVBand="1" w:val="04A0"/>
      </w:tblPr>
      <w:tblGrid>
        <w:gridCol w:w="4800"/>
        <w:gridCol w:w="2200"/>
        <w:gridCol w:w="2120"/>
      </w:tblGrid>
      <w:tr>
        <w:trPr>
          <w:tblHeader w:val="true"/>
          <w:cantSplit w:val="true"/>
        </w:trPr>
        <w:tc>
          <w:tcPr>
            <w:tcW w:type="dxa" w:w="4800"/>
            <w:shd w:fill="000000"/>
            <w:vAlign w:val="center"/>
            <w:tcMar>
              <w:top w:w="100" w:type="dxa"/>
              <w:start w:w="120" w:type="dxa"/>
              <w:bottom w:w="100" w:type="dxa"/>
              <w:end w:w="120" w:type="dxa"/>
            </w:tcMar>
          </w:tcPr>
          <w:p>
            <w:pPr>
              <w:spacing w:line="360" w:lineRule="auto"/>
            </w:pPr>
            <w:r>
              <w:rPr>
                <w:rFonts w:ascii="Arial" w:hAnsi="Arial"/>
                <w:b/>
                <w:color w:val="FFFFFF"/>
                <w:sz w:val="24"/>
              </w:rPr>
              <w:t>Activity</w:t>
            </w:r>
          </w:p>
        </w:tc>
        <w:tc>
          <w:tcPr>
            <w:tcW w:type="dxa" w:w="2200"/>
            <w:shd w:fill="000000"/>
            <w:vAlign w:val="center"/>
            <w:tcMar>
              <w:top w:w="100" w:type="dxa"/>
              <w:start w:w="120" w:type="dxa"/>
              <w:bottom w:w="100" w:type="dxa"/>
              <w:end w:w="120" w:type="dxa"/>
            </w:tcMar>
          </w:tcPr>
          <w:p>
            <w:pPr>
              <w:spacing w:line="360" w:lineRule="auto"/>
            </w:pPr>
            <w:r>
              <w:rPr>
                <w:rFonts w:ascii="Arial" w:hAnsi="Arial"/>
                <w:b/>
                <w:color w:val="FFFFFF"/>
                <w:sz w:val="24"/>
              </w:rPr>
              <w:t>Budget</w:t>
            </w:r>
          </w:p>
        </w:tc>
        <w:tc>
          <w:tcPr>
            <w:tcW w:type="dxa" w:w="2120"/>
            <w:shd w:fill="000000"/>
            <w:vAlign w:val="center"/>
            <w:tcMar>
              <w:top w:w="100" w:type="dxa"/>
              <w:start w:w="120" w:type="dxa"/>
              <w:bottom w:w="100" w:type="dxa"/>
              <w:end w:w="120" w:type="dxa"/>
            </w:tcMar>
          </w:tcPr>
          <w:p>
            <w:pPr>
              <w:spacing w:line="360" w:lineRule="auto"/>
            </w:pPr>
            <w:r>
              <w:rPr>
                <w:rFonts w:ascii="Arial" w:hAnsi="Arial"/>
                <w:b/>
                <w:color w:val="FFFFFF"/>
                <w:sz w:val="24"/>
              </w:rPr>
              <w:t>Share</w:t>
            </w:r>
          </w:p>
        </w:tc>
      </w:tr>
      <w:tr>
        <w:trPr>
          <w:cantSplit w:val="true"/>
        </w:trPr>
        <w:tc>
          <w:tcPr>
            <w:tcW w:type="dxa" w:w="4800"/>
            <w:vAlign w:val="center"/>
            <w:tcMar>
              <w:top w:w="100" w:type="dxa"/>
              <w:start w:w="120" w:type="dxa"/>
              <w:bottom w:w="100" w:type="dxa"/>
              <w:end w:w="120" w:type="dxa"/>
            </w:tcMar>
          </w:tcPr>
          <w:p>
            <w:pPr>
              <w:spacing w:after="40" w:line="360" w:lineRule="auto"/>
            </w:pPr>
            <w:r>
              <w:rPr>
                <w:rFonts w:ascii="Arial" w:hAnsi="Arial"/>
                <w:sz w:val="24"/>
              </w:rPr>
              <w:t>Social media advertising</w:t>
            </w:r>
          </w:p>
        </w:tc>
        <w:tc>
          <w:tcPr>
            <w:tcW w:type="dxa" w:w="2200"/>
            <w:vAlign w:val="center"/>
            <w:tcMar>
              <w:top w:w="100" w:type="dxa"/>
              <w:start w:w="120" w:type="dxa"/>
              <w:bottom w:w="100" w:type="dxa"/>
              <w:end w:w="120" w:type="dxa"/>
            </w:tcMar>
          </w:tcPr>
          <w:p>
            <w:pPr>
              <w:spacing w:after="40" w:line="360" w:lineRule="auto"/>
            </w:pPr>
            <w:r>
              <w:rPr>
                <w:rFonts w:ascii="Arial" w:hAnsi="Arial"/>
                <w:sz w:val="24"/>
              </w:rPr>
              <w:t>£1,500</w:t>
            </w:r>
          </w:p>
        </w:tc>
        <w:tc>
          <w:tcPr>
            <w:tcW w:type="dxa" w:w="2120"/>
            <w:vAlign w:val="center"/>
            <w:tcMar>
              <w:top w:w="100" w:type="dxa"/>
              <w:start w:w="120" w:type="dxa"/>
              <w:bottom w:w="100" w:type="dxa"/>
              <w:end w:w="120" w:type="dxa"/>
            </w:tcMar>
          </w:tcPr>
          <w:p>
            <w:pPr>
              <w:spacing w:after="40" w:line="360" w:lineRule="auto"/>
            </w:pPr>
            <w:r>
              <w:rPr>
                <w:rFonts w:ascii="Arial" w:hAnsi="Arial"/>
                <w:sz w:val="24"/>
              </w:rPr>
              <w:t>37.5%</w:t>
            </w:r>
          </w:p>
        </w:tc>
      </w:tr>
      <w:tr>
        <w:trPr>
          <w:cantSplit w:val="true"/>
        </w:trPr>
        <w:tc>
          <w:tcPr>
            <w:tcW w:type="dxa" w:w="4800"/>
            <w:vAlign w:val="center"/>
            <w:shd w:fill="F2F2F2"/>
            <w:tcMar>
              <w:top w:w="100" w:type="dxa"/>
              <w:start w:w="120" w:type="dxa"/>
              <w:bottom w:w="100" w:type="dxa"/>
              <w:end w:w="120" w:type="dxa"/>
            </w:tcMar>
          </w:tcPr>
          <w:p>
            <w:pPr>
              <w:spacing w:after="40" w:line="360" w:lineRule="auto"/>
            </w:pPr>
            <w:r>
              <w:rPr>
                <w:rFonts w:ascii="Arial" w:hAnsi="Arial"/>
                <w:sz w:val="24"/>
              </w:rPr>
              <w:t>Campus ambassadors</w:t>
            </w:r>
          </w:p>
        </w:tc>
        <w:tc>
          <w:tcPr>
            <w:tcW w:type="dxa" w:w="2200"/>
            <w:vAlign w:val="center"/>
            <w:shd w:fill="F2F2F2"/>
            <w:tcMar>
              <w:top w:w="100" w:type="dxa"/>
              <w:start w:w="120" w:type="dxa"/>
              <w:bottom w:w="100" w:type="dxa"/>
              <w:end w:w="120" w:type="dxa"/>
            </w:tcMar>
          </w:tcPr>
          <w:p>
            <w:pPr>
              <w:spacing w:after="40" w:line="360" w:lineRule="auto"/>
            </w:pPr>
            <w:r>
              <w:rPr>
                <w:rFonts w:ascii="Arial" w:hAnsi="Arial"/>
                <w:sz w:val="24"/>
              </w:rPr>
              <w:t>£1,000</w:t>
            </w:r>
          </w:p>
        </w:tc>
        <w:tc>
          <w:tcPr>
            <w:tcW w:type="dxa" w:w="2120"/>
            <w:vAlign w:val="center"/>
            <w:shd w:fill="F2F2F2"/>
            <w:tcMar>
              <w:top w:w="100" w:type="dxa"/>
              <w:start w:w="120" w:type="dxa"/>
              <w:bottom w:w="100" w:type="dxa"/>
              <w:end w:w="120" w:type="dxa"/>
            </w:tcMar>
          </w:tcPr>
          <w:p>
            <w:pPr>
              <w:spacing w:after="40" w:line="360" w:lineRule="auto"/>
            </w:pPr>
            <w:r>
              <w:rPr>
                <w:rFonts w:ascii="Arial" w:hAnsi="Arial"/>
                <w:sz w:val="24"/>
              </w:rPr>
              <w:t>25.0%</w:t>
            </w:r>
          </w:p>
        </w:tc>
      </w:tr>
      <w:tr>
        <w:trPr>
          <w:cantSplit w:val="true"/>
        </w:trPr>
        <w:tc>
          <w:tcPr>
            <w:tcW w:type="dxa" w:w="4800"/>
            <w:vAlign w:val="center"/>
            <w:tcMar>
              <w:top w:w="100" w:type="dxa"/>
              <w:start w:w="120" w:type="dxa"/>
              <w:bottom w:w="100" w:type="dxa"/>
              <w:end w:w="120" w:type="dxa"/>
            </w:tcMar>
          </w:tcPr>
          <w:p>
            <w:pPr>
              <w:spacing w:after="40" w:line="360" w:lineRule="auto"/>
            </w:pPr>
            <w:r>
              <w:rPr>
                <w:rFonts w:ascii="Arial" w:hAnsi="Arial"/>
                <w:sz w:val="24"/>
              </w:rPr>
              <w:t>Freshers' and careers events</w:t>
            </w:r>
          </w:p>
        </w:tc>
        <w:tc>
          <w:tcPr>
            <w:tcW w:type="dxa" w:w="2200"/>
            <w:vAlign w:val="center"/>
            <w:tcMar>
              <w:top w:w="100" w:type="dxa"/>
              <w:start w:w="120" w:type="dxa"/>
              <w:bottom w:w="100" w:type="dxa"/>
              <w:end w:w="120" w:type="dxa"/>
            </w:tcMar>
          </w:tcPr>
          <w:p>
            <w:pPr>
              <w:spacing w:after="40" w:line="360" w:lineRule="auto"/>
            </w:pPr>
            <w:r>
              <w:rPr>
                <w:rFonts w:ascii="Arial" w:hAnsi="Arial"/>
                <w:sz w:val="24"/>
              </w:rPr>
              <w:t>£800</w:t>
            </w:r>
          </w:p>
        </w:tc>
        <w:tc>
          <w:tcPr>
            <w:tcW w:type="dxa" w:w="2120"/>
            <w:vAlign w:val="center"/>
            <w:tcMar>
              <w:top w:w="100" w:type="dxa"/>
              <w:start w:w="120" w:type="dxa"/>
              <w:bottom w:w="100" w:type="dxa"/>
              <w:end w:w="120" w:type="dxa"/>
            </w:tcMar>
          </w:tcPr>
          <w:p>
            <w:pPr>
              <w:spacing w:after="40" w:line="360" w:lineRule="auto"/>
            </w:pPr>
            <w:r>
              <w:rPr>
                <w:rFonts w:ascii="Arial" w:hAnsi="Arial"/>
                <w:sz w:val="24"/>
              </w:rPr>
              <w:t>20.0%</w:t>
            </w:r>
          </w:p>
        </w:tc>
      </w:tr>
      <w:tr>
        <w:trPr>
          <w:cantSplit w:val="true"/>
        </w:trPr>
        <w:tc>
          <w:tcPr>
            <w:tcW w:type="dxa" w:w="4800"/>
            <w:vAlign w:val="center"/>
            <w:shd w:fill="F2F2F2"/>
            <w:tcMar>
              <w:top w:w="100" w:type="dxa"/>
              <w:start w:w="120" w:type="dxa"/>
              <w:bottom w:w="100" w:type="dxa"/>
              <w:end w:w="120" w:type="dxa"/>
            </w:tcMar>
          </w:tcPr>
          <w:p>
            <w:pPr>
              <w:spacing w:after="40" w:line="360" w:lineRule="auto"/>
            </w:pPr>
            <w:r>
              <w:rPr>
                <w:rFonts w:ascii="Arial" w:hAnsi="Arial"/>
                <w:sz w:val="24"/>
              </w:rPr>
              <w:t>Referral programme</w:t>
            </w:r>
          </w:p>
        </w:tc>
        <w:tc>
          <w:tcPr>
            <w:tcW w:type="dxa" w:w="2200"/>
            <w:vAlign w:val="center"/>
            <w:shd w:fill="F2F2F2"/>
            <w:tcMar>
              <w:top w:w="100" w:type="dxa"/>
              <w:start w:w="120" w:type="dxa"/>
              <w:bottom w:w="100" w:type="dxa"/>
              <w:end w:w="120" w:type="dxa"/>
            </w:tcMar>
          </w:tcPr>
          <w:p>
            <w:pPr>
              <w:spacing w:after="40" w:line="360" w:lineRule="auto"/>
            </w:pPr>
            <w:r>
              <w:rPr>
                <w:rFonts w:ascii="Arial" w:hAnsi="Arial"/>
                <w:sz w:val="24"/>
              </w:rPr>
              <w:t>£500</w:t>
            </w:r>
          </w:p>
        </w:tc>
        <w:tc>
          <w:tcPr>
            <w:tcW w:type="dxa" w:w="2120"/>
            <w:vAlign w:val="center"/>
            <w:shd w:fill="F2F2F2"/>
            <w:tcMar>
              <w:top w:w="100" w:type="dxa"/>
              <w:start w:w="120" w:type="dxa"/>
              <w:bottom w:w="100" w:type="dxa"/>
              <w:end w:w="120" w:type="dxa"/>
            </w:tcMar>
          </w:tcPr>
          <w:p>
            <w:pPr>
              <w:spacing w:after="40" w:line="360" w:lineRule="auto"/>
            </w:pPr>
            <w:r>
              <w:rPr>
                <w:rFonts w:ascii="Arial" w:hAnsi="Arial"/>
                <w:sz w:val="24"/>
              </w:rPr>
              <w:t>12.5%</w:t>
            </w:r>
          </w:p>
        </w:tc>
      </w:tr>
      <w:tr>
        <w:trPr>
          <w:cantSplit w:val="true"/>
        </w:trPr>
        <w:tc>
          <w:tcPr>
            <w:tcW w:type="dxa" w:w="4800"/>
            <w:vAlign w:val="center"/>
            <w:tcMar>
              <w:top w:w="100" w:type="dxa"/>
              <w:start w:w="120" w:type="dxa"/>
              <w:bottom w:w="100" w:type="dxa"/>
              <w:end w:w="120" w:type="dxa"/>
            </w:tcMar>
          </w:tcPr>
          <w:p>
            <w:pPr>
              <w:spacing w:after="40" w:line="360" w:lineRule="auto"/>
            </w:pPr>
            <w:r>
              <w:rPr>
                <w:rFonts w:ascii="Arial" w:hAnsi="Arial"/>
                <w:sz w:val="24"/>
              </w:rPr>
              <w:t>Promotional materials</w:t>
            </w:r>
          </w:p>
        </w:tc>
        <w:tc>
          <w:tcPr>
            <w:tcW w:type="dxa" w:w="2200"/>
            <w:vAlign w:val="center"/>
            <w:tcMar>
              <w:top w:w="100" w:type="dxa"/>
              <w:start w:w="120" w:type="dxa"/>
              <w:bottom w:w="100" w:type="dxa"/>
              <w:end w:w="120" w:type="dxa"/>
            </w:tcMar>
          </w:tcPr>
          <w:p>
            <w:pPr>
              <w:spacing w:after="40" w:line="360" w:lineRule="auto"/>
            </w:pPr>
            <w:r>
              <w:rPr>
                <w:rFonts w:ascii="Arial" w:hAnsi="Arial"/>
                <w:sz w:val="24"/>
              </w:rPr>
              <w:t>£200</w:t>
            </w:r>
          </w:p>
        </w:tc>
        <w:tc>
          <w:tcPr>
            <w:tcW w:type="dxa" w:w="2120"/>
            <w:vAlign w:val="center"/>
            <w:tcMar>
              <w:top w:w="100" w:type="dxa"/>
              <w:start w:w="120" w:type="dxa"/>
              <w:bottom w:w="100" w:type="dxa"/>
              <w:end w:w="120" w:type="dxa"/>
            </w:tcMar>
          </w:tcPr>
          <w:p>
            <w:pPr>
              <w:spacing w:after="40" w:line="360" w:lineRule="auto"/>
            </w:pPr>
            <w:r>
              <w:rPr>
                <w:rFonts w:ascii="Arial" w:hAnsi="Arial"/>
                <w:sz w:val="24"/>
              </w:rPr>
              <w:t>5.0%</w:t>
            </w:r>
          </w:p>
        </w:tc>
      </w:tr>
      <w:tr>
        <w:trPr>
          <w:cantSplit w:val="true"/>
        </w:trPr>
        <w:tc>
          <w:tcPr>
            <w:tcW w:type="dxa" w:w="4800"/>
            <w:vAlign w:val="center"/>
            <w:shd w:fill="F2F2F2"/>
            <w:tcMar>
              <w:top w:w="100" w:type="dxa"/>
              <w:start w:w="120" w:type="dxa"/>
              <w:bottom w:w="100" w:type="dxa"/>
              <w:end w:w="120" w:type="dxa"/>
            </w:tcMar>
          </w:tcPr>
          <w:p>
            <w:pPr>
              <w:spacing w:after="40" w:line="360" w:lineRule="auto"/>
            </w:pPr>
            <w:r>
              <w:rPr>
                <w:rFonts w:ascii="Arial" w:hAnsi="Arial"/>
                <w:sz w:val="24"/>
              </w:rPr>
              <w:t>Total</w:t>
            </w:r>
          </w:p>
        </w:tc>
        <w:tc>
          <w:tcPr>
            <w:tcW w:type="dxa" w:w="2200"/>
            <w:vAlign w:val="center"/>
            <w:shd w:fill="F2F2F2"/>
            <w:tcMar>
              <w:top w:w="100" w:type="dxa"/>
              <w:start w:w="120" w:type="dxa"/>
              <w:bottom w:w="100" w:type="dxa"/>
              <w:end w:w="120" w:type="dxa"/>
            </w:tcMar>
          </w:tcPr>
          <w:p>
            <w:pPr>
              <w:spacing w:after="40" w:line="360" w:lineRule="auto"/>
            </w:pPr>
            <w:r>
              <w:rPr>
                <w:rFonts w:ascii="Arial" w:hAnsi="Arial"/>
                <w:sz w:val="24"/>
              </w:rPr>
              <w:t>£4,000</w:t>
            </w:r>
          </w:p>
        </w:tc>
        <w:tc>
          <w:tcPr>
            <w:tcW w:type="dxa" w:w="2120"/>
            <w:vAlign w:val="center"/>
            <w:shd w:fill="F2F2F2"/>
            <w:tcMar>
              <w:top w:w="100" w:type="dxa"/>
              <w:start w:w="120" w:type="dxa"/>
              <w:bottom w:w="100" w:type="dxa"/>
              <w:end w:w="120" w:type="dxa"/>
            </w:tcMar>
          </w:tcPr>
          <w:p>
            <w:pPr>
              <w:spacing w:after="40" w:line="360" w:lineRule="auto"/>
            </w:pPr>
            <w:r>
              <w:rPr>
                <w:rFonts w:ascii="Arial" w:hAnsi="Arial"/>
                <w:sz w:val="24"/>
              </w:rPr>
              <w:t>100%</w:t>
            </w:r>
          </w:p>
        </w:tc>
      </w:tr>
    </w:tbl>
    <w:p>
      <w:pPr>
        <w:spacing w:line="360" w:lineRule="auto"/>
      </w:pPr>
    </w:p>
    <w:p>
      <w:pPr>
        <w:spacing w:line="360" w:lineRule="auto" w:after="120"/>
      </w:pPr>
      <w:r>
        <w:rPr>
          <w:rFonts w:ascii="Arial" w:hAnsi="Arial"/>
          <w:sz w:val="24"/>
        </w:rPr>
        <w:t>Success will be measured through verified registrations, monthly active users, paid memberships, referrals, social-media engagement and retention.</w:t>
      </w:r>
    </w:p>
    <w:p>
      <w:pPr>
        <w:spacing w:line="360" w:lineRule="auto"/>
      </w:pPr>
    </w:p>
    <w:p>
      <w:pPr>
        <w:pStyle w:val="Heading1"/>
        <w:keepNext/>
        <w:spacing w:before="200" w:after="100" w:line="360" w:lineRule="auto"/>
      </w:pPr>
      <w:r>
        <w:rPr>
          <w:rFonts w:ascii="Arial" w:hAnsi="Arial"/>
          <w:sz w:val="24"/>
        </w:rPr>
        <w:t>4. Financials</w:t>
      </w:r>
    </w:p>
    <w:p>
      <w:pPr>
        <w:pStyle w:val="Heading2"/>
        <w:keepNext/>
        <w:spacing w:before="140" w:after="100" w:line="360" w:lineRule="auto"/>
      </w:pPr>
      <w:r>
        <w:rPr>
          <w:rFonts w:ascii="Arial" w:hAnsi="Arial"/>
          <w:sz w:val="24"/>
        </w:rPr>
        <w:t>4.1 Sources of Finance</w:t>
      </w:r>
    </w:p>
    <w:p>
      <w:pPr>
        <w:spacing w:line="360" w:lineRule="auto" w:after="120"/>
      </w:pPr>
      <w:r>
        <w:rPr>
          <w:rFonts w:ascii="Arial" w:hAnsi="Arial"/>
          <w:sz w:val="24"/>
        </w:rPr>
        <w:t>StudentHub requires a £15,000 Start Up Loan for application development, launch marketing and initial operations. The scheme offers a fixed 7.5% annual rate and repayment terms of one to five years (Start Up Loans, 2026). Over five years, the estimated monthly payment is approximately £301. Debt finance allows the founder to retain ownership, although repayments must be met even if early revenue is below forecast.</w:t>
      </w:r>
    </w:p>
    <w:p>
      <w:pPr>
        <w:spacing w:line="360" w:lineRule="auto"/>
      </w:pPr>
    </w:p>
    <w:p>
      <w:pPr>
        <w:pStyle w:val="Heading2"/>
        <w:keepNext/>
        <w:spacing w:before="140" w:after="100" w:line="360" w:lineRule="auto"/>
      </w:pPr>
      <w:r>
        <w:rPr>
          <w:rFonts w:ascii="Arial" w:hAnsi="Arial"/>
          <w:b/>
          <w:i w:val="0"/>
          <w:color w:val="000000"/>
          <w:sz w:val="24"/>
        </w:rPr>
        <w:t>4.2 First-month startup expenses</w:t>
      </w:r>
    </w:p>
    <w:p>
      <w:pPr>
        <w:keepNext/>
        <w:spacing w:line="360" w:lineRule="auto"/>
      </w:pPr>
      <w:r>
        <w:rPr>
          <w:rFonts w:ascii="Arial" w:hAnsi="Arial"/>
          <w:b/>
          <w:sz w:val="24"/>
        </w:rPr>
        <w:t>Table 8: First-month startup expenses</w:t>
      </w:r>
    </w:p>
    <w:tbl>
      <w:tblPr>
        <w:tblStyle w:val="TableGrid"/>
        <w:tblW w:type="dxa" w:w="9120"/>
        <w:jc w:val="center"/>
        <w:tblLayout w:type="fixed"/>
        <w:tblLook w:firstColumn="1" w:firstRow="1" w:lastColumn="0" w:lastRow="0" w:noHBand="0" w:noVBand="1" w:val="04A0"/>
      </w:tblPr>
      <w:tblGrid>
        <w:gridCol w:w="3600"/>
        <w:gridCol w:w="1700"/>
        <w:gridCol w:w="3820"/>
      </w:tblGrid>
      <w:tr>
        <w:trPr>
          <w:tblHeader w:val="true"/>
          <w:cantSplit w:val="true"/>
        </w:trPr>
        <w:tc>
          <w:tcPr>
            <w:tcW w:type="dxa" w:w="3600"/>
            <w:shd w:fill="000000"/>
            <w:vAlign w:val="center"/>
            <w:tcMar>
              <w:top w:w="100" w:type="dxa"/>
              <w:start w:w="120" w:type="dxa"/>
              <w:bottom w:w="100" w:type="dxa"/>
              <w:end w:w="120" w:type="dxa"/>
            </w:tcMar>
          </w:tcPr>
          <w:p>
            <w:pPr>
              <w:spacing w:line="360" w:lineRule="auto"/>
            </w:pPr>
            <w:r>
              <w:rPr>
                <w:rFonts w:ascii="Arial" w:hAnsi="Arial"/>
                <w:b/>
                <w:color w:val="FFFFFF"/>
                <w:sz w:val="24"/>
              </w:rPr>
              <w:t>Item</w:t>
            </w:r>
          </w:p>
        </w:tc>
        <w:tc>
          <w:tcPr>
            <w:tcW w:type="dxa" w:w="1700"/>
            <w:shd w:fill="000000"/>
            <w:vAlign w:val="center"/>
            <w:tcMar>
              <w:top w:w="100" w:type="dxa"/>
              <w:start w:w="120" w:type="dxa"/>
              <w:bottom w:w="100" w:type="dxa"/>
              <w:end w:w="120" w:type="dxa"/>
            </w:tcMar>
          </w:tcPr>
          <w:p>
            <w:pPr>
              <w:spacing w:line="360" w:lineRule="auto"/>
            </w:pPr>
            <w:r>
              <w:rPr>
                <w:rFonts w:ascii="Arial" w:hAnsi="Arial"/>
                <w:b/>
                <w:color w:val="FFFFFF"/>
                <w:sz w:val="24"/>
              </w:rPr>
              <w:t>Cost</w:t>
            </w:r>
          </w:p>
        </w:tc>
        <w:tc>
          <w:tcPr>
            <w:tcW w:type="dxa" w:w="3820"/>
            <w:shd w:fill="000000"/>
            <w:vAlign w:val="center"/>
            <w:tcMar>
              <w:top w:w="100" w:type="dxa"/>
              <w:start w:w="120" w:type="dxa"/>
              <w:bottom w:w="100" w:type="dxa"/>
              <w:end w:w="120" w:type="dxa"/>
            </w:tcMar>
          </w:tcPr>
          <w:p>
            <w:pPr>
              <w:spacing w:line="360" w:lineRule="auto"/>
            </w:pPr>
            <w:r>
              <w:rPr>
                <w:rFonts w:ascii="Arial" w:hAnsi="Arial"/>
                <w:b/>
                <w:color w:val="FFFFFF"/>
                <w:sz w:val="24"/>
              </w:rPr>
              <w:t>Comment</w:t>
            </w:r>
          </w:p>
        </w:tc>
      </w:tr>
      <w:tr>
        <w:trPr>
          <w:cantSplit w:val="true"/>
        </w:trPr>
        <w:tc>
          <w:tcPr>
            <w:tcW w:type="dxa" w:w="3600"/>
            <w:vAlign w:val="center"/>
            <w:tcMar>
              <w:top w:w="100" w:type="dxa"/>
              <w:start w:w="120" w:type="dxa"/>
              <w:bottom w:w="100" w:type="dxa"/>
              <w:end w:w="120" w:type="dxa"/>
            </w:tcMar>
          </w:tcPr>
          <w:p>
            <w:pPr>
              <w:spacing w:line="360" w:lineRule="auto" w:after="20"/>
            </w:pPr>
            <w:r>
              <w:rPr>
                <w:rFonts w:ascii="Arial" w:hAnsi="Arial"/>
                <w:sz w:val="24"/>
              </w:rPr>
              <w:t>App development</w:t>
            </w:r>
          </w:p>
        </w:tc>
        <w:tc>
          <w:tcPr>
            <w:tcW w:type="dxa" w:w="1700"/>
            <w:vAlign w:val="center"/>
            <w:tcMar>
              <w:top w:w="100" w:type="dxa"/>
              <w:start w:w="120" w:type="dxa"/>
              <w:bottom w:w="100" w:type="dxa"/>
              <w:end w:w="120" w:type="dxa"/>
            </w:tcMar>
          </w:tcPr>
          <w:p>
            <w:pPr>
              <w:spacing w:line="360" w:lineRule="auto" w:after="20"/>
            </w:pPr>
            <w:r>
              <w:rPr>
                <w:rFonts w:ascii="Arial" w:hAnsi="Arial"/>
                <w:sz w:val="24"/>
              </w:rPr>
              <w:t>£8,000</w:t>
            </w:r>
          </w:p>
        </w:tc>
        <w:tc>
          <w:tcPr>
            <w:tcW w:type="dxa" w:w="3820"/>
            <w:vAlign w:val="center"/>
            <w:tcMar>
              <w:top w:w="100" w:type="dxa"/>
              <w:start w:w="120" w:type="dxa"/>
              <w:bottom w:w="100" w:type="dxa"/>
              <w:end w:w="120" w:type="dxa"/>
            </w:tcMar>
          </w:tcPr>
          <w:p>
            <w:pPr>
              <w:spacing w:line="360" w:lineRule="auto" w:after="20"/>
            </w:pPr>
            <w:r>
              <w:rPr>
                <w:rFonts w:ascii="Arial" w:hAnsi="Arial"/>
                <w:sz w:val="24"/>
              </w:rPr>
              <w:t>Fixed price MVP estimate; get at least three supplier estimates.</w:t>
            </w:r>
          </w:p>
        </w:tc>
      </w:tr>
      <w:tr>
        <w:trPr>
          <w:cantSplit w:val="true"/>
        </w:trPr>
        <w:tc>
          <w:tcPr>
            <w:tcW w:type="dxa" w:w="3600"/>
            <w:vAlign w:val="center"/>
            <w:shd w:fill="F2F2F2"/>
            <w:tcMar>
              <w:top w:w="100" w:type="dxa"/>
              <w:start w:w="120" w:type="dxa"/>
              <w:bottom w:w="100" w:type="dxa"/>
              <w:end w:w="120" w:type="dxa"/>
            </w:tcMar>
          </w:tcPr>
          <w:p>
            <w:pPr>
              <w:spacing w:line="360" w:lineRule="auto" w:after="20"/>
            </w:pPr>
            <w:r>
              <w:rPr>
                <w:rFonts w:ascii="Arial" w:hAnsi="Arial"/>
                <w:sz w:val="24"/>
              </w:rPr>
              <w:t>Website</w:t>
            </w:r>
          </w:p>
        </w:tc>
        <w:tc>
          <w:tcPr>
            <w:tcW w:type="dxa" w:w="1700"/>
            <w:vAlign w:val="center"/>
            <w:shd w:fill="F2F2F2"/>
            <w:tcMar>
              <w:top w:w="100" w:type="dxa"/>
              <w:start w:w="120" w:type="dxa"/>
              <w:bottom w:w="100" w:type="dxa"/>
              <w:end w:w="120" w:type="dxa"/>
            </w:tcMar>
          </w:tcPr>
          <w:p>
            <w:pPr>
              <w:spacing w:line="360" w:lineRule="auto" w:after="20"/>
            </w:pPr>
            <w:r>
              <w:rPr>
                <w:rFonts w:ascii="Arial" w:hAnsi="Arial"/>
                <w:sz w:val="24"/>
              </w:rPr>
              <w:t>£1,000</w:t>
            </w:r>
          </w:p>
        </w:tc>
        <w:tc>
          <w:tcPr>
            <w:tcW w:type="dxa" w:w="3820"/>
            <w:vAlign w:val="center"/>
            <w:shd w:fill="F2F2F2"/>
            <w:tcMar>
              <w:top w:w="100" w:type="dxa"/>
              <w:start w:w="120" w:type="dxa"/>
              <w:bottom w:w="100" w:type="dxa"/>
              <w:end w:w="120" w:type="dxa"/>
            </w:tcMar>
          </w:tcPr>
          <w:p>
            <w:pPr>
              <w:spacing w:line="360" w:lineRule="auto" w:after="20"/>
            </w:pPr>
            <w:r>
              <w:rPr>
                <w:rFonts w:ascii="Arial" w:hAnsi="Arial"/>
                <w:sz w:val="24"/>
              </w:rPr>
              <w:t>Landing page, hosting configuration and web connectivity.</w:t>
            </w:r>
          </w:p>
        </w:tc>
      </w:tr>
      <w:tr>
        <w:trPr>
          <w:cantSplit w:val="true"/>
        </w:trPr>
        <w:tc>
          <w:tcPr>
            <w:tcW w:type="dxa" w:w="3600"/>
            <w:vAlign w:val="center"/>
            <w:tcMar>
              <w:top w:w="100" w:type="dxa"/>
              <w:start w:w="120" w:type="dxa"/>
              <w:bottom w:w="100" w:type="dxa"/>
              <w:end w:w="120" w:type="dxa"/>
            </w:tcMar>
          </w:tcPr>
          <w:p>
            <w:pPr>
              <w:spacing w:line="360" w:lineRule="auto" w:after="20"/>
            </w:pPr>
            <w:r>
              <w:rPr>
                <w:rFonts w:ascii="Arial" w:hAnsi="Arial"/>
                <w:sz w:val="24"/>
              </w:rPr>
              <w:t>Initial marketing</w:t>
            </w:r>
          </w:p>
        </w:tc>
        <w:tc>
          <w:tcPr>
            <w:tcW w:type="dxa" w:w="1700"/>
            <w:vAlign w:val="center"/>
            <w:tcMar>
              <w:top w:w="100" w:type="dxa"/>
              <w:start w:w="120" w:type="dxa"/>
              <w:bottom w:w="100" w:type="dxa"/>
              <w:end w:w="120" w:type="dxa"/>
            </w:tcMar>
          </w:tcPr>
          <w:p>
            <w:pPr>
              <w:spacing w:line="360" w:lineRule="auto" w:after="20"/>
            </w:pPr>
            <w:r>
              <w:rPr>
                <w:rFonts w:ascii="Arial" w:hAnsi="Arial"/>
                <w:sz w:val="24"/>
              </w:rPr>
              <w:t>£2,000</w:t>
            </w:r>
          </w:p>
        </w:tc>
        <w:tc>
          <w:tcPr>
            <w:tcW w:type="dxa" w:w="3820"/>
            <w:vAlign w:val="center"/>
            <w:tcMar>
              <w:top w:w="100" w:type="dxa"/>
              <w:start w:w="120" w:type="dxa"/>
              <w:bottom w:w="100" w:type="dxa"/>
              <w:end w:w="120" w:type="dxa"/>
            </w:tcMar>
          </w:tcPr>
          <w:p>
            <w:pPr>
              <w:spacing w:line="360" w:lineRule="auto" w:after="20"/>
            </w:pPr>
            <w:r>
              <w:rPr>
                <w:rFonts w:ascii="Arial" w:hAnsi="Arial"/>
                <w:sz w:val="24"/>
              </w:rPr>
              <w:t>Launch advertising, ambassadors and freshers' activity.</w:t>
            </w:r>
          </w:p>
        </w:tc>
      </w:tr>
      <w:tr>
        <w:trPr>
          <w:cantSplit w:val="true"/>
        </w:trPr>
        <w:tc>
          <w:tcPr>
            <w:tcW w:type="dxa" w:w="3600"/>
            <w:vAlign w:val="center"/>
            <w:shd w:fill="F2F2F2"/>
            <w:tcMar>
              <w:top w:w="100" w:type="dxa"/>
              <w:start w:w="120" w:type="dxa"/>
              <w:bottom w:w="100" w:type="dxa"/>
              <w:end w:w="120" w:type="dxa"/>
            </w:tcMar>
          </w:tcPr>
          <w:p>
            <w:pPr>
              <w:spacing w:line="360" w:lineRule="auto" w:after="20"/>
            </w:pPr>
            <w:r>
              <w:rPr>
                <w:rFonts w:ascii="Arial" w:hAnsi="Arial"/>
                <w:sz w:val="24"/>
              </w:rPr>
              <w:t>Legal registration</w:t>
            </w:r>
          </w:p>
        </w:tc>
        <w:tc>
          <w:tcPr>
            <w:tcW w:type="dxa" w:w="1700"/>
            <w:vAlign w:val="center"/>
            <w:shd w:fill="F2F2F2"/>
            <w:tcMar>
              <w:top w:w="100" w:type="dxa"/>
              <w:start w:w="120" w:type="dxa"/>
              <w:bottom w:w="100" w:type="dxa"/>
              <w:end w:w="120" w:type="dxa"/>
            </w:tcMar>
          </w:tcPr>
          <w:p>
            <w:pPr>
              <w:spacing w:line="360" w:lineRule="auto" w:after="20"/>
            </w:pPr>
            <w:r>
              <w:rPr>
                <w:rFonts w:ascii="Arial" w:hAnsi="Arial"/>
                <w:sz w:val="24"/>
              </w:rPr>
              <w:t>£100</w:t>
            </w:r>
          </w:p>
        </w:tc>
        <w:tc>
          <w:tcPr>
            <w:tcW w:type="dxa" w:w="3820"/>
            <w:vAlign w:val="center"/>
            <w:shd w:fill="F2F2F2"/>
            <w:tcMar>
              <w:top w:w="100" w:type="dxa"/>
              <w:start w:w="120" w:type="dxa"/>
              <w:bottom w:w="100" w:type="dxa"/>
              <w:end w:w="120" w:type="dxa"/>
            </w:tcMar>
          </w:tcPr>
          <w:p>
            <w:pPr>
              <w:spacing w:line="360" w:lineRule="auto"/>
            </w:pPr>
            <w:r>
              <w:rPr>
                <w:rFonts w:ascii="Arial" w:hAnsi="Arial"/>
                <w:sz w:val="24"/>
              </w:rPr>
              <w:t>Companies House online incorporation fee (Companies House, 2026).</w:t>
            </w:r>
          </w:p>
        </w:tc>
      </w:tr>
      <w:tr>
        <w:trPr>
          <w:cantSplit w:val="true"/>
        </w:trPr>
        <w:tc>
          <w:tcPr>
            <w:tcW w:type="dxa" w:w="3600"/>
            <w:vAlign w:val="center"/>
            <w:tcMar>
              <w:top w:w="100" w:type="dxa"/>
              <w:start w:w="120" w:type="dxa"/>
              <w:bottom w:w="100" w:type="dxa"/>
              <w:end w:w="120" w:type="dxa"/>
            </w:tcMar>
          </w:tcPr>
          <w:p>
            <w:pPr>
              <w:spacing w:line="360" w:lineRule="auto" w:after="20"/>
            </w:pPr>
            <w:r>
              <w:rPr>
                <w:rFonts w:ascii="Arial" w:hAnsi="Arial"/>
                <w:sz w:val="24"/>
              </w:rPr>
              <w:t>Insurance</w:t>
            </w:r>
          </w:p>
        </w:tc>
        <w:tc>
          <w:tcPr>
            <w:tcW w:type="dxa" w:w="1700"/>
            <w:vAlign w:val="center"/>
            <w:tcMar>
              <w:top w:w="100" w:type="dxa"/>
              <w:start w:w="120" w:type="dxa"/>
              <w:bottom w:w="100" w:type="dxa"/>
              <w:end w:w="120" w:type="dxa"/>
            </w:tcMar>
          </w:tcPr>
          <w:p>
            <w:pPr>
              <w:spacing w:line="360" w:lineRule="auto" w:after="20"/>
            </w:pPr>
            <w:r>
              <w:rPr>
                <w:rFonts w:ascii="Arial" w:hAnsi="Arial"/>
                <w:sz w:val="24"/>
              </w:rPr>
              <w:t>£500</w:t>
            </w:r>
          </w:p>
        </w:tc>
        <w:tc>
          <w:tcPr>
            <w:tcW w:type="dxa" w:w="3820"/>
            <w:vAlign w:val="center"/>
            <w:tcMar>
              <w:top w:w="100" w:type="dxa"/>
              <w:start w:w="120" w:type="dxa"/>
              <w:bottom w:w="100" w:type="dxa"/>
              <w:end w:w="120" w:type="dxa"/>
            </w:tcMar>
          </w:tcPr>
          <w:p>
            <w:pPr>
              <w:spacing w:line="360" w:lineRule="auto" w:after="20"/>
            </w:pPr>
            <w:r>
              <w:rPr>
                <w:rFonts w:ascii="Arial" w:hAnsi="Arial"/>
                <w:sz w:val="24"/>
              </w:rPr>
              <w:t>Indicative allowance; confirm suitable cyber/public-liability cover.</w:t>
            </w:r>
          </w:p>
        </w:tc>
      </w:tr>
      <w:tr>
        <w:trPr>
          <w:cantSplit w:val="true"/>
        </w:trPr>
        <w:tc>
          <w:tcPr>
            <w:tcW w:type="dxa" w:w="3600"/>
            <w:vAlign w:val="center"/>
            <w:shd w:fill="F2F2F2"/>
            <w:tcMar>
              <w:top w:w="100" w:type="dxa"/>
              <w:start w:w="120" w:type="dxa"/>
              <w:bottom w:w="100" w:type="dxa"/>
              <w:end w:w="120" w:type="dxa"/>
            </w:tcMar>
          </w:tcPr>
          <w:p>
            <w:pPr>
              <w:spacing w:line="360" w:lineRule="auto" w:after="20"/>
            </w:pPr>
            <w:r>
              <w:rPr>
                <w:rFonts w:ascii="Arial" w:hAnsi="Arial"/>
                <w:sz w:val="24"/>
              </w:rPr>
              <w:t>Contingency</w:t>
            </w:r>
          </w:p>
        </w:tc>
        <w:tc>
          <w:tcPr>
            <w:tcW w:type="dxa" w:w="1700"/>
            <w:vAlign w:val="center"/>
            <w:shd w:fill="F2F2F2"/>
            <w:tcMar>
              <w:top w:w="100" w:type="dxa"/>
              <w:start w:w="120" w:type="dxa"/>
              <w:bottom w:w="100" w:type="dxa"/>
              <w:end w:w="120" w:type="dxa"/>
            </w:tcMar>
          </w:tcPr>
          <w:p>
            <w:pPr>
              <w:spacing w:line="360" w:lineRule="auto" w:after="20"/>
            </w:pPr>
            <w:r>
              <w:rPr>
                <w:rFonts w:ascii="Arial" w:hAnsi="Arial"/>
                <w:sz w:val="24"/>
              </w:rPr>
              <w:t>£1,400</w:t>
            </w:r>
          </w:p>
        </w:tc>
        <w:tc>
          <w:tcPr>
            <w:tcW w:type="dxa" w:w="3820"/>
            <w:vAlign w:val="center"/>
            <w:shd w:fill="F2F2F2"/>
            <w:tcMar>
              <w:top w:w="100" w:type="dxa"/>
              <w:start w:w="120" w:type="dxa"/>
              <w:bottom w:w="100" w:type="dxa"/>
              <w:end w:w="120" w:type="dxa"/>
            </w:tcMar>
          </w:tcPr>
          <w:p>
            <w:pPr>
              <w:spacing w:line="360" w:lineRule="auto" w:after="20"/>
            </w:pPr>
            <w:r>
              <w:rPr>
                <w:rFonts w:ascii="Arial" w:hAnsi="Arial"/>
                <w:sz w:val="24"/>
              </w:rPr>
              <w:t>Buffer for supplier, compliance and setup-cost uncertainty.</w:t>
            </w:r>
          </w:p>
        </w:tc>
      </w:tr>
      <w:tr>
        <w:trPr>
          <w:cantSplit w:val="true"/>
        </w:trPr>
        <w:tc>
          <w:tcPr>
            <w:tcW w:type="dxa" w:w="3600"/>
            <w:vAlign w:val="center"/>
            <w:tcMar>
              <w:top w:w="100" w:type="dxa"/>
              <w:start w:w="120" w:type="dxa"/>
              <w:bottom w:w="100" w:type="dxa"/>
              <w:end w:w="120" w:type="dxa"/>
            </w:tcMar>
          </w:tcPr>
          <w:p>
            <w:pPr>
              <w:spacing w:line="360" w:lineRule="auto" w:after="20"/>
            </w:pPr>
            <w:r>
              <w:rPr>
                <w:rFonts w:ascii="Arial" w:hAnsi="Arial"/>
                <w:sz w:val="24"/>
              </w:rPr>
              <w:t>Total identified cost</w:t>
            </w:r>
          </w:p>
        </w:tc>
        <w:tc>
          <w:tcPr>
            <w:tcW w:type="dxa" w:w="1700"/>
            <w:vAlign w:val="center"/>
            <w:tcMar>
              <w:top w:w="100" w:type="dxa"/>
              <w:start w:w="120" w:type="dxa"/>
              <w:bottom w:w="100" w:type="dxa"/>
              <w:end w:w="120" w:type="dxa"/>
            </w:tcMar>
          </w:tcPr>
          <w:p>
            <w:pPr>
              <w:spacing w:line="360" w:lineRule="auto" w:after="20"/>
            </w:pPr>
            <w:r>
              <w:rPr>
                <w:rFonts w:ascii="Arial" w:hAnsi="Arial"/>
                <w:sz w:val="24"/>
              </w:rPr>
              <w:t>£13,000</w:t>
            </w:r>
          </w:p>
        </w:tc>
        <w:tc>
          <w:tcPr>
            <w:tcW w:type="dxa" w:w="3820"/>
            <w:vAlign w:val="center"/>
            <w:tcMar>
              <w:top w:w="100" w:type="dxa"/>
              <w:start w:w="120" w:type="dxa"/>
              <w:bottom w:w="100" w:type="dxa"/>
              <w:end w:w="120" w:type="dxa"/>
            </w:tcMar>
          </w:tcPr>
          <w:p>
            <w:pPr>
              <w:spacing w:line="360" w:lineRule="auto" w:after="20"/>
            </w:pPr>
            <w:r>
              <w:rPr>
                <w:rFonts w:ascii="Arial" w:hAnsi="Arial"/>
                <w:sz w:val="24"/>
              </w:rPr>
              <w:t>Leaves £2,000 from the £15,000 loan as initial working capital.</w:t>
            </w:r>
          </w:p>
        </w:tc>
      </w:tr>
    </w:tbl>
    <w:p>
      <w:pPr>
        <w:spacing w:line="360" w:lineRule="auto"/>
      </w:pPr>
    </w:p>
    <w:p>
      <w:pPr>
        <w:pStyle w:val="Heading2"/>
        <w:keepNext/>
        <w:spacing w:before="140" w:after="100" w:line="360" w:lineRule="auto"/>
      </w:pPr>
      <w:r>
        <w:rPr>
          <w:rFonts w:ascii="Arial" w:hAnsi="Arial"/>
          <w:sz w:val="24"/>
        </w:rPr>
        <w:t>4.3 Sales Forecast</w:t>
      </w:r>
    </w:p>
    <w:p>
      <w:pPr>
        <w:keepNext/>
        <w:spacing w:line="360" w:lineRule="auto"/>
      </w:pPr>
      <w:r>
        <w:rPr>
          <w:rFonts w:ascii="Arial" w:hAnsi="Arial"/>
          <w:b/>
          <w:sz w:val="24"/>
        </w:rPr>
        <w:t>Table 9: Sales forecast</w:t>
      </w:r>
    </w:p>
    <w:tbl>
      <w:tblPr>
        <w:tblStyle w:val="TableGrid"/>
        <w:tblW w:type="dxa" w:w="9120"/>
        <w:jc w:val="center"/>
        <w:tblLayout w:type="fixed"/>
        <w:tblLook w:firstColumn="1" w:firstRow="1" w:lastColumn="0" w:lastRow="0" w:noHBand="0" w:noVBand="1" w:val="04A0"/>
      </w:tblPr>
      <w:tblGrid>
        <w:gridCol w:w="1900"/>
        <w:gridCol w:w="2800"/>
        <w:gridCol w:w="3020"/>
        <w:gridCol w:w="1400"/>
      </w:tblGrid>
      <w:tr>
        <w:trPr>
          <w:tblHeader w:val="true"/>
          <w:cantSplit w:val="true"/>
        </w:trPr>
        <w:tc>
          <w:tcPr>
            <w:tcW w:type="dxa" w:w="1900"/>
            <w:shd w:fill="000000"/>
            <w:vAlign w:val="center"/>
            <w:tcMar>
              <w:top w:w="100" w:type="dxa"/>
              <w:start w:w="120" w:type="dxa"/>
              <w:bottom w:w="100" w:type="dxa"/>
              <w:end w:w="120" w:type="dxa"/>
            </w:tcMar>
          </w:tcPr>
          <w:p>
            <w:pPr>
              <w:spacing w:line="360" w:lineRule="auto"/>
            </w:pPr>
            <w:r>
              <w:rPr>
                <w:rFonts w:ascii="Arial" w:hAnsi="Arial"/>
                <w:b/>
                <w:color w:val="FFFFFF"/>
                <w:sz w:val="24"/>
              </w:rPr>
              <w:t>Scenario</w:t>
            </w:r>
          </w:p>
        </w:tc>
        <w:tc>
          <w:tcPr>
            <w:tcW w:type="dxa" w:w="2800"/>
            <w:shd w:fill="000000"/>
            <w:vAlign w:val="center"/>
            <w:tcMar>
              <w:top w:w="100" w:type="dxa"/>
              <w:start w:w="120" w:type="dxa"/>
              <w:bottom w:w="100" w:type="dxa"/>
              <w:end w:w="120" w:type="dxa"/>
            </w:tcMar>
          </w:tcPr>
          <w:p>
            <w:pPr>
              <w:spacing w:line="360" w:lineRule="auto"/>
            </w:pPr>
            <w:r>
              <w:rPr>
                <w:rFonts w:ascii="Arial" w:hAnsi="Arial"/>
                <w:b/>
                <w:color w:val="FFFFFF"/>
                <w:sz w:val="24"/>
              </w:rPr>
              <w:t>Premium</w:t>
            </w:r>
          </w:p>
        </w:tc>
        <w:tc>
          <w:tcPr>
            <w:tcW w:type="dxa" w:w="3020"/>
            <w:shd w:fill="000000"/>
            <w:vAlign w:val="center"/>
            <w:tcMar>
              <w:top w:w="100" w:type="dxa"/>
              <w:start w:w="120" w:type="dxa"/>
              <w:bottom w:w="100" w:type="dxa"/>
              <w:end w:w="120" w:type="dxa"/>
            </w:tcMar>
          </w:tcPr>
          <w:p>
            <w:pPr>
              <w:spacing w:line="360" w:lineRule="auto"/>
            </w:pPr>
            <w:r>
              <w:rPr>
                <w:rFonts w:ascii="Arial" w:hAnsi="Arial"/>
                <w:b/>
                <w:color w:val="FFFFFF"/>
                <w:sz w:val="24"/>
              </w:rPr>
              <w:t>Other revenue</w:t>
            </w:r>
          </w:p>
        </w:tc>
        <w:tc>
          <w:tcPr>
            <w:tcW w:type="dxa" w:w="1400"/>
            <w:shd w:fill="000000"/>
            <w:vAlign w:val="center"/>
            <w:tcMar>
              <w:top w:w="100" w:type="dxa"/>
              <w:start w:w="120" w:type="dxa"/>
              <w:bottom w:w="100" w:type="dxa"/>
              <w:end w:w="120" w:type="dxa"/>
            </w:tcMar>
          </w:tcPr>
          <w:p>
            <w:pPr>
              <w:spacing w:line="360" w:lineRule="auto"/>
            </w:pPr>
            <w:r>
              <w:rPr>
                <w:rFonts w:ascii="Arial" w:hAnsi="Arial"/>
                <w:b/>
                <w:color w:val="FFFFFF"/>
                <w:sz w:val="24"/>
              </w:rPr>
              <w:t>Illustrative total</w:t>
            </w:r>
          </w:p>
        </w:tc>
      </w:tr>
      <w:tr>
        <w:trPr>
          <w:cantSplit w:val="true"/>
        </w:trPr>
        <w:tc>
          <w:tcPr>
            <w:tcW w:type="dxa" w:w="1900"/>
            <w:vAlign w:val="center"/>
            <w:tcMar>
              <w:top w:w="100" w:type="dxa"/>
              <w:start w:w="120" w:type="dxa"/>
              <w:bottom w:w="100" w:type="dxa"/>
              <w:end w:w="120" w:type="dxa"/>
            </w:tcMar>
          </w:tcPr>
          <w:p>
            <w:pPr>
              <w:spacing w:line="360" w:lineRule="auto" w:after="20"/>
            </w:pPr>
            <w:r>
              <w:rPr>
                <w:rFonts w:ascii="Arial" w:hAnsi="Arial"/>
                <w:sz w:val="24"/>
              </w:rPr>
              <w:t>Year 1 base forecast</w:t>
            </w:r>
          </w:p>
        </w:tc>
        <w:tc>
          <w:tcPr>
            <w:tcW w:type="dxa" w:w="2800"/>
            <w:vAlign w:val="center"/>
            <w:tcMar>
              <w:top w:w="100" w:type="dxa"/>
              <w:start w:w="120" w:type="dxa"/>
              <w:bottom w:w="100" w:type="dxa"/>
              <w:end w:w="120" w:type="dxa"/>
            </w:tcMar>
          </w:tcPr>
          <w:p>
            <w:pPr>
              <w:spacing w:line="360" w:lineRule="auto" w:after="20"/>
            </w:pPr>
            <w:r>
              <w:rPr>
                <w:rFonts w:ascii="Arial" w:hAnsi="Arial"/>
                <w:sz w:val="24"/>
              </w:rPr>
              <w:t>Average 100 premium users x £4.99 x 12 = £5,988</w:t>
            </w:r>
          </w:p>
        </w:tc>
        <w:tc>
          <w:tcPr>
            <w:tcW w:type="dxa" w:w="3020"/>
            <w:vAlign w:val="center"/>
            <w:tcMar>
              <w:top w:w="100" w:type="dxa"/>
              <w:start w:w="120" w:type="dxa"/>
              <w:bottom w:w="100" w:type="dxa"/>
              <w:end w:w="120" w:type="dxa"/>
            </w:tcMar>
          </w:tcPr>
          <w:p>
            <w:pPr>
              <w:spacing w:line="360" w:lineRule="auto" w:after="20"/>
            </w:pPr>
            <w:r>
              <w:rPr>
                <w:rFonts w:ascii="Arial" w:hAnsi="Arial"/>
                <w:sz w:val="24"/>
              </w:rPr>
              <w:t>Listings £11,700; advertising £4,000; commissions £1,200</w:t>
            </w:r>
          </w:p>
        </w:tc>
        <w:tc>
          <w:tcPr>
            <w:tcW w:type="dxa" w:w="1400"/>
            <w:vAlign w:val="center"/>
            <w:tcMar>
              <w:top w:w="100" w:type="dxa"/>
              <w:start w:w="120" w:type="dxa"/>
              <w:bottom w:w="100" w:type="dxa"/>
              <w:end w:w="120" w:type="dxa"/>
            </w:tcMar>
          </w:tcPr>
          <w:p>
            <w:pPr>
              <w:spacing w:line="360" w:lineRule="auto" w:after="20"/>
            </w:pPr>
            <w:r>
              <w:rPr>
                <w:rFonts w:ascii="Arial" w:hAnsi="Arial"/>
                <w:sz w:val="24"/>
              </w:rPr>
              <w:t>£22,888 (rounded £22,900)</w:t>
            </w:r>
          </w:p>
        </w:tc>
      </w:tr>
      <w:tr>
        <w:trPr>
          <w:cantSplit w:val="true"/>
        </w:trPr>
        <w:tc>
          <w:tcPr>
            <w:tcW w:type="dxa" w:w="1900"/>
            <w:vAlign w:val="center"/>
            <w:shd w:fill="F2F2F2"/>
            <w:tcMar>
              <w:top w:w="100" w:type="dxa"/>
              <w:start w:w="120" w:type="dxa"/>
              <w:bottom w:w="100" w:type="dxa"/>
              <w:end w:w="120" w:type="dxa"/>
            </w:tcMar>
          </w:tcPr>
          <w:p>
            <w:pPr>
              <w:spacing w:line="360" w:lineRule="auto" w:after="20"/>
            </w:pPr>
            <w:r>
              <w:rPr>
                <w:rFonts w:ascii="Arial" w:hAnsi="Arial"/>
                <w:sz w:val="24"/>
              </w:rPr>
              <w:t>Year 1 downside</w:t>
            </w:r>
          </w:p>
        </w:tc>
        <w:tc>
          <w:tcPr>
            <w:tcW w:type="dxa" w:w="2800"/>
            <w:vAlign w:val="center"/>
            <w:shd w:fill="F2F2F2"/>
            <w:tcMar>
              <w:top w:w="100" w:type="dxa"/>
              <w:start w:w="120" w:type="dxa"/>
              <w:bottom w:w="100" w:type="dxa"/>
              <w:end w:w="120" w:type="dxa"/>
            </w:tcMar>
          </w:tcPr>
          <w:p>
            <w:pPr>
              <w:spacing w:line="360" w:lineRule="auto" w:after="20"/>
            </w:pPr>
            <w:r>
              <w:rPr>
                <w:rFonts w:ascii="Arial" w:hAnsi="Arial"/>
                <w:sz w:val="24"/>
              </w:rPr>
              <w:t>Average 50 premium users x £4.99 x 12 = £2,994</w:t>
            </w:r>
          </w:p>
        </w:tc>
        <w:tc>
          <w:tcPr>
            <w:tcW w:type="dxa" w:w="3020"/>
            <w:vAlign w:val="center"/>
            <w:shd w:fill="F2F2F2"/>
            <w:tcMar>
              <w:top w:w="100" w:type="dxa"/>
              <w:start w:w="120" w:type="dxa"/>
              <w:bottom w:w="100" w:type="dxa"/>
              <w:end w:w="120" w:type="dxa"/>
            </w:tcMar>
          </w:tcPr>
          <w:p>
            <w:pPr>
              <w:spacing w:line="360" w:lineRule="auto" w:after="20"/>
            </w:pPr>
            <w:r>
              <w:rPr>
                <w:rFonts w:ascii="Arial" w:hAnsi="Arial"/>
                <w:sz w:val="24"/>
              </w:rPr>
              <w:t>Listings £5,850; advertising £2,000; commissions £600</w:t>
            </w:r>
          </w:p>
        </w:tc>
        <w:tc>
          <w:tcPr>
            <w:tcW w:type="dxa" w:w="1400"/>
            <w:vAlign w:val="center"/>
            <w:shd w:fill="F2F2F2"/>
            <w:tcMar>
              <w:top w:w="100" w:type="dxa"/>
              <w:start w:w="120" w:type="dxa"/>
              <w:bottom w:w="100" w:type="dxa"/>
              <w:end w:w="120" w:type="dxa"/>
            </w:tcMar>
          </w:tcPr>
          <w:p>
            <w:pPr>
              <w:spacing w:line="360" w:lineRule="auto" w:after="20"/>
            </w:pPr>
            <w:r>
              <w:rPr>
                <w:rFonts w:ascii="Arial" w:hAnsi="Arial"/>
                <w:sz w:val="24"/>
              </w:rPr>
              <w:t>£11,444</w:t>
            </w:r>
          </w:p>
        </w:tc>
      </w:tr>
      <w:tr>
        <w:trPr>
          <w:cantSplit w:val="true"/>
        </w:trPr>
        <w:tc>
          <w:tcPr>
            <w:tcW w:type="dxa" w:w="1900"/>
            <w:vAlign w:val="center"/>
            <w:tcMar>
              <w:top w:w="100" w:type="dxa"/>
              <w:start w:w="120" w:type="dxa"/>
              <w:bottom w:w="100" w:type="dxa"/>
              <w:end w:w="120" w:type="dxa"/>
            </w:tcMar>
          </w:tcPr>
          <w:p>
            <w:pPr>
              <w:spacing w:line="360" w:lineRule="auto" w:after="20"/>
            </w:pPr>
            <w:r>
              <w:rPr>
                <w:rFonts w:ascii="Arial" w:hAnsi="Arial"/>
                <w:sz w:val="24"/>
              </w:rPr>
              <w:t>Year 2 target</w:t>
            </w:r>
          </w:p>
        </w:tc>
        <w:tc>
          <w:tcPr>
            <w:tcW w:type="dxa" w:w="2800"/>
            <w:vAlign w:val="center"/>
            <w:tcMar>
              <w:top w:w="100" w:type="dxa"/>
              <w:start w:w="120" w:type="dxa"/>
              <w:bottom w:w="100" w:type="dxa"/>
              <w:end w:w="120" w:type="dxa"/>
            </w:tcMar>
          </w:tcPr>
          <w:p>
            <w:pPr>
              <w:spacing w:line="360" w:lineRule="auto" w:after="20"/>
            </w:pPr>
            <w:r>
              <w:rPr>
                <w:rFonts w:ascii="Arial" w:hAnsi="Arial"/>
                <w:sz w:val="24"/>
              </w:rPr>
              <w:t>250 average premium users = £14,970</w:t>
            </w:r>
          </w:p>
        </w:tc>
        <w:tc>
          <w:tcPr>
            <w:tcW w:type="dxa" w:w="3020"/>
            <w:vAlign w:val="center"/>
            <w:tcMar>
              <w:top w:w="100" w:type="dxa"/>
              <w:start w:w="120" w:type="dxa"/>
              <w:bottom w:w="100" w:type="dxa"/>
              <w:end w:w="120" w:type="dxa"/>
            </w:tcMar>
          </w:tcPr>
          <w:p>
            <w:pPr>
              <w:spacing w:line="360" w:lineRule="auto" w:after="20"/>
            </w:pPr>
            <w:r>
              <w:rPr>
                <w:rFonts w:ascii="Arial" w:hAnsi="Arial"/>
                <w:sz w:val="24"/>
              </w:rPr>
              <w:t>Listings, advertising and commissions approximately £65,000</w:t>
            </w:r>
          </w:p>
        </w:tc>
        <w:tc>
          <w:tcPr>
            <w:tcW w:type="dxa" w:w="1400"/>
            <w:vAlign w:val="center"/>
            <w:tcMar>
              <w:top w:w="100" w:type="dxa"/>
              <w:start w:w="120" w:type="dxa"/>
              <w:bottom w:w="100" w:type="dxa"/>
              <w:end w:w="120" w:type="dxa"/>
            </w:tcMar>
          </w:tcPr>
          <w:p>
            <w:pPr>
              <w:spacing w:line="360" w:lineRule="auto" w:after="20"/>
            </w:pPr>
            <w:r>
              <w:rPr>
                <w:rFonts w:ascii="Arial" w:hAnsi="Arial"/>
                <w:sz w:val="24"/>
              </w:rPr>
              <w:t>Approximately £80,000</w:t>
            </w:r>
          </w:p>
        </w:tc>
      </w:tr>
    </w:tbl>
    <w:p>
      <w:pPr>
        <w:spacing w:line="360" w:lineRule="auto"/>
      </w:pPr>
    </w:p>
    <w:p>
      <w:pPr>
        <w:pStyle w:val="Heading2"/>
        <w:keepNext/>
        <w:spacing w:before="160" w:after="100" w:line="360" w:lineRule="auto"/>
      </w:pPr>
      <w:r>
        <w:rPr>
          <w:rFonts w:ascii="Arial" w:hAnsi="Arial"/>
          <w:sz w:val="24"/>
        </w:rPr>
        <w:t>4.4 Cash-Flow Forecast</w:t>
      </w:r>
    </w:p>
    <w:p>
      <w:pPr>
        <w:keepNext/>
        <w:spacing w:line="360" w:lineRule="auto"/>
      </w:pPr>
      <w:r>
        <w:rPr>
          <w:rFonts w:ascii="Arial" w:hAnsi="Arial"/>
          <w:b/>
          <w:sz w:val="24"/>
        </w:rPr>
        <w:t>Table 10: Cash-flow forecast</w:t>
      </w:r>
    </w:p>
    <w:tbl>
      <w:tblPr>
        <w:tblStyle w:val="TableGrid"/>
        <w:tblW w:type="auto" w:w="0"/>
        <w:jc w:val="center"/>
        <w:tblLayout w:type="fixed"/>
        <w:tblLook w:firstColumn="1" w:firstRow="1" w:lastColumn="0" w:lastRow="0" w:noHBand="0" w:noVBand="1" w:val="04A0"/>
      </w:tblPr>
      <w:tblGrid>
        <w:gridCol w:w="1892"/>
        <w:gridCol w:w="1892"/>
        <w:gridCol w:w="1892"/>
        <w:gridCol w:w="1892"/>
        <w:gridCol w:w="1892"/>
      </w:tblGrid>
      <w:tr>
        <w:trPr>
          <w:cantSplit w:val="true"/>
          <w:tblHeader w:val="true"/>
        </w:trPr>
        <w:tc>
          <w:tcPr>
            <w:tcW w:type="dxa" w:w="1440"/>
            <w:shd w:fill="000000"/>
            <w:vAlign w:val="center"/>
            <w:tcMar>
              <w:top w:w="100" w:type="dxa"/>
              <w:start w:w="100" w:type="dxa"/>
              <w:bottom w:w="100" w:type="dxa"/>
              <w:end w:w="100" w:type="dxa"/>
            </w:tcMar>
          </w:tcPr>
          <w:p>
            <w:pPr>
              <w:spacing w:line="360" w:lineRule="auto"/>
            </w:pPr>
            <w:r>
              <w:rPr>
                <w:rFonts w:ascii="Arial" w:hAnsi="Arial"/>
                <w:b/>
                <w:color w:val="FFFFFF"/>
                <w:sz w:val="24"/>
              </w:rPr>
              <w:t>Month</w:t>
            </w:r>
          </w:p>
        </w:tc>
        <w:tc>
          <w:tcPr>
            <w:tcW w:type="dxa" w:w="2232"/>
            <w:shd w:fill="000000"/>
            <w:vAlign w:val="center"/>
            <w:tcMar>
              <w:top w:w="100" w:type="dxa"/>
              <w:start w:w="100" w:type="dxa"/>
              <w:bottom w:w="100" w:type="dxa"/>
              <w:end w:w="100" w:type="dxa"/>
            </w:tcMar>
          </w:tcPr>
          <w:p>
            <w:pPr>
              <w:spacing w:line="360" w:lineRule="auto"/>
            </w:pPr>
            <w:r>
              <w:rPr>
                <w:rFonts w:ascii="Arial" w:hAnsi="Arial"/>
                <w:b/>
                <w:color w:val="FFFFFF"/>
                <w:sz w:val="24"/>
              </w:rPr>
              <w:t>Opening balance</w:t>
            </w:r>
          </w:p>
        </w:tc>
        <w:tc>
          <w:tcPr>
            <w:tcW w:type="dxa" w:w="2088"/>
            <w:shd w:fill="000000"/>
            <w:vAlign w:val="center"/>
            <w:tcMar>
              <w:top w:w="100" w:type="dxa"/>
              <w:start w:w="100" w:type="dxa"/>
              <w:bottom w:w="100" w:type="dxa"/>
              <w:end w:w="100" w:type="dxa"/>
            </w:tcMar>
          </w:tcPr>
          <w:p>
            <w:pPr>
              <w:spacing w:line="360" w:lineRule="auto"/>
            </w:pPr>
            <w:r>
              <w:rPr>
                <w:rFonts w:ascii="Arial" w:hAnsi="Arial"/>
                <w:b/>
                <w:color w:val="FFFFFF"/>
                <w:sz w:val="24"/>
              </w:rPr>
              <w:t>Cash inflow</w:t>
            </w:r>
          </w:p>
        </w:tc>
        <w:tc>
          <w:tcPr>
            <w:tcW w:type="dxa" w:w="2088"/>
            <w:shd w:fill="000000"/>
            <w:vAlign w:val="center"/>
            <w:tcMar>
              <w:top w:w="100" w:type="dxa"/>
              <w:start w:w="100" w:type="dxa"/>
              <w:bottom w:w="100" w:type="dxa"/>
              <w:end w:w="100" w:type="dxa"/>
            </w:tcMar>
          </w:tcPr>
          <w:p>
            <w:pPr>
              <w:spacing w:line="360" w:lineRule="auto"/>
            </w:pPr>
            <w:r>
              <w:rPr>
                <w:rFonts w:ascii="Arial" w:hAnsi="Arial"/>
                <w:b/>
                <w:color w:val="FFFFFF"/>
                <w:sz w:val="24"/>
              </w:rPr>
              <w:t>Cash outflow</w:t>
            </w:r>
          </w:p>
        </w:tc>
        <w:tc>
          <w:tcPr>
            <w:tcW w:type="dxa" w:w="2232"/>
            <w:shd w:fill="000000"/>
            <w:vAlign w:val="center"/>
            <w:tcMar>
              <w:top w:w="100" w:type="dxa"/>
              <w:start w:w="100" w:type="dxa"/>
              <w:bottom w:w="100" w:type="dxa"/>
              <w:end w:w="100" w:type="dxa"/>
            </w:tcMar>
          </w:tcPr>
          <w:p>
            <w:pPr>
              <w:spacing w:line="360" w:lineRule="auto"/>
            </w:pPr>
            <w:r>
              <w:rPr>
                <w:rFonts w:ascii="Arial" w:hAnsi="Arial"/>
                <w:b/>
                <w:color w:val="FFFFFF"/>
                <w:sz w:val="24"/>
              </w:rPr>
              <w:t>Closing balance</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1</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£15,000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£13,000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£2,000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2</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£2,000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£500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£1,200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£1,300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3</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£1,300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£800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£1,250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£850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4</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£850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£1,200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£1,300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£750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5</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£750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£1,500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£1,350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£900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6</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£900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£1,800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£1,400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£1,300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7</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£1,300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£2,100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£1,450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£1,950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8</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£1,950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£2,400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£1,500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£2,850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9</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£2,850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£2,700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£1,550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£4,000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10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£4,000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£3,000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£1,600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£5,400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11</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£5,400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£3,300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£1,650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£7,050</w:t>
            </w:r>
          </w:p>
        </w:tc>
      </w:tr>
      <w:tr>
        <w:trPr>
          <w:cantSplit w:val="true"/>
        </w:trPr>
        <w:tc>
          <w:tcPr>
            <w:tcW w:type="dxa" w:w="1440"/>
            <w:vAlign w:val="center"/>
            <w:tcMar>
              <w:top w:w="100" w:type="dxa"/>
              <w:start w:w="100" w:type="dxa"/>
              <w:bottom w:w="100" w:type="dxa"/>
              <w:end w:w="100" w:type="dxa"/>
            </w:tcMar>
          </w:tcPr>
          <w:p>
            <w:pPr>
              <w:spacing w:line="360" w:lineRule="auto" w:after="20"/>
            </w:pPr>
            <w:r>
              <w:rPr>
                <w:rFonts w:ascii="Arial" w:hAnsi="Arial"/>
                <w:sz w:val="24"/>
              </w:rPr>
              <w:t>Month 12</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£7,050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£3,600</w:t>
            </w:r>
          </w:p>
        </w:tc>
        <w:tc>
          <w:tcPr>
            <w:tcW w:type="dxa" w:w="2088"/>
            <w:vAlign w:val="center"/>
            <w:tcMar>
              <w:top w:w="100" w:type="dxa"/>
              <w:start w:w="100" w:type="dxa"/>
              <w:bottom w:w="100" w:type="dxa"/>
              <w:end w:w="100" w:type="dxa"/>
            </w:tcMar>
          </w:tcPr>
          <w:p>
            <w:pPr>
              <w:spacing w:line="360" w:lineRule="auto" w:after="20"/>
            </w:pPr>
            <w:r>
              <w:rPr>
                <w:rFonts w:ascii="Arial" w:hAnsi="Arial"/>
                <w:sz w:val="24"/>
              </w:rPr>
              <w:t>£1,700</w:t>
            </w:r>
          </w:p>
        </w:tc>
        <w:tc>
          <w:tcPr>
            <w:tcW w:type="dxa" w:w="2232"/>
            <w:vAlign w:val="center"/>
            <w:tcMar>
              <w:top w:w="100" w:type="dxa"/>
              <w:start w:w="100" w:type="dxa"/>
              <w:bottom w:w="100" w:type="dxa"/>
              <w:end w:w="100" w:type="dxa"/>
            </w:tcMar>
          </w:tcPr>
          <w:p>
            <w:pPr>
              <w:spacing w:line="360" w:lineRule="auto" w:after="20"/>
            </w:pPr>
            <w:r>
              <w:rPr>
                <w:rFonts w:ascii="Arial" w:hAnsi="Arial"/>
                <w:sz w:val="24"/>
              </w:rPr>
              <w:t>£8,950</w:t>
            </w:r>
          </w:p>
        </w:tc>
      </w:tr>
    </w:tbl>
    <w:p>
      <w:pPr>
        <w:pStyle w:val="Heading2"/>
        <w:keepNext/>
        <w:spacing w:before="160" w:after="100" w:line="360" w:lineRule="auto"/>
      </w:pPr>
      <w:r>
        <w:rPr>
          <w:rFonts w:ascii="Arial" w:hAnsi="Arial"/>
          <w:sz w:val="24"/>
        </w:rPr>
        <w:t>4.5 Break-Even Analysis</w:t>
      </w:r>
    </w:p>
    <w:p>
      <w:pPr>
        <w:keepNext/>
        <w:spacing w:line="360" w:lineRule="auto"/>
      </w:pPr>
      <w:r>
        <w:rPr>
          <w:rFonts w:ascii="Arial" w:hAnsi="Arial"/>
          <w:b/>
          <w:sz w:val="24"/>
        </w:rPr>
        <w:t>Table 11: Break-even analysis</w:t>
      </w:r>
    </w:p>
    <w:tbl>
      <w:tblPr>
        <w:tblStyle w:val="TableGrid"/>
        <w:tblW w:type="auto" w:w="0"/>
        <w:jc w:val="center"/>
        <w:tblLayout w:type="fixed"/>
        <w:tblLook w:firstColumn="1" w:firstRow="1" w:lastColumn="0" w:lastRow="0" w:noHBand="0" w:noVBand="1" w:val="04A0"/>
      </w:tblPr>
      <w:tblGrid>
        <w:gridCol w:w="3154"/>
        <w:gridCol w:w="3154"/>
        <w:gridCol w:w="3154"/>
      </w:tblGrid>
      <w:tr>
        <w:trPr>
          <w:cantSplit w:val="true"/>
          <w:tblHeader w:val="true"/>
        </w:trPr>
        <w:tc>
          <w:tcPr>
            <w:tcW w:type="dxa" w:w="3456"/>
            <w:shd w:fill="000000"/>
            <w:vAlign w:val="center"/>
            <w:tcMar>
              <w:top w:w="100" w:type="dxa"/>
              <w:start w:w="100" w:type="dxa"/>
              <w:bottom w:w="100" w:type="dxa"/>
              <w:end w:w="100" w:type="dxa"/>
            </w:tcMar>
          </w:tcPr>
          <w:p>
            <w:pPr>
              <w:spacing w:line="360" w:lineRule="auto"/>
            </w:pPr>
            <w:r>
              <w:rPr>
                <w:rFonts w:ascii="Arial" w:hAnsi="Arial"/>
                <w:b/>
                <w:color w:val="FFFFFF"/>
                <w:sz w:val="24"/>
              </w:rPr>
              <w:t>Calculation item</w:t>
            </w:r>
          </w:p>
        </w:tc>
        <w:tc>
          <w:tcPr>
            <w:tcW w:type="dxa" w:w="2160"/>
            <w:shd w:fill="000000"/>
            <w:vAlign w:val="center"/>
            <w:tcMar>
              <w:top w:w="100" w:type="dxa"/>
              <w:start w:w="100" w:type="dxa"/>
              <w:bottom w:w="100" w:type="dxa"/>
              <w:end w:w="100" w:type="dxa"/>
            </w:tcMar>
          </w:tcPr>
          <w:p>
            <w:pPr>
              <w:spacing w:line="360" w:lineRule="auto"/>
            </w:pPr>
            <w:r>
              <w:rPr>
                <w:rFonts w:ascii="Arial" w:hAnsi="Arial"/>
                <w:b/>
                <w:color w:val="FFFFFF"/>
                <w:sz w:val="24"/>
              </w:rPr>
              <w:t>Amount/value</w:t>
            </w:r>
          </w:p>
        </w:tc>
        <w:tc>
          <w:tcPr>
            <w:tcW w:type="dxa" w:w="4464"/>
            <w:shd w:fill="000000"/>
            <w:vAlign w:val="center"/>
            <w:tcMar>
              <w:top w:w="100" w:type="dxa"/>
              <w:start w:w="100" w:type="dxa"/>
              <w:bottom w:w="100" w:type="dxa"/>
              <w:end w:w="100" w:type="dxa"/>
            </w:tcMar>
          </w:tcPr>
          <w:p>
            <w:pPr>
              <w:spacing w:line="360" w:lineRule="auto"/>
            </w:pPr>
            <w:r>
              <w:rPr>
                <w:rFonts w:ascii="Arial" w:hAnsi="Arial"/>
                <w:b/>
                <w:color w:val="FFFFFF"/>
                <w:sz w:val="24"/>
              </w:rPr>
              <w:t>Working</w:t>
            </w:r>
          </w:p>
        </w:tc>
      </w:tr>
      <w:tr>
        <w:trPr>
          <w:cantSplit w:val="true"/>
        </w:trPr>
        <w:tc>
          <w:tcPr>
            <w:tcW w:type="dxa" w:w="3456"/>
            <w:vAlign w:val="center"/>
            <w:tcMar>
              <w:top w:w="100" w:type="dxa"/>
              <w:start w:w="100" w:type="dxa"/>
              <w:bottom w:w="100" w:type="dxa"/>
              <w:end w:w="100" w:type="dxa"/>
            </w:tcMar>
          </w:tcPr>
          <w:p>
            <w:pPr>
              <w:spacing w:line="360" w:lineRule="auto" w:after="20"/>
            </w:pPr>
            <w:r>
              <w:rPr>
                <w:rFonts w:ascii="Arial" w:hAnsi="Arial"/>
                <w:sz w:val="24"/>
              </w:rPr>
              <w:t>Monthly fixed operating costs</w:t>
            </w:r>
          </w:p>
        </w:tc>
        <w:tc>
          <w:tcPr>
            <w:tcW w:type="dxa" w:w="2160"/>
            <w:vAlign w:val="center"/>
            <w:tcMar>
              <w:top w:w="100" w:type="dxa"/>
              <w:start w:w="100" w:type="dxa"/>
              <w:bottom w:w="100" w:type="dxa"/>
              <w:end w:w="100" w:type="dxa"/>
            </w:tcMar>
          </w:tcPr>
          <w:p>
            <w:pPr>
              <w:spacing w:line="360" w:lineRule="auto" w:after="20"/>
            </w:pPr>
            <w:r>
              <w:rPr>
                <w:rFonts w:ascii="Arial" w:hAnsi="Arial"/>
                <w:sz w:val="24"/>
              </w:rPr>
              <w:t>£1,200</w:t>
            </w:r>
          </w:p>
        </w:tc>
        <w:tc>
          <w:tcPr>
            <w:tcW w:type="dxa" w:w="4464"/>
            <w:vAlign w:val="center"/>
            <w:tcMar>
              <w:top w:w="100" w:type="dxa"/>
              <w:start w:w="100" w:type="dxa"/>
              <w:bottom w:w="100" w:type="dxa"/>
              <w:end w:w="100" w:type="dxa"/>
            </w:tcMar>
          </w:tcPr>
          <w:p>
            <w:pPr>
              <w:spacing w:line="360" w:lineRule="auto" w:after="20"/>
            </w:pPr>
            <w:r>
              <w:rPr>
                <w:rFonts w:ascii="Arial" w:hAnsi="Arial"/>
                <w:sz w:val="24"/>
              </w:rPr>
              <w:t>Hosting, maintenance, moderation, marketing, administration and estimated loan repayment.</w:t>
            </w:r>
          </w:p>
        </w:tc>
      </w:tr>
      <w:tr>
        <w:trPr>
          <w:cantSplit w:val="true"/>
        </w:trPr>
        <w:tc>
          <w:tcPr>
            <w:tcW w:type="dxa" w:w="3456"/>
            <w:vAlign w:val="center"/>
            <w:tcMar>
              <w:top w:w="100" w:type="dxa"/>
              <w:start w:w="100" w:type="dxa"/>
              <w:bottom w:w="100" w:type="dxa"/>
              <w:end w:w="100" w:type="dxa"/>
            </w:tcMar>
          </w:tcPr>
          <w:p>
            <w:pPr>
              <w:spacing w:line="360" w:lineRule="auto" w:after="20"/>
            </w:pPr>
            <w:r>
              <w:rPr>
                <w:rFonts w:ascii="Arial" w:hAnsi="Arial"/>
                <w:sz w:val="24"/>
              </w:rPr>
              <w:t>Premium subscription price</w:t>
            </w:r>
          </w:p>
        </w:tc>
        <w:tc>
          <w:tcPr>
            <w:tcW w:type="dxa" w:w="2160"/>
            <w:vAlign w:val="center"/>
            <w:tcMar>
              <w:top w:w="100" w:type="dxa"/>
              <w:start w:w="100" w:type="dxa"/>
              <w:bottom w:w="100" w:type="dxa"/>
              <w:end w:w="100" w:type="dxa"/>
            </w:tcMar>
          </w:tcPr>
          <w:p>
            <w:pPr>
              <w:spacing w:line="360" w:lineRule="auto" w:after="20"/>
            </w:pPr>
            <w:r>
              <w:rPr>
                <w:rFonts w:ascii="Arial" w:hAnsi="Arial"/>
                <w:sz w:val="24"/>
              </w:rPr>
              <w:t>£4.99</w:t>
            </w:r>
          </w:p>
        </w:tc>
        <w:tc>
          <w:tcPr>
            <w:tcW w:type="dxa" w:w="4464"/>
            <w:vAlign w:val="center"/>
            <w:tcMar>
              <w:top w:w="100" w:type="dxa"/>
              <w:start w:w="100" w:type="dxa"/>
              <w:bottom w:w="100" w:type="dxa"/>
              <w:end w:w="100" w:type="dxa"/>
            </w:tcMar>
          </w:tcPr>
          <w:p>
            <w:pPr>
              <w:spacing w:line="360" w:lineRule="auto" w:after="20"/>
            </w:pPr>
            <w:r>
              <w:rPr>
                <w:rFonts w:ascii="Arial" w:hAnsi="Arial"/>
                <w:sz w:val="24"/>
              </w:rPr>
              <w:t>Monthly premium price.</w:t>
            </w:r>
          </w:p>
        </w:tc>
      </w:tr>
      <w:tr>
        <w:trPr>
          <w:cantSplit w:val="true"/>
        </w:trPr>
        <w:tc>
          <w:tcPr>
            <w:tcW w:type="dxa" w:w="3456"/>
            <w:vAlign w:val="center"/>
            <w:tcMar>
              <w:top w:w="100" w:type="dxa"/>
              <w:start w:w="100" w:type="dxa"/>
              <w:bottom w:w="100" w:type="dxa"/>
              <w:end w:w="100" w:type="dxa"/>
            </w:tcMar>
          </w:tcPr>
          <w:p>
            <w:pPr>
              <w:spacing w:line="360" w:lineRule="auto" w:after="20"/>
            </w:pPr>
            <w:r>
              <w:rPr>
                <w:rFonts w:ascii="Arial" w:hAnsi="Arial"/>
                <w:sz w:val="24"/>
              </w:rPr>
              <w:t>Variable cost per premium user</w:t>
            </w:r>
          </w:p>
        </w:tc>
        <w:tc>
          <w:tcPr>
            <w:tcW w:type="dxa" w:w="2160"/>
            <w:vAlign w:val="center"/>
            <w:tcMar>
              <w:top w:w="100" w:type="dxa"/>
              <w:start w:w="100" w:type="dxa"/>
              <w:bottom w:w="100" w:type="dxa"/>
              <w:end w:w="100" w:type="dxa"/>
            </w:tcMar>
          </w:tcPr>
          <w:p>
            <w:pPr>
              <w:spacing w:line="360" w:lineRule="auto" w:after="20"/>
            </w:pPr>
            <w:r>
              <w:rPr>
                <w:rFonts w:ascii="Arial" w:hAnsi="Arial"/>
                <w:sz w:val="24"/>
              </w:rPr>
              <w:t>£0.49</w:t>
            </w:r>
          </w:p>
        </w:tc>
        <w:tc>
          <w:tcPr>
            <w:tcW w:type="dxa" w:w="4464"/>
            <w:vAlign w:val="center"/>
            <w:tcMar>
              <w:top w:w="100" w:type="dxa"/>
              <w:start w:w="100" w:type="dxa"/>
              <w:bottom w:w="100" w:type="dxa"/>
              <w:end w:w="100" w:type="dxa"/>
            </w:tcMar>
          </w:tcPr>
          <w:p>
            <w:pPr>
              <w:spacing w:line="360" w:lineRule="auto" w:after="20"/>
            </w:pPr>
            <w:r>
              <w:rPr>
                <w:rFonts w:ascii="Arial" w:hAnsi="Arial"/>
                <w:sz w:val="24"/>
              </w:rPr>
              <w:t>Estimated payment processing and additional service usage.</w:t>
            </w:r>
          </w:p>
        </w:tc>
      </w:tr>
      <w:tr>
        <w:trPr>
          <w:cantSplit w:val="true"/>
        </w:trPr>
        <w:tc>
          <w:tcPr>
            <w:tcW w:type="dxa" w:w="3456"/>
            <w:vAlign w:val="center"/>
            <w:tcMar>
              <w:top w:w="100" w:type="dxa"/>
              <w:start w:w="100" w:type="dxa"/>
              <w:bottom w:w="100" w:type="dxa"/>
              <w:end w:w="100" w:type="dxa"/>
            </w:tcMar>
          </w:tcPr>
          <w:p>
            <w:pPr>
              <w:spacing w:line="360" w:lineRule="auto" w:after="20"/>
            </w:pPr>
            <w:r>
              <w:rPr>
                <w:rFonts w:ascii="Arial" w:hAnsi="Arial"/>
                <w:sz w:val="24"/>
              </w:rPr>
              <w:t>Contribution per premium user</w:t>
            </w:r>
          </w:p>
        </w:tc>
        <w:tc>
          <w:tcPr>
            <w:tcW w:type="dxa" w:w="2160"/>
            <w:vAlign w:val="center"/>
            <w:tcMar>
              <w:top w:w="100" w:type="dxa"/>
              <w:start w:w="100" w:type="dxa"/>
              <w:bottom w:w="100" w:type="dxa"/>
              <w:end w:w="100" w:type="dxa"/>
            </w:tcMar>
          </w:tcPr>
          <w:p>
            <w:pPr>
              <w:spacing w:line="360" w:lineRule="auto" w:after="20"/>
            </w:pPr>
            <w:r>
              <w:rPr>
                <w:rFonts w:ascii="Arial" w:hAnsi="Arial"/>
                <w:sz w:val="24"/>
              </w:rPr>
              <w:t>£4.50</w:t>
            </w:r>
          </w:p>
        </w:tc>
        <w:tc>
          <w:tcPr>
            <w:tcW w:type="dxa" w:w="4464"/>
            <w:vAlign w:val="center"/>
            <w:tcMar>
              <w:top w:w="100" w:type="dxa"/>
              <w:start w:w="100" w:type="dxa"/>
              <w:bottom w:w="100" w:type="dxa"/>
              <w:end w:w="100" w:type="dxa"/>
            </w:tcMar>
          </w:tcPr>
          <w:p>
            <w:pPr>
              <w:spacing w:line="360" w:lineRule="auto" w:after="20"/>
            </w:pPr>
            <w:r>
              <w:rPr>
                <w:rFonts w:ascii="Arial" w:hAnsi="Arial"/>
                <w:sz w:val="24"/>
              </w:rPr>
              <w:t>£4.99 - £0.49.</w:t>
            </w:r>
          </w:p>
        </w:tc>
      </w:tr>
      <w:tr>
        <w:trPr>
          <w:cantSplit w:val="true"/>
        </w:trPr>
        <w:tc>
          <w:tcPr>
            <w:tcW w:type="dxa" w:w="3456"/>
            <w:vAlign w:val="center"/>
            <w:tcMar>
              <w:top w:w="100" w:type="dxa"/>
              <w:start w:w="100" w:type="dxa"/>
              <w:bottom w:w="100" w:type="dxa"/>
              <w:end w:w="100" w:type="dxa"/>
            </w:tcMar>
          </w:tcPr>
          <w:p>
            <w:pPr>
              <w:spacing w:line="360" w:lineRule="auto" w:after="20"/>
            </w:pPr>
            <w:r>
              <w:rPr>
                <w:rFonts w:ascii="Arial" w:hAnsi="Arial"/>
                <w:sz w:val="24"/>
              </w:rPr>
              <w:t>Premium-only break-even point</w:t>
            </w:r>
          </w:p>
        </w:tc>
        <w:tc>
          <w:tcPr>
            <w:tcW w:type="dxa" w:w="2160"/>
            <w:vAlign w:val="center"/>
            <w:tcMar>
              <w:top w:w="100" w:type="dxa"/>
              <w:start w:w="100" w:type="dxa"/>
              <w:bottom w:w="100" w:type="dxa"/>
              <w:end w:w="100" w:type="dxa"/>
            </w:tcMar>
          </w:tcPr>
          <w:p>
            <w:pPr>
              <w:spacing w:line="360" w:lineRule="auto" w:after="20"/>
            </w:pPr>
            <w:r>
              <w:rPr>
                <w:rFonts w:ascii="Arial" w:hAnsi="Arial"/>
                <w:sz w:val="24"/>
              </w:rPr>
              <w:t>267 users/month</w:t>
            </w:r>
          </w:p>
        </w:tc>
        <w:tc>
          <w:tcPr>
            <w:tcW w:type="dxa" w:w="4464"/>
            <w:vAlign w:val="center"/>
            <w:tcMar>
              <w:top w:w="100" w:type="dxa"/>
              <w:start w:w="100" w:type="dxa"/>
              <w:bottom w:w="100" w:type="dxa"/>
              <w:end w:w="100" w:type="dxa"/>
            </w:tcMar>
          </w:tcPr>
          <w:p>
            <w:pPr>
              <w:spacing w:line="360" w:lineRule="auto" w:after="20"/>
            </w:pPr>
            <w:r>
              <w:rPr>
                <w:rFonts w:ascii="Arial" w:hAnsi="Arial"/>
                <w:sz w:val="24"/>
              </w:rPr>
              <w:t>£1,200 / £4.50 = 266.7; round up. Advertising, listings and commissions would reduce this requirement.</w:t>
            </w:r>
          </w:p>
        </w:tc>
      </w:tr>
    </w:tbl>
    <w:p>
      <w:pPr>
        <w:pStyle w:val="Heading1"/>
        <w:keepNext/>
        <w:spacing w:before="200" w:after="100" w:line="360" w:lineRule="auto"/>
      </w:pPr>
      <w:r>
        <w:rPr>
          <w:rFonts w:ascii="Arial" w:hAnsi="Arial"/>
          <w:sz w:val="24"/>
        </w:rPr>
        <w:t>5. Reference List</w:t>
      </w:r>
    </w:p>
    <w:p>
      <w:pPr>
        <w:spacing w:line="360" w:lineRule="auto"/>
      </w:pPr>
      <w:r>
        <w:rPr>
          <w:rFonts w:ascii="Arial" w:hAnsi="Arial"/>
          <w:sz w:val="24"/>
        </w:rPr>
        <w:t>Barringer, B.R. and Ireland, R.D. (2019) Entrepreneurship: Successfully Launching New Ventures. 6th edn. Harlow: Pearson.</w:t>
      </w:r>
    </w:p>
    <w:p>
      <w:pPr>
        <w:spacing w:line="360" w:lineRule="auto"/>
      </w:pPr>
      <w:r>
        <w:rPr>
          <w:rFonts w:ascii="Arial" w:hAnsi="Arial"/>
          <w:sz w:val="24"/>
        </w:rPr>
        <w:t>Companies House (2026) Companies House fees. Available at: https://www.gov.uk/government/publications/companies-house-fees/companies-house-fees (Accessed: 26 July 2026).</w:t>
      </w:r>
    </w:p>
    <w:p>
      <w:pPr>
        <w:spacing w:line="360" w:lineRule="auto"/>
      </w:pPr>
      <w:r>
        <w:rPr>
          <w:rFonts w:ascii="Arial" w:hAnsi="Arial"/>
          <w:sz w:val="24"/>
        </w:rPr>
        <w:t>Higher Education Statistics Agency (HESA) (2026) Higher Education Student Statistics: UK, 2024/25. Available at: https://www.hesa.ac.uk/news/27-01-2026/sb273-higher-education-student-statistics (Accessed: 26 July 2026).</w:t>
      </w:r>
    </w:p>
    <w:p>
      <w:pPr>
        <w:spacing w:line="360" w:lineRule="auto"/>
      </w:pPr>
      <w:r>
        <w:rPr>
          <w:rFonts w:ascii="Arial" w:hAnsi="Arial"/>
          <w:sz w:val="24"/>
        </w:rPr>
        <w:t>Information Commissioner's Office (ICO) (2026) Data protection by design and by default. Available at: https://ico.org.uk/for-organisations/uk-gdpr-guidance-and-resources/accountability-and-governance/guide-to-accountability-and-governance/data-protection-by-design-and-by-default/ (Accessed: 26 July 2026).</w:t>
      </w:r>
    </w:p>
    <w:p>
      <w:pPr>
        <w:spacing w:line="360" w:lineRule="auto"/>
      </w:pPr>
      <w:r>
        <w:rPr>
          <w:rFonts w:ascii="Arial" w:hAnsi="Arial"/>
          <w:sz w:val="24"/>
        </w:rPr>
        <w:t>Kotler, P., Armstrong, G., Harris, L.C. and He, H. (2020) Principles of Marketing. 8th European edn. Harlow: Pearson.</w:t>
      </w:r>
    </w:p>
    <w:p>
      <w:pPr>
        <w:spacing w:line="360" w:lineRule="auto"/>
      </w:pPr>
      <w:r>
        <w:rPr>
          <w:rFonts w:ascii="Arial" w:hAnsi="Arial"/>
          <w:sz w:val="24"/>
        </w:rPr>
        <w:t>Li, L. and Wang, W. (2020) 'The effects of online trust-building mechanisms on trust in the sharing economy: The perspective of providers', Sustainability, 12(5), 1717. doi: 10.3390/su12051717.</w:t>
      </w:r>
    </w:p>
    <w:p>
      <w:pPr>
        <w:spacing w:line="360" w:lineRule="auto"/>
      </w:pPr>
      <w:r>
        <w:rPr>
          <w:rFonts w:ascii="Arial" w:hAnsi="Arial"/>
          <w:sz w:val="24"/>
        </w:rPr>
        <w:t>Mariotti, S. and Glackin, C. (2017) Entrepreneurship: Starting and Running a Small Business. 4th edn. Harlow: Pearson.</w:t>
      </w:r>
    </w:p>
    <w:p>
      <w:pPr>
        <w:spacing w:line="360" w:lineRule="auto"/>
      </w:pPr>
      <w:r>
        <w:rPr>
          <w:rFonts w:ascii="Arial" w:hAnsi="Arial"/>
          <w:sz w:val="24"/>
        </w:rPr>
        <w:t>Office for National Statistics (ONS) (2023) Cost of living and higher education students, England: 30 January to 13 February 2023. Available at: https://www.ons.gov.uk/peoplepopulationandcommunity/educationandchildcare/bulletins/costoflivingandhighereducationstudentsengland/30januaryto13february2023 (Accessed: 26 July 2026).</w:t>
      </w:r>
    </w:p>
    <w:p>
      <w:pPr>
        <w:spacing w:line="360" w:lineRule="auto"/>
      </w:pPr>
      <w:r>
        <w:rPr>
          <w:rFonts w:ascii="Arial" w:hAnsi="Arial"/>
          <w:sz w:val="24"/>
        </w:rPr>
        <w:t>Start Up Loans (2026) Start Up Business Loans. Available at: https://www.startuploans.co.uk/ (Accessed: 26 July 2026).</w:t>
      </w:r>
    </w:p>
    <w:p>
      <w:pPr>
        <w:spacing w:line="360" w:lineRule="auto"/>
      </w:pPr>
    </w:p>
    <w:sectPr>
      <w:footerReference w:type="default" r:id="rId11"/>
      <w:pgSz w:w="11906" w:h="16838"/>
      <w:pgMar w:top="1440" w:bottom="1440" w:left="1440" w:right="14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right"/>
    </w:pPr>
    <w:r>
      <w:rPr>
        <w:rFonts w:ascii="Arial" w:hAnsi="Arial"/>
        <w:b w:val="0"/>
        <w:i w:val="0"/>
        <w:color w:val="646464"/>
        <w:sz w:val="18"/>
      </w:rPr>
      <w:t xml:space="preserve">Page </w:t>
      <w:fldChar w:fldCharType="begin"/>
      <w:instrText xml:space="preserve"> PAGE </w:instrText>
      <w:fldChar w:fldCharType="end"/>
    </w:r>
  </w:p>
</w:ftr>
</file>

<file path=word/footer2.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spacing w:line="360" w:lineRule="auto"/>
      <w:jc w:val="center"/>
    </w:pPr>
    <w:r>
      <w:rPr>
        <w:rFonts w:ascii="Arial" w:hAnsi="Arial"/>
        <w:sz w:val="24"/>
      </w:rPr>
      <w:fldChar w:fldCharType="begin"/>
      <w:instrText xml:space="preserve"> PAGE </w:instrText>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abstractNum w:abstractNumId="9">
    <w:multiLevelType w:val="multilevel"/>
    <w:lvl w:ilvl="0">
      <w:start w:val="1"/>
      <w:numFmt w:val="bullet"/>
      <w:lvlText w:val="•"/>
      <w:suff w:val="tab"/>
      <w:pPr>
        <w:tabs>
          <w:tab w:val="num" w:pos="720"/>
        </w:tabs>
        <w:ind w:left="720" w:hanging="360"/>
      </w:pPr>
    </w:lvl>
    <w:lvl w:ilvl="1">
      <w:start w:val="1"/>
      <w:numFmt w:val="bullet"/>
      <w:lvlText w:val="•"/>
      <w:suff w:val="tab"/>
      <w:pPr>
        <w:tabs>
          <w:tab w:val="num" w:pos="1080"/>
        </w:tabs>
        <w:ind w:left="1080" w:hanging="360"/>
      </w:pPr>
    </w:lvl>
  </w:abstract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20"/>
    </w:pPr>
    <w:rPr>
      <w:rFonts w:ascii="Arial" w:hAnsi="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b/>
      <w:bCs/>
      <w:color w:val="000000"/>
      <w:sz w:val="2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b/>
      <w:bCs/>
      <w:color w:val="000000"/>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ascii="Arial" w:hAnsi="Arial"/>
      <w:b/>
      <w:bCs/>
      <w:color w:val="000000"/>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797979"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3B3B3B"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3B3B3B"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797979"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585858"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797979"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797979"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313131"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313131"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797979"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797979"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797979"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3B3B3B"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3B3B3B"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797979"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797979"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797979" w:themeColor="accent1"/>
    </w:rPr>
  </w:style>
  <w:style w:type="character" w:customStyle="1" w:styleId="IntenseQuoteChar">
    <w:name w:val="Intense Quote Char"/>
    <w:basedOn w:val="DefaultParagraphFont"/>
    <w:link w:val="IntenseQuote"/>
    <w:uiPriority w:val="30"/>
    <w:rsid w:val="00FC693F"/>
    <w:rPr>
      <w:b/>
      <w:bCs/>
      <w:i/>
      <w:iCs/>
      <w:color w:val="797979"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797979" w:themeColor="accent1"/>
    </w:rPr>
  </w:style>
  <w:style w:type="character" w:styleId="SubtleReference">
    <w:name w:val="Subtle Reference"/>
    <w:basedOn w:val="DefaultParagraphFont"/>
    <w:uiPriority w:val="31"/>
    <w:qFormat/>
    <w:rsid w:val="00FC693F"/>
    <w:rPr>
      <w:smallCaps/>
      <w:color w:val="717171" w:themeColor="accent2"/>
      <w:u w:val="single"/>
    </w:rPr>
  </w:style>
  <w:style w:type="character" w:styleId="IntenseReference">
    <w:name w:val="Intense Reference"/>
    <w:basedOn w:val="DefaultParagraphFont"/>
    <w:uiPriority w:val="32"/>
    <w:qFormat/>
    <w:rsid w:val="00FC693F"/>
    <w:rPr>
      <w:b/>
      <w:bCs/>
      <w:smallCaps/>
      <w:color w:val="717171"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585858"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DDDDD" w:themeFill="accent1" w:themeFillTint="3F"/>
      </w:tcPr>
    </w:tblStylePr>
    <w:tblStylePr w:type="band1Horz">
      <w:tblPr/>
      <w:tcPr>
        <w:tcBorders>
          <w:left w:val="nil"/>
          <w:right w:val="nil"/>
          <w:insideH w:val="nil"/>
          <w:insideV w:val="nil"/>
        </w:tcBorders>
        <w:shd w:val="clear" w:color="auto" w:fill="DDDDDD" w:themeFill="accent1" w:themeFillTint="3F"/>
      </w:tcPr>
    </w:tblStylePr>
  </w:style>
  <w:style w:type="table" w:styleId="LightShading-Accent2">
    <w:name w:val="Light Shading Accent 2"/>
    <w:basedOn w:val="TableNormal"/>
    <w:uiPriority w:val="60"/>
    <w:rsid w:val="00FC693F"/>
    <w:pPr>
      <w:spacing w:after="0" w:line="240" w:lineRule="auto"/>
    </w:pPr>
    <w:rPr>
      <w:color w:val="525252"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DBDB" w:themeFill="accent2" w:themeFillTint="3F"/>
      </w:tcPr>
    </w:tblStylePr>
    <w:tblStylePr w:type="band1Horz">
      <w:tblPr/>
      <w:tcPr>
        <w:tcBorders>
          <w:left w:val="nil"/>
          <w:right w:val="nil"/>
          <w:insideH w:val="nil"/>
          <w:insideV w:val="nil"/>
        </w:tcBorders>
        <w:shd w:val="clear" w:color="auto" w:fill="DBDBDB" w:themeFill="accent2" w:themeFillTint="3F"/>
      </w:tcPr>
    </w:tblStylePr>
  </w:style>
  <w:style w:type="table" w:styleId="LightShading-Accent3">
    <w:name w:val="Light Shading Accent 3"/>
    <w:basedOn w:val="TableNormal"/>
    <w:uiPriority w:val="60"/>
    <w:rsid w:val="00FC693F"/>
    <w:pPr>
      <w:spacing w:after="0" w:line="240" w:lineRule="auto"/>
    </w:pPr>
    <w:rPr>
      <w:color w:val="808080"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E9E9" w:themeFill="accent3" w:themeFillTint="3F"/>
      </w:tcPr>
    </w:tblStylePr>
    <w:tblStylePr w:type="band1Horz">
      <w:tblPr/>
      <w:tcPr>
        <w:tcBorders>
          <w:left w:val="nil"/>
          <w:right w:val="nil"/>
          <w:insideH w:val="nil"/>
          <w:insideV w:val="nil"/>
        </w:tcBorders>
        <w:shd w:val="clear" w:color="auto" w:fill="E9E9E9" w:themeFill="accent3" w:themeFillTint="3F"/>
      </w:tcPr>
    </w:tblStylePr>
  </w:style>
  <w:style w:type="table" w:styleId="LightShading-Accent4">
    <w:name w:val="Light Shading Accent 4"/>
    <w:basedOn w:val="TableNormal"/>
    <w:uiPriority w:val="60"/>
    <w:rsid w:val="00FC693F"/>
    <w:pPr>
      <w:spacing w:after="0" w:line="240" w:lineRule="auto"/>
    </w:pPr>
    <w:rPr>
      <w:color w:val="555555"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DCDC" w:themeFill="accent4" w:themeFillTint="3F"/>
      </w:tcPr>
    </w:tblStylePr>
    <w:tblStylePr w:type="band1Horz">
      <w:tblPr/>
      <w:tcPr>
        <w:tcBorders>
          <w:left w:val="nil"/>
          <w:right w:val="nil"/>
          <w:insideH w:val="nil"/>
          <w:insideV w:val="nil"/>
        </w:tcBorders>
        <w:shd w:val="clear" w:color="auto" w:fill="DCDCDC" w:themeFill="accent4" w:themeFillTint="3F"/>
      </w:tcPr>
    </w:tblStylePr>
  </w:style>
  <w:style w:type="table" w:styleId="LightShading-Accent5">
    <w:name w:val="Light Shading Accent 5"/>
    <w:basedOn w:val="TableNormal"/>
    <w:uiPriority w:val="60"/>
    <w:rsid w:val="00FC693F"/>
    <w:pPr>
      <w:spacing w:after="0" w:line="240" w:lineRule="auto"/>
    </w:pPr>
    <w:rPr>
      <w:color w:val="6E6E6E"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E4E4" w:themeFill="accent5" w:themeFillTint="3F"/>
      </w:tcPr>
    </w:tblStylePr>
    <w:tblStylePr w:type="band1Horz">
      <w:tblPr/>
      <w:tcPr>
        <w:tcBorders>
          <w:left w:val="nil"/>
          <w:right w:val="nil"/>
          <w:insideH w:val="nil"/>
          <w:insideV w:val="nil"/>
        </w:tcBorders>
        <w:shd w:val="clear" w:color="auto" w:fill="E4E4E4" w:themeFill="accent5" w:themeFillTint="3F"/>
      </w:tcPr>
    </w:tblStylePr>
  </w:style>
  <w:style w:type="table" w:styleId="LightShading-Accent6">
    <w:name w:val="Light Shading Accent 6"/>
    <w:basedOn w:val="TableNormal"/>
    <w:uiPriority w:val="60"/>
    <w:rsid w:val="00FC693F"/>
    <w:pPr>
      <w:spacing w:after="0" w:line="240" w:lineRule="auto"/>
    </w:pPr>
    <w:rPr>
      <w:color w:val="848484"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E9E9" w:themeFill="accent6" w:themeFillTint="3F"/>
      </w:tcPr>
    </w:tblStylePr>
    <w:tblStylePr w:type="band1Horz">
      <w:tblPr/>
      <w:tcPr>
        <w:tcBorders>
          <w:left w:val="nil"/>
          <w:right w:val="nil"/>
          <w:insideH w:val="nil"/>
          <w:insideV w:val="nil"/>
        </w:tcBorders>
        <w:shd w:val="clear" w:color="auto" w:fill="E9E9E9"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797979"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717171"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A6A6A6"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737373"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29292"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AAAAAA"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DDDDD"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DDDDD"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DBDBDB"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DBDBDB"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9E9E9"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9E9E9"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CDCDC"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CDCDC"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E4E4E4"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E4E4E4"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E9E9E9"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E9E9E9"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797979"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DDDDD" w:themeFill="accent1" w:themeFillTint="3F"/>
      </w:tcPr>
    </w:tblStylePr>
    <w:tblStylePr w:type="band1Horz">
      <w:tblPr/>
      <w:tcPr>
        <w:tcBorders>
          <w:insideH w:val="nil"/>
          <w:insideV w:val="nil"/>
        </w:tcBorders>
        <w:shd w:val="clear" w:color="auto" w:fill="DDDDDD"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717171"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DBDBDB" w:themeFill="accent2" w:themeFillTint="3F"/>
      </w:tcPr>
    </w:tblStylePr>
    <w:tblStylePr w:type="band1Horz">
      <w:tblPr/>
      <w:tcPr>
        <w:tcBorders>
          <w:insideH w:val="nil"/>
          <w:insideV w:val="nil"/>
        </w:tcBorders>
        <w:shd w:val="clear" w:color="auto" w:fill="DBDBD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A6A6A6"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9E9E9" w:themeFill="accent3" w:themeFillTint="3F"/>
      </w:tcPr>
    </w:tblStylePr>
    <w:tblStylePr w:type="band1Horz">
      <w:tblPr/>
      <w:tcPr>
        <w:tcBorders>
          <w:insideH w:val="nil"/>
          <w:insideV w:val="nil"/>
        </w:tcBorders>
        <w:shd w:val="clear" w:color="auto" w:fill="E9E9E9"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737373"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CDCDC" w:themeFill="accent4" w:themeFillTint="3F"/>
      </w:tcPr>
    </w:tblStylePr>
    <w:tblStylePr w:type="band1Horz">
      <w:tblPr/>
      <w:tcPr>
        <w:tcBorders>
          <w:insideH w:val="nil"/>
          <w:insideV w:val="nil"/>
        </w:tcBorders>
        <w:shd w:val="clear" w:color="auto" w:fill="DCDCD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929292"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E4E4E4" w:themeFill="accent5" w:themeFillTint="3F"/>
      </w:tcPr>
    </w:tblStylePr>
    <w:tblStylePr w:type="band1Horz">
      <w:tblPr/>
      <w:tcPr>
        <w:tcBorders>
          <w:insideH w:val="nil"/>
          <w:insideV w:val="nil"/>
        </w:tcBorders>
        <w:shd w:val="clear" w:color="auto" w:fill="E4E4E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AAAAAA"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E9E9E9" w:themeFill="accent6" w:themeFillTint="3F"/>
      </w:tcPr>
    </w:tblStylePr>
    <w:tblStylePr w:type="band1Horz">
      <w:tblPr/>
      <w:tcPr>
        <w:tcBorders>
          <w:insideH w:val="nil"/>
          <w:insideV w:val="nil"/>
        </w:tcBorders>
        <w:shd w:val="clear" w:color="auto" w:fill="E9E9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97979"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97979" w:themeFill="accent1"/>
      </w:tcPr>
    </w:tblStylePr>
    <w:tblStylePr w:type="lastCol">
      <w:rPr>
        <w:b/>
        <w:bCs/>
        <w:color w:val="FFFFFF" w:themeColor="background1"/>
      </w:rPr>
      <w:tblPr/>
      <w:tcPr>
        <w:tcBorders>
          <w:left w:val="nil"/>
          <w:right w:val="nil"/>
          <w:insideH w:val="nil"/>
          <w:insideV w:val="nil"/>
        </w:tcBorders>
        <w:shd w:val="clear" w:color="auto" w:fill="797979"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1717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17171" w:themeFill="accent2"/>
      </w:tcPr>
    </w:tblStylePr>
    <w:tblStylePr w:type="lastCol">
      <w:rPr>
        <w:b/>
        <w:bCs/>
        <w:color w:val="FFFFFF" w:themeColor="background1"/>
      </w:rPr>
      <w:tblPr/>
      <w:tcPr>
        <w:tcBorders>
          <w:left w:val="nil"/>
          <w:right w:val="nil"/>
          <w:insideH w:val="nil"/>
          <w:insideV w:val="nil"/>
        </w:tcBorders>
        <w:shd w:val="clear" w:color="auto" w:fill="71717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6A6A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6A6A6" w:themeFill="accent3"/>
      </w:tcPr>
    </w:tblStylePr>
    <w:tblStylePr w:type="lastCol">
      <w:rPr>
        <w:b/>
        <w:bCs/>
        <w:color w:val="FFFFFF" w:themeColor="background1"/>
      </w:rPr>
      <w:tblPr/>
      <w:tcPr>
        <w:tcBorders>
          <w:left w:val="nil"/>
          <w:right w:val="nil"/>
          <w:insideH w:val="nil"/>
          <w:insideV w:val="nil"/>
        </w:tcBorders>
        <w:shd w:val="clear" w:color="auto" w:fill="A6A6A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737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37373" w:themeFill="accent4"/>
      </w:tcPr>
    </w:tblStylePr>
    <w:tblStylePr w:type="lastCol">
      <w:rPr>
        <w:b/>
        <w:bCs/>
        <w:color w:val="FFFFFF" w:themeColor="background1"/>
      </w:rPr>
      <w:tblPr/>
      <w:tcPr>
        <w:tcBorders>
          <w:left w:val="nil"/>
          <w:right w:val="nil"/>
          <w:insideH w:val="nil"/>
          <w:insideV w:val="nil"/>
        </w:tcBorders>
        <w:shd w:val="clear" w:color="auto" w:fill="73737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29292"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29292" w:themeFill="accent5"/>
      </w:tcPr>
    </w:tblStylePr>
    <w:tblStylePr w:type="lastCol">
      <w:rPr>
        <w:b/>
        <w:bCs/>
        <w:color w:val="FFFFFF" w:themeColor="background1"/>
      </w:rPr>
      <w:tblPr/>
      <w:tcPr>
        <w:tcBorders>
          <w:left w:val="nil"/>
          <w:right w:val="nil"/>
          <w:insideH w:val="nil"/>
          <w:insideV w:val="nil"/>
        </w:tcBorders>
        <w:shd w:val="clear" w:color="auto" w:fill="929292"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AAAAA"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AAAAA" w:themeFill="accent6"/>
      </w:tcPr>
    </w:tblStylePr>
    <w:tblStylePr w:type="lastCol">
      <w:rPr>
        <w:b/>
        <w:bCs/>
        <w:color w:val="FFFFFF" w:themeColor="background1"/>
      </w:rPr>
      <w:tblPr/>
      <w:tcPr>
        <w:tcBorders>
          <w:left w:val="nil"/>
          <w:right w:val="nil"/>
          <w:insideH w:val="nil"/>
          <w:insideV w:val="nil"/>
        </w:tcBorders>
        <w:shd w:val="clear" w:color="auto" w:fill="AAAAAA"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24242"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424242"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DDDDD" w:themeFill="accent1" w:themeFillTint="3F"/>
      </w:tcPr>
    </w:tblStylePr>
    <w:tblStylePr w:type="band1Horz">
      <w:tblPr/>
      <w:tcPr>
        <w:shd w:val="clear" w:color="auto" w:fill="DDDDDD"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424242"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DBDBDB" w:themeFill="accent2" w:themeFillTint="3F"/>
      </w:tcPr>
    </w:tblStylePr>
    <w:tblStylePr w:type="band1Horz">
      <w:tblPr/>
      <w:tcPr>
        <w:shd w:val="clear" w:color="auto" w:fill="DBDBDB"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424242"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9E9E9" w:themeFill="accent3" w:themeFillTint="3F"/>
      </w:tcPr>
    </w:tblStylePr>
    <w:tblStylePr w:type="band1Horz">
      <w:tblPr/>
      <w:tcPr>
        <w:shd w:val="clear" w:color="auto" w:fill="E9E9E9"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424242"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CDCDC" w:themeFill="accent4" w:themeFillTint="3F"/>
      </w:tcPr>
    </w:tblStylePr>
    <w:tblStylePr w:type="band1Horz">
      <w:tblPr/>
      <w:tcPr>
        <w:shd w:val="clear" w:color="auto" w:fill="DCDCDC"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424242"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E4E4E4" w:themeFill="accent5" w:themeFillTint="3F"/>
      </w:tcPr>
    </w:tblStylePr>
    <w:tblStylePr w:type="band1Horz">
      <w:tblPr/>
      <w:tcPr>
        <w:shd w:val="clear" w:color="auto" w:fill="E4E4E4"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424242"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E9E9E9" w:themeFill="accent6" w:themeFillTint="3F"/>
      </w:tcPr>
    </w:tblStylePr>
    <w:tblStylePr w:type="band1Horz">
      <w:tblPr/>
      <w:tcPr>
        <w:shd w:val="clear" w:color="auto" w:fill="E9E9E9"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DDDDD" w:themeFill="accent1" w:themeFillTint="3F"/>
      </w:tcPr>
    </w:tblStylePr>
    <w:tblStylePr w:type="band1Horz">
      <w:tblPr/>
      <w:tcPr>
        <w:tcBorders>
          <w:top w:val="nil"/>
          <w:bottom w:val="nil"/>
          <w:insideH w:val="nil"/>
          <w:insideV w:val="nil"/>
        </w:tcBorders>
        <w:shd w:val="clear" w:color="auto" w:fill="DDDDDD"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DBDB" w:themeFill="accent2" w:themeFillTint="3F"/>
      </w:tcPr>
    </w:tblStylePr>
    <w:tblStylePr w:type="band1Horz">
      <w:tblPr/>
      <w:tcPr>
        <w:tcBorders>
          <w:top w:val="nil"/>
          <w:bottom w:val="nil"/>
          <w:insideH w:val="nil"/>
          <w:insideV w:val="nil"/>
        </w:tcBorders>
        <w:shd w:val="clear" w:color="auto" w:fill="DBDBD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E9E9" w:themeFill="accent3" w:themeFillTint="3F"/>
      </w:tcPr>
    </w:tblStylePr>
    <w:tblStylePr w:type="band1Horz">
      <w:tblPr/>
      <w:tcPr>
        <w:tcBorders>
          <w:top w:val="nil"/>
          <w:bottom w:val="nil"/>
          <w:insideH w:val="nil"/>
          <w:insideV w:val="nil"/>
        </w:tcBorders>
        <w:shd w:val="clear" w:color="auto" w:fill="E9E9E9"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DCDC" w:themeFill="accent4" w:themeFillTint="3F"/>
      </w:tcPr>
    </w:tblStylePr>
    <w:tblStylePr w:type="band1Horz">
      <w:tblPr/>
      <w:tcPr>
        <w:tcBorders>
          <w:top w:val="nil"/>
          <w:bottom w:val="nil"/>
          <w:insideH w:val="nil"/>
          <w:insideV w:val="nil"/>
        </w:tcBorders>
        <w:shd w:val="clear" w:color="auto" w:fill="DCDCD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E4E4" w:themeFill="accent5" w:themeFillTint="3F"/>
      </w:tcPr>
    </w:tblStylePr>
    <w:tblStylePr w:type="band1Horz">
      <w:tblPr/>
      <w:tcPr>
        <w:tcBorders>
          <w:top w:val="nil"/>
          <w:bottom w:val="nil"/>
          <w:insideH w:val="nil"/>
          <w:insideV w:val="nil"/>
        </w:tcBorders>
        <w:shd w:val="clear" w:color="auto" w:fill="E4E4E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E9E9" w:themeFill="accent6" w:themeFillTint="3F"/>
      </w:tcPr>
    </w:tblStylePr>
    <w:tblStylePr w:type="band1Horz">
      <w:tblPr/>
      <w:tcPr>
        <w:tcBorders>
          <w:top w:val="nil"/>
          <w:bottom w:val="nil"/>
          <w:insideH w:val="nil"/>
          <w:insideV w:val="nil"/>
        </w:tcBorders>
        <w:shd w:val="clear" w:color="auto" w:fill="E9E9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DDDDD"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BBBBBB" w:themeFill="accent1" w:themeFillTint="7F"/>
      </w:tcPr>
    </w:tblStylePr>
    <w:tblStylePr w:type="band1Horz">
      <w:tblPr/>
      <w:tcPr>
        <w:shd w:val="clear" w:color="auto" w:fill="BBBBBB"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DBDBDB"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B8B8B8" w:themeFill="accent2" w:themeFillTint="7F"/>
      </w:tcPr>
    </w:tblStylePr>
    <w:tblStylePr w:type="band1Horz">
      <w:tblPr/>
      <w:tcPr>
        <w:shd w:val="clear" w:color="auto" w:fill="B8B8B8"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9E9E9"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D3D3D3" w:themeFill="accent3" w:themeFillTint="7F"/>
      </w:tcPr>
    </w:tblStylePr>
    <w:tblStylePr w:type="band1Horz">
      <w:tblPr/>
      <w:tcPr>
        <w:shd w:val="clear" w:color="auto" w:fill="D3D3D3"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CDCDC"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9B9B9" w:themeFill="accent4" w:themeFillTint="7F"/>
      </w:tcPr>
    </w:tblStylePr>
    <w:tblStylePr w:type="band1Horz">
      <w:tblPr/>
      <w:tcPr>
        <w:shd w:val="clear" w:color="auto" w:fill="B9B9B9"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E4E4E4"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C8C8C8" w:themeFill="accent5" w:themeFillTint="7F"/>
      </w:tcPr>
    </w:tblStylePr>
    <w:tblStylePr w:type="band1Horz">
      <w:tblPr/>
      <w:tcPr>
        <w:shd w:val="clear" w:color="auto" w:fill="C8C8C8"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E9E9E9"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D4D4D4" w:themeFill="accent6" w:themeFillTint="7F"/>
      </w:tcPr>
    </w:tblStylePr>
    <w:tblStylePr w:type="band1Horz">
      <w:tblPr/>
      <w:tcPr>
        <w:shd w:val="clear" w:color="auto" w:fill="D4D4D4"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DDDDD" w:themeFill="accent1" w:themeFillTint="3F"/>
    </w:tcPr>
    <w:tblStylePr w:type="firstRow">
      <w:rPr>
        <w:b/>
        <w:bCs/>
        <w:color w:val="000000" w:themeColor="text1"/>
      </w:rPr>
      <w:tblPr/>
      <w:tcPr>
        <w:shd w:val="clear" w:color="auto" w:fill="F1F1F1"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3E3E3" w:themeFill="accent1" w:themeFillTint="33"/>
      </w:tcPr>
    </w:tblStylePr>
    <w:tblStylePr w:type="band1Vert">
      <w:tblPr/>
      <w:tcPr>
        <w:shd w:val="clear" w:color="auto" w:fill="BBBBBB" w:themeFill="accent1" w:themeFillTint="7F"/>
      </w:tcPr>
    </w:tblStylePr>
    <w:tblStylePr w:type="band1Horz">
      <w:tblPr/>
      <w:tcPr>
        <w:tcBorders>
          <w:insideH w:val="single" w:sz="6" w:space="0" w:color="4F81BD" w:themeColor="accent1"/>
          <w:insideV w:val="single" w:sz="6" w:space="0" w:color="4F81BD" w:themeColor="accent1"/>
        </w:tcBorders>
        <w:shd w:val="clear" w:color="auto" w:fill="BBBBBB"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DBDBDB" w:themeFill="accent2" w:themeFillTint="3F"/>
    </w:tcPr>
    <w:tblStylePr w:type="firstRow">
      <w:rPr>
        <w:b/>
        <w:bCs/>
        <w:color w:val="000000" w:themeColor="text1"/>
      </w:rPr>
      <w:tblPr/>
      <w:tcPr>
        <w:shd w:val="clear" w:color="auto" w:fill="F0F0F0"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2E2" w:themeFill="accent2" w:themeFillTint="33"/>
      </w:tcPr>
    </w:tblStylePr>
    <w:tblStylePr w:type="band1Vert">
      <w:tblPr/>
      <w:tcPr>
        <w:shd w:val="clear" w:color="auto" w:fill="B8B8B8" w:themeFill="accent2" w:themeFillTint="7F"/>
      </w:tcPr>
    </w:tblStylePr>
    <w:tblStylePr w:type="band1Horz">
      <w:tblPr/>
      <w:tcPr>
        <w:tcBorders>
          <w:insideH w:val="single" w:sz="6" w:space="0" w:color="C0504D" w:themeColor="accent2"/>
          <w:insideV w:val="single" w:sz="6" w:space="0" w:color="C0504D" w:themeColor="accent2"/>
        </w:tcBorders>
        <w:shd w:val="clear" w:color="auto" w:fill="B8B8B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9E9E9"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3D3D3" w:themeFill="accent3" w:themeFillTint="7F"/>
      </w:tcPr>
    </w:tblStylePr>
    <w:tblStylePr w:type="band1Horz">
      <w:tblPr/>
      <w:tcPr>
        <w:tcBorders>
          <w:insideH w:val="single" w:sz="6" w:space="0" w:color="9BBB59" w:themeColor="accent3"/>
          <w:insideV w:val="single" w:sz="6" w:space="0" w:color="9BBB59" w:themeColor="accent3"/>
        </w:tcBorders>
        <w:shd w:val="clear" w:color="auto" w:fill="D3D3D3"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CDCDC" w:themeFill="accent4" w:themeFillTint="3F"/>
    </w:tcPr>
    <w:tblStylePr w:type="firstRow">
      <w:rPr>
        <w:b/>
        <w:bCs/>
        <w:color w:val="000000" w:themeColor="text1"/>
      </w:rPr>
      <w:tblPr/>
      <w:tcPr>
        <w:shd w:val="clear" w:color="auto" w:fill="F1F1F1"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2E2" w:themeFill="accent4" w:themeFillTint="33"/>
      </w:tcPr>
    </w:tblStylePr>
    <w:tblStylePr w:type="band1Vert">
      <w:tblPr/>
      <w:tcPr>
        <w:shd w:val="clear" w:color="auto" w:fill="B9B9B9" w:themeFill="accent4" w:themeFillTint="7F"/>
      </w:tcPr>
    </w:tblStylePr>
    <w:tblStylePr w:type="band1Horz">
      <w:tblPr/>
      <w:tcPr>
        <w:tcBorders>
          <w:insideH w:val="single" w:sz="6" w:space="0" w:color="8064A2" w:themeColor="accent4"/>
          <w:insideV w:val="single" w:sz="6" w:space="0" w:color="8064A2" w:themeColor="accent4"/>
        </w:tcBorders>
        <w:shd w:val="clear" w:color="auto" w:fill="B9B9B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E4E4E4" w:themeFill="accent5" w:themeFillTint="3F"/>
    </w:tcPr>
    <w:tblStylePr w:type="firstRow">
      <w:rPr>
        <w:b/>
        <w:bCs/>
        <w:color w:val="000000" w:themeColor="text1"/>
      </w:rPr>
      <w:tblPr/>
      <w:tcPr>
        <w:shd w:val="clear" w:color="auto" w:fill="F4F4F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E9E9" w:themeFill="accent5" w:themeFillTint="33"/>
      </w:tcPr>
    </w:tblStylePr>
    <w:tblStylePr w:type="band1Vert">
      <w:tblPr/>
      <w:tcPr>
        <w:shd w:val="clear" w:color="auto" w:fill="C8C8C8" w:themeFill="accent5" w:themeFillTint="7F"/>
      </w:tcPr>
    </w:tblStylePr>
    <w:tblStylePr w:type="band1Horz">
      <w:tblPr/>
      <w:tcPr>
        <w:tcBorders>
          <w:insideH w:val="single" w:sz="6" w:space="0" w:color="4BACC6" w:themeColor="accent5"/>
          <w:insideV w:val="single" w:sz="6" w:space="0" w:color="4BACC6" w:themeColor="accent5"/>
        </w:tcBorders>
        <w:shd w:val="clear" w:color="auto" w:fill="C8C8C8"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E9E9E9" w:themeFill="accent6" w:themeFillTint="3F"/>
    </w:tcPr>
    <w:tblStylePr w:type="firstRow">
      <w:rPr>
        <w:b/>
        <w:bCs/>
        <w:color w:val="000000" w:themeColor="text1"/>
      </w:rPr>
      <w:tblPr/>
      <w:tcPr>
        <w:shd w:val="clear" w:color="auto" w:fill="F6F6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6" w:themeFillTint="33"/>
      </w:tcPr>
    </w:tblStylePr>
    <w:tblStylePr w:type="band1Vert">
      <w:tblPr/>
      <w:tcPr>
        <w:shd w:val="clear" w:color="auto" w:fill="D4D4D4" w:themeFill="accent6" w:themeFillTint="7F"/>
      </w:tcPr>
    </w:tblStylePr>
    <w:tblStylePr w:type="band1Horz">
      <w:tblPr/>
      <w:tcPr>
        <w:tcBorders>
          <w:insideH w:val="single" w:sz="6" w:space="0" w:color="F79646" w:themeColor="accent6"/>
          <w:insideV w:val="single" w:sz="6" w:space="0" w:color="F79646" w:themeColor="accent6"/>
        </w:tcBorders>
        <w:shd w:val="clear" w:color="auto" w:fill="D4D4D4"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DDDDD"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97979"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97979"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97979"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97979"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BBBBB"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BBBBB"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BDBD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1717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1717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1717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1717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8B8B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8B8B8"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9E9E9"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6A6A6"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6A6A6"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6A6A6"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6A6A6"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3D3D3"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3D3D3"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CDCD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737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737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737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737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9B9B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9B9B9"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4E4E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29292"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29292"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29292"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29292"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8C8C8"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8C8C8"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9E9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AAAAA"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AAAAA"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AAAAA"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AAAAA"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4D4D4"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4D4D4"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797979"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3B3B"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8585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85858" w:themeFill="accent1" w:themeFillShade="BF"/>
      </w:tcPr>
    </w:tblStylePr>
    <w:tblStylePr w:type="band1Vert">
      <w:tblPr/>
      <w:tcPr>
        <w:tcBorders>
          <w:top w:val="nil"/>
          <w:left w:val="nil"/>
          <w:bottom w:val="nil"/>
          <w:right w:val="nil"/>
          <w:insideH w:val="nil"/>
          <w:insideV w:val="nil"/>
        </w:tcBorders>
        <w:shd w:val="clear" w:color="auto" w:fill="585858" w:themeFill="accent1" w:themeFillShade="BF"/>
      </w:tcPr>
    </w:tblStylePr>
    <w:tblStylePr w:type="band1Horz">
      <w:tblPr/>
      <w:tcPr>
        <w:tcBorders>
          <w:top w:val="nil"/>
          <w:left w:val="nil"/>
          <w:bottom w:val="nil"/>
          <w:right w:val="nil"/>
          <w:insideH w:val="nil"/>
          <w:insideV w:val="nil"/>
        </w:tcBorders>
        <w:shd w:val="clear" w:color="auto" w:fill="585858"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71717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6363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52525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525252" w:themeFill="accent2" w:themeFillShade="BF"/>
      </w:tcPr>
    </w:tblStylePr>
    <w:tblStylePr w:type="band1Vert">
      <w:tblPr/>
      <w:tcPr>
        <w:tcBorders>
          <w:top w:val="nil"/>
          <w:left w:val="nil"/>
          <w:bottom w:val="nil"/>
          <w:right w:val="nil"/>
          <w:insideH w:val="nil"/>
          <w:insideV w:val="nil"/>
        </w:tcBorders>
        <w:shd w:val="clear" w:color="auto" w:fill="525252" w:themeFill="accent2" w:themeFillShade="BF"/>
      </w:tcPr>
    </w:tblStylePr>
    <w:tblStylePr w:type="band1Horz">
      <w:tblPr/>
      <w:tcPr>
        <w:tcBorders>
          <w:top w:val="nil"/>
          <w:left w:val="nil"/>
          <w:bottom w:val="nil"/>
          <w:right w:val="nil"/>
          <w:insideH w:val="nil"/>
          <w:insideV w:val="nil"/>
        </w:tcBorders>
        <w:shd w:val="clear" w:color="auto" w:fill="525252"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A6A6A6"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55555"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0808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08080" w:themeFill="accent3" w:themeFillShade="BF"/>
      </w:tcPr>
    </w:tblStylePr>
    <w:tblStylePr w:type="band1Vert">
      <w:tblPr/>
      <w:tcPr>
        <w:tcBorders>
          <w:top w:val="nil"/>
          <w:left w:val="nil"/>
          <w:bottom w:val="nil"/>
          <w:right w:val="nil"/>
          <w:insideH w:val="nil"/>
          <w:insideV w:val="nil"/>
        </w:tcBorders>
        <w:shd w:val="clear" w:color="auto" w:fill="808080" w:themeFill="accent3" w:themeFillShade="BF"/>
      </w:tcPr>
    </w:tblStylePr>
    <w:tblStylePr w:type="band1Horz">
      <w:tblPr/>
      <w:tcPr>
        <w:tcBorders>
          <w:top w:val="nil"/>
          <w:left w:val="nil"/>
          <w:bottom w:val="nil"/>
          <w:right w:val="nil"/>
          <w:insideH w:val="nil"/>
          <w:insideV w:val="nil"/>
        </w:tcBorders>
        <w:shd w:val="clear" w:color="auto" w:fill="808080"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73737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393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55555"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55555" w:themeFill="accent4" w:themeFillShade="BF"/>
      </w:tcPr>
    </w:tblStylePr>
    <w:tblStylePr w:type="band1Vert">
      <w:tblPr/>
      <w:tcPr>
        <w:tcBorders>
          <w:top w:val="nil"/>
          <w:left w:val="nil"/>
          <w:bottom w:val="nil"/>
          <w:right w:val="nil"/>
          <w:insideH w:val="nil"/>
          <w:insideV w:val="nil"/>
        </w:tcBorders>
        <w:shd w:val="clear" w:color="auto" w:fill="555555" w:themeFill="accent4" w:themeFillShade="BF"/>
      </w:tcPr>
    </w:tblStylePr>
    <w:tblStylePr w:type="band1Horz">
      <w:tblPr/>
      <w:tcPr>
        <w:tcBorders>
          <w:top w:val="nil"/>
          <w:left w:val="nil"/>
          <w:bottom w:val="nil"/>
          <w:right w:val="nil"/>
          <w:insideH w:val="nil"/>
          <w:insideV w:val="nil"/>
        </w:tcBorders>
        <w:shd w:val="clear" w:color="auto" w:fill="555555"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29292"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94949"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E6E6E"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E6E6E" w:themeFill="accent5" w:themeFillShade="BF"/>
      </w:tcPr>
    </w:tblStylePr>
    <w:tblStylePr w:type="band1Vert">
      <w:tblPr/>
      <w:tcPr>
        <w:tcBorders>
          <w:top w:val="nil"/>
          <w:left w:val="nil"/>
          <w:bottom w:val="nil"/>
          <w:right w:val="nil"/>
          <w:insideH w:val="nil"/>
          <w:insideV w:val="nil"/>
        </w:tcBorders>
        <w:shd w:val="clear" w:color="auto" w:fill="6E6E6E" w:themeFill="accent5" w:themeFillShade="BF"/>
      </w:tcPr>
    </w:tblStylePr>
    <w:tblStylePr w:type="band1Horz">
      <w:tblPr/>
      <w:tcPr>
        <w:tcBorders>
          <w:top w:val="nil"/>
          <w:left w:val="nil"/>
          <w:bottom w:val="nil"/>
          <w:right w:val="nil"/>
          <w:insideH w:val="nil"/>
          <w:insideV w:val="nil"/>
        </w:tcBorders>
        <w:shd w:val="clear" w:color="auto" w:fill="6E6E6E"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AAAAAA"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585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84848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848484" w:themeFill="accent6" w:themeFillShade="BF"/>
      </w:tcPr>
    </w:tblStylePr>
    <w:tblStylePr w:type="band1Vert">
      <w:tblPr/>
      <w:tcPr>
        <w:tcBorders>
          <w:top w:val="nil"/>
          <w:left w:val="nil"/>
          <w:bottom w:val="nil"/>
          <w:right w:val="nil"/>
          <w:insideH w:val="nil"/>
          <w:insideV w:val="nil"/>
        </w:tcBorders>
        <w:shd w:val="clear" w:color="auto" w:fill="848484" w:themeFill="accent6" w:themeFillShade="BF"/>
      </w:tcPr>
    </w:tblStylePr>
    <w:tblStylePr w:type="band1Horz">
      <w:tblPr/>
      <w:tcPr>
        <w:tcBorders>
          <w:top w:val="nil"/>
          <w:left w:val="nil"/>
          <w:bottom w:val="nil"/>
          <w:right w:val="nil"/>
          <w:insideH w:val="nil"/>
          <w:insideV w:val="nil"/>
        </w:tcBorders>
        <w:shd w:val="clear" w:color="auto" w:fill="848484"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1F1F1"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4747"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47474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4747" w:themeFill="accent1" w:themeFillShade="99"/>
      </w:tcPr>
    </w:tblStylePr>
    <w:tblStylePr w:type="band1Vert">
      <w:tblPr/>
      <w:tcPr>
        <w:shd w:val="clear" w:color="auto" w:fill="C9C9C9" w:themeFill="accent1" w:themeFillTint="66"/>
      </w:tcPr>
    </w:tblStylePr>
    <w:tblStylePr w:type="band1Horz">
      <w:tblPr/>
      <w:tcPr>
        <w:shd w:val="clear" w:color="auto" w:fill="BBBBBB"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0F0F0"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24242"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424242"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24242" w:themeFill="accent2" w:themeFillShade="99"/>
      </w:tcPr>
    </w:tblStylePr>
    <w:tblStylePr w:type="band1Vert">
      <w:tblPr/>
      <w:tcPr>
        <w:shd w:val="clear" w:color="auto" w:fill="C5C5C5" w:themeFill="accent2" w:themeFillTint="66"/>
      </w:tcPr>
    </w:tblStylePr>
    <w:tblStylePr w:type="band1Horz">
      <w:tblPr/>
      <w:tcPr>
        <w:shd w:val="clear" w:color="auto" w:fill="B8B8B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6F6F6"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66666"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666666"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66666" w:themeFill="accent3" w:themeFillShade="99"/>
      </w:tcPr>
    </w:tblStylePr>
    <w:tblStylePr w:type="band1Vert">
      <w:tblPr/>
      <w:tcPr>
        <w:shd w:val="clear" w:color="auto" w:fill="DBDBDB" w:themeFill="accent3" w:themeFillTint="66"/>
      </w:tcPr>
    </w:tblStylePr>
    <w:tblStylePr w:type="band1Horz">
      <w:tblPr/>
      <w:tcPr>
        <w:shd w:val="clear" w:color="auto" w:fill="D3D3D3"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1F1F1"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54545"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5454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54545" w:themeFill="accent4" w:themeFillShade="99"/>
      </w:tcPr>
    </w:tblStylePr>
    <w:tblStylePr w:type="band1Vert">
      <w:tblPr/>
      <w:tcPr>
        <w:shd w:val="clear" w:color="auto" w:fill="C6C6C6" w:themeFill="accent4" w:themeFillTint="66"/>
      </w:tcPr>
    </w:tblStylePr>
    <w:tblStylePr w:type="band1Horz">
      <w:tblPr/>
      <w:tcPr>
        <w:shd w:val="clear" w:color="auto" w:fill="B9B9B9"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4F4F4"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85858"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585858"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85858" w:themeFill="accent5" w:themeFillShade="99"/>
      </w:tcPr>
    </w:tblStylePr>
    <w:tblStylePr w:type="band1Vert">
      <w:tblPr/>
      <w:tcPr>
        <w:shd w:val="clear" w:color="auto" w:fill="D3D3D3" w:themeFill="accent5" w:themeFillTint="66"/>
      </w:tcPr>
    </w:tblStylePr>
    <w:tblStylePr w:type="band1Horz">
      <w:tblPr/>
      <w:tcPr>
        <w:shd w:val="clear" w:color="auto" w:fill="C8C8C8"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6F6F6"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6A6A"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6A6A6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A6A6A" w:themeFill="accent6" w:themeFillShade="99"/>
      </w:tcPr>
    </w:tblStylePr>
    <w:tblStylePr w:type="band1Vert">
      <w:tblPr/>
      <w:tcPr>
        <w:shd w:val="clear" w:color="auto" w:fill="DCDCDC" w:themeFill="accent6" w:themeFillTint="66"/>
      </w:tcPr>
    </w:tblStylePr>
    <w:tblStylePr w:type="band1Horz">
      <w:tblPr/>
      <w:tcPr>
        <w:shd w:val="clear" w:color="auto" w:fill="D4D4D4"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585858" w:themeFill="accent2" w:themeFillShade="CC"/>
      </w:tcPr>
    </w:tblStylePr>
    <w:tblStylePr w:type="lastRow">
      <w:rPr>
        <w:b/>
        <w:bCs/>
        <w:color w:val="58585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1F1F1" w:themeFill="accent1" w:themeFillTint="19"/>
    </w:tcPr>
    <w:tblStylePr w:type="firstRow">
      <w:rPr>
        <w:b/>
        <w:bCs/>
        <w:color w:val="FFFFFF" w:themeColor="background1"/>
      </w:rPr>
      <w:tblPr/>
      <w:tcPr>
        <w:tcBorders>
          <w:bottom w:val="single" w:sz="12" w:space="0" w:color="FFFFFF" w:themeColor="background1"/>
        </w:tcBorders>
        <w:shd w:val="clear" w:color="auto" w:fill="585858" w:themeFill="accent2" w:themeFillShade="CC"/>
      </w:tcPr>
    </w:tblStylePr>
    <w:tblStylePr w:type="lastRow">
      <w:rPr>
        <w:b/>
        <w:bCs/>
        <w:color w:val="58585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DDDDD" w:themeFill="accent1" w:themeFillTint="3F"/>
      </w:tcPr>
    </w:tblStylePr>
    <w:tblStylePr w:type="band1Horz">
      <w:tblPr/>
      <w:tcPr>
        <w:shd w:val="clear" w:color="auto" w:fill="E3E3E3"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0F0F0" w:themeFill="accent2" w:themeFillTint="19"/>
    </w:tcPr>
    <w:tblStylePr w:type="firstRow">
      <w:rPr>
        <w:b/>
        <w:bCs/>
        <w:color w:val="FFFFFF" w:themeColor="background1"/>
      </w:rPr>
      <w:tblPr/>
      <w:tcPr>
        <w:tcBorders>
          <w:bottom w:val="single" w:sz="12" w:space="0" w:color="FFFFFF" w:themeColor="background1"/>
        </w:tcBorders>
        <w:shd w:val="clear" w:color="auto" w:fill="585858" w:themeFill="accent2" w:themeFillShade="CC"/>
      </w:tcPr>
    </w:tblStylePr>
    <w:tblStylePr w:type="lastRow">
      <w:rPr>
        <w:b/>
        <w:bCs/>
        <w:color w:val="58585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DBDB" w:themeFill="accent2" w:themeFillTint="3F"/>
      </w:tcPr>
    </w:tblStylePr>
    <w:tblStylePr w:type="band1Horz">
      <w:tblPr/>
      <w:tcPr>
        <w:shd w:val="clear" w:color="auto" w:fill="E2E2E2"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5B5B5B" w:themeFill="accent4" w:themeFillShade="CC"/>
      </w:tcPr>
    </w:tblStylePr>
    <w:tblStylePr w:type="lastRow">
      <w:rPr>
        <w:b/>
        <w:bCs/>
        <w:color w:val="5B5B5B"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E9E9"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1F1F1" w:themeFill="accent4" w:themeFillTint="19"/>
    </w:tcPr>
    <w:tblStylePr w:type="firstRow">
      <w:rPr>
        <w:b/>
        <w:bCs/>
        <w:color w:val="FFFFFF" w:themeColor="background1"/>
      </w:rPr>
      <w:tblPr/>
      <w:tcPr>
        <w:tcBorders>
          <w:bottom w:val="single" w:sz="12" w:space="0" w:color="FFFFFF" w:themeColor="background1"/>
        </w:tcBorders>
        <w:shd w:val="clear" w:color="auto" w:fill="898989" w:themeFill="accent3" w:themeFillShade="CC"/>
      </w:tcPr>
    </w:tblStylePr>
    <w:tblStylePr w:type="lastRow">
      <w:rPr>
        <w:b/>
        <w:bCs/>
        <w:color w:val="898989"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DCDC" w:themeFill="accent4" w:themeFillTint="3F"/>
      </w:tcPr>
    </w:tblStylePr>
    <w:tblStylePr w:type="band1Horz">
      <w:tblPr/>
      <w:tcPr>
        <w:shd w:val="clear" w:color="auto" w:fill="E2E2E2"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4F4F4" w:themeFill="accent5" w:themeFillTint="19"/>
    </w:tcPr>
    <w:tblStylePr w:type="firstRow">
      <w:rPr>
        <w:b/>
        <w:bCs/>
        <w:color w:val="FFFFFF" w:themeColor="background1"/>
      </w:rPr>
      <w:tblPr/>
      <w:tcPr>
        <w:tcBorders>
          <w:bottom w:val="single" w:sz="12" w:space="0" w:color="FFFFFF" w:themeColor="background1"/>
        </w:tcBorders>
        <w:shd w:val="clear" w:color="auto" w:fill="8D8D8D" w:themeFill="accent6" w:themeFillShade="CC"/>
      </w:tcPr>
    </w:tblStylePr>
    <w:tblStylePr w:type="lastRow">
      <w:rPr>
        <w:b/>
        <w:bCs/>
        <w:color w:val="8D8D8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E4E4" w:themeFill="accent5" w:themeFillTint="3F"/>
      </w:tcPr>
    </w:tblStylePr>
    <w:tblStylePr w:type="band1Horz">
      <w:tblPr/>
      <w:tcPr>
        <w:shd w:val="clear" w:color="auto" w:fill="E9E9E9"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6F6F6" w:themeFill="accent6" w:themeFillTint="19"/>
    </w:tcPr>
    <w:tblStylePr w:type="firstRow">
      <w:rPr>
        <w:b/>
        <w:bCs/>
        <w:color w:val="FFFFFF" w:themeColor="background1"/>
      </w:rPr>
      <w:tblPr/>
      <w:tcPr>
        <w:tcBorders>
          <w:bottom w:val="single" w:sz="12" w:space="0" w:color="FFFFFF" w:themeColor="background1"/>
        </w:tcBorders>
        <w:shd w:val="clear" w:color="auto" w:fill="757575" w:themeFill="accent5" w:themeFillShade="CC"/>
      </w:tcPr>
    </w:tblStylePr>
    <w:tblStylePr w:type="lastRow">
      <w:rPr>
        <w:b/>
        <w:bCs/>
        <w:color w:val="7575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E9E9" w:themeFill="accent6" w:themeFillTint="3F"/>
      </w:tcPr>
    </w:tblStylePr>
    <w:tblStylePr w:type="band1Horz">
      <w:tblPr/>
      <w:tcPr>
        <w:shd w:val="clear" w:color="auto" w:fill="EDEDED"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3E3E3" w:themeFill="accent1" w:themeFillTint="33"/>
    </w:tcPr>
    <w:tblStylePr w:type="firstRow">
      <w:rPr>
        <w:b/>
        <w:bCs/>
      </w:rPr>
      <w:tblPr/>
      <w:tcPr>
        <w:shd w:val="clear" w:color="auto" w:fill="C9C9C9" w:themeFill="accent1" w:themeFillTint="66"/>
      </w:tcPr>
    </w:tblStylePr>
    <w:tblStylePr w:type="lastRow">
      <w:rPr>
        <w:b/>
        <w:bCs/>
        <w:color w:val="000000" w:themeColor="text1"/>
      </w:rPr>
      <w:tblPr/>
      <w:tcPr>
        <w:shd w:val="clear" w:color="auto" w:fill="C9C9C9" w:themeFill="accent1" w:themeFillTint="66"/>
      </w:tcPr>
    </w:tblStylePr>
    <w:tblStylePr w:type="firstCol">
      <w:rPr>
        <w:color w:val="FFFFFF" w:themeColor="background1"/>
      </w:rPr>
      <w:tblPr/>
      <w:tcPr>
        <w:shd w:val="clear" w:color="auto" w:fill="585858" w:themeFill="accent1" w:themeFillShade="BF"/>
      </w:tcPr>
    </w:tblStylePr>
    <w:tblStylePr w:type="lastCol">
      <w:rPr>
        <w:color w:val="FFFFFF" w:themeColor="background1"/>
      </w:rPr>
      <w:tblPr/>
      <w:tcPr>
        <w:shd w:val="clear" w:color="auto" w:fill="585858" w:themeFill="accent1" w:themeFillShade="BF"/>
      </w:tcPr>
    </w:tblStylePr>
    <w:tblStylePr w:type="band1Vert">
      <w:tblPr/>
      <w:tcPr>
        <w:shd w:val="clear" w:color="auto" w:fill="BBBBBB" w:themeFill="accent1" w:themeFillTint="7F"/>
      </w:tcPr>
    </w:tblStylePr>
    <w:tblStylePr w:type="band1Horz">
      <w:tblPr/>
      <w:tcPr>
        <w:shd w:val="clear" w:color="auto" w:fill="BBBBBB"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2E2E2" w:themeFill="accent2" w:themeFillTint="33"/>
    </w:tcPr>
    <w:tblStylePr w:type="firstRow">
      <w:rPr>
        <w:b/>
        <w:bCs/>
      </w:rPr>
      <w:tblPr/>
      <w:tcPr>
        <w:shd w:val="clear" w:color="auto" w:fill="C5C5C5" w:themeFill="accent2" w:themeFillTint="66"/>
      </w:tcPr>
    </w:tblStylePr>
    <w:tblStylePr w:type="lastRow">
      <w:rPr>
        <w:b/>
        <w:bCs/>
        <w:color w:val="000000" w:themeColor="text1"/>
      </w:rPr>
      <w:tblPr/>
      <w:tcPr>
        <w:shd w:val="clear" w:color="auto" w:fill="C5C5C5" w:themeFill="accent2" w:themeFillTint="66"/>
      </w:tcPr>
    </w:tblStylePr>
    <w:tblStylePr w:type="firstCol">
      <w:rPr>
        <w:color w:val="FFFFFF" w:themeColor="background1"/>
      </w:rPr>
      <w:tblPr/>
      <w:tcPr>
        <w:shd w:val="clear" w:color="auto" w:fill="525252" w:themeFill="accent2" w:themeFillShade="BF"/>
      </w:tcPr>
    </w:tblStylePr>
    <w:tblStylePr w:type="lastCol">
      <w:rPr>
        <w:color w:val="FFFFFF" w:themeColor="background1"/>
      </w:rPr>
      <w:tblPr/>
      <w:tcPr>
        <w:shd w:val="clear" w:color="auto" w:fill="525252" w:themeFill="accent2" w:themeFillShade="BF"/>
      </w:tcPr>
    </w:tblStylePr>
    <w:tblStylePr w:type="band1Vert">
      <w:tblPr/>
      <w:tcPr>
        <w:shd w:val="clear" w:color="auto" w:fill="B8B8B8" w:themeFill="accent2" w:themeFillTint="7F"/>
      </w:tcPr>
    </w:tblStylePr>
    <w:tblStylePr w:type="band1Horz">
      <w:tblPr/>
      <w:tcPr>
        <w:shd w:val="clear" w:color="auto" w:fill="B8B8B8"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808080" w:themeFill="accent3" w:themeFillShade="BF"/>
      </w:tcPr>
    </w:tblStylePr>
    <w:tblStylePr w:type="lastCol">
      <w:rPr>
        <w:color w:val="FFFFFF" w:themeColor="background1"/>
      </w:rPr>
      <w:tblPr/>
      <w:tcPr>
        <w:shd w:val="clear" w:color="auto" w:fill="808080" w:themeFill="accent3" w:themeFillShade="BF"/>
      </w:tcPr>
    </w:tblStylePr>
    <w:tblStylePr w:type="band1Vert">
      <w:tblPr/>
      <w:tcPr>
        <w:shd w:val="clear" w:color="auto" w:fill="D3D3D3" w:themeFill="accent3" w:themeFillTint="7F"/>
      </w:tcPr>
    </w:tblStylePr>
    <w:tblStylePr w:type="band1Horz">
      <w:tblPr/>
      <w:tcPr>
        <w:shd w:val="clear" w:color="auto" w:fill="D3D3D3"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2E2E2" w:themeFill="accent4" w:themeFillTint="33"/>
    </w:tcPr>
    <w:tblStylePr w:type="firstRow">
      <w:rPr>
        <w:b/>
        <w:bCs/>
      </w:rPr>
      <w:tblPr/>
      <w:tcPr>
        <w:shd w:val="clear" w:color="auto" w:fill="C6C6C6" w:themeFill="accent4" w:themeFillTint="66"/>
      </w:tcPr>
    </w:tblStylePr>
    <w:tblStylePr w:type="lastRow">
      <w:rPr>
        <w:b/>
        <w:bCs/>
        <w:color w:val="000000" w:themeColor="text1"/>
      </w:rPr>
      <w:tblPr/>
      <w:tcPr>
        <w:shd w:val="clear" w:color="auto" w:fill="C6C6C6" w:themeFill="accent4" w:themeFillTint="66"/>
      </w:tcPr>
    </w:tblStylePr>
    <w:tblStylePr w:type="firstCol">
      <w:rPr>
        <w:color w:val="FFFFFF" w:themeColor="background1"/>
      </w:rPr>
      <w:tblPr/>
      <w:tcPr>
        <w:shd w:val="clear" w:color="auto" w:fill="555555" w:themeFill="accent4" w:themeFillShade="BF"/>
      </w:tcPr>
    </w:tblStylePr>
    <w:tblStylePr w:type="lastCol">
      <w:rPr>
        <w:color w:val="FFFFFF" w:themeColor="background1"/>
      </w:rPr>
      <w:tblPr/>
      <w:tcPr>
        <w:shd w:val="clear" w:color="auto" w:fill="555555" w:themeFill="accent4" w:themeFillShade="BF"/>
      </w:tcPr>
    </w:tblStylePr>
    <w:tblStylePr w:type="band1Vert">
      <w:tblPr/>
      <w:tcPr>
        <w:shd w:val="clear" w:color="auto" w:fill="B9B9B9" w:themeFill="accent4" w:themeFillTint="7F"/>
      </w:tcPr>
    </w:tblStylePr>
    <w:tblStylePr w:type="band1Horz">
      <w:tblPr/>
      <w:tcPr>
        <w:shd w:val="clear" w:color="auto" w:fill="B9B9B9"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9E9E9" w:themeFill="accent5" w:themeFillTint="33"/>
    </w:tcPr>
    <w:tblStylePr w:type="firstRow">
      <w:rPr>
        <w:b/>
        <w:bCs/>
      </w:rPr>
      <w:tblPr/>
      <w:tcPr>
        <w:shd w:val="clear" w:color="auto" w:fill="D3D3D3" w:themeFill="accent5" w:themeFillTint="66"/>
      </w:tcPr>
    </w:tblStylePr>
    <w:tblStylePr w:type="lastRow">
      <w:rPr>
        <w:b/>
        <w:bCs/>
        <w:color w:val="000000" w:themeColor="text1"/>
      </w:rPr>
      <w:tblPr/>
      <w:tcPr>
        <w:shd w:val="clear" w:color="auto" w:fill="D3D3D3" w:themeFill="accent5" w:themeFillTint="66"/>
      </w:tcPr>
    </w:tblStylePr>
    <w:tblStylePr w:type="firstCol">
      <w:rPr>
        <w:color w:val="FFFFFF" w:themeColor="background1"/>
      </w:rPr>
      <w:tblPr/>
      <w:tcPr>
        <w:shd w:val="clear" w:color="auto" w:fill="6E6E6E" w:themeFill="accent5" w:themeFillShade="BF"/>
      </w:tcPr>
    </w:tblStylePr>
    <w:tblStylePr w:type="lastCol">
      <w:rPr>
        <w:color w:val="FFFFFF" w:themeColor="background1"/>
      </w:rPr>
      <w:tblPr/>
      <w:tcPr>
        <w:shd w:val="clear" w:color="auto" w:fill="6E6E6E" w:themeFill="accent5" w:themeFillShade="BF"/>
      </w:tcPr>
    </w:tblStylePr>
    <w:tblStylePr w:type="band1Vert">
      <w:tblPr/>
      <w:tcPr>
        <w:shd w:val="clear" w:color="auto" w:fill="C8C8C8" w:themeFill="accent5" w:themeFillTint="7F"/>
      </w:tcPr>
    </w:tblStylePr>
    <w:tblStylePr w:type="band1Horz">
      <w:tblPr/>
      <w:tcPr>
        <w:shd w:val="clear" w:color="auto" w:fill="C8C8C8"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DEDED" w:themeFill="accent6" w:themeFillTint="33"/>
    </w:tcPr>
    <w:tblStylePr w:type="firstRow">
      <w:rPr>
        <w:b/>
        <w:bCs/>
      </w:rPr>
      <w:tblPr/>
      <w:tcPr>
        <w:shd w:val="clear" w:color="auto" w:fill="DCDCDC" w:themeFill="accent6" w:themeFillTint="66"/>
      </w:tcPr>
    </w:tblStylePr>
    <w:tblStylePr w:type="lastRow">
      <w:rPr>
        <w:b/>
        <w:bCs/>
        <w:color w:val="000000" w:themeColor="text1"/>
      </w:rPr>
      <w:tblPr/>
      <w:tcPr>
        <w:shd w:val="clear" w:color="auto" w:fill="DCDCDC" w:themeFill="accent6" w:themeFillTint="66"/>
      </w:tcPr>
    </w:tblStylePr>
    <w:tblStylePr w:type="firstCol">
      <w:rPr>
        <w:color w:val="FFFFFF" w:themeColor="background1"/>
      </w:rPr>
      <w:tblPr/>
      <w:tcPr>
        <w:shd w:val="clear" w:color="auto" w:fill="848484" w:themeFill="accent6" w:themeFillShade="BF"/>
      </w:tcPr>
    </w:tblStylePr>
    <w:tblStylePr w:type="lastCol">
      <w:rPr>
        <w:color w:val="FFFFFF" w:themeColor="background1"/>
      </w:rPr>
      <w:tblPr/>
      <w:tcPr>
        <w:shd w:val="clear" w:color="auto" w:fill="848484" w:themeFill="accent6" w:themeFillShade="BF"/>
      </w:tcPr>
    </w:tblStylePr>
    <w:tblStylePr w:type="band1Vert">
      <w:tblPr/>
      <w:tcPr>
        <w:shd w:val="clear" w:color="auto" w:fill="D4D4D4" w:themeFill="accent6" w:themeFillTint="7F"/>
      </w:tcPr>
    </w:tblStylePr>
    <w:tblStylePr w:type="band1Horz">
      <w:tblPr/>
      <w:tcPr>
        <w:shd w:val="clear" w:color="auto" w:fill="D4D4D4"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585858"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797979"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797979"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797979"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3B3B3B"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3B3B3B"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797979"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585858"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797979"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797979"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313131"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313131"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797979"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797979"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797979"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3B3B3B"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3B3B3B"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797979"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797979"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797979" w:themeColor="accent1"/>
    </w:rPr>
  </w:style>
  <w:style w:type="character" w:customStyle="1" w:styleId="IntenseQuoteChar">
    <w:name w:val="Intense Quote Char"/>
    <w:basedOn w:val="DefaultParagraphFont"/>
    <w:link w:val="IntenseQuote"/>
    <w:uiPriority w:val="30"/>
    <w:rsid w:val="00FC693F"/>
    <w:rPr>
      <w:b/>
      <w:bCs/>
      <w:i/>
      <w:iCs/>
      <w:color w:val="797979"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797979" w:themeColor="accent1"/>
    </w:rPr>
  </w:style>
  <w:style w:type="character" w:styleId="SubtleReference">
    <w:name w:val="Subtle Reference"/>
    <w:basedOn w:val="DefaultParagraphFont"/>
    <w:uiPriority w:val="31"/>
    <w:qFormat/>
    <w:rsid w:val="00FC693F"/>
    <w:rPr>
      <w:smallCaps/>
      <w:color w:val="717171" w:themeColor="accent2"/>
      <w:u w:val="single"/>
    </w:rPr>
  </w:style>
  <w:style w:type="character" w:styleId="IntenseReference">
    <w:name w:val="Intense Reference"/>
    <w:basedOn w:val="DefaultParagraphFont"/>
    <w:uiPriority w:val="32"/>
    <w:qFormat/>
    <w:rsid w:val="00FC693F"/>
    <w:rPr>
      <w:b/>
      <w:bCs/>
      <w:smallCaps/>
      <w:color w:val="717171"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585858"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DDDDD" w:themeFill="accent1" w:themeFillTint="3F"/>
      </w:tcPr>
    </w:tblStylePr>
    <w:tblStylePr w:type="band1Horz">
      <w:tblPr/>
      <w:tcPr>
        <w:tcBorders>
          <w:left w:val="nil"/>
          <w:right w:val="nil"/>
          <w:insideH w:val="nil"/>
          <w:insideV w:val="nil"/>
        </w:tcBorders>
        <w:shd w:val="clear" w:color="auto" w:fill="DDDDDD" w:themeFill="accent1" w:themeFillTint="3F"/>
      </w:tcPr>
    </w:tblStylePr>
  </w:style>
  <w:style w:type="table" w:styleId="LightShading-Accent2">
    <w:name w:val="Light Shading Accent 2"/>
    <w:basedOn w:val="TableNormal"/>
    <w:uiPriority w:val="60"/>
    <w:rsid w:val="00FC693F"/>
    <w:pPr>
      <w:spacing w:after="0" w:line="240" w:lineRule="auto"/>
    </w:pPr>
    <w:rPr>
      <w:color w:val="525252"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DBDB" w:themeFill="accent2" w:themeFillTint="3F"/>
      </w:tcPr>
    </w:tblStylePr>
    <w:tblStylePr w:type="band1Horz">
      <w:tblPr/>
      <w:tcPr>
        <w:tcBorders>
          <w:left w:val="nil"/>
          <w:right w:val="nil"/>
          <w:insideH w:val="nil"/>
          <w:insideV w:val="nil"/>
        </w:tcBorders>
        <w:shd w:val="clear" w:color="auto" w:fill="DBDBDB" w:themeFill="accent2" w:themeFillTint="3F"/>
      </w:tcPr>
    </w:tblStylePr>
  </w:style>
  <w:style w:type="table" w:styleId="LightShading-Accent3">
    <w:name w:val="Light Shading Accent 3"/>
    <w:basedOn w:val="TableNormal"/>
    <w:uiPriority w:val="60"/>
    <w:rsid w:val="00FC693F"/>
    <w:pPr>
      <w:spacing w:after="0" w:line="240" w:lineRule="auto"/>
    </w:pPr>
    <w:rPr>
      <w:color w:val="808080"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E9E9" w:themeFill="accent3" w:themeFillTint="3F"/>
      </w:tcPr>
    </w:tblStylePr>
    <w:tblStylePr w:type="band1Horz">
      <w:tblPr/>
      <w:tcPr>
        <w:tcBorders>
          <w:left w:val="nil"/>
          <w:right w:val="nil"/>
          <w:insideH w:val="nil"/>
          <w:insideV w:val="nil"/>
        </w:tcBorders>
        <w:shd w:val="clear" w:color="auto" w:fill="E9E9E9" w:themeFill="accent3" w:themeFillTint="3F"/>
      </w:tcPr>
    </w:tblStylePr>
  </w:style>
  <w:style w:type="table" w:styleId="LightShading-Accent4">
    <w:name w:val="Light Shading Accent 4"/>
    <w:basedOn w:val="TableNormal"/>
    <w:uiPriority w:val="60"/>
    <w:rsid w:val="00FC693F"/>
    <w:pPr>
      <w:spacing w:after="0" w:line="240" w:lineRule="auto"/>
    </w:pPr>
    <w:rPr>
      <w:color w:val="555555"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DCDC" w:themeFill="accent4" w:themeFillTint="3F"/>
      </w:tcPr>
    </w:tblStylePr>
    <w:tblStylePr w:type="band1Horz">
      <w:tblPr/>
      <w:tcPr>
        <w:tcBorders>
          <w:left w:val="nil"/>
          <w:right w:val="nil"/>
          <w:insideH w:val="nil"/>
          <w:insideV w:val="nil"/>
        </w:tcBorders>
        <w:shd w:val="clear" w:color="auto" w:fill="DCDCDC" w:themeFill="accent4" w:themeFillTint="3F"/>
      </w:tcPr>
    </w:tblStylePr>
  </w:style>
  <w:style w:type="table" w:styleId="LightShading-Accent5">
    <w:name w:val="Light Shading Accent 5"/>
    <w:basedOn w:val="TableNormal"/>
    <w:uiPriority w:val="60"/>
    <w:rsid w:val="00FC693F"/>
    <w:pPr>
      <w:spacing w:after="0" w:line="240" w:lineRule="auto"/>
    </w:pPr>
    <w:rPr>
      <w:color w:val="6E6E6E"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E4E4" w:themeFill="accent5" w:themeFillTint="3F"/>
      </w:tcPr>
    </w:tblStylePr>
    <w:tblStylePr w:type="band1Horz">
      <w:tblPr/>
      <w:tcPr>
        <w:tcBorders>
          <w:left w:val="nil"/>
          <w:right w:val="nil"/>
          <w:insideH w:val="nil"/>
          <w:insideV w:val="nil"/>
        </w:tcBorders>
        <w:shd w:val="clear" w:color="auto" w:fill="E4E4E4" w:themeFill="accent5" w:themeFillTint="3F"/>
      </w:tcPr>
    </w:tblStylePr>
  </w:style>
  <w:style w:type="table" w:styleId="LightShading-Accent6">
    <w:name w:val="Light Shading Accent 6"/>
    <w:basedOn w:val="TableNormal"/>
    <w:uiPriority w:val="60"/>
    <w:rsid w:val="00FC693F"/>
    <w:pPr>
      <w:spacing w:after="0" w:line="240" w:lineRule="auto"/>
    </w:pPr>
    <w:rPr>
      <w:color w:val="848484"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E9E9" w:themeFill="accent6" w:themeFillTint="3F"/>
      </w:tcPr>
    </w:tblStylePr>
    <w:tblStylePr w:type="band1Horz">
      <w:tblPr/>
      <w:tcPr>
        <w:tcBorders>
          <w:left w:val="nil"/>
          <w:right w:val="nil"/>
          <w:insideH w:val="nil"/>
          <w:insideV w:val="nil"/>
        </w:tcBorders>
        <w:shd w:val="clear" w:color="auto" w:fill="E9E9E9"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797979"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717171"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A6A6A6"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737373"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29292"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AAAAAA"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DDDDD"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DDDDD"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DBDBDB"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DBDBDB"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9E9E9"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9E9E9"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CDCDC"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CDCDC"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E4E4E4"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E4E4E4"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E9E9E9"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E9E9E9"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797979"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DDDDD" w:themeFill="accent1" w:themeFillTint="3F"/>
      </w:tcPr>
    </w:tblStylePr>
    <w:tblStylePr w:type="band1Horz">
      <w:tblPr/>
      <w:tcPr>
        <w:tcBorders>
          <w:insideH w:val="nil"/>
          <w:insideV w:val="nil"/>
        </w:tcBorders>
        <w:shd w:val="clear" w:color="auto" w:fill="DDDDDD"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717171"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DBDBDB" w:themeFill="accent2" w:themeFillTint="3F"/>
      </w:tcPr>
    </w:tblStylePr>
    <w:tblStylePr w:type="band1Horz">
      <w:tblPr/>
      <w:tcPr>
        <w:tcBorders>
          <w:insideH w:val="nil"/>
          <w:insideV w:val="nil"/>
        </w:tcBorders>
        <w:shd w:val="clear" w:color="auto" w:fill="DBDBD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A6A6A6"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9E9E9" w:themeFill="accent3" w:themeFillTint="3F"/>
      </w:tcPr>
    </w:tblStylePr>
    <w:tblStylePr w:type="band1Horz">
      <w:tblPr/>
      <w:tcPr>
        <w:tcBorders>
          <w:insideH w:val="nil"/>
          <w:insideV w:val="nil"/>
        </w:tcBorders>
        <w:shd w:val="clear" w:color="auto" w:fill="E9E9E9"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737373"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CDCDC" w:themeFill="accent4" w:themeFillTint="3F"/>
      </w:tcPr>
    </w:tblStylePr>
    <w:tblStylePr w:type="band1Horz">
      <w:tblPr/>
      <w:tcPr>
        <w:tcBorders>
          <w:insideH w:val="nil"/>
          <w:insideV w:val="nil"/>
        </w:tcBorders>
        <w:shd w:val="clear" w:color="auto" w:fill="DCDCD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929292"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E4E4E4" w:themeFill="accent5" w:themeFillTint="3F"/>
      </w:tcPr>
    </w:tblStylePr>
    <w:tblStylePr w:type="band1Horz">
      <w:tblPr/>
      <w:tcPr>
        <w:tcBorders>
          <w:insideH w:val="nil"/>
          <w:insideV w:val="nil"/>
        </w:tcBorders>
        <w:shd w:val="clear" w:color="auto" w:fill="E4E4E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AAAAAA"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E9E9E9" w:themeFill="accent6" w:themeFillTint="3F"/>
      </w:tcPr>
    </w:tblStylePr>
    <w:tblStylePr w:type="band1Horz">
      <w:tblPr/>
      <w:tcPr>
        <w:tcBorders>
          <w:insideH w:val="nil"/>
          <w:insideV w:val="nil"/>
        </w:tcBorders>
        <w:shd w:val="clear" w:color="auto" w:fill="E9E9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97979"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97979" w:themeFill="accent1"/>
      </w:tcPr>
    </w:tblStylePr>
    <w:tblStylePr w:type="lastCol">
      <w:rPr>
        <w:b/>
        <w:bCs/>
        <w:color w:val="FFFFFF" w:themeColor="background1"/>
      </w:rPr>
      <w:tblPr/>
      <w:tcPr>
        <w:tcBorders>
          <w:left w:val="nil"/>
          <w:right w:val="nil"/>
          <w:insideH w:val="nil"/>
          <w:insideV w:val="nil"/>
        </w:tcBorders>
        <w:shd w:val="clear" w:color="auto" w:fill="797979"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1717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17171" w:themeFill="accent2"/>
      </w:tcPr>
    </w:tblStylePr>
    <w:tblStylePr w:type="lastCol">
      <w:rPr>
        <w:b/>
        <w:bCs/>
        <w:color w:val="FFFFFF" w:themeColor="background1"/>
      </w:rPr>
      <w:tblPr/>
      <w:tcPr>
        <w:tcBorders>
          <w:left w:val="nil"/>
          <w:right w:val="nil"/>
          <w:insideH w:val="nil"/>
          <w:insideV w:val="nil"/>
        </w:tcBorders>
        <w:shd w:val="clear" w:color="auto" w:fill="71717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6A6A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6A6A6" w:themeFill="accent3"/>
      </w:tcPr>
    </w:tblStylePr>
    <w:tblStylePr w:type="lastCol">
      <w:rPr>
        <w:b/>
        <w:bCs/>
        <w:color w:val="FFFFFF" w:themeColor="background1"/>
      </w:rPr>
      <w:tblPr/>
      <w:tcPr>
        <w:tcBorders>
          <w:left w:val="nil"/>
          <w:right w:val="nil"/>
          <w:insideH w:val="nil"/>
          <w:insideV w:val="nil"/>
        </w:tcBorders>
        <w:shd w:val="clear" w:color="auto" w:fill="A6A6A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737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37373" w:themeFill="accent4"/>
      </w:tcPr>
    </w:tblStylePr>
    <w:tblStylePr w:type="lastCol">
      <w:rPr>
        <w:b/>
        <w:bCs/>
        <w:color w:val="FFFFFF" w:themeColor="background1"/>
      </w:rPr>
      <w:tblPr/>
      <w:tcPr>
        <w:tcBorders>
          <w:left w:val="nil"/>
          <w:right w:val="nil"/>
          <w:insideH w:val="nil"/>
          <w:insideV w:val="nil"/>
        </w:tcBorders>
        <w:shd w:val="clear" w:color="auto" w:fill="73737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29292"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29292" w:themeFill="accent5"/>
      </w:tcPr>
    </w:tblStylePr>
    <w:tblStylePr w:type="lastCol">
      <w:rPr>
        <w:b/>
        <w:bCs/>
        <w:color w:val="FFFFFF" w:themeColor="background1"/>
      </w:rPr>
      <w:tblPr/>
      <w:tcPr>
        <w:tcBorders>
          <w:left w:val="nil"/>
          <w:right w:val="nil"/>
          <w:insideH w:val="nil"/>
          <w:insideV w:val="nil"/>
        </w:tcBorders>
        <w:shd w:val="clear" w:color="auto" w:fill="929292"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AAAAA"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AAAAA" w:themeFill="accent6"/>
      </w:tcPr>
    </w:tblStylePr>
    <w:tblStylePr w:type="lastCol">
      <w:rPr>
        <w:b/>
        <w:bCs/>
        <w:color w:val="FFFFFF" w:themeColor="background1"/>
      </w:rPr>
      <w:tblPr/>
      <w:tcPr>
        <w:tcBorders>
          <w:left w:val="nil"/>
          <w:right w:val="nil"/>
          <w:insideH w:val="nil"/>
          <w:insideV w:val="nil"/>
        </w:tcBorders>
        <w:shd w:val="clear" w:color="auto" w:fill="AAAAAA"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24242"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424242"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DDDDD" w:themeFill="accent1" w:themeFillTint="3F"/>
      </w:tcPr>
    </w:tblStylePr>
    <w:tblStylePr w:type="band1Horz">
      <w:tblPr/>
      <w:tcPr>
        <w:shd w:val="clear" w:color="auto" w:fill="DDDDDD"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424242"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DBDBDB" w:themeFill="accent2" w:themeFillTint="3F"/>
      </w:tcPr>
    </w:tblStylePr>
    <w:tblStylePr w:type="band1Horz">
      <w:tblPr/>
      <w:tcPr>
        <w:shd w:val="clear" w:color="auto" w:fill="DBDBDB"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424242"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9E9E9" w:themeFill="accent3" w:themeFillTint="3F"/>
      </w:tcPr>
    </w:tblStylePr>
    <w:tblStylePr w:type="band1Horz">
      <w:tblPr/>
      <w:tcPr>
        <w:shd w:val="clear" w:color="auto" w:fill="E9E9E9"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424242"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CDCDC" w:themeFill="accent4" w:themeFillTint="3F"/>
      </w:tcPr>
    </w:tblStylePr>
    <w:tblStylePr w:type="band1Horz">
      <w:tblPr/>
      <w:tcPr>
        <w:shd w:val="clear" w:color="auto" w:fill="DCDCDC"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424242"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E4E4E4" w:themeFill="accent5" w:themeFillTint="3F"/>
      </w:tcPr>
    </w:tblStylePr>
    <w:tblStylePr w:type="band1Horz">
      <w:tblPr/>
      <w:tcPr>
        <w:shd w:val="clear" w:color="auto" w:fill="E4E4E4"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424242"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E9E9E9" w:themeFill="accent6" w:themeFillTint="3F"/>
      </w:tcPr>
    </w:tblStylePr>
    <w:tblStylePr w:type="band1Horz">
      <w:tblPr/>
      <w:tcPr>
        <w:shd w:val="clear" w:color="auto" w:fill="E9E9E9"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DDDDD" w:themeFill="accent1" w:themeFillTint="3F"/>
      </w:tcPr>
    </w:tblStylePr>
    <w:tblStylePr w:type="band1Horz">
      <w:tblPr/>
      <w:tcPr>
        <w:tcBorders>
          <w:top w:val="nil"/>
          <w:bottom w:val="nil"/>
          <w:insideH w:val="nil"/>
          <w:insideV w:val="nil"/>
        </w:tcBorders>
        <w:shd w:val="clear" w:color="auto" w:fill="DDDDDD"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DBDB" w:themeFill="accent2" w:themeFillTint="3F"/>
      </w:tcPr>
    </w:tblStylePr>
    <w:tblStylePr w:type="band1Horz">
      <w:tblPr/>
      <w:tcPr>
        <w:tcBorders>
          <w:top w:val="nil"/>
          <w:bottom w:val="nil"/>
          <w:insideH w:val="nil"/>
          <w:insideV w:val="nil"/>
        </w:tcBorders>
        <w:shd w:val="clear" w:color="auto" w:fill="DBDBD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E9E9" w:themeFill="accent3" w:themeFillTint="3F"/>
      </w:tcPr>
    </w:tblStylePr>
    <w:tblStylePr w:type="band1Horz">
      <w:tblPr/>
      <w:tcPr>
        <w:tcBorders>
          <w:top w:val="nil"/>
          <w:bottom w:val="nil"/>
          <w:insideH w:val="nil"/>
          <w:insideV w:val="nil"/>
        </w:tcBorders>
        <w:shd w:val="clear" w:color="auto" w:fill="E9E9E9"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DCDC" w:themeFill="accent4" w:themeFillTint="3F"/>
      </w:tcPr>
    </w:tblStylePr>
    <w:tblStylePr w:type="band1Horz">
      <w:tblPr/>
      <w:tcPr>
        <w:tcBorders>
          <w:top w:val="nil"/>
          <w:bottom w:val="nil"/>
          <w:insideH w:val="nil"/>
          <w:insideV w:val="nil"/>
        </w:tcBorders>
        <w:shd w:val="clear" w:color="auto" w:fill="DCDCD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E4E4" w:themeFill="accent5" w:themeFillTint="3F"/>
      </w:tcPr>
    </w:tblStylePr>
    <w:tblStylePr w:type="band1Horz">
      <w:tblPr/>
      <w:tcPr>
        <w:tcBorders>
          <w:top w:val="nil"/>
          <w:bottom w:val="nil"/>
          <w:insideH w:val="nil"/>
          <w:insideV w:val="nil"/>
        </w:tcBorders>
        <w:shd w:val="clear" w:color="auto" w:fill="E4E4E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E9E9" w:themeFill="accent6" w:themeFillTint="3F"/>
      </w:tcPr>
    </w:tblStylePr>
    <w:tblStylePr w:type="band1Horz">
      <w:tblPr/>
      <w:tcPr>
        <w:tcBorders>
          <w:top w:val="nil"/>
          <w:bottom w:val="nil"/>
          <w:insideH w:val="nil"/>
          <w:insideV w:val="nil"/>
        </w:tcBorders>
        <w:shd w:val="clear" w:color="auto" w:fill="E9E9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DDDDD"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BBBBBB" w:themeFill="accent1" w:themeFillTint="7F"/>
      </w:tcPr>
    </w:tblStylePr>
    <w:tblStylePr w:type="band1Horz">
      <w:tblPr/>
      <w:tcPr>
        <w:shd w:val="clear" w:color="auto" w:fill="BBBBBB"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DBDBDB"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B8B8B8" w:themeFill="accent2" w:themeFillTint="7F"/>
      </w:tcPr>
    </w:tblStylePr>
    <w:tblStylePr w:type="band1Horz">
      <w:tblPr/>
      <w:tcPr>
        <w:shd w:val="clear" w:color="auto" w:fill="B8B8B8"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9E9E9"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D3D3D3" w:themeFill="accent3" w:themeFillTint="7F"/>
      </w:tcPr>
    </w:tblStylePr>
    <w:tblStylePr w:type="band1Horz">
      <w:tblPr/>
      <w:tcPr>
        <w:shd w:val="clear" w:color="auto" w:fill="D3D3D3"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CDCDC"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9B9B9" w:themeFill="accent4" w:themeFillTint="7F"/>
      </w:tcPr>
    </w:tblStylePr>
    <w:tblStylePr w:type="band1Horz">
      <w:tblPr/>
      <w:tcPr>
        <w:shd w:val="clear" w:color="auto" w:fill="B9B9B9"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E4E4E4"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C8C8C8" w:themeFill="accent5" w:themeFillTint="7F"/>
      </w:tcPr>
    </w:tblStylePr>
    <w:tblStylePr w:type="band1Horz">
      <w:tblPr/>
      <w:tcPr>
        <w:shd w:val="clear" w:color="auto" w:fill="C8C8C8"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E9E9E9"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D4D4D4" w:themeFill="accent6" w:themeFillTint="7F"/>
      </w:tcPr>
    </w:tblStylePr>
    <w:tblStylePr w:type="band1Horz">
      <w:tblPr/>
      <w:tcPr>
        <w:shd w:val="clear" w:color="auto" w:fill="D4D4D4"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DDDDD" w:themeFill="accent1" w:themeFillTint="3F"/>
    </w:tcPr>
    <w:tblStylePr w:type="firstRow">
      <w:rPr>
        <w:b/>
        <w:bCs/>
        <w:color w:val="000000" w:themeColor="text1"/>
      </w:rPr>
      <w:tblPr/>
      <w:tcPr>
        <w:shd w:val="clear" w:color="auto" w:fill="F1F1F1"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3E3E3" w:themeFill="accent1" w:themeFillTint="33"/>
      </w:tcPr>
    </w:tblStylePr>
    <w:tblStylePr w:type="band1Vert">
      <w:tblPr/>
      <w:tcPr>
        <w:shd w:val="clear" w:color="auto" w:fill="BBBBBB" w:themeFill="accent1" w:themeFillTint="7F"/>
      </w:tcPr>
    </w:tblStylePr>
    <w:tblStylePr w:type="band1Horz">
      <w:tblPr/>
      <w:tcPr>
        <w:tcBorders>
          <w:insideH w:val="single" w:sz="6" w:space="0" w:color="4F81BD" w:themeColor="accent1"/>
          <w:insideV w:val="single" w:sz="6" w:space="0" w:color="4F81BD" w:themeColor="accent1"/>
        </w:tcBorders>
        <w:shd w:val="clear" w:color="auto" w:fill="BBBBBB"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DBDBDB" w:themeFill="accent2" w:themeFillTint="3F"/>
    </w:tcPr>
    <w:tblStylePr w:type="firstRow">
      <w:rPr>
        <w:b/>
        <w:bCs/>
        <w:color w:val="000000" w:themeColor="text1"/>
      </w:rPr>
      <w:tblPr/>
      <w:tcPr>
        <w:shd w:val="clear" w:color="auto" w:fill="F0F0F0"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2E2" w:themeFill="accent2" w:themeFillTint="33"/>
      </w:tcPr>
    </w:tblStylePr>
    <w:tblStylePr w:type="band1Vert">
      <w:tblPr/>
      <w:tcPr>
        <w:shd w:val="clear" w:color="auto" w:fill="B8B8B8" w:themeFill="accent2" w:themeFillTint="7F"/>
      </w:tcPr>
    </w:tblStylePr>
    <w:tblStylePr w:type="band1Horz">
      <w:tblPr/>
      <w:tcPr>
        <w:tcBorders>
          <w:insideH w:val="single" w:sz="6" w:space="0" w:color="C0504D" w:themeColor="accent2"/>
          <w:insideV w:val="single" w:sz="6" w:space="0" w:color="C0504D" w:themeColor="accent2"/>
        </w:tcBorders>
        <w:shd w:val="clear" w:color="auto" w:fill="B8B8B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9E9E9"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3D3D3" w:themeFill="accent3" w:themeFillTint="7F"/>
      </w:tcPr>
    </w:tblStylePr>
    <w:tblStylePr w:type="band1Horz">
      <w:tblPr/>
      <w:tcPr>
        <w:tcBorders>
          <w:insideH w:val="single" w:sz="6" w:space="0" w:color="9BBB59" w:themeColor="accent3"/>
          <w:insideV w:val="single" w:sz="6" w:space="0" w:color="9BBB59" w:themeColor="accent3"/>
        </w:tcBorders>
        <w:shd w:val="clear" w:color="auto" w:fill="D3D3D3"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CDCDC" w:themeFill="accent4" w:themeFillTint="3F"/>
    </w:tcPr>
    <w:tblStylePr w:type="firstRow">
      <w:rPr>
        <w:b/>
        <w:bCs/>
        <w:color w:val="000000" w:themeColor="text1"/>
      </w:rPr>
      <w:tblPr/>
      <w:tcPr>
        <w:shd w:val="clear" w:color="auto" w:fill="F1F1F1"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2E2" w:themeFill="accent4" w:themeFillTint="33"/>
      </w:tcPr>
    </w:tblStylePr>
    <w:tblStylePr w:type="band1Vert">
      <w:tblPr/>
      <w:tcPr>
        <w:shd w:val="clear" w:color="auto" w:fill="B9B9B9" w:themeFill="accent4" w:themeFillTint="7F"/>
      </w:tcPr>
    </w:tblStylePr>
    <w:tblStylePr w:type="band1Horz">
      <w:tblPr/>
      <w:tcPr>
        <w:tcBorders>
          <w:insideH w:val="single" w:sz="6" w:space="0" w:color="8064A2" w:themeColor="accent4"/>
          <w:insideV w:val="single" w:sz="6" w:space="0" w:color="8064A2" w:themeColor="accent4"/>
        </w:tcBorders>
        <w:shd w:val="clear" w:color="auto" w:fill="B9B9B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E4E4E4" w:themeFill="accent5" w:themeFillTint="3F"/>
    </w:tcPr>
    <w:tblStylePr w:type="firstRow">
      <w:rPr>
        <w:b/>
        <w:bCs/>
        <w:color w:val="000000" w:themeColor="text1"/>
      </w:rPr>
      <w:tblPr/>
      <w:tcPr>
        <w:shd w:val="clear" w:color="auto" w:fill="F4F4F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E9E9" w:themeFill="accent5" w:themeFillTint="33"/>
      </w:tcPr>
    </w:tblStylePr>
    <w:tblStylePr w:type="band1Vert">
      <w:tblPr/>
      <w:tcPr>
        <w:shd w:val="clear" w:color="auto" w:fill="C8C8C8" w:themeFill="accent5" w:themeFillTint="7F"/>
      </w:tcPr>
    </w:tblStylePr>
    <w:tblStylePr w:type="band1Horz">
      <w:tblPr/>
      <w:tcPr>
        <w:tcBorders>
          <w:insideH w:val="single" w:sz="6" w:space="0" w:color="4BACC6" w:themeColor="accent5"/>
          <w:insideV w:val="single" w:sz="6" w:space="0" w:color="4BACC6" w:themeColor="accent5"/>
        </w:tcBorders>
        <w:shd w:val="clear" w:color="auto" w:fill="C8C8C8"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E9E9E9" w:themeFill="accent6" w:themeFillTint="3F"/>
    </w:tcPr>
    <w:tblStylePr w:type="firstRow">
      <w:rPr>
        <w:b/>
        <w:bCs/>
        <w:color w:val="000000" w:themeColor="text1"/>
      </w:rPr>
      <w:tblPr/>
      <w:tcPr>
        <w:shd w:val="clear" w:color="auto" w:fill="F6F6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6" w:themeFillTint="33"/>
      </w:tcPr>
    </w:tblStylePr>
    <w:tblStylePr w:type="band1Vert">
      <w:tblPr/>
      <w:tcPr>
        <w:shd w:val="clear" w:color="auto" w:fill="D4D4D4" w:themeFill="accent6" w:themeFillTint="7F"/>
      </w:tcPr>
    </w:tblStylePr>
    <w:tblStylePr w:type="band1Horz">
      <w:tblPr/>
      <w:tcPr>
        <w:tcBorders>
          <w:insideH w:val="single" w:sz="6" w:space="0" w:color="F79646" w:themeColor="accent6"/>
          <w:insideV w:val="single" w:sz="6" w:space="0" w:color="F79646" w:themeColor="accent6"/>
        </w:tcBorders>
        <w:shd w:val="clear" w:color="auto" w:fill="D4D4D4"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DDDDD"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97979"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97979"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97979"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97979"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BBBBB"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BBBBB"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BDBD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1717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1717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1717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1717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8B8B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8B8B8"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9E9E9"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6A6A6"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6A6A6"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6A6A6"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6A6A6"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3D3D3"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3D3D3"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CDCD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737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737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737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737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9B9B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9B9B9"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4E4E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29292"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29292"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29292"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29292"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8C8C8"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8C8C8"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9E9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AAAAA"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AAAAA"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AAAAA"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AAAAA"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4D4D4"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4D4D4"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797979"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3B3B"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8585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85858" w:themeFill="accent1" w:themeFillShade="BF"/>
      </w:tcPr>
    </w:tblStylePr>
    <w:tblStylePr w:type="band1Vert">
      <w:tblPr/>
      <w:tcPr>
        <w:tcBorders>
          <w:top w:val="nil"/>
          <w:left w:val="nil"/>
          <w:bottom w:val="nil"/>
          <w:right w:val="nil"/>
          <w:insideH w:val="nil"/>
          <w:insideV w:val="nil"/>
        </w:tcBorders>
        <w:shd w:val="clear" w:color="auto" w:fill="585858" w:themeFill="accent1" w:themeFillShade="BF"/>
      </w:tcPr>
    </w:tblStylePr>
    <w:tblStylePr w:type="band1Horz">
      <w:tblPr/>
      <w:tcPr>
        <w:tcBorders>
          <w:top w:val="nil"/>
          <w:left w:val="nil"/>
          <w:bottom w:val="nil"/>
          <w:right w:val="nil"/>
          <w:insideH w:val="nil"/>
          <w:insideV w:val="nil"/>
        </w:tcBorders>
        <w:shd w:val="clear" w:color="auto" w:fill="585858"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71717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6363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52525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525252" w:themeFill="accent2" w:themeFillShade="BF"/>
      </w:tcPr>
    </w:tblStylePr>
    <w:tblStylePr w:type="band1Vert">
      <w:tblPr/>
      <w:tcPr>
        <w:tcBorders>
          <w:top w:val="nil"/>
          <w:left w:val="nil"/>
          <w:bottom w:val="nil"/>
          <w:right w:val="nil"/>
          <w:insideH w:val="nil"/>
          <w:insideV w:val="nil"/>
        </w:tcBorders>
        <w:shd w:val="clear" w:color="auto" w:fill="525252" w:themeFill="accent2" w:themeFillShade="BF"/>
      </w:tcPr>
    </w:tblStylePr>
    <w:tblStylePr w:type="band1Horz">
      <w:tblPr/>
      <w:tcPr>
        <w:tcBorders>
          <w:top w:val="nil"/>
          <w:left w:val="nil"/>
          <w:bottom w:val="nil"/>
          <w:right w:val="nil"/>
          <w:insideH w:val="nil"/>
          <w:insideV w:val="nil"/>
        </w:tcBorders>
        <w:shd w:val="clear" w:color="auto" w:fill="525252"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A6A6A6"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55555"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0808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08080" w:themeFill="accent3" w:themeFillShade="BF"/>
      </w:tcPr>
    </w:tblStylePr>
    <w:tblStylePr w:type="band1Vert">
      <w:tblPr/>
      <w:tcPr>
        <w:tcBorders>
          <w:top w:val="nil"/>
          <w:left w:val="nil"/>
          <w:bottom w:val="nil"/>
          <w:right w:val="nil"/>
          <w:insideH w:val="nil"/>
          <w:insideV w:val="nil"/>
        </w:tcBorders>
        <w:shd w:val="clear" w:color="auto" w:fill="808080" w:themeFill="accent3" w:themeFillShade="BF"/>
      </w:tcPr>
    </w:tblStylePr>
    <w:tblStylePr w:type="band1Horz">
      <w:tblPr/>
      <w:tcPr>
        <w:tcBorders>
          <w:top w:val="nil"/>
          <w:left w:val="nil"/>
          <w:bottom w:val="nil"/>
          <w:right w:val="nil"/>
          <w:insideH w:val="nil"/>
          <w:insideV w:val="nil"/>
        </w:tcBorders>
        <w:shd w:val="clear" w:color="auto" w:fill="808080"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73737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393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55555"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55555" w:themeFill="accent4" w:themeFillShade="BF"/>
      </w:tcPr>
    </w:tblStylePr>
    <w:tblStylePr w:type="band1Vert">
      <w:tblPr/>
      <w:tcPr>
        <w:tcBorders>
          <w:top w:val="nil"/>
          <w:left w:val="nil"/>
          <w:bottom w:val="nil"/>
          <w:right w:val="nil"/>
          <w:insideH w:val="nil"/>
          <w:insideV w:val="nil"/>
        </w:tcBorders>
        <w:shd w:val="clear" w:color="auto" w:fill="555555" w:themeFill="accent4" w:themeFillShade="BF"/>
      </w:tcPr>
    </w:tblStylePr>
    <w:tblStylePr w:type="band1Horz">
      <w:tblPr/>
      <w:tcPr>
        <w:tcBorders>
          <w:top w:val="nil"/>
          <w:left w:val="nil"/>
          <w:bottom w:val="nil"/>
          <w:right w:val="nil"/>
          <w:insideH w:val="nil"/>
          <w:insideV w:val="nil"/>
        </w:tcBorders>
        <w:shd w:val="clear" w:color="auto" w:fill="555555"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29292"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94949"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E6E6E"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E6E6E" w:themeFill="accent5" w:themeFillShade="BF"/>
      </w:tcPr>
    </w:tblStylePr>
    <w:tblStylePr w:type="band1Vert">
      <w:tblPr/>
      <w:tcPr>
        <w:tcBorders>
          <w:top w:val="nil"/>
          <w:left w:val="nil"/>
          <w:bottom w:val="nil"/>
          <w:right w:val="nil"/>
          <w:insideH w:val="nil"/>
          <w:insideV w:val="nil"/>
        </w:tcBorders>
        <w:shd w:val="clear" w:color="auto" w:fill="6E6E6E" w:themeFill="accent5" w:themeFillShade="BF"/>
      </w:tcPr>
    </w:tblStylePr>
    <w:tblStylePr w:type="band1Horz">
      <w:tblPr/>
      <w:tcPr>
        <w:tcBorders>
          <w:top w:val="nil"/>
          <w:left w:val="nil"/>
          <w:bottom w:val="nil"/>
          <w:right w:val="nil"/>
          <w:insideH w:val="nil"/>
          <w:insideV w:val="nil"/>
        </w:tcBorders>
        <w:shd w:val="clear" w:color="auto" w:fill="6E6E6E"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AAAAAA"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585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84848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848484" w:themeFill="accent6" w:themeFillShade="BF"/>
      </w:tcPr>
    </w:tblStylePr>
    <w:tblStylePr w:type="band1Vert">
      <w:tblPr/>
      <w:tcPr>
        <w:tcBorders>
          <w:top w:val="nil"/>
          <w:left w:val="nil"/>
          <w:bottom w:val="nil"/>
          <w:right w:val="nil"/>
          <w:insideH w:val="nil"/>
          <w:insideV w:val="nil"/>
        </w:tcBorders>
        <w:shd w:val="clear" w:color="auto" w:fill="848484" w:themeFill="accent6" w:themeFillShade="BF"/>
      </w:tcPr>
    </w:tblStylePr>
    <w:tblStylePr w:type="band1Horz">
      <w:tblPr/>
      <w:tcPr>
        <w:tcBorders>
          <w:top w:val="nil"/>
          <w:left w:val="nil"/>
          <w:bottom w:val="nil"/>
          <w:right w:val="nil"/>
          <w:insideH w:val="nil"/>
          <w:insideV w:val="nil"/>
        </w:tcBorders>
        <w:shd w:val="clear" w:color="auto" w:fill="848484"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1F1F1"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4747"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47474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4747" w:themeFill="accent1" w:themeFillShade="99"/>
      </w:tcPr>
    </w:tblStylePr>
    <w:tblStylePr w:type="band1Vert">
      <w:tblPr/>
      <w:tcPr>
        <w:shd w:val="clear" w:color="auto" w:fill="C9C9C9" w:themeFill="accent1" w:themeFillTint="66"/>
      </w:tcPr>
    </w:tblStylePr>
    <w:tblStylePr w:type="band1Horz">
      <w:tblPr/>
      <w:tcPr>
        <w:shd w:val="clear" w:color="auto" w:fill="BBBBBB"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0F0F0"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24242"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424242"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24242" w:themeFill="accent2" w:themeFillShade="99"/>
      </w:tcPr>
    </w:tblStylePr>
    <w:tblStylePr w:type="band1Vert">
      <w:tblPr/>
      <w:tcPr>
        <w:shd w:val="clear" w:color="auto" w:fill="C5C5C5" w:themeFill="accent2" w:themeFillTint="66"/>
      </w:tcPr>
    </w:tblStylePr>
    <w:tblStylePr w:type="band1Horz">
      <w:tblPr/>
      <w:tcPr>
        <w:shd w:val="clear" w:color="auto" w:fill="B8B8B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6F6F6"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66666"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666666"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66666" w:themeFill="accent3" w:themeFillShade="99"/>
      </w:tcPr>
    </w:tblStylePr>
    <w:tblStylePr w:type="band1Vert">
      <w:tblPr/>
      <w:tcPr>
        <w:shd w:val="clear" w:color="auto" w:fill="DBDBDB" w:themeFill="accent3" w:themeFillTint="66"/>
      </w:tcPr>
    </w:tblStylePr>
    <w:tblStylePr w:type="band1Horz">
      <w:tblPr/>
      <w:tcPr>
        <w:shd w:val="clear" w:color="auto" w:fill="D3D3D3"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1F1F1"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54545"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5454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54545" w:themeFill="accent4" w:themeFillShade="99"/>
      </w:tcPr>
    </w:tblStylePr>
    <w:tblStylePr w:type="band1Vert">
      <w:tblPr/>
      <w:tcPr>
        <w:shd w:val="clear" w:color="auto" w:fill="C6C6C6" w:themeFill="accent4" w:themeFillTint="66"/>
      </w:tcPr>
    </w:tblStylePr>
    <w:tblStylePr w:type="band1Horz">
      <w:tblPr/>
      <w:tcPr>
        <w:shd w:val="clear" w:color="auto" w:fill="B9B9B9"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4F4F4"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85858"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585858"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85858" w:themeFill="accent5" w:themeFillShade="99"/>
      </w:tcPr>
    </w:tblStylePr>
    <w:tblStylePr w:type="band1Vert">
      <w:tblPr/>
      <w:tcPr>
        <w:shd w:val="clear" w:color="auto" w:fill="D3D3D3" w:themeFill="accent5" w:themeFillTint="66"/>
      </w:tcPr>
    </w:tblStylePr>
    <w:tblStylePr w:type="band1Horz">
      <w:tblPr/>
      <w:tcPr>
        <w:shd w:val="clear" w:color="auto" w:fill="C8C8C8"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6F6F6"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6A6A"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6A6A6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A6A6A" w:themeFill="accent6" w:themeFillShade="99"/>
      </w:tcPr>
    </w:tblStylePr>
    <w:tblStylePr w:type="band1Vert">
      <w:tblPr/>
      <w:tcPr>
        <w:shd w:val="clear" w:color="auto" w:fill="DCDCDC" w:themeFill="accent6" w:themeFillTint="66"/>
      </w:tcPr>
    </w:tblStylePr>
    <w:tblStylePr w:type="band1Horz">
      <w:tblPr/>
      <w:tcPr>
        <w:shd w:val="clear" w:color="auto" w:fill="D4D4D4"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585858" w:themeFill="accent2" w:themeFillShade="CC"/>
      </w:tcPr>
    </w:tblStylePr>
    <w:tblStylePr w:type="lastRow">
      <w:rPr>
        <w:b/>
        <w:bCs/>
        <w:color w:val="58585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1F1F1" w:themeFill="accent1" w:themeFillTint="19"/>
    </w:tcPr>
    <w:tblStylePr w:type="firstRow">
      <w:rPr>
        <w:b/>
        <w:bCs/>
        <w:color w:val="FFFFFF" w:themeColor="background1"/>
      </w:rPr>
      <w:tblPr/>
      <w:tcPr>
        <w:tcBorders>
          <w:bottom w:val="single" w:sz="12" w:space="0" w:color="FFFFFF" w:themeColor="background1"/>
        </w:tcBorders>
        <w:shd w:val="clear" w:color="auto" w:fill="585858" w:themeFill="accent2" w:themeFillShade="CC"/>
      </w:tcPr>
    </w:tblStylePr>
    <w:tblStylePr w:type="lastRow">
      <w:rPr>
        <w:b/>
        <w:bCs/>
        <w:color w:val="58585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DDDDD" w:themeFill="accent1" w:themeFillTint="3F"/>
      </w:tcPr>
    </w:tblStylePr>
    <w:tblStylePr w:type="band1Horz">
      <w:tblPr/>
      <w:tcPr>
        <w:shd w:val="clear" w:color="auto" w:fill="E3E3E3"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0F0F0" w:themeFill="accent2" w:themeFillTint="19"/>
    </w:tcPr>
    <w:tblStylePr w:type="firstRow">
      <w:rPr>
        <w:b/>
        <w:bCs/>
        <w:color w:val="FFFFFF" w:themeColor="background1"/>
      </w:rPr>
      <w:tblPr/>
      <w:tcPr>
        <w:tcBorders>
          <w:bottom w:val="single" w:sz="12" w:space="0" w:color="FFFFFF" w:themeColor="background1"/>
        </w:tcBorders>
        <w:shd w:val="clear" w:color="auto" w:fill="585858" w:themeFill="accent2" w:themeFillShade="CC"/>
      </w:tcPr>
    </w:tblStylePr>
    <w:tblStylePr w:type="lastRow">
      <w:rPr>
        <w:b/>
        <w:bCs/>
        <w:color w:val="58585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DBDB" w:themeFill="accent2" w:themeFillTint="3F"/>
      </w:tcPr>
    </w:tblStylePr>
    <w:tblStylePr w:type="band1Horz">
      <w:tblPr/>
      <w:tcPr>
        <w:shd w:val="clear" w:color="auto" w:fill="E2E2E2"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5B5B5B" w:themeFill="accent4" w:themeFillShade="CC"/>
      </w:tcPr>
    </w:tblStylePr>
    <w:tblStylePr w:type="lastRow">
      <w:rPr>
        <w:b/>
        <w:bCs/>
        <w:color w:val="5B5B5B"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E9E9"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1F1F1" w:themeFill="accent4" w:themeFillTint="19"/>
    </w:tcPr>
    <w:tblStylePr w:type="firstRow">
      <w:rPr>
        <w:b/>
        <w:bCs/>
        <w:color w:val="FFFFFF" w:themeColor="background1"/>
      </w:rPr>
      <w:tblPr/>
      <w:tcPr>
        <w:tcBorders>
          <w:bottom w:val="single" w:sz="12" w:space="0" w:color="FFFFFF" w:themeColor="background1"/>
        </w:tcBorders>
        <w:shd w:val="clear" w:color="auto" w:fill="898989" w:themeFill="accent3" w:themeFillShade="CC"/>
      </w:tcPr>
    </w:tblStylePr>
    <w:tblStylePr w:type="lastRow">
      <w:rPr>
        <w:b/>
        <w:bCs/>
        <w:color w:val="898989"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DCDC" w:themeFill="accent4" w:themeFillTint="3F"/>
      </w:tcPr>
    </w:tblStylePr>
    <w:tblStylePr w:type="band1Horz">
      <w:tblPr/>
      <w:tcPr>
        <w:shd w:val="clear" w:color="auto" w:fill="E2E2E2"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4F4F4" w:themeFill="accent5" w:themeFillTint="19"/>
    </w:tcPr>
    <w:tblStylePr w:type="firstRow">
      <w:rPr>
        <w:b/>
        <w:bCs/>
        <w:color w:val="FFFFFF" w:themeColor="background1"/>
      </w:rPr>
      <w:tblPr/>
      <w:tcPr>
        <w:tcBorders>
          <w:bottom w:val="single" w:sz="12" w:space="0" w:color="FFFFFF" w:themeColor="background1"/>
        </w:tcBorders>
        <w:shd w:val="clear" w:color="auto" w:fill="8D8D8D" w:themeFill="accent6" w:themeFillShade="CC"/>
      </w:tcPr>
    </w:tblStylePr>
    <w:tblStylePr w:type="lastRow">
      <w:rPr>
        <w:b/>
        <w:bCs/>
        <w:color w:val="8D8D8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E4E4" w:themeFill="accent5" w:themeFillTint="3F"/>
      </w:tcPr>
    </w:tblStylePr>
    <w:tblStylePr w:type="band1Horz">
      <w:tblPr/>
      <w:tcPr>
        <w:shd w:val="clear" w:color="auto" w:fill="E9E9E9"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6F6F6" w:themeFill="accent6" w:themeFillTint="19"/>
    </w:tcPr>
    <w:tblStylePr w:type="firstRow">
      <w:rPr>
        <w:b/>
        <w:bCs/>
        <w:color w:val="FFFFFF" w:themeColor="background1"/>
      </w:rPr>
      <w:tblPr/>
      <w:tcPr>
        <w:tcBorders>
          <w:bottom w:val="single" w:sz="12" w:space="0" w:color="FFFFFF" w:themeColor="background1"/>
        </w:tcBorders>
        <w:shd w:val="clear" w:color="auto" w:fill="757575" w:themeFill="accent5" w:themeFillShade="CC"/>
      </w:tcPr>
    </w:tblStylePr>
    <w:tblStylePr w:type="lastRow">
      <w:rPr>
        <w:b/>
        <w:bCs/>
        <w:color w:val="7575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E9E9" w:themeFill="accent6" w:themeFillTint="3F"/>
      </w:tcPr>
    </w:tblStylePr>
    <w:tblStylePr w:type="band1Horz">
      <w:tblPr/>
      <w:tcPr>
        <w:shd w:val="clear" w:color="auto" w:fill="EDEDED"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3E3E3" w:themeFill="accent1" w:themeFillTint="33"/>
    </w:tcPr>
    <w:tblStylePr w:type="firstRow">
      <w:rPr>
        <w:b/>
        <w:bCs/>
      </w:rPr>
      <w:tblPr/>
      <w:tcPr>
        <w:shd w:val="clear" w:color="auto" w:fill="C9C9C9" w:themeFill="accent1" w:themeFillTint="66"/>
      </w:tcPr>
    </w:tblStylePr>
    <w:tblStylePr w:type="lastRow">
      <w:rPr>
        <w:b/>
        <w:bCs/>
        <w:color w:val="000000" w:themeColor="text1"/>
      </w:rPr>
      <w:tblPr/>
      <w:tcPr>
        <w:shd w:val="clear" w:color="auto" w:fill="C9C9C9" w:themeFill="accent1" w:themeFillTint="66"/>
      </w:tcPr>
    </w:tblStylePr>
    <w:tblStylePr w:type="firstCol">
      <w:rPr>
        <w:color w:val="FFFFFF" w:themeColor="background1"/>
      </w:rPr>
      <w:tblPr/>
      <w:tcPr>
        <w:shd w:val="clear" w:color="auto" w:fill="585858" w:themeFill="accent1" w:themeFillShade="BF"/>
      </w:tcPr>
    </w:tblStylePr>
    <w:tblStylePr w:type="lastCol">
      <w:rPr>
        <w:color w:val="FFFFFF" w:themeColor="background1"/>
      </w:rPr>
      <w:tblPr/>
      <w:tcPr>
        <w:shd w:val="clear" w:color="auto" w:fill="585858" w:themeFill="accent1" w:themeFillShade="BF"/>
      </w:tcPr>
    </w:tblStylePr>
    <w:tblStylePr w:type="band1Vert">
      <w:tblPr/>
      <w:tcPr>
        <w:shd w:val="clear" w:color="auto" w:fill="BBBBBB" w:themeFill="accent1" w:themeFillTint="7F"/>
      </w:tcPr>
    </w:tblStylePr>
    <w:tblStylePr w:type="band1Horz">
      <w:tblPr/>
      <w:tcPr>
        <w:shd w:val="clear" w:color="auto" w:fill="BBBBBB"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2E2E2" w:themeFill="accent2" w:themeFillTint="33"/>
    </w:tcPr>
    <w:tblStylePr w:type="firstRow">
      <w:rPr>
        <w:b/>
        <w:bCs/>
      </w:rPr>
      <w:tblPr/>
      <w:tcPr>
        <w:shd w:val="clear" w:color="auto" w:fill="C5C5C5" w:themeFill="accent2" w:themeFillTint="66"/>
      </w:tcPr>
    </w:tblStylePr>
    <w:tblStylePr w:type="lastRow">
      <w:rPr>
        <w:b/>
        <w:bCs/>
        <w:color w:val="000000" w:themeColor="text1"/>
      </w:rPr>
      <w:tblPr/>
      <w:tcPr>
        <w:shd w:val="clear" w:color="auto" w:fill="C5C5C5" w:themeFill="accent2" w:themeFillTint="66"/>
      </w:tcPr>
    </w:tblStylePr>
    <w:tblStylePr w:type="firstCol">
      <w:rPr>
        <w:color w:val="FFFFFF" w:themeColor="background1"/>
      </w:rPr>
      <w:tblPr/>
      <w:tcPr>
        <w:shd w:val="clear" w:color="auto" w:fill="525252" w:themeFill="accent2" w:themeFillShade="BF"/>
      </w:tcPr>
    </w:tblStylePr>
    <w:tblStylePr w:type="lastCol">
      <w:rPr>
        <w:color w:val="FFFFFF" w:themeColor="background1"/>
      </w:rPr>
      <w:tblPr/>
      <w:tcPr>
        <w:shd w:val="clear" w:color="auto" w:fill="525252" w:themeFill="accent2" w:themeFillShade="BF"/>
      </w:tcPr>
    </w:tblStylePr>
    <w:tblStylePr w:type="band1Vert">
      <w:tblPr/>
      <w:tcPr>
        <w:shd w:val="clear" w:color="auto" w:fill="B8B8B8" w:themeFill="accent2" w:themeFillTint="7F"/>
      </w:tcPr>
    </w:tblStylePr>
    <w:tblStylePr w:type="band1Horz">
      <w:tblPr/>
      <w:tcPr>
        <w:shd w:val="clear" w:color="auto" w:fill="B8B8B8"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808080" w:themeFill="accent3" w:themeFillShade="BF"/>
      </w:tcPr>
    </w:tblStylePr>
    <w:tblStylePr w:type="lastCol">
      <w:rPr>
        <w:color w:val="FFFFFF" w:themeColor="background1"/>
      </w:rPr>
      <w:tblPr/>
      <w:tcPr>
        <w:shd w:val="clear" w:color="auto" w:fill="808080" w:themeFill="accent3" w:themeFillShade="BF"/>
      </w:tcPr>
    </w:tblStylePr>
    <w:tblStylePr w:type="band1Vert">
      <w:tblPr/>
      <w:tcPr>
        <w:shd w:val="clear" w:color="auto" w:fill="D3D3D3" w:themeFill="accent3" w:themeFillTint="7F"/>
      </w:tcPr>
    </w:tblStylePr>
    <w:tblStylePr w:type="band1Horz">
      <w:tblPr/>
      <w:tcPr>
        <w:shd w:val="clear" w:color="auto" w:fill="D3D3D3"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2E2E2" w:themeFill="accent4" w:themeFillTint="33"/>
    </w:tcPr>
    <w:tblStylePr w:type="firstRow">
      <w:rPr>
        <w:b/>
        <w:bCs/>
      </w:rPr>
      <w:tblPr/>
      <w:tcPr>
        <w:shd w:val="clear" w:color="auto" w:fill="C6C6C6" w:themeFill="accent4" w:themeFillTint="66"/>
      </w:tcPr>
    </w:tblStylePr>
    <w:tblStylePr w:type="lastRow">
      <w:rPr>
        <w:b/>
        <w:bCs/>
        <w:color w:val="000000" w:themeColor="text1"/>
      </w:rPr>
      <w:tblPr/>
      <w:tcPr>
        <w:shd w:val="clear" w:color="auto" w:fill="C6C6C6" w:themeFill="accent4" w:themeFillTint="66"/>
      </w:tcPr>
    </w:tblStylePr>
    <w:tblStylePr w:type="firstCol">
      <w:rPr>
        <w:color w:val="FFFFFF" w:themeColor="background1"/>
      </w:rPr>
      <w:tblPr/>
      <w:tcPr>
        <w:shd w:val="clear" w:color="auto" w:fill="555555" w:themeFill="accent4" w:themeFillShade="BF"/>
      </w:tcPr>
    </w:tblStylePr>
    <w:tblStylePr w:type="lastCol">
      <w:rPr>
        <w:color w:val="FFFFFF" w:themeColor="background1"/>
      </w:rPr>
      <w:tblPr/>
      <w:tcPr>
        <w:shd w:val="clear" w:color="auto" w:fill="555555" w:themeFill="accent4" w:themeFillShade="BF"/>
      </w:tcPr>
    </w:tblStylePr>
    <w:tblStylePr w:type="band1Vert">
      <w:tblPr/>
      <w:tcPr>
        <w:shd w:val="clear" w:color="auto" w:fill="B9B9B9" w:themeFill="accent4" w:themeFillTint="7F"/>
      </w:tcPr>
    </w:tblStylePr>
    <w:tblStylePr w:type="band1Horz">
      <w:tblPr/>
      <w:tcPr>
        <w:shd w:val="clear" w:color="auto" w:fill="B9B9B9"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9E9E9" w:themeFill="accent5" w:themeFillTint="33"/>
    </w:tcPr>
    <w:tblStylePr w:type="firstRow">
      <w:rPr>
        <w:b/>
        <w:bCs/>
      </w:rPr>
      <w:tblPr/>
      <w:tcPr>
        <w:shd w:val="clear" w:color="auto" w:fill="D3D3D3" w:themeFill="accent5" w:themeFillTint="66"/>
      </w:tcPr>
    </w:tblStylePr>
    <w:tblStylePr w:type="lastRow">
      <w:rPr>
        <w:b/>
        <w:bCs/>
        <w:color w:val="000000" w:themeColor="text1"/>
      </w:rPr>
      <w:tblPr/>
      <w:tcPr>
        <w:shd w:val="clear" w:color="auto" w:fill="D3D3D3" w:themeFill="accent5" w:themeFillTint="66"/>
      </w:tcPr>
    </w:tblStylePr>
    <w:tblStylePr w:type="firstCol">
      <w:rPr>
        <w:color w:val="FFFFFF" w:themeColor="background1"/>
      </w:rPr>
      <w:tblPr/>
      <w:tcPr>
        <w:shd w:val="clear" w:color="auto" w:fill="6E6E6E" w:themeFill="accent5" w:themeFillShade="BF"/>
      </w:tcPr>
    </w:tblStylePr>
    <w:tblStylePr w:type="lastCol">
      <w:rPr>
        <w:color w:val="FFFFFF" w:themeColor="background1"/>
      </w:rPr>
      <w:tblPr/>
      <w:tcPr>
        <w:shd w:val="clear" w:color="auto" w:fill="6E6E6E" w:themeFill="accent5" w:themeFillShade="BF"/>
      </w:tcPr>
    </w:tblStylePr>
    <w:tblStylePr w:type="band1Vert">
      <w:tblPr/>
      <w:tcPr>
        <w:shd w:val="clear" w:color="auto" w:fill="C8C8C8" w:themeFill="accent5" w:themeFillTint="7F"/>
      </w:tcPr>
    </w:tblStylePr>
    <w:tblStylePr w:type="band1Horz">
      <w:tblPr/>
      <w:tcPr>
        <w:shd w:val="clear" w:color="auto" w:fill="C8C8C8"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DEDED" w:themeFill="accent6" w:themeFillTint="33"/>
    </w:tcPr>
    <w:tblStylePr w:type="firstRow">
      <w:rPr>
        <w:b/>
        <w:bCs/>
      </w:rPr>
      <w:tblPr/>
      <w:tcPr>
        <w:shd w:val="clear" w:color="auto" w:fill="DCDCDC" w:themeFill="accent6" w:themeFillTint="66"/>
      </w:tcPr>
    </w:tblStylePr>
    <w:tblStylePr w:type="lastRow">
      <w:rPr>
        <w:b/>
        <w:bCs/>
        <w:color w:val="000000" w:themeColor="text1"/>
      </w:rPr>
      <w:tblPr/>
      <w:tcPr>
        <w:shd w:val="clear" w:color="auto" w:fill="DCDCDC" w:themeFill="accent6" w:themeFillTint="66"/>
      </w:tcPr>
    </w:tblStylePr>
    <w:tblStylePr w:type="firstCol">
      <w:rPr>
        <w:color w:val="FFFFFF" w:themeColor="background1"/>
      </w:rPr>
      <w:tblPr/>
      <w:tcPr>
        <w:shd w:val="clear" w:color="auto" w:fill="848484" w:themeFill="accent6" w:themeFillShade="BF"/>
      </w:tcPr>
    </w:tblStylePr>
    <w:tblStylePr w:type="lastCol">
      <w:rPr>
        <w:color w:val="FFFFFF" w:themeColor="background1"/>
      </w:rPr>
      <w:tblPr/>
      <w:tcPr>
        <w:shd w:val="clear" w:color="auto" w:fill="848484" w:themeFill="accent6" w:themeFillShade="BF"/>
      </w:tcPr>
    </w:tblStylePr>
    <w:tblStylePr w:type="band1Vert">
      <w:tblPr/>
      <w:tcPr>
        <w:shd w:val="clear" w:color="auto" w:fill="D4D4D4" w:themeFill="accent6" w:themeFillTint="7F"/>
      </w:tcPr>
    </w:tblStylePr>
    <w:tblStylePr w:type="band1Horz">
      <w:tblPr/>
      <w:tcPr>
        <w:shd w:val="clear" w:color="auto" w:fill="D4D4D4"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image" Target="media/image1.png"/><Relationship Id="rId10" Type="http://schemas.openxmlformats.org/officeDocument/2006/relationships/footer" Target="footer1.xml"/><Relationship Id="rId1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24242"/>
      </a:dk2>
      <a:lt2>
        <a:srgbClr val="EBEBEB"/>
      </a:lt2>
      <a:accent1>
        <a:srgbClr val="797979"/>
      </a:accent1>
      <a:accent2>
        <a:srgbClr val="717171"/>
      </a:accent2>
      <a:accent3>
        <a:srgbClr val="A6A6A6"/>
      </a:accent3>
      <a:accent4>
        <a:srgbClr val="737373"/>
      </a:accent4>
      <a:accent5>
        <a:srgbClr val="929292"/>
      </a:accent5>
      <a:accent6>
        <a:srgbClr val="AAAAAA"/>
      </a:accent6>
      <a:hlink>
        <a:srgbClr val="1D1D1D"/>
      </a:hlink>
      <a:folHlink>
        <a:srgbClr val="353535"/>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StudentHub 1500-Word Business Plan</dc:title>
  <dc:subject/>
  <dc:creator>Julian Miguel Balmores</dc:creator>
  <cp:keywords/>
  <dc:description>generated by python-docx</dc:description>
  <cp:lastModifiedBy/>
  <cp:revision>1</cp:revision>
  <dcterms:created xsi:type="dcterms:W3CDTF">2013-12-23T23:15:00Z</dcterms:created>
  <dcterms:modified xsi:type="dcterms:W3CDTF">2013-12-23T23:15:00Z</dcterms:modified>
  <cp:category/>
</cp:coreProperties>
</file>