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668390102"/>
        <w:docPartObj>
          <w:docPartGallery w:val="Cover Pages"/>
          <w:docPartUnique/>
        </w:docPartObj>
      </w:sdtPr>
      <w:sdtEndPr>
        <w:rPr>
          <w:rFonts w:eastAsiaTheme="minorHAnsi"/>
          <w:color w:val="auto"/>
          <w:kern w:val="2"/>
          <w:sz w:val="24"/>
          <w:szCs w:val="24"/>
          <w:lang w:val="en-GB"/>
          <w14:ligatures w14:val="standardContextual"/>
        </w:rPr>
      </w:sdtEndPr>
      <w:sdtContent>
        <w:p w14:paraId="0D3345C5" w14:textId="20789DBB" w:rsidR="0006708B" w:rsidRDefault="0006708B">
          <w:pPr>
            <w:pStyle w:val="NoSpacing"/>
            <w:spacing w:before="1540" w:after="240"/>
            <w:jc w:val="center"/>
            <w:rPr>
              <w:color w:val="156082" w:themeColor="accent1"/>
            </w:rPr>
          </w:pPr>
          <w:r>
            <w:rPr>
              <w:noProof/>
              <w:color w:val="156082" w:themeColor="accent1"/>
            </w:rPr>
            <w:drawing>
              <wp:inline distT="0" distB="0" distL="0" distR="0" wp14:anchorId="033735F7" wp14:editId="781DF8BA">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48"/>
              <w:szCs w:val="48"/>
            </w:rPr>
            <w:alias w:val="Title"/>
            <w:tag w:val=""/>
            <w:id w:val="1735040861"/>
            <w:placeholder>
              <w:docPart w:val="078890FD2C2C4833A16ABA81F6E87736"/>
            </w:placeholder>
            <w:dataBinding w:prefixMappings="xmlns:ns0='http://purl.org/dc/elements/1.1/' xmlns:ns1='http://schemas.openxmlformats.org/package/2006/metadata/core-properties' " w:xpath="/ns1:coreProperties[1]/ns0:title[1]" w:storeItemID="{6C3C8BC8-F283-45AE-878A-BAB7291924A1}"/>
            <w:text/>
          </w:sdtPr>
          <w:sdtContent>
            <w:p w14:paraId="03085356" w14:textId="40B7A556" w:rsidR="0006708B" w:rsidRPr="009C7B49" w:rsidRDefault="00894807" w:rsidP="00894807">
              <w:pPr>
                <w:pStyle w:val="NoSpacing"/>
                <w:pBdr>
                  <w:top w:val="single" w:sz="6" w:space="6" w:color="156082" w:themeColor="accent1"/>
                  <w:bottom w:val="single" w:sz="6" w:space="6" w:color="156082" w:themeColor="accent1"/>
                </w:pBdr>
                <w:spacing w:after="240"/>
                <w:rPr>
                  <w:rFonts w:asciiTheme="majorHAnsi" w:eastAsiaTheme="majorEastAsia" w:hAnsiTheme="majorHAnsi" w:cstheme="majorBidi"/>
                  <w:caps/>
                  <w:color w:val="156082" w:themeColor="accent1"/>
                  <w:sz w:val="48"/>
                  <w:szCs w:val="48"/>
                </w:rPr>
              </w:pPr>
              <w:r>
                <w:rPr>
                  <w:rFonts w:asciiTheme="majorHAnsi" w:eastAsiaTheme="majorEastAsia" w:hAnsiTheme="majorHAnsi" w:cstheme="majorBidi"/>
                  <w:caps/>
                  <w:color w:val="156082" w:themeColor="accent1"/>
                  <w:sz w:val="48"/>
                  <w:szCs w:val="48"/>
                </w:rPr>
                <w:t>critical</w:t>
              </w:r>
              <w:r w:rsidR="00B91EBF">
                <w:rPr>
                  <w:rFonts w:asciiTheme="majorHAnsi" w:eastAsiaTheme="majorEastAsia" w:hAnsiTheme="majorHAnsi" w:cstheme="majorBidi"/>
                  <w:caps/>
                  <w:color w:val="156082" w:themeColor="accent1"/>
                  <w:sz w:val="48"/>
                  <w:szCs w:val="48"/>
                </w:rPr>
                <w:t xml:space="preserve"> analysis</w:t>
              </w:r>
              <w:r w:rsidR="009C7B49">
                <w:rPr>
                  <w:rFonts w:asciiTheme="majorHAnsi" w:eastAsiaTheme="majorEastAsia" w:hAnsiTheme="majorHAnsi" w:cstheme="majorBidi"/>
                  <w:caps/>
                  <w:color w:val="156082" w:themeColor="accent1"/>
                  <w:sz w:val="48"/>
                  <w:szCs w:val="48"/>
                </w:rPr>
                <w:t xml:space="preserve"> of importa</w:t>
              </w:r>
              <w:r w:rsidR="00DB4BB8">
                <w:rPr>
                  <w:rFonts w:asciiTheme="majorHAnsi" w:eastAsiaTheme="majorEastAsia" w:hAnsiTheme="majorHAnsi" w:cstheme="majorBidi"/>
                  <w:caps/>
                  <w:color w:val="156082" w:themeColor="accent1"/>
                  <w:sz w:val="48"/>
                  <w:szCs w:val="48"/>
                </w:rPr>
                <w:t>n</w:t>
              </w:r>
              <w:r w:rsidR="009C7B49">
                <w:rPr>
                  <w:rFonts w:asciiTheme="majorHAnsi" w:eastAsiaTheme="majorEastAsia" w:hAnsiTheme="majorHAnsi" w:cstheme="majorBidi"/>
                  <w:caps/>
                  <w:color w:val="156082" w:themeColor="accent1"/>
                  <w:sz w:val="48"/>
                  <w:szCs w:val="48"/>
                </w:rPr>
                <w:t>ce of controll</w:t>
              </w:r>
              <w:r w:rsidR="00B65FFB">
                <w:rPr>
                  <w:rFonts w:asciiTheme="majorHAnsi" w:eastAsiaTheme="majorEastAsia" w:hAnsiTheme="majorHAnsi" w:cstheme="majorBidi"/>
                  <w:caps/>
                  <w:color w:val="156082" w:themeColor="accent1"/>
                  <w:sz w:val="48"/>
                  <w:szCs w:val="48"/>
                </w:rPr>
                <w:t>in as part of managerial function</w:t>
              </w:r>
              <w:r w:rsidR="00F34F6C">
                <w:rPr>
                  <w:rFonts w:asciiTheme="majorHAnsi" w:eastAsiaTheme="majorEastAsia" w:hAnsiTheme="majorHAnsi" w:cstheme="majorBidi"/>
                  <w:caps/>
                  <w:color w:val="156082" w:themeColor="accent1"/>
                  <w:sz w:val="48"/>
                  <w:szCs w:val="48"/>
                </w:rPr>
                <w:t xml:space="preserve">. challenges. </w:t>
              </w:r>
            </w:p>
          </w:sdtContent>
        </w:sdt>
        <w:sdt>
          <w:sdtPr>
            <w:rPr>
              <w:color w:val="156082" w:themeColor="accent1"/>
              <w:sz w:val="28"/>
              <w:szCs w:val="28"/>
            </w:rPr>
            <w:alias w:val="Subtitle"/>
            <w:tag w:val=""/>
            <w:id w:val="328029620"/>
            <w:placeholder>
              <w:docPart w:val="5A5223C2ADCF42038D57739B3A0FCBB0"/>
            </w:placeholder>
            <w:dataBinding w:prefixMappings="xmlns:ns0='http://purl.org/dc/elements/1.1/' xmlns:ns1='http://schemas.openxmlformats.org/package/2006/metadata/core-properties' " w:xpath="/ns1:coreProperties[1]/ns0:subject[1]" w:storeItemID="{6C3C8BC8-F283-45AE-878A-BAB7291924A1}"/>
            <w:text/>
          </w:sdtPr>
          <w:sdtContent>
            <w:p w14:paraId="7171C9A1" w14:textId="2FEB88DA" w:rsidR="0006708B" w:rsidRDefault="00DB4BB8">
              <w:pPr>
                <w:pStyle w:val="NoSpacing"/>
                <w:jc w:val="center"/>
                <w:rPr>
                  <w:color w:val="156082" w:themeColor="accent1"/>
                  <w:sz w:val="28"/>
                  <w:szCs w:val="28"/>
                </w:rPr>
              </w:pPr>
              <w:r>
                <w:rPr>
                  <w:color w:val="156082" w:themeColor="accent1"/>
                  <w:sz w:val="28"/>
                  <w:szCs w:val="28"/>
                </w:rPr>
                <w:t>By Andzhela Toneva</w:t>
              </w:r>
            </w:p>
          </w:sdtContent>
        </w:sdt>
        <w:p w14:paraId="355118F5" w14:textId="235D80C7" w:rsidR="0006708B" w:rsidRDefault="0006708B">
          <w:pPr>
            <w:pStyle w:val="NoSpacing"/>
            <w:spacing w:before="480"/>
            <w:jc w:val="center"/>
            <w:rPr>
              <w:color w:val="156082" w:themeColor="accent1"/>
            </w:rPr>
          </w:pPr>
          <w:r>
            <w:rPr>
              <w:noProof/>
              <w:color w:val="156082" w:themeColor="accent1"/>
            </w:rPr>
            <w:drawing>
              <wp:inline distT="0" distB="0" distL="0" distR="0" wp14:anchorId="42E4265A" wp14:editId="3EACA8E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8518EBD" w14:textId="77777777" w:rsidR="006E22E9" w:rsidRDefault="007A4511">
          <w:r>
            <w:rPr>
              <w:noProof/>
              <w:color w:val="156082" w:themeColor="accent1"/>
            </w:rPr>
            <mc:AlternateContent>
              <mc:Choice Requires="wps">
                <w:drawing>
                  <wp:anchor distT="0" distB="0" distL="114300" distR="114300" simplePos="0" relativeHeight="251659264" behindDoc="0" locked="0" layoutInCell="1" allowOverlap="1" wp14:anchorId="30DBFA06" wp14:editId="53F61C31">
                    <wp:simplePos x="0" y="0"/>
                    <wp:positionH relativeFrom="margin">
                      <wp:posOffset>607060</wp:posOffset>
                    </wp:positionH>
                    <wp:positionV relativeFrom="page">
                      <wp:posOffset>8991600</wp:posOffset>
                    </wp:positionV>
                    <wp:extent cx="5417185" cy="557530"/>
                    <wp:effectExtent l="0" t="0" r="12065" b="635"/>
                    <wp:wrapNone/>
                    <wp:docPr id="142" name="Text Box 146"/>
                    <wp:cNvGraphicFramePr/>
                    <a:graphic xmlns:a="http://schemas.openxmlformats.org/drawingml/2006/main">
                      <a:graphicData uri="http://schemas.microsoft.com/office/word/2010/wordprocessingShape">
                        <wps:wsp>
                          <wps:cNvSpPr txBox="1"/>
                          <wps:spPr>
                            <a:xfrm>
                              <a:off x="0" y="0"/>
                              <a:ext cx="5417185" cy="5575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17T00:00:00Z">
                                    <w:dateFormat w:val="MMMM d, yyyy"/>
                                    <w:lid w:val="en-US"/>
                                    <w:storeMappedDataAs w:val="dateTime"/>
                                    <w:calendar w:val="gregorian"/>
                                  </w:date>
                                </w:sdtPr>
                                <w:sdtContent>
                                  <w:p w14:paraId="50292BC1" w14:textId="49CC3A41" w:rsidR="0006708B" w:rsidRDefault="007A4511" w:rsidP="007A4511">
                                    <w:pPr>
                                      <w:pStyle w:val="NoSpacing"/>
                                      <w:spacing w:after="40"/>
                                      <w:rPr>
                                        <w:caps/>
                                        <w:color w:val="156082" w:themeColor="accent1"/>
                                        <w:sz w:val="28"/>
                                        <w:szCs w:val="28"/>
                                      </w:rPr>
                                    </w:pPr>
                                    <w:r>
                                      <w:rPr>
                                        <w:caps/>
                                        <w:color w:val="156082" w:themeColor="accent1"/>
                                        <w:sz w:val="28"/>
                                        <w:szCs w:val="28"/>
                                      </w:rPr>
                                      <w:t>June 17, 2025</w:t>
                                    </w:r>
                                  </w:p>
                                </w:sdtContent>
                              </w:sdt>
                              <w:p w14:paraId="56805F8E" w14:textId="4E943C92" w:rsidR="0006708B" w:rsidRDefault="0006708B" w:rsidP="007A4511">
                                <w:pPr>
                                  <w:pStyle w:val="NoSpacing"/>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A4511">
                                      <w:rPr>
                                        <w:caps/>
                                        <w:color w:val="156082" w:themeColor="accent1"/>
                                      </w:rPr>
                                      <w:t>University of wales trinity saint david</w:t>
                                    </w:r>
                                  </w:sdtContent>
                                </w:sdt>
                              </w:p>
                              <w:p w14:paraId="15DEBFA0" w14:textId="11C1FF19" w:rsidR="0006708B" w:rsidRDefault="0006708B" w:rsidP="007A4511">
                                <w:pPr>
                                  <w:pStyle w:val="NoSpacing"/>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A4511">
                                      <w:rPr>
                                        <w:color w:val="156082" w:themeColor="accent1"/>
                                      </w:rPr>
                                      <w:t>Birmingham</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30DBFA06" id="_x0000_t202" coordsize="21600,21600" o:spt="202" path="m,l,21600r21600,l21600,xe">
                    <v:stroke joinstyle="miter"/>
                    <v:path gradientshapeok="t" o:connecttype="rect"/>
                  </v:shapetype>
                  <v:shape id="Text Box 146" o:spid="_x0000_s1026" type="#_x0000_t202" style="position:absolute;margin-left:47.8pt;margin-top:708pt;width:426.55pt;height:43.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ceZXw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6-17T00:00:00Z">
                              <w:dateFormat w:val="MMMM d, yyyy"/>
                              <w:lid w:val="en-US"/>
                              <w:storeMappedDataAs w:val="dateTime"/>
                              <w:calendar w:val="gregorian"/>
                            </w:date>
                          </w:sdtPr>
                          <w:sdtContent>
                            <w:p w14:paraId="50292BC1" w14:textId="49CC3A41" w:rsidR="0006708B" w:rsidRDefault="007A4511" w:rsidP="007A4511">
                              <w:pPr>
                                <w:pStyle w:val="NoSpacing"/>
                                <w:spacing w:after="40"/>
                                <w:rPr>
                                  <w:caps/>
                                  <w:color w:val="156082" w:themeColor="accent1"/>
                                  <w:sz w:val="28"/>
                                  <w:szCs w:val="28"/>
                                </w:rPr>
                              </w:pPr>
                              <w:r>
                                <w:rPr>
                                  <w:caps/>
                                  <w:color w:val="156082" w:themeColor="accent1"/>
                                  <w:sz w:val="28"/>
                                  <w:szCs w:val="28"/>
                                </w:rPr>
                                <w:t>June 17, 2025</w:t>
                              </w:r>
                            </w:p>
                          </w:sdtContent>
                        </w:sdt>
                        <w:p w14:paraId="56805F8E" w14:textId="4E943C92" w:rsidR="0006708B" w:rsidRDefault="0006708B" w:rsidP="007A4511">
                          <w:pPr>
                            <w:pStyle w:val="NoSpacing"/>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A4511">
                                <w:rPr>
                                  <w:caps/>
                                  <w:color w:val="156082" w:themeColor="accent1"/>
                                </w:rPr>
                                <w:t>University of wales trinity saint david</w:t>
                              </w:r>
                            </w:sdtContent>
                          </w:sdt>
                        </w:p>
                        <w:p w14:paraId="15DEBFA0" w14:textId="11C1FF19" w:rsidR="0006708B" w:rsidRDefault="0006708B" w:rsidP="007A4511">
                          <w:pPr>
                            <w:pStyle w:val="NoSpacing"/>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A4511">
                                <w:rPr>
                                  <w:color w:val="156082" w:themeColor="accent1"/>
                                </w:rPr>
                                <w:t>Birmingham</w:t>
                              </w:r>
                            </w:sdtContent>
                          </w:sdt>
                        </w:p>
                      </w:txbxContent>
                    </v:textbox>
                    <w10:wrap anchorx="margin" anchory="page"/>
                  </v:shape>
                </w:pict>
              </mc:Fallback>
            </mc:AlternateContent>
          </w:r>
        </w:p>
        <w:p w14:paraId="758139E9" w14:textId="77777777" w:rsidR="006E22E9" w:rsidRDefault="006E22E9"/>
        <w:p w14:paraId="478EA895" w14:textId="7383D9CA" w:rsidR="006E22E9" w:rsidRDefault="006E22E9">
          <w:r>
            <w:t>Student ID</w:t>
          </w:r>
          <w:r w:rsidR="00F70777">
            <w:t>:</w:t>
          </w:r>
          <w:r w:rsidR="00F70777">
            <w:tab/>
          </w:r>
          <w:r w:rsidR="002C3207">
            <w:tab/>
          </w:r>
          <w:r w:rsidR="00F70777">
            <w:t>2217837</w:t>
          </w:r>
        </w:p>
        <w:p w14:paraId="0694D515" w14:textId="7A8C4D71" w:rsidR="006E22E9" w:rsidRDefault="00F70777">
          <w:r>
            <w:t>Course:</w:t>
          </w:r>
          <w:r>
            <w:tab/>
          </w:r>
          <w:r w:rsidR="002C3207">
            <w:tab/>
          </w:r>
          <w:r>
            <w:t>Business Managemen</w:t>
          </w:r>
          <w:r w:rsidR="00D908E7">
            <w:t>t</w:t>
          </w:r>
        </w:p>
        <w:p w14:paraId="42332353" w14:textId="62FFE281" w:rsidR="006E22E9" w:rsidRDefault="00D908E7">
          <w:r>
            <w:t>Module:</w:t>
          </w:r>
          <w:r>
            <w:tab/>
            <w:t>LCBB 6003</w:t>
          </w:r>
          <w:r w:rsidR="00EA0F66">
            <w:t xml:space="preserve"> Leadership and Management Theory and Practice</w:t>
          </w:r>
        </w:p>
        <w:p w14:paraId="0B94E931" w14:textId="3E3E63ED" w:rsidR="006E22E9" w:rsidRDefault="001A6A3B">
          <w:r>
            <w:t xml:space="preserve">Module leader: </w:t>
          </w:r>
          <w:r w:rsidR="002C3207">
            <w:tab/>
          </w:r>
          <w:r w:rsidR="00D379C9">
            <w:t>Muda</w:t>
          </w:r>
          <w:r w:rsidR="002C3207">
            <w:t>ssar Hasan</w:t>
          </w:r>
        </w:p>
        <w:p w14:paraId="49F72535" w14:textId="77777777" w:rsidR="006E22E9" w:rsidRDefault="006E22E9"/>
        <w:p w14:paraId="2ACFC565" w14:textId="77777777" w:rsidR="006E22E9" w:rsidRDefault="006E22E9"/>
        <w:p w14:paraId="151BD08D" w14:textId="77777777" w:rsidR="006E22E9" w:rsidRDefault="006E22E9"/>
        <w:p w14:paraId="48EDE613" w14:textId="77777777" w:rsidR="006E22E9" w:rsidRDefault="006E22E9"/>
        <w:p w14:paraId="46DD284B" w14:textId="77777777" w:rsidR="006E22E9" w:rsidRDefault="006E22E9"/>
        <w:p w14:paraId="4AC8453F" w14:textId="77777777" w:rsidR="006E22E9" w:rsidRDefault="006E22E9"/>
        <w:p w14:paraId="739142E5" w14:textId="2D5FAEF9" w:rsidR="0006708B" w:rsidRDefault="0006708B"/>
      </w:sdtContent>
    </w:sdt>
    <w:sdt>
      <w:sdtPr>
        <w:id w:val="-213762628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D424CF2" w14:textId="1935CED0" w:rsidR="0006708B" w:rsidRDefault="0006708B">
          <w:pPr>
            <w:pStyle w:val="TOCHeading"/>
          </w:pPr>
          <w:r>
            <w:t>Table of Contents</w:t>
          </w:r>
        </w:p>
        <w:p w14:paraId="2988650D" w14:textId="77777777" w:rsidR="00F74097" w:rsidRDefault="00F74097" w:rsidP="00F74097">
          <w:pPr>
            <w:rPr>
              <w:lang w:val="en-US"/>
            </w:rPr>
          </w:pPr>
        </w:p>
        <w:p w14:paraId="47879C1E" w14:textId="77777777" w:rsidR="00F74097" w:rsidRPr="00F74097" w:rsidRDefault="00F74097" w:rsidP="00F74097">
          <w:pPr>
            <w:rPr>
              <w:lang w:val="en-US"/>
            </w:rPr>
          </w:pPr>
        </w:p>
        <w:p w14:paraId="57F6F504" w14:textId="333D5242" w:rsidR="008A2885" w:rsidRPr="00B22881" w:rsidRDefault="0006708B">
          <w:pPr>
            <w:pStyle w:val="TOC1"/>
            <w:tabs>
              <w:tab w:val="right" w:leader="dot" w:pos="9016"/>
            </w:tabs>
            <w:rPr>
              <w:rFonts w:ascii="Arial" w:eastAsiaTheme="minorEastAsia" w:hAnsi="Arial" w:cs="Arial"/>
              <w:noProof/>
              <w:sz w:val="22"/>
              <w:szCs w:val="22"/>
              <w:lang w:eastAsia="en-GB"/>
            </w:rPr>
          </w:pPr>
          <w:r>
            <w:fldChar w:fldCharType="begin"/>
          </w:r>
          <w:r>
            <w:instrText xml:space="preserve"> TOC \o "1-3" \h \z \u </w:instrText>
          </w:r>
          <w:r>
            <w:fldChar w:fldCharType="separate"/>
          </w:r>
          <w:hyperlink w:anchor="_Toc200652937" w:history="1">
            <w:r w:rsidR="008A2885" w:rsidRPr="00B22881">
              <w:rPr>
                <w:rStyle w:val="Hyperlink"/>
                <w:rFonts w:ascii="Arial" w:hAnsi="Arial" w:cs="Arial"/>
                <w:b/>
                <w:bCs/>
                <w:noProof/>
                <w:sz w:val="22"/>
                <w:szCs w:val="22"/>
              </w:rPr>
              <w:t>Introduction</w:t>
            </w:r>
            <w:r w:rsidR="008A2885" w:rsidRPr="00B22881">
              <w:rPr>
                <w:rFonts w:ascii="Arial" w:hAnsi="Arial" w:cs="Arial"/>
                <w:noProof/>
                <w:webHidden/>
                <w:sz w:val="22"/>
                <w:szCs w:val="22"/>
              </w:rPr>
              <w:tab/>
            </w:r>
            <w:r w:rsidR="008A2885" w:rsidRPr="00B22881">
              <w:rPr>
                <w:rFonts w:ascii="Arial" w:hAnsi="Arial" w:cs="Arial"/>
                <w:noProof/>
                <w:webHidden/>
                <w:sz w:val="22"/>
                <w:szCs w:val="22"/>
              </w:rPr>
              <w:fldChar w:fldCharType="begin"/>
            </w:r>
            <w:r w:rsidR="008A2885" w:rsidRPr="00B22881">
              <w:rPr>
                <w:rFonts w:ascii="Arial" w:hAnsi="Arial" w:cs="Arial"/>
                <w:noProof/>
                <w:webHidden/>
                <w:sz w:val="22"/>
                <w:szCs w:val="22"/>
              </w:rPr>
              <w:instrText xml:space="preserve"> PAGEREF _Toc200652937 \h </w:instrText>
            </w:r>
            <w:r w:rsidR="008A2885" w:rsidRPr="00B22881">
              <w:rPr>
                <w:rFonts w:ascii="Arial" w:hAnsi="Arial" w:cs="Arial"/>
                <w:noProof/>
                <w:webHidden/>
                <w:sz w:val="22"/>
                <w:szCs w:val="22"/>
              </w:rPr>
            </w:r>
            <w:r w:rsidR="008A2885" w:rsidRPr="00B22881">
              <w:rPr>
                <w:rFonts w:ascii="Arial" w:hAnsi="Arial" w:cs="Arial"/>
                <w:noProof/>
                <w:webHidden/>
                <w:sz w:val="22"/>
                <w:szCs w:val="22"/>
              </w:rPr>
              <w:fldChar w:fldCharType="separate"/>
            </w:r>
            <w:r w:rsidR="00DD4AB6">
              <w:rPr>
                <w:rFonts w:ascii="Arial" w:hAnsi="Arial" w:cs="Arial"/>
                <w:noProof/>
                <w:webHidden/>
                <w:sz w:val="22"/>
                <w:szCs w:val="22"/>
              </w:rPr>
              <w:t>2</w:t>
            </w:r>
            <w:r w:rsidR="008A2885" w:rsidRPr="00B22881">
              <w:rPr>
                <w:rFonts w:ascii="Arial" w:hAnsi="Arial" w:cs="Arial"/>
                <w:noProof/>
                <w:webHidden/>
                <w:sz w:val="22"/>
                <w:szCs w:val="22"/>
              </w:rPr>
              <w:fldChar w:fldCharType="end"/>
            </w:r>
          </w:hyperlink>
        </w:p>
        <w:p w14:paraId="3822897F" w14:textId="7DF053D7" w:rsidR="008A2885" w:rsidRPr="00B22881" w:rsidRDefault="008A2885">
          <w:pPr>
            <w:pStyle w:val="TOC1"/>
            <w:tabs>
              <w:tab w:val="right" w:leader="dot" w:pos="9016"/>
            </w:tabs>
            <w:rPr>
              <w:rFonts w:ascii="Arial" w:eastAsiaTheme="minorEastAsia" w:hAnsi="Arial" w:cs="Arial"/>
              <w:noProof/>
              <w:sz w:val="22"/>
              <w:szCs w:val="22"/>
              <w:lang w:eastAsia="en-GB"/>
            </w:rPr>
          </w:pPr>
          <w:hyperlink w:anchor="_Toc200652938" w:history="1">
            <w:r w:rsidRPr="00B22881">
              <w:rPr>
                <w:rStyle w:val="Hyperlink"/>
                <w:rFonts w:ascii="Arial" w:hAnsi="Arial" w:cs="Arial"/>
                <w:b/>
                <w:bCs/>
                <w:noProof/>
                <w:sz w:val="22"/>
                <w:szCs w:val="22"/>
              </w:rPr>
              <w:t>The Functions of Management and the Importance of Controlling</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_Toc200652938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2</w:t>
            </w:r>
            <w:r w:rsidRPr="00B22881">
              <w:rPr>
                <w:rFonts w:ascii="Arial" w:hAnsi="Arial" w:cs="Arial"/>
                <w:noProof/>
                <w:webHidden/>
                <w:sz w:val="22"/>
                <w:szCs w:val="22"/>
              </w:rPr>
              <w:fldChar w:fldCharType="end"/>
            </w:r>
          </w:hyperlink>
        </w:p>
        <w:p w14:paraId="2001AE52" w14:textId="6C60F05C"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39" w:history="1">
            <w:r w:rsidRPr="00B22881">
              <w:rPr>
                <w:rStyle w:val="Hyperlink"/>
                <w:rFonts w:ascii="Arial" w:hAnsi="Arial" w:cs="Arial"/>
                <w:b/>
                <w:bCs/>
                <w:noProof/>
                <w:sz w:val="22"/>
                <w:szCs w:val="22"/>
              </w:rPr>
              <w:t>Why Controlling is Essential</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_Toc200652939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3</w:t>
            </w:r>
            <w:r w:rsidRPr="00B22881">
              <w:rPr>
                <w:rFonts w:ascii="Arial" w:hAnsi="Arial" w:cs="Arial"/>
                <w:noProof/>
                <w:webHidden/>
                <w:sz w:val="22"/>
                <w:szCs w:val="22"/>
              </w:rPr>
              <w:fldChar w:fldCharType="end"/>
            </w:r>
          </w:hyperlink>
        </w:p>
        <w:p w14:paraId="7B8949D1" w14:textId="22B55255" w:rsidR="008A2885" w:rsidRPr="00B22881" w:rsidRDefault="008A2885">
          <w:pPr>
            <w:pStyle w:val="TOC1"/>
            <w:tabs>
              <w:tab w:val="right" w:leader="dot" w:pos="9016"/>
            </w:tabs>
            <w:rPr>
              <w:rFonts w:ascii="Arial" w:eastAsiaTheme="minorEastAsia" w:hAnsi="Arial" w:cs="Arial"/>
              <w:noProof/>
              <w:sz w:val="22"/>
              <w:szCs w:val="22"/>
              <w:lang w:eastAsia="en-GB"/>
            </w:rPr>
          </w:pPr>
          <w:hyperlink w:anchor="_Toc200652940" w:history="1">
            <w:r w:rsidRPr="00B22881">
              <w:rPr>
                <w:rStyle w:val="Hyperlink"/>
                <w:rFonts w:ascii="Arial" w:hAnsi="Arial" w:cs="Arial"/>
                <w:b/>
                <w:bCs/>
                <w:noProof/>
                <w:sz w:val="22"/>
                <w:szCs w:val="22"/>
              </w:rPr>
              <w:t>Challenges of Controlling</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_Toc200652940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4</w:t>
            </w:r>
            <w:r w:rsidRPr="00B22881">
              <w:rPr>
                <w:rFonts w:ascii="Arial" w:hAnsi="Arial" w:cs="Arial"/>
                <w:noProof/>
                <w:webHidden/>
                <w:sz w:val="22"/>
                <w:szCs w:val="22"/>
              </w:rPr>
              <w:fldChar w:fldCharType="end"/>
            </w:r>
          </w:hyperlink>
        </w:p>
        <w:p w14:paraId="5CE1C272" w14:textId="06A01E12"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1" w:history="1">
            <w:r w:rsidRPr="00B22881">
              <w:rPr>
                <w:rStyle w:val="Hyperlink"/>
                <w:rFonts w:ascii="Arial" w:hAnsi="Arial" w:cs="Arial"/>
                <w:b/>
                <w:bCs/>
                <w:noProof/>
                <w:sz w:val="22"/>
                <w:szCs w:val="22"/>
              </w:rPr>
              <w:t>1. Information Overload and Data Management</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_Toc200652941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4</w:t>
            </w:r>
            <w:r w:rsidRPr="00B22881">
              <w:rPr>
                <w:rFonts w:ascii="Arial" w:hAnsi="Arial" w:cs="Arial"/>
                <w:noProof/>
                <w:webHidden/>
                <w:sz w:val="22"/>
                <w:szCs w:val="22"/>
              </w:rPr>
              <w:fldChar w:fldCharType="end"/>
            </w:r>
          </w:hyperlink>
        </w:p>
        <w:p w14:paraId="5BED826D" w14:textId="037374F8"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2" w:history="1">
            <w:r w:rsidRPr="00B22881">
              <w:rPr>
                <w:rStyle w:val="Hyperlink"/>
                <w:rFonts w:ascii="Arial" w:hAnsi="Arial" w:cs="Arial"/>
                <w:b/>
                <w:bCs/>
                <w:noProof/>
                <w:sz w:val="22"/>
                <w:szCs w:val="22"/>
              </w:rPr>
              <w:t>2. Employee Resistance to Control Systems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_Toc200652942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4</w:t>
            </w:r>
            <w:r w:rsidRPr="00B22881">
              <w:rPr>
                <w:rFonts w:ascii="Arial" w:hAnsi="Arial" w:cs="Arial"/>
                <w:noProof/>
                <w:webHidden/>
                <w:sz w:val="22"/>
                <w:szCs w:val="22"/>
              </w:rPr>
              <w:fldChar w:fldCharType="end"/>
            </w:r>
          </w:hyperlink>
        </w:p>
        <w:p w14:paraId="41B188D5" w14:textId="5E5E51FB"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3" w:history="1">
            <w:r w:rsidRPr="00B22881">
              <w:rPr>
                <w:rStyle w:val="Hyperlink"/>
                <w:rFonts w:ascii="Arial" w:hAnsi="Arial" w:cs="Arial"/>
                <w:b/>
                <w:bCs/>
                <w:noProof/>
                <w:sz w:val="22"/>
                <w:szCs w:val="22"/>
              </w:rPr>
              <w:t>3. Cultural and Cross-National Differences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_Toc200652943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4</w:t>
            </w:r>
            <w:r w:rsidRPr="00B22881">
              <w:rPr>
                <w:rFonts w:ascii="Arial" w:hAnsi="Arial" w:cs="Arial"/>
                <w:noProof/>
                <w:webHidden/>
                <w:sz w:val="22"/>
                <w:szCs w:val="22"/>
              </w:rPr>
              <w:fldChar w:fldCharType="end"/>
            </w:r>
          </w:hyperlink>
        </w:p>
        <w:p w14:paraId="52DB292C" w14:textId="25882D97"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4" w:history="1">
            <w:r w:rsidRPr="00B22881">
              <w:rPr>
                <w:rStyle w:val="Hyperlink"/>
                <w:rFonts w:ascii="Arial" w:hAnsi="Arial" w:cs="Arial"/>
                <w:b/>
                <w:bCs/>
                <w:noProof/>
                <w:sz w:val="22"/>
                <w:szCs w:val="22"/>
              </w:rPr>
              <w:t>4. Over-Reliance on Technology</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_Toc200652944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3CC75600" w14:textId="4E70AF2A"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5" w:history="1">
            <w:r w:rsidRPr="00B22881">
              <w:rPr>
                <w:rStyle w:val="Hyperlink"/>
                <w:rFonts w:ascii="Arial" w:hAnsi="Arial" w:cs="Arial"/>
                <w:b/>
                <w:bCs/>
                <w:noProof/>
                <w:sz w:val="22"/>
                <w:szCs w:val="22"/>
              </w:rPr>
              <w:t>5. Goal Misalignment and Ethical Failures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_Toc200652945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463B0FBF" w14:textId="22155E69"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6" w:history="1">
            <w:r w:rsidRPr="00B22881">
              <w:rPr>
                <w:rStyle w:val="Hyperlink"/>
                <w:rFonts w:ascii="Arial" w:hAnsi="Arial" w:cs="Arial"/>
                <w:b/>
                <w:bCs/>
                <w:noProof/>
                <w:sz w:val="22"/>
                <w:szCs w:val="22"/>
              </w:rPr>
              <w:t>6. Cost and Resource Constraints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_Toc200652946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62D7F2BE" w14:textId="5A646C4F" w:rsidR="008A2885" w:rsidRPr="00B22881" w:rsidRDefault="008A2885">
          <w:pPr>
            <w:pStyle w:val="TOC1"/>
            <w:tabs>
              <w:tab w:val="right" w:leader="dot" w:pos="9016"/>
            </w:tabs>
            <w:rPr>
              <w:rFonts w:ascii="Arial" w:eastAsiaTheme="minorEastAsia" w:hAnsi="Arial" w:cs="Arial"/>
              <w:noProof/>
              <w:sz w:val="22"/>
              <w:szCs w:val="22"/>
              <w:lang w:eastAsia="en-GB"/>
            </w:rPr>
          </w:pPr>
          <w:hyperlink w:anchor="_Toc200652947" w:history="1">
            <w:r w:rsidRPr="00B22881">
              <w:rPr>
                <w:rStyle w:val="Hyperlink"/>
                <w:rFonts w:ascii="Arial" w:hAnsi="Arial" w:cs="Arial"/>
                <w:b/>
                <w:bCs/>
                <w:noProof/>
                <w:sz w:val="22"/>
                <w:szCs w:val="22"/>
              </w:rPr>
              <w:t>Mitigating the Challenges of Controlling</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_Toc200652947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1188537E" w14:textId="4F77A8AA"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8" w:history="1">
            <w:r w:rsidRPr="00B22881">
              <w:rPr>
                <w:rStyle w:val="Hyperlink"/>
                <w:rFonts w:ascii="Arial" w:hAnsi="Arial" w:cs="Arial"/>
                <w:b/>
                <w:bCs/>
                <w:noProof/>
                <w:sz w:val="22"/>
                <w:szCs w:val="22"/>
              </w:rPr>
              <w:t>1. Simplify and Prioritise KPIs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_Toc200652948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5</w:t>
            </w:r>
            <w:r w:rsidRPr="00B22881">
              <w:rPr>
                <w:rFonts w:ascii="Arial" w:hAnsi="Arial" w:cs="Arial"/>
                <w:noProof/>
                <w:webHidden/>
                <w:sz w:val="22"/>
                <w:szCs w:val="22"/>
              </w:rPr>
              <w:fldChar w:fldCharType="end"/>
            </w:r>
          </w:hyperlink>
        </w:p>
        <w:p w14:paraId="35F7D4E7" w14:textId="3CE1084E"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49" w:history="1">
            <w:r w:rsidRPr="00B22881">
              <w:rPr>
                <w:rStyle w:val="Hyperlink"/>
                <w:rFonts w:ascii="Arial" w:hAnsi="Arial" w:cs="Arial"/>
                <w:b/>
                <w:bCs/>
                <w:noProof/>
                <w:sz w:val="22"/>
                <w:szCs w:val="22"/>
              </w:rPr>
              <w:t>2. Foster a Culture of Participation</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_Toc200652949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7FAF6A5F" w14:textId="7F55F6EA"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0" w:history="1">
            <w:r w:rsidRPr="00B22881">
              <w:rPr>
                <w:rStyle w:val="Hyperlink"/>
                <w:rFonts w:ascii="Arial" w:hAnsi="Arial" w:cs="Arial"/>
                <w:b/>
                <w:bCs/>
                <w:noProof/>
                <w:sz w:val="22"/>
                <w:szCs w:val="22"/>
              </w:rPr>
              <w:t>3. Align Control with Ethical Leadership</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_Toc200652950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0790B128" w14:textId="15C9236C"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1" w:history="1">
            <w:r w:rsidRPr="00B22881">
              <w:rPr>
                <w:rStyle w:val="Hyperlink"/>
                <w:rFonts w:ascii="Arial" w:hAnsi="Arial" w:cs="Arial"/>
                <w:b/>
                <w:bCs/>
                <w:noProof/>
                <w:sz w:val="22"/>
                <w:szCs w:val="22"/>
              </w:rPr>
              <w:t>4. Balance Technology with Human Oversight</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_Toc200652951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54E8FBB6" w14:textId="7879644F"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2" w:history="1">
            <w:r w:rsidRPr="00B22881">
              <w:rPr>
                <w:rStyle w:val="Hyperlink"/>
                <w:rFonts w:ascii="Arial" w:hAnsi="Arial" w:cs="Arial"/>
                <w:b/>
                <w:bCs/>
                <w:noProof/>
                <w:sz w:val="22"/>
                <w:szCs w:val="22"/>
              </w:rPr>
              <w:t>5. Embrace Agile Control Systems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_Toc200652952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090D4718" w14:textId="71767BC5"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3" w:history="1">
            <w:r w:rsidRPr="00B22881">
              <w:rPr>
                <w:rStyle w:val="Hyperlink"/>
                <w:rFonts w:ascii="Arial" w:hAnsi="Arial" w:cs="Arial"/>
                <w:b/>
                <w:bCs/>
                <w:noProof/>
                <w:sz w:val="22"/>
                <w:szCs w:val="22"/>
              </w:rPr>
              <w:t>6. Invest in Leadership Development</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_Toc200652953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6</w:t>
            </w:r>
            <w:r w:rsidRPr="00B22881">
              <w:rPr>
                <w:rFonts w:ascii="Arial" w:hAnsi="Arial" w:cs="Arial"/>
                <w:noProof/>
                <w:webHidden/>
                <w:sz w:val="22"/>
                <w:szCs w:val="22"/>
              </w:rPr>
              <w:fldChar w:fldCharType="end"/>
            </w:r>
          </w:hyperlink>
        </w:p>
        <w:p w14:paraId="5D6D0C41" w14:textId="18F48C26" w:rsidR="008A2885" w:rsidRPr="00B22881" w:rsidRDefault="008A2885">
          <w:pPr>
            <w:pStyle w:val="TOC2"/>
            <w:tabs>
              <w:tab w:val="right" w:leader="dot" w:pos="9016"/>
            </w:tabs>
            <w:rPr>
              <w:rFonts w:ascii="Arial" w:eastAsiaTheme="minorEastAsia" w:hAnsi="Arial" w:cs="Arial"/>
              <w:noProof/>
              <w:sz w:val="22"/>
              <w:szCs w:val="22"/>
              <w:lang w:eastAsia="en-GB"/>
            </w:rPr>
          </w:pPr>
          <w:hyperlink w:anchor="_Toc200652954" w:history="1">
            <w:r w:rsidRPr="00B22881">
              <w:rPr>
                <w:rStyle w:val="Hyperlink"/>
                <w:rFonts w:ascii="Arial" w:hAnsi="Arial" w:cs="Arial"/>
                <w:b/>
                <w:bCs/>
                <w:noProof/>
                <w:sz w:val="22"/>
                <w:szCs w:val="22"/>
              </w:rPr>
              <w:t>7. Effective Communication and Cross-Functional Collaboration in Control Systems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_Toc200652954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7</w:t>
            </w:r>
            <w:r w:rsidRPr="00B22881">
              <w:rPr>
                <w:rFonts w:ascii="Arial" w:hAnsi="Arial" w:cs="Arial"/>
                <w:noProof/>
                <w:webHidden/>
                <w:sz w:val="22"/>
                <w:szCs w:val="22"/>
              </w:rPr>
              <w:fldChar w:fldCharType="end"/>
            </w:r>
          </w:hyperlink>
        </w:p>
        <w:p w14:paraId="3B7BFDB8" w14:textId="4244E2C9" w:rsidR="008A2885" w:rsidRPr="00B22881" w:rsidRDefault="008A2885">
          <w:pPr>
            <w:pStyle w:val="TOC3"/>
            <w:tabs>
              <w:tab w:val="right" w:leader="dot" w:pos="9016"/>
            </w:tabs>
            <w:rPr>
              <w:rFonts w:ascii="Arial" w:eastAsiaTheme="minorEastAsia" w:hAnsi="Arial" w:cs="Arial"/>
              <w:noProof/>
              <w:sz w:val="22"/>
              <w:szCs w:val="22"/>
              <w:lang w:eastAsia="en-GB"/>
            </w:rPr>
          </w:pPr>
          <w:hyperlink w:anchor="_Toc200652955" w:history="1">
            <w:r w:rsidRPr="00B22881">
              <w:rPr>
                <w:rStyle w:val="Hyperlink"/>
                <w:rFonts w:ascii="Arial" w:hAnsi="Arial" w:cs="Arial"/>
                <w:b/>
                <w:bCs/>
                <w:noProof/>
                <w:sz w:val="22"/>
                <w:szCs w:val="22"/>
              </w:rPr>
              <w:t>Conclusion</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_Toc200652955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7</w:t>
            </w:r>
            <w:r w:rsidRPr="00B22881">
              <w:rPr>
                <w:rFonts w:ascii="Arial" w:hAnsi="Arial" w:cs="Arial"/>
                <w:noProof/>
                <w:webHidden/>
                <w:sz w:val="22"/>
                <w:szCs w:val="22"/>
              </w:rPr>
              <w:fldChar w:fldCharType="end"/>
            </w:r>
          </w:hyperlink>
        </w:p>
        <w:p w14:paraId="1EC14919" w14:textId="5D0A8243" w:rsidR="008A2885" w:rsidRPr="00B22881" w:rsidRDefault="008A2885">
          <w:pPr>
            <w:pStyle w:val="TOC3"/>
            <w:tabs>
              <w:tab w:val="right" w:leader="dot" w:pos="9016"/>
            </w:tabs>
            <w:rPr>
              <w:rFonts w:ascii="Arial" w:eastAsiaTheme="minorEastAsia" w:hAnsi="Arial" w:cs="Arial"/>
              <w:noProof/>
              <w:sz w:val="22"/>
              <w:szCs w:val="22"/>
              <w:lang w:eastAsia="en-GB"/>
            </w:rPr>
          </w:pPr>
          <w:hyperlink w:anchor="_Toc200652956" w:history="1">
            <w:r w:rsidRPr="00B22881">
              <w:rPr>
                <w:rStyle w:val="Hyperlink"/>
                <w:rFonts w:ascii="Arial" w:hAnsi="Arial" w:cs="Arial"/>
                <w:b/>
                <w:bCs/>
                <w:noProof/>
                <w:sz w:val="22"/>
                <w:szCs w:val="22"/>
              </w:rPr>
              <w:t>References</w:t>
            </w:r>
            <w:r w:rsidRPr="00B22881">
              <w:rPr>
                <w:rFonts w:ascii="Arial" w:hAnsi="Arial" w:cs="Arial"/>
                <w:noProof/>
                <w:webHidden/>
                <w:sz w:val="22"/>
                <w:szCs w:val="22"/>
              </w:rPr>
              <w:tab/>
            </w:r>
            <w:r w:rsidRPr="00B22881">
              <w:rPr>
                <w:rFonts w:ascii="Arial" w:hAnsi="Arial" w:cs="Arial"/>
                <w:noProof/>
                <w:webHidden/>
                <w:sz w:val="22"/>
                <w:szCs w:val="22"/>
              </w:rPr>
              <w:fldChar w:fldCharType="begin"/>
            </w:r>
            <w:r w:rsidRPr="00B22881">
              <w:rPr>
                <w:rFonts w:ascii="Arial" w:hAnsi="Arial" w:cs="Arial"/>
                <w:noProof/>
                <w:webHidden/>
                <w:sz w:val="22"/>
                <w:szCs w:val="22"/>
              </w:rPr>
              <w:instrText xml:space="preserve"> PAGEREF _Toc200652956 \h </w:instrText>
            </w:r>
            <w:r w:rsidRPr="00B22881">
              <w:rPr>
                <w:rFonts w:ascii="Arial" w:hAnsi="Arial" w:cs="Arial"/>
                <w:noProof/>
                <w:webHidden/>
                <w:sz w:val="22"/>
                <w:szCs w:val="22"/>
              </w:rPr>
            </w:r>
            <w:r w:rsidRPr="00B22881">
              <w:rPr>
                <w:rFonts w:ascii="Arial" w:hAnsi="Arial" w:cs="Arial"/>
                <w:noProof/>
                <w:webHidden/>
                <w:sz w:val="22"/>
                <w:szCs w:val="22"/>
              </w:rPr>
              <w:fldChar w:fldCharType="separate"/>
            </w:r>
            <w:r w:rsidR="00DD4AB6">
              <w:rPr>
                <w:rFonts w:ascii="Arial" w:hAnsi="Arial" w:cs="Arial"/>
                <w:noProof/>
                <w:webHidden/>
                <w:sz w:val="22"/>
                <w:szCs w:val="22"/>
              </w:rPr>
              <w:t>8</w:t>
            </w:r>
            <w:r w:rsidRPr="00B22881">
              <w:rPr>
                <w:rFonts w:ascii="Arial" w:hAnsi="Arial" w:cs="Arial"/>
                <w:noProof/>
                <w:webHidden/>
                <w:sz w:val="22"/>
                <w:szCs w:val="22"/>
              </w:rPr>
              <w:fldChar w:fldCharType="end"/>
            </w:r>
          </w:hyperlink>
        </w:p>
        <w:p w14:paraId="438E9603" w14:textId="781E01F8" w:rsidR="0006708B" w:rsidRDefault="0006708B">
          <w:r>
            <w:rPr>
              <w:b/>
              <w:bCs/>
              <w:noProof/>
            </w:rPr>
            <w:fldChar w:fldCharType="end"/>
          </w:r>
        </w:p>
      </w:sdtContent>
    </w:sdt>
    <w:p w14:paraId="563F2FA4" w14:textId="77777777" w:rsidR="0006708B" w:rsidRDefault="0006708B" w:rsidP="0006708B">
      <w:pPr>
        <w:pStyle w:val="Heading1"/>
        <w:jc w:val="center"/>
        <w:rPr>
          <w:rFonts w:ascii="Arial" w:hAnsi="Arial" w:cs="Arial"/>
          <w:b/>
          <w:bCs/>
          <w:color w:val="auto"/>
          <w:sz w:val="22"/>
          <w:szCs w:val="22"/>
        </w:rPr>
      </w:pPr>
    </w:p>
    <w:p w14:paraId="57200B19" w14:textId="77777777" w:rsidR="0006708B" w:rsidRDefault="0006708B" w:rsidP="0006708B"/>
    <w:p w14:paraId="2F22A6F9" w14:textId="77777777" w:rsidR="0006708B" w:rsidRPr="0006708B" w:rsidRDefault="0006708B" w:rsidP="0006708B"/>
    <w:p w14:paraId="73D93E8D" w14:textId="77777777" w:rsidR="0006708B" w:rsidRDefault="0006708B" w:rsidP="0006708B">
      <w:pPr>
        <w:pStyle w:val="Heading1"/>
        <w:jc w:val="center"/>
        <w:rPr>
          <w:rFonts w:ascii="Arial" w:hAnsi="Arial" w:cs="Arial"/>
          <w:b/>
          <w:bCs/>
          <w:color w:val="auto"/>
          <w:sz w:val="22"/>
          <w:szCs w:val="22"/>
        </w:rPr>
      </w:pPr>
    </w:p>
    <w:p w14:paraId="1DD59F8E" w14:textId="77777777" w:rsidR="0006708B" w:rsidRDefault="0006708B" w:rsidP="0006708B">
      <w:pPr>
        <w:pStyle w:val="Heading1"/>
        <w:jc w:val="center"/>
        <w:rPr>
          <w:rFonts w:ascii="Arial" w:hAnsi="Arial" w:cs="Arial"/>
          <w:b/>
          <w:bCs/>
          <w:color w:val="auto"/>
          <w:sz w:val="22"/>
          <w:szCs w:val="22"/>
        </w:rPr>
      </w:pPr>
    </w:p>
    <w:p w14:paraId="32C8D113" w14:textId="70418D46" w:rsidR="0006708B" w:rsidRPr="0006708B" w:rsidRDefault="0006708B" w:rsidP="0006708B">
      <w:pPr>
        <w:pStyle w:val="Heading1"/>
        <w:jc w:val="center"/>
        <w:rPr>
          <w:rFonts w:ascii="Arial" w:hAnsi="Arial" w:cs="Arial"/>
          <w:b/>
          <w:bCs/>
          <w:color w:val="auto"/>
          <w:sz w:val="22"/>
          <w:szCs w:val="22"/>
        </w:rPr>
      </w:pPr>
      <w:bookmarkStart w:id="0" w:name="_Toc200652937"/>
      <w:r w:rsidRPr="0006708B">
        <w:rPr>
          <w:rFonts w:ascii="Arial" w:hAnsi="Arial" w:cs="Arial"/>
          <w:b/>
          <w:bCs/>
          <w:color w:val="auto"/>
          <w:sz w:val="22"/>
          <w:szCs w:val="22"/>
        </w:rPr>
        <w:t>Introduction</w:t>
      </w:r>
      <w:bookmarkEnd w:id="0"/>
    </w:p>
    <w:p w14:paraId="5D09A07D"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In today’s rapidly evolving business world, management remains a critical function that ensures organizational objectives are met. As organizations strive for operational efficiency, strategic growth, and competitive advantage, effective management is indispensable. The primary functions of management planning, organizing, leading, and controlling work together to create a cohesive framework for managing business processes. According to Robbins and Coulter (2022), management is “the process of coordinating and overseeing the work activities of others so that their activities are completed efficiently and effectively.” These functions not only guide day-to-day operations but also help address long-term strategic goals.</w:t>
      </w:r>
    </w:p>
    <w:p w14:paraId="555ECC67"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Among the four management functions, controlling is particularly significant because it ensures that goals set during the planning phase are achieved and that organizations can stay on track despite internal and external changes. The controlling function involves setting performance standards, monitoring actual performance, and taking corrective actions when deviations from the goals occur (Griffin, 2020). This feedback loop allows organizations to continually refine their strategies and operations, ensuring long-term success and alignment with business objectives.</w:t>
      </w:r>
    </w:p>
    <w:p w14:paraId="30D461F6"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This essay will critically evaluate the importance of controlling in organizations of various types, discuss the challenges that arise in implementing control systems, and explore strategies that managers can use to mitigate these challenges. By examining relevant business examples, this essay will demonstrate how controlling can serve as a powerful tool in achieving organizational objectives and fostering a culture of continuous improvement.</w:t>
      </w:r>
    </w:p>
    <w:p w14:paraId="5EBEEC56" w14:textId="77777777" w:rsidR="0006708B" w:rsidRPr="0006708B" w:rsidRDefault="0006708B" w:rsidP="0006708B">
      <w:pPr>
        <w:pStyle w:val="Heading1"/>
        <w:jc w:val="center"/>
        <w:rPr>
          <w:rFonts w:ascii="Arial" w:hAnsi="Arial" w:cs="Arial"/>
          <w:b/>
          <w:bCs/>
          <w:color w:val="auto"/>
          <w:sz w:val="22"/>
          <w:szCs w:val="22"/>
        </w:rPr>
      </w:pPr>
      <w:bookmarkStart w:id="1" w:name="_Toc200465535"/>
      <w:bookmarkStart w:id="2" w:name="_Toc200465571"/>
      <w:bookmarkStart w:id="3" w:name="_Toc200652938"/>
      <w:r w:rsidRPr="0006708B">
        <w:rPr>
          <w:rFonts w:ascii="Arial" w:hAnsi="Arial" w:cs="Arial"/>
          <w:b/>
          <w:bCs/>
          <w:color w:val="auto"/>
          <w:sz w:val="22"/>
          <w:szCs w:val="22"/>
        </w:rPr>
        <w:t>The Functions of Management and the Importance of Controlling</w:t>
      </w:r>
      <w:bookmarkEnd w:id="1"/>
      <w:bookmarkEnd w:id="2"/>
      <w:bookmarkEnd w:id="3"/>
    </w:p>
    <w:p w14:paraId="5D7D9481" w14:textId="349423E9"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 xml:space="preserve">Management as a discipline has evolved significantly over the years, but the fundamental functions outlined by Henri Fayol, planning, organizing, leading, and controlling remain crucial to modern business operations. Fayol’s theory, articulated in 1949, has laid the foundation for understanding the essential components of management. These functions are not </w:t>
      </w:r>
      <w:r w:rsidRPr="0006708B">
        <w:rPr>
          <w:rFonts w:ascii="Arial" w:hAnsi="Arial" w:cs="Arial"/>
          <w:sz w:val="22"/>
          <w:szCs w:val="22"/>
        </w:rPr>
        <w:t>isolated;</w:t>
      </w:r>
      <w:r w:rsidRPr="0006708B">
        <w:rPr>
          <w:rFonts w:ascii="Arial" w:hAnsi="Arial" w:cs="Arial"/>
          <w:sz w:val="22"/>
          <w:szCs w:val="22"/>
        </w:rPr>
        <w:t xml:space="preserve"> they work synergistically to enable organizations to achieve their goals.</w:t>
      </w:r>
    </w:p>
    <w:p w14:paraId="35B6FCF8" w14:textId="77777777" w:rsidR="0006708B" w:rsidRPr="0006708B" w:rsidRDefault="0006708B" w:rsidP="0006708B">
      <w:pPr>
        <w:spacing w:line="360" w:lineRule="auto"/>
        <w:jc w:val="both"/>
        <w:rPr>
          <w:rFonts w:ascii="Arial" w:hAnsi="Arial" w:cs="Arial"/>
          <w:b/>
          <w:bCs/>
          <w:sz w:val="22"/>
          <w:szCs w:val="22"/>
        </w:rPr>
      </w:pPr>
      <w:r w:rsidRPr="0006708B">
        <w:rPr>
          <w:rFonts w:ascii="Arial" w:hAnsi="Arial" w:cs="Arial"/>
          <w:b/>
          <w:bCs/>
          <w:sz w:val="22"/>
          <w:szCs w:val="22"/>
        </w:rPr>
        <w:t>The Core Functions of Management</w:t>
      </w:r>
    </w:p>
    <w:p w14:paraId="48138358" w14:textId="77777777" w:rsidR="0006708B" w:rsidRPr="0006708B" w:rsidRDefault="0006708B" w:rsidP="0006708B">
      <w:pPr>
        <w:numPr>
          <w:ilvl w:val="0"/>
          <w:numId w:val="2"/>
        </w:numPr>
        <w:tabs>
          <w:tab w:val="num" w:pos="720"/>
        </w:tabs>
        <w:spacing w:line="360" w:lineRule="auto"/>
        <w:jc w:val="both"/>
        <w:rPr>
          <w:rFonts w:ascii="Arial" w:hAnsi="Arial" w:cs="Arial"/>
          <w:sz w:val="22"/>
          <w:szCs w:val="22"/>
        </w:rPr>
      </w:pPr>
      <w:r w:rsidRPr="0006708B">
        <w:rPr>
          <w:rFonts w:ascii="Arial" w:hAnsi="Arial" w:cs="Arial"/>
          <w:b/>
          <w:bCs/>
          <w:sz w:val="22"/>
          <w:szCs w:val="22"/>
        </w:rPr>
        <w:t>Planning:</w:t>
      </w:r>
      <w:r w:rsidRPr="0006708B">
        <w:rPr>
          <w:rFonts w:ascii="Arial" w:hAnsi="Arial" w:cs="Arial"/>
          <w:sz w:val="22"/>
          <w:szCs w:val="22"/>
        </w:rPr>
        <w:t xml:space="preserve"> This involves setting objectives and determining the actions needed to achieve them. Effective planning provides direction, reduces uncertainty, and helps optimise resource allocation.</w:t>
      </w:r>
    </w:p>
    <w:p w14:paraId="2FA2AB39" w14:textId="77777777" w:rsidR="0006708B" w:rsidRPr="0006708B" w:rsidRDefault="0006708B" w:rsidP="0006708B">
      <w:pPr>
        <w:numPr>
          <w:ilvl w:val="0"/>
          <w:numId w:val="2"/>
        </w:numPr>
        <w:tabs>
          <w:tab w:val="num" w:pos="720"/>
        </w:tabs>
        <w:spacing w:line="360" w:lineRule="auto"/>
        <w:jc w:val="both"/>
        <w:rPr>
          <w:rFonts w:ascii="Arial" w:hAnsi="Arial" w:cs="Arial"/>
          <w:sz w:val="22"/>
          <w:szCs w:val="22"/>
        </w:rPr>
      </w:pPr>
      <w:r w:rsidRPr="0006708B">
        <w:rPr>
          <w:rFonts w:ascii="Arial" w:hAnsi="Arial" w:cs="Arial"/>
          <w:b/>
          <w:bCs/>
          <w:sz w:val="22"/>
          <w:szCs w:val="22"/>
        </w:rPr>
        <w:lastRenderedPageBreak/>
        <w:t>Organizing:</w:t>
      </w:r>
      <w:r w:rsidRPr="0006708B">
        <w:rPr>
          <w:rFonts w:ascii="Arial" w:hAnsi="Arial" w:cs="Arial"/>
          <w:sz w:val="22"/>
          <w:szCs w:val="22"/>
        </w:rPr>
        <w:t xml:space="preserve"> Once a plan is in place, the next step is organizing resources to implement the plan. This includes defining roles, allocating tasks, and ensuring that resources are available to achieve the set objectives.</w:t>
      </w:r>
    </w:p>
    <w:p w14:paraId="0E8F84E6" w14:textId="77777777" w:rsidR="0006708B" w:rsidRPr="0006708B" w:rsidRDefault="0006708B" w:rsidP="0006708B">
      <w:pPr>
        <w:numPr>
          <w:ilvl w:val="0"/>
          <w:numId w:val="2"/>
        </w:numPr>
        <w:tabs>
          <w:tab w:val="num" w:pos="720"/>
        </w:tabs>
        <w:spacing w:line="360" w:lineRule="auto"/>
        <w:jc w:val="both"/>
        <w:rPr>
          <w:rFonts w:ascii="Arial" w:hAnsi="Arial" w:cs="Arial"/>
          <w:sz w:val="22"/>
          <w:szCs w:val="22"/>
        </w:rPr>
      </w:pPr>
      <w:r w:rsidRPr="0006708B">
        <w:rPr>
          <w:rFonts w:ascii="Arial" w:hAnsi="Arial" w:cs="Arial"/>
          <w:b/>
          <w:bCs/>
          <w:sz w:val="22"/>
          <w:szCs w:val="22"/>
        </w:rPr>
        <w:t>Leading</w:t>
      </w:r>
      <w:r w:rsidRPr="0006708B">
        <w:rPr>
          <w:rFonts w:ascii="Arial" w:hAnsi="Arial" w:cs="Arial"/>
          <w:sz w:val="22"/>
          <w:szCs w:val="22"/>
        </w:rPr>
        <w:t>: Leadership focuses on motivating, influencing, and guiding employees to work towards organizational goals. A good leader inspires trust and commitment, enabling the workforce to stay focused and motivated.</w:t>
      </w:r>
    </w:p>
    <w:p w14:paraId="32EA2134" w14:textId="77777777" w:rsidR="0006708B" w:rsidRPr="0006708B" w:rsidRDefault="0006708B" w:rsidP="0006708B">
      <w:pPr>
        <w:numPr>
          <w:ilvl w:val="0"/>
          <w:numId w:val="2"/>
        </w:numPr>
        <w:tabs>
          <w:tab w:val="num" w:pos="720"/>
        </w:tabs>
        <w:spacing w:line="360" w:lineRule="auto"/>
        <w:jc w:val="both"/>
        <w:rPr>
          <w:rFonts w:ascii="Arial" w:hAnsi="Arial" w:cs="Arial"/>
          <w:sz w:val="22"/>
          <w:szCs w:val="22"/>
        </w:rPr>
      </w:pPr>
      <w:r w:rsidRPr="0006708B">
        <w:rPr>
          <w:rFonts w:ascii="Arial" w:hAnsi="Arial" w:cs="Arial"/>
          <w:b/>
          <w:bCs/>
          <w:sz w:val="22"/>
          <w:szCs w:val="22"/>
        </w:rPr>
        <w:t>Controlling:</w:t>
      </w:r>
      <w:r w:rsidRPr="0006708B">
        <w:rPr>
          <w:rFonts w:ascii="Arial" w:hAnsi="Arial" w:cs="Arial"/>
          <w:sz w:val="22"/>
          <w:szCs w:val="22"/>
        </w:rPr>
        <w:t xml:space="preserve"> The controlling function is integral to ensuring that the other functions are working effectively. It acts as the monitoring phase of management, ensuring that actual performance aligns with the planned goals. Controlling involves setting performance standards, measuring outcomes, comparing them to the standards, and taking corrective actions if necessary.</w:t>
      </w:r>
    </w:p>
    <w:p w14:paraId="5B08A3D4" w14:textId="77777777" w:rsidR="0006708B" w:rsidRPr="0006708B" w:rsidRDefault="0006708B" w:rsidP="0006708B">
      <w:pPr>
        <w:pStyle w:val="Heading2"/>
        <w:rPr>
          <w:rFonts w:ascii="Arial" w:hAnsi="Arial" w:cs="Arial"/>
          <w:b/>
          <w:bCs/>
          <w:color w:val="auto"/>
          <w:sz w:val="22"/>
          <w:szCs w:val="22"/>
        </w:rPr>
      </w:pPr>
      <w:bookmarkStart w:id="4" w:name="_Toc200465536"/>
      <w:bookmarkStart w:id="5" w:name="_Toc200465572"/>
      <w:bookmarkStart w:id="6" w:name="_Toc200652939"/>
      <w:r w:rsidRPr="0006708B">
        <w:rPr>
          <w:rFonts w:ascii="Arial" w:hAnsi="Arial" w:cs="Arial"/>
          <w:b/>
          <w:bCs/>
          <w:color w:val="auto"/>
          <w:sz w:val="22"/>
          <w:szCs w:val="22"/>
        </w:rPr>
        <w:t>Why Controlling is Essential</w:t>
      </w:r>
      <w:bookmarkEnd w:id="4"/>
      <w:bookmarkEnd w:id="5"/>
      <w:bookmarkEnd w:id="6"/>
    </w:p>
    <w:p w14:paraId="7581D0FB" w14:textId="77777777" w:rsidR="0006708B" w:rsidRPr="0006708B" w:rsidRDefault="0006708B" w:rsidP="0006708B">
      <w:pPr>
        <w:spacing w:line="360" w:lineRule="auto"/>
        <w:jc w:val="both"/>
        <w:rPr>
          <w:rFonts w:ascii="Arial" w:hAnsi="Arial" w:cs="Arial"/>
          <w:sz w:val="22"/>
          <w:szCs w:val="22"/>
        </w:rPr>
      </w:pPr>
      <w:r w:rsidRPr="0006708B">
        <w:rPr>
          <w:rFonts w:ascii="Arial" w:hAnsi="Arial" w:cs="Arial"/>
          <w:sz w:val="22"/>
          <w:szCs w:val="22"/>
        </w:rPr>
        <w:t>Controlling usually consists of three main elements.</w:t>
      </w:r>
    </w:p>
    <w:p w14:paraId="103B2CA4" w14:textId="77777777" w:rsidR="0006708B" w:rsidRPr="0006708B" w:rsidRDefault="0006708B" w:rsidP="0006708B">
      <w:pPr>
        <w:pStyle w:val="ListParagraph"/>
        <w:numPr>
          <w:ilvl w:val="0"/>
          <w:numId w:val="1"/>
        </w:numPr>
        <w:spacing w:line="360" w:lineRule="auto"/>
        <w:jc w:val="both"/>
        <w:rPr>
          <w:rFonts w:ascii="Arial" w:hAnsi="Arial" w:cs="Arial"/>
          <w:sz w:val="22"/>
          <w:szCs w:val="22"/>
        </w:rPr>
      </w:pPr>
      <w:r w:rsidRPr="0006708B">
        <w:rPr>
          <w:rFonts w:ascii="Arial" w:hAnsi="Arial" w:cs="Arial"/>
          <w:sz w:val="22"/>
          <w:szCs w:val="22"/>
        </w:rPr>
        <w:t>Defining goals and then setting the standards for them</w:t>
      </w:r>
    </w:p>
    <w:p w14:paraId="492C4201" w14:textId="77777777" w:rsidR="0006708B" w:rsidRPr="0006708B" w:rsidRDefault="0006708B" w:rsidP="0006708B">
      <w:pPr>
        <w:pStyle w:val="ListParagraph"/>
        <w:numPr>
          <w:ilvl w:val="0"/>
          <w:numId w:val="1"/>
        </w:numPr>
        <w:spacing w:line="360" w:lineRule="auto"/>
        <w:jc w:val="both"/>
        <w:rPr>
          <w:rFonts w:ascii="Arial" w:hAnsi="Arial" w:cs="Arial"/>
          <w:sz w:val="22"/>
          <w:szCs w:val="22"/>
        </w:rPr>
      </w:pPr>
      <w:r w:rsidRPr="0006708B">
        <w:rPr>
          <w:rFonts w:ascii="Arial" w:hAnsi="Arial" w:cs="Arial"/>
          <w:sz w:val="22"/>
          <w:szCs w:val="22"/>
        </w:rPr>
        <w:t>Checking how well the organization is performing.</w:t>
      </w:r>
    </w:p>
    <w:p w14:paraId="41ED0392" w14:textId="77777777" w:rsidR="0006708B" w:rsidRPr="0006708B" w:rsidRDefault="0006708B" w:rsidP="0006708B">
      <w:pPr>
        <w:pStyle w:val="ListParagraph"/>
        <w:numPr>
          <w:ilvl w:val="0"/>
          <w:numId w:val="1"/>
        </w:numPr>
        <w:spacing w:line="360" w:lineRule="auto"/>
        <w:jc w:val="both"/>
        <w:rPr>
          <w:rFonts w:ascii="Arial" w:hAnsi="Arial" w:cs="Arial"/>
          <w:sz w:val="22"/>
          <w:szCs w:val="22"/>
        </w:rPr>
      </w:pPr>
      <w:r w:rsidRPr="0006708B">
        <w:rPr>
          <w:rFonts w:ascii="Arial" w:hAnsi="Arial" w:cs="Arial"/>
          <w:sz w:val="22"/>
          <w:szCs w:val="22"/>
        </w:rPr>
        <w:t>Exercising corrective action (Daft, 2020, Drucker, 1954)</w:t>
      </w:r>
    </w:p>
    <w:p w14:paraId="3CAEBE66"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t>The importance of control lies in its ability to enhance efficiency, productivity, and responsiveness. For example, in manufacturing environments like Toyota, controlling is executed through methods such as Total Quality Management (TQM) and Kaizen. These strategies rely on continuous feedback loops and employee involvement to identify errors, reduce waste, and improve processes (Liker, 2004).</w:t>
      </w:r>
    </w:p>
    <w:p w14:paraId="16CB180A"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t>In the service sector, such as in the operations of Amazon, controlling is embedded through real-time data tracking and performance metrics. Warehouse productivity, delivery timelines, and customer satisfaction are monitored through dashboards and key performance indicators (KPIs), ensuring alignment with organisational targets (Chaffey &amp; White, 2022). Similarly, healthcare systems like the UK’s NHS employ clinical audits, budgetary control, and compliance reporting to meet performance targets and regulatory standards (Gov.uk, 2023).</w:t>
      </w:r>
    </w:p>
    <w:p w14:paraId="0865E7F7"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t>Additionally, controlling helps organizations remain compliant with legal and ethical requirements. For instance, environmental management systems adopted by companies like Unilever use control measures to ensure sustainability goals are met and align with global environmental standards (Unilever, 2023).</w:t>
      </w:r>
    </w:p>
    <w:p w14:paraId="4880A846"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lastRenderedPageBreak/>
        <w:t xml:space="preserve">Furthermore, controlling supports </w:t>
      </w:r>
      <w:r w:rsidRPr="0006708B">
        <w:rPr>
          <w:rFonts w:ascii="Arial" w:hAnsi="Arial" w:cs="Arial"/>
          <w:bCs/>
          <w:sz w:val="22"/>
          <w:szCs w:val="22"/>
        </w:rPr>
        <w:t>strategic agility</w:t>
      </w:r>
      <w:r w:rsidRPr="0006708B">
        <w:rPr>
          <w:rFonts w:ascii="Arial" w:hAnsi="Arial" w:cs="Arial"/>
          <w:sz w:val="22"/>
          <w:szCs w:val="22"/>
        </w:rPr>
        <w:t xml:space="preserve"> the organization’s ability to adapt to change. With appropriate control mechanisms, leaders can identify market shifts, inefficiencies, or technological disruptions early and respond proactively.</w:t>
      </w:r>
    </w:p>
    <w:p w14:paraId="0AC47274" w14:textId="77777777" w:rsidR="0006708B" w:rsidRPr="0006708B" w:rsidRDefault="0006708B" w:rsidP="0006708B">
      <w:pPr>
        <w:spacing w:line="360" w:lineRule="auto"/>
        <w:ind w:firstLine="360"/>
        <w:jc w:val="both"/>
        <w:rPr>
          <w:rFonts w:ascii="Arial" w:hAnsi="Arial" w:cs="Arial"/>
          <w:sz w:val="22"/>
          <w:szCs w:val="22"/>
        </w:rPr>
      </w:pPr>
      <w:r w:rsidRPr="0006708B">
        <w:rPr>
          <w:rFonts w:ascii="Arial" w:hAnsi="Arial" w:cs="Arial"/>
          <w:sz w:val="22"/>
          <w:szCs w:val="22"/>
        </w:rPr>
        <w:t>Thus, controlling is not merely a mechanical function but a strategic tool that enables the realization of organizational vision, assures quality and compliance, and fosters innovation and learning. It connects strategy with execution and prevents managerial drift, making it indispensable in all types of organizations public, private, and non-profit.</w:t>
      </w:r>
    </w:p>
    <w:p w14:paraId="2D678AA2" w14:textId="77777777" w:rsidR="0006708B" w:rsidRPr="0006708B" w:rsidRDefault="0006708B" w:rsidP="0006708B">
      <w:pPr>
        <w:pStyle w:val="Heading1"/>
        <w:jc w:val="center"/>
        <w:rPr>
          <w:rFonts w:ascii="Arial" w:hAnsi="Arial" w:cs="Arial"/>
          <w:b/>
          <w:bCs/>
          <w:color w:val="auto"/>
          <w:sz w:val="22"/>
          <w:szCs w:val="22"/>
        </w:rPr>
      </w:pPr>
      <w:bookmarkStart w:id="7" w:name="_Toc200465537"/>
      <w:bookmarkStart w:id="8" w:name="_Toc200465573"/>
      <w:bookmarkStart w:id="9" w:name="_Toc200652940"/>
      <w:r w:rsidRPr="0006708B">
        <w:rPr>
          <w:rFonts w:ascii="Arial" w:hAnsi="Arial" w:cs="Arial"/>
          <w:b/>
          <w:bCs/>
          <w:color w:val="auto"/>
          <w:sz w:val="22"/>
          <w:szCs w:val="22"/>
        </w:rPr>
        <w:t>Challenges of Controlling</w:t>
      </w:r>
      <w:bookmarkEnd w:id="7"/>
      <w:bookmarkEnd w:id="8"/>
      <w:bookmarkEnd w:id="9"/>
    </w:p>
    <w:p w14:paraId="783E2F0E"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Despite its importance, implementing an effective controlling system presents several challenges that organizations must address to ensure success. These challenges can be categorized into structural, behavioural, technological, and strategic dimensions.</w:t>
      </w:r>
    </w:p>
    <w:p w14:paraId="04A033DC" w14:textId="77777777" w:rsidR="0006708B" w:rsidRPr="0006708B" w:rsidRDefault="0006708B" w:rsidP="0006708B">
      <w:pPr>
        <w:pStyle w:val="Heading2"/>
        <w:rPr>
          <w:rFonts w:ascii="Arial" w:hAnsi="Arial" w:cs="Arial"/>
          <w:b/>
          <w:bCs/>
          <w:color w:val="auto"/>
          <w:sz w:val="22"/>
          <w:szCs w:val="22"/>
        </w:rPr>
      </w:pPr>
      <w:bookmarkStart w:id="10" w:name="_Toc200465538"/>
      <w:bookmarkStart w:id="11" w:name="_Toc200465574"/>
      <w:bookmarkStart w:id="12" w:name="_Toc200652941"/>
      <w:r w:rsidRPr="0006708B">
        <w:rPr>
          <w:rFonts w:ascii="Arial" w:hAnsi="Arial" w:cs="Arial"/>
          <w:b/>
          <w:bCs/>
          <w:color w:val="auto"/>
          <w:sz w:val="22"/>
          <w:szCs w:val="22"/>
        </w:rPr>
        <w:t>1. Information Overload and Data Management</w:t>
      </w:r>
      <w:bookmarkEnd w:id="10"/>
      <w:bookmarkEnd w:id="11"/>
      <w:bookmarkEnd w:id="12"/>
    </w:p>
    <w:p w14:paraId="10F2377F"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In today’s data-driven world, managers are overwhelmed with vast amounts of information. The proliferation of big data and the use of advanced analytics tools mean that managers must distinguish between useful and irrelevant data. Without proper data filtration, organizations risk analysis paralysis, where the decision-making process becomes bogged down by too much information (Mintzberg, 2013). For example, while social media platforms like Facebook and Twitter generate large volumes of data on user interactions, filtering and acting upon this data in real time remains a significant challenge, often leading to delays in responding to emerging issues (The Guardian, 2022).</w:t>
      </w:r>
    </w:p>
    <w:p w14:paraId="3747BBEF" w14:textId="77777777" w:rsidR="0006708B" w:rsidRPr="0006708B" w:rsidRDefault="0006708B" w:rsidP="0006708B">
      <w:pPr>
        <w:pStyle w:val="Heading2"/>
        <w:rPr>
          <w:rFonts w:ascii="Arial" w:hAnsi="Arial" w:cs="Arial"/>
          <w:b/>
          <w:bCs/>
          <w:color w:val="auto"/>
          <w:sz w:val="22"/>
          <w:szCs w:val="22"/>
        </w:rPr>
      </w:pPr>
      <w:bookmarkStart w:id="13" w:name="_Toc200465539"/>
      <w:bookmarkStart w:id="14" w:name="_Toc200465575"/>
      <w:bookmarkStart w:id="15" w:name="_Toc200652942"/>
      <w:r w:rsidRPr="0006708B">
        <w:rPr>
          <w:rFonts w:ascii="Arial" w:hAnsi="Arial" w:cs="Arial"/>
          <w:b/>
          <w:bCs/>
          <w:color w:val="auto"/>
          <w:sz w:val="22"/>
          <w:szCs w:val="22"/>
        </w:rPr>
        <w:t>2. Employee Resistance to Control Systems</w:t>
      </w:r>
      <w:bookmarkEnd w:id="13"/>
      <w:bookmarkEnd w:id="14"/>
      <w:bookmarkEnd w:id="15"/>
    </w:p>
    <w:p w14:paraId="56018D86"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Controlling can often be perceived as restrictive, leading to resistance from employees. When control mechanisms are perceived as surveillance or micromanagement, employee morale and engagement can suffer. According to McGregor’s Theory X, employees who are treated as inherently lazy may resist control mechanisms that are viewed as a lack of trust (McGregor, 1960). This issue is particularly relevant in industries where employee autonomy is critical, such as in creative roles within advertising agencies or software development companies. Overly rigid control measures may stifle innovation and creativity, leading to disengaged employees.</w:t>
      </w:r>
    </w:p>
    <w:p w14:paraId="149F3562" w14:textId="77777777" w:rsidR="0006708B" w:rsidRPr="0006708B" w:rsidRDefault="0006708B" w:rsidP="0006708B">
      <w:pPr>
        <w:pStyle w:val="Heading2"/>
        <w:rPr>
          <w:rFonts w:ascii="Arial" w:hAnsi="Arial" w:cs="Arial"/>
          <w:b/>
          <w:bCs/>
          <w:color w:val="auto"/>
          <w:sz w:val="22"/>
          <w:szCs w:val="22"/>
        </w:rPr>
      </w:pPr>
      <w:bookmarkStart w:id="16" w:name="_Toc200465540"/>
      <w:bookmarkStart w:id="17" w:name="_Toc200465576"/>
      <w:bookmarkStart w:id="18" w:name="_Toc200652943"/>
      <w:r w:rsidRPr="0006708B">
        <w:rPr>
          <w:rFonts w:ascii="Arial" w:hAnsi="Arial" w:cs="Arial"/>
          <w:b/>
          <w:bCs/>
          <w:color w:val="auto"/>
          <w:sz w:val="22"/>
          <w:szCs w:val="22"/>
        </w:rPr>
        <w:t>3. Cultural and Cross-National Differences</w:t>
      </w:r>
      <w:bookmarkEnd w:id="16"/>
      <w:bookmarkEnd w:id="17"/>
      <w:bookmarkEnd w:id="18"/>
    </w:p>
    <w:p w14:paraId="3ACFB310"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 xml:space="preserve">In multinational organizations, managers must be sensitive to cultural differences when implementing control systems. High power-distance cultures, such as those in India or China, may accept and even expect stringent top-down controls, whereas low power-distance cultures like those in Scandinavia or the Netherlands might resist authoritarian management </w:t>
      </w:r>
      <w:r w:rsidRPr="0006708B">
        <w:rPr>
          <w:rFonts w:ascii="Arial" w:hAnsi="Arial" w:cs="Arial"/>
          <w:sz w:val="22"/>
          <w:szCs w:val="22"/>
        </w:rPr>
        <w:lastRenderedPageBreak/>
        <w:t>styles (Hofstede, 2001). This challenge is evident in companies with global operations, where control systems that work in one region may be ineffective or alienating in another. For example, IBM uses a more decentralized, employee-driven control system in its European offices, but its Asian counterparts rely on a more hierarchical structure (IBM, 2023).</w:t>
      </w:r>
    </w:p>
    <w:p w14:paraId="4D154B12" w14:textId="77777777" w:rsidR="0006708B" w:rsidRPr="0006708B" w:rsidRDefault="0006708B" w:rsidP="0006708B">
      <w:pPr>
        <w:pStyle w:val="Heading2"/>
        <w:rPr>
          <w:rFonts w:ascii="Arial" w:hAnsi="Arial" w:cs="Arial"/>
          <w:b/>
          <w:bCs/>
          <w:color w:val="auto"/>
          <w:sz w:val="22"/>
          <w:szCs w:val="22"/>
        </w:rPr>
      </w:pPr>
      <w:bookmarkStart w:id="19" w:name="_Toc200465541"/>
      <w:bookmarkStart w:id="20" w:name="_Toc200465577"/>
      <w:bookmarkStart w:id="21" w:name="_Toc200652944"/>
      <w:r w:rsidRPr="0006708B">
        <w:rPr>
          <w:rFonts w:ascii="Arial" w:hAnsi="Arial" w:cs="Arial"/>
          <w:b/>
          <w:bCs/>
          <w:color w:val="auto"/>
          <w:sz w:val="22"/>
          <w:szCs w:val="22"/>
        </w:rPr>
        <w:t>4. Over-Reliance on Technology</w:t>
      </w:r>
      <w:bookmarkEnd w:id="19"/>
      <w:bookmarkEnd w:id="20"/>
      <w:bookmarkEnd w:id="21"/>
    </w:p>
    <w:p w14:paraId="44EDDEB6"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Technological control systems, while efficient, can have limitations. Automated systems that rely on AI and algorithms may fail to account for human judgement or overlook ethical concerns. For instance, Amazon’s AI recruiting tool faced criticism for systematically excluding female candidates due to algorithmic bias (Reuters, 2018). Similarly, overly dependent technological systems can lead to reduced accountability, as decisions made by algorithms may lack transparency and human oversight.</w:t>
      </w:r>
    </w:p>
    <w:p w14:paraId="7485B88B" w14:textId="77777777" w:rsidR="0006708B" w:rsidRPr="0006708B" w:rsidRDefault="0006708B" w:rsidP="0006708B">
      <w:pPr>
        <w:pStyle w:val="Heading2"/>
        <w:rPr>
          <w:rFonts w:ascii="Arial" w:hAnsi="Arial" w:cs="Arial"/>
          <w:b/>
          <w:bCs/>
          <w:color w:val="auto"/>
          <w:sz w:val="22"/>
          <w:szCs w:val="22"/>
        </w:rPr>
      </w:pPr>
      <w:bookmarkStart w:id="22" w:name="_Toc200465542"/>
      <w:bookmarkStart w:id="23" w:name="_Toc200465578"/>
      <w:bookmarkStart w:id="24" w:name="_Toc200652945"/>
      <w:r w:rsidRPr="0006708B">
        <w:rPr>
          <w:rFonts w:ascii="Arial" w:hAnsi="Arial" w:cs="Arial"/>
          <w:b/>
          <w:bCs/>
          <w:color w:val="auto"/>
          <w:sz w:val="22"/>
          <w:szCs w:val="22"/>
        </w:rPr>
        <w:t>5. Goal Misalignment and Ethical Failures</w:t>
      </w:r>
      <w:bookmarkEnd w:id="22"/>
      <w:bookmarkEnd w:id="23"/>
      <w:bookmarkEnd w:id="24"/>
    </w:p>
    <w:p w14:paraId="490590D3"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A significant challenge in controlling is ensuring that performance metrics align with both organizational goals and ethical standards. For example, Wells Fargo faced a massive scandal due to the misalignment of employee incentives with company goals. Employees, under immense pressure to meet aggressive sales targets, resorted to opening fake accounts, severely damaging the organization’s reputation and customer trust (</w:t>
      </w:r>
      <w:proofErr w:type="spellStart"/>
      <w:r w:rsidRPr="0006708B">
        <w:rPr>
          <w:rFonts w:ascii="Arial" w:hAnsi="Arial" w:cs="Arial"/>
          <w:sz w:val="22"/>
          <w:szCs w:val="22"/>
        </w:rPr>
        <w:t>Kouchaki</w:t>
      </w:r>
      <w:proofErr w:type="spellEnd"/>
      <w:r w:rsidRPr="0006708B">
        <w:rPr>
          <w:rFonts w:ascii="Arial" w:hAnsi="Arial" w:cs="Arial"/>
          <w:sz w:val="22"/>
          <w:szCs w:val="22"/>
        </w:rPr>
        <w:t xml:space="preserve"> &amp; Smith, 2021). This case highlights the risks of poorly designed control systems that fail to account for the ethical dimension of business.</w:t>
      </w:r>
    </w:p>
    <w:p w14:paraId="7591D0E1" w14:textId="77777777" w:rsidR="0006708B" w:rsidRPr="0006708B" w:rsidRDefault="0006708B" w:rsidP="0006708B">
      <w:pPr>
        <w:pStyle w:val="Heading2"/>
        <w:rPr>
          <w:rFonts w:ascii="Arial" w:hAnsi="Arial" w:cs="Arial"/>
          <w:b/>
          <w:bCs/>
          <w:color w:val="auto"/>
          <w:sz w:val="22"/>
          <w:szCs w:val="22"/>
        </w:rPr>
      </w:pPr>
      <w:bookmarkStart w:id="25" w:name="_Toc200465543"/>
      <w:bookmarkStart w:id="26" w:name="_Toc200465579"/>
      <w:bookmarkStart w:id="27" w:name="_Toc200652946"/>
      <w:r w:rsidRPr="0006708B">
        <w:rPr>
          <w:rFonts w:ascii="Arial" w:hAnsi="Arial" w:cs="Arial"/>
          <w:b/>
          <w:bCs/>
          <w:color w:val="auto"/>
          <w:sz w:val="22"/>
          <w:szCs w:val="22"/>
        </w:rPr>
        <w:t>6. Cost and Resource Constraints</w:t>
      </w:r>
      <w:bookmarkEnd w:id="25"/>
      <w:bookmarkEnd w:id="26"/>
      <w:bookmarkEnd w:id="27"/>
    </w:p>
    <w:p w14:paraId="76074CF5"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Developing, implementing, and maintaining control systems can be expensive, particularly for small and medium-sized enterprises (SMEs). The cost of acquiring technology, hiring personnel, and training staff to manage these systems can be prohibitive. As a result, many SMEs may use outdated or ineffective control mechanisms, which could compromise performance monitoring and strategic oversight.</w:t>
      </w:r>
    </w:p>
    <w:p w14:paraId="112051B6" w14:textId="77777777" w:rsidR="0006708B" w:rsidRPr="0006708B" w:rsidRDefault="0006708B" w:rsidP="0006708B">
      <w:pPr>
        <w:pStyle w:val="Heading1"/>
        <w:jc w:val="center"/>
        <w:rPr>
          <w:rFonts w:ascii="Arial" w:hAnsi="Arial" w:cs="Arial"/>
          <w:b/>
          <w:bCs/>
          <w:color w:val="auto"/>
          <w:sz w:val="22"/>
          <w:szCs w:val="22"/>
        </w:rPr>
      </w:pPr>
      <w:bookmarkStart w:id="28" w:name="_Toc200465544"/>
      <w:bookmarkStart w:id="29" w:name="_Toc200465580"/>
      <w:bookmarkStart w:id="30" w:name="_Toc200652947"/>
      <w:r w:rsidRPr="0006708B">
        <w:rPr>
          <w:rFonts w:ascii="Arial" w:hAnsi="Arial" w:cs="Arial"/>
          <w:b/>
          <w:bCs/>
          <w:color w:val="auto"/>
          <w:sz w:val="22"/>
          <w:szCs w:val="22"/>
        </w:rPr>
        <w:t>Mitigating the Challenges of Controlling</w:t>
      </w:r>
      <w:bookmarkEnd w:id="28"/>
      <w:bookmarkEnd w:id="29"/>
      <w:bookmarkEnd w:id="30"/>
    </w:p>
    <w:p w14:paraId="1FEB6C97"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To overcome the challenges associated with controlling, managers must adopt adaptive, ethical, and participatory approaches to designing control systems. These strategies can help minimize resistance, reduce the risk of biases, and improve the effectiveness of control mechanisms.</w:t>
      </w:r>
    </w:p>
    <w:p w14:paraId="25B19C8C" w14:textId="77777777" w:rsidR="0006708B" w:rsidRPr="0006708B" w:rsidRDefault="0006708B" w:rsidP="0006708B">
      <w:pPr>
        <w:pStyle w:val="Heading2"/>
        <w:rPr>
          <w:rFonts w:ascii="Arial" w:hAnsi="Arial" w:cs="Arial"/>
          <w:b/>
          <w:bCs/>
          <w:color w:val="auto"/>
          <w:sz w:val="22"/>
          <w:szCs w:val="22"/>
        </w:rPr>
      </w:pPr>
      <w:bookmarkStart w:id="31" w:name="_Toc200465545"/>
      <w:bookmarkStart w:id="32" w:name="_Toc200465581"/>
      <w:bookmarkStart w:id="33" w:name="_Toc200652948"/>
      <w:r w:rsidRPr="0006708B">
        <w:rPr>
          <w:rFonts w:ascii="Arial" w:hAnsi="Arial" w:cs="Arial"/>
          <w:b/>
          <w:bCs/>
          <w:color w:val="auto"/>
          <w:sz w:val="22"/>
          <w:szCs w:val="22"/>
        </w:rPr>
        <w:t>1. Simplify and Prioritise KPIs</w:t>
      </w:r>
      <w:bookmarkEnd w:id="31"/>
      <w:bookmarkEnd w:id="32"/>
      <w:bookmarkEnd w:id="33"/>
    </w:p>
    <w:p w14:paraId="29CF6979"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 xml:space="preserve">One effective strategy for mitigating information overload is simplifying and prioritizing key performance indicators (KPIs). Managers should focus on a limited number of meaningful metrics that are directly aligned with organizational goals. For example, Google’s OKRs </w:t>
      </w:r>
      <w:r w:rsidRPr="0006708B">
        <w:rPr>
          <w:rFonts w:ascii="Arial" w:hAnsi="Arial" w:cs="Arial"/>
          <w:sz w:val="22"/>
          <w:szCs w:val="22"/>
        </w:rPr>
        <w:lastRenderedPageBreak/>
        <w:t>(Objectives and Key Results) system allows employees to set clear, measurable goals and track progress transparently (Doerr, 2018). By focusing on a few critical metrics, organizations can avoid data fatigue and ensure that resources are focused on what matters most.</w:t>
      </w:r>
    </w:p>
    <w:p w14:paraId="150E0CCB" w14:textId="77777777" w:rsidR="0006708B" w:rsidRPr="0006708B" w:rsidRDefault="0006708B" w:rsidP="0006708B">
      <w:pPr>
        <w:pStyle w:val="Heading2"/>
        <w:rPr>
          <w:rFonts w:ascii="Arial" w:hAnsi="Arial" w:cs="Arial"/>
          <w:b/>
          <w:bCs/>
          <w:color w:val="auto"/>
          <w:sz w:val="22"/>
          <w:szCs w:val="22"/>
        </w:rPr>
      </w:pPr>
      <w:bookmarkStart w:id="34" w:name="_Toc200465546"/>
      <w:bookmarkStart w:id="35" w:name="_Toc200465582"/>
      <w:bookmarkStart w:id="36" w:name="_Toc200652949"/>
      <w:r w:rsidRPr="0006708B">
        <w:rPr>
          <w:rFonts w:ascii="Arial" w:hAnsi="Arial" w:cs="Arial"/>
          <w:b/>
          <w:bCs/>
          <w:color w:val="auto"/>
          <w:sz w:val="22"/>
          <w:szCs w:val="22"/>
        </w:rPr>
        <w:t>2. Foster a Culture of Participation</w:t>
      </w:r>
      <w:bookmarkEnd w:id="34"/>
      <w:bookmarkEnd w:id="35"/>
      <w:bookmarkEnd w:id="36"/>
    </w:p>
    <w:p w14:paraId="570D864F"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To reduce employee resistance, managers should involve employees in the design of control systems. When employees understand the rationale behind control mechanisms and feel that their input is valued, they are more likely to embrace them. Companies like Southwest Airlines foster this participatory approach by giving frontline employees significant autonomy and responsibility in monitoring and improving service quality (</w:t>
      </w:r>
      <w:proofErr w:type="spellStart"/>
      <w:r w:rsidRPr="0006708B">
        <w:rPr>
          <w:rFonts w:ascii="Arial" w:hAnsi="Arial" w:cs="Arial"/>
          <w:sz w:val="22"/>
          <w:szCs w:val="22"/>
        </w:rPr>
        <w:t>Gittell</w:t>
      </w:r>
      <w:proofErr w:type="spellEnd"/>
      <w:r w:rsidRPr="0006708B">
        <w:rPr>
          <w:rFonts w:ascii="Arial" w:hAnsi="Arial" w:cs="Arial"/>
          <w:sz w:val="22"/>
          <w:szCs w:val="22"/>
        </w:rPr>
        <w:t>, 2003). This participatory approach enhances employee buy-in and makes control systems a tool for empowerment rather than surveillance.</w:t>
      </w:r>
    </w:p>
    <w:p w14:paraId="3CE6783D" w14:textId="77777777" w:rsidR="0006708B" w:rsidRPr="0006708B" w:rsidRDefault="0006708B" w:rsidP="0006708B">
      <w:pPr>
        <w:pStyle w:val="Heading2"/>
        <w:rPr>
          <w:rFonts w:ascii="Arial" w:hAnsi="Arial" w:cs="Arial"/>
          <w:b/>
          <w:bCs/>
          <w:color w:val="auto"/>
          <w:sz w:val="22"/>
          <w:szCs w:val="22"/>
        </w:rPr>
      </w:pPr>
      <w:bookmarkStart w:id="37" w:name="_Toc200465547"/>
      <w:bookmarkStart w:id="38" w:name="_Toc200465583"/>
      <w:bookmarkStart w:id="39" w:name="_Toc200652950"/>
      <w:r w:rsidRPr="0006708B">
        <w:rPr>
          <w:rFonts w:ascii="Arial" w:hAnsi="Arial" w:cs="Arial"/>
          <w:b/>
          <w:bCs/>
          <w:color w:val="auto"/>
          <w:sz w:val="22"/>
          <w:szCs w:val="22"/>
        </w:rPr>
        <w:t>3. Align Control with Ethical Leadership</w:t>
      </w:r>
      <w:bookmarkEnd w:id="37"/>
      <w:bookmarkEnd w:id="38"/>
      <w:bookmarkEnd w:id="39"/>
    </w:p>
    <w:p w14:paraId="709F9971"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To avoid ethical issues and goal misalignment, managers must ensure that control systems align with both business objectives and ethical principles. Ethical leadership can help create a culture of accountability, where employees understand that their actions are monitored not only for performance but also for integrity. Patagonia, for example, aligns its control systems with environmental and social responsibility goals, reinforcing its commitment to sustainability through regular performance audits and transparent reporting (Patagonia, 2023).</w:t>
      </w:r>
    </w:p>
    <w:p w14:paraId="35CE89B9" w14:textId="77777777" w:rsidR="0006708B" w:rsidRPr="0006708B" w:rsidRDefault="0006708B" w:rsidP="0006708B">
      <w:pPr>
        <w:pStyle w:val="Heading2"/>
        <w:rPr>
          <w:rFonts w:ascii="Arial" w:hAnsi="Arial" w:cs="Arial"/>
          <w:b/>
          <w:bCs/>
          <w:color w:val="auto"/>
          <w:sz w:val="22"/>
          <w:szCs w:val="22"/>
        </w:rPr>
      </w:pPr>
      <w:bookmarkStart w:id="40" w:name="_Toc200465548"/>
      <w:bookmarkStart w:id="41" w:name="_Toc200465584"/>
      <w:bookmarkStart w:id="42" w:name="_Toc200652951"/>
      <w:r w:rsidRPr="0006708B">
        <w:rPr>
          <w:rFonts w:ascii="Arial" w:hAnsi="Arial" w:cs="Arial"/>
          <w:b/>
          <w:bCs/>
          <w:color w:val="auto"/>
          <w:sz w:val="22"/>
          <w:szCs w:val="22"/>
        </w:rPr>
        <w:t>4. Balance Technology with Human Oversight</w:t>
      </w:r>
      <w:bookmarkEnd w:id="40"/>
      <w:bookmarkEnd w:id="41"/>
      <w:bookmarkEnd w:id="42"/>
    </w:p>
    <w:p w14:paraId="4F8659D8"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A hybrid approach combining technology and human judgment can help overcome the risks of over-reliance on automated control systems. By implementing AI governance systems, such as those used by IBM, organizations can ensure that algorithmic decisions are ethically reviewed by human oversight committees (IBM, 2023). This balance ensures that control systems are both efficient and fair, reducing the risk of bias and error.</w:t>
      </w:r>
    </w:p>
    <w:p w14:paraId="703192ED" w14:textId="77777777" w:rsidR="0006708B" w:rsidRPr="0006708B" w:rsidRDefault="0006708B" w:rsidP="0006708B">
      <w:pPr>
        <w:pStyle w:val="Heading2"/>
        <w:rPr>
          <w:rFonts w:ascii="Arial" w:hAnsi="Arial" w:cs="Arial"/>
          <w:b/>
          <w:bCs/>
          <w:color w:val="auto"/>
          <w:sz w:val="22"/>
          <w:szCs w:val="22"/>
        </w:rPr>
      </w:pPr>
      <w:bookmarkStart w:id="43" w:name="_Toc200465549"/>
      <w:bookmarkStart w:id="44" w:name="_Toc200465585"/>
      <w:bookmarkStart w:id="45" w:name="_Toc200652952"/>
      <w:r w:rsidRPr="0006708B">
        <w:rPr>
          <w:rFonts w:ascii="Arial" w:hAnsi="Arial" w:cs="Arial"/>
          <w:b/>
          <w:bCs/>
          <w:color w:val="auto"/>
          <w:sz w:val="22"/>
          <w:szCs w:val="22"/>
        </w:rPr>
        <w:t>5. Embrace Agile Control Systems</w:t>
      </w:r>
      <w:bookmarkEnd w:id="43"/>
      <w:bookmarkEnd w:id="44"/>
      <w:bookmarkEnd w:id="45"/>
    </w:p>
    <w:p w14:paraId="38DE77AC"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Agile methodologies can be adapted to control systems, allowing organizations to remain flexible and responsive to change. Managers should use continuous feedback loops to monitor performance, evaluate control systems regularly, and make necessary adjustments. By adopting an agile mindset, companies can ensure that control systems remain relevant and effective in an ever-changing business environment (Spotify Engineering Blog, 2023).</w:t>
      </w:r>
    </w:p>
    <w:p w14:paraId="49A1D8C7" w14:textId="77777777" w:rsidR="0006708B" w:rsidRPr="0006708B" w:rsidRDefault="0006708B" w:rsidP="0006708B">
      <w:pPr>
        <w:pStyle w:val="Heading2"/>
        <w:rPr>
          <w:rFonts w:ascii="Arial" w:hAnsi="Arial" w:cs="Arial"/>
          <w:b/>
          <w:bCs/>
          <w:color w:val="auto"/>
          <w:sz w:val="22"/>
          <w:szCs w:val="22"/>
        </w:rPr>
      </w:pPr>
      <w:bookmarkStart w:id="46" w:name="_Toc200465550"/>
      <w:bookmarkStart w:id="47" w:name="_Toc200465586"/>
      <w:bookmarkStart w:id="48" w:name="_Toc200652953"/>
      <w:r w:rsidRPr="0006708B">
        <w:rPr>
          <w:rFonts w:ascii="Arial" w:hAnsi="Arial" w:cs="Arial"/>
          <w:b/>
          <w:bCs/>
          <w:color w:val="auto"/>
          <w:sz w:val="22"/>
          <w:szCs w:val="22"/>
        </w:rPr>
        <w:t>6. Invest in Leadership Development</w:t>
      </w:r>
      <w:bookmarkEnd w:id="46"/>
      <w:bookmarkEnd w:id="47"/>
      <w:bookmarkEnd w:id="48"/>
    </w:p>
    <w:p w14:paraId="61061538"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 xml:space="preserve">Lastly, reflective leadership is key to the success of control systems. Managers should continuously evaluate their own leadership styles, seek feedback, and adjust their approach </w:t>
      </w:r>
      <w:r w:rsidRPr="0006708B">
        <w:rPr>
          <w:rFonts w:ascii="Arial" w:hAnsi="Arial" w:cs="Arial"/>
          <w:sz w:val="22"/>
          <w:szCs w:val="22"/>
        </w:rPr>
        <w:lastRenderedPageBreak/>
        <w:t>to controlling as needed. This commitment to personal growth ensures that control systems are applied thoughtfully, ethically, and effectively.</w:t>
      </w:r>
    </w:p>
    <w:p w14:paraId="4168F7C2" w14:textId="77777777" w:rsidR="0006708B" w:rsidRPr="0006708B" w:rsidRDefault="0006708B" w:rsidP="0006708B">
      <w:pPr>
        <w:pStyle w:val="Heading2"/>
        <w:rPr>
          <w:rFonts w:ascii="Arial" w:hAnsi="Arial" w:cs="Arial"/>
          <w:b/>
          <w:bCs/>
          <w:color w:val="auto"/>
          <w:sz w:val="22"/>
          <w:szCs w:val="22"/>
        </w:rPr>
      </w:pPr>
      <w:bookmarkStart w:id="49" w:name="_Toc200465551"/>
      <w:bookmarkStart w:id="50" w:name="_Toc200465587"/>
      <w:bookmarkStart w:id="51" w:name="_Toc200652954"/>
      <w:r w:rsidRPr="0006708B">
        <w:rPr>
          <w:rFonts w:ascii="Arial" w:hAnsi="Arial" w:cs="Arial"/>
          <w:b/>
          <w:bCs/>
          <w:color w:val="auto"/>
          <w:sz w:val="22"/>
          <w:szCs w:val="22"/>
        </w:rPr>
        <w:t>7. Effective Communication and Cross-Functional Collaboration in Control Systems</w:t>
      </w:r>
      <w:bookmarkEnd w:id="49"/>
      <w:bookmarkEnd w:id="50"/>
      <w:bookmarkEnd w:id="51"/>
    </w:p>
    <w:p w14:paraId="72F5B553" w14:textId="77777777" w:rsidR="0006708B" w:rsidRPr="0006708B" w:rsidRDefault="0006708B" w:rsidP="0006708B">
      <w:pPr>
        <w:spacing w:line="360" w:lineRule="auto"/>
        <w:ind w:firstLine="720"/>
        <w:jc w:val="both"/>
        <w:rPr>
          <w:rFonts w:ascii="Arial" w:hAnsi="Arial" w:cs="Arial"/>
          <w:sz w:val="22"/>
          <w:szCs w:val="22"/>
        </w:rPr>
      </w:pPr>
      <w:r w:rsidRPr="0006708B">
        <w:rPr>
          <w:rFonts w:ascii="Arial" w:hAnsi="Arial" w:cs="Arial"/>
          <w:sz w:val="22"/>
          <w:szCs w:val="22"/>
        </w:rPr>
        <w:t>In addition to the strategies already discussed, another key consideration for mitigating the challenges associated with controlling is the development of effective communication channels within the organization. Communication plays a critical role in ensuring that control systems are understood and accepted across all levels of the organization. When managers provide clear, transparent communication regarding the purpose and benefits of control mechanisms, employees are more likely to perceive them as tools for support rather than surveillance. Regular feedback, open dialogue, and active participation in decision-making can also foster a sense of ownership among employees, reducing resistance and encouraging alignment with organizational goals. Furthermore, incorporating cross-functional collaboration into the control process ensures that control systems are not imposed from the top down but are instead shaped by the collective input of different departments. This approach enhances the effectiveness of control systems by making them more adaptable to diverse organizational needs and by promoting a cooperative culture.</w:t>
      </w:r>
    </w:p>
    <w:p w14:paraId="573A27EA" w14:textId="77777777" w:rsidR="0006708B" w:rsidRPr="0006708B" w:rsidRDefault="0006708B" w:rsidP="0006708B">
      <w:pPr>
        <w:spacing w:line="360" w:lineRule="auto"/>
        <w:jc w:val="both"/>
        <w:rPr>
          <w:rFonts w:ascii="Arial" w:hAnsi="Arial" w:cs="Arial"/>
          <w:b/>
          <w:bCs/>
          <w:sz w:val="22"/>
          <w:szCs w:val="22"/>
        </w:rPr>
      </w:pPr>
    </w:p>
    <w:p w14:paraId="6D1A1219" w14:textId="77777777" w:rsidR="0006708B" w:rsidRPr="0006708B" w:rsidRDefault="0006708B" w:rsidP="0006708B">
      <w:pPr>
        <w:pStyle w:val="Heading3"/>
        <w:jc w:val="center"/>
        <w:rPr>
          <w:rFonts w:ascii="Arial" w:hAnsi="Arial" w:cs="Arial"/>
          <w:b/>
          <w:bCs/>
          <w:color w:val="auto"/>
          <w:sz w:val="22"/>
          <w:szCs w:val="22"/>
        </w:rPr>
      </w:pPr>
      <w:bookmarkStart w:id="52" w:name="_Toc200465552"/>
      <w:bookmarkStart w:id="53" w:name="_Toc200465588"/>
      <w:bookmarkStart w:id="54" w:name="_Toc200652955"/>
      <w:r w:rsidRPr="0006708B">
        <w:rPr>
          <w:rFonts w:ascii="Arial" w:hAnsi="Arial" w:cs="Arial"/>
          <w:b/>
          <w:bCs/>
          <w:color w:val="auto"/>
          <w:sz w:val="22"/>
          <w:szCs w:val="22"/>
        </w:rPr>
        <w:t>Conclusion</w:t>
      </w:r>
      <w:bookmarkEnd w:id="52"/>
      <w:bookmarkEnd w:id="53"/>
      <w:bookmarkEnd w:id="54"/>
    </w:p>
    <w:p w14:paraId="1C353DF9" w14:textId="77777777" w:rsidR="0006708B" w:rsidRPr="0006708B" w:rsidRDefault="0006708B" w:rsidP="0006708B">
      <w:pPr>
        <w:spacing w:line="360" w:lineRule="auto"/>
        <w:jc w:val="both"/>
        <w:rPr>
          <w:rFonts w:ascii="Arial" w:hAnsi="Arial" w:cs="Arial"/>
          <w:sz w:val="22"/>
          <w:szCs w:val="22"/>
        </w:rPr>
      </w:pPr>
      <w:r w:rsidRPr="0006708B">
        <w:rPr>
          <w:rFonts w:ascii="Arial" w:hAnsi="Arial" w:cs="Arial"/>
          <w:sz w:val="22"/>
          <w:szCs w:val="22"/>
        </w:rPr>
        <w:t>Controlling is an indispensable managerial function that enables organizations to track performance, align operations with strategic goals, and foster a culture of continuous improvement. It is essential for ensuring accountability, compliance, and strategic agility. However, the implementation of effective control systems is fraught with challenges, including information overload, employee resistance, cultural barriers, and technological limitations.</w:t>
      </w:r>
    </w:p>
    <w:p w14:paraId="41973AB8" w14:textId="77777777" w:rsidR="0006708B" w:rsidRPr="0006708B" w:rsidRDefault="0006708B" w:rsidP="0006708B">
      <w:pPr>
        <w:spacing w:line="360" w:lineRule="auto"/>
        <w:jc w:val="both"/>
        <w:rPr>
          <w:rFonts w:ascii="Arial" w:hAnsi="Arial" w:cs="Arial"/>
          <w:sz w:val="22"/>
          <w:szCs w:val="22"/>
        </w:rPr>
      </w:pPr>
      <w:r w:rsidRPr="0006708B">
        <w:rPr>
          <w:rFonts w:ascii="Arial" w:hAnsi="Arial" w:cs="Arial"/>
          <w:sz w:val="22"/>
          <w:szCs w:val="22"/>
        </w:rPr>
        <w:t>By adopting adaptive strategies such as simplifying KPIs, fostering participatory cultures, aligning control with ethical principles, balancing technology with human oversight, and embracing agile methodologies managers can overcome these challenges. These strategies allow control systems to remain flexible, fair, and aligned with organizational goals. Moreover, reflective leadership and a focus on continuous improvement ensure that control systems evolve alongside the organization and its changing needs.</w:t>
      </w:r>
    </w:p>
    <w:p w14:paraId="61B486B3" w14:textId="77777777" w:rsidR="0006708B" w:rsidRPr="0006708B" w:rsidRDefault="0006708B" w:rsidP="0006708B">
      <w:pPr>
        <w:spacing w:line="360" w:lineRule="auto"/>
        <w:jc w:val="both"/>
        <w:rPr>
          <w:rFonts w:ascii="Arial" w:hAnsi="Arial" w:cs="Arial"/>
          <w:b/>
          <w:bCs/>
          <w:sz w:val="22"/>
          <w:szCs w:val="22"/>
        </w:rPr>
      </w:pPr>
      <w:r w:rsidRPr="0006708B">
        <w:rPr>
          <w:rFonts w:ascii="Arial" w:hAnsi="Arial" w:cs="Arial"/>
          <w:sz w:val="22"/>
          <w:szCs w:val="22"/>
        </w:rPr>
        <w:t>Ultimately, controlling should not be viewed as a rigid or punitive function but as a dynamic, supportive process that enhances operational efficiency, fosters trust, and enables organizations to adapt to external challenges. By mastering this critical function, managers can ensure that their organizations remain resilient and capable of achieving long-term success</w:t>
      </w:r>
      <w:r w:rsidRPr="0006708B">
        <w:rPr>
          <w:rFonts w:ascii="Arial" w:hAnsi="Arial" w:cs="Arial"/>
          <w:b/>
          <w:bCs/>
          <w:sz w:val="22"/>
          <w:szCs w:val="22"/>
        </w:rPr>
        <w:t>.</w:t>
      </w:r>
    </w:p>
    <w:p w14:paraId="65A06368" w14:textId="77777777" w:rsidR="0006708B" w:rsidRPr="0006708B" w:rsidRDefault="0006708B" w:rsidP="0006708B">
      <w:pPr>
        <w:spacing w:line="360" w:lineRule="auto"/>
        <w:jc w:val="both"/>
        <w:rPr>
          <w:rFonts w:ascii="Arial" w:hAnsi="Arial" w:cs="Arial"/>
          <w:sz w:val="22"/>
          <w:szCs w:val="22"/>
        </w:rPr>
      </w:pPr>
    </w:p>
    <w:p w14:paraId="6CE838D4" w14:textId="77777777" w:rsidR="0006708B" w:rsidRPr="0006708B" w:rsidRDefault="0006708B" w:rsidP="0006708B">
      <w:pPr>
        <w:spacing w:line="360" w:lineRule="auto"/>
        <w:jc w:val="both"/>
        <w:rPr>
          <w:rFonts w:ascii="Arial" w:hAnsi="Arial" w:cs="Arial"/>
          <w:sz w:val="22"/>
          <w:szCs w:val="22"/>
        </w:rPr>
      </w:pPr>
    </w:p>
    <w:p w14:paraId="23D8FD00" w14:textId="77777777" w:rsidR="0006708B" w:rsidRPr="0006708B" w:rsidRDefault="0006708B" w:rsidP="0006708B">
      <w:pPr>
        <w:spacing w:line="360" w:lineRule="auto"/>
        <w:jc w:val="both"/>
        <w:rPr>
          <w:rFonts w:ascii="Arial" w:hAnsi="Arial" w:cs="Arial"/>
          <w:sz w:val="22"/>
          <w:szCs w:val="22"/>
        </w:rPr>
      </w:pPr>
    </w:p>
    <w:p w14:paraId="566EB6B3" w14:textId="77777777" w:rsidR="0006708B" w:rsidRPr="0006708B" w:rsidRDefault="0006708B" w:rsidP="0006708B">
      <w:pPr>
        <w:spacing w:line="360" w:lineRule="auto"/>
        <w:jc w:val="both"/>
        <w:rPr>
          <w:rFonts w:ascii="Arial" w:hAnsi="Arial" w:cs="Arial"/>
          <w:sz w:val="22"/>
          <w:szCs w:val="22"/>
        </w:rPr>
      </w:pPr>
    </w:p>
    <w:p w14:paraId="7063D8BA" w14:textId="77777777" w:rsidR="0006708B" w:rsidRPr="0006708B" w:rsidRDefault="0006708B" w:rsidP="0006708B">
      <w:pPr>
        <w:pStyle w:val="Heading3"/>
        <w:jc w:val="center"/>
        <w:rPr>
          <w:rFonts w:ascii="Arial" w:hAnsi="Arial" w:cs="Arial"/>
          <w:b/>
          <w:bCs/>
          <w:color w:val="auto"/>
          <w:sz w:val="22"/>
          <w:szCs w:val="22"/>
        </w:rPr>
      </w:pPr>
      <w:bookmarkStart w:id="55" w:name="_Toc200465553"/>
      <w:bookmarkStart w:id="56" w:name="_Toc200465589"/>
      <w:bookmarkStart w:id="57" w:name="_Toc200652956"/>
      <w:r w:rsidRPr="0006708B">
        <w:rPr>
          <w:rFonts w:ascii="Arial" w:hAnsi="Arial" w:cs="Arial"/>
          <w:b/>
          <w:bCs/>
          <w:color w:val="auto"/>
          <w:sz w:val="22"/>
          <w:szCs w:val="22"/>
        </w:rPr>
        <w:t>References</w:t>
      </w:r>
      <w:bookmarkEnd w:id="55"/>
      <w:bookmarkEnd w:id="56"/>
      <w:bookmarkEnd w:id="57"/>
    </w:p>
    <w:p w14:paraId="417E4065" w14:textId="77777777" w:rsidR="0006708B" w:rsidRPr="0006708B" w:rsidRDefault="0006708B" w:rsidP="0006708B">
      <w:pPr>
        <w:spacing w:line="360" w:lineRule="auto"/>
        <w:ind w:hanging="720"/>
        <w:jc w:val="both"/>
        <w:rPr>
          <w:rFonts w:ascii="Arial" w:hAnsi="Arial" w:cs="Arial"/>
          <w:sz w:val="22"/>
          <w:szCs w:val="22"/>
        </w:rPr>
      </w:pPr>
    </w:p>
    <w:p w14:paraId="23794107"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Anthony, R. N., &amp; Govindarajan, V. (2007). </w:t>
      </w:r>
      <w:r w:rsidRPr="0006708B">
        <w:rPr>
          <w:rFonts w:ascii="Arial" w:hAnsi="Arial" w:cs="Arial"/>
          <w:i/>
          <w:iCs/>
          <w:sz w:val="22"/>
          <w:szCs w:val="22"/>
        </w:rPr>
        <w:t>Management Control Systems</w:t>
      </w:r>
      <w:r w:rsidRPr="0006708B">
        <w:rPr>
          <w:rFonts w:ascii="Arial" w:hAnsi="Arial" w:cs="Arial"/>
          <w:sz w:val="22"/>
          <w:szCs w:val="22"/>
        </w:rPr>
        <w:t xml:space="preserve"> (12th ed.). McGraw-Hill.</w:t>
      </w:r>
    </w:p>
    <w:p w14:paraId="7DC07751" w14:textId="440C5E90"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Brown, D., &amp; Edwards, P. (2004). </w:t>
      </w:r>
      <w:r w:rsidRPr="0006708B">
        <w:rPr>
          <w:rFonts w:ascii="Arial" w:hAnsi="Arial" w:cs="Arial"/>
          <w:i/>
          <w:iCs/>
          <w:sz w:val="22"/>
          <w:szCs w:val="22"/>
        </w:rPr>
        <w:t>Organizational behavio</w:t>
      </w:r>
      <w:r w:rsidR="00732C1E">
        <w:rPr>
          <w:rFonts w:ascii="Arial" w:hAnsi="Arial" w:cs="Arial"/>
          <w:i/>
          <w:iCs/>
          <w:sz w:val="22"/>
          <w:szCs w:val="22"/>
        </w:rPr>
        <w:t>u</w:t>
      </w:r>
      <w:r w:rsidRPr="0006708B">
        <w:rPr>
          <w:rFonts w:ascii="Arial" w:hAnsi="Arial" w:cs="Arial"/>
          <w:i/>
          <w:iCs/>
          <w:sz w:val="22"/>
          <w:szCs w:val="22"/>
        </w:rPr>
        <w:t>r: A critical introduction.</w:t>
      </w:r>
      <w:r w:rsidRPr="0006708B">
        <w:rPr>
          <w:rFonts w:ascii="Arial" w:hAnsi="Arial" w:cs="Arial"/>
          <w:sz w:val="22"/>
          <w:szCs w:val="22"/>
        </w:rPr>
        <w:t xml:space="preserve"> SAGE Publications.</w:t>
      </w:r>
    </w:p>
    <w:p w14:paraId="5BAE4D18"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Chaffey, D. and White, G. (2022) </w:t>
      </w:r>
      <w:r w:rsidRPr="0006708B">
        <w:rPr>
          <w:rFonts w:ascii="Arial" w:hAnsi="Arial" w:cs="Arial"/>
          <w:i/>
          <w:iCs/>
          <w:sz w:val="22"/>
          <w:szCs w:val="22"/>
        </w:rPr>
        <w:t>Business Information Systems</w:t>
      </w:r>
      <w:r w:rsidRPr="0006708B">
        <w:rPr>
          <w:rFonts w:ascii="Arial" w:hAnsi="Arial" w:cs="Arial"/>
          <w:sz w:val="22"/>
          <w:szCs w:val="22"/>
        </w:rPr>
        <w:t xml:space="preserve">. 6th </w:t>
      </w:r>
      <w:proofErr w:type="spellStart"/>
      <w:r w:rsidRPr="0006708B">
        <w:rPr>
          <w:rFonts w:ascii="Arial" w:hAnsi="Arial" w:cs="Arial"/>
          <w:sz w:val="22"/>
          <w:szCs w:val="22"/>
        </w:rPr>
        <w:t>edn</w:t>
      </w:r>
      <w:proofErr w:type="spellEnd"/>
      <w:r w:rsidRPr="0006708B">
        <w:rPr>
          <w:rFonts w:ascii="Arial" w:hAnsi="Arial" w:cs="Arial"/>
          <w:sz w:val="22"/>
          <w:szCs w:val="22"/>
        </w:rPr>
        <w:t>. Pearson.</w:t>
      </w:r>
    </w:p>
    <w:p w14:paraId="48D0767F"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Chong, V. K., &amp; Li, B. (2008). The impact of management control systems on the performance of strategic alliances. </w:t>
      </w:r>
      <w:r w:rsidRPr="0006708B">
        <w:rPr>
          <w:rFonts w:ascii="Arial" w:hAnsi="Arial" w:cs="Arial"/>
          <w:i/>
          <w:iCs/>
          <w:sz w:val="22"/>
          <w:szCs w:val="22"/>
        </w:rPr>
        <w:t>Journal of Management Control, 19</w:t>
      </w:r>
      <w:r w:rsidRPr="0006708B">
        <w:rPr>
          <w:rFonts w:ascii="Arial" w:hAnsi="Arial" w:cs="Arial"/>
          <w:sz w:val="22"/>
          <w:szCs w:val="22"/>
        </w:rPr>
        <w:t>(3), 313-327.</w:t>
      </w:r>
    </w:p>
    <w:p w14:paraId="005ECBBE"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Daft, R.L. (2020) </w:t>
      </w:r>
      <w:r w:rsidRPr="0006708B">
        <w:rPr>
          <w:rFonts w:ascii="Arial" w:hAnsi="Arial" w:cs="Arial"/>
          <w:i/>
          <w:iCs/>
          <w:sz w:val="22"/>
          <w:szCs w:val="22"/>
        </w:rPr>
        <w:t>Management</w:t>
      </w:r>
      <w:r w:rsidRPr="0006708B">
        <w:rPr>
          <w:rFonts w:ascii="Arial" w:hAnsi="Arial" w:cs="Arial"/>
          <w:sz w:val="22"/>
          <w:szCs w:val="22"/>
        </w:rPr>
        <w:t xml:space="preserve">. 13th </w:t>
      </w:r>
      <w:proofErr w:type="spellStart"/>
      <w:r w:rsidRPr="0006708B">
        <w:rPr>
          <w:rFonts w:ascii="Arial" w:hAnsi="Arial" w:cs="Arial"/>
          <w:sz w:val="22"/>
          <w:szCs w:val="22"/>
        </w:rPr>
        <w:t>edn</w:t>
      </w:r>
      <w:proofErr w:type="spellEnd"/>
      <w:r w:rsidRPr="0006708B">
        <w:rPr>
          <w:rFonts w:ascii="Arial" w:hAnsi="Arial" w:cs="Arial"/>
          <w:sz w:val="22"/>
          <w:szCs w:val="22"/>
        </w:rPr>
        <w:t>. Cengage.</w:t>
      </w:r>
    </w:p>
    <w:p w14:paraId="4FBAF730"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Doerr, J. (2018) </w:t>
      </w:r>
      <w:r w:rsidRPr="0006708B">
        <w:rPr>
          <w:rFonts w:ascii="Arial" w:hAnsi="Arial" w:cs="Arial"/>
          <w:i/>
          <w:iCs/>
          <w:sz w:val="22"/>
          <w:szCs w:val="22"/>
        </w:rPr>
        <w:t>Measure What Matters</w:t>
      </w:r>
      <w:r w:rsidRPr="0006708B">
        <w:rPr>
          <w:rFonts w:ascii="Arial" w:hAnsi="Arial" w:cs="Arial"/>
          <w:sz w:val="22"/>
          <w:szCs w:val="22"/>
        </w:rPr>
        <w:t>. Penguin.</w:t>
      </w:r>
    </w:p>
    <w:p w14:paraId="52A9CAFF"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Drucker, P.F. (1954) </w:t>
      </w:r>
      <w:r w:rsidRPr="0006708B">
        <w:rPr>
          <w:rFonts w:ascii="Arial" w:hAnsi="Arial" w:cs="Arial"/>
          <w:i/>
          <w:iCs/>
          <w:sz w:val="22"/>
          <w:szCs w:val="22"/>
        </w:rPr>
        <w:t>The Practice of Management</w:t>
      </w:r>
      <w:r w:rsidRPr="0006708B">
        <w:rPr>
          <w:rFonts w:ascii="Arial" w:hAnsi="Arial" w:cs="Arial"/>
          <w:sz w:val="22"/>
          <w:szCs w:val="22"/>
        </w:rPr>
        <w:t>. Harper &amp; Row.</w:t>
      </w:r>
    </w:p>
    <w:p w14:paraId="56DD89B4"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Fayol, H. (1949) </w:t>
      </w:r>
      <w:r w:rsidRPr="0006708B">
        <w:rPr>
          <w:rFonts w:ascii="Arial" w:hAnsi="Arial" w:cs="Arial"/>
          <w:i/>
          <w:iCs/>
          <w:sz w:val="22"/>
          <w:szCs w:val="22"/>
        </w:rPr>
        <w:t>General and Industrial Management</w:t>
      </w:r>
      <w:r w:rsidRPr="0006708B">
        <w:rPr>
          <w:rFonts w:ascii="Arial" w:hAnsi="Arial" w:cs="Arial"/>
          <w:sz w:val="22"/>
          <w:szCs w:val="22"/>
        </w:rPr>
        <w:t>. Pitman.</w:t>
      </w:r>
    </w:p>
    <w:p w14:paraId="0BF89BE8" w14:textId="77777777" w:rsidR="0006708B" w:rsidRPr="0006708B" w:rsidRDefault="0006708B" w:rsidP="0006708B">
      <w:pPr>
        <w:spacing w:line="360" w:lineRule="auto"/>
        <w:ind w:left="360" w:hanging="360"/>
        <w:jc w:val="both"/>
        <w:rPr>
          <w:rFonts w:ascii="Arial" w:hAnsi="Arial" w:cs="Arial"/>
          <w:sz w:val="22"/>
          <w:szCs w:val="22"/>
        </w:rPr>
      </w:pPr>
      <w:proofErr w:type="spellStart"/>
      <w:r w:rsidRPr="0006708B">
        <w:rPr>
          <w:rFonts w:ascii="Arial" w:hAnsi="Arial" w:cs="Arial"/>
          <w:sz w:val="22"/>
          <w:szCs w:val="22"/>
        </w:rPr>
        <w:t>Gittell</w:t>
      </w:r>
      <w:proofErr w:type="spellEnd"/>
      <w:r w:rsidRPr="0006708B">
        <w:rPr>
          <w:rFonts w:ascii="Arial" w:hAnsi="Arial" w:cs="Arial"/>
          <w:sz w:val="22"/>
          <w:szCs w:val="22"/>
        </w:rPr>
        <w:t xml:space="preserve">, J.H. (2003) </w:t>
      </w:r>
      <w:r w:rsidRPr="0006708B">
        <w:rPr>
          <w:rFonts w:ascii="Arial" w:hAnsi="Arial" w:cs="Arial"/>
          <w:i/>
          <w:iCs/>
          <w:sz w:val="22"/>
          <w:szCs w:val="22"/>
        </w:rPr>
        <w:t>The Southwest Airlines Way</w:t>
      </w:r>
      <w:r w:rsidRPr="0006708B">
        <w:rPr>
          <w:rFonts w:ascii="Arial" w:hAnsi="Arial" w:cs="Arial"/>
          <w:sz w:val="22"/>
          <w:szCs w:val="22"/>
        </w:rPr>
        <w:t>. McGraw-Hill.</w:t>
      </w:r>
    </w:p>
    <w:p w14:paraId="5B81BAC4"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Goleman, D. (2004) </w:t>
      </w:r>
      <w:r w:rsidRPr="0006708B">
        <w:rPr>
          <w:rFonts w:ascii="Arial" w:hAnsi="Arial" w:cs="Arial"/>
          <w:i/>
          <w:iCs/>
          <w:sz w:val="22"/>
          <w:szCs w:val="22"/>
        </w:rPr>
        <w:t>Emotional Intelligence</w:t>
      </w:r>
      <w:r w:rsidRPr="0006708B">
        <w:rPr>
          <w:rFonts w:ascii="Arial" w:hAnsi="Arial" w:cs="Arial"/>
          <w:sz w:val="22"/>
          <w:szCs w:val="22"/>
        </w:rPr>
        <w:t>. Bloomsbury.</w:t>
      </w:r>
    </w:p>
    <w:p w14:paraId="1AE6E6D8"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Gov.uk (2023) </w:t>
      </w:r>
      <w:r w:rsidRPr="0006708B">
        <w:rPr>
          <w:rFonts w:ascii="Arial" w:hAnsi="Arial" w:cs="Arial"/>
          <w:i/>
          <w:iCs/>
          <w:sz w:val="22"/>
          <w:szCs w:val="22"/>
        </w:rPr>
        <w:t>NHS Performance Statistics</w:t>
      </w:r>
      <w:r w:rsidRPr="0006708B">
        <w:rPr>
          <w:rFonts w:ascii="Arial" w:hAnsi="Arial" w:cs="Arial"/>
          <w:sz w:val="22"/>
          <w:szCs w:val="22"/>
        </w:rPr>
        <w:t xml:space="preserve">. Available at: </w:t>
      </w:r>
      <w:hyperlink r:id="rId14" w:tgtFrame="_new" w:history="1">
        <w:r w:rsidRPr="0006708B">
          <w:rPr>
            <w:rStyle w:val="Hyperlink"/>
            <w:rFonts w:ascii="Arial" w:hAnsi="Arial" w:cs="Arial"/>
            <w:sz w:val="22"/>
            <w:szCs w:val="22"/>
          </w:rPr>
          <w:t>https://www.gov.uk</w:t>
        </w:r>
      </w:hyperlink>
    </w:p>
    <w:p w14:paraId="2732A6B1"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Griffin, R.W. (2020) </w:t>
      </w:r>
      <w:r w:rsidRPr="0006708B">
        <w:rPr>
          <w:rFonts w:ascii="Arial" w:hAnsi="Arial" w:cs="Arial"/>
          <w:i/>
          <w:iCs/>
          <w:sz w:val="22"/>
          <w:szCs w:val="22"/>
        </w:rPr>
        <w:t>Management</w:t>
      </w:r>
      <w:r w:rsidRPr="0006708B">
        <w:rPr>
          <w:rFonts w:ascii="Arial" w:hAnsi="Arial" w:cs="Arial"/>
          <w:sz w:val="22"/>
          <w:szCs w:val="22"/>
        </w:rPr>
        <w:t xml:space="preserve">. 13th </w:t>
      </w:r>
      <w:proofErr w:type="spellStart"/>
      <w:r w:rsidRPr="0006708B">
        <w:rPr>
          <w:rFonts w:ascii="Arial" w:hAnsi="Arial" w:cs="Arial"/>
          <w:sz w:val="22"/>
          <w:szCs w:val="22"/>
        </w:rPr>
        <w:t>edn</w:t>
      </w:r>
      <w:proofErr w:type="spellEnd"/>
      <w:r w:rsidRPr="0006708B">
        <w:rPr>
          <w:rFonts w:ascii="Arial" w:hAnsi="Arial" w:cs="Arial"/>
          <w:sz w:val="22"/>
          <w:szCs w:val="22"/>
        </w:rPr>
        <w:t>. Cengage.</w:t>
      </w:r>
    </w:p>
    <w:p w14:paraId="5D318CF2"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Hofstede, G. (2001) </w:t>
      </w:r>
      <w:r w:rsidRPr="0006708B">
        <w:rPr>
          <w:rFonts w:ascii="Arial" w:hAnsi="Arial" w:cs="Arial"/>
          <w:i/>
          <w:iCs/>
          <w:sz w:val="22"/>
          <w:szCs w:val="22"/>
        </w:rPr>
        <w:t>Culture’s Consequences</w:t>
      </w:r>
      <w:r w:rsidRPr="0006708B">
        <w:rPr>
          <w:rFonts w:ascii="Arial" w:hAnsi="Arial" w:cs="Arial"/>
          <w:sz w:val="22"/>
          <w:szCs w:val="22"/>
        </w:rPr>
        <w:t xml:space="preserve">. 2nd </w:t>
      </w:r>
      <w:proofErr w:type="spellStart"/>
      <w:r w:rsidRPr="0006708B">
        <w:rPr>
          <w:rFonts w:ascii="Arial" w:hAnsi="Arial" w:cs="Arial"/>
          <w:sz w:val="22"/>
          <w:szCs w:val="22"/>
        </w:rPr>
        <w:t>edn</w:t>
      </w:r>
      <w:proofErr w:type="spellEnd"/>
      <w:r w:rsidRPr="0006708B">
        <w:rPr>
          <w:rFonts w:ascii="Arial" w:hAnsi="Arial" w:cs="Arial"/>
          <w:sz w:val="22"/>
          <w:szCs w:val="22"/>
        </w:rPr>
        <w:t>. Sage.</w:t>
      </w:r>
    </w:p>
    <w:p w14:paraId="50F9060A"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IBM (2023) </w:t>
      </w:r>
      <w:r w:rsidRPr="0006708B">
        <w:rPr>
          <w:rFonts w:ascii="Arial" w:hAnsi="Arial" w:cs="Arial"/>
          <w:i/>
          <w:iCs/>
          <w:sz w:val="22"/>
          <w:szCs w:val="22"/>
        </w:rPr>
        <w:t>AI Ethics and Governance Report</w:t>
      </w:r>
      <w:r w:rsidRPr="0006708B">
        <w:rPr>
          <w:rFonts w:ascii="Arial" w:hAnsi="Arial" w:cs="Arial"/>
          <w:sz w:val="22"/>
          <w:szCs w:val="22"/>
        </w:rPr>
        <w:t xml:space="preserve">. Available at: </w:t>
      </w:r>
      <w:hyperlink r:id="rId15" w:tgtFrame="_new" w:history="1">
        <w:r w:rsidRPr="0006708B">
          <w:rPr>
            <w:rStyle w:val="Hyperlink"/>
            <w:rFonts w:ascii="Arial" w:hAnsi="Arial" w:cs="Arial"/>
            <w:sz w:val="22"/>
            <w:szCs w:val="22"/>
          </w:rPr>
          <w:t>https://www.ibm.com</w:t>
        </w:r>
      </w:hyperlink>
    </w:p>
    <w:p w14:paraId="7C699D93"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Kaplan, R. S., &amp; Norton, D. P. (1992). The balanced scorecard: Measures that drive performance. </w:t>
      </w:r>
      <w:r w:rsidRPr="0006708B">
        <w:rPr>
          <w:rFonts w:ascii="Arial" w:hAnsi="Arial" w:cs="Arial"/>
          <w:i/>
          <w:iCs/>
          <w:sz w:val="22"/>
          <w:szCs w:val="22"/>
        </w:rPr>
        <w:t>Harvard Business Review, 70</w:t>
      </w:r>
      <w:r w:rsidRPr="0006708B">
        <w:rPr>
          <w:rFonts w:ascii="Arial" w:hAnsi="Arial" w:cs="Arial"/>
          <w:sz w:val="22"/>
          <w:szCs w:val="22"/>
        </w:rPr>
        <w:t>(1), 71-79.</w:t>
      </w:r>
    </w:p>
    <w:p w14:paraId="7ACEF879"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Liker, J.K. (2004) </w:t>
      </w:r>
      <w:r w:rsidRPr="0006708B">
        <w:rPr>
          <w:rFonts w:ascii="Arial" w:hAnsi="Arial" w:cs="Arial"/>
          <w:i/>
          <w:iCs/>
          <w:sz w:val="22"/>
          <w:szCs w:val="22"/>
        </w:rPr>
        <w:t>The Toyota Way</w:t>
      </w:r>
      <w:r w:rsidRPr="0006708B">
        <w:rPr>
          <w:rFonts w:ascii="Arial" w:hAnsi="Arial" w:cs="Arial"/>
          <w:sz w:val="22"/>
          <w:szCs w:val="22"/>
        </w:rPr>
        <w:t>. McGraw-Hill.</w:t>
      </w:r>
    </w:p>
    <w:p w14:paraId="711F45B2"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Luft, J., &amp; Shields, M. D. (2003). Mapping management accounting: A review of the literature. </w:t>
      </w:r>
      <w:r w:rsidRPr="0006708B">
        <w:rPr>
          <w:rFonts w:ascii="Arial" w:hAnsi="Arial" w:cs="Arial"/>
          <w:i/>
          <w:iCs/>
          <w:sz w:val="22"/>
          <w:szCs w:val="22"/>
        </w:rPr>
        <w:t>Accounting, Organizations and Society, 28</w:t>
      </w:r>
      <w:r w:rsidRPr="0006708B">
        <w:rPr>
          <w:rFonts w:ascii="Arial" w:hAnsi="Arial" w:cs="Arial"/>
          <w:sz w:val="22"/>
          <w:szCs w:val="22"/>
        </w:rPr>
        <w:t>(7-8), 169-246.</w:t>
      </w:r>
    </w:p>
    <w:p w14:paraId="57C1B4B9"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lastRenderedPageBreak/>
        <w:t xml:space="preserve">McGregor, D. (1960) </w:t>
      </w:r>
      <w:r w:rsidRPr="0006708B">
        <w:rPr>
          <w:rFonts w:ascii="Arial" w:hAnsi="Arial" w:cs="Arial"/>
          <w:i/>
          <w:iCs/>
          <w:sz w:val="22"/>
          <w:szCs w:val="22"/>
        </w:rPr>
        <w:t>The Human Side of Enterprise</w:t>
      </w:r>
      <w:r w:rsidRPr="0006708B">
        <w:rPr>
          <w:rFonts w:ascii="Arial" w:hAnsi="Arial" w:cs="Arial"/>
          <w:sz w:val="22"/>
          <w:szCs w:val="22"/>
        </w:rPr>
        <w:t>. McGraw-Hill.</w:t>
      </w:r>
    </w:p>
    <w:p w14:paraId="3D3F0F2C"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Mintzberg, H. (1979). </w:t>
      </w:r>
      <w:r w:rsidRPr="0006708B">
        <w:rPr>
          <w:rFonts w:ascii="Arial" w:hAnsi="Arial" w:cs="Arial"/>
          <w:i/>
          <w:iCs/>
          <w:sz w:val="22"/>
          <w:szCs w:val="22"/>
        </w:rPr>
        <w:t>The structuring of organizations: A synthesis of the research.</w:t>
      </w:r>
      <w:r w:rsidRPr="0006708B">
        <w:rPr>
          <w:rFonts w:ascii="Arial" w:hAnsi="Arial" w:cs="Arial"/>
          <w:sz w:val="22"/>
          <w:szCs w:val="22"/>
        </w:rPr>
        <w:t xml:space="preserve"> Prentice-Hall.</w:t>
      </w:r>
    </w:p>
    <w:p w14:paraId="3735EF64"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Mintzberg, H. (2013) </w:t>
      </w:r>
      <w:r w:rsidRPr="0006708B">
        <w:rPr>
          <w:rFonts w:ascii="Arial" w:hAnsi="Arial" w:cs="Arial"/>
          <w:i/>
          <w:iCs/>
          <w:sz w:val="22"/>
          <w:szCs w:val="22"/>
        </w:rPr>
        <w:t>Simply Managing</w:t>
      </w:r>
      <w:r w:rsidRPr="0006708B">
        <w:rPr>
          <w:rFonts w:ascii="Arial" w:hAnsi="Arial" w:cs="Arial"/>
          <w:sz w:val="22"/>
          <w:szCs w:val="22"/>
        </w:rPr>
        <w:t>. Berrett-Koehler.</w:t>
      </w:r>
    </w:p>
    <w:p w14:paraId="2B2D9217"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Nair, A., &amp; Wiersema, M. (2009). Control systems, strategic alignment, and innovation performance. </w:t>
      </w:r>
      <w:r w:rsidRPr="0006708B">
        <w:rPr>
          <w:rFonts w:ascii="Arial" w:hAnsi="Arial" w:cs="Arial"/>
          <w:i/>
          <w:iCs/>
          <w:sz w:val="22"/>
          <w:szCs w:val="22"/>
        </w:rPr>
        <w:t>Strategic Management Journal, 30</w:t>
      </w:r>
      <w:r w:rsidRPr="0006708B">
        <w:rPr>
          <w:rFonts w:ascii="Arial" w:hAnsi="Arial" w:cs="Arial"/>
          <w:sz w:val="22"/>
          <w:szCs w:val="22"/>
        </w:rPr>
        <w:t>(3), 225-244.</w:t>
      </w:r>
    </w:p>
    <w:p w14:paraId="0E4A5021"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Patagonia (2023) </w:t>
      </w:r>
      <w:r w:rsidRPr="0006708B">
        <w:rPr>
          <w:rFonts w:ascii="Arial" w:hAnsi="Arial" w:cs="Arial"/>
          <w:i/>
          <w:iCs/>
          <w:sz w:val="22"/>
          <w:szCs w:val="22"/>
        </w:rPr>
        <w:t>Sustainability Report</w:t>
      </w:r>
      <w:r w:rsidRPr="0006708B">
        <w:rPr>
          <w:rFonts w:ascii="Arial" w:hAnsi="Arial" w:cs="Arial"/>
          <w:sz w:val="22"/>
          <w:szCs w:val="22"/>
        </w:rPr>
        <w:t xml:space="preserve">. Available at: </w:t>
      </w:r>
      <w:hyperlink r:id="rId16" w:tgtFrame="_new" w:history="1">
        <w:r w:rsidRPr="0006708B">
          <w:rPr>
            <w:rStyle w:val="Hyperlink"/>
            <w:rFonts w:ascii="Arial" w:hAnsi="Arial" w:cs="Arial"/>
            <w:sz w:val="22"/>
            <w:szCs w:val="22"/>
          </w:rPr>
          <w:t>https://www.patagonia.com</w:t>
        </w:r>
      </w:hyperlink>
    </w:p>
    <w:p w14:paraId="53F0B84F"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Reuters (2018) </w:t>
      </w:r>
      <w:r w:rsidRPr="0006708B">
        <w:rPr>
          <w:rFonts w:ascii="Arial" w:hAnsi="Arial" w:cs="Arial"/>
          <w:i/>
          <w:iCs/>
          <w:sz w:val="22"/>
          <w:szCs w:val="22"/>
        </w:rPr>
        <w:t>Amazon Scraps Secret AI Recruiting Tool</w:t>
      </w:r>
      <w:r w:rsidRPr="0006708B">
        <w:rPr>
          <w:rFonts w:ascii="Arial" w:hAnsi="Arial" w:cs="Arial"/>
          <w:sz w:val="22"/>
          <w:szCs w:val="22"/>
        </w:rPr>
        <w:t xml:space="preserve">. Available at: </w:t>
      </w:r>
      <w:hyperlink r:id="rId17" w:tgtFrame="_new" w:history="1">
        <w:r w:rsidRPr="0006708B">
          <w:rPr>
            <w:rStyle w:val="Hyperlink"/>
            <w:rFonts w:ascii="Arial" w:hAnsi="Arial" w:cs="Arial"/>
            <w:sz w:val="22"/>
            <w:szCs w:val="22"/>
          </w:rPr>
          <w:t>https://www.reuters.com</w:t>
        </w:r>
      </w:hyperlink>
    </w:p>
    <w:p w14:paraId="54DBA2FD"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Robbins, S.P. and Coulter, M. (2022) </w:t>
      </w:r>
      <w:r w:rsidRPr="0006708B">
        <w:rPr>
          <w:rFonts w:ascii="Arial" w:hAnsi="Arial" w:cs="Arial"/>
          <w:i/>
          <w:iCs/>
          <w:sz w:val="22"/>
          <w:szCs w:val="22"/>
        </w:rPr>
        <w:t>Management</w:t>
      </w:r>
      <w:r w:rsidRPr="0006708B">
        <w:rPr>
          <w:rFonts w:ascii="Arial" w:hAnsi="Arial" w:cs="Arial"/>
          <w:sz w:val="22"/>
          <w:szCs w:val="22"/>
        </w:rPr>
        <w:t xml:space="preserve">. 15th </w:t>
      </w:r>
      <w:proofErr w:type="spellStart"/>
      <w:r w:rsidRPr="0006708B">
        <w:rPr>
          <w:rFonts w:ascii="Arial" w:hAnsi="Arial" w:cs="Arial"/>
          <w:sz w:val="22"/>
          <w:szCs w:val="22"/>
        </w:rPr>
        <w:t>edn</w:t>
      </w:r>
      <w:proofErr w:type="spellEnd"/>
      <w:r w:rsidRPr="0006708B">
        <w:rPr>
          <w:rFonts w:ascii="Arial" w:hAnsi="Arial" w:cs="Arial"/>
          <w:sz w:val="22"/>
          <w:szCs w:val="22"/>
        </w:rPr>
        <w:t>. Pearson.</w:t>
      </w:r>
    </w:p>
    <w:p w14:paraId="09089A28" w14:textId="77777777" w:rsidR="0006708B" w:rsidRPr="0006708B" w:rsidRDefault="0006708B" w:rsidP="0006708B">
      <w:pPr>
        <w:spacing w:line="360" w:lineRule="auto"/>
        <w:ind w:left="720" w:hanging="720"/>
        <w:jc w:val="both"/>
        <w:rPr>
          <w:rFonts w:ascii="Arial" w:hAnsi="Arial" w:cs="Arial"/>
          <w:sz w:val="22"/>
          <w:szCs w:val="22"/>
        </w:rPr>
      </w:pPr>
      <w:r w:rsidRPr="0006708B">
        <w:rPr>
          <w:rFonts w:ascii="Arial" w:hAnsi="Arial" w:cs="Arial"/>
          <w:sz w:val="22"/>
          <w:szCs w:val="22"/>
        </w:rPr>
        <w:t xml:space="preserve">Simons, R. (2000). </w:t>
      </w:r>
      <w:r w:rsidRPr="0006708B">
        <w:rPr>
          <w:rFonts w:ascii="Arial" w:hAnsi="Arial" w:cs="Arial"/>
          <w:i/>
          <w:iCs/>
          <w:sz w:val="22"/>
          <w:szCs w:val="22"/>
        </w:rPr>
        <w:t>Performance measurement and control systems for implementing strategy.</w:t>
      </w:r>
      <w:r w:rsidRPr="0006708B">
        <w:rPr>
          <w:rFonts w:ascii="Arial" w:hAnsi="Arial" w:cs="Arial"/>
          <w:sz w:val="22"/>
          <w:szCs w:val="22"/>
        </w:rPr>
        <w:t xml:space="preserve"> Prentice-Hall.</w:t>
      </w:r>
    </w:p>
    <w:p w14:paraId="2A0EA6A2"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The Guardian (2022) </w:t>
      </w:r>
      <w:r w:rsidRPr="0006708B">
        <w:rPr>
          <w:rFonts w:ascii="Arial" w:hAnsi="Arial" w:cs="Arial"/>
          <w:i/>
          <w:iCs/>
          <w:sz w:val="22"/>
          <w:szCs w:val="22"/>
        </w:rPr>
        <w:t>Facebook and Content Moderation</w:t>
      </w:r>
      <w:r w:rsidRPr="0006708B">
        <w:rPr>
          <w:rFonts w:ascii="Arial" w:hAnsi="Arial" w:cs="Arial"/>
          <w:sz w:val="22"/>
          <w:szCs w:val="22"/>
        </w:rPr>
        <w:t xml:space="preserve">. Available at: </w:t>
      </w:r>
      <w:hyperlink r:id="rId18" w:tgtFrame="_new" w:history="1">
        <w:r w:rsidRPr="0006708B">
          <w:rPr>
            <w:rStyle w:val="Hyperlink"/>
            <w:rFonts w:ascii="Arial" w:hAnsi="Arial" w:cs="Arial"/>
            <w:sz w:val="22"/>
            <w:szCs w:val="22"/>
          </w:rPr>
          <w:t>https://www.theguardian.com</w:t>
        </w:r>
      </w:hyperlink>
    </w:p>
    <w:p w14:paraId="0F1B4DE0" w14:textId="77777777" w:rsidR="0006708B" w:rsidRPr="0006708B" w:rsidRDefault="0006708B" w:rsidP="0006708B">
      <w:pPr>
        <w:spacing w:line="360" w:lineRule="auto"/>
        <w:ind w:left="360" w:hanging="360"/>
        <w:jc w:val="both"/>
        <w:rPr>
          <w:rFonts w:ascii="Arial" w:hAnsi="Arial" w:cs="Arial"/>
          <w:sz w:val="22"/>
          <w:szCs w:val="22"/>
        </w:rPr>
      </w:pPr>
      <w:r w:rsidRPr="0006708B">
        <w:rPr>
          <w:rFonts w:ascii="Arial" w:hAnsi="Arial" w:cs="Arial"/>
          <w:sz w:val="22"/>
          <w:szCs w:val="22"/>
        </w:rPr>
        <w:t xml:space="preserve">Unilever (2023) </w:t>
      </w:r>
      <w:r w:rsidRPr="0006708B">
        <w:rPr>
          <w:rFonts w:ascii="Arial" w:hAnsi="Arial" w:cs="Arial"/>
          <w:i/>
          <w:iCs/>
          <w:sz w:val="22"/>
          <w:szCs w:val="22"/>
        </w:rPr>
        <w:t>Annual Report</w:t>
      </w:r>
      <w:r w:rsidRPr="0006708B">
        <w:rPr>
          <w:rFonts w:ascii="Arial" w:hAnsi="Arial" w:cs="Arial"/>
          <w:sz w:val="22"/>
          <w:szCs w:val="22"/>
        </w:rPr>
        <w:t xml:space="preserve">. Available at: </w:t>
      </w:r>
      <w:hyperlink r:id="rId19" w:tgtFrame="_new" w:history="1">
        <w:r w:rsidRPr="0006708B">
          <w:rPr>
            <w:rStyle w:val="Hyperlink"/>
            <w:rFonts w:ascii="Arial" w:hAnsi="Arial" w:cs="Arial"/>
            <w:sz w:val="22"/>
            <w:szCs w:val="22"/>
          </w:rPr>
          <w:t>https://www.unilever.com</w:t>
        </w:r>
      </w:hyperlink>
    </w:p>
    <w:p w14:paraId="15D046C3" w14:textId="77777777" w:rsidR="0006708B" w:rsidRDefault="0006708B"/>
    <w:sectPr w:rsidR="0006708B" w:rsidSect="0006708B">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B7D101" w14:textId="77777777" w:rsidR="0006708B" w:rsidRDefault="0006708B" w:rsidP="0006708B">
      <w:pPr>
        <w:spacing w:after="0" w:line="240" w:lineRule="auto"/>
      </w:pPr>
      <w:r>
        <w:separator/>
      </w:r>
    </w:p>
  </w:endnote>
  <w:endnote w:type="continuationSeparator" w:id="0">
    <w:p w14:paraId="66D39101" w14:textId="77777777" w:rsidR="0006708B" w:rsidRDefault="0006708B" w:rsidP="000670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41047367"/>
      <w:docPartObj>
        <w:docPartGallery w:val="Page Numbers (Bottom of Page)"/>
        <w:docPartUnique/>
      </w:docPartObj>
    </w:sdtPr>
    <w:sdtEndPr>
      <w:rPr>
        <w:noProof/>
      </w:rPr>
    </w:sdtEndPr>
    <w:sdtContent>
      <w:p w14:paraId="726052D4" w14:textId="36EC72A9" w:rsidR="0006708B" w:rsidRDefault="0006708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9A00A58" w14:textId="77777777" w:rsidR="0006708B" w:rsidRDefault="00067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567D7" w14:textId="77777777" w:rsidR="0006708B" w:rsidRDefault="0006708B" w:rsidP="0006708B">
      <w:pPr>
        <w:spacing w:after="0" w:line="240" w:lineRule="auto"/>
      </w:pPr>
      <w:r>
        <w:separator/>
      </w:r>
    </w:p>
  </w:footnote>
  <w:footnote w:type="continuationSeparator" w:id="0">
    <w:p w14:paraId="49FDD573" w14:textId="77777777" w:rsidR="0006708B" w:rsidRDefault="0006708B" w:rsidP="000670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4E58F6"/>
    <w:multiLevelType w:val="hybridMultilevel"/>
    <w:tmpl w:val="5D143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4B46E9"/>
    <w:multiLevelType w:val="multilevel"/>
    <w:tmpl w:val="327C4D50"/>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30934410">
    <w:abstractNumId w:val="0"/>
  </w:num>
  <w:num w:numId="2" w16cid:durableId="132647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08B"/>
    <w:rsid w:val="0006708B"/>
    <w:rsid w:val="001A6A3B"/>
    <w:rsid w:val="002C3207"/>
    <w:rsid w:val="006E22E9"/>
    <w:rsid w:val="00732C1E"/>
    <w:rsid w:val="007A4511"/>
    <w:rsid w:val="00894807"/>
    <w:rsid w:val="008A2885"/>
    <w:rsid w:val="00982FCF"/>
    <w:rsid w:val="009C7B49"/>
    <w:rsid w:val="009E2A46"/>
    <w:rsid w:val="00A948B7"/>
    <w:rsid w:val="00B22881"/>
    <w:rsid w:val="00B22B66"/>
    <w:rsid w:val="00B50798"/>
    <w:rsid w:val="00B65FFB"/>
    <w:rsid w:val="00B91EBF"/>
    <w:rsid w:val="00D379C9"/>
    <w:rsid w:val="00D908E7"/>
    <w:rsid w:val="00DB4BB8"/>
    <w:rsid w:val="00DB7D1E"/>
    <w:rsid w:val="00DD4AB6"/>
    <w:rsid w:val="00EA0F66"/>
    <w:rsid w:val="00F34F6C"/>
    <w:rsid w:val="00F70777"/>
    <w:rsid w:val="00F74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A8803"/>
  <w15:chartTrackingRefBased/>
  <w15:docId w15:val="{CAFEF1F2-D4A9-406B-BB89-83ADE3C9F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70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670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670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70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70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70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70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70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70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0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670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670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70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70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70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70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70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708B"/>
    <w:rPr>
      <w:rFonts w:eastAsiaTheme="majorEastAsia" w:cstheme="majorBidi"/>
      <w:color w:val="272727" w:themeColor="text1" w:themeTint="D8"/>
    </w:rPr>
  </w:style>
  <w:style w:type="paragraph" w:styleId="Title">
    <w:name w:val="Title"/>
    <w:basedOn w:val="Normal"/>
    <w:next w:val="Normal"/>
    <w:link w:val="TitleChar"/>
    <w:uiPriority w:val="10"/>
    <w:qFormat/>
    <w:rsid w:val="000670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70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70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70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708B"/>
    <w:pPr>
      <w:spacing w:before="160"/>
      <w:jc w:val="center"/>
    </w:pPr>
    <w:rPr>
      <w:i/>
      <w:iCs/>
      <w:color w:val="404040" w:themeColor="text1" w:themeTint="BF"/>
    </w:rPr>
  </w:style>
  <w:style w:type="character" w:customStyle="1" w:styleId="QuoteChar">
    <w:name w:val="Quote Char"/>
    <w:basedOn w:val="DefaultParagraphFont"/>
    <w:link w:val="Quote"/>
    <w:uiPriority w:val="29"/>
    <w:rsid w:val="0006708B"/>
    <w:rPr>
      <w:i/>
      <w:iCs/>
      <w:color w:val="404040" w:themeColor="text1" w:themeTint="BF"/>
    </w:rPr>
  </w:style>
  <w:style w:type="paragraph" w:styleId="ListParagraph">
    <w:name w:val="List Paragraph"/>
    <w:basedOn w:val="Normal"/>
    <w:uiPriority w:val="34"/>
    <w:qFormat/>
    <w:rsid w:val="0006708B"/>
    <w:pPr>
      <w:ind w:left="720"/>
      <w:contextualSpacing/>
    </w:pPr>
  </w:style>
  <w:style w:type="character" w:styleId="IntenseEmphasis">
    <w:name w:val="Intense Emphasis"/>
    <w:basedOn w:val="DefaultParagraphFont"/>
    <w:uiPriority w:val="21"/>
    <w:qFormat/>
    <w:rsid w:val="0006708B"/>
    <w:rPr>
      <w:i/>
      <w:iCs/>
      <w:color w:val="0F4761" w:themeColor="accent1" w:themeShade="BF"/>
    </w:rPr>
  </w:style>
  <w:style w:type="paragraph" w:styleId="IntenseQuote">
    <w:name w:val="Intense Quote"/>
    <w:basedOn w:val="Normal"/>
    <w:next w:val="Normal"/>
    <w:link w:val="IntenseQuoteChar"/>
    <w:uiPriority w:val="30"/>
    <w:qFormat/>
    <w:rsid w:val="000670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708B"/>
    <w:rPr>
      <w:i/>
      <w:iCs/>
      <w:color w:val="0F4761" w:themeColor="accent1" w:themeShade="BF"/>
    </w:rPr>
  </w:style>
  <w:style w:type="character" w:styleId="IntenseReference">
    <w:name w:val="Intense Reference"/>
    <w:basedOn w:val="DefaultParagraphFont"/>
    <w:uiPriority w:val="32"/>
    <w:qFormat/>
    <w:rsid w:val="0006708B"/>
    <w:rPr>
      <w:b/>
      <w:bCs/>
      <w:smallCaps/>
      <w:color w:val="0F4761" w:themeColor="accent1" w:themeShade="BF"/>
      <w:spacing w:val="5"/>
    </w:rPr>
  </w:style>
  <w:style w:type="paragraph" w:styleId="NoSpacing">
    <w:name w:val="No Spacing"/>
    <w:link w:val="NoSpacingChar"/>
    <w:uiPriority w:val="1"/>
    <w:qFormat/>
    <w:rsid w:val="0006708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6708B"/>
    <w:rPr>
      <w:rFonts w:eastAsiaTheme="minorEastAsia"/>
      <w:kern w:val="0"/>
      <w:sz w:val="22"/>
      <w:szCs w:val="22"/>
      <w:lang w:val="en-US"/>
      <w14:ligatures w14:val="none"/>
    </w:rPr>
  </w:style>
  <w:style w:type="paragraph" w:styleId="Header">
    <w:name w:val="header"/>
    <w:basedOn w:val="Normal"/>
    <w:link w:val="HeaderChar"/>
    <w:uiPriority w:val="99"/>
    <w:unhideWhenUsed/>
    <w:rsid w:val="000670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08B"/>
  </w:style>
  <w:style w:type="paragraph" w:styleId="Footer">
    <w:name w:val="footer"/>
    <w:basedOn w:val="Normal"/>
    <w:link w:val="FooterChar"/>
    <w:uiPriority w:val="99"/>
    <w:unhideWhenUsed/>
    <w:rsid w:val="000670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08B"/>
  </w:style>
  <w:style w:type="character" w:styleId="Hyperlink">
    <w:name w:val="Hyperlink"/>
    <w:basedOn w:val="DefaultParagraphFont"/>
    <w:uiPriority w:val="99"/>
    <w:unhideWhenUsed/>
    <w:rsid w:val="0006708B"/>
    <w:rPr>
      <w:color w:val="467886" w:themeColor="hyperlink"/>
      <w:u w:val="single"/>
    </w:rPr>
  </w:style>
  <w:style w:type="paragraph" w:styleId="TOCHeading">
    <w:name w:val="TOC Heading"/>
    <w:basedOn w:val="Heading1"/>
    <w:next w:val="Normal"/>
    <w:uiPriority w:val="39"/>
    <w:unhideWhenUsed/>
    <w:qFormat/>
    <w:rsid w:val="0006708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06708B"/>
    <w:pPr>
      <w:spacing w:after="100"/>
    </w:pPr>
  </w:style>
  <w:style w:type="paragraph" w:styleId="TOC2">
    <w:name w:val="toc 2"/>
    <w:basedOn w:val="Normal"/>
    <w:next w:val="Normal"/>
    <w:autoRedefine/>
    <w:uiPriority w:val="39"/>
    <w:unhideWhenUsed/>
    <w:rsid w:val="0006708B"/>
    <w:pPr>
      <w:spacing w:after="100"/>
      <w:ind w:left="240"/>
    </w:pPr>
  </w:style>
  <w:style w:type="paragraph" w:styleId="TOC3">
    <w:name w:val="toc 3"/>
    <w:basedOn w:val="Normal"/>
    <w:next w:val="Normal"/>
    <w:autoRedefine/>
    <w:uiPriority w:val="39"/>
    <w:unhideWhenUsed/>
    <w:rsid w:val="0006708B"/>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www.theguardian.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euters.com" TargetMode="External"/><Relationship Id="rId2" Type="http://schemas.openxmlformats.org/officeDocument/2006/relationships/customXml" Target="../customXml/item2.xml"/><Relationship Id="rId16" Type="http://schemas.openxmlformats.org/officeDocument/2006/relationships/hyperlink" Target="https://www.patagonia.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ibm.co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unilever.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78890FD2C2C4833A16ABA81F6E87736"/>
        <w:category>
          <w:name w:val="General"/>
          <w:gallery w:val="placeholder"/>
        </w:category>
        <w:types>
          <w:type w:val="bbPlcHdr"/>
        </w:types>
        <w:behaviors>
          <w:behavior w:val="content"/>
        </w:behaviors>
        <w:guid w:val="{CDD74B3B-110A-47F5-9625-3D1496B03429}"/>
      </w:docPartPr>
      <w:docPartBody>
        <w:p w:rsidR="002F4B35" w:rsidRDefault="002F4B35" w:rsidP="002F4B35">
          <w:pPr>
            <w:pStyle w:val="078890FD2C2C4833A16ABA81F6E87736"/>
          </w:pPr>
          <w:r>
            <w:rPr>
              <w:rFonts w:asciiTheme="majorHAnsi" w:eastAsiaTheme="majorEastAsia" w:hAnsiTheme="majorHAnsi" w:cstheme="majorBidi"/>
              <w:caps/>
              <w:color w:val="156082" w:themeColor="accent1"/>
              <w:sz w:val="80"/>
              <w:szCs w:val="80"/>
            </w:rPr>
            <w:t>[Document title]</w:t>
          </w:r>
        </w:p>
      </w:docPartBody>
    </w:docPart>
    <w:docPart>
      <w:docPartPr>
        <w:name w:val="5A5223C2ADCF42038D57739B3A0FCBB0"/>
        <w:category>
          <w:name w:val="General"/>
          <w:gallery w:val="placeholder"/>
        </w:category>
        <w:types>
          <w:type w:val="bbPlcHdr"/>
        </w:types>
        <w:behaviors>
          <w:behavior w:val="content"/>
        </w:behaviors>
        <w:guid w:val="{CEFEB536-38E6-4164-9412-C26F65C85D85}"/>
      </w:docPartPr>
      <w:docPartBody>
        <w:p w:rsidR="002F4B35" w:rsidRDefault="002F4B35" w:rsidP="002F4B35">
          <w:pPr>
            <w:pStyle w:val="5A5223C2ADCF42038D57739B3A0FCBB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B35"/>
    <w:rsid w:val="002F4B35"/>
    <w:rsid w:val="009E2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78890FD2C2C4833A16ABA81F6E87736">
    <w:name w:val="078890FD2C2C4833A16ABA81F6E87736"/>
    <w:rsid w:val="002F4B35"/>
  </w:style>
  <w:style w:type="paragraph" w:customStyle="1" w:styleId="5A5223C2ADCF42038D57739B3A0FCBB0">
    <w:name w:val="5A5223C2ADCF42038D57739B3A0FCBB0"/>
    <w:rsid w:val="002F4B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2025-06-17T00:00:00</PublishDate>
  <Abstract/>
  <CompanyAddress>Birmingham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326a9b9f9ec883f35ddb7f3007870ff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8a953201f64df64cdf925ae838999e4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A59A85-8F62-4C34-B690-626108D7F841}">
  <ds:schemaRefs>
    <ds:schemaRef ds:uri="http://schemas.openxmlformats.org/officeDocument/2006/bibliography"/>
  </ds:schemaRefs>
</ds:datastoreItem>
</file>

<file path=customXml/itemProps3.xml><?xml version="1.0" encoding="utf-8"?>
<ds:datastoreItem xmlns:ds="http://schemas.openxmlformats.org/officeDocument/2006/customXml" ds:itemID="{D1B261DD-FAF5-4C9B-879D-B382754585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9FC52F-1A7B-438A-9873-775016377B2C}">
  <ds:schemaRefs>
    <ds:schemaRef ds:uri="http://schemas.microsoft.com/sharepoint/v3/contenttype/forms"/>
  </ds:schemaRefs>
</ds:datastoreItem>
</file>

<file path=customXml/itemProps5.xml><?xml version="1.0" encoding="utf-8"?>
<ds:datastoreItem xmlns:ds="http://schemas.openxmlformats.org/officeDocument/2006/customXml" ds:itemID="{6BB03D4F-CA81-47E7-9FB1-1DB64068FA6E}">
  <ds:schemaRefs>
    <ds:schemaRef ds:uri="http://purl.org/dc/elements/1.1/"/>
    <ds:schemaRef ds:uri="http://purl.org/dc/dcmitype/"/>
    <ds:schemaRef ds:uri="http://schemas.microsoft.com/office/2006/documentManagement/types"/>
    <ds:schemaRef ds:uri="04c7059f-bde8-4ce9-bb0f-e52888740953"/>
    <ds:schemaRef ds:uri="d8e79d84-78fb-44a9-92e9-d04bdd8f0359"/>
    <ds:schemaRef ds:uri="http://purl.org/dc/terms/"/>
    <ds:schemaRef ds:uri="http://schemas.microsoft.com/office/2006/metadata/properties"/>
    <ds:schemaRef ds:uri="http://schemas.openxmlformats.org/package/2006/metadata/core-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3030</Words>
  <Characters>17273</Characters>
  <Application>Microsoft Office Word</Application>
  <DocSecurity>0</DocSecurity>
  <Lines>143</Lines>
  <Paragraphs>40</Paragraphs>
  <ScaleCrop>false</ScaleCrop>
  <Company>University of wales trinity saint david</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 analysis of importance of controllin as part of managerial function. challenges.</dc:title>
  <dc:subject>By Andzhela Toneva</dc:subject>
  <dc:creator>Andzhela Toneva (2217837)</dc:creator>
  <cp:keywords/>
  <dc:description/>
  <cp:lastModifiedBy>Andzhela Toneva (2217837)</cp:lastModifiedBy>
  <cp:revision>25</cp:revision>
  <dcterms:created xsi:type="dcterms:W3CDTF">2025-06-12T19:18:00Z</dcterms:created>
  <dcterms:modified xsi:type="dcterms:W3CDTF">2025-06-12T20:16:00Z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