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627C09" w14:textId="77777777" w:rsidR="00381E64" w:rsidRDefault="00000000">
      <w:pPr>
        <w:spacing w:before="1800"/>
        <w:jc w:val="center"/>
      </w:pPr>
      <w:r>
        <w:rPr>
          <w:b/>
          <w:color w:val="17365D"/>
          <w:sz w:val="54"/>
        </w:rPr>
        <w:t>PROJECT MANAGEMENT PLAN</w:t>
      </w:r>
    </w:p>
    <w:p w14:paraId="5694299E" w14:textId="77777777" w:rsidR="00381E64" w:rsidRDefault="00000000">
      <w:pPr>
        <w:jc w:val="center"/>
      </w:pPr>
      <w:r>
        <w:rPr>
          <w:color w:val="1F4E79"/>
          <w:sz w:val="38"/>
        </w:rPr>
        <w:t>Redevelopment of the Central Transport Hub</w:t>
      </w:r>
    </w:p>
    <w:p w14:paraId="0D0D7130" w14:textId="77777777" w:rsidR="00381E64" w:rsidRDefault="00000000">
      <w:pPr>
        <w:jc w:val="center"/>
      </w:pPr>
      <w:r>
        <w:rPr>
          <w:b/>
          <w:sz w:val="26"/>
        </w:rPr>
        <w:t>Parts A, B and C</w:t>
      </w:r>
    </w:p>
    <w:p w14:paraId="57BBE94C" w14:textId="77777777" w:rsidR="00381E64" w:rsidRDefault="00000000">
      <w:r>
        <w:br/>
      </w:r>
    </w:p>
    <w:p w14:paraId="5EF1DE8D" w14:textId="77777777" w:rsidR="00381E64" w:rsidRDefault="00000000">
      <w:pPr>
        <w:jc w:val="center"/>
      </w:pPr>
      <w:r>
        <w:rPr>
          <w:b/>
        </w:rPr>
        <w:t xml:space="preserve">Student: </w:t>
      </w:r>
      <w:r>
        <w:t>Idrissa Traore</w:t>
      </w:r>
    </w:p>
    <w:p w14:paraId="7FF3AE2C" w14:textId="77777777" w:rsidR="00381E64" w:rsidRDefault="00000000">
      <w:pPr>
        <w:jc w:val="center"/>
      </w:pPr>
      <w:r>
        <w:rPr>
          <w:b/>
        </w:rPr>
        <w:t xml:space="preserve">Student ID: </w:t>
      </w:r>
      <w:r>
        <w:t>2426109</w:t>
      </w:r>
    </w:p>
    <w:p w14:paraId="426DBDDA" w14:textId="77777777" w:rsidR="00381E64" w:rsidRDefault="00000000">
      <w:pPr>
        <w:jc w:val="center"/>
      </w:pPr>
      <w:r>
        <w:rPr>
          <w:b/>
        </w:rPr>
        <w:t xml:space="preserve">Course: </w:t>
      </w:r>
      <w:r>
        <w:t>BA (Hons) Leadership and Management Skills in the Workplace</w:t>
      </w:r>
    </w:p>
    <w:p w14:paraId="07193562" w14:textId="77777777" w:rsidR="00381E64" w:rsidRDefault="00000000">
      <w:pPr>
        <w:jc w:val="center"/>
      </w:pPr>
      <w:r>
        <w:rPr>
          <w:b/>
        </w:rPr>
        <w:t xml:space="preserve">Module: </w:t>
      </w:r>
      <w:r>
        <w:t>LCLM5003</w:t>
      </w:r>
    </w:p>
    <w:p w14:paraId="609252F5" w14:textId="77777777" w:rsidR="00381E64" w:rsidRDefault="00197C2D">
      <w:pPr>
        <w:jc w:val="center"/>
      </w:pPr>
      <w:r w:rsidRPr="00197C2D">
        <w:rPr>
          <w:b/>
          <w:bCs/>
        </w:rPr>
        <w:t>Lecturer</w:t>
      </w:r>
      <w:r w:rsidR="00000000">
        <w:rPr>
          <w:b/>
        </w:rPr>
        <w:t xml:space="preserve">: </w:t>
      </w:r>
      <w:r w:rsidR="00000000" w:rsidRPr="00EC07E3">
        <w:t>Dr</w:t>
      </w:r>
      <w:r w:rsidR="00000000" w:rsidRPr="00EC07E3">
        <w:t xml:space="preserve"> Xavier Matieni</w:t>
      </w:r>
    </w:p>
    <w:p w14:paraId="115E7B2F" w14:textId="77777777" w:rsidR="00224D39" w:rsidRDefault="00224D39" w:rsidP="00224D39">
      <w:pPr>
        <w:rPr>
          <w:sz w:val="2"/>
          <w:szCs w:val="2"/>
        </w:rPr>
      </w:pPr>
      <w:r>
        <w:rPr>
          <w:sz w:val="2"/>
          <w:szCs w:val="2"/>
        </w:rPr>
        <w:br w:type="page"/>
      </w:r>
    </w:p>
    <w:p w14:paraId="4643DDB9" w14:textId="77777777" w:rsidR="00381E64" w:rsidRDefault="00000000">
      <w:pPr>
        <w:pStyle w:val="Heading1"/>
      </w:pPr>
      <w:bookmarkStart w:id="0" w:name="_Toc237358532"/>
      <w:bookmarkStart w:id="1" w:name="_Toc237874555"/>
      <w:bookmarkStart w:id="2" w:name="_Toc237875082"/>
      <w:bookmarkStart w:id="3" w:name="_Toc237875693"/>
      <w:bookmarkStart w:id="4" w:name="_Toc237877340"/>
      <w:r>
        <w:lastRenderedPageBreak/>
        <w:t>Executive Summary</w:t>
      </w:r>
      <w:bookmarkEnd w:id="0"/>
      <w:bookmarkEnd w:id="1"/>
      <w:bookmarkEnd w:id="2"/>
      <w:bookmarkEnd w:id="3"/>
      <w:bookmarkEnd w:id="4"/>
    </w:p>
    <w:p w14:paraId="37A373B7" w14:textId="77777777" w:rsidR="00381E64" w:rsidRDefault="00000000" w:rsidP="001C155F">
      <w:bookmarkStart w:id="5" w:name="_Toc237358533"/>
      <w:bookmarkStart w:id="6" w:name="_Toc237874556"/>
      <w:bookmarkStart w:id="7" w:name="_Toc237875083"/>
      <w:bookmarkStart w:id="8" w:name="_Toc237875694"/>
      <w:r>
        <w:t xml:space="preserve">This submission proposes a 30-month, £550 million redevelopment of a closed metropolitan central transport hub. The project </w:t>
      </w:r>
      <w:r w:rsidRPr="00BC0148">
        <w:t>will</w:t>
      </w:r>
      <w:r>
        <w:t xml:space="preserve"> restore safe rail, bus and freight interchange capacity while </w:t>
      </w:r>
      <w:r w:rsidRPr="00BC0148">
        <w:t>improving</w:t>
      </w:r>
      <w:r>
        <w:t xml:space="preserve"> inclusive access, digital passenger and logistics systems, climate resilience and </w:t>
      </w:r>
      <w:r w:rsidRPr="00BC0148">
        <w:t>progress</w:t>
      </w:r>
      <w:r>
        <w:t xml:space="preserve"> towards net-zero </w:t>
      </w:r>
      <w:r w:rsidRPr="00BC0148">
        <w:t>operation.</w:t>
      </w:r>
      <w:r>
        <w:t xml:space="preserve"> </w:t>
      </w:r>
      <w:r w:rsidR="00296BBA" w:rsidRPr="00296BBA">
        <w:t xml:space="preserve">The hub is treated as critical public infrastructure because its closure affects everyday mobility, freight reliability, local businesses and public confidence. </w:t>
      </w:r>
      <w:r>
        <w:t xml:space="preserve">Part A presents the </w:t>
      </w:r>
      <w:r w:rsidRPr="00BC0148">
        <w:t xml:space="preserve">poster separately. Part B </w:t>
      </w:r>
      <w:r>
        <w:t>reflects on tutor and peer feedback</w:t>
      </w:r>
      <w:r w:rsidR="00296BBA" w:rsidRPr="00296BBA">
        <w:t xml:space="preserve"> and identifies improvements in spelling, pronunciation, accuracy and presentation delivery.</w:t>
      </w:r>
      <w:r>
        <w:t xml:space="preserve"> Part C applies a hybrid stage-gate and iterative delivery approach through </w:t>
      </w:r>
      <w:r>
        <w:t xml:space="preserve">scope, </w:t>
      </w:r>
      <w:r w:rsidRPr="00BC0148">
        <w:t>WBS</w:t>
      </w:r>
      <w:r>
        <w:t xml:space="preserve">, Quad Chart, Gantt schedule, stakeholder strategy, resource plan and </w:t>
      </w:r>
      <w:r>
        <w:t xml:space="preserve">risk register. </w:t>
      </w:r>
      <w:r w:rsidRPr="00BC0148">
        <w:t>The plan identifies strong</w:t>
      </w:r>
      <w:r>
        <w:t xml:space="preserve"> governance, </w:t>
      </w:r>
      <w:r w:rsidR="00296BBA" w:rsidRPr="00296BBA">
        <w:t xml:space="preserve">early </w:t>
      </w:r>
      <w:r>
        <w:t xml:space="preserve">operator involvement, </w:t>
      </w:r>
      <w:r>
        <w:t>systems integration</w:t>
      </w:r>
      <w:r w:rsidR="00296BBA" w:rsidRPr="00296BBA">
        <w:t xml:space="preserve">, risk </w:t>
      </w:r>
      <w:r>
        <w:t xml:space="preserve">ownership </w:t>
      </w:r>
      <w:r w:rsidR="00296BBA" w:rsidRPr="00296BBA">
        <w:t xml:space="preserve">and benefits management </w:t>
      </w:r>
      <w:r w:rsidRPr="00BC0148">
        <w:t>as key success factors</w:t>
      </w:r>
      <w:r>
        <w:t>.</w:t>
      </w:r>
    </w:p>
    <w:p w14:paraId="2604360F" w14:textId="77777777" w:rsidR="00381E64" w:rsidRDefault="00000000">
      <w:pPr>
        <w:pStyle w:val="Heading1"/>
      </w:pPr>
      <w:bookmarkStart w:id="9" w:name="_Toc237877341"/>
      <w:r>
        <w:t>Contents</w:t>
      </w:r>
      <w:bookmarkEnd w:id="5"/>
      <w:bookmarkEnd w:id="6"/>
      <w:bookmarkEnd w:id="7"/>
      <w:bookmarkEnd w:id="8"/>
      <w:bookmarkEnd w:id="9"/>
    </w:p>
    <w:p w14:paraId="7B273547" w14:textId="77777777" w:rsidR="00197C2D" w:rsidRDefault="00197C2D" w:rsidP="00197C2D">
      <w:pPr>
        <w:rPr>
          <w:sz w:val="2"/>
          <w:szCs w:val="2"/>
        </w:rPr>
      </w:pPr>
      <w:r>
        <w:rPr>
          <w:sz w:val="2"/>
          <w:szCs w:val="2"/>
        </w:rPr>
        <w:t>​</w:t>
      </w:r>
    </w:p>
    <w:p w14:paraId="0C3B5FA8" w14:textId="7715FA9A" w:rsidR="00CB0925" w:rsidRDefault="00197C2D">
      <w:pPr>
        <w:pStyle w:val="TOC1"/>
        <w:tabs>
          <w:tab w:val="right" w:leader="dot" w:pos="9638"/>
        </w:tabs>
        <w:rPr>
          <w:rFonts w:asciiTheme="minorHAnsi" w:hAnsiTheme="minorHAnsi"/>
          <w:noProof/>
          <w:color w:val="auto"/>
          <w:kern w:val="2"/>
          <w:sz w:val="24"/>
          <w:szCs w:val="24"/>
          <w:lang w:val="en-GB" w:eastAsia="en-GB"/>
          <w14:ligatures w14:val="standardContextual"/>
        </w:rPr>
      </w:pPr>
      <w:r>
        <w:rPr>
          <w:sz w:val="2"/>
          <w:szCs w:val="2"/>
        </w:rPr>
        <w:fldChar w:fldCharType="begin"/>
      </w:r>
      <w:r>
        <w:rPr>
          <w:sz w:val="2"/>
          <w:szCs w:val="2"/>
        </w:rPr>
        <w:instrText xml:space="preserve"> TOC \o "1-3" \h \* MERGEFORMAT </w:instrText>
      </w:r>
      <w:r>
        <w:rPr>
          <w:sz w:val="2"/>
          <w:szCs w:val="2"/>
        </w:rPr>
        <w:fldChar w:fldCharType="separate"/>
      </w:r>
      <w:hyperlink w:anchor="_Toc237877340" w:history="1">
        <w:r w:rsidR="00CB0925" w:rsidRPr="00487E38">
          <w:rPr>
            <w:rStyle w:val="Hyperlink"/>
            <w:noProof/>
          </w:rPr>
          <w:t>Executive Summary</w:t>
        </w:r>
        <w:r w:rsidR="00CB0925">
          <w:rPr>
            <w:noProof/>
          </w:rPr>
          <w:tab/>
        </w:r>
        <w:r w:rsidR="00CB0925">
          <w:rPr>
            <w:noProof/>
          </w:rPr>
          <w:fldChar w:fldCharType="begin"/>
        </w:r>
        <w:r w:rsidR="00CB0925">
          <w:rPr>
            <w:noProof/>
          </w:rPr>
          <w:instrText xml:space="preserve"> PAGEREF _Toc237877340 \h </w:instrText>
        </w:r>
        <w:r w:rsidR="00CB0925">
          <w:rPr>
            <w:noProof/>
          </w:rPr>
        </w:r>
        <w:r w:rsidR="00CB0925">
          <w:rPr>
            <w:noProof/>
          </w:rPr>
          <w:fldChar w:fldCharType="separate"/>
        </w:r>
        <w:r w:rsidR="00CB0925">
          <w:rPr>
            <w:noProof/>
          </w:rPr>
          <w:t>2</w:t>
        </w:r>
        <w:r w:rsidR="00CB0925">
          <w:rPr>
            <w:noProof/>
          </w:rPr>
          <w:fldChar w:fldCharType="end"/>
        </w:r>
      </w:hyperlink>
    </w:p>
    <w:p w14:paraId="5CD17916" w14:textId="10F65D32" w:rsidR="00CB0925" w:rsidRDefault="00CB0925">
      <w:pPr>
        <w:pStyle w:val="TOC1"/>
        <w:tabs>
          <w:tab w:val="right" w:leader="dot" w:pos="9638"/>
        </w:tabs>
        <w:rPr>
          <w:rFonts w:asciiTheme="minorHAnsi" w:hAnsiTheme="minorHAnsi"/>
          <w:noProof/>
          <w:color w:val="auto"/>
          <w:kern w:val="2"/>
          <w:sz w:val="24"/>
          <w:szCs w:val="24"/>
          <w:lang w:val="en-GB" w:eastAsia="en-GB"/>
          <w14:ligatures w14:val="standardContextual"/>
        </w:rPr>
      </w:pPr>
      <w:hyperlink w:anchor="_Toc237877341" w:history="1">
        <w:r w:rsidRPr="00487E38">
          <w:rPr>
            <w:rStyle w:val="Hyperlink"/>
            <w:noProof/>
          </w:rPr>
          <w:t>Contents</w:t>
        </w:r>
        <w:r>
          <w:rPr>
            <w:noProof/>
          </w:rPr>
          <w:tab/>
        </w:r>
        <w:r>
          <w:rPr>
            <w:noProof/>
          </w:rPr>
          <w:fldChar w:fldCharType="begin"/>
        </w:r>
        <w:r>
          <w:rPr>
            <w:noProof/>
          </w:rPr>
          <w:instrText xml:space="preserve"> PAGEREF _Toc237877341 \h </w:instrText>
        </w:r>
        <w:r>
          <w:rPr>
            <w:noProof/>
          </w:rPr>
        </w:r>
        <w:r>
          <w:rPr>
            <w:noProof/>
          </w:rPr>
          <w:fldChar w:fldCharType="separate"/>
        </w:r>
        <w:r>
          <w:rPr>
            <w:noProof/>
          </w:rPr>
          <w:t>2</w:t>
        </w:r>
        <w:r>
          <w:rPr>
            <w:noProof/>
          </w:rPr>
          <w:fldChar w:fldCharType="end"/>
        </w:r>
      </w:hyperlink>
    </w:p>
    <w:p w14:paraId="6B1F1EA6" w14:textId="06EAA1FD" w:rsidR="00CB0925" w:rsidRDefault="00CB0925">
      <w:pPr>
        <w:pStyle w:val="TOC1"/>
        <w:tabs>
          <w:tab w:val="right" w:leader="dot" w:pos="9638"/>
        </w:tabs>
        <w:rPr>
          <w:rFonts w:asciiTheme="minorHAnsi" w:hAnsiTheme="minorHAnsi"/>
          <w:noProof/>
          <w:color w:val="auto"/>
          <w:kern w:val="2"/>
          <w:sz w:val="24"/>
          <w:szCs w:val="24"/>
          <w:lang w:val="en-GB" w:eastAsia="en-GB"/>
          <w14:ligatures w14:val="standardContextual"/>
        </w:rPr>
      </w:pPr>
      <w:hyperlink w:anchor="_Toc237877342" w:history="1">
        <w:r w:rsidRPr="00487E38">
          <w:rPr>
            <w:rStyle w:val="Hyperlink"/>
            <w:noProof/>
          </w:rPr>
          <w:t>Part A – Project Proposal Poster</w:t>
        </w:r>
        <w:r>
          <w:rPr>
            <w:noProof/>
          </w:rPr>
          <w:tab/>
        </w:r>
        <w:r>
          <w:rPr>
            <w:noProof/>
          </w:rPr>
          <w:fldChar w:fldCharType="begin"/>
        </w:r>
        <w:r>
          <w:rPr>
            <w:noProof/>
          </w:rPr>
          <w:instrText xml:space="preserve"> PAGEREF _Toc237877342 \h </w:instrText>
        </w:r>
        <w:r>
          <w:rPr>
            <w:noProof/>
          </w:rPr>
        </w:r>
        <w:r>
          <w:rPr>
            <w:noProof/>
          </w:rPr>
          <w:fldChar w:fldCharType="separate"/>
        </w:r>
        <w:r>
          <w:rPr>
            <w:noProof/>
          </w:rPr>
          <w:t>4</w:t>
        </w:r>
        <w:r>
          <w:rPr>
            <w:noProof/>
          </w:rPr>
          <w:fldChar w:fldCharType="end"/>
        </w:r>
      </w:hyperlink>
    </w:p>
    <w:p w14:paraId="23E7C875" w14:textId="45553FF9" w:rsidR="00CB0925" w:rsidRDefault="00CB0925">
      <w:pPr>
        <w:pStyle w:val="TOC1"/>
        <w:tabs>
          <w:tab w:val="right" w:leader="dot" w:pos="9638"/>
        </w:tabs>
        <w:rPr>
          <w:rFonts w:asciiTheme="minorHAnsi" w:hAnsiTheme="minorHAnsi"/>
          <w:noProof/>
          <w:color w:val="auto"/>
          <w:kern w:val="2"/>
          <w:sz w:val="24"/>
          <w:szCs w:val="24"/>
          <w:lang w:val="en-GB" w:eastAsia="en-GB"/>
          <w14:ligatures w14:val="standardContextual"/>
        </w:rPr>
      </w:pPr>
      <w:hyperlink w:anchor="_Toc237877343" w:history="1">
        <w:r w:rsidRPr="00487E38">
          <w:rPr>
            <w:rStyle w:val="Hyperlink"/>
            <w:noProof/>
          </w:rPr>
          <w:t>Part B – Critical Reflection Using Gibbs’ Reflective Cycle</w:t>
        </w:r>
        <w:r>
          <w:rPr>
            <w:noProof/>
          </w:rPr>
          <w:tab/>
        </w:r>
        <w:r>
          <w:rPr>
            <w:noProof/>
          </w:rPr>
          <w:fldChar w:fldCharType="begin"/>
        </w:r>
        <w:r>
          <w:rPr>
            <w:noProof/>
          </w:rPr>
          <w:instrText xml:space="preserve"> PAGEREF _Toc237877343 \h </w:instrText>
        </w:r>
        <w:r>
          <w:rPr>
            <w:noProof/>
          </w:rPr>
        </w:r>
        <w:r>
          <w:rPr>
            <w:noProof/>
          </w:rPr>
          <w:fldChar w:fldCharType="separate"/>
        </w:r>
        <w:r>
          <w:rPr>
            <w:noProof/>
          </w:rPr>
          <w:t>5</w:t>
        </w:r>
        <w:r>
          <w:rPr>
            <w:noProof/>
          </w:rPr>
          <w:fldChar w:fldCharType="end"/>
        </w:r>
      </w:hyperlink>
    </w:p>
    <w:p w14:paraId="0E01F79D" w14:textId="50749D78"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44" w:history="1">
        <w:r w:rsidRPr="00487E38">
          <w:rPr>
            <w:rStyle w:val="Hyperlink"/>
            <w:noProof/>
          </w:rPr>
          <w:t>Description</w:t>
        </w:r>
        <w:r>
          <w:rPr>
            <w:noProof/>
          </w:rPr>
          <w:tab/>
        </w:r>
        <w:r>
          <w:rPr>
            <w:noProof/>
          </w:rPr>
          <w:fldChar w:fldCharType="begin"/>
        </w:r>
        <w:r>
          <w:rPr>
            <w:noProof/>
          </w:rPr>
          <w:instrText xml:space="preserve"> PAGEREF _Toc237877344 \h </w:instrText>
        </w:r>
        <w:r>
          <w:rPr>
            <w:noProof/>
          </w:rPr>
        </w:r>
        <w:r>
          <w:rPr>
            <w:noProof/>
          </w:rPr>
          <w:fldChar w:fldCharType="separate"/>
        </w:r>
        <w:r>
          <w:rPr>
            <w:noProof/>
          </w:rPr>
          <w:t>5</w:t>
        </w:r>
        <w:r>
          <w:rPr>
            <w:noProof/>
          </w:rPr>
          <w:fldChar w:fldCharType="end"/>
        </w:r>
      </w:hyperlink>
    </w:p>
    <w:p w14:paraId="7C8503F8" w14:textId="6F899871"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45" w:history="1">
        <w:r w:rsidRPr="00487E38">
          <w:rPr>
            <w:rStyle w:val="Hyperlink"/>
            <w:noProof/>
          </w:rPr>
          <w:t>Feelings</w:t>
        </w:r>
        <w:r>
          <w:rPr>
            <w:noProof/>
          </w:rPr>
          <w:tab/>
        </w:r>
        <w:r>
          <w:rPr>
            <w:noProof/>
          </w:rPr>
          <w:fldChar w:fldCharType="begin"/>
        </w:r>
        <w:r>
          <w:rPr>
            <w:noProof/>
          </w:rPr>
          <w:instrText xml:space="preserve"> PAGEREF _Toc237877345 \h </w:instrText>
        </w:r>
        <w:r>
          <w:rPr>
            <w:noProof/>
          </w:rPr>
        </w:r>
        <w:r>
          <w:rPr>
            <w:noProof/>
          </w:rPr>
          <w:fldChar w:fldCharType="separate"/>
        </w:r>
        <w:r>
          <w:rPr>
            <w:noProof/>
          </w:rPr>
          <w:t>5</w:t>
        </w:r>
        <w:r>
          <w:rPr>
            <w:noProof/>
          </w:rPr>
          <w:fldChar w:fldCharType="end"/>
        </w:r>
      </w:hyperlink>
    </w:p>
    <w:p w14:paraId="15F63B4E" w14:textId="74F60E46"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46" w:history="1">
        <w:r w:rsidRPr="00487E38">
          <w:rPr>
            <w:rStyle w:val="Hyperlink"/>
            <w:noProof/>
          </w:rPr>
          <w:t>Evaluation</w:t>
        </w:r>
        <w:r>
          <w:rPr>
            <w:noProof/>
          </w:rPr>
          <w:tab/>
        </w:r>
        <w:r>
          <w:rPr>
            <w:noProof/>
          </w:rPr>
          <w:fldChar w:fldCharType="begin"/>
        </w:r>
        <w:r>
          <w:rPr>
            <w:noProof/>
          </w:rPr>
          <w:instrText xml:space="preserve"> PAGEREF _Toc237877346 \h </w:instrText>
        </w:r>
        <w:r>
          <w:rPr>
            <w:noProof/>
          </w:rPr>
        </w:r>
        <w:r>
          <w:rPr>
            <w:noProof/>
          </w:rPr>
          <w:fldChar w:fldCharType="separate"/>
        </w:r>
        <w:r>
          <w:rPr>
            <w:noProof/>
          </w:rPr>
          <w:t>5</w:t>
        </w:r>
        <w:r>
          <w:rPr>
            <w:noProof/>
          </w:rPr>
          <w:fldChar w:fldCharType="end"/>
        </w:r>
      </w:hyperlink>
    </w:p>
    <w:p w14:paraId="224DDCB4" w14:textId="5D1BF288"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47" w:history="1">
        <w:r w:rsidRPr="00487E38">
          <w:rPr>
            <w:rStyle w:val="Hyperlink"/>
            <w:noProof/>
          </w:rPr>
          <w:t>Analysis</w:t>
        </w:r>
        <w:r>
          <w:rPr>
            <w:noProof/>
          </w:rPr>
          <w:tab/>
        </w:r>
        <w:r>
          <w:rPr>
            <w:noProof/>
          </w:rPr>
          <w:fldChar w:fldCharType="begin"/>
        </w:r>
        <w:r>
          <w:rPr>
            <w:noProof/>
          </w:rPr>
          <w:instrText xml:space="preserve"> PAGEREF _Toc237877347 \h </w:instrText>
        </w:r>
        <w:r>
          <w:rPr>
            <w:noProof/>
          </w:rPr>
        </w:r>
        <w:r>
          <w:rPr>
            <w:noProof/>
          </w:rPr>
          <w:fldChar w:fldCharType="separate"/>
        </w:r>
        <w:r>
          <w:rPr>
            <w:noProof/>
          </w:rPr>
          <w:t>5</w:t>
        </w:r>
        <w:r>
          <w:rPr>
            <w:noProof/>
          </w:rPr>
          <w:fldChar w:fldCharType="end"/>
        </w:r>
      </w:hyperlink>
    </w:p>
    <w:p w14:paraId="2018B62A" w14:textId="34009FF5"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48" w:history="1">
        <w:r w:rsidRPr="00487E38">
          <w:rPr>
            <w:rStyle w:val="Hyperlink"/>
            <w:noProof/>
          </w:rPr>
          <w:t>Conclusion and Action Plan</w:t>
        </w:r>
        <w:r>
          <w:rPr>
            <w:noProof/>
          </w:rPr>
          <w:tab/>
        </w:r>
        <w:r>
          <w:rPr>
            <w:noProof/>
          </w:rPr>
          <w:fldChar w:fldCharType="begin"/>
        </w:r>
        <w:r>
          <w:rPr>
            <w:noProof/>
          </w:rPr>
          <w:instrText xml:space="preserve"> PAGEREF _Toc237877348 \h </w:instrText>
        </w:r>
        <w:r>
          <w:rPr>
            <w:noProof/>
          </w:rPr>
        </w:r>
        <w:r>
          <w:rPr>
            <w:noProof/>
          </w:rPr>
          <w:fldChar w:fldCharType="separate"/>
        </w:r>
        <w:r>
          <w:rPr>
            <w:noProof/>
          </w:rPr>
          <w:t>5</w:t>
        </w:r>
        <w:r>
          <w:rPr>
            <w:noProof/>
          </w:rPr>
          <w:fldChar w:fldCharType="end"/>
        </w:r>
      </w:hyperlink>
    </w:p>
    <w:p w14:paraId="6F113BC0" w14:textId="43292EBC" w:rsidR="00CB0925" w:rsidRDefault="00CB0925">
      <w:pPr>
        <w:pStyle w:val="TOC1"/>
        <w:tabs>
          <w:tab w:val="right" w:leader="dot" w:pos="9638"/>
        </w:tabs>
        <w:rPr>
          <w:rFonts w:asciiTheme="minorHAnsi" w:hAnsiTheme="minorHAnsi"/>
          <w:noProof/>
          <w:color w:val="auto"/>
          <w:kern w:val="2"/>
          <w:sz w:val="24"/>
          <w:szCs w:val="24"/>
          <w:lang w:val="en-GB" w:eastAsia="en-GB"/>
          <w14:ligatures w14:val="standardContextual"/>
        </w:rPr>
      </w:pPr>
      <w:hyperlink w:anchor="_Toc237877349" w:history="1">
        <w:r w:rsidRPr="00487E38">
          <w:rPr>
            <w:rStyle w:val="Hyperlink"/>
            <w:noProof/>
          </w:rPr>
          <w:t>Part C – Project Management Plan</w:t>
        </w:r>
        <w:r>
          <w:rPr>
            <w:noProof/>
          </w:rPr>
          <w:tab/>
        </w:r>
        <w:r>
          <w:rPr>
            <w:noProof/>
          </w:rPr>
          <w:fldChar w:fldCharType="begin"/>
        </w:r>
        <w:r>
          <w:rPr>
            <w:noProof/>
          </w:rPr>
          <w:instrText xml:space="preserve"> PAGEREF _Toc237877349 \h </w:instrText>
        </w:r>
        <w:r>
          <w:rPr>
            <w:noProof/>
          </w:rPr>
        </w:r>
        <w:r>
          <w:rPr>
            <w:noProof/>
          </w:rPr>
          <w:fldChar w:fldCharType="separate"/>
        </w:r>
        <w:r>
          <w:rPr>
            <w:noProof/>
          </w:rPr>
          <w:t>6</w:t>
        </w:r>
        <w:r>
          <w:rPr>
            <w:noProof/>
          </w:rPr>
          <w:fldChar w:fldCharType="end"/>
        </w:r>
      </w:hyperlink>
    </w:p>
    <w:p w14:paraId="032E346F" w14:textId="0430FC01"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0" w:history="1">
        <w:r w:rsidRPr="00487E38">
          <w:rPr>
            <w:rStyle w:val="Hyperlink"/>
            <w:noProof/>
          </w:rPr>
          <w:t>1. Introduction</w:t>
        </w:r>
        <w:r>
          <w:rPr>
            <w:noProof/>
          </w:rPr>
          <w:tab/>
        </w:r>
        <w:r>
          <w:rPr>
            <w:noProof/>
          </w:rPr>
          <w:fldChar w:fldCharType="begin"/>
        </w:r>
        <w:r>
          <w:rPr>
            <w:noProof/>
          </w:rPr>
          <w:instrText xml:space="preserve"> PAGEREF _Toc237877350 \h </w:instrText>
        </w:r>
        <w:r>
          <w:rPr>
            <w:noProof/>
          </w:rPr>
        </w:r>
        <w:r>
          <w:rPr>
            <w:noProof/>
          </w:rPr>
          <w:fldChar w:fldCharType="separate"/>
        </w:r>
        <w:r>
          <w:rPr>
            <w:noProof/>
          </w:rPr>
          <w:t>6</w:t>
        </w:r>
        <w:r>
          <w:rPr>
            <w:noProof/>
          </w:rPr>
          <w:fldChar w:fldCharType="end"/>
        </w:r>
      </w:hyperlink>
    </w:p>
    <w:p w14:paraId="1E9E2738" w14:textId="4DA430E4"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1" w:history="1">
        <w:r w:rsidRPr="00487E38">
          <w:rPr>
            <w:rStyle w:val="Hyperlink"/>
            <w:noProof/>
          </w:rPr>
          <w:t>2. Project Description</w:t>
        </w:r>
        <w:r>
          <w:rPr>
            <w:noProof/>
          </w:rPr>
          <w:tab/>
        </w:r>
        <w:r>
          <w:rPr>
            <w:noProof/>
          </w:rPr>
          <w:fldChar w:fldCharType="begin"/>
        </w:r>
        <w:r>
          <w:rPr>
            <w:noProof/>
          </w:rPr>
          <w:instrText xml:space="preserve"> PAGEREF _Toc237877351 \h </w:instrText>
        </w:r>
        <w:r>
          <w:rPr>
            <w:noProof/>
          </w:rPr>
        </w:r>
        <w:r>
          <w:rPr>
            <w:noProof/>
          </w:rPr>
          <w:fldChar w:fldCharType="separate"/>
        </w:r>
        <w:r>
          <w:rPr>
            <w:noProof/>
          </w:rPr>
          <w:t>6</w:t>
        </w:r>
        <w:r>
          <w:rPr>
            <w:noProof/>
          </w:rPr>
          <w:fldChar w:fldCharType="end"/>
        </w:r>
      </w:hyperlink>
    </w:p>
    <w:p w14:paraId="34535F38" w14:textId="753A9E20"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2" w:history="1">
        <w:r w:rsidRPr="00487E38">
          <w:rPr>
            <w:rStyle w:val="Hyperlink"/>
            <w:noProof/>
          </w:rPr>
          <w:t>2.1 Project Triangle</w:t>
        </w:r>
        <w:r>
          <w:rPr>
            <w:noProof/>
          </w:rPr>
          <w:tab/>
        </w:r>
        <w:r>
          <w:rPr>
            <w:noProof/>
          </w:rPr>
          <w:fldChar w:fldCharType="begin"/>
        </w:r>
        <w:r>
          <w:rPr>
            <w:noProof/>
          </w:rPr>
          <w:instrText xml:space="preserve"> PAGEREF _Toc237877352 \h </w:instrText>
        </w:r>
        <w:r>
          <w:rPr>
            <w:noProof/>
          </w:rPr>
        </w:r>
        <w:r>
          <w:rPr>
            <w:noProof/>
          </w:rPr>
          <w:fldChar w:fldCharType="separate"/>
        </w:r>
        <w:r>
          <w:rPr>
            <w:noProof/>
          </w:rPr>
          <w:t>7</w:t>
        </w:r>
        <w:r>
          <w:rPr>
            <w:noProof/>
          </w:rPr>
          <w:fldChar w:fldCharType="end"/>
        </w:r>
      </w:hyperlink>
    </w:p>
    <w:p w14:paraId="7D78C9F2" w14:textId="4497700C"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3" w:history="1">
        <w:r w:rsidRPr="00487E38">
          <w:rPr>
            <w:rStyle w:val="Hyperlink"/>
            <w:noProof/>
          </w:rPr>
          <w:t>3. Scope</w:t>
        </w:r>
        <w:r>
          <w:rPr>
            <w:noProof/>
          </w:rPr>
          <w:tab/>
        </w:r>
        <w:r>
          <w:rPr>
            <w:noProof/>
          </w:rPr>
          <w:fldChar w:fldCharType="begin"/>
        </w:r>
        <w:r>
          <w:rPr>
            <w:noProof/>
          </w:rPr>
          <w:instrText xml:space="preserve"> PAGEREF _Toc237877353 \h </w:instrText>
        </w:r>
        <w:r>
          <w:rPr>
            <w:noProof/>
          </w:rPr>
        </w:r>
        <w:r>
          <w:rPr>
            <w:noProof/>
          </w:rPr>
          <w:fldChar w:fldCharType="separate"/>
        </w:r>
        <w:r>
          <w:rPr>
            <w:noProof/>
          </w:rPr>
          <w:t>8</w:t>
        </w:r>
        <w:r>
          <w:rPr>
            <w:noProof/>
          </w:rPr>
          <w:fldChar w:fldCharType="end"/>
        </w:r>
      </w:hyperlink>
    </w:p>
    <w:p w14:paraId="1DE84A9E" w14:textId="53AD5F31"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4" w:history="1">
        <w:r w:rsidRPr="00487E38">
          <w:rPr>
            <w:rStyle w:val="Hyperlink"/>
            <w:noProof/>
          </w:rPr>
          <w:t>4. Work Breakdown Structure</w:t>
        </w:r>
        <w:r>
          <w:rPr>
            <w:noProof/>
          </w:rPr>
          <w:tab/>
        </w:r>
        <w:r>
          <w:rPr>
            <w:noProof/>
          </w:rPr>
          <w:fldChar w:fldCharType="begin"/>
        </w:r>
        <w:r>
          <w:rPr>
            <w:noProof/>
          </w:rPr>
          <w:instrText xml:space="preserve"> PAGEREF _Toc237877354 \h </w:instrText>
        </w:r>
        <w:r>
          <w:rPr>
            <w:noProof/>
          </w:rPr>
        </w:r>
        <w:r>
          <w:rPr>
            <w:noProof/>
          </w:rPr>
          <w:fldChar w:fldCharType="separate"/>
        </w:r>
        <w:r>
          <w:rPr>
            <w:noProof/>
          </w:rPr>
          <w:t>8</w:t>
        </w:r>
        <w:r>
          <w:rPr>
            <w:noProof/>
          </w:rPr>
          <w:fldChar w:fldCharType="end"/>
        </w:r>
      </w:hyperlink>
    </w:p>
    <w:p w14:paraId="7383530E" w14:textId="04B32CD4"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5" w:history="1">
        <w:r w:rsidRPr="00487E38">
          <w:rPr>
            <w:rStyle w:val="Hyperlink"/>
            <w:noProof/>
          </w:rPr>
          <w:t>5. Quad Chart</w:t>
        </w:r>
        <w:r>
          <w:rPr>
            <w:noProof/>
          </w:rPr>
          <w:tab/>
        </w:r>
        <w:r>
          <w:rPr>
            <w:noProof/>
          </w:rPr>
          <w:fldChar w:fldCharType="begin"/>
        </w:r>
        <w:r>
          <w:rPr>
            <w:noProof/>
          </w:rPr>
          <w:instrText xml:space="preserve"> PAGEREF _Toc237877355 \h </w:instrText>
        </w:r>
        <w:r>
          <w:rPr>
            <w:noProof/>
          </w:rPr>
        </w:r>
        <w:r>
          <w:rPr>
            <w:noProof/>
          </w:rPr>
          <w:fldChar w:fldCharType="separate"/>
        </w:r>
        <w:r>
          <w:rPr>
            <w:noProof/>
          </w:rPr>
          <w:t>9</w:t>
        </w:r>
        <w:r>
          <w:rPr>
            <w:noProof/>
          </w:rPr>
          <w:fldChar w:fldCharType="end"/>
        </w:r>
      </w:hyperlink>
    </w:p>
    <w:p w14:paraId="1016411E" w14:textId="618E4871"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6" w:history="1">
        <w:r w:rsidRPr="00487E38">
          <w:rPr>
            <w:rStyle w:val="Hyperlink"/>
            <w:noProof/>
          </w:rPr>
          <w:t>6. Gantt Chart</w:t>
        </w:r>
        <w:r>
          <w:rPr>
            <w:noProof/>
          </w:rPr>
          <w:tab/>
        </w:r>
        <w:r>
          <w:rPr>
            <w:noProof/>
          </w:rPr>
          <w:fldChar w:fldCharType="begin"/>
        </w:r>
        <w:r>
          <w:rPr>
            <w:noProof/>
          </w:rPr>
          <w:instrText xml:space="preserve"> PAGEREF _Toc237877356 \h </w:instrText>
        </w:r>
        <w:r>
          <w:rPr>
            <w:noProof/>
          </w:rPr>
        </w:r>
        <w:r>
          <w:rPr>
            <w:noProof/>
          </w:rPr>
          <w:fldChar w:fldCharType="separate"/>
        </w:r>
        <w:r>
          <w:rPr>
            <w:noProof/>
          </w:rPr>
          <w:t>11</w:t>
        </w:r>
        <w:r>
          <w:rPr>
            <w:noProof/>
          </w:rPr>
          <w:fldChar w:fldCharType="end"/>
        </w:r>
      </w:hyperlink>
    </w:p>
    <w:p w14:paraId="40CCC722" w14:textId="3F974995"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7" w:history="1">
        <w:r w:rsidRPr="00487E38">
          <w:rPr>
            <w:rStyle w:val="Hyperlink"/>
            <w:noProof/>
          </w:rPr>
          <w:t>7. Stakeholder Involvement</w:t>
        </w:r>
        <w:r>
          <w:rPr>
            <w:noProof/>
          </w:rPr>
          <w:tab/>
        </w:r>
        <w:r>
          <w:rPr>
            <w:noProof/>
          </w:rPr>
          <w:fldChar w:fldCharType="begin"/>
        </w:r>
        <w:r>
          <w:rPr>
            <w:noProof/>
          </w:rPr>
          <w:instrText xml:space="preserve"> PAGEREF _Toc237877357 \h </w:instrText>
        </w:r>
        <w:r>
          <w:rPr>
            <w:noProof/>
          </w:rPr>
        </w:r>
        <w:r>
          <w:rPr>
            <w:noProof/>
          </w:rPr>
          <w:fldChar w:fldCharType="separate"/>
        </w:r>
        <w:r>
          <w:rPr>
            <w:noProof/>
          </w:rPr>
          <w:t>11</w:t>
        </w:r>
        <w:r>
          <w:rPr>
            <w:noProof/>
          </w:rPr>
          <w:fldChar w:fldCharType="end"/>
        </w:r>
      </w:hyperlink>
    </w:p>
    <w:p w14:paraId="0B0035C7" w14:textId="453DA6CD"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8" w:history="1">
        <w:r w:rsidRPr="00487E38">
          <w:rPr>
            <w:rStyle w:val="Hyperlink"/>
            <w:noProof/>
          </w:rPr>
          <w:t>7.1 Stakeholder Communication Plan</w:t>
        </w:r>
        <w:r>
          <w:rPr>
            <w:noProof/>
          </w:rPr>
          <w:tab/>
        </w:r>
        <w:r>
          <w:rPr>
            <w:noProof/>
          </w:rPr>
          <w:fldChar w:fldCharType="begin"/>
        </w:r>
        <w:r>
          <w:rPr>
            <w:noProof/>
          </w:rPr>
          <w:instrText xml:space="preserve"> PAGEREF _Toc237877358 \h </w:instrText>
        </w:r>
        <w:r>
          <w:rPr>
            <w:noProof/>
          </w:rPr>
        </w:r>
        <w:r>
          <w:rPr>
            <w:noProof/>
          </w:rPr>
          <w:fldChar w:fldCharType="separate"/>
        </w:r>
        <w:r>
          <w:rPr>
            <w:noProof/>
          </w:rPr>
          <w:t>12</w:t>
        </w:r>
        <w:r>
          <w:rPr>
            <w:noProof/>
          </w:rPr>
          <w:fldChar w:fldCharType="end"/>
        </w:r>
      </w:hyperlink>
    </w:p>
    <w:p w14:paraId="221BBF47" w14:textId="2BADF8D3"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59" w:history="1">
        <w:r w:rsidRPr="00487E38">
          <w:rPr>
            <w:rStyle w:val="Hyperlink"/>
            <w:noProof/>
          </w:rPr>
          <w:t>8. Allocation of Resources</w:t>
        </w:r>
        <w:r>
          <w:rPr>
            <w:noProof/>
          </w:rPr>
          <w:tab/>
        </w:r>
        <w:r>
          <w:rPr>
            <w:noProof/>
          </w:rPr>
          <w:fldChar w:fldCharType="begin"/>
        </w:r>
        <w:r>
          <w:rPr>
            <w:noProof/>
          </w:rPr>
          <w:instrText xml:space="preserve"> PAGEREF _Toc237877359 \h </w:instrText>
        </w:r>
        <w:r>
          <w:rPr>
            <w:noProof/>
          </w:rPr>
        </w:r>
        <w:r>
          <w:rPr>
            <w:noProof/>
          </w:rPr>
          <w:fldChar w:fldCharType="separate"/>
        </w:r>
        <w:r>
          <w:rPr>
            <w:noProof/>
          </w:rPr>
          <w:t>12</w:t>
        </w:r>
        <w:r>
          <w:rPr>
            <w:noProof/>
          </w:rPr>
          <w:fldChar w:fldCharType="end"/>
        </w:r>
      </w:hyperlink>
    </w:p>
    <w:p w14:paraId="1D85D22C" w14:textId="5423AD59"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60" w:history="1">
        <w:r w:rsidRPr="00487E38">
          <w:rPr>
            <w:rStyle w:val="Hyperlink"/>
            <w:noProof/>
          </w:rPr>
          <w:t>9. Risk Analysis</w:t>
        </w:r>
        <w:r>
          <w:rPr>
            <w:noProof/>
          </w:rPr>
          <w:tab/>
        </w:r>
        <w:r>
          <w:rPr>
            <w:noProof/>
          </w:rPr>
          <w:fldChar w:fldCharType="begin"/>
        </w:r>
        <w:r>
          <w:rPr>
            <w:noProof/>
          </w:rPr>
          <w:instrText xml:space="preserve"> PAGEREF _Toc237877360 \h </w:instrText>
        </w:r>
        <w:r>
          <w:rPr>
            <w:noProof/>
          </w:rPr>
        </w:r>
        <w:r>
          <w:rPr>
            <w:noProof/>
          </w:rPr>
          <w:fldChar w:fldCharType="separate"/>
        </w:r>
        <w:r>
          <w:rPr>
            <w:noProof/>
          </w:rPr>
          <w:t>13</w:t>
        </w:r>
        <w:r>
          <w:rPr>
            <w:noProof/>
          </w:rPr>
          <w:fldChar w:fldCharType="end"/>
        </w:r>
      </w:hyperlink>
    </w:p>
    <w:p w14:paraId="31DCB17C" w14:textId="4F41FC5D"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61" w:history="1">
        <w:r w:rsidRPr="00487E38">
          <w:rPr>
            <w:rStyle w:val="Hyperlink"/>
            <w:noProof/>
          </w:rPr>
          <w:t>10. Conclusion</w:t>
        </w:r>
        <w:r>
          <w:rPr>
            <w:noProof/>
          </w:rPr>
          <w:tab/>
        </w:r>
        <w:r>
          <w:rPr>
            <w:noProof/>
          </w:rPr>
          <w:fldChar w:fldCharType="begin"/>
        </w:r>
        <w:r>
          <w:rPr>
            <w:noProof/>
          </w:rPr>
          <w:instrText xml:space="preserve"> PAGEREF _Toc237877361 \h </w:instrText>
        </w:r>
        <w:r>
          <w:rPr>
            <w:noProof/>
          </w:rPr>
        </w:r>
        <w:r>
          <w:rPr>
            <w:noProof/>
          </w:rPr>
          <w:fldChar w:fldCharType="separate"/>
        </w:r>
        <w:r>
          <w:rPr>
            <w:noProof/>
          </w:rPr>
          <w:t>14</w:t>
        </w:r>
        <w:r>
          <w:rPr>
            <w:noProof/>
          </w:rPr>
          <w:fldChar w:fldCharType="end"/>
        </w:r>
      </w:hyperlink>
    </w:p>
    <w:p w14:paraId="7A91B12B" w14:textId="65B893F7" w:rsidR="00CB0925" w:rsidRDefault="00CB0925">
      <w:pPr>
        <w:pStyle w:val="TOC2"/>
        <w:tabs>
          <w:tab w:val="right" w:leader="dot" w:pos="9638"/>
        </w:tabs>
        <w:rPr>
          <w:rFonts w:asciiTheme="minorHAnsi" w:hAnsiTheme="minorHAnsi"/>
          <w:noProof/>
          <w:color w:val="auto"/>
          <w:kern w:val="2"/>
          <w:sz w:val="24"/>
          <w:szCs w:val="24"/>
          <w:lang w:val="en-GB" w:eastAsia="en-GB"/>
          <w14:ligatures w14:val="standardContextual"/>
        </w:rPr>
      </w:pPr>
      <w:hyperlink w:anchor="_Toc237877362" w:history="1">
        <w:r w:rsidRPr="00487E38">
          <w:rPr>
            <w:rStyle w:val="Hyperlink"/>
            <w:noProof/>
          </w:rPr>
          <w:t>11. References</w:t>
        </w:r>
        <w:r>
          <w:rPr>
            <w:noProof/>
          </w:rPr>
          <w:tab/>
        </w:r>
        <w:r>
          <w:rPr>
            <w:noProof/>
          </w:rPr>
          <w:fldChar w:fldCharType="begin"/>
        </w:r>
        <w:r>
          <w:rPr>
            <w:noProof/>
          </w:rPr>
          <w:instrText xml:space="preserve"> PAGEREF _Toc237877362 \h </w:instrText>
        </w:r>
        <w:r>
          <w:rPr>
            <w:noProof/>
          </w:rPr>
        </w:r>
        <w:r>
          <w:rPr>
            <w:noProof/>
          </w:rPr>
          <w:fldChar w:fldCharType="separate"/>
        </w:r>
        <w:r>
          <w:rPr>
            <w:noProof/>
          </w:rPr>
          <w:t>15</w:t>
        </w:r>
        <w:r>
          <w:rPr>
            <w:noProof/>
          </w:rPr>
          <w:fldChar w:fldCharType="end"/>
        </w:r>
      </w:hyperlink>
    </w:p>
    <w:p w14:paraId="3B638707" w14:textId="4246B7A1" w:rsidR="00197C2D" w:rsidRDefault="00197C2D" w:rsidP="00197C2D">
      <w:pPr>
        <w:rPr>
          <w:sz w:val="2"/>
          <w:szCs w:val="2"/>
        </w:rPr>
      </w:pPr>
      <w:r>
        <w:rPr>
          <w:sz w:val="2"/>
          <w:szCs w:val="2"/>
        </w:rPr>
        <w:fldChar w:fldCharType="end"/>
      </w:r>
    </w:p>
    <w:p w14:paraId="2699C54C" w14:textId="77777777" w:rsidR="00197C2D" w:rsidRDefault="00197C2D" w:rsidP="00197C2D">
      <w:pPr>
        <w:rPr>
          <w:sz w:val="2"/>
          <w:szCs w:val="2"/>
        </w:rPr>
      </w:pPr>
      <w:r>
        <w:rPr>
          <w:sz w:val="2"/>
          <w:szCs w:val="2"/>
        </w:rPr>
        <w:t>​</w:t>
      </w:r>
    </w:p>
    <w:p w14:paraId="1A41E3AD" w14:textId="7A553C83" w:rsidR="00EC07E3" w:rsidRDefault="00EC07E3" w:rsidP="00EC07E3">
      <w:pPr>
        <w:rPr>
          <w:sz w:val="2"/>
          <w:szCs w:val="2"/>
        </w:rPr>
      </w:pPr>
    </w:p>
    <w:p w14:paraId="091F0019" w14:textId="77777777" w:rsidR="00381E64" w:rsidRDefault="00000000">
      <w:pPr>
        <w:pStyle w:val="Heading1"/>
      </w:pPr>
      <w:bookmarkStart w:id="10" w:name="_Toc237877342"/>
      <w:r>
        <w:lastRenderedPageBreak/>
        <w:t>Part A – Project Proposal Poster</w:t>
      </w:r>
      <w:bookmarkEnd w:id="10"/>
    </w:p>
    <w:p w14:paraId="55C12341" w14:textId="57470B89" w:rsidR="00224D39" w:rsidRDefault="00224D39" w:rsidP="00224D39">
      <w:pPr>
        <w:rPr>
          <w:sz w:val="2"/>
          <w:szCs w:val="2"/>
        </w:rPr>
      </w:pPr>
      <w:r>
        <w:rPr>
          <w:b/>
          <w:bCs/>
          <w:noProof/>
        </w:rPr>
        <w:drawing>
          <wp:inline distT="0" distB="0" distL="0" distR="0" wp14:anchorId="03CF1ECD" wp14:editId="7DB6577B">
            <wp:extent cx="6126480" cy="8672830"/>
            <wp:effectExtent l="0" t="0" r="0" b="1270"/>
            <wp:docPr id="10399600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960069" name="Picture 1039960069"/>
                    <pic:cNvPicPr/>
                  </pic:nvPicPr>
                  <pic:blipFill>
                    <a:blip r:embed="rId8"/>
                    <a:stretch>
                      <a:fillRect/>
                    </a:stretch>
                  </pic:blipFill>
                  <pic:spPr>
                    <a:xfrm>
                      <a:off x="0" y="0"/>
                      <a:ext cx="6126480" cy="8672830"/>
                    </a:xfrm>
                    <a:prstGeom prst="rect">
                      <a:avLst/>
                    </a:prstGeom>
                  </pic:spPr>
                </pic:pic>
              </a:graphicData>
            </a:graphic>
          </wp:inline>
        </w:drawing>
      </w:r>
    </w:p>
    <w:p w14:paraId="7989D430" w14:textId="77777777" w:rsidR="00381E64" w:rsidRDefault="00000000">
      <w:pPr>
        <w:pStyle w:val="Heading1"/>
      </w:pPr>
      <w:bookmarkStart w:id="11" w:name="_Toc237358535"/>
      <w:bookmarkStart w:id="12" w:name="_Toc237874557"/>
      <w:bookmarkStart w:id="13" w:name="_Toc237875084"/>
      <w:bookmarkStart w:id="14" w:name="_Toc237875695"/>
      <w:bookmarkStart w:id="15" w:name="_Toc237877343"/>
      <w:r>
        <w:lastRenderedPageBreak/>
        <w:t>Part B – Critical Reflection Using Gibbs’ Reflective Cycle</w:t>
      </w:r>
      <w:bookmarkEnd w:id="11"/>
      <w:bookmarkEnd w:id="12"/>
      <w:bookmarkEnd w:id="13"/>
      <w:bookmarkEnd w:id="14"/>
      <w:bookmarkEnd w:id="15"/>
    </w:p>
    <w:p w14:paraId="379E2F0C" w14:textId="77777777" w:rsidR="00381E64" w:rsidRDefault="00000000">
      <w:r>
        <w:t>Gibbs’ Reflective Cycle (1988) is used to reflect on the transport hub poster presentation. The model covers description, feelings, evaluation, analysis, conclusion and action planning. It supports focused critical reflection by showing the strengths of the presentation, the areas needing improvement and the actions required to strengthen future presentations.</w:t>
      </w:r>
    </w:p>
    <w:p w14:paraId="4A7FB1B5" w14:textId="77777777" w:rsidR="00381E64" w:rsidRDefault="00000000">
      <w:pPr>
        <w:pStyle w:val="Heading2"/>
      </w:pPr>
      <w:bookmarkStart w:id="16" w:name="_Toc237358536"/>
      <w:bookmarkStart w:id="17" w:name="_Toc237874558"/>
      <w:bookmarkStart w:id="18" w:name="_Toc237875085"/>
      <w:bookmarkStart w:id="19" w:name="_Toc237875696"/>
      <w:bookmarkStart w:id="20" w:name="_Toc237877344"/>
      <w:r>
        <w:t>Description</w:t>
      </w:r>
      <w:bookmarkEnd w:id="16"/>
      <w:bookmarkEnd w:id="17"/>
      <w:bookmarkEnd w:id="18"/>
      <w:bookmarkEnd w:id="19"/>
      <w:bookmarkEnd w:id="20"/>
    </w:p>
    <w:p w14:paraId="1FD13822" w14:textId="77777777" w:rsidR="00381E64" w:rsidRDefault="00000000">
      <w:r>
        <w:t>The presentation focused on the redevelopment of the central transport hub and explained how the project would restore rail, bus and freight services while improving safety, accessibility, digital innovation, sustainability and economic growth. It used project management tools such as the Quad Chart, project triangle, risk assessment, RACI matrix, WBS, Gantt chart, quality plan and communication plan to present a structured proposal. The project was planned over 30 months with an estimated budget of £550 million, including a 10% contingency.</w:t>
      </w:r>
    </w:p>
    <w:p w14:paraId="38633FDA" w14:textId="77777777" w:rsidR="00381E64" w:rsidRDefault="00000000">
      <w:pPr>
        <w:pStyle w:val="Heading2"/>
      </w:pPr>
      <w:bookmarkStart w:id="21" w:name="_Toc237358537"/>
      <w:bookmarkStart w:id="22" w:name="_Toc237874559"/>
      <w:bookmarkStart w:id="23" w:name="_Toc237875086"/>
      <w:bookmarkStart w:id="24" w:name="_Toc237875697"/>
      <w:bookmarkStart w:id="25" w:name="_Toc237877345"/>
      <w:r>
        <w:t>Feelings</w:t>
      </w:r>
      <w:bookmarkEnd w:id="21"/>
      <w:bookmarkEnd w:id="22"/>
      <w:bookmarkEnd w:id="23"/>
      <w:bookmarkEnd w:id="24"/>
      <w:bookmarkEnd w:id="25"/>
    </w:p>
    <w:p w14:paraId="52955D52" w14:textId="77777777" w:rsidR="00381E64" w:rsidRDefault="00000000">
      <w:r>
        <w:t>Before presenting, I felt confident because the poster had been prepared thoroughly and I understood the project well. The professional design, clear title, transport imagery and blue colour scheme created a positive impression. The project-management tools also demonstrated the research and preparation completed. During the presentation, my confidence remained steady and I communicated the main purpose of the redevelopment. However, spelling and pronunciation required improvement. Some words were difficult to pronounce clearly, which affected the fluency of parts of the presentation. Despite this, I completed the presentation and communicated the main ideas effectively.</w:t>
      </w:r>
    </w:p>
    <w:p w14:paraId="4729E56F" w14:textId="77777777" w:rsidR="00381E64" w:rsidRDefault="00000000">
      <w:pPr>
        <w:pStyle w:val="Heading2"/>
      </w:pPr>
      <w:bookmarkStart w:id="26" w:name="_Toc237358538"/>
      <w:bookmarkStart w:id="27" w:name="_Toc237874560"/>
      <w:bookmarkStart w:id="28" w:name="_Toc237875087"/>
      <w:bookmarkStart w:id="29" w:name="_Toc237875698"/>
      <w:bookmarkStart w:id="30" w:name="_Toc237877346"/>
      <w:r>
        <w:t>Evaluation</w:t>
      </w:r>
      <w:bookmarkEnd w:id="26"/>
      <w:bookmarkEnd w:id="27"/>
      <w:bookmarkEnd w:id="28"/>
      <w:bookmarkEnd w:id="29"/>
      <w:bookmarkEnd w:id="30"/>
    </w:p>
    <w:p w14:paraId="2D53BA94" w14:textId="77777777" w:rsidR="00381E64" w:rsidRDefault="00000000">
      <w:r>
        <w:t>Several aspects of the presentation were successful. It explained the project objectives clearly and showed how the WBS, Gantt chart, RACI matrix and risk assessment supported delivery. The poster gave the presentation a clear structure and helped the audience understand the proposed project. However, it also contained a spelling issue and a scenario error. The introduction referred to flooding in July 2025, while the assessment brief stated that the hub closed following a structural inspection in November 2025. Some sections were also crowded with information and were difficult to read from a distance. In the verbal delivery, the tools could have been explained in greater depth rather than relying heavily on the poster.</w:t>
      </w:r>
    </w:p>
    <w:p w14:paraId="00297EC9" w14:textId="77777777" w:rsidR="00381E64" w:rsidRDefault="00000000">
      <w:pPr>
        <w:pStyle w:val="Heading2"/>
      </w:pPr>
      <w:bookmarkStart w:id="31" w:name="_Toc237358539"/>
      <w:bookmarkStart w:id="32" w:name="_Toc237874561"/>
      <w:bookmarkStart w:id="33" w:name="_Toc237875088"/>
      <w:bookmarkStart w:id="34" w:name="_Toc237875699"/>
      <w:bookmarkStart w:id="35" w:name="_Toc237877347"/>
      <w:r>
        <w:t>Analysis</w:t>
      </w:r>
      <w:bookmarkEnd w:id="31"/>
      <w:bookmarkEnd w:id="32"/>
      <w:bookmarkEnd w:id="33"/>
      <w:bookmarkEnd w:id="34"/>
      <w:bookmarkEnd w:id="35"/>
    </w:p>
    <w:p w14:paraId="52F18F47" w14:textId="77777777" w:rsidR="00381E64" w:rsidRDefault="00000000">
      <w:r>
        <w:t>This experience showed that confidence is important, but effective preparation must also include checking spelling, scenario accuracy, pronunciation and timing. A professional-looking poster can lose credibility if it contains incorrect information or spelling mistakes. Recording the presentation made it possible to listen back and identify where speech became too quick, hesitant or unclear. This demonstrated that recording is an effective reflective tool because it provides evidence of performance and highlights weaknesses that may not be noticeable during delivery.</w:t>
      </w:r>
    </w:p>
    <w:p w14:paraId="181281B8" w14:textId="09CCCE9F" w:rsidR="00381E64" w:rsidRDefault="00000000">
      <w:pPr>
        <w:pStyle w:val="Heading2"/>
      </w:pPr>
      <w:bookmarkStart w:id="36" w:name="_Toc237358540"/>
      <w:bookmarkStart w:id="37" w:name="_Toc237874562"/>
      <w:bookmarkStart w:id="38" w:name="_Toc237875089"/>
      <w:bookmarkStart w:id="39" w:name="_Toc237875700"/>
      <w:bookmarkStart w:id="40" w:name="_Toc237877348"/>
      <w:r>
        <w:t>Conclusion and Action Plan</w:t>
      </w:r>
      <w:bookmarkEnd w:id="36"/>
      <w:bookmarkEnd w:id="37"/>
      <w:bookmarkEnd w:id="38"/>
      <w:bookmarkEnd w:id="39"/>
      <w:bookmarkEnd w:id="40"/>
    </w:p>
    <w:p w14:paraId="1907396D" w14:textId="77777777" w:rsidR="00381E64" w:rsidRDefault="00000000">
      <w:r>
        <w:t xml:space="preserve">Overall, the presentation was confident and communicated the main project proposal successfully. However, spelling, pronunciation, accuracy and presentation fluency require further improvement. For future presentations, I will check the work carefully using spelling software and proofreading support from </w:t>
      </w:r>
      <w:r>
        <w:lastRenderedPageBreak/>
        <w:t>another person. Presentation practice will include recording, listening back and repeating difficult words. Rehearsing with a timer will also support slower delivery, clearer explanation and improved eye contact with the audience. Regular practice will help future presentations become clearer, more accurate and more professional.</w:t>
      </w:r>
    </w:p>
    <w:p w14:paraId="7611DF62" w14:textId="77777777" w:rsidR="00381E64" w:rsidRDefault="00000000">
      <w:pPr>
        <w:pStyle w:val="Heading1"/>
      </w:pPr>
      <w:bookmarkStart w:id="41" w:name="_Toc237358542"/>
      <w:bookmarkStart w:id="42" w:name="_Toc237874563"/>
      <w:bookmarkStart w:id="43" w:name="_Toc237875090"/>
      <w:bookmarkStart w:id="44" w:name="_Toc237875701"/>
      <w:bookmarkStart w:id="45" w:name="_Toc237877349"/>
      <w:r>
        <w:t>Part C – Project Management Plan</w:t>
      </w:r>
      <w:bookmarkEnd w:id="45"/>
    </w:p>
    <w:p w14:paraId="286F6805" w14:textId="77777777" w:rsidR="00381E64" w:rsidRDefault="00000000">
      <w:pPr>
        <w:pStyle w:val="Heading2"/>
      </w:pPr>
      <w:bookmarkStart w:id="46" w:name="_Toc237877350"/>
      <w:r>
        <w:t>1. Introduction</w:t>
      </w:r>
      <w:bookmarkEnd w:id="41"/>
      <w:bookmarkEnd w:id="42"/>
      <w:bookmarkEnd w:id="43"/>
      <w:bookmarkEnd w:id="44"/>
      <w:bookmarkEnd w:id="46"/>
    </w:p>
    <w:p w14:paraId="6FAA1719" w14:textId="77777777" w:rsidR="00381E64" w:rsidRDefault="00000000" w:rsidP="00D66F65">
      <w:r w:rsidRPr="00ED7896">
        <w:t>Closure</w:t>
      </w:r>
      <w:r>
        <w:t xml:space="preserve"> of a major metropolitan transport hub creates an urgent public service and economic </w:t>
      </w:r>
      <w:r w:rsidRPr="00ED7896">
        <w:t>problem.</w:t>
      </w:r>
      <w:r>
        <w:t xml:space="preserve"> The </w:t>
      </w:r>
      <w:r w:rsidRPr="00ED7896">
        <w:t>hub</w:t>
      </w:r>
      <w:r>
        <w:t xml:space="preserve"> supports rail, bus and freight interchange, but its ageing structure no longer meets </w:t>
      </w:r>
      <w:r>
        <w:t xml:space="preserve">safety and accessibility expectations. Closure displaces passengers, </w:t>
      </w:r>
      <w:r w:rsidRPr="00ED7896">
        <w:t>disrupts</w:t>
      </w:r>
      <w:r>
        <w:t xml:space="preserve"> logistics</w:t>
      </w:r>
      <w:r>
        <w:t xml:space="preserve">, </w:t>
      </w:r>
      <w:r w:rsidR="000014B4" w:rsidRPr="000014B4">
        <w:t xml:space="preserve">increases pressure on alternative routes, </w:t>
      </w:r>
      <w:r>
        <w:t xml:space="preserve">reduces local business activity and weakens public confidence. </w:t>
      </w:r>
      <w:r w:rsidR="000014B4" w:rsidRPr="000014B4">
        <w:t xml:space="preserve">The situation also creates a reputational risk for the client </w:t>
      </w:r>
      <w:proofErr w:type="spellStart"/>
      <w:r w:rsidR="000014B4" w:rsidRPr="000014B4">
        <w:t>organisation</w:t>
      </w:r>
      <w:proofErr w:type="spellEnd"/>
      <w:r w:rsidR="000014B4" w:rsidRPr="000014B4">
        <w:t xml:space="preserve"> because users expect safe, reliable and inclusive transport infrastructure. </w:t>
      </w:r>
      <w:r>
        <w:t xml:space="preserve">This plan recommends redevelopment </w:t>
      </w:r>
      <w:r>
        <w:t xml:space="preserve">supported by temporary </w:t>
      </w:r>
      <w:r w:rsidRPr="00ED7896">
        <w:t>operations</w:t>
      </w:r>
      <w:r>
        <w:t xml:space="preserve">, digital </w:t>
      </w:r>
      <w:proofErr w:type="spellStart"/>
      <w:r>
        <w:t>modernisation</w:t>
      </w:r>
      <w:proofErr w:type="spellEnd"/>
      <w:r>
        <w:t xml:space="preserve"> and sustainable design.</w:t>
      </w:r>
    </w:p>
    <w:p w14:paraId="3F187560" w14:textId="77777777" w:rsidR="00381E64" w:rsidRDefault="00000000" w:rsidP="00544EAD">
      <w:bookmarkStart w:id="47" w:name="_Toc237358543"/>
      <w:bookmarkStart w:id="48" w:name="_Toc237874564"/>
      <w:bookmarkStart w:id="49" w:name="_Toc237875091"/>
      <w:bookmarkStart w:id="50" w:name="_Toc237875702"/>
      <w:r w:rsidRPr="001243A5">
        <w:t xml:space="preserve">Redevelopment </w:t>
      </w:r>
      <w:r>
        <w:t xml:space="preserve">is </w:t>
      </w:r>
      <w:r>
        <w:t xml:space="preserve">the strongest </w:t>
      </w:r>
      <w:r w:rsidRPr="001243A5">
        <w:t>option because it addresses</w:t>
      </w:r>
      <w:r>
        <w:t xml:space="preserve"> the </w:t>
      </w:r>
      <w:r>
        <w:t xml:space="preserve">asset condition that caused </w:t>
      </w:r>
      <w:r>
        <w:t>closure</w:t>
      </w:r>
      <w:r w:rsidR="00D45809" w:rsidRPr="00D45809">
        <w:t xml:space="preserve"> and creates an opportunity to improve long-term performance.</w:t>
      </w:r>
      <w:r>
        <w:t xml:space="preserve"> </w:t>
      </w:r>
      <w:r w:rsidRPr="001243A5">
        <w:t>Temporary multimodal arrangements reduce disruption but cannot solve structural failure. Digital</w:t>
      </w:r>
      <w:r>
        <w:t xml:space="preserve">-only </w:t>
      </w:r>
      <w:r w:rsidRPr="001243A5">
        <w:t>or sustainability-only options</w:t>
      </w:r>
      <w:r>
        <w:t xml:space="preserve"> would improve </w:t>
      </w:r>
      <w:r w:rsidRPr="001243A5">
        <w:t>specific areas</w:t>
      </w:r>
      <w:r>
        <w:t xml:space="preserve"> but </w:t>
      </w:r>
      <w:r>
        <w:t xml:space="preserve">would not restore </w:t>
      </w:r>
      <w:r w:rsidR="00D45809" w:rsidRPr="00D45809">
        <w:t>physical capacity or remove the safety concern.</w:t>
      </w:r>
      <w:r>
        <w:t xml:space="preserve"> </w:t>
      </w:r>
      <w:r w:rsidRPr="001243A5">
        <w:t xml:space="preserve">The </w:t>
      </w:r>
      <w:r>
        <w:t xml:space="preserve">preferred project </w:t>
      </w:r>
      <w:r w:rsidRPr="001243A5">
        <w:t xml:space="preserve">therefore </w:t>
      </w:r>
      <w:r>
        <w:t xml:space="preserve">combines </w:t>
      </w:r>
      <w:r>
        <w:t>renewal</w:t>
      </w:r>
      <w:r w:rsidRPr="001243A5">
        <w:t>,</w:t>
      </w:r>
      <w:r>
        <w:t xml:space="preserve"> temporary operations, digital integration and low-carbon design</w:t>
      </w:r>
      <w:r w:rsidRPr="001243A5">
        <w:t xml:space="preserve"> within one accountable </w:t>
      </w:r>
      <w:proofErr w:type="spellStart"/>
      <w:r w:rsidRPr="001243A5">
        <w:t>programme</w:t>
      </w:r>
      <w:proofErr w:type="spellEnd"/>
      <w:r w:rsidRPr="001243A5">
        <w:t>.</w:t>
      </w:r>
      <w:r w:rsidR="00D45809" w:rsidRPr="00D45809">
        <w:t xml:space="preserve"> This option is more complex than a short-term repair, but it provides greater value because it links reopening with resilience, accessibility and future operational efficiency.</w:t>
      </w:r>
    </w:p>
    <w:p w14:paraId="6FBEBF4B" w14:textId="77777777" w:rsidR="00381E64" w:rsidRDefault="00000000" w:rsidP="00515109">
      <w:r w:rsidRPr="003D10D7">
        <w:t>A</w:t>
      </w:r>
      <w:r>
        <w:t xml:space="preserve"> hybrid delivery approach</w:t>
      </w:r>
      <w:r w:rsidRPr="003D10D7">
        <w:t xml:space="preserve"> will be used. Stage</w:t>
      </w:r>
      <w:r>
        <w:t xml:space="preserve">-gate controls </w:t>
      </w:r>
      <w:r w:rsidRPr="003D10D7">
        <w:t>suit</w:t>
      </w:r>
      <w:r>
        <w:t xml:space="preserve"> safety-critical infrastructure because design, consent, procurement and construction </w:t>
      </w:r>
      <w:r>
        <w:t>require formal approval</w:t>
      </w:r>
      <w:r w:rsidR="00852647" w:rsidRPr="00852647">
        <w:t xml:space="preserve"> before resources are committed. This protects the client from moving into construction before surveys, approvals and cost checks are complete.</w:t>
      </w:r>
      <w:r w:rsidRPr="003D10D7">
        <w:t xml:space="preserve"> Iterative</w:t>
      </w:r>
      <w:r>
        <w:t xml:space="preserve"> methods </w:t>
      </w:r>
      <w:r w:rsidRPr="003D10D7">
        <w:t>suit</w:t>
      </w:r>
      <w:r>
        <w:t xml:space="preserve"> passenger information</w:t>
      </w:r>
      <w:r w:rsidRPr="003D10D7">
        <w:t>,</w:t>
      </w:r>
      <w:r>
        <w:t xml:space="preserve"> logistics tools and user testing because requirements may develop </w:t>
      </w:r>
      <w:r w:rsidRPr="003D10D7">
        <w:t>through feedback</w:t>
      </w:r>
      <w:r w:rsidR="00852647" w:rsidRPr="00852647">
        <w:t xml:space="preserve"> from operators, passengers and accessibility groups.</w:t>
      </w:r>
      <w:r>
        <w:t xml:space="preserve"> This </w:t>
      </w:r>
      <w:r w:rsidRPr="003D10D7">
        <w:t>reflects project management guidance that methods should match project complexity</w:t>
      </w:r>
      <w:r w:rsidR="00852647" w:rsidRPr="00852647">
        <w:t>, uncertainty and stakeholder needs</w:t>
      </w:r>
      <w:r w:rsidRPr="003D10D7">
        <w:t xml:space="preserve"> (APM, 2019; PMI, 2021; Turner, 2014).</w:t>
      </w:r>
    </w:p>
    <w:p w14:paraId="657CA572" w14:textId="77777777" w:rsidR="00381E64" w:rsidRDefault="00000000">
      <w:pPr>
        <w:pStyle w:val="Heading2"/>
      </w:pPr>
      <w:bookmarkStart w:id="51" w:name="_Toc237877351"/>
      <w:r>
        <w:t>2. Project Description</w:t>
      </w:r>
      <w:bookmarkEnd w:id="47"/>
      <w:bookmarkEnd w:id="48"/>
      <w:bookmarkEnd w:id="49"/>
      <w:bookmarkEnd w:id="50"/>
      <w:bookmarkEnd w:id="51"/>
    </w:p>
    <w:p w14:paraId="79E3F96D" w14:textId="77777777" w:rsidR="00381E64" w:rsidRDefault="00000000">
      <w:r>
        <w:t>The project will replace or strengthen unsafe structural elements, reorganise interchange movements, provide step-free inclusive access, modernise passenger information and freight coordination, improve energy performance and reopen the hub through staged commissioning. The indicative control budget is £550 million, including a 10% contingency, and the baseline duration is 30 months. A Project Board, chaired by the Senior Responsible Owner, will approve gateways, changes above tolerance and benefits decisions.</w:t>
      </w:r>
    </w:p>
    <w:p w14:paraId="04A195EE" w14:textId="77777777" w:rsidR="00381E64" w:rsidRDefault="00000000" w:rsidP="00027497">
      <w:r>
        <w:t xml:space="preserve">The project aim is to restore a safe, accessible, resilient and digitally enabled central interchange that supports metropolitan mobility, freight reliability and inclusive economic recovery. The main objectives are to complete concept approval by month 4, detailed design by month 10, main construction by month 24 </w:t>
      </w:r>
      <w:r>
        <w:t xml:space="preserve">and operational handover by month 30. The project will also deliver the approved scope within the £550 million control budget. It will achieve full step-free </w:t>
      </w:r>
      <w:r w:rsidR="009F43A9" w:rsidRPr="009F43A9">
        <w:t>access along</w:t>
      </w:r>
      <w:r>
        <w:t xml:space="preserve"> designated passenger routes, restore agreed rail, bus and freight throughput, integrate tested digital systems and reduce operational carbon </w:t>
      </w:r>
      <w:r w:rsidR="009F43A9" w:rsidRPr="009F43A9">
        <w:t xml:space="preserve">emissions </w:t>
      </w:r>
      <w:r>
        <w:t>compared with the pre-closure baseline.</w:t>
      </w:r>
    </w:p>
    <w:p w14:paraId="1970726E" w14:textId="77777777" w:rsidR="00381E64" w:rsidRDefault="00000000" w:rsidP="00405E8B">
      <w:r>
        <w:lastRenderedPageBreak/>
        <w:t xml:space="preserve">Governance will be led by a Project Board chaired by the Senior Responsible Owner. The Board will approve the business case, </w:t>
      </w:r>
      <w:r w:rsidRPr="00E37883">
        <w:t>gateways, major</w:t>
      </w:r>
      <w:r>
        <w:t xml:space="preserve"> changes and benefits strategy. The project manager will coordinate scope, schedule, cost, quality, risk, communications and procurement</w:t>
      </w:r>
      <w:r w:rsidR="00AA7398" w:rsidRPr="00AA7398">
        <w:t xml:space="preserve"> so that decisions are based on one integrated view of progress.</w:t>
      </w:r>
      <w:r>
        <w:t xml:space="preserve"> Technical leads will </w:t>
      </w:r>
      <w:r w:rsidRPr="00E37883">
        <w:t>manage</w:t>
      </w:r>
      <w:r>
        <w:t xml:space="preserve"> structural design, </w:t>
      </w:r>
      <w:r>
        <w:t>operations, digital systems, environment and accessibility</w:t>
      </w:r>
      <w:r w:rsidRPr="00E37883">
        <w:t>, supported by independent</w:t>
      </w:r>
      <w:r>
        <w:t xml:space="preserve"> assurance</w:t>
      </w:r>
      <w:r w:rsidRPr="00E37883">
        <w:t>.</w:t>
      </w:r>
      <w:r>
        <w:t xml:space="preserve"> Clear </w:t>
      </w:r>
      <w:r w:rsidRPr="00E37883">
        <w:t xml:space="preserve">accountability reduces the risk of delay, overspend and weak decision-making </w:t>
      </w:r>
      <w:r w:rsidR="00AA7398" w:rsidRPr="00AA7398">
        <w:t xml:space="preserve">because each workstream has an owner, escalation route and approval threshold </w:t>
      </w:r>
      <w:r w:rsidRPr="00E37883">
        <w:t>(Too and Weaver, 2014; Müller, 2009; Flyvbjerg, 2014).</w:t>
      </w:r>
    </w:p>
    <w:p w14:paraId="748FA8FF" w14:textId="77777777" w:rsidR="00381E64" w:rsidRDefault="00000000">
      <w:pPr>
        <w:pStyle w:val="Caption"/>
        <w:keepNext/>
      </w:pPr>
      <w:r>
        <w:rPr>
          <w:color w:val="17365D"/>
        </w:rPr>
        <w:t>Figure 1. RACI Matrix</w:t>
      </w:r>
    </w:p>
    <w:p w14:paraId="465336BF" w14:textId="77777777" w:rsidR="00381E64" w:rsidRDefault="00000000">
      <w:pPr>
        <w:spacing w:after="160"/>
        <w:jc w:val="center"/>
      </w:pPr>
      <w:r>
        <w:rPr>
          <w:noProof/>
        </w:rPr>
        <w:drawing>
          <wp:inline distT="0" distB="0" distL="0" distR="0" wp14:anchorId="2AC6E932" wp14:editId="2BECFC8E">
            <wp:extent cx="6126480" cy="34461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png"/>
                    <pic:cNvPicPr/>
                  </pic:nvPicPr>
                  <pic:blipFill>
                    <a:blip r:embed="rId9"/>
                    <a:stretch>
                      <a:fillRect/>
                    </a:stretch>
                  </pic:blipFill>
                  <pic:spPr>
                    <a:xfrm>
                      <a:off x="0" y="0"/>
                      <a:ext cx="6126480" cy="3446145"/>
                    </a:xfrm>
                    <a:prstGeom prst="rect">
                      <a:avLst/>
                    </a:prstGeom>
                  </pic:spPr>
                </pic:pic>
              </a:graphicData>
            </a:graphic>
          </wp:inline>
        </w:drawing>
      </w:r>
    </w:p>
    <w:p w14:paraId="132E2C98" w14:textId="77777777" w:rsidR="00381E64" w:rsidRDefault="00000000" w:rsidP="00EA6DDE">
      <w:bookmarkStart w:id="52" w:name="_Toc237358544"/>
      <w:bookmarkStart w:id="53" w:name="_Toc237874565"/>
      <w:bookmarkStart w:id="54" w:name="_Toc237875092"/>
      <w:bookmarkStart w:id="55" w:name="_Toc237875703"/>
      <w:r>
        <w:rPr>
          <w:b/>
          <w:bCs/>
        </w:rPr>
        <w:t xml:space="preserve">RACI </w:t>
      </w:r>
      <w:r w:rsidR="00F51AD0" w:rsidRPr="00F51AD0">
        <w:rPr>
          <w:b/>
          <w:bCs/>
        </w:rPr>
        <w:t>summary:</w:t>
      </w:r>
      <w:r w:rsidR="00F51AD0" w:rsidRPr="00F51AD0">
        <w:t xml:space="preserve"> For the business</w:t>
      </w:r>
      <w:r>
        <w:t xml:space="preserve"> case and gateways</w:t>
      </w:r>
      <w:r w:rsidR="00F51AD0" w:rsidRPr="00F51AD0">
        <w:t>, the</w:t>
      </w:r>
      <w:r>
        <w:t xml:space="preserve"> SRO </w:t>
      </w:r>
      <w:r w:rsidR="00F51AD0" w:rsidRPr="00F51AD0">
        <w:t xml:space="preserve">is </w:t>
      </w:r>
      <w:r>
        <w:t xml:space="preserve">accountable, </w:t>
      </w:r>
      <w:r w:rsidR="00F51AD0" w:rsidRPr="00F51AD0">
        <w:t xml:space="preserve">the </w:t>
      </w:r>
      <w:r>
        <w:t xml:space="preserve">Project Manager </w:t>
      </w:r>
      <w:r w:rsidR="00F51AD0" w:rsidRPr="00F51AD0">
        <w:t xml:space="preserve">is </w:t>
      </w:r>
      <w:r>
        <w:t xml:space="preserve">responsible, </w:t>
      </w:r>
      <w:r w:rsidR="00F51AD0" w:rsidRPr="00F51AD0">
        <w:t xml:space="preserve">the </w:t>
      </w:r>
      <w:r>
        <w:t xml:space="preserve">technical lead </w:t>
      </w:r>
      <w:r w:rsidR="00F51AD0" w:rsidRPr="00F51AD0">
        <w:t xml:space="preserve">and stakeholders are </w:t>
      </w:r>
      <w:r>
        <w:t xml:space="preserve">consulted, </w:t>
      </w:r>
      <w:r w:rsidR="00F51AD0" w:rsidRPr="00F51AD0">
        <w:t xml:space="preserve">and the </w:t>
      </w:r>
      <w:r>
        <w:t xml:space="preserve">contractor </w:t>
      </w:r>
      <w:r w:rsidR="00F51AD0" w:rsidRPr="00F51AD0">
        <w:t xml:space="preserve">is </w:t>
      </w:r>
      <w:r>
        <w:t>informed</w:t>
      </w:r>
      <w:r w:rsidR="00F51AD0" w:rsidRPr="00F51AD0">
        <w:t>. For design</w:t>
      </w:r>
      <w:r>
        <w:t xml:space="preserve"> assurance</w:t>
      </w:r>
      <w:r w:rsidR="00F51AD0" w:rsidRPr="00F51AD0">
        <w:t>, the</w:t>
      </w:r>
      <w:r>
        <w:t xml:space="preserve"> SRO </w:t>
      </w:r>
      <w:r w:rsidR="00F51AD0" w:rsidRPr="00F51AD0">
        <w:t xml:space="preserve">is </w:t>
      </w:r>
      <w:r>
        <w:t xml:space="preserve">accountable, </w:t>
      </w:r>
      <w:r w:rsidR="00F51AD0" w:rsidRPr="00F51AD0">
        <w:t xml:space="preserve">while the </w:t>
      </w:r>
      <w:r>
        <w:t xml:space="preserve">Project Manager and technical lead </w:t>
      </w:r>
      <w:r w:rsidR="00F51AD0" w:rsidRPr="00F51AD0">
        <w:t xml:space="preserve">are </w:t>
      </w:r>
      <w:r>
        <w:t xml:space="preserve">responsible. </w:t>
      </w:r>
      <w:r w:rsidR="00F51AD0" w:rsidRPr="00F51AD0">
        <w:t>For construction</w:t>
      </w:r>
      <w:r>
        <w:t xml:space="preserve"> delivery</w:t>
      </w:r>
      <w:r w:rsidR="00F51AD0" w:rsidRPr="00F51AD0">
        <w:t>, the</w:t>
      </w:r>
      <w:r>
        <w:t xml:space="preserve"> Project Manager </w:t>
      </w:r>
      <w:r w:rsidR="00F51AD0" w:rsidRPr="00F51AD0">
        <w:t xml:space="preserve">is </w:t>
      </w:r>
      <w:r>
        <w:t xml:space="preserve">accountable, </w:t>
      </w:r>
      <w:r w:rsidR="00F51AD0" w:rsidRPr="00F51AD0">
        <w:t xml:space="preserve">the </w:t>
      </w:r>
      <w:r>
        <w:t xml:space="preserve">contractor </w:t>
      </w:r>
      <w:r w:rsidR="00F51AD0" w:rsidRPr="00F51AD0">
        <w:t xml:space="preserve">is </w:t>
      </w:r>
      <w:r>
        <w:t>responsible</w:t>
      </w:r>
      <w:r w:rsidR="00F51AD0" w:rsidRPr="00F51AD0">
        <w:t xml:space="preserve"> and the</w:t>
      </w:r>
      <w:r>
        <w:t xml:space="preserve"> technical lead </w:t>
      </w:r>
      <w:r w:rsidR="00F51AD0" w:rsidRPr="00F51AD0">
        <w:t xml:space="preserve">is </w:t>
      </w:r>
      <w:r>
        <w:t xml:space="preserve">consulted. </w:t>
      </w:r>
      <w:r w:rsidR="00F51AD0" w:rsidRPr="00F51AD0">
        <w:t>For stakeholder</w:t>
      </w:r>
      <w:r>
        <w:t xml:space="preserve"> communication</w:t>
      </w:r>
      <w:r w:rsidR="00F51AD0" w:rsidRPr="00F51AD0">
        <w:t>, the</w:t>
      </w:r>
      <w:r>
        <w:t xml:space="preserve"> SRO </w:t>
      </w:r>
      <w:r w:rsidR="00F51AD0" w:rsidRPr="00F51AD0">
        <w:t xml:space="preserve">is </w:t>
      </w:r>
      <w:r>
        <w:t xml:space="preserve">accountable, </w:t>
      </w:r>
      <w:r w:rsidR="00F51AD0" w:rsidRPr="00F51AD0">
        <w:t xml:space="preserve">the </w:t>
      </w:r>
      <w:r>
        <w:t xml:space="preserve">Project Manager </w:t>
      </w:r>
      <w:r w:rsidR="00F51AD0" w:rsidRPr="00F51AD0">
        <w:t xml:space="preserve">is </w:t>
      </w:r>
      <w:r>
        <w:t>responsible</w:t>
      </w:r>
      <w:r w:rsidR="00F51AD0" w:rsidRPr="00F51AD0">
        <w:t xml:space="preserve"> and</w:t>
      </w:r>
      <w:r>
        <w:t xml:space="preserve"> stakeholders </w:t>
      </w:r>
      <w:r w:rsidR="00F51AD0" w:rsidRPr="00F51AD0">
        <w:t xml:space="preserve">are </w:t>
      </w:r>
      <w:r>
        <w:t xml:space="preserve">consulted. </w:t>
      </w:r>
      <w:r w:rsidR="00F51AD0" w:rsidRPr="00F51AD0">
        <w:t>For operational</w:t>
      </w:r>
      <w:r>
        <w:t xml:space="preserve"> handover</w:t>
      </w:r>
      <w:r w:rsidR="00F51AD0" w:rsidRPr="00F51AD0">
        <w:t>, the</w:t>
      </w:r>
      <w:r>
        <w:t xml:space="preserve"> SRO </w:t>
      </w:r>
      <w:r w:rsidR="00F51AD0" w:rsidRPr="00F51AD0">
        <w:t xml:space="preserve">is </w:t>
      </w:r>
      <w:r>
        <w:t xml:space="preserve">accountable, </w:t>
      </w:r>
      <w:r w:rsidR="00F51AD0" w:rsidRPr="00F51AD0">
        <w:t xml:space="preserve">while the </w:t>
      </w:r>
      <w:r>
        <w:t xml:space="preserve">Project Manager and contractor </w:t>
      </w:r>
      <w:r w:rsidR="00F51AD0" w:rsidRPr="00F51AD0">
        <w:t xml:space="preserve">are </w:t>
      </w:r>
      <w:r>
        <w:t>responsible.</w:t>
      </w:r>
    </w:p>
    <w:p w14:paraId="01681DD3" w14:textId="1AF25B36" w:rsidR="00381E64" w:rsidRDefault="00000000">
      <w:pPr>
        <w:pStyle w:val="Heading2"/>
      </w:pPr>
      <w:bookmarkStart w:id="56" w:name="_Toc237877352"/>
      <w:r>
        <w:t>2.1 Project Triangle</w:t>
      </w:r>
      <w:bookmarkEnd w:id="52"/>
      <w:bookmarkEnd w:id="53"/>
      <w:bookmarkEnd w:id="54"/>
      <w:bookmarkEnd w:id="55"/>
      <w:bookmarkEnd w:id="56"/>
    </w:p>
    <w:p w14:paraId="124CD25D" w14:textId="77777777" w:rsidR="00381E64" w:rsidRDefault="00000000">
      <w:r>
        <w:t>The project triangle shows the relationship between time, cost and scope/quality. For this redevelopment, the baseline is a 30-month schedule, a £550 million budget and a defined scope covering structural renewal, accessibility, digital systems, temporary arrangements and handover.</w:t>
      </w:r>
    </w:p>
    <w:p w14:paraId="282F01CB" w14:textId="77777777" w:rsidR="00381E64" w:rsidRDefault="00000000">
      <w:pPr>
        <w:pStyle w:val="Caption"/>
        <w:keepNext/>
      </w:pPr>
      <w:r>
        <w:rPr>
          <w:color w:val="17365D"/>
        </w:rPr>
        <w:lastRenderedPageBreak/>
        <w:t>Figure 2. Project Triangle</w:t>
      </w:r>
    </w:p>
    <w:p w14:paraId="0E808C53" w14:textId="77777777" w:rsidR="00381E64" w:rsidRDefault="00000000" w:rsidP="00880F3B">
      <w:r>
        <w:rPr>
          <w:noProof/>
        </w:rPr>
        <w:drawing>
          <wp:inline distT="0" distB="0" distL="0" distR="0" wp14:anchorId="7493F356" wp14:editId="274B664B">
            <wp:extent cx="6126480" cy="3446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png"/>
                    <pic:cNvPicPr/>
                  </pic:nvPicPr>
                  <pic:blipFill>
                    <a:blip r:embed="rId10"/>
                    <a:stretch>
                      <a:fillRect/>
                    </a:stretch>
                  </pic:blipFill>
                  <pic:spPr>
                    <a:xfrm>
                      <a:off x="0" y="0"/>
                      <a:ext cx="6126480" cy="3446145"/>
                    </a:xfrm>
                    <a:prstGeom prst="rect">
                      <a:avLst/>
                    </a:prstGeom>
                  </pic:spPr>
                </pic:pic>
              </a:graphicData>
            </a:graphic>
          </wp:inline>
        </w:drawing>
      </w:r>
    </w:p>
    <w:p w14:paraId="359B3237" w14:textId="77777777" w:rsidR="002A6AC8" w:rsidRDefault="002A6AC8">
      <w:pPr>
        <w:jc w:val="center"/>
        <w:rPr>
          <w:lang w:val="en-GB" w:eastAsia="en-GB"/>
        </w:rPr>
      </w:pPr>
      <w:r>
        <w:rPr>
          <w:b/>
          <w:bCs/>
        </w:rPr>
        <w:t>TIME</w:t>
      </w:r>
      <w:r>
        <w:br/>
        <w:t>30-month baseline</w:t>
      </w:r>
      <w:r>
        <w:br/>
        <w:t>Gateway schedule and commissioning milestones</w:t>
      </w:r>
      <w:r>
        <w:br/>
      </w:r>
      <w:r>
        <w:br/>
      </w:r>
      <w:r>
        <w:rPr>
          <w:b/>
          <w:bCs/>
        </w:rPr>
        <w:t>COST</w:t>
      </w:r>
      <w:r>
        <w:br/>
        <w:t>£550 million control budget including contingency</w:t>
      </w:r>
      <w:r>
        <w:br/>
      </w:r>
      <w:r>
        <w:br/>
      </w:r>
      <w:r>
        <w:rPr>
          <w:b/>
          <w:bCs/>
        </w:rPr>
        <w:t>SCOPE / QUALITY</w:t>
      </w:r>
      <w:r>
        <w:br/>
        <w:t>Safe redevelopment, inclusive access, digital systems and sustainable operation</w:t>
      </w:r>
    </w:p>
    <w:p w14:paraId="64EADFAB" w14:textId="77777777" w:rsidR="00381E64" w:rsidRDefault="00000000">
      <w:r>
        <w:t>The triangle supports change control by showing that any change to time, cost or scope has consequences for the other two areas. This helps the Project Board assess trade-offs before approving changes.</w:t>
      </w:r>
    </w:p>
    <w:p w14:paraId="21938BB0" w14:textId="77777777" w:rsidR="00381E64" w:rsidRDefault="00000000">
      <w:pPr>
        <w:pStyle w:val="Heading2"/>
      </w:pPr>
      <w:bookmarkStart w:id="57" w:name="_Toc237358545"/>
      <w:bookmarkStart w:id="58" w:name="_Toc237874566"/>
      <w:bookmarkStart w:id="59" w:name="_Toc237875093"/>
      <w:bookmarkStart w:id="60" w:name="_Toc237875704"/>
      <w:bookmarkStart w:id="61" w:name="_Toc237877353"/>
      <w:r>
        <w:t>3. Scope</w:t>
      </w:r>
      <w:bookmarkEnd w:id="57"/>
      <w:bookmarkEnd w:id="58"/>
      <w:bookmarkEnd w:id="59"/>
      <w:bookmarkEnd w:id="60"/>
      <w:bookmarkEnd w:id="61"/>
    </w:p>
    <w:p w14:paraId="346291AA" w14:textId="77777777" w:rsidR="00381E64" w:rsidRDefault="00000000">
      <w:r>
        <w:t>The project scope includes feasibility studies, stakeholder consultation, design, procurement, site preparation, structural redevelopment, rail, bus and freight interchange works, passenger facilities, accessibility upgrades and digital modernisation. It also includes smart ticketing, real-time passenger information, energy-efficient systems, safety inspections, testing, staff training and final handover.</w:t>
      </w:r>
    </w:p>
    <w:p w14:paraId="447AFF79" w14:textId="77777777" w:rsidR="00381E64" w:rsidRDefault="00000000">
      <w:r>
        <w:t>The project boundaries exclude unrelated city-wide transport upgrades, private commercial or residential development outside the hub boundary, and long-term transport operations after handover. Temporary transport arrangements will support continuity during construction, but they will remain a supporting activity rather than part of the permanent scope. These boundaries help control cost, time and quality while reducing the risk of uncontrolled scope growth.</w:t>
      </w:r>
    </w:p>
    <w:p w14:paraId="3DA7A132" w14:textId="77777777" w:rsidR="00381E64" w:rsidRDefault="00000000">
      <w:pPr>
        <w:pStyle w:val="Heading2"/>
      </w:pPr>
      <w:bookmarkStart w:id="62" w:name="_Toc237358546"/>
      <w:bookmarkStart w:id="63" w:name="_Toc237874567"/>
      <w:bookmarkStart w:id="64" w:name="_Toc237875094"/>
      <w:bookmarkStart w:id="65" w:name="_Toc237875705"/>
      <w:bookmarkStart w:id="66" w:name="_Toc237877354"/>
      <w:r>
        <w:t>4. Work Breakdown Structure</w:t>
      </w:r>
      <w:bookmarkEnd w:id="62"/>
      <w:bookmarkEnd w:id="63"/>
      <w:bookmarkEnd w:id="64"/>
      <w:bookmarkEnd w:id="65"/>
      <w:bookmarkEnd w:id="66"/>
    </w:p>
    <w:p w14:paraId="472AFFBB" w14:textId="77777777" w:rsidR="00381E64" w:rsidRDefault="00000000" w:rsidP="00E21919">
      <w:r>
        <w:t xml:space="preserve">The WBS </w:t>
      </w:r>
      <w:r w:rsidRPr="0079043D">
        <w:t>links</w:t>
      </w:r>
      <w:r>
        <w:t xml:space="preserve"> strategy </w:t>
      </w:r>
      <w:r w:rsidRPr="0079043D">
        <w:t>to</w:t>
      </w:r>
      <w:r>
        <w:t xml:space="preserve"> delivery</w:t>
      </w:r>
      <w:r w:rsidRPr="0079043D">
        <w:t xml:space="preserve"> by breaking</w:t>
      </w:r>
      <w:r>
        <w:t xml:space="preserve"> the project into deliverable groups </w:t>
      </w:r>
      <w:r w:rsidRPr="0079043D">
        <w:t xml:space="preserve">with assigned </w:t>
      </w:r>
      <w:r>
        <w:t>responsibility, budget, schedule and quality criteria</w:t>
      </w:r>
      <w:r w:rsidRPr="0079043D">
        <w:t>.</w:t>
      </w:r>
      <w:r>
        <w:t xml:space="preserve"> Each work package will have an owner, </w:t>
      </w:r>
      <w:r>
        <w:t xml:space="preserve">duration, </w:t>
      </w:r>
      <w:r>
        <w:lastRenderedPageBreak/>
        <w:t xml:space="preserve">dependencies, inspection points and acceptance evidence. </w:t>
      </w:r>
      <w:r w:rsidR="0069354D" w:rsidRPr="0069354D">
        <w:t xml:space="preserve">This makes it easier to connect progress reporting with real outputs such as completed surveys, approved designs, finished enabling works, installed systems and accepted handover documents. </w:t>
      </w:r>
      <w:r w:rsidRPr="0079043D">
        <w:t>Reporting</w:t>
      </w:r>
      <w:r>
        <w:t xml:space="preserve"> will </w:t>
      </w:r>
      <w:r>
        <w:t>focus on completed outputs rather than general activity</w:t>
      </w:r>
      <w:r w:rsidRPr="0079043D">
        <w:t>, giving</w:t>
      </w:r>
      <w:r>
        <w:t xml:space="preserve"> stakeholders </w:t>
      </w:r>
      <w:r>
        <w:t xml:space="preserve">reliable evidence </w:t>
      </w:r>
      <w:r w:rsidRPr="0079043D">
        <w:t>of progress</w:t>
      </w:r>
      <w:r>
        <w:t xml:space="preserve"> towards reopening </w:t>
      </w:r>
      <w:r>
        <w:t>(PMI, 2021; Winch, 2010).</w:t>
      </w:r>
    </w:p>
    <w:p w14:paraId="3DAE138C" w14:textId="77777777" w:rsidR="00381E64" w:rsidRDefault="00000000">
      <w:pPr>
        <w:pStyle w:val="Caption"/>
        <w:keepNext/>
      </w:pPr>
      <w:r>
        <w:rPr>
          <w:color w:val="17365D"/>
        </w:rPr>
        <w:t>Figure 3. Work Breakdown Structure</w:t>
      </w:r>
    </w:p>
    <w:p w14:paraId="6D39E234" w14:textId="77777777" w:rsidR="00381E64" w:rsidRDefault="00000000" w:rsidP="00446446">
      <w:bookmarkStart w:id="67" w:name="_Toc237358547"/>
      <w:r>
        <w:rPr>
          <w:noProof/>
        </w:rPr>
        <w:drawing>
          <wp:inline distT="0" distB="0" distL="0" distR="0" wp14:anchorId="60A7D774" wp14:editId="0145F2A0">
            <wp:extent cx="6126480" cy="34461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png"/>
                    <pic:cNvPicPr/>
                  </pic:nvPicPr>
                  <pic:blipFill>
                    <a:blip r:embed="rId11"/>
                    <a:stretch>
                      <a:fillRect/>
                    </a:stretch>
                  </pic:blipFill>
                  <pic:spPr>
                    <a:xfrm>
                      <a:off x="0" y="0"/>
                      <a:ext cx="6126480" cy="3446145"/>
                    </a:xfrm>
                    <a:prstGeom prst="rect">
                      <a:avLst/>
                    </a:prstGeom>
                  </pic:spPr>
                </pic:pic>
              </a:graphicData>
            </a:graphic>
          </wp:inline>
        </w:drawing>
      </w:r>
    </w:p>
    <w:p w14:paraId="189DA1B8" w14:textId="77777777" w:rsidR="00381E64" w:rsidRDefault="00000000" w:rsidP="00B1681F">
      <w:bookmarkStart w:id="68" w:name="_Toc237874568"/>
      <w:bookmarkStart w:id="69" w:name="_Toc237875095"/>
      <w:bookmarkStart w:id="70" w:name="_Toc237875706"/>
      <w:r>
        <w:rPr>
          <w:b/>
          <w:bCs/>
        </w:rPr>
        <w:t xml:space="preserve">WBS </w:t>
      </w:r>
      <w:r w:rsidR="001D751F" w:rsidRPr="001D751F">
        <w:rPr>
          <w:b/>
          <w:bCs/>
        </w:rPr>
        <w:t>summary</w:t>
      </w:r>
      <w:r>
        <w:rPr>
          <w:b/>
          <w:bCs/>
        </w:rPr>
        <w:t>:</w:t>
      </w:r>
      <w:r>
        <w:t xml:space="preserve"> 1. Governance and assurance; 2. Design and consents; 3. Enabling and temporary transport works; 4. Structural redevelopment and interchange construction; 5. Digital systems and logistics coordination; </w:t>
      </w:r>
      <w:r w:rsidR="001D751F" w:rsidRPr="001D751F">
        <w:t xml:space="preserve">and </w:t>
      </w:r>
      <w:r>
        <w:t>6. Testing, training, commissioning and handover.</w:t>
      </w:r>
    </w:p>
    <w:p w14:paraId="1AABF30E" w14:textId="77777777" w:rsidR="00381E64" w:rsidRDefault="00000000">
      <w:pPr>
        <w:pStyle w:val="Heading2"/>
      </w:pPr>
      <w:bookmarkStart w:id="71" w:name="_Toc237877355"/>
      <w:r>
        <w:t>5. Quad Chart</w:t>
      </w:r>
      <w:bookmarkEnd w:id="67"/>
      <w:bookmarkEnd w:id="68"/>
      <w:bookmarkEnd w:id="69"/>
      <w:bookmarkEnd w:id="70"/>
      <w:bookmarkEnd w:id="71"/>
    </w:p>
    <w:p w14:paraId="519824DF" w14:textId="77777777" w:rsidR="00381E64" w:rsidRDefault="00000000">
      <w:r>
        <w:t>The Quad Chart acts as a concise governance tool, summarising the project need, proposed approach, success measures, risks and decisions required from senior stakeholders.</w:t>
      </w:r>
    </w:p>
    <w:p w14:paraId="54CB4F1C" w14:textId="77777777" w:rsidR="00381E64" w:rsidRDefault="00000000">
      <w:pPr>
        <w:pStyle w:val="Caption"/>
        <w:keepNext/>
      </w:pPr>
      <w:r>
        <w:rPr>
          <w:color w:val="17365D"/>
        </w:rPr>
        <w:lastRenderedPageBreak/>
        <w:t>Figure 4. Project Quad Chart</w:t>
      </w:r>
    </w:p>
    <w:p w14:paraId="338F28B6" w14:textId="77777777" w:rsidR="00381E64" w:rsidRDefault="00000000" w:rsidP="005C3534">
      <w:bookmarkStart w:id="72" w:name="_Toc237358548"/>
      <w:r>
        <w:rPr>
          <w:noProof/>
        </w:rPr>
        <w:drawing>
          <wp:inline distT="0" distB="0" distL="0" distR="0" wp14:anchorId="1619AA95" wp14:editId="6DF5848B">
            <wp:extent cx="6126480" cy="34461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png"/>
                    <pic:cNvPicPr/>
                  </pic:nvPicPr>
                  <pic:blipFill>
                    <a:blip r:embed="rId12"/>
                    <a:stretch>
                      <a:fillRect/>
                    </a:stretch>
                  </pic:blipFill>
                  <pic:spPr>
                    <a:xfrm>
                      <a:off x="0" y="0"/>
                      <a:ext cx="6126480" cy="3446145"/>
                    </a:xfrm>
                    <a:prstGeom prst="rect">
                      <a:avLst/>
                    </a:prstGeom>
                  </pic:spPr>
                </pic:pic>
              </a:graphicData>
            </a:graphic>
          </wp:inline>
        </w:drawing>
      </w:r>
    </w:p>
    <w:tbl>
      <w:tblPr>
        <w:tblStyle w:val="GridTable4-Accent1"/>
        <w:tblW w:w="5000" w:type="pct"/>
        <w:tblLook w:val="04A0" w:firstRow="1" w:lastRow="0" w:firstColumn="1" w:lastColumn="0" w:noHBand="0" w:noVBand="1"/>
      </w:tblPr>
      <w:tblGrid>
        <w:gridCol w:w="4999"/>
        <w:gridCol w:w="4639"/>
      </w:tblGrid>
      <w:tr w:rsidR="002A6AC8" w14:paraId="0B1F3CF7"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8756A4" w14:textId="77777777" w:rsidR="002A6AC8" w:rsidRDefault="002A6AC8">
            <w:pPr>
              <w:rPr>
                <w:lang w:val="en-GB" w:eastAsia="en-GB"/>
              </w:rPr>
            </w:pPr>
            <w:r>
              <w:t>Need</w:t>
            </w:r>
            <w:r>
              <w:br/>
              <w:t>Closed ageing hub, safety risk, commuter disruption and freight delay.</w:t>
            </w:r>
          </w:p>
        </w:tc>
        <w:tc>
          <w:tcPr>
            <w:tcW w:w="0" w:type="auto"/>
            <w:hideMark/>
          </w:tcPr>
          <w:p w14:paraId="3713BBFA" w14:textId="77777777" w:rsidR="002A6AC8" w:rsidRDefault="002A6AC8">
            <w:pPr>
              <w:cnfStyle w:val="100000000000" w:firstRow="1" w:lastRow="0" w:firstColumn="0" w:lastColumn="0" w:oddVBand="0" w:evenVBand="0" w:oddHBand="0" w:evenHBand="0" w:firstRowFirstColumn="0" w:firstRowLastColumn="0" w:lastRowFirstColumn="0" w:lastRowLastColumn="0"/>
            </w:pPr>
            <w:r>
              <w:t>Solution</w:t>
            </w:r>
            <w:r>
              <w:br/>
              <w:t>Redevelop the hub with inclusive access, temporary operations, digital integration and sustainable design.</w:t>
            </w:r>
          </w:p>
        </w:tc>
      </w:tr>
      <w:tr w:rsidR="002A6AC8" w14:paraId="65153A9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728CB9" w14:textId="77777777" w:rsidR="002A6AC8" w:rsidRDefault="002A6AC8">
            <w:r>
              <w:t>Benefits</w:t>
            </w:r>
            <w:r>
              <w:br/>
              <w:t>Restored capacity, safer interchange, improved accessibility, lower operational carbon and stronger local economy.</w:t>
            </w:r>
          </w:p>
        </w:tc>
        <w:tc>
          <w:tcPr>
            <w:tcW w:w="0" w:type="auto"/>
            <w:hideMark/>
          </w:tcPr>
          <w:p w14:paraId="6D8D6980" w14:textId="77777777" w:rsidR="002A6AC8" w:rsidRDefault="002A6AC8">
            <w:pPr>
              <w:cnfStyle w:val="000000100000" w:firstRow="0" w:lastRow="0" w:firstColumn="0" w:lastColumn="0" w:oddVBand="0" w:evenVBand="0" w:oddHBand="1" w:evenHBand="0" w:firstRowFirstColumn="0" w:firstRowLastColumn="0" w:lastRowFirstColumn="0" w:lastRowLastColumn="0"/>
            </w:pPr>
            <w:r>
              <w:rPr>
                <w:b/>
                <w:bCs/>
              </w:rPr>
              <w:t>Key risks</w:t>
            </w:r>
            <w:r>
              <w:br/>
              <w:t>Structural uncertainty, cost inflation, consent delays, operational disruption and systems integration failure.</w:t>
            </w:r>
          </w:p>
        </w:tc>
      </w:tr>
    </w:tbl>
    <w:p w14:paraId="5CDF1EB7" w14:textId="77777777" w:rsidR="002A6AC8" w:rsidRDefault="002A6AC8">
      <w:pPr>
        <w:rPr>
          <w:lang w:val="en-GB" w:eastAsia="en-GB"/>
        </w:rPr>
      </w:pPr>
    </w:p>
    <w:p w14:paraId="16FA7C41" w14:textId="77777777" w:rsidR="00381E64" w:rsidRDefault="00000000">
      <w:pPr>
        <w:pStyle w:val="Heading2"/>
      </w:pPr>
      <w:bookmarkStart w:id="73" w:name="_Toc237874569"/>
      <w:bookmarkStart w:id="74" w:name="_Toc237875096"/>
      <w:bookmarkStart w:id="75" w:name="_Toc237875707"/>
      <w:bookmarkStart w:id="76" w:name="_Toc237877356"/>
      <w:r>
        <w:lastRenderedPageBreak/>
        <w:t>6. Gantt Chart</w:t>
      </w:r>
      <w:bookmarkEnd w:id="72"/>
      <w:bookmarkEnd w:id="73"/>
      <w:bookmarkEnd w:id="74"/>
      <w:bookmarkEnd w:id="75"/>
      <w:bookmarkEnd w:id="76"/>
    </w:p>
    <w:p w14:paraId="227D8D80" w14:textId="77777777" w:rsidR="00381E64" w:rsidRDefault="00000000">
      <w:pPr>
        <w:pStyle w:val="Caption"/>
        <w:keepNext/>
      </w:pPr>
      <w:r>
        <w:rPr>
          <w:color w:val="17365D"/>
        </w:rPr>
        <w:t>Figure 5. High-level Gantt Chart</w:t>
      </w:r>
    </w:p>
    <w:p w14:paraId="54C5AF87" w14:textId="77777777" w:rsidR="00381E64" w:rsidRDefault="00000000" w:rsidP="0088400C">
      <w:r>
        <w:rPr>
          <w:noProof/>
        </w:rPr>
        <w:drawing>
          <wp:inline distT="0" distB="0" distL="0" distR="0" wp14:anchorId="3EEBB093" wp14:editId="67091444">
            <wp:extent cx="6126480" cy="34461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png"/>
                    <pic:cNvPicPr/>
                  </pic:nvPicPr>
                  <pic:blipFill>
                    <a:blip r:embed="rId13"/>
                    <a:stretch>
                      <a:fillRect/>
                    </a:stretch>
                  </pic:blipFill>
                  <pic:spPr>
                    <a:xfrm>
                      <a:off x="0" y="0"/>
                      <a:ext cx="6126480" cy="3446145"/>
                    </a:xfrm>
                    <a:prstGeom prst="rect">
                      <a:avLst/>
                    </a:prstGeom>
                  </pic:spPr>
                </pic:pic>
              </a:graphicData>
            </a:graphic>
          </wp:inline>
        </w:drawing>
      </w:r>
    </w:p>
    <w:tbl>
      <w:tblPr>
        <w:tblStyle w:val="GridTable4-Accent1"/>
        <w:tblW w:w="5000" w:type="pct"/>
        <w:tblLook w:val="04A0" w:firstRow="1" w:lastRow="0" w:firstColumn="1" w:lastColumn="0" w:noHBand="0" w:noVBand="1"/>
      </w:tblPr>
      <w:tblGrid>
        <w:gridCol w:w="4434"/>
        <w:gridCol w:w="851"/>
        <w:gridCol w:w="987"/>
        <w:gridCol w:w="1122"/>
        <w:gridCol w:w="1122"/>
        <w:gridCol w:w="1122"/>
      </w:tblGrid>
      <w:tr w:rsidR="002A6AC8" w14:paraId="5F182A12"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3D9FCF" w14:textId="77777777" w:rsidR="002A6AC8" w:rsidRDefault="002A6AC8">
            <w:pPr>
              <w:rPr>
                <w:lang w:val="en-GB" w:eastAsia="en-GB"/>
              </w:rPr>
            </w:pPr>
            <w:r>
              <w:t>Workstream</w:t>
            </w:r>
          </w:p>
        </w:tc>
        <w:tc>
          <w:tcPr>
            <w:tcW w:w="0" w:type="auto"/>
            <w:hideMark/>
          </w:tcPr>
          <w:p w14:paraId="5828AC9A" w14:textId="77777777" w:rsidR="002A6AC8" w:rsidRDefault="002A6AC8">
            <w:pPr>
              <w:cnfStyle w:val="100000000000" w:firstRow="1" w:lastRow="0" w:firstColumn="0" w:lastColumn="0" w:oddVBand="0" w:evenVBand="0" w:oddHBand="0" w:evenHBand="0" w:firstRowFirstColumn="0" w:firstRowLastColumn="0" w:lastRowFirstColumn="0" w:lastRowLastColumn="0"/>
            </w:pPr>
            <w:r>
              <w:t>M1-4</w:t>
            </w:r>
          </w:p>
        </w:tc>
        <w:tc>
          <w:tcPr>
            <w:tcW w:w="0" w:type="auto"/>
            <w:hideMark/>
          </w:tcPr>
          <w:p w14:paraId="2B727912" w14:textId="77777777" w:rsidR="002A6AC8" w:rsidRDefault="002A6AC8">
            <w:pPr>
              <w:cnfStyle w:val="100000000000" w:firstRow="1" w:lastRow="0" w:firstColumn="0" w:lastColumn="0" w:oddVBand="0" w:evenVBand="0" w:oddHBand="0" w:evenHBand="0" w:firstRowFirstColumn="0" w:firstRowLastColumn="0" w:lastRowFirstColumn="0" w:lastRowLastColumn="0"/>
            </w:pPr>
            <w:r>
              <w:t>M5-10</w:t>
            </w:r>
          </w:p>
        </w:tc>
        <w:tc>
          <w:tcPr>
            <w:tcW w:w="0" w:type="auto"/>
            <w:hideMark/>
          </w:tcPr>
          <w:p w14:paraId="619B7B4F" w14:textId="77777777" w:rsidR="002A6AC8" w:rsidRDefault="002A6AC8">
            <w:pPr>
              <w:cnfStyle w:val="100000000000" w:firstRow="1" w:lastRow="0" w:firstColumn="0" w:lastColumn="0" w:oddVBand="0" w:evenVBand="0" w:oddHBand="0" w:evenHBand="0" w:firstRowFirstColumn="0" w:firstRowLastColumn="0" w:lastRowFirstColumn="0" w:lastRowLastColumn="0"/>
            </w:pPr>
            <w:r>
              <w:t>M11-18</w:t>
            </w:r>
          </w:p>
        </w:tc>
        <w:tc>
          <w:tcPr>
            <w:tcW w:w="0" w:type="auto"/>
            <w:hideMark/>
          </w:tcPr>
          <w:p w14:paraId="24D66263" w14:textId="77777777" w:rsidR="002A6AC8" w:rsidRDefault="002A6AC8">
            <w:pPr>
              <w:cnfStyle w:val="100000000000" w:firstRow="1" w:lastRow="0" w:firstColumn="0" w:lastColumn="0" w:oddVBand="0" w:evenVBand="0" w:oddHBand="0" w:evenHBand="0" w:firstRowFirstColumn="0" w:firstRowLastColumn="0" w:lastRowFirstColumn="0" w:lastRowLastColumn="0"/>
            </w:pPr>
            <w:r>
              <w:t>M19-24</w:t>
            </w:r>
          </w:p>
        </w:tc>
        <w:tc>
          <w:tcPr>
            <w:tcW w:w="0" w:type="auto"/>
            <w:hideMark/>
          </w:tcPr>
          <w:p w14:paraId="4F893DE4" w14:textId="77777777" w:rsidR="002A6AC8" w:rsidRDefault="002A6AC8">
            <w:pPr>
              <w:cnfStyle w:val="100000000000" w:firstRow="1" w:lastRow="0" w:firstColumn="0" w:lastColumn="0" w:oddVBand="0" w:evenVBand="0" w:oddHBand="0" w:evenHBand="0" w:firstRowFirstColumn="0" w:firstRowLastColumn="0" w:lastRowFirstColumn="0" w:lastRowLastColumn="0"/>
            </w:pPr>
            <w:r>
              <w:t>M25-30</w:t>
            </w:r>
          </w:p>
        </w:tc>
      </w:tr>
      <w:tr w:rsidR="002A6AC8" w14:paraId="4293452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12D100" w14:textId="77777777" w:rsidR="002A6AC8" w:rsidRDefault="002A6AC8">
            <w:r>
              <w:t>Feasibility and business case</w:t>
            </w:r>
          </w:p>
        </w:tc>
        <w:tc>
          <w:tcPr>
            <w:tcW w:w="0" w:type="auto"/>
            <w:hideMark/>
          </w:tcPr>
          <w:p w14:paraId="15E8CC63" w14:textId="77777777" w:rsidR="002A6AC8" w:rsidRDefault="002A6AC8">
            <w:pPr>
              <w:cnfStyle w:val="000000100000" w:firstRow="0" w:lastRow="0" w:firstColumn="0" w:lastColumn="0" w:oddVBand="0" w:evenVBand="0" w:oddHBand="1" w:evenHBand="0" w:firstRowFirstColumn="0" w:firstRowLastColumn="0" w:lastRowFirstColumn="0" w:lastRowLastColumn="0"/>
            </w:pPr>
            <w:r>
              <w:t>●</w:t>
            </w:r>
          </w:p>
        </w:tc>
        <w:tc>
          <w:tcPr>
            <w:tcW w:w="0" w:type="auto"/>
            <w:hideMark/>
          </w:tcPr>
          <w:p w14:paraId="1EF5AE36"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52290297"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0A5544CF"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043D6689"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r>
      <w:tr w:rsidR="002A6AC8" w14:paraId="59C459AC"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26CFAEAC" w14:textId="77777777" w:rsidR="002A6AC8" w:rsidRDefault="002A6AC8">
            <w:r>
              <w:t>Design and consents</w:t>
            </w:r>
          </w:p>
        </w:tc>
        <w:tc>
          <w:tcPr>
            <w:tcW w:w="0" w:type="auto"/>
            <w:hideMark/>
          </w:tcPr>
          <w:p w14:paraId="086CD25B" w14:textId="77777777" w:rsidR="002A6AC8" w:rsidRDefault="002A6AC8">
            <w:pPr>
              <w:cnfStyle w:val="000000000000" w:firstRow="0" w:lastRow="0" w:firstColumn="0" w:lastColumn="0" w:oddVBand="0" w:evenVBand="0" w:oddHBand="0" w:evenHBand="0" w:firstRowFirstColumn="0" w:firstRowLastColumn="0" w:lastRowFirstColumn="0" w:lastRowLastColumn="0"/>
            </w:pPr>
            <w:r>
              <w:t>●</w:t>
            </w:r>
          </w:p>
        </w:tc>
        <w:tc>
          <w:tcPr>
            <w:tcW w:w="0" w:type="auto"/>
            <w:hideMark/>
          </w:tcPr>
          <w:p w14:paraId="51CEA6AD" w14:textId="77777777" w:rsidR="002A6AC8" w:rsidRDefault="002A6AC8">
            <w:pPr>
              <w:cnfStyle w:val="000000000000" w:firstRow="0" w:lastRow="0" w:firstColumn="0" w:lastColumn="0" w:oddVBand="0" w:evenVBand="0" w:oddHBand="0" w:evenHBand="0" w:firstRowFirstColumn="0" w:firstRowLastColumn="0" w:lastRowFirstColumn="0" w:lastRowLastColumn="0"/>
            </w:pPr>
            <w:r>
              <w:t>●</w:t>
            </w:r>
          </w:p>
        </w:tc>
        <w:tc>
          <w:tcPr>
            <w:tcW w:w="0" w:type="auto"/>
            <w:hideMark/>
          </w:tcPr>
          <w:p w14:paraId="7FDD2ED5" w14:textId="77777777" w:rsidR="002A6AC8" w:rsidRDefault="002A6AC8">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635AA879" w14:textId="77777777" w:rsidR="002A6AC8" w:rsidRDefault="002A6AC8">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27FE16FB" w14:textId="77777777" w:rsidR="002A6AC8" w:rsidRDefault="002A6AC8">
            <w:pPr>
              <w:cnfStyle w:val="000000000000" w:firstRow="0" w:lastRow="0" w:firstColumn="0" w:lastColumn="0" w:oddVBand="0" w:evenVBand="0" w:oddHBand="0" w:evenHBand="0" w:firstRowFirstColumn="0" w:firstRowLastColumn="0" w:lastRowFirstColumn="0" w:lastRowLastColumn="0"/>
            </w:pPr>
          </w:p>
        </w:tc>
      </w:tr>
      <w:tr w:rsidR="002A6AC8" w14:paraId="4AD113F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B1080E" w14:textId="77777777" w:rsidR="002A6AC8" w:rsidRDefault="002A6AC8">
            <w:r>
              <w:t>Procurement and enabling works</w:t>
            </w:r>
          </w:p>
        </w:tc>
        <w:tc>
          <w:tcPr>
            <w:tcW w:w="0" w:type="auto"/>
            <w:hideMark/>
          </w:tcPr>
          <w:p w14:paraId="0E8EE27F"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1A93DAB6" w14:textId="77777777" w:rsidR="002A6AC8" w:rsidRDefault="002A6AC8">
            <w:pPr>
              <w:cnfStyle w:val="000000100000" w:firstRow="0" w:lastRow="0" w:firstColumn="0" w:lastColumn="0" w:oddVBand="0" w:evenVBand="0" w:oddHBand="1" w:evenHBand="0" w:firstRowFirstColumn="0" w:firstRowLastColumn="0" w:lastRowFirstColumn="0" w:lastRowLastColumn="0"/>
            </w:pPr>
            <w:r>
              <w:t>●</w:t>
            </w:r>
          </w:p>
        </w:tc>
        <w:tc>
          <w:tcPr>
            <w:tcW w:w="0" w:type="auto"/>
            <w:hideMark/>
          </w:tcPr>
          <w:p w14:paraId="353A30EA" w14:textId="77777777" w:rsidR="002A6AC8" w:rsidRDefault="002A6AC8">
            <w:pPr>
              <w:cnfStyle w:val="000000100000" w:firstRow="0" w:lastRow="0" w:firstColumn="0" w:lastColumn="0" w:oddVBand="0" w:evenVBand="0" w:oddHBand="1" w:evenHBand="0" w:firstRowFirstColumn="0" w:firstRowLastColumn="0" w:lastRowFirstColumn="0" w:lastRowLastColumn="0"/>
            </w:pPr>
            <w:r>
              <w:t>●</w:t>
            </w:r>
          </w:p>
        </w:tc>
        <w:tc>
          <w:tcPr>
            <w:tcW w:w="0" w:type="auto"/>
            <w:hideMark/>
          </w:tcPr>
          <w:p w14:paraId="14734EB6"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269F5D75"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r>
      <w:tr w:rsidR="002A6AC8" w14:paraId="525E239E"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1F7C8FD" w14:textId="77777777" w:rsidR="002A6AC8" w:rsidRDefault="002A6AC8">
            <w:r>
              <w:t>Construction and systems installation</w:t>
            </w:r>
          </w:p>
        </w:tc>
        <w:tc>
          <w:tcPr>
            <w:tcW w:w="0" w:type="auto"/>
            <w:hideMark/>
          </w:tcPr>
          <w:p w14:paraId="29E67F15" w14:textId="77777777" w:rsidR="002A6AC8" w:rsidRDefault="002A6AC8">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0AA6150F" w14:textId="77777777" w:rsidR="002A6AC8" w:rsidRDefault="002A6AC8">
            <w:pPr>
              <w:cnfStyle w:val="000000000000" w:firstRow="0" w:lastRow="0" w:firstColumn="0" w:lastColumn="0" w:oddVBand="0" w:evenVBand="0" w:oddHBand="0" w:evenHBand="0" w:firstRowFirstColumn="0" w:firstRowLastColumn="0" w:lastRowFirstColumn="0" w:lastRowLastColumn="0"/>
            </w:pPr>
          </w:p>
        </w:tc>
        <w:tc>
          <w:tcPr>
            <w:tcW w:w="0" w:type="auto"/>
            <w:hideMark/>
          </w:tcPr>
          <w:p w14:paraId="20829E6B" w14:textId="77777777" w:rsidR="002A6AC8" w:rsidRDefault="002A6AC8">
            <w:pPr>
              <w:cnfStyle w:val="000000000000" w:firstRow="0" w:lastRow="0" w:firstColumn="0" w:lastColumn="0" w:oddVBand="0" w:evenVBand="0" w:oddHBand="0" w:evenHBand="0" w:firstRowFirstColumn="0" w:firstRowLastColumn="0" w:lastRowFirstColumn="0" w:lastRowLastColumn="0"/>
            </w:pPr>
            <w:r>
              <w:t>●</w:t>
            </w:r>
          </w:p>
        </w:tc>
        <w:tc>
          <w:tcPr>
            <w:tcW w:w="0" w:type="auto"/>
            <w:hideMark/>
          </w:tcPr>
          <w:p w14:paraId="4E042AAA" w14:textId="77777777" w:rsidR="002A6AC8" w:rsidRDefault="002A6AC8">
            <w:pPr>
              <w:cnfStyle w:val="000000000000" w:firstRow="0" w:lastRow="0" w:firstColumn="0" w:lastColumn="0" w:oddVBand="0" w:evenVBand="0" w:oddHBand="0" w:evenHBand="0" w:firstRowFirstColumn="0" w:firstRowLastColumn="0" w:lastRowFirstColumn="0" w:lastRowLastColumn="0"/>
            </w:pPr>
            <w:r>
              <w:t>●</w:t>
            </w:r>
          </w:p>
        </w:tc>
        <w:tc>
          <w:tcPr>
            <w:tcW w:w="0" w:type="auto"/>
            <w:hideMark/>
          </w:tcPr>
          <w:p w14:paraId="10E593A7" w14:textId="77777777" w:rsidR="002A6AC8" w:rsidRDefault="002A6AC8">
            <w:pPr>
              <w:cnfStyle w:val="000000000000" w:firstRow="0" w:lastRow="0" w:firstColumn="0" w:lastColumn="0" w:oddVBand="0" w:evenVBand="0" w:oddHBand="0" w:evenHBand="0" w:firstRowFirstColumn="0" w:firstRowLastColumn="0" w:lastRowFirstColumn="0" w:lastRowLastColumn="0"/>
            </w:pPr>
          </w:p>
        </w:tc>
      </w:tr>
      <w:tr w:rsidR="002A6AC8" w14:paraId="45CDE6F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8935DA" w14:textId="77777777" w:rsidR="002A6AC8" w:rsidRDefault="002A6AC8">
            <w:r>
              <w:t>Testing, training and handover</w:t>
            </w:r>
          </w:p>
        </w:tc>
        <w:tc>
          <w:tcPr>
            <w:tcW w:w="0" w:type="auto"/>
            <w:hideMark/>
          </w:tcPr>
          <w:p w14:paraId="2AE38A51"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763E2003"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485F0F95"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01E5AC5C" w14:textId="77777777" w:rsidR="002A6AC8" w:rsidRDefault="002A6AC8">
            <w:pPr>
              <w:cnfStyle w:val="000000100000" w:firstRow="0" w:lastRow="0" w:firstColumn="0" w:lastColumn="0" w:oddVBand="0" w:evenVBand="0" w:oddHBand="1" w:evenHBand="0" w:firstRowFirstColumn="0" w:firstRowLastColumn="0" w:lastRowFirstColumn="0" w:lastRowLastColumn="0"/>
            </w:pPr>
          </w:p>
        </w:tc>
        <w:tc>
          <w:tcPr>
            <w:tcW w:w="0" w:type="auto"/>
            <w:hideMark/>
          </w:tcPr>
          <w:p w14:paraId="6312081B" w14:textId="77777777" w:rsidR="002A6AC8" w:rsidRDefault="002A6AC8">
            <w:pPr>
              <w:cnfStyle w:val="000000100000" w:firstRow="0" w:lastRow="0" w:firstColumn="0" w:lastColumn="0" w:oddVBand="0" w:evenVBand="0" w:oddHBand="1" w:evenHBand="0" w:firstRowFirstColumn="0" w:firstRowLastColumn="0" w:lastRowFirstColumn="0" w:lastRowLastColumn="0"/>
            </w:pPr>
            <w:r>
              <w:t>●</w:t>
            </w:r>
          </w:p>
        </w:tc>
      </w:tr>
    </w:tbl>
    <w:p w14:paraId="688AC50D" w14:textId="77777777" w:rsidR="002A6AC8" w:rsidRDefault="002A6AC8">
      <w:pPr>
        <w:rPr>
          <w:lang w:val="en-GB" w:eastAsia="en-GB"/>
        </w:rPr>
      </w:pPr>
    </w:p>
    <w:p w14:paraId="2D1B54FD" w14:textId="77777777" w:rsidR="00381E64" w:rsidRDefault="00000000">
      <w:r>
        <w:t xml:space="preserve">Figure 5 </w:t>
      </w:r>
      <w:proofErr w:type="spellStart"/>
      <w:r>
        <w:t>summarises</w:t>
      </w:r>
      <w:proofErr w:type="spellEnd"/>
      <w:r>
        <w:t xml:space="preserve"> the main workstreams, dates and milestones in the 30-month baseline.</w:t>
      </w:r>
    </w:p>
    <w:p w14:paraId="08B63196" w14:textId="77777777" w:rsidR="00381E64" w:rsidRDefault="00000000" w:rsidP="00A96897">
      <w:bookmarkStart w:id="77" w:name="_Toc237358549"/>
      <w:bookmarkStart w:id="78" w:name="_Toc237874570"/>
      <w:bookmarkStart w:id="79" w:name="_Toc237875097"/>
      <w:bookmarkStart w:id="80" w:name="_Toc237875708"/>
      <w:r>
        <w:t xml:space="preserve">Schedule management will use a detailed network plan beneath the high-level Gantt chart. The project manager will </w:t>
      </w:r>
      <w:r w:rsidRPr="00A61C55">
        <w:t xml:space="preserve">monitor </w:t>
      </w:r>
      <w:r>
        <w:t xml:space="preserve">the critical path and </w:t>
      </w:r>
      <w:r>
        <w:t xml:space="preserve">float </w:t>
      </w:r>
      <w:r w:rsidRPr="00A61C55">
        <w:t>across</w:t>
      </w:r>
      <w:r>
        <w:t xml:space="preserve"> surveys, consents, procurement, structural works, systems integration and commissioning. </w:t>
      </w:r>
      <w:r w:rsidR="00820336" w:rsidRPr="00820336">
        <w:t xml:space="preserve">The schedule will be reviewed with workstream leads so that delays in one area, such as late approvals or unavailable materials, can be assessed for their effect on later activities. </w:t>
      </w:r>
      <w:r>
        <w:t xml:space="preserve">Rolling-wave planning will </w:t>
      </w:r>
      <w:r w:rsidRPr="00A61C55">
        <w:t>support</w:t>
      </w:r>
      <w:r>
        <w:t xml:space="preserve"> short-term control while preserving the </w:t>
      </w:r>
      <w:r>
        <w:t xml:space="preserve">30-month baseline. </w:t>
      </w:r>
      <w:r>
        <w:t xml:space="preserve">Acceleration will </w:t>
      </w:r>
      <w:r w:rsidRPr="00A61C55">
        <w:t>be carefully assessed</w:t>
      </w:r>
      <w:r>
        <w:t xml:space="preserve"> because compressing construction or testing </w:t>
      </w:r>
      <w:r w:rsidRPr="00A61C55">
        <w:t>can</w:t>
      </w:r>
      <w:r>
        <w:t xml:space="preserve"> increase safety</w:t>
      </w:r>
      <w:r w:rsidRPr="00A61C55">
        <w:t xml:space="preserve"> and </w:t>
      </w:r>
      <w:r>
        <w:t xml:space="preserve">quality </w:t>
      </w:r>
      <w:r>
        <w:t>risk (Kerzner, 2022; PMI, 2021).</w:t>
      </w:r>
    </w:p>
    <w:p w14:paraId="4813ED49" w14:textId="77777777" w:rsidR="00381E64" w:rsidRDefault="00000000">
      <w:pPr>
        <w:pStyle w:val="Heading2"/>
      </w:pPr>
      <w:bookmarkStart w:id="81" w:name="_Toc237877357"/>
      <w:r>
        <w:t>7. Stakeholder Involvement</w:t>
      </w:r>
      <w:bookmarkEnd w:id="77"/>
      <w:bookmarkEnd w:id="78"/>
      <w:bookmarkEnd w:id="79"/>
      <w:bookmarkEnd w:id="80"/>
      <w:bookmarkEnd w:id="81"/>
    </w:p>
    <w:p w14:paraId="3F82E3CF" w14:textId="77777777" w:rsidR="00381E64" w:rsidRDefault="00000000">
      <w:r>
        <w:t xml:space="preserve">Stakeholder engagement is essential for project success. Authorities and funders will receive formal reports, while transport operators, passengers, disabled-user groups, freight companies, local businesses and residents will be consulted throughout the project. Communication will include meetings, workshops, newsletters, website updates and accessible formats. A commitments register will track concerns, actions </w:t>
      </w:r>
      <w:r>
        <w:lastRenderedPageBreak/>
        <w:t>and responsibilities to ensure stakeholder feedback influences project decisions (Freeman, 1984; Olander, 2007).</w:t>
      </w:r>
    </w:p>
    <w:p w14:paraId="1B6A5152" w14:textId="77777777" w:rsidR="00381E64" w:rsidRDefault="00000000">
      <w:pPr>
        <w:pStyle w:val="Heading2"/>
      </w:pPr>
      <w:bookmarkStart w:id="82" w:name="_Toc237358550"/>
      <w:bookmarkStart w:id="83" w:name="_Toc237874571"/>
      <w:bookmarkStart w:id="84" w:name="_Toc237875098"/>
      <w:bookmarkStart w:id="85" w:name="_Toc237875709"/>
      <w:bookmarkStart w:id="86" w:name="_Toc237877358"/>
      <w:r>
        <w:t>7.1 Stakeholder Communication Plan</w:t>
      </w:r>
      <w:bookmarkEnd w:id="82"/>
      <w:bookmarkEnd w:id="83"/>
      <w:bookmarkEnd w:id="84"/>
      <w:bookmarkEnd w:id="85"/>
      <w:bookmarkEnd w:id="86"/>
    </w:p>
    <w:p w14:paraId="33FB3FBB" w14:textId="77777777" w:rsidR="00381E64" w:rsidRDefault="00000000" w:rsidP="006B2CE8">
      <w:r>
        <w:t xml:space="preserve">Stakeholder communication will be managed as a planned </w:t>
      </w:r>
      <w:r>
        <w:t>process</w:t>
      </w:r>
      <w:r w:rsidRPr="00ED3E7A">
        <w:t>.</w:t>
      </w:r>
      <w:r>
        <w:t xml:space="preserve"> The </w:t>
      </w:r>
      <w:r w:rsidRPr="00ED3E7A">
        <w:t>aim is to provide accurate information to each group through suitable channels and at suitable times. This</w:t>
      </w:r>
      <w:r>
        <w:t xml:space="preserve"> is </w:t>
      </w:r>
      <w:r>
        <w:t xml:space="preserve">important </w:t>
      </w:r>
      <w:r>
        <w:t xml:space="preserve">because </w:t>
      </w:r>
      <w:r>
        <w:t xml:space="preserve">closure affects </w:t>
      </w:r>
      <w:r>
        <w:t>travel, freight</w:t>
      </w:r>
      <w:r w:rsidRPr="00ED3E7A">
        <w:t>, business</w:t>
      </w:r>
      <w:r>
        <w:t xml:space="preserve"> activity, accessibility and </w:t>
      </w:r>
      <w:r w:rsidRPr="00ED3E7A">
        <w:t>public trust.</w:t>
      </w:r>
      <w:r>
        <w:t xml:space="preserve"> </w:t>
      </w:r>
      <w:r w:rsidR="00E55B34" w:rsidRPr="00E55B34">
        <w:t xml:space="preserve">Communication must therefore explain both short-term disruption and the long-term benefits of redevelopment. </w:t>
      </w:r>
      <w:r>
        <w:t>A structured plan reduces misinformation</w:t>
      </w:r>
      <w:r w:rsidR="00E55B34" w:rsidRPr="00E55B34">
        <w:t>, supports transparency</w:t>
      </w:r>
      <w:r>
        <w:t xml:space="preserve"> and </w:t>
      </w:r>
      <w:r w:rsidRPr="00ED3E7A">
        <w:t>shows how</w:t>
      </w:r>
      <w:r>
        <w:t xml:space="preserve"> stakeholder concerns </w:t>
      </w:r>
      <w:r w:rsidRPr="00ED3E7A">
        <w:t>influence</w:t>
      </w:r>
      <w:r>
        <w:t xml:space="preserve"> decisions (Freeman, 1984; Olander, 2007; </w:t>
      </w:r>
      <w:proofErr w:type="spellStart"/>
      <w:r>
        <w:t>Prebanić</w:t>
      </w:r>
      <w:proofErr w:type="spellEnd"/>
      <w:r>
        <w:t xml:space="preserve"> and Vukomanović, 2023).</w:t>
      </w:r>
    </w:p>
    <w:p w14:paraId="1DF96D9E" w14:textId="77777777" w:rsidR="00381E64" w:rsidRDefault="00000000">
      <w:pPr>
        <w:pStyle w:val="Caption"/>
        <w:keepNext/>
      </w:pPr>
      <w:r>
        <w:rPr>
          <w:color w:val="17365D"/>
        </w:rPr>
        <w:t>Figure 6. Stakeholder Communication Plan</w:t>
      </w:r>
    </w:p>
    <w:p w14:paraId="2D1827F5" w14:textId="77777777" w:rsidR="00381E64" w:rsidRDefault="00000000" w:rsidP="00AD6C0B">
      <w:bookmarkStart w:id="87" w:name="_Toc237358551"/>
      <w:r>
        <w:rPr>
          <w:noProof/>
        </w:rPr>
        <w:drawing>
          <wp:inline distT="0" distB="0" distL="0" distR="0" wp14:anchorId="12C1BDCB" wp14:editId="5FDC478A">
            <wp:extent cx="6126480" cy="34461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png"/>
                    <pic:cNvPicPr/>
                  </pic:nvPicPr>
                  <pic:blipFill>
                    <a:blip r:embed="rId14"/>
                    <a:stretch>
                      <a:fillRect/>
                    </a:stretch>
                  </pic:blipFill>
                  <pic:spPr>
                    <a:xfrm>
                      <a:off x="0" y="0"/>
                      <a:ext cx="6126480" cy="3446145"/>
                    </a:xfrm>
                    <a:prstGeom prst="rect">
                      <a:avLst/>
                    </a:prstGeom>
                  </pic:spPr>
                </pic:pic>
              </a:graphicData>
            </a:graphic>
          </wp:inline>
        </w:drawing>
      </w:r>
    </w:p>
    <w:tbl>
      <w:tblPr>
        <w:tblStyle w:val="GridTable4-Accent1"/>
        <w:tblW w:w="5000" w:type="pct"/>
        <w:tblLook w:val="04A0" w:firstRow="1" w:lastRow="0" w:firstColumn="1" w:lastColumn="0" w:noHBand="0" w:noVBand="1"/>
      </w:tblPr>
      <w:tblGrid>
        <w:gridCol w:w="2223"/>
        <w:gridCol w:w="3003"/>
        <w:gridCol w:w="2592"/>
        <w:gridCol w:w="1820"/>
      </w:tblGrid>
      <w:tr w:rsidR="002A6AC8" w14:paraId="1B8F83D9"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111028" w14:textId="77777777" w:rsidR="002A6AC8" w:rsidRDefault="002A6AC8">
            <w:pPr>
              <w:rPr>
                <w:lang w:val="en-GB" w:eastAsia="en-GB"/>
              </w:rPr>
            </w:pPr>
            <w:r>
              <w:t>Stakeholder</w:t>
            </w:r>
          </w:p>
        </w:tc>
        <w:tc>
          <w:tcPr>
            <w:tcW w:w="0" w:type="auto"/>
            <w:hideMark/>
          </w:tcPr>
          <w:p w14:paraId="41A5D660" w14:textId="77777777" w:rsidR="002A6AC8" w:rsidRDefault="002A6AC8">
            <w:pPr>
              <w:cnfStyle w:val="100000000000" w:firstRow="1" w:lastRow="0" w:firstColumn="0" w:lastColumn="0" w:oddVBand="0" w:evenVBand="0" w:oddHBand="0" w:evenHBand="0" w:firstRowFirstColumn="0" w:firstRowLastColumn="0" w:lastRowFirstColumn="0" w:lastRowLastColumn="0"/>
            </w:pPr>
            <w:r>
              <w:t>Information need</w:t>
            </w:r>
          </w:p>
        </w:tc>
        <w:tc>
          <w:tcPr>
            <w:tcW w:w="0" w:type="auto"/>
            <w:hideMark/>
          </w:tcPr>
          <w:p w14:paraId="121E06DB" w14:textId="77777777" w:rsidR="002A6AC8" w:rsidRDefault="002A6AC8">
            <w:pPr>
              <w:cnfStyle w:val="100000000000" w:firstRow="1" w:lastRow="0" w:firstColumn="0" w:lastColumn="0" w:oddVBand="0" w:evenVBand="0" w:oddHBand="0" w:evenHBand="0" w:firstRowFirstColumn="0" w:firstRowLastColumn="0" w:lastRowFirstColumn="0" w:lastRowLastColumn="0"/>
            </w:pPr>
            <w:r>
              <w:t>Channel</w:t>
            </w:r>
          </w:p>
        </w:tc>
        <w:tc>
          <w:tcPr>
            <w:tcW w:w="0" w:type="auto"/>
            <w:hideMark/>
          </w:tcPr>
          <w:p w14:paraId="24F9BB34" w14:textId="77777777" w:rsidR="002A6AC8" w:rsidRDefault="002A6AC8">
            <w:pPr>
              <w:cnfStyle w:val="100000000000" w:firstRow="1" w:lastRow="0" w:firstColumn="0" w:lastColumn="0" w:oddVBand="0" w:evenVBand="0" w:oddHBand="0" w:evenHBand="0" w:firstRowFirstColumn="0" w:firstRowLastColumn="0" w:lastRowFirstColumn="0" w:lastRowLastColumn="0"/>
            </w:pPr>
            <w:r>
              <w:t>Frequency</w:t>
            </w:r>
          </w:p>
        </w:tc>
      </w:tr>
      <w:tr w:rsidR="002A6AC8" w14:paraId="2F760ED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C1DA05" w14:textId="77777777" w:rsidR="002A6AC8" w:rsidRDefault="002A6AC8">
            <w:r>
              <w:t>Local authority and funders</w:t>
            </w:r>
          </w:p>
        </w:tc>
        <w:tc>
          <w:tcPr>
            <w:tcW w:w="0" w:type="auto"/>
            <w:hideMark/>
          </w:tcPr>
          <w:p w14:paraId="06D5E8E2" w14:textId="77777777" w:rsidR="002A6AC8" w:rsidRDefault="002A6AC8">
            <w:pPr>
              <w:cnfStyle w:val="000000100000" w:firstRow="0" w:lastRow="0" w:firstColumn="0" w:lastColumn="0" w:oddVBand="0" w:evenVBand="0" w:oddHBand="1" w:evenHBand="0" w:firstRowFirstColumn="0" w:firstRowLastColumn="0" w:lastRowFirstColumn="0" w:lastRowLastColumn="0"/>
            </w:pPr>
            <w:r>
              <w:t>Cost, risk, milestones and benefits</w:t>
            </w:r>
          </w:p>
        </w:tc>
        <w:tc>
          <w:tcPr>
            <w:tcW w:w="0" w:type="auto"/>
            <w:hideMark/>
          </w:tcPr>
          <w:p w14:paraId="5753CB57" w14:textId="77777777" w:rsidR="002A6AC8" w:rsidRDefault="002A6AC8">
            <w:pPr>
              <w:cnfStyle w:val="000000100000" w:firstRow="0" w:lastRow="0" w:firstColumn="0" w:lastColumn="0" w:oddVBand="0" w:evenVBand="0" w:oddHBand="1" w:evenHBand="0" w:firstRowFirstColumn="0" w:firstRowLastColumn="0" w:lastRowFirstColumn="0" w:lastRowLastColumn="0"/>
            </w:pPr>
            <w:r>
              <w:t>Project Board reports</w:t>
            </w:r>
          </w:p>
        </w:tc>
        <w:tc>
          <w:tcPr>
            <w:tcW w:w="0" w:type="auto"/>
            <w:hideMark/>
          </w:tcPr>
          <w:p w14:paraId="44ACAD02" w14:textId="77777777" w:rsidR="002A6AC8" w:rsidRDefault="002A6AC8">
            <w:pPr>
              <w:cnfStyle w:val="000000100000" w:firstRow="0" w:lastRow="0" w:firstColumn="0" w:lastColumn="0" w:oddVBand="0" w:evenVBand="0" w:oddHBand="1" w:evenHBand="0" w:firstRowFirstColumn="0" w:firstRowLastColumn="0" w:lastRowFirstColumn="0" w:lastRowLastColumn="0"/>
            </w:pPr>
            <w:r>
              <w:t>Monthly</w:t>
            </w:r>
          </w:p>
        </w:tc>
      </w:tr>
      <w:tr w:rsidR="002A6AC8" w14:paraId="2C535B29"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5F2494F7" w14:textId="77777777" w:rsidR="002A6AC8" w:rsidRDefault="002A6AC8">
            <w:r>
              <w:t>Transport operators</w:t>
            </w:r>
          </w:p>
        </w:tc>
        <w:tc>
          <w:tcPr>
            <w:tcW w:w="0" w:type="auto"/>
            <w:hideMark/>
          </w:tcPr>
          <w:p w14:paraId="1973A46B" w14:textId="77777777" w:rsidR="002A6AC8" w:rsidRDefault="002A6AC8">
            <w:pPr>
              <w:cnfStyle w:val="000000000000" w:firstRow="0" w:lastRow="0" w:firstColumn="0" w:lastColumn="0" w:oddVBand="0" w:evenVBand="0" w:oddHBand="0" w:evenHBand="0" w:firstRowFirstColumn="0" w:firstRowLastColumn="0" w:lastRowFirstColumn="0" w:lastRowLastColumn="0"/>
            </w:pPr>
            <w:r>
              <w:t>Operational phasing and readiness</w:t>
            </w:r>
          </w:p>
        </w:tc>
        <w:tc>
          <w:tcPr>
            <w:tcW w:w="0" w:type="auto"/>
            <w:hideMark/>
          </w:tcPr>
          <w:p w14:paraId="04776ACD" w14:textId="77777777" w:rsidR="002A6AC8" w:rsidRDefault="002A6AC8">
            <w:pPr>
              <w:cnfStyle w:val="000000000000" w:firstRow="0" w:lastRow="0" w:firstColumn="0" w:lastColumn="0" w:oddVBand="0" w:evenVBand="0" w:oddHBand="0" w:evenHBand="0" w:firstRowFirstColumn="0" w:firstRowLastColumn="0" w:lastRowFirstColumn="0" w:lastRowLastColumn="0"/>
            </w:pPr>
            <w:r>
              <w:t>Workshops and interface meetings</w:t>
            </w:r>
          </w:p>
        </w:tc>
        <w:tc>
          <w:tcPr>
            <w:tcW w:w="0" w:type="auto"/>
            <w:hideMark/>
          </w:tcPr>
          <w:p w14:paraId="7448EA59" w14:textId="77777777" w:rsidR="002A6AC8" w:rsidRDefault="002A6AC8">
            <w:pPr>
              <w:cnfStyle w:val="000000000000" w:firstRow="0" w:lastRow="0" w:firstColumn="0" w:lastColumn="0" w:oddVBand="0" w:evenVBand="0" w:oddHBand="0" w:evenHBand="0" w:firstRowFirstColumn="0" w:firstRowLastColumn="0" w:lastRowFirstColumn="0" w:lastRowLastColumn="0"/>
            </w:pPr>
            <w:r>
              <w:t>Fortnightly</w:t>
            </w:r>
          </w:p>
        </w:tc>
      </w:tr>
      <w:tr w:rsidR="002A6AC8" w14:paraId="77A58D6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DCECEB" w14:textId="77777777" w:rsidR="002A6AC8" w:rsidRDefault="002A6AC8">
            <w:r>
              <w:t>Passengers and residents</w:t>
            </w:r>
          </w:p>
        </w:tc>
        <w:tc>
          <w:tcPr>
            <w:tcW w:w="0" w:type="auto"/>
            <w:hideMark/>
          </w:tcPr>
          <w:p w14:paraId="7A79AF9C" w14:textId="77777777" w:rsidR="002A6AC8" w:rsidRDefault="002A6AC8">
            <w:pPr>
              <w:cnfStyle w:val="000000100000" w:firstRow="0" w:lastRow="0" w:firstColumn="0" w:lastColumn="0" w:oddVBand="0" w:evenVBand="0" w:oddHBand="1" w:evenHBand="0" w:firstRowFirstColumn="0" w:firstRowLastColumn="0" w:lastRowFirstColumn="0" w:lastRowLastColumn="0"/>
            </w:pPr>
            <w:r>
              <w:t>Disruption, access and reopening updates</w:t>
            </w:r>
          </w:p>
        </w:tc>
        <w:tc>
          <w:tcPr>
            <w:tcW w:w="0" w:type="auto"/>
            <w:hideMark/>
          </w:tcPr>
          <w:p w14:paraId="2952F560" w14:textId="77777777" w:rsidR="002A6AC8" w:rsidRDefault="002A6AC8">
            <w:pPr>
              <w:cnfStyle w:val="000000100000" w:firstRow="0" w:lastRow="0" w:firstColumn="0" w:lastColumn="0" w:oddVBand="0" w:evenVBand="0" w:oddHBand="1" w:evenHBand="0" w:firstRowFirstColumn="0" w:firstRowLastColumn="0" w:lastRowFirstColumn="0" w:lastRowLastColumn="0"/>
            </w:pPr>
            <w:r>
              <w:t>Website, notices and newsletters</w:t>
            </w:r>
          </w:p>
        </w:tc>
        <w:tc>
          <w:tcPr>
            <w:tcW w:w="0" w:type="auto"/>
            <w:hideMark/>
          </w:tcPr>
          <w:p w14:paraId="6E9C2788" w14:textId="77777777" w:rsidR="002A6AC8" w:rsidRDefault="002A6AC8">
            <w:pPr>
              <w:cnfStyle w:val="000000100000" w:firstRow="0" w:lastRow="0" w:firstColumn="0" w:lastColumn="0" w:oddVBand="0" w:evenVBand="0" w:oddHBand="1" w:evenHBand="0" w:firstRowFirstColumn="0" w:firstRowLastColumn="0" w:lastRowFirstColumn="0" w:lastRowLastColumn="0"/>
            </w:pPr>
            <w:r>
              <w:t>Monthly / as required</w:t>
            </w:r>
          </w:p>
        </w:tc>
      </w:tr>
      <w:tr w:rsidR="002A6AC8" w14:paraId="029AE19B"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252FACEC" w14:textId="77777777" w:rsidR="002A6AC8" w:rsidRDefault="002A6AC8">
            <w:r>
              <w:t>Disabled-user groups</w:t>
            </w:r>
          </w:p>
        </w:tc>
        <w:tc>
          <w:tcPr>
            <w:tcW w:w="0" w:type="auto"/>
            <w:hideMark/>
          </w:tcPr>
          <w:p w14:paraId="3109AC3B" w14:textId="77777777" w:rsidR="002A6AC8" w:rsidRDefault="002A6AC8">
            <w:pPr>
              <w:cnfStyle w:val="000000000000" w:firstRow="0" w:lastRow="0" w:firstColumn="0" w:lastColumn="0" w:oddVBand="0" w:evenVBand="0" w:oddHBand="0" w:evenHBand="0" w:firstRowFirstColumn="0" w:firstRowLastColumn="0" w:lastRowFirstColumn="0" w:lastRowLastColumn="0"/>
            </w:pPr>
            <w:r>
              <w:t>Accessibility design and user testing</w:t>
            </w:r>
          </w:p>
        </w:tc>
        <w:tc>
          <w:tcPr>
            <w:tcW w:w="0" w:type="auto"/>
            <w:hideMark/>
          </w:tcPr>
          <w:p w14:paraId="5B212CBF" w14:textId="77777777" w:rsidR="002A6AC8" w:rsidRDefault="002A6AC8">
            <w:pPr>
              <w:cnfStyle w:val="000000000000" w:firstRow="0" w:lastRow="0" w:firstColumn="0" w:lastColumn="0" w:oddVBand="0" w:evenVBand="0" w:oddHBand="0" w:evenHBand="0" w:firstRowFirstColumn="0" w:firstRowLastColumn="0" w:lastRowFirstColumn="0" w:lastRowLastColumn="0"/>
            </w:pPr>
            <w:r>
              <w:t>Co-design sessions</w:t>
            </w:r>
          </w:p>
        </w:tc>
        <w:tc>
          <w:tcPr>
            <w:tcW w:w="0" w:type="auto"/>
            <w:hideMark/>
          </w:tcPr>
          <w:p w14:paraId="22BE8902" w14:textId="77777777" w:rsidR="002A6AC8" w:rsidRDefault="002A6AC8">
            <w:pPr>
              <w:cnfStyle w:val="000000000000" w:firstRow="0" w:lastRow="0" w:firstColumn="0" w:lastColumn="0" w:oddVBand="0" w:evenVBand="0" w:oddHBand="0" w:evenHBand="0" w:firstRowFirstColumn="0" w:firstRowLastColumn="0" w:lastRowFirstColumn="0" w:lastRowLastColumn="0"/>
            </w:pPr>
            <w:r>
              <w:t>At design gateways</w:t>
            </w:r>
          </w:p>
        </w:tc>
      </w:tr>
    </w:tbl>
    <w:p w14:paraId="27385ABD" w14:textId="77777777" w:rsidR="002A6AC8" w:rsidRDefault="002A6AC8">
      <w:pPr>
        <w:rPr>
          <w:lang w:val="en-GB" w:eastAsia="en-GB"/>
        </w:rPr>
      </w:pPr>
    </w:p>
    <w:p w14:paraId="5F6D929D" w14:textId="0F30C9A2" w:rsidR="00381E64" w:rsidRDefault="00000000">
      <w:pPr>
        <w:pStyle w:val="Heading2"/>
      </w:pPr>
      <w:bookmarkStart w:id="88" w:name="_Toc237874572"/>
      <w:bookmarkStart w:id="89" w:name="_Toc237875099"/>
      <w:bookmarkStart w:id="90" w:name="_Toc237875710"/>
      <w:bookmarkStart w:id="91" w:name="_Toc237877359"/>
      <w:r>
        <w:t>8. Allocation of Resources</w:t>
      </w:r>
      <w:bookmarkEnd w:id="87"/>
      <w:bookmarkEnd w:id="88"/>
      <w:bookmarkEnd w:id="89"/>
      <w:bookmarkEnd w:id="90"/>
      <w:bookmarkEnd w:id="91"/>
    </w:p>
    <w:p w14:paraId="099E7D29" w14:textId="77777777" w:rsidR="00381E64" w:rsidRDefault="00000000">
      <w:r>
        <w:t xml:space="preserve">Resource allocation will consider both skills and budget. The client team will manage governance and controls, the design team will provide technical expertise, and the principal contractor will oversee construction, safety and quality. Procurement will prioritise whole-life value, supplier capability and early </w:t>
      </w:r>
      <w:r>
        <w:lastRenderedPageBreak/>
        <w:t>ordering of long-lead materials. This approach will support effective delivery while controlling cost, time and quality (Winch, 2010; Turner, 2014).</w:t>
      </w:r>
    </w:p>
    <w:p w14:paraId="3587A77C" w14:textId="77777777" w:rsidR="00381E64" w:rsidRDefault="00000000">
      <w:pPr>
        <w:pStyle w:val="Caption"/>
        <w:keepNext/>
      </w:pPr>
      <w:r>
        <w:rPr>
          <w:color w:val="17365D"/>
        </w:rPr>
        <w:t xml:space="preserve">Table </w:t>
      </w:r>
      <w:r w:rsidR="00EF0826" w:rsidRPr="00EF0826">
        <w:rPr>
          <w:color w:val="17365D"/>
        </w:rPr>
        <w:t>1</w:t>
      </w:r>
      <w:r>
        <w:rPr>
          <w:color w:val="17365D"/>
        </w:rPr>
        <w:t xml:space="preserve">. Resource </w:t>
      </w:r>
      <w:r w:rsidR="00EF0826" w:rsidRPr="00EF0826">
        <w:rPr>
          <w:color w:val="17365D"/>
        </w:rPr>
        <w:t>Allocation</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0"/>
        <w:gridCol w:w="1654"/>
        <w:gridCol w:w="4454"/>
      </w:tblGrid>
      <w:tr w:rsidR="00224D39" w14:paraId="46C6DB2E" w14:textId="77777777">
        <w:trPr>
          <w:cantSplit/>
          <w:tblHeader/>
        </w:trPr>
        <w:tc>
          <w:tcPr>
            <w:tcW w:w="3528" w:type="dxa"/>
            <w:tcBorders>
              <w:top w:val="single" w:sz="8" w:space="0" w:color="auto"/>
              <w:left w:val="single" w:sz="8" w:space="0" w:color="auto"/>
              <w:bottom w:val="single" w:sz="8" w:space="0" w:color="auto"/>
              <w:right w:val="single" w:sz="8" w:space="0" w:color="auto"/>
            </w:tcBorders>
            <w:shd w:val="clear" w:color="auto" w:fill="1F4E79"/>
            <w:tcMar>
              <w:top w:w="100" w:type="dxa"/>
              <w:left w:w="120" w:type="dxa"/>
              <w:bottom w:w="100" w:type="dxa"/>
              <w:right w:w="120" w:type="dxa"/>
            </w:tcMar>
            <w:hideMark/>
          </w:tcPr>
          <w:p w14:paraId="7F9D9790" w14:textId="77777777" w:rsidR="00224D39" w:rsidRDefault="00224D39">
            <w:pPr>
              <w:spacing w:after="0"/>
              <w:rPr>
                <w:lang w:val="en-GB" w:eastAsia="en-GB"/>
              </w:rPr>
            </w:pPr>
            <w:r>
              <w:rPr>
                <w:b/>
                <w:bCs/>
                <w:color w:val="FFFFFF"/>
                <w:sz w:val="18"/>
                <w:szCs w:val="18"/>
              </w:rPr>
              <w:t>Resource area</w:t>
            </w:r>
          </w:p>
        </w:tc>
        <w:tc>
          <w:tcPr>
            <w:tcW w:w="1656" w:type="dxa"/>
            <w:tcBorders>
              <w:top w:val="single" w:sz="8" w:space="0" w:color="auto"/>
              <w:left w:val="nil"/>
              <w:bottom w:val="single" w:sz="8" w:space="0" w:color="auto"/>
              <w:right w:val="single" w:sz="8" w:space="0" w:color="auto"/>
            </w:tcBorders>
            <w:shd w:val="clear" w:color="auto" w:fill="1F4E79"/>
            <w:tcMar>
              <w:top w:w="100" w:type="dxa"/>
              <w:left w:w="120" w:type="dxa"/>
              <w:bottom w:w="100" w:type="dxa"/>
              <w:right w:w="120" w:type="dxa"/>
            </w:tcMar>
            <w:hideMark/>
          </w:tcPr>
          <w:p w14:paraId="5BCC6626" w14:textId="77777777" w:rsidR="00224D39" w:rsidRDefault="00224D39">
            <w:pPr>
              <w:spacing w:after="0"/>
            </w:pPr>
            <w:r>
              <w:rPr>
                <w:b/>
                <w:bCs/>
                <w:color w:val="FFFFFF"/>
                <w:sz w:val="18"/>
                <w:szCs w:val="18"/>
              </w:rPr>
              <w:t>Allocation</w:t>
            </w:r>
          </w:p>
        </w:tc>
        <w:tc>
          <w:tcPr>
            <w:tcW w:w="4464" w:type="dxa"/>
            <w:tcBorders>
              <w:top w:val="single" w:sz="8" w:space="0" w:color="auto"/>
              <w:left w:val="nil"/>
              <w:bottom w:val="single" w:sz="8" w:space="0" w:color="auto"/>
              <w:right w:val="single" w:sz="8" w:space="0" w:color="auto"/>
            </w:tcBorders>
            <w:shd w:val="clear" w:color="auto" w:fill="1F4E79"/>
            <w:tcMar>
              <w:top w:w="100" w:type="dxa"/>
              <w:left w:w="120" w:type="dxa"/>
              <w:bottom w:w="100" w:type="dxa"/>
              <w:right w:w="120" w:type="dxa"/>
            </w:tcMar>
            <w:hideMark/>
          </w:tcPr>
          <w:p w14:paraId="4B779CCA" w14:textId="77777777" w:rsidR="00224D39" w:rsidRDefault="00224D39">
            <w:pPr>
              <w:spacing w:after="0"/>
            </w:pPr>
            <w:r>
              <w:rPr>
                <w:b/>
                <w:bCs/>
                <w:color w:val="FFFFFF"/>
                <w:sz w:val="18"/>
                <w:szCs w:val="18"/>
              </w:rPr>
              <w:t>Primary control</w:t>
            </w:r>
          </w:p>
        </w:tc>
      </w:tr>
      <w:tr w:rsidR="00224D39" w14:paraId="43D758D4" w14:textId="77777777">
        <w:trPr>
          <w:cantSplit/>
        </w:trPr>
        <w:tc>
          <w:tcPr>
            <w:tcW w:w="3528" w:type="dxa"/>
            <w:tcBorders>
              <w:top w:val="nil"/>
              <w:left w:val="single" w:sz="8" w:space="0" w:color="auto"/>
              <w:bottom w:val="single" w:sz="8" w:space="0" w:color="auto"/>
              <w:right w:val="single" w:sz="8" w:space="0" w:color="auto"/>
            </w:tcBorders>
            <w:tcMar>
              <w:top w:w="100" w:type="dxa"/>
              <w:left w:w="120" w:type="dxa"/>
              <w:bottom w:w="100" w:type="dxa"/>
              <w:right w:w="120" w:type="dxa"/>
            </w:tcMar>
            <w:hideMark/>
          </w:tcPr>
          <w:p w14:paraId="55D35FD5" w14:textId="77777777" w:rsidR="00224D39" w:rsidRDefault="00224D39">
            <w:pPr>
              <w:spacing w:after="0"/>
            </w:pPr>
            <w:r>
              <w:rPr>
                <w:sz w:val="16"/>
                <w:szCs w:val="16"/>
              </w:rPr>
              <w:t>Governance and assurance</w:t>
            </w:r>
          </w:p>
        </w:tc>
        <w:tc>
          <w:tcPr>
            <w:tcW w:w="1656" w:type="dxa"/>
            <w:tcBorders>
              <w:top w:val="nil"/>
              <w:left w:val="nil"/>
              <w:bottom w:val="single" w:sz="8" w:space="0" w:color="auto"/>
              <w:right w:val="single" w:sz="8" w:space="0" w:color="auto"/>
            </w:tcBorders>
            <w:tcMar>
              <w:top w:w="100" w:type="dxa"/>
              <w:left w:w="120" w:type="dxa"/>
              <w:bottom w:w="100" w:type="dxa"/>
              <w:right w:w="120" w:type="dxa"/>
            </w:tcMar>
            <w:hideMark/>
          </w:tcPr>
          <w:p w14:paraId="29104C57" w14:textId="77777777" w:rsidR="00224D39" w:rsidRDefault="00224D39">
            <w:pPr>
              <w:spacing w:after="0"/>
            </w:pPr>
            <w:r>
              <w:rPr>
                <w:sz w:val="16"/>
                <w:szCs w:val="16"/>
              </w:rPr>
              <w:t>£33m</w:t>
            </w:r>
          </w:p>
        </w:tc>
        <w:tc>
          <w:tcPr>
            <w:tcW w:w="4464" w:type="dxa"/>
            <w:tcBorders>
              <w:top w:val="nil"/>
              <w:left w:val="nil"/>
              <w:bottom w:val="single" w:sz="8" w:space="0" w:color="auto"/>
              <w:right w:val="single" w:sz="8" w:space="0" w:color="auto"/>
            </w:tcBorders>
            <w:tcMar>
              <w:top w:w="100" w:type="dxa"/>
              <w:left w:w="120" w:type="dxa"/>
              <w:bottom w:w="100" w:type="dxa"/>
              <w:right w:w="120" w:type="dxa"/>
            </w:tcMar>
            <w:hideMark/>
          </w:tcPr>
          <w:p w14:paraId="714D76E6" w14:textId="77777777" w:rsidR="00224D39" w:rsidRDefault="00224D39">
            <w:pPr>
              <w:spacing w:after="0"/>
            </w:pPr>
            <w:r>
              <w:rPr>
                <w:sz w:val="16"/>
                <w:szCs w:val="16"/>
              </w:rPr>
              <w:t>Gateway and independent assurance</w:t>
            </w:r>
          </w:p>
        </w:tc>
      </w:tr>
      <w:tr w:rsidR="00224D39" w14:paraId="7FA4DE35" w14:textId="77777777">
        <w:trPr>
          <w:cantSplit/>
        </w:trPr>
        <w:tc>
          <w:tcPr>
            <w:tcW w:w="3528" w:type="dxa"/>
            <w:tcBorders>
              <w:top w:val="nil"/>
              <w:left w:val="single" w:sz="8" w:space="0" w:color="auto"/>
              <w:bottom w:val="single" w:sz="8" w:space="0" w:color="auto"/>
              <w:right w:val="single" w:sz="8" w:space="0" w:color="auto"/>
            </w:tcBorders>
            <w:shd w:val="clear" w:color="auto" w:fill="F7F9FB"/>
            <w:tcMar>
              <w:top w:w="100" w:type="dxa"/>
              <w:left w:w="120" w:type="dxa"/>
              <w:bottom w:w="100" w:type="dxa"/>
              <w:right w:w="120" w:type="dxa"/>
            </w:tcMar>
            <w:hideMark/>
          </w:tcPr>
          <w:p w14:paraId="37779FD9" w14:textId="77777777" w:rsidR="00224D39" w:rsidRDefault="00224D39">
            <w:pPr>
              <w:spacing w:after="0"/>
            </w:pPr>
            <w:r>
              <w:rPr>
                <w:sz w:val="16"/>
                <w:szCs w:val="16"/>
              </w:rPr>
              <w:t>Design and consents</w:t>
            </w:r>
          </w:p>
        </w:tc>
        <w:tc>
          <w:tcPr>
            <w:tcW w:w="1656"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033C11B7" w14:textId="77777777" w:rsidR="00224D39" w:rsidRDefault="00224D39">
            <w:pPr>
              <w:spacing w:after="0"/>
            </w:pPr>
            <w:r>
              <w:rPr>
                <w:sz w:val="16"/>
                <w:szCs w:val="16"/>
              </w:rPr>
              <w:t>£66m</w:t>
            </w:r>
          </w:p>
        </w:tc>
        <w:tc>
          <w:tcPr>
            <w:tcW w:w="4464"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328050B4" w14:textId="77777777" w:rsidR="00224D39" w:rsidRDefault="00224D39">
            <w:pPr>
              <w:spacing w:after="0"/>
            </w:pPr>
            <w:r>
              <w:rPr>
                <w:sz w:val="16"/>
                <w:szCs w:val="16"/>
              </w:rPr>
              <w:t>Design approval and statutory compliance</w:t>
            </w:r>
          </w:p>
        </w:tc>
      </w:tr>
      <w:tr w:rsidR="00224D39" w14:paraId="72AD3F43" w14:textId="77777777">
        <w:trPr>
          <w:cantSplit/>
        </w:trPr>
        <w:tc>
          <w:tcPr>
            <w:tcW w:w="3528" w:type="dxa"/>
            <w:tcBorders>
              <w:top w:val="nil"/>
              <w:left w:val="single" w:sz="8" w:space="0" w:color="auto"/>
              <w:bottom w:val="single" w:sz="8" w:space="0" w:color="auto"/>
              <w:right w:val="single" w:sz="8" w:space="0" w:color="auto"/>
            </w:tcBorders>
            <w:tcMar>
              <w:top w:w="100" w:type="dxa"/>
              <w:left w:w="120" w:type="dxa"/>
              <w:bottom w:w="100" w:type="dxa"/>
              <w:right w:w="120" w:type="dxa"/>
            </w:tcMar>
            <w:hideMark/>
          </w:tcPr>
          <w:p w14:paraId="72ED9FC5" w14:textId="77777777" w:rsidR="00224D39" w:rsidRDefault="00224D39">
            <w:pPr>
              <w:spacing w:after="0"/>
            </w:pPr>
            <w:r>
              <w:rPr>
                <w:sz w:val="16"/>
                <w:szCs w:val="16"/>
              </w:rPr>
              <w:t>Enabling works</w:t>
            </w:r>
          </w:p>
        </w:tc>
        <w:tc>
          <w:tcPr>
            <w:tcW w:w="1656" w:type="dxa"/>
            <w:tcBorders>
              <w:top w:val="nil"/>
              <w:left w:val="nil"/>
              <w:bottom w:val="single" w:sz="8" w:space="0" w:color="auto"/>
              <w:right w:val="single" w:sz="8" w:space="0" w:color="auto"/>
            </w:tcBorders>
            <w:tcMar>
              <w:top w:w="100" w:type="dxa"/>
              <w:left w:w="120" w:type="dxa"/>
              <w:bottom w:w="100" w:type="dxa"/>
              <w:right w:w="120" w:type="dxa"/>
            </w:tcMar>
            <w:hideMark/>
          </w:tcPr>
          <w:p w14:paraId="211746D3" w14:textId="77777777" w:rsidR="00224D39" w:rsidRDefault="00224D39">
            <w:pPr>
              <w:spacing w:after="0"/>
            </w:pPr>
            <w:r>
              <w:rPr>
                <w:sz w:val="16"/>
                <w:szCs w:val="16"/>
              </w:rPr>
              <w:t>£55m</w:t>
            </w:r>
          </w:p>
        </w:tc>
        <w:tc>
          <w:tcPr>
            <w:tcW w:w="4464" w:type="dxa"/>
            <w:tcBorders>
              <w:top w:val="nil"/>
              <w:left w:val="nil"/>
              <w:bottom w:val="single" w:sz="8" w:space="0" w:color="auto"/>
              <w:right w:val="single" w:sz="8" w:space="0" w:color="auto"/>
            </w:tcBorders>
            <w:tcMar>
              <w:top w:w="100" w:type="dxa"/>
              <w:left w:w="120" w:type="dxa"/>
              <w:bottom w:w="100" w:type="dxa"/>
              <w:right w:w="120" w:type="dxa"/>
            </w:tcMar>
            <w:hideMark/>
          </w:tcPr>
          <w:p w14:paraId="1504C2AE" w14:textId="77777777" w:rsidR="00224D39" w:rsidRDefault="00224D39">
            <w:pPr>
              <w:spacing w:after="0"/>
            </w:pPr>
            <w:r>
              <w:rPr>
                <w:sz w:val="16"/>
                <w:szCs w:val="16"/>
              </w:rPr>
              <w:t>Service continuity and site readiness</w:t>
            </w:r>
          </w:p>
        </w:tc>
      </w:tr>
      <w:tr w:rsidR="00224D39" w14:paraId="53263C23" w14:textId="77777777">
        <w:trPr>
          <w:cantSplit/>
        </w:trPr>
        <w:tc>
          <w:tcPr>
            <w:tcW w:w="3528" w:type="dxa"/>
            <w:tcBorders>
              <w:top w:val="nil"/>
              <w:left w:val="single" w:sz="8" w:space="0" w:color="auto"/>
              <w:bottom w:val="single" w:sz="8" w:space="0" w:color="auto"/>
              <w:right w:val="single" w:sz="8" w:space="0" w:color="auto"/>
            </w:tcBorders>
            <w:shd w:val="clear" w:color="auto" w:fill="F7F9FB"/>
            <w:tcMar>
              <w:top w:w="100" w:type="dxa"/>
              <w:left w:w="120" w:type="dxa"/>
              <w:bottom w:w="100" w:type="dxa"/>
              <w:right w:w="120" w:type="dxa"/>
            </w:tcMar>
            <w:hideMark/>
          </w:tcPr>
          <w:p w14:paraId="7B60D410" w14:textId="77777777" w:rsidR="00224D39" w:rsidRDefault="00224D39">
            <w:pPr>
              <w:spacing w:after="0"/>
            </w:pPr>
            <w:r>
              <w:rPr>
                <w:sz w:val="16"/>
                <w:szCs w:val="16"/>
              </w:rPr>
              <w:t>Construction and systems</w:t>
            </w:r>
          </w:p>
        </w:tc>
        <w:tc>
          <w:tcPr>
            <w:tcW w:w="1656"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4CB46B37" w14:textId="77777777" w:rsidR="00224D39" w:rsidRDefault="00224D39">
            <w:pPr>
              <w:spacing w:after="0"/>
            </w:pPr>
            <w:r>
              <w:rPr>
                <w:sz w:val="16"/>
                <w:szCs w:val="16"/>
              </w:rPr>
              <w:t>£286m</w:t>
            </w:r>
          </w:p>
        </w:tc>
        <w:tc>
          <w:tcPr>
            <w:tcW w:w="4464"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4081EB22" w14:textId="77777777" w:rsidR="00224D39" w:rsidRDefault="00224D39">
            <w:pPr>
              <w:spacing w:after="0"/>
            </w:pPr>
            <w:r>
              <w:rPr>
                <w:sz w:val="16"/>
                <w:szCs w:val="16"/>
              </w:rPr>
              <w:t xml:space="preserve">Cost, </w:t>
            </w:r>
            <w:proofErr w:type="spellStart"/>
            <w:r>
              <w:rPr>
                <w:sz w:val="16"/>
                <w:szCs w:val="16"/>
              </w:rPr>
              <w:t>programme</w:t>
            </w:r>
            <w:proofErr w:type="spellEnd"/>
            <w:r>
              <w:rPr>
                <w:sz w:val="16"/>
                <w:szCs w:val="16"/>
              </w:rPr>
              <w:t>, quality and interface control</w:t>
            </w:r>
          </w:p>
        </w:tc>
      </w:tr>
      <w:tr w:rsidR="00224D39" w14:paraId="7D5AE803" w14:textId="77777777">
        <w:trPr>
          <w:cantSplit/>
        </w:trPr>
        <w:tc>
          <w:tcPr>
            <w:tcW w:w="3528" w:type="dxa"/>
            <w:tcBorders>
              <w:top w:val="nil"/>
              <w:left w:val="single" w:sz="8" w:space="0" w:color="auto"/>
              <w:bottom w:val="single" w:sz="8" w:space="0" w:color="auto"/>
              <w:right w:val="single" w:sz="8" w:space="0" w:color="auto"/>
            </w:tcBorders>
            <w:tcMar>
              <w:top w:w="100" w:type="dxa"/>
              <w:left w:w="120" w:type="dxa"/>
              <w:bottom w:w="100" w:type="dxa"/>
              <w:right w:w="120" w:type="dxa"/>
            </w:tcMar>
            <w:hideMark/>
          </w:tcPr>
          <w:p w14:paraId="7CDDDACF" w14:textId="77777777" w:rsidR="00224D39" w:rsidRDefault="00224D39">
            <w:pPr>
              <w:spacing w:after="0"/>
            </w:pPr>
            <w:r>
              <w:rPr>
                <w:sz w:val="16"/>
                <w:szCs w:val="16"/>
              </w:rPr>
              <w:t>Digital and training</w:t>
            </w:r>
          </w:p>
        </w:tc>
        <w:tc>
          <w:tcPr>
            <w:tcW w:w="1656" w:type="dxa"/>
            <w:tcBorders>
              <w:top w:val="nil"/>
              <w:left w:val="nil"/>
              <w:bottom w:val="single" w:sz="8" w:space="0" w:color="auto"/>
              <w:right w:val="single" w:sz="8" w:space="0" w:color="auto"/>
            </w:tcBorders>
            <w:tcMar>
              <w:top w:w="100" w:type="dxa"/>
              <w:left w:w="120" w:type="dxa"/>
              <w:bottom w:w="100" w:type="dxa"/>
              <w:right w:w="120" w:type="dxa"/>
            </w:tcMar>
            <w:hideMark/>
          </w:tcPr>
          <w:p w14:paraId="66203E11" w14:textId="77777777" w:rsidR="00224D39" w:rsidRDefault="00224D39">
            <w:pPr>
              <w:spacing w:after="0"/>
            </w:pPr>
            <w:r>
              <w:rPr>
                <w:sz w:val="16"/>
                <w:szCs w:val="16"/>
              </w:rPr>
              <w:t>£44m</w:t>
            </w:r>
          </w:p>
        </w:tc>
        <w:tc>
          <w:tcPr>
            <w:tcW w:w="4464" w:type="dxa"/>
            <w:tcBorders>
              <w:top w:val="nil"/>
              <w:left w:val="nil"/>
              <w:bottom w:val="single" w:sz="8" w:space="0" w:color="auto"/>
              <w:right w:val="single" w:sz="8" w:space="0" w:color="auto"/>
            </w:tcBorders>
            <w:tcMar>
              <w:top w:w="100" w:type="dxa"/>
              <w:left w:w="120" w:type="dxa"/>
              <w:bottom w:w="100" w:type="dxa"/>
              <w:right w:w="120" w:type="dxa"/>
            </w:tcMar>
            <w:hideMark/>
          </w:tcPr>
          <w:p w14:paraId="7DFA1094" w14:textId="77777777" w:rsidR="00224D39" w:rsidRDefault="00224D39">
            <w:pPr>
              <w:spacing w:after="0"/>
            </w:pPr>
            <w:r>
              <w:rPr>
                <w:sz w:val="16"/>
                <w:szCs w:val="16"/>
              </w:rPr>
              <w:t>Systems integration, testing and competence</w:t>
            </w:r>
          </w:p>
        </w:tc>
      </w:tr>
      <w:tr w:rsidR="00224D39" w14:paraId="66FC58F0" w14:textId="77777777">
        <w:trPr>
          <w:cantSplit/>
        </w:trPr>
        <w:tc>
          <w:tcPr>
            <w:tcW w:w="3528" w:type="dxa"/>
            <w:tcBorders>
              <w:top w:val="nil"/>
              <w:left w:val="single" w:sz="8" w:space="0" w:color="auto"/>
              <w:bottom w:val="single" w:sz="8" w:space="0" w:color="auto"/>
              <w:right w:val="single" w:sz="8" w:space="0" w:color="auto"/>
            </w:tcBorders>
            <w:shd w:val="clear" w:color="auto" w:fill="F7F9FB"/>
            <w:tcMar>
              <w:top w:w="100" w:type="dxa"/>
              <w:left w:w="120" w:type="dxa"/>
              <w:bottom w:w="100" w:type="dxa"/>
              <w:right w:w="120" w:type="dxa"/>
            </w:tcMar>
            <w:hideMark/>
          </w:tcPr>
          <w:p w14:paraId="2383AAA9" w14:textId="77777777" w:rsidR="00224D39" w:rsidRDefault="00224D39">
            <w:pPr>
              <w:spacing w:after="0"/>
            </w:pPr>
            <w:r>
              <w:rPr>
                <w:sz w:val="16"/>
                <w:szCs w:val="16"/>
              </w:rPr>
              <w:t>Contingency</w:t>
            </w:r>
          </w:p>
        </w:tc>
        <w:tc>
          <w:tcPr>
            <w:tcW w:w="1656"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0D36DAB5" w14:textId="77777777" w:rsidR="00224D39" w:rsidRDefault="00224D39">
            <w:pPr>
              <w:spacing w:after="0"/>
            </w:pPr>
            <w:r>
              <w:rPr>
                <w:sz w:val="16"/>
                <w:szCs w:val="16"/>
              </w:rPr>
              <w:t>£55m</w:t>
            </w:r>
          </w:p>
        </w:tc>
        <w:tc>
          <w:tcPr>
            <w:tcW w:w="4464"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0C7105E8" w14:textId="77777777" w:rsidR="00224D39" w:rsidRDefault="00224D39">
            <w:pPr>
              <w:spacing w:after="0"/>
            </w:pPr>
            <w:r>
              <w:rPr>
                <w:sz w:val="16"/>
                <w:szCs w:val="16"/>
              </w:rPr>
              <w:t>Evidence-based Project Board drawdown</w:t>
            </w:r>
          </w:p>
        </w:tc>
      </w:tr>
      <w:tr w:rsidR="00224D39" w14:paraId="768A5AA7" w14:textId="77777777">
        <w:trPr>
          <w:cantSplit/>
        </w:trPr>
        <w:tc>
          <w:tcPr>
            <w:tcW w:w="3528" w:type="dxa"/>
            <w:tcBorders>
              <w:top w:val="nil"/>
              <w:left w:val="single" w:sz="8" w:space="0" w:color="auto"/>
              <w:bottom w:val="single" w:sz="8" w:space="0" w:color="auto"/>
              <w:right w:val="single" w:sz="8" w:space="0" w:color="auto"/>
            </w:tcBorders>
            <w:tcMar>
              <w:top w:w="100" w:type="dxa"/>
              <w:left w:w="120" w:type="dxa"/>
              <w:bottom w:w="100" w:type="dxa"/>
              <w:right w:w="120" w:type="dxa"/>
            </w:tcMar>
            <w:hideMark/>
          </w:tcPr>
          <w:p w14:paraId="79ECF036" w14:textId="77777777" w:rsidR="00224D39" w:rsidRDefault="00224D39">
            <w:pPr>
              <w:spacing w:after="0"/>
            </w:pPr>
            <w:r>
              <w:rPr>
                <w:sz w:val="16"/>
                <w:szCs w:val="16"/>
              </w:rPr>
              <w:t>Handover</w:t>
            </w:r>
          </w:p>
        </w:tc>
        <w:tc>
          <w:tcPr>
            <w:tcW w:w="1656" w:type="dxa"/>
            <w:tcBorders>
              <w:top w:val="nil"/>
              <w:left w:val="nil"/>
              <w:bottom w:val="single" w:sz="8" w:space="0" w:color="auto"/>
              <w:right w:val="single" w:sz="8" w:space="0" w:color="auto"/>
            </w:tcBorders>
            <w:tcMar>
              <w:top w:w="100" w:type="dxa"/>
              <w:left w:w="120" w:type="dxa"/>
              <w:bottom w:w="100" w:type="dxa"/>
              <w:right w:w="120" w:type="dxa"/>
            </w:tcMar>
            <w:hideMark/>
          </w:tcPr>
          <w:p w14:paraId="11C83F95" w14:textId="77777777" w:rsidR="00224D39" w:rsidRDefault="00224D39">
            <w:pPr>
              <w:spacing w:after="0"/>
            </w:pPr>
            <w:r>
              <w:rPr>
                <w:sz w:val="16"/>
                <w:szCs w:val="16"/>
              </w:rPr>
              <w:t>£11m</w:t>
            </w:r>
          </w:p>
        </w:tc>
        <w:tc>
          <w:tcPr>
            <w:tcW w:w="4464" w:type="dxa"/>
            <w:tcBorders>
              <w:top w:val="nil"/>
              <w:left w:val="nil"/>
              <w:bottom w:val="single" w:sz="8" w:space="0" w:color="auto"/>
              <w:right w:val="single" w:sz="8" w:space="0" w:color="auto"/>
            </w:tcBorders>
            <w:tcMar>
              <w:top w:w="100" w:type="dxa"/>
              <w:left w:w="120" w:type="dxa"/>
              <w:bottom w:w="100" w:type="dxa"/>
              <w:right w:w="120" w:type="dxa"/>
            </w:tcMar>
            <w:hideMark/>
          </w:tcPr>
          <w:p w14:paraId="4A3BE343" w14:textId="77777777" w:rsidR="00224D39" w:rsidRDefault="00224D39">
            <w:pPr>
              <w:spacing w:after="0"/>
            </w:pPr>
            <w:r>
              <w:rPr>
                <w:sz w:val="16"/>
                <w:szCs w:val="16"/>
              </w:rPr>
              <w:t>Operational acceptance and benefits baseline</w:t>
            </w:r>
          </w:p>
        </w:tc>
      </w:tr>
      <w:tr w:rsidR="00224D39" w14:paraId="1E98C790" w14:textId="77777777">
        <w:trPr>
          <w:cantSplit/>
        </w:trPr>
        <w:tc>
          <w:tcPr>
            <w:tcW w:w="3528" w:type="dxa"/>
            <w:tcBorders>
              <w:top w:val="nil"/>
              <w:left w:val="single" w:sz="8" w:space="0" w:color="auto"/>
              <w:bottom w:val="single" w:sz="8" w:space="0" w:color="auto"/>
              <w:right w:val="single" w:sz="8" w:space="0" w:color="auto"/>
            </w:tcBorders>
            <w:shd w:val="clear" w:color="auto" w:fill="F7F9FB"/>
            <w:tcMar>
              <w:top w:w="100" w:type="dxa"/>
              <w:left w:w="120" w:type="dxa"/>
              <w:bottom w:w="100" w:type="dxa"/>
              <w:right w:w="120" w:type="dxa"/>
            </w:tcMar>
            <w:hideMark/>
          </w:tcPr>
          <w:p w14:paraId="34C4A64A" w14:textId="77777777" w:rsidR="00224D39" w:rsidRDefault="00224D39">
            <w:pPr>
              <w:spacing w:after="0"/>
            </w:pPr>
            <w:r>
              <w:rPr>
                <w:sz w:val="16"/>
                <w:szCs w:val="16"/>
              </w:rPr>
              <w:t>Total</w:t>
            </w:r>
          </w:p>
        </w:tc>
        <w:tc>
          <w:tcPr>
            <w:tcW w:w="1656"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772C34D4" w14:textId="77777777" w:rsidR="00224D39" w:rsidRDefault="00224D39">
            <w:pPr>
              <w:spacing w:after="0"/>
            </w:pPr>
            <w:r>
              <w:rPr>
                <w:sz w:val="16"/>
                <w:szCs w:val="16"/>
              </w:rPr>
              <w:t>£550m</w:t>
            </w:r>
          </w:p>
        </w:tc>
        <w:tc>
          <w:tcPr>
            <w:tcW w:w="4464"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75F3A1F2" w14:textId="77777777" w:rsidR="00224D39" w:rsidRDefault="00224D39">
            <w:pPr>
              <w:spacing w:after="0"/>
            </w:pPr>
            <w:r>
              <w:rPr>
                <w:sz w:val="16"/>
                <w:szCs w:val="16"/>
              </w:rPr>
              <w:t>Approved control budget</w:t>
            </w:r>
          </w:p>
        </w:tc>
      </w:tr>
    </w:tbl>
    <w:p w14:paraId="6F4B3588" w14:textId="77777777" w:rsidR="00381E64" w:rsidRDefault="00381E64">
      <w:pPr>
        <w:spacing w:after="0"/>
      </w:pPr>
    </w:p>
    <w:p w14:paraId="3351963F" w14:textId="77777777" w:rsidR="00381E64" w:rsidRDefault="00000000">
      <w:pPr>
        <w:pStyle w:val="Heading2"/>
      </w:pPr>
      <w:bookmarkStart w:id="92" w:name="_Toc237358552"/>
      <w:bookmarkStart w:id="93" w:name="_Toc237874573"/>
      <w:bookmarkStart w:id="94" w:name="_Toc237875100"/>
      <w:bookmarkStart w:id="95" w:name="_Toc237875711"/>
      <w:bookmarkStart w:id="96" w:name="_Toc237877360"/>
      <w:r>
        <w:t>9. Risk Analysis</w:t>
      </w:r>
      <w:bookmarkEnd w:id="92"/>
      <w:bookmarkEnd w:id="93"/>
      <w:bookmarkEnd w:id="94"/>
      <w:bookmarkEnd w:id="95"/>
      <w:bookmarkEnd w:id="96"/>
    </w:p>
    <w:p w14:paraId="6B74B00F" w14:textId="77777777" w:rsidR="00381E64" w:rsidRDefault="00000000">
      <w:pPr>
        <w:pStyle w:val="Caption"/>
        <w:keepNext/>
      </w:pPr>
      <w:r>
        <w:rPr>
          <w:color w:val="17365D"/>
        </w:rPr>
        <w:t xml:space="preserve">Table </w:t>
      </w:r>
      <w:r w:rsidR="00576BB8" w:rsidRPr="00576BB8">
        <w:rPr>
          <w:color w:val="17365D"/>
        </w:rPr>
        <w:t>2</w:t>
      </w:r>
      <w:r>
        <w:rPr>
          <w:color w:val="17365D"/>
        </w:rPr>
        <w:t xml:space="preserve">. Risk </w:t>
      </w:r>
      <w:r w:rsidR="00576BB8" w:rsidRPr="00576BB8">
        <w:rPr>
          <w:color w:val="17365D"/>
        </w:rPr>
        <w:t>Analysis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6"/>
        <w:gridCol w:w="1013"/>
        <w:gridCol w:w="789"/>
        <w:gridCol w:w="714"/>
        <w:gridCol w:w="4040"/>
        <w:gridCol w:w="1206"/>
      </w:tblGrid>
      <w:tr w:rsidR="00224D39" w14:paraId="69A20625" w14:textId="77777777">
        <w:trPr>
          <w:cantSplit/>
          <w:tblHeader/>
        </w:trPr>
        <w:tc>
          <w:tcPr>
            <w:tcW w:w="1944" w:type="dxa"/>
            <w:tcBorders>
              <w:top w:val="single" w:sz="8" w:space="0" w:color="auto"/>
              <w:left w:val="single" w:sz="8" w:space="0" w:color="auto"/>
              <w:bottom w:val="single" w:sz="8" w:space="0" w:color="auto"/>
              <w:right w:val="single" w:sz="8" w:space="0" w:color="auto"/>
            </w:tcBorders>
            <w:shd w:val="clear" w:color="auto" w:fill="1F4E79"/>
            <w:tcMar>
              <w:top w:w="100" w:type="dxa"/>
              <w:left w:w="120" w:type="dxa"/>
              <w:bottom w:w="100" w:type="dxa"/>
              <w:right w:w="120" w:type="dxa"/>
            </w:tcMar>
            <w:hideMark/>
          </w:tcPr>
          <w:p w14:paraId="55073932" w14:textId="77777777" w:rsidR="00224D39" w:rsidRDefault="00224D39">
            <w:pPr>
              <w:spacing w:after="0"/>
              <w:rPr>
                <w:lang w:val="en-GB" w:eastAsia="en-GB"/>
              </w:rPr>
            </w:pPr>
            <w:r>
              <w:rPr>
                <w:b/>
                <w:bCs/>
                <w:color w:val="FFFFFF"/>
                <w:sz w:val="18"/>
                <w:szCs w:val="18"/>
              </w:rPr>
              <w:t>Risk</w:t>
            </w:r>
          </w:p>
        </w:tc>
        <w:tc>
          <w:tcPr>
            <w:tcW w:w="936" w:type="dxa"/>
            <w:tcBorders>
              <w:top w:val="single" w:sz="8" w:space="0" w:color="auto"/>
              <w:left w:val="nil"/>
              <w:bottom w:val="single" w:sz="8" w:space="0" w:color="auto"/>
              <w:right w:val="single" w:sz="8" w:space="0" w:color="auto"/>
            </w:tcBorders>
            <w:shd w:val="clear" w:color="auto" w:fill="1F4E79"/>
            <w:tcMar>
              <w:top w:w="100" w:type="dxa"/>
              <w:left w:w="120" w:type="dxa"/>
              <w:bottom w:w="100" w:type="dxa"/>
              <w:right w:w="120" w:type="dxa"/>
            </w:tcMar>
            <w:hideMark/>
          </w:tcPr>
          <w:p w14:paraId="112A18D8" w14:textId="77777777" w:rsidR="00224D39" w:rsidRDefault="00224D39">
            <w:pPr>
              <w:spacing w:after="0"/>
            </w:pPr>
            <w:r>
              <w:rPr>
                <w:b/>
                <w:bCs/>
                <w:color w:val="FFFFFF"/>
                <w:sz w:val="18"/>
                <w:szCs w:val="18"/>
              </w:rPr>
              <w:t>Likelihood</w:t>
            </w:r>
          </w:p>
        </w:tc>
        <w:tc>
          <w:tcPr>
            <w:tcW w:w="792" w:type="dxa"/>
            <w:tcBorders>
              <w:top w:val="single" w:sz="8" w:space="0" w:color="auto"/>
              <w:left w:val="nil"/>
              <w:bottom w:val="single" w:sz="8" w:space="0" w:color="auto"/>
              <w:right w:val="single" w:sz="8" w:space="0" w:color="auto"/>
            </w:tcBorders>
            <w:shd w:val="clear" w:color="auto" w:fill="1F4E79"/>
            <w:tcMar>
              <w:top w:w="100" w:type="dxa"/>
              <w:left w:w="120" w:type="dxa"/>
              <w:bottom w:w="100" w:type="dxa"/>
              <w:right w:w="120" w:type="dxa"/>
            </w:tcMar>
            <w:hideMark/>
          </w:tcPr>
          <w:p w14:paraId="1707DC9B" w14:textId="77777777" w:rsidR="00224D39" w:rsidRDefault="00224D39">
            <w:pPr>
              <w:spacing w:after="0"/>
            </w:pPr>
            <w:r>
              <w:rPr>
                <w:b/>
                <w:bCs/>
                <w:color w:val="FFFFFF"/>
                <w:sz w:val="18"/>
                <w:szCs w:val="18"/>
              </w:rPr>
              <w:t>Impact</w:t>
            </w:r>
          </w:p>
        </w:tc>
        <w:tc>
          <w:tcPr>
            <w:tcW w:w="720" w:type="dxa"/>
            <w:tcBorders>
              <w:top w:val="single" w:sz="8" w:space="0" w:color="auto"/>
              <w:left w:val="nil"/>
              <w:bottom w:val="single" w:sz="8" w:space="0" w:color="auto"/>
              <w:right w:val="single" w:sz="8" w:space="0" w:color="auto"/>
            </w:tcBorders>
            <w:shd w:val="clear" w:color="auto" w:fill="1F4E79"/>
            <w:tcMar>
              <w:top w:w="100" w:type="dxa"/>
              <w:left w:w="120" w:type="dxa"/>
              <w:bottom w:w="100" w:type="dxa"/>
              <w:right w:w="120" w:type="dxa"/>
            </w:tcMar>
            <w:hideMark/>
          </w:tcPr>
          <w:p w14:paraId="23A6DA63" w14:textId="77777777" w:rsidR="00224D39" w:rsidRDefault="00224D39">
            <w:pPr>
              <w:spacing w:after="0"/>
            </w:pPr>
            <w:r>
              <w:rPr>
                <w:b/>
                <w:bCs/>
                <w:color w:val="FFFFFF"/>
                <w:sz w:val="18"/>
                <w:szCs w:val="18"/>
              </w:rPr>
              <w:t>Score</w:t>
            </w:r>
          </w:p>
        </w:tc>
        <w:tc>
          <w:tcPr>
            <w:tcW w:w="4320" w:type="dxa"/>
            <w:tcBorders>
              <w:top w:val="single" w:sz="8" w:space="0" w:color="auto"/>
              <w:left w:val="nil"/>
              <w:bottom w:val="single" w:sz="8" w:space="0" w:color="auto"/>
              <w:right w:val="single" w:sz="8" w:space="0" w:color="auto"/>
            </w:tcBorders>
            <w:shd w:val="clear" w:color="auto" w:fill="1F4E79"/>
            <w:tcMar>
              <w:top w:w="100" w:type="dxa"/>
              <w:left w:w="120" w:type="dxa"/>
              <w:bottom w:w="100" w:type="dxa"/>
              <w:right w:w="120" w:type="dxa"/>
            </w:tcMar>
            <w:hideMark/>
          </w:tcPr>
          <w:p w14:paraId="5314C4A8" w14:textId="77777777" w:rsidR="00224D39" w:rsidRDefault="00224D39">
            <w:pPr>
              <w:spacing w:after="0"/>
            </w:pPr>
            <w:r>
              <w:rPr>
                <w:b/>
                <w:bCs/>
                <w:color w:val="FFFFFF"/>
                <w:sz w:val="18"/>
                <w:szCs w:val="18"/>
              </w:rPr>
              <w:t>Response / mitigation</w:t>
            </w:r>
          </w:p>
        </w:tc>
        <w:tc>
          <w:tcPr>
            <w:tcW w:w="1224" w:type="dxa"/>
            <w:tcBorders>
              <w:top w:val="single" w:sz="8" w:space="0" w:color="auto"/>
              <w:left w:val="nil"/>
              <w:bottom w:val="single" w:sz="8" w:space="0" w:color="auto"/>
              <w:right w:val="single" w:sz="8" w:space="0" w:color="auto"/>
            </w:tcBorders>
            <w:shd w:val="clear" w:color="auto" w:fill="1F4E79"/>
            <w:tcMar>
              <w:top w:w="100" w:type="dxa"/>
              <w:left w:w="120" w:type="dxa"/>
              <w:bottom w:w="100" w:type="dxa"/>
              <w:right w:w="120" w:type="dxa"/>
            </w:tcMar>
            <w:hideMark/>
          </w:tcPr>
          <w:p w14:paraId="5EC93FD0" w14:textId="77777777" w:rsidR="00224D39" w:rsidRDefault="00224D39">
            <w:pPr>
              <w:spacing w:after="0"/>
            </w:pPr>
            <w:r>
              <w:rPr>
                <w:b/>
                <w:bCs/>
                <w:color w:val="FFFFFF"/>
                <w:sz w:val="18"/>
                <w:szCs w:val="18"/>
              </w:rPr>
              <w:t>Owner</w:t>
            </w:r>
          </w:p>
        </w:tc>
      </w:tr>
      <w:tr w:rsidR="00224D39" w14:paraId="14BF3154" w14:textId="77777777">
        <w:trPr>
          <w:cantSplit/>
        </w:trPr>
        <w:tc>
          <w:tcPr>
            <w:tcW w:w="1944" w:type="dxa"/>
            <w:tcBorders>
              <w:top w:val="nil"/>
              <w:left w:val="single" w:sz="8" w:space="0" w:color="auto"/>
              <w:bottom w:val="single" w:sz="8" w:space="0" w:color="auto"/>
              <w:right w:val="single" w:sz="8" w:space="0" w:color="auto"/>
            </w:tcBorders>
            <w:tcMar>
              <w:top w:w="100" w:type="dxa"/>
              <w:left w:w="120" w:type="dxa"/>
              <w:bottom w:w="100" w:type="dxa"/>
              <w:right w:w="120" w:type="dxa"/>
            </w:tcMar>
            <w:hideMark/>
          </w:tcPr>
          <w:p w14:paraId="07D2B5C0" w14:textId="77777777" w:rsidR="00224D39" w:rsidRDefault="00224D39">
            <w:pPr>
              <w:spacing w:after="0"/>
            </w:pPr>
            <w:r>
              <w:rPr>
                <w:sz w:val="16"/>
                <w:szCs w:val="16"/>
              </w:rPr>
              <w:t>Unknown structural condition</w:t>
            </w:r>
          </w:p>
        </w:tc>
        <w:tc>
          <w:tcPr>
            <w:tcW w:w="936" w:type="dxa"/>
            <w:tcBorders>
              <w:top w:val="nil"/>
              <w:left w:val="nil"/>
              <w:bottom w:val="single" w:sz="8" w:space="0" w:color="auto"/>
              <w:right w:val="single" w:sz="8" w:space="0" w:color="auto"/>
            </w:tcBorders>
            <w:tcMar>
              <w:top w:w="100" w:type="dxa"/>
              <w:left w:w="120" w:type="dxa"/>
              <w:bottom w:w="100" w:type="dxa"/>
              <w:right w:w="120" w:type="dxa"/>
            </w:tcMar>
            <w:hideMark/>
          </w:tcPr>
          <w:p w14:paraId="39934757" w14:textId="77777777" w:rsidR="00224D39" w:rsidRDefault="00224D39">
            <w:pPr>
              <w:spacing w:after="0"/>
            </w:pPr>
            <w:r>
              <w:rPr>
                <w:sz w:val="16"/>
                <w:szCs w:val="16"/>
              </w:rPr>
              <w:t>4</w:t>
            </w:r>
          </w:p>
        </w:tc>
        <w:tc>
          <w:tcPr>
            <w:tcW w:w="792" w:type="dxa"/>
            <w:tcBorders>
              <w:top w:val="nil"/>
              <w:left w:val="nil"/>
              <w:bottom w:val="single" w:sz="8" w:space="0" w:color="auto"/>
              <w:right w:val="single" w:sz="8" w:space="0" w:color="auto"/>
            </w:tcBorders>
            <w:tcMar>
              <w:top w:w="100" w:type="dxa"/>
              <w:left w:w="120" w:type="dxa"/>
              <w:bottom w:w="100" w:type="dxa"/>
              <w:right w:w="120" w:type="dxa"/>
            </w:tcMar>
            <w:hideMark/>
          </w:tcPr>
          <w:p w14:paraId="62249E1C" w14:textId="77777777" w:rsidR="00224D39" w:rsidRDefault="00224D39">
            <w:pPr>
              <w:spacing w:after="0"/>
            </w:pPr>
            <w:r>
              <w:rPr>
                <w:sz w:val="16"/>
                <w:szCs w:val="16"/>
              </w:rPr>
              <w:t>5</w:t>
            </w:r>
          </w:p>
        </w:tc>
        <w:tc>
          <w:tcPr>
            <w:tcW w:w="720" w:type="dxa"/>
            <w:tcBorders>
              <w:top w:val="nil"/>
              <w:left w:val="nil"/>
              <w:bottom w:val="single" w:sz="8" w:space="0" w:color="auto"/>
              <w:right w:val="single" w:sz="8" w:space="0" w:color="auto"/>
            </w:tcBorders>
            <w:tcMar>
              <w:top w:w="100" w:type="dxa"/>
              <w:left w:w="120" w:type="dxa"/>
              <w:bottom w:w="100" w:type="dxa"/>
              <w:right w:w="120" w:type="dxa"/>
            </w:tcMar>
            <w:hideMark/>
          </w:tcPr>
          <w:p w14:paraId="31D27948" w14:textId="77777777" w:rsidR="00224D39" w:rsidRDefault="00224D39">
            <w:pPr>
              <w:spacing w:after="0"/>
            </w:pPr>
            <w:r>
              <w:rPr>
                <w:sz w:val="16"/>
                <w:szCs w:val="16"/>
              </w:rPr>
              <w:t>20</w:t>
            </w:r>
          </w:p>
        </w:tc>
        <w:tc>
          <w:tcPr>
            <w:tcW w:w="4320" w:type="dxa"/>
            <w:tcBorders>
              <w:top w:val="nil"/>
              <w:left w:val="nil"/>
              <w:bottom w:val="single" w:sz="8" w:space="0" w:color="auto"/>
              <w:right w:val="single" w:sz="8" w:space="0" w:color="auto"/>
            </w:tcBorders>
            <w:tcMar>
              <w:top w:w="100" w:type="dxa"/>
              <w:left w:w="120" w:type="dxa"/>
              <w:bottom w:w="100" w:type="dxa"/>
              <w:right w:w="120" w:type="dxa"/>
            </w:tcMar>
            <w:hideMark/>
          </w:tcPr>
          <w:p w14:paraId="72838237" w14:textId="77777777" w:rsidR="00224D39" w:rsidRDefault="00224D39">
            <w:pPr>
              <w:spacing w:after="0"/>
            </w:pPr>
            <w:r>
              <w:rPr>
                <w:sz w:val="16"/>
                <w:szCs w:val="16"/>
              </w:rPr>
              <w:t>Early intrusive surveys; design allowance; independent review.</w:t>
            </w:r>
          </w:p>
        </w:tc>
        <w:tc>
          <w:tcPr>
            <w:tcW w:w="1224" w:type="dxa"/>
            <w:tcBorders>
              <w:top w:val="nil"/>
              <w:left w:val="nil"/>
              <w:bottom w:val="single" w:sz="8" w:space="0" w:color="auto"/>
              <w:right w:val="single" w:sz="8" w:space="0" w:color="auto"/>
            </w:tcBorders>
            <w:tcMar>
              <w:top w:w="100" w:type="dxa"/>
              <w:left w:w="120" w:type="dxa"/>
              <w:bottom w:w="100" w:type="dxa"/>
              <w:right w:w="120" w:type="dxa"/>
            </w:tcMar>
            <w:hideMark/>
          </w:tcPr>
          <w:p w14:paraId="3A2767A0" w14:textId="77777777" w:rsidR="00224D39" w:rsidRDefault="00224D39">
            <w:pPr>
              <w:spacing w:after="0"/>
            </w:pPr>
            <w:r>
              <w:rPr>
                <w:sz w:val="16"/>
                <w:szCs w:val="16"/>
              </w:rPr>
              <w:t>Technical lead</w:t>
            </w:r>
          </w:p>
        </w:tc>
      </w:tr>
      <w:tr w:rsidR="00224D39" w14:paraId="3F69A0AA" w14:textId="77777777">
        <w:trPr>
          <w:cantSplit/>
        </w:trPr>
        <w:tc>
          <w:tcPr>
            <w:tcW w:w="1944" w:type="dxa"/>
            <w:tcBorders>
              <w:top w:val="nil"/>
              <w:left w:val="single" w:sz="8" w:space="0" w:color="auto"/>
              <w:bottom w:val="single" w:sz="8" w:space="0" w:color="auto"/>
              <w:right w:val="single" w:sz="8" w:space="0" w:color="auto"/>
            </w:tcBorders>
            <w:shd w:val="clear" w:color="auto" w:fill="F7F9FB"/>
            <w:tcMar>
              <w:top w:w="100" w:type="dxa"/>
              <w:left w:w="120" w:type="dxa"/>
              <w:bottom w:w="100" w:type="dxa"/>
              <w:right w:w="120" w:type="dxa"/>
            </w:tcMar>
            <w:hideMark/>
          </w:tcPr>
          <w:p w14:paraId="05D432F2" w14:textId="77777777" w:rsidR="00224D39" w:rsidRDefault="00224D39">
            <w:pPr>
              <w:spacing w:after="0"/>
            </w:pPr>
            <w:r>
              <w:rPr>
                <w:sz w:val="16"/>
                <w:szCs w:val="16"/>
              </w:rPr>
              <w:t>Consent or approval delay</w:t>
            </w:r>
          </w:p>
        </w:tc>
        <w:tc>
          <w:tcPr>
            <w:tcW w:w="936"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38B30FB5" w14:textId="77777777" w:rsidR="00224D39" w:rsidRDefault="00224D39">
            <w:pPr>
              <w:spacing w:after="0"/>
            </w:pPr>
            <w:r>
              <w:rPr>
                <w:sz w:val="16"/>
                <w:szCs w:val="16"/>
              </w:rPr>
              <w:t>3</w:t>
            </w:r>
          </w:p>
        </w:tc>
        <w:tc>
          <w:tcPr>
            <w:tcW w:w="792"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486E6985" w14:textId="77777777" w:rsidR="00224D39" w:rsidRDefault="00224D39">
            <w:pPr>
              <w:spacing w:after="0"/>
            </w:pPr>
            <w:r>
              <w:rPr>
                <w:sz w:val="16"/>
                <w:szCs w:val="16"/>
              </w:rPr>
              <w:t>4</w:t>
            </w:r>
          </w:p>
        </w:tc>
        <w:tc>
          <w:tcPr>
            <w:tcW w:w="720"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4ED2FA31" w14:textId="77777777" w:rsidR="00224D39" w:rsidRDefault="00224D39">
            <w:pPr>
              <w:spacing w:after="0"/>
            </w:pPr>
            <w:r>
              <w:rPr>
                <w:sz w:val="16"/>
                <w:szCs w:val="16"/>
              </w:rPr>
              <w:t>12</w:t>
            </w:r>
          </w:p>
        </w:tc>
        <w:tc>
          <w:tcPr>
            <w:tcW w:w="4320"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0ED512B4" w14:textId="77777777" w:rsidR="00224D39" w:rsidRDefault="00224D39">
            <w:pPr>
              <w:spacing w:after="0"/>
            </w:pPr>
            <w:r>
              <w:rPr>
                <w:sz w:val="16"/>
                <w:szCs w:val="16"/>
              </w:rPr>
              <w:t>Early regulator engagement; approvals tracker; gateway readiness reviews.</w:t>
            </w:r>
          </w:p>
        </w:tc>
        <w:tc>
          <w:tcPr>
            <w:tcW w:w="1224"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1F3B4242" w14:textId="77777777" w:rsidR="00224D39" w:rsidRDefault="00224D39">
            <w:pPr>
              <w:spacing w:after="0"/>
            </w:pPr>
            <w:r>
              <w:rPr>
                <w:sz w:val="16"/>
                <w:szCs w:val="16"/>
              </w:rPr>
              <w:t>PM</w:t>
            </w:r>
          </w:p>
        </w:tc>
      </w:tr>
      <w:tr w:rsidR="00224D39" w14:paraId="74EA074F" w14:textId="77777777">
        <w:trPr>
          <w:cantSplit/>
        </w:trPr>
        <w:tc>
          <w:tcPr>
            <w:tcW w:w="1944" w:type="dxa"/>
            <w:tcBorders>
              <w:top w:val="nil"/>
              <w:left w:val="single" w:sz="8" w:space="0" w:color="auto"/>
              <w:bottom w:val="single" w:sz="8" w:space="0" w:color="auto"/>
              <w:right w:val="single" w:sz="8" w:space="0" w:color="auto"/>
            </w:tcBorders>
            <w:tcMar>
              <w:top w:w="100" w:type="dxa"/>
              <w:left w:w="120" w:type="dxa"/>
              <w:bottom w:w="100" w:type="dxa"/>
              <w:right w:w="120" w:type="dxa"/>
            </w:tcMar>
            <w:hideMark/>
          </w:tcPr>
          <w:p w14:paraId="5245668F" w14:textId="77777777" w:rsidR="00224D39" w:rsidRDefault="00224D39">
            <w:pPr>
              <w:spacing w:after="0"/>
            </w:pPr>
            <w:r>
              <w:rPr>
                <w:sz w:val="16"/>
                <w:szCs w:val="16"/>
              </w:rPr>
              <w:t>Cost inflation / supply constraint</w:t>
            </w:r>
          </w:p>
        </w:tc>
        <w:tc>
          <w:tcPr>
            <w:tcW w:w="936" w:type="dxa"/>
            <w:tcBorders>
              <w:top w:val="nil"/>
              <w:left w:val="nil"/>
              <w:bottom w:val="single" w:sz="8" w:space="0" w:color="auto"/>
              <w:right w:val="single" w:sz="8" w:space="0" w:color="auto"/>
            </w:tcBorders>
            <w:tcMar>
              <w:top w:w="100" w:type="dxa"/>
              <w:left w:w="120" w:type="dxa"/>
              <w:bottom w:w="100" w:type="dxa"/>
              <w:right w:w="120" w:type="dxa"/>
            </w:tcMar>
            <w:hideMark/>
          </w:tcPr>
          <w:p w14:paraId="4B7C5CC2" w14:textId="77777777" w:rsidR="00224D39" w:rsidRDefault="00224D39">
            <w:pPr>
              <w:spacing w:after="0"/>
            </w:pPr>
            <w:r>
              <w:rPr>
                <w:sz w:val="16"/>
                <w:szCs w:val="16"/>
              </w:rPr>
              <w:t>4</w:t>
            </w:r>
          </w:p>
        </w:tc>
        <w:tc>
          <w:tcPr>
            <w:tcW w:w="792" w:type="dxa"/>
            <w:tcBorders>
              <w:top w:val="nil"/>
              <w:left w:val="nil"/>
              <w:bottom w:val="single" w:sz="8" w:space="0" w:color="auto"/>
              <w:right w:val="single" w:sz="8" w:space="0" w:color="auto"/>
            </w:tcBorders>
            <w:tcMar>
              <w:top w:w="100" w:type="dxa"/>
              <w:left w:w="120" w:type="dxa"/>
              <w:bottom w:w="100" w:type="dxa"/>
              <w:right w:w="120" w:type="dxa"/>
            </w:tcMar>
            <w:hideMark/>
          </w:tcPr>
          <w:p w14:paraId="7CFF4C06" w14:textId="77777777" w:rsidR="00224D39" w:rsidRDefault="00224D39">
            <w:pPr>
              <w:spacing w:after="0"/>
            </w:pPr>
            <w:r>
              <w:rPr>
                <w:sz w:val="16"/>
                <w:szCs w:val="16"/>
              </w:rPr>
              <w:t>4</w:t>
            </w:r>
          </w:p>
        </w:tc>
        <w:tc>
          <w:tcPr>
            <w:tcW w:w="720" w:type="dxa"/>
            <w:tcBorders>
              <w:top w:val="nil"/>
              <w:left w:val="nil"/>
              <w:bottom w:val="single" w:sz="8" w:space="0" w:color="auto"/>
              <w:right w:val="single" w:sz="8" w:space="0" w:color="auto"/>
            </w:tcBorders>
            <w:tcMar>
              <w:top w:w="100" w:type="dxa"/>
              <w:left w:w="120" w:type="dxa"/>
              <w:bottom w:w="100" w:type="dxa"/>
              <w:right w:w="120" w:type="dxa"/>
            </w:tcMar>
            <w:hideMark/>
          </w:tcPr>
          <w:p w14:paraId="6914824E" w14:textId="77777777" w:rsidR="00224D39" w:rsidRDefault="00224D39">
            <w:pPr>
              <w:spacing w:after="0"/>
            </w:pPr>
            <w:r>
              <w:rPr>
                <w:sz w:val="16"/>
                <w:szCs w:val="16"/>
              </w:rPr>
              <w:t>16</w:t>
            </w:r>
          </w:p>
        </w:tc>
        <w:tc>
          <w:tcPr>
            <w:tcW w:w="4320" w:type="dxa"/>
            <w:tcBorders>
              <w:top w:val="nil"/>
              <w:left w:val="nil"/>
              <w:bottom w:val="single" w:sz="8" w:space="0" w:color="auto"/>
              <w:right w:val="single" w:sz="8" w:space="0" w:color="auto"/>
            </w:tcBorders>
            <w:tcMar>
              <w:top w:w="100" w:type="dxa"/>
              <w:left w:w="120" w:type="dxa"/>
              <w:bottom w:w="100" w:type="dxa"/>
              <w:right w:w="120" w:type="dxa"/>
            </w:tcMar>
            <w:hideMark/>
          </w:tcPr>
          <w:p w14:paraId="52D7DB67" w14:textId="77777777" w:rsidR="00224D39" w:rsidRDefault="00224D39">
            <w:pPr>
              <w:spacing w:after="0"/>
            </w:pPr>
            <w:r>
              <w:rPr>
                <w:sz w:val="16"/>
                <w:szCs w:val="16"/>
              </w:rPr>
              <w:t>Early market testing; indexed allowances; long-lead procurement.</w:t>
            </w:r>
          </w:p>
        </w:tc>
        <w:tc>
          <w:tcPr>
            <w:tcW w:w="1224" w:type="dxa"/>
            <w:tcBorders>
              <w:top w:val="nil"/>
              <w:left w:val="nil"/>
              <w:bottom w:val="single" w:sz="8" w:space="0" w:color="auto"/>
              <w:right w:val="single" w:sz="8" w:space="0" w:color="auto"/>
            </w:tcBorders>
            <w:tcMar>
              <w:top w:w="100" w:type="dxa"/>
              <w:left w:w="120" w:type="dxa"/>
              <w:bottom w:w="100" w:type="dxa"/>
              <w:right w:w="120" w:type="dxa"/>
            </w:tcMar>
            <w:hideMark/>
          </w:tcPr>
          <w:p w14:paraId="3E08DBEE" w14:textId="77777777" w:rsidR="00224D39" w:rsidRDefault="00224D39">
            <w:pPr>
              <w:spacing w:after="0"/>
            </w:pPr>
            <w:r>
              <w:rPr>
                <w:sz w:val="16"/>
                <w:szCs w:val="16"/>
              </w:rPr>
              <w:t>Commercial lead</w:t>
            </w:r>
          </w:p>
        </w:tc>
      </w:tr>
      <w:tr w:rsidR="00224D39" w14:paraId="2D12DBEB" w14:textId="77777777">
        <w:trPr>
          <w:cantSplit/>
        </w:trPr>
        <w:tc>
          <w:tcPr>
            <w:tcW w:w="1944" w:type="dxa"/>
            <w:tcBorders>
              <w:top w:val="nil"/>
              <w:left w:val="single" w:sz="8" w:space="0" w:color="auto"/>
              <w:bottom w:val="single" w:sz="8" w:space="0" w:color="auto"/>
              <w:right w:val="single" w:sz="8" w:space="0" w:color="auto"/>
            </w:tcBorders>
            <w:shd w:val="clear" w:color="auto" w:fill="F7F9FB"/>
            <w:tcMar>
              <w:top w:w="100" w:type="dxa"/>
              <w:left w:w="120" w:type="dxa"/>
              <w:bottom w:w="100" w:type="dxa"/>
              <w:right w:w="120" w:type="dxa"/>
            </w:tcMar>
            <w:hideMark/>
          </w:tcPr>
          <w:p w14:paraId="51275756" w14:textId="77777777" w:rsidR="00224D39" w:rsidRDefault="00224D39">
            <w:pPr>
              <w:spacing w:after="0"/>
            </w:pPr>
            <w:r>
              <w:rPr>
                <w:sz w:val="16"/>
                <w:szCs w:val="16"/>
              </w:rPr>
              <w:t>Operational disruption</w:t>
            </w:r>
          </w:p>
        </w:tc>
        <w:tc>
          <w:tcPr>
            <w:tcW w:w="936"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6D4E5ED3" w14:textId="77777777" w:rsidR="00224D39" w:rsidRDefault="00224D39">
            <w:pPr>
              <w:spacing w:after="0"/>
            </w:pPr>
            <w:r>
              <w:rPr>
                <w:sz w:val="16"/>
                <w:szCs w:val="16"/>
              </w:rPr>
              <w:t>3</w:t>
            </w:r>
          </w:p>
        </w:tc>
        <w:tc>
          <w:tcPr>
            <w:tcW w:w="792"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7298A3A9" w14:textId="77777777" w:rsidR="00224D39" w:rsidRDefault="00224D39">
            <w:pPr>
              <w:spacing w:after="0"/>
            </w:pPr>
            <w:r>
              <w:rPr>
                <w:sz w:val="16"/>
                <w:szCs w:val="16"/>
              </w:rPr>
              <w:t>5</w:t>
            </w:r>
          </w:p>
        </w:tc>
        <w:tc>
          <w:tcPr>
            <w:tcW w:w="720"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64CB7085" w14:textId="77777777" w:rsidR="00224D39" w:rsidRDefault="00224D39">
            <w:pPr>
              <w:spacing w:after="0"/>
            </w:pPr>
            <w:r>
              <w:rPr>
                <w:sz w:val="16"/>
                <w:szCs w:val="16"/>
              </w:rPr>
              <w:t>15</w:t>
            </w:r>
          </w:p>
        </w:tc>
        <w:tc>
          <w:tcPr>
            <w:tcW w:w="4320"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6BA88E55" w14:textId="77777777" w:rsidR="00224D39" w:rsidRDefault="00224D39">
            <w:pPr>
              <w:spacing w:after="0"/>
            </w:pPr>
            <w:r>
              <w:rPr>
                <w:sz w:val="16"/>
                <w:szCs w:val="16"/>
              </w:rPr>
              <w:t>Temporary service plan; possessions strategy; public communications.</w:t>
            </w:r>
          </w:p>
        </w:tc>
        <w:tc>
          <w:tcPr>
            <w:tcW w:w="1224"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3C6941EC" w14:textId="77777777" w:rsidR="00224D39" w:rsidRDefault="00224D39">
            <w:pPr>
              <w:spacing w:after="0"/>
            </w:pPr>
            <w:r>
              <w:rPr>
                <w:sz w:val="16"/>
                <w:szCs w:val="16"/>
              </w:rPr>
              <w:t>Operations lead</w:t>
            </w:r>
          </w:p>
        </w:tc>
      </w:tr>
      <w:tr w:rsidR="00224D39" w14:paraId="6C952D00" w14:textId="77777777">
        <w:trPr>
          <w:cantSplit/>
        </w:trPr>
        <w:tc>
          <w:tcPr>
            <w:tcW w:w="1944" w:type="dxa"/>
            <w:tcBorders>
              <w:top w:val="nil"/>
              <w:left w:val="single" w:sz="8" w:space="0" w:color="auto"/>
              <w:bottom w:val="single" w:sz="8" w:space="0" w:color="auto"/>
              <w:right w:val="single" w:sz="8" w:space="0" w:color="auto"/>
            </w:tcBorders>
            <w:tcMar>
              <w:top w:w="100" w:type="dxa"/>
              <w:left w:w="120" w:type="dxa"/>
              <w:bottom w:w="100" w:type="dxa"/>
              <w:right w:w="120" w:type="dxa"/>
            </w:tcMar>
            <w:hideMark/>
          </w:tcPr>
          <w:p w14:paraId="478B9066" w14:textId="77777777" w:rsidR="00224D39" w:rsidRDefault="00224D39">
            <w:pPr>
              <w:spacing w:after="0"/>
            </w:pPr>
            <w:r>
              <w:rPr>
                <w:sz w:val="16"/>
                <w:szCs w:val="16"/>
              </w:rPr>
              <w:t>Digital interface or cyber failure</w:t>
            </w:r>
          </w:p>
        </w:tc>
        <w:tc>
          <w:tcPr>
            <w:tcW w:w="936" w:type="dxa"/>
            <w:tcBorders>
              <w:top w:val="nil"/>
              <w:left w:val="nil"/>
              <w:bottom w:val="single" w:sz="8" w:space="0" w:color="auto"/>
              <w:right w:val="single" w:sz="8" w:space="0" w:color="auto"/>
            </w:tcBorders>
            <w:tcMar>
              <w:top w:w="100" w:type="dxa"/>
              <w:left w:w="120" w:type="dxa"/>
              <w:bottom w:w="100" w:type="dxa"/>
              <w:right w:w="120" w:type="dxa"/>
            </w:tcMar>
            <w:hideMark/>
          </w:tcPr>
          <w:p w14:paraId="502F8493" w14:textId="77777777" w:rsidR="00224D39" w:rsidRDefault="00224D39">
            <w:pPr>
              <w:spacing w:after="0"/>
            </w:pPr>
            <w:r>
              <w:rPr>
                <w:sz w:val="16"/>
                <w:szCs w:val="16"/>
              </w:rPr>
              <w:t>3</w:t>
            </w:r>
          </w:p>
        </w:tc>
        <w:tc>
          <w:tcPr>
            <w:tcW w:w="792" w:type="dxa"/>
            <w:tcBorders>
              <w:top w:val="nil"/>
              <w:left w:val="nil"/>
              <w:bottom w:val="single" w:sz="8" w:space="0" w:color="auto"/>
              <w:right w:val="single" w:sz="8" w:space="0" w:color="auto"/>
            </w:tcBorders>
            <w:tcMar>
              <w:top w:w="100" w:type="dxa"/>
              <w:left w:w="120" w:type="dxa"/>
              <w:bottom w:w="100" w:type="dxa"/>
              <w:right w:w="120" w:type="dxa"/>
            </w:tcMar>
            <w:hideMark/>
          </w:tcPr>
          <w:p w14:paraId="49FDEE58" w14:textId="77777777" w:rsidR="00224D39" w:rsidRDefault="00224D39">
            <w:pPr>
              <w:spacing w:after="0"/>
            </w:pPr>
            <w:r>
              <w:rPr>
                <w:sz w:val="16"/>
                <w:szCs w:val="16"/>
              </w:rPr>
              <w:t>5</w:t>
            </w:r>
          </w:p>
        </w:tc>
        <w:tc>
          <w:tcPr>
            <w:tcW w:w="720" w:type="dxa"/>
            <w:tcBorders>
              <w:top w:val="nil"/>
              <w:left w:val="nil"/>
              <w:bottom w:val="single" w:sz="8" w:space="0" w:color="auto"/>
              <w:right w:val="single" w:sz="8" w:space="0" w:color="auto"/>
            </w:tcBorders>
            <w:tcMar>
              <w:top w:w="100" w:type="dxa"/>
              <w:left w:w="120" w:type="dxa"/>
              <w:bottom w:w="100" w:type="dxa"/>
              <w:right w:w="120" w:type="dxa"/>
            </w:tcMar>
            <w:hideMark/>
          </w:tcPr>
          <w:p w14:paraId="2DAD71DF" w14:textId="77777777" w:rsidR="00224D39" w:rsidRDefault="00224D39">
            <w:pPr>
              <w:spacing w:after="0"/>
            </w:pPr>
            <w:r>
              <w:rPr>
                <w:sz w:val="16"/>
                <w:szCs w:val="16"/>
              </w:rPr>
              <w:t>15</w:t>
            </w:r>
          </w:p>
        </w:tc>
        <w:tc>
          <w:tcPr>
            <w:tcW w:w="4320" w:type="dxa"/>
            <w:tcBorders>
              <w:top w:val="nil"/>
              <w:left w:val="nil"/>
              <w:bottom w:val="single" w:sz="8" w:space="0" w:color="auto"/>
              <w:right w:val="single" w:sz="8" w:space="0" w:color="auto"/>
            </w:tcBorders>
            <w:tcMar>
              <w:top w:w="100" w:type="dxa"/>
              <w:left w:w="120" w:type="dxa"/>
              <w:bottom w:w="100" w:type="dxa"/>
              <w:right w:w="120" w:type="dxa"/>
            </w:tcMar>
            <w:hideMark/>
          </w:tcPr>
          <w:p w14:paraId="71F651EC" w14:textId="77777777" w:rsidR="00224D39" w:rsidRDefault="00224D39">
            <w:pPr>
              <w:spacing w:after="0"/>
            </w:pPr>
            <w:r>
              <w:rPr>
                <w:sz w:val="16"/>
                <w:szCs w:val="16"/>
              </w:rPr>
              <w:t>Interface control documents; staged integration; cyber and resilience testing.</w:t>
            </w:r>
          </w:p>
        </w:tc>
        <w:tc>
          <w:tcPr>
            <w:tcW w:w="1224" w:type="dxa"/>
            <w:tcBorders>
              <w:top w:val="nil"/>
              <w:left w:val="nil"/>
              <w:bottom w:val="single" w:sz="8" w:space="0" w:color="auto"/>
              <w:right w:val="single" w:sz="8" w:space="0" w:color="auto"/>
            </w:tcBorders>
            <w:tcMar>
              <w:top w:w="100" w:type="dxa"/>
              <w:left w:w="120" w:type="dxa"/>
              <w:bottom w:w="100" w:type="dxa"/>
              <w:right w:w="120" w:type="dxa"/>
            </w:tcMar>
            <w:hideMark/>
          </w:tcPr>
          <w:p w14:paraId="11B1C9BE" w14:textId="77777777" w:rsidR="00224D39" w:rsidRDefault="00224D39">
            <w:pPr>
              <w:spacing w:after="0"/>
            </w:pPr>
            <w:r>
              <w:rPr>
                <w:sz w:val="16"/>
                <w:szCs w:val="16"/>
              </w:rPr>
              <w:t>Digital lead</w:t>
            </w:r>
          </w:p>
        </w:tc>
      </w:tr>
      <w:tr w:rsidR="00224D39" w14:paraId="74C73584" w14:textId="77777777">
        <w:trPr>
          <w:cantSplit/>
        </w:trPr>
        <w:tc>
          <w:tcPr>
            <w:tcW w:w="1944" w:type="dxa"/>
            <w:tcBorders>
              <w:top w:val="nil"/>
              <w:left w:val="single" w:sz="8" w:space="0" w:color="auto"/>
              <w:bottom w:val="single" w:sz="8" w:space="0" w:color="auto"/>
              <w:right w:val="single" w:sz="8" w:space="0" w:color="auto"/>
            </w:tcBorders>
            <w:shd w:val="clear" w:color="auto" w:fill="F7F9FB"/>
            <w:tcMar>
              <w:top w:w="100" w:type="dxa"/>
              <w:left w:w="120" w:type="dxa"/>
              <w:bottom w:w="100" w:type="dxa"/>
              <w:right w:w="120" w:type="dxa"/>
            </w:tcMar>
            <w:hideMark/>
          </w:tcPr>
          <w:p w14:paraId="31EC54EF" w14:textId="77777777" w:rsidR="00224D39" w:rsidRDefault="00224D39">
            <w:pPr>
              <w:spacing w:after="0"/>
            </w:pPr>
            <w:r>
              <w:rPr>
                <w:sz w:val="16"/>
                <w:szCs w:val="16"/>
              </w:rPr>
              <w:t>Safety incident during construction</w:t>
            </w:r>
          </w:p>
        </w:tc>
        <w:tc>
          <w:tcPr>
            <w:tcW w:w="936"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528318EF" w14:textId="77777777" w:rsidR="00224D39" w:rsidRDefault="00224D39">
            <w:pPr>
              <w:spacing w:after="0"/>
            </w:pPr>
            <w:r>
              <w:rPr>
                <w:sz w:val="16"/>
                <w:szCs w:val="16"/>
              </w:rPr>
              <w:t>2</w:t>
            </w:r>
          </w:p>
        </w:tc>
        <w:tc>
          <w:tcPr>
            <w:tcW w:w="792"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0A6066F0" w14:textId="77777777" w:rsidR="00224D39" w:rsidRDefault="00224D39">
            <w:pPr>
              <w:spacing w:after="0"/>
            </w:pPr>
            <w:r>
              <w:rPr>
                <w:sz w:val="16"/>
                <w:szCs w:val="16"/>
              </w:rPr>
              <w:t>5</w:t>
            </w:r>
          </w:p>
        </w:tc>
        <w:tc>
          <w:tcPr>
            <w:tcW w:w="720"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2F59BE0F" w14:textId="77777777" w:rsidR="00224D39" w:rsidRDefault="00224D39">
            <w:pPr>
              <w:spacing w:after="0"/>
            </w:pPr>
            <w:r>
              <w:rPr>
                <w:sz w:val="16"/>
                <w:szCs w:val="16"/>
              </w:rPr>
              <w:t>10</w:t>
            </w:r>
          </w:p>
        </w:tc>
        <w:tc>
          <w:tcPr>
            <w:tcW w:w="4320"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20DD1A1F" w14:textId="77777777" w:rsidR="00224D39" w:rsidRDefault="00224D39">
            <w:pPr>
              <w:spacing w:after="0"/>
            </w:pPr>
            <w:r>
              <w:rPr>
                <w:sz w:val="16"/>
                <w:szCs w:val="16"/>
              </w:rPr>
              <w:t>CDM controls; competent supervision; audits; stop-work authority.</w:t>
            </w:r>
          </w:p>
        </w:tc>
        <w:tc>
          <w:tcPr>
            <w:tcW w:w="1224" w:type="dxa"/>
            <w:tcBorders>
              <w:top w:val="nil"/>
              <w:left w:val="nil"/>
              <w:bottom w:val="single" w:sz="8" w:space="0" w:color="auto"/>
              <w:right w:val="single" w:sz="8" w:space="0" w:color="auto"/>
            </w:tcBorders>
            <w:shd w:val="clear" w:color="auto" w:fill="F7F9FB"/>
            <w:tcMar>
              <w:top w:w="100" w:type="dxa"/>
              <w:left w:w="120" w:type="dxa"/>
              <w:bottom w:w="100" w:type="dxa"/>
              <w:right w:w="120" w:type="dxa"/>
            </w:tcMar>
            <w:hideMark/>
          </w:tcPr>
          <w:p w14:paraId="5D3FD47A" w14:textId="77777777" w:rsidR="00224D39" w:rsidRDefault="00224D39">
            <w:pPr>
              <w:spacing w:after="0"/>
            </w:pPr>
            <w:r>
              <w:rPr>
                <w:sz w:val="16"/>
                <w:szCs w:val="16"/>
              </w:rPr>
              <w:t>Principal contractor</w:t>
            </w:r>
          </w:p>
        </w:tc>
      </w:tr>
      <w:tr w:rsidR="00224D39" w14:paraId="6C80B1E9" w14:textId="77777777">
        <w:trPr>
          <w:cantSplit/>
        </w:trPr>
        <w:tc>
          <w:tcPr>
            <w:tcW w:w="1944" w:type="dxa"/>
            <w:tcBorders>
              <w:top w:val="nil"/>
              <w:left w:val="single" w:sz="8" w:space="0" w:color="auto"/>
              <w:bottom w:val="single" w:sz="8" w:space="0" w:color="auto"/>
              <w:right w:val="single" w:sz="8" w:space="0" w:color="auto"/>
            </w:tcBorders>
            <w:tcMar>
              <w:top w:w="100" w:type="dxa"/>
              <w:left w:w="120" w:type="dxa"/>
              <w:bottom w:w="100" w:type="dxa"/>
              <w:right w:w="120" w:type="dxa"/>
            </w:tcMar>
            <w:hideMark/>
          </w:tcPr>
          <w:p w14:paraId="195D0A0F" w14:textId="77777777" w:rsidR="00224D39" w:rsidRDefault="00224D39">
            <w:pPr>
              <w:spacing w:after="0"/>
            </w:pPr>
            <w:r>
              <w:rPr>
                <w:sz w:val="16"/>
                <w:szCs w:val="16"/>
              </w:rPr>
              <w:t>Accessibility requirements missed</w:t>
            </w:r>
          </w:p>
        </w:tc>
        <w:tc>
          <w:tcPr>
            <w:tcW w:w="936" w:type="dxa"/>
            <w:tcBorders>
              <w:top w:val="nil"/>
              <w:left w:val="nil"/>
              <w:bottom w:val="single" w:sz="8" w:space="0" w:color="auto"/>
              <w:right w:val="single" w:sz="8" w:space="0" w:color="auto"/>
            </w:tcBorders>
            <w:tcMar>
              <w:top w:w="100" w:type="dxa"/>
              <w:left w:w="120" w:type="dxa"/>
              <w:bottom w:w="100" w:type="dxa"/>
              <w:right w:w="120" w:type="dxa"/>
            </w:tcMar>
            <w:hideMark/>
          </w:tcPr>
          <w:p w14:paraId="215793BA" w14:textId="77777777" w:rsidR="00224D39" w:rsidRDefault="00224D39">
            <w:pPr>
              <w:spacing w:after="0"/>
            </w:pPr>
            <w:r>
              <w:rPr>
                <w:sz w:val="16"/>
                <w:szCs w:val="16"/>
              </w:rPr>
              <w:t>2</w:t>
            </w:r>
          </w:p>
        </w:tc>
        <w:tc>
          <w:tcPr>
            <w:tcW w:w="792" w:type="dxa"/>
            <w:tcBorders>
              <w:top w:val="nil"/>
              <w:left w:val="nil"/>
              <w:bottom w:val="single" w:sz="8" w:space="0" w:color="auto"/>
              <w:right w:val="single" w:sz="8" w:space="0" w:color="auto"/>
            </w:tcBorders>
            <w:tcMar>
              <w:top w:w="100" w:type="dxa"/>
              <w:left w:w="120" w:type="dxa"/>
              <w:bottom w:w="100" w:type="dxa"/>
              <w:right w:w="120" w:type="dxa"/>
            </w:tcMar>
            <w:hideMark/>
          </w:tcPr>
          <w:p w14:paraId="37CB1BD7" w14:textId="77777777" w:rsidR="00224D39" w:rsidRDefault="00224D39">
            <w:pPr>
              <w:spacing w:after="0"/>
            </w:pPr>
            <w:r>
              <w:rPr>
                <w:sz w:val="16"/>
                <w:szCs w:val="16"/>
              </w:rPr>
              <w:t>5</w:t>
            </w:r>
          </w:p>
        </w:tc>
        <w:tc>
          <w:tcPr>
            <w:tcW w:w="720" w:type="dxa"/>
            <w:tcBorders>
              <w:top w:val="nil"/>
              <w:left w:val="nil"/>
              <w:bottom w:val="single" w:sz="8" w:space="0" w:color="auto"/>
              <w:right w:val="single" w:sz="8" w:space="0" w:color="auto"/>
            </w:tcBorders>
            <w:tcMar>
              <w:top w:w="100" w:type="dxa"/>
              <w:left w:w="120" w:type="dxa"/>
              <w:bottom w:w="100" w:type="dxa"/>
              <w:right w:w="120" w:type="dxa"/>
            </w:tcMar>
            <w:hideMark/>
          </w:tcPr>
          <w:p w14:paraId="05F7D5B6" w14:textId="77777777" w:rsidR="00224D39" w:rsidRDefault="00224D39">
            <w:pPr>
              <w:spacing w:after="0"/>
            </w:pPr>
            <w:r>
              <w:rPr>
                <w:sz w:val="16"/>
                <w:szCs w:val="16"/>
              </w:rPr>
              <w:t>10</w:t>
            </w:r>
          </w:p>
        </w:tc>
        <w:tc>
          <w:tcPr>
            <w:tcW w:w="4320" w:type="dxa"/>
            <w:tcBorders>
              <w:top w:val="nil"/>
              <w:left w:val="nil"/>
              <w:bottom w:val="single" w:sz="8" w:space="0" w:color="auto"/>
              <w:right w:val="single" w:sz="8" w:space="0" w:color="auto"/>
            </w:tcBorders>
            <w:tcMar>
              <w:top w:w="100" w:type="dxa"/>
              <w:left w:w="120" w:type="dxa"/>
              <w:bottom w:w="100" w:type="dxa"/>
              <w:right w:w="120" w:type="dxa"/>
            </w:tcMar>
            <w:hideMark/>
          </w:tcPr>
          <w:p w14:paraId="0FCE48FD" w14:textId="77777777" w:rsidR="00224D39" w:rsidRDefault="00224D39">
            <w:pPr>
              <w:spacing w:after="0"/>
            </w:pPr>
            <w:r>
              <w:rPr>
                <w:sz w:val="16"/>
                <w:szCs w:val="16"/>
              </w:rPr>
              <w:t>Co-design; accessibility audits; user trials before acceptance.</w:t>
            </w:r>
          </w:p>
        </w:tc>
        <w:tc>
          <w:tcPr>
            <w:tcW w:w="1224" w:type="dxa"/>
            <w:tcBorders>
              <w:top w:val="nil"/>
              <w:left w:val="nil"/>
              <w:bottom w:val="single" w:sz="8" w:space="0" w:color="auto"/>
              <w:right w:val="single" w:sz="8" w:space="0" w:color="auto"/>
            </w:tcBorders>
            <w:tcMar>
              <w:top w:w="100" w:type="dxa"/>
              <w:left w:w="120" w:type="dxa"/>
              <w:bottom w:w="100" w:type="dxa"/>
              <w:right w:w="120" w:type="dxa"/>
            </w:tcMar>
            <w:hideMark/>
          </w:tcPr>
          <w:p w14:paraId="77D2C947" w14:textId="77777777" w:rsidR="00224D39" w:rsidRDefault="00224D39">
            <w:pPr>
              <w:spacing w:after="0"/>
            </w:pPr>
            <w:r>
              <w:rPr>
                <w:sz w:val="16"/>
                <w:szCs w:val="16"/>
              </w:rPr>
              <w:t>Accessibility lead</w:t>
            </w:r>
          </w:p>
        </w:tc>
      </w:tr>
    </w:tbl>
    <w:p w14:paraId="6BBBF7C5" w14:textId="77777777" w:rsidR="00381E64" w:rsidRDefault="00381E64">
      <w:pPr>
        <w:spacing w:after="0"/>
      </w:pPr>
    </w:p>
    <w:p w14:paraId="251D3DA0" w14:textId="77777777" w:rsidR="00381E64" w:rsidRDefault="00000000">
      <w:r>
        <w:t>Risk management will focus on the most likely and highest-impact threats to cost, time, safety and public confidence. Each risk will have an owner, mitigation action and review frequency. High-scoring risks will be reviewed weekly by the delivery team and escalated to the Project Board where they could affect the 30-month schedule or £550 million budget.</w:t>
      </w:r>
    </w:p>
    <w:p w14:paraId="6DD1DCBE" w14:textId="77777777" w:rsidR="00381E64" w:rsidRDefault="00000000">
      <w:r>
        <w:t>Contingency will only be used when a risk has occurred and the need for drawdown is evidenced. This prevents the contingency budget from being treated as spare funding.</w:t>
      </w:r>
    </w:p>
    <w:p w14:paraId="270E5904" w14:textId="77777777" w:rsidR="00381E64" w:rsidRDefault="00000000">
      <w:pPr>
        <w:pStyle w:val="Caption"/>
        <w:keepNext/>
      </w:pPr>
      <w:r>
        <w:rPr>
          <w:color w:val="17365D"/>
        </w:rPr>
        <w:lastRenderedPageBreak/>
        <w:t>Figure 7. Quality Management Framework</w:t>
      </w:r>
    </w:p>
    <w:p w14:paraId="2030AED1" w14:textId="77777777" w:rsidR="00381E64" w:rsidRDefault="00000000" w:rsidP="0060760E">
      <w:r>
        <w:rPr>
          <w:noProof/>
        </w:rPr>
        <w:drawing>
          <wp:inline distT="0" distB="0" distL="0" distR="0" wp14:anchorId="06AF533C" wp14:editId="333EB39C">
            <wp:extent cx="6126480" cy="34461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png"/>
                    <pic:cNvPicPr/>
                  </pic:nvPicPr>
                  <pic:blipFill>
                    <a:blip r:embed="rId15"/>
                    <a:stretch>
                      <a:fillRect/>
                    </a:stretch>
                  </pic:blipFill>
                  <pic:spPr>
                    <a:xfrm>
                      <a:off x="0" y="0"/>
                      <a:ext cx="6126480" cy="3446145"/>
                    </a:xfrm>
                    <a:prstGeom prst="rect">
                      <a:avLst/>
                    </a:prstGeom>
                  </pic:spPr>
                </pic:pic>
              </a:graphicData>
            </a:graphic>
          </wp:inline>
        </w:drawing>
      </w:r>
    </w:p>
    <w:p w14:paraId="69B93221" w14:textId="77777777" w:rsidR="00381E64" w:rsidRDefault="00000000">
      <w:pPr>
        <w:jc w:val="center"/>
      </w:pPr>
      <w:bookmarkStart w:id="97" w:name="_Toc237358553"/>
      <w:bookmarkStart w:id="98" w:name="_Toc237874574"/>
      <w:bookmarkStart w:id="99" w:name="_Toc237875101"/>
      <w:bookmarkStart w:id="100" w:name="_Toc237875712"/>
      <w:r>
        <w:rPr>
          <w:b/>
          <w:bCs/>
        </w:rPr>
        <w:t>Quality Management Framework</w:t>
      </w:r>
      <w:r>
        <w:br/>
        <w:t>Plan standards and acceptance criteria</w:t>
      </w:r>
      <w:r w:rsidR="00ED29C4" w:rsidRPr="00ED29C4">
        <w:t>; assure</w:t>
      </w:r>
      <w:r>
        <w:t xml:space="preserve"> design, safety and accessibility</w:t>
      </w:r>
      <w:r w:rsidR="00ED29C4" w:rsidRPr="00ED29C4">
        <w:t>; control</w:t>
      </w:r>
      <w:r>
        <w:t xml:space="preserve"> inspections, testing and non-</w:t>
      </w:r>
      <w:r>
        <w:t>conformances</w:t>
      </w:r>
      <w:r w:rsidR="00ED29C4" w:rsidRPr="00ED29C4">
        <w:t>; verify</w:t>
      </w:r>
      <w:r>
        <w:t xml:space="preserve"> operational readiness and handover evidence</w:t>
      </w:r>
      <w:r w:rsidR="00ED29C4" w:rsidRPr="00ED29C4">
        <w:t>; and review</w:t>
      </w:r>
      <w:r>
        <w:t xml:space="preserve"> lessons learned and benefits.</w:t>
      </w:r>
    </w:p>
    <w:p w14:paraId="634E8E27" w14:textId="77777777" w:rsidR="00381E64" w:rsidRDefault="00000000" w:rsidP="00E34D53">
      <w:r>
        <w:t>Quality management will be planned from the start</w:t>
      </w:r>
      <w:r w:rsidRPr="00EA7A55">
        <w:t>.</w:t>
      </w:r>
      <w:r>
        <w:t xml:space="preserve"> The quality plan will define standards, </w:t>
      </w:r>
      <w:r w:rsidRPr="00EA7A55">
        <w:t>inspections, approvals</w:t>
      </w:r>
      <w:r>
        <w:t xml:space="preserve">, document control and non-conformance processes. </w:t>
      </w:r>
      <w:r w:rsidRPr="00EA7A55">
        <w:t>Structural</w:t>
      </w:r>
      <w:r>
        <w:t xml:space="preserve"> works will require independent </w:t>
      </w:r>
      <w:r w:rsidRPr="00EA7A55">
        <w:t>checks, while digital</w:t>
      </w:r>
      <w:r>
        <w:t xml:space="preserve"> systems will </w:t>
      </w:r>
      <w:r w:rsidRPr="00EA7A55">
        <w:t>need</w:t>
      </w:r>
      <w:r>
        <w:t xml:space="preserve"> cybersecurity</w:t>
      </w:r>
      <w:r w:rsidRPr="00EA7A55">
        <w:t xml:space="preserve">, resilience and </w:t>
      </w:r>
      <w:r>
        <w:t>user acceptance testing</w:t>
      </w:r>
      <w:r w:rsidRPr="00EA7A55">
        <w:t>.</w:t>
      </w:r>
      <w:r>
        <w:t xml:space="preserve"> Accessibility will be verified through design review, audit and user trials</w:t>
      </w:r>
      <w:r w:rsidR="00723ED1" w:rsidRPr="00723ED1">
        <w:t>, ensuring that inclusive access is treated as an acceptance requirement rather than an optional enhancement.</w:t>
      </w:r>
      <w:r>
        <w:t xml:space="preserve"> Handover will </w:t>
      </w:r>
      <w:r>
        <w:t xml:space="preserve">require documentation, training, asset data, defects arrangements and operational acceptance </w:t>
      </w:r>
      <w:r w:rsidR="00723ED1" w:rsidRPr="00723ED1">
        <w:t xml:space="preserve">before the hub is formally reopened </w:t>
      </w:r>
      <w:r>
        <w:t>(ISO, 2020; Kerzner, 2022).</w:t>
      </w:r>
    </w:p>
    <w:p w14:paraId="45CFD802" w14:textId="77777777" w:rsidR="00381E64" w:rsidRDefault="00000000" w:rsidP="004D648F">
      <w:r>
        <w:t xml:space="preserve">Sustainability will be </w:t>
      </w:r>
      <w:r>
        <w:t xml:space="preserve">a core </w:t>
      </w:r>
      <w:r>
        <w:t>requirement</w:t>
      </w:r>
      <w:r w:rsidRPr="00A72EF4">
        <w:t>.</w:t>
      </w:r>
      <w:r>
        <w:t xml:space="preserve"> Design decisions will consider embodied carbon, </w:t>
      </w:r>
      <w:r>
        <w:t>energy</w:t>
      </w:r>
      <w:r w:rsidRPr="00A72EF4">
        <w:t xml:space="preserve"> use</w:t>
      </w:r>
      <w:r>
        <w:t xml:space="preserve">, renewable </w:t>
      </w:r>
      <w:r>
        <w:t xml:space="preserve">potential, </w:t>
      </w:r>
      <w:r w:rsidRPr="00A72EF4">
        <w:t>durable materials</w:t>
      </w:r>
      <w:r>
        <w:t xml:space="preserve">, water management, waste reduction, climate resilience and social value. </w:t>
      </w:r>
      <w:r w:rsidR="00B14ACD" w:rsidRPr="00B14ACD">
        <w:t xml:space="preserve">The project should also support more reliable public transport use by improving interchange quality and passenger confidence after reopening. </w:t>
      </w:r>
      <w:r>
        <w:t xml:space="preserve">Carbon and accessibility requirements will be protected at gateway </w:t>
      </w:r>
      <w:proofErr w:type="gramStart"/>
      <w:r>
        <w:t>reviews</w:t>
      </w:r>
      <w:proofErr w:type="gramEnd"/>
      <w:r>
        <w:t xml:space="preserve"> so </w:t>
      </w:r>
      <w:r>
        <w:t xml:space="preserve">they are not </w:t>
      </w:r>
      <w:r w:rsidRPr="00A72EF4">
        <w:t>weakened</w:t>
      </w:r>
      <w:r>
        <w:t xml:space="preserve"> by cost pressure without transparent approval</w:t>
      </w:r>
      <w:r>
        <w:t xml:space="preserve"> (Silvius and Schipper, 2014; Martens and Carvalho, 2017).</w:t>
      </w:r>
    </w:p>
    <w:p w14:paraId="49A627E7" w14:textId="0C28AEFA" w:rsidR="00381E64" w:rsidRDefault="00000000">
      <w:pPr>
        <w:pStyle w:val="Heading2"/>
      </w:pPr>
      <w:bookmarkStart w:id="101" w:name="_Toc237877361"/>
      <w:r>
        <w:t>10. Conclusion</w:t>
      </w:r>
      <w:bookmarkEnd w:id="97"/>
      <w:bookmarkEnd w:id="98"/>
      <w:bookmarkEnd w:id="99"/>
      <w:bookmarkEnd w:id="100"/>
      <w:bookmarkEnd w:id="101"/>
    </w:p>
    <w:p w14:paraId="66E7AEFB" w14:textId="77777777" w:rsidR="00381E64" w:rsidRDefault="00000000" w:rsidP="003249C2">
      <w:bookmarkStart w:id="102" w:name="_Toc237358554"/>
      <w:bookmarkStart w:id="103" w:name="_Toc237874575"/>
      <w:bookmarkStart w:id="104" w:name="_Toc237875102"/>
      <w:bookmarkStart w:id="105" w:name="_Toc237875713"/>
      <w:r>
        <w:t xml:space="preserve">Redevelopment of the central transport hub is the most defensible </w:t>
      </w:r>
      <w:r>
        <w:t xml:space="preserve">project because it resolves the structural cause of closure while restoring multimodal capacity and enabling inclusive, digital and low-carbon transport. The 30-month, £550 million baseline is supported by clear </w:t>
      </w:r>
      <w:r w:rsidRPr="00CE6561">
        <w:t>scope,</w:t>
      </w:r>
      <w:r>
        <w:t xml:space="preserve"> WBS </w:t>
      </w:r>
      <w:r w:rsidRPr="00CE6561">
        <w:t>deliverables</w:t>
      </w:r>
      <w:r>
        <w:t xml:space="preserve">, staged governance, </w:t>
      </w:r>
      <w:r>
        <w:t xml:space="preserve">integrated </w:t>
      </w:r>
      <w:r w:rsidRPr="00CE6561">
        <w:t>scheduling,</w:t>
      </w:r>
      <w:r>
        <w:t xml:space="preserve"> stakeholder participation, </w:t>
      </w:r>
      <w:r>
        <w:t xml:space="preserve">resource </w:t>
      </w:r>
      <w:r w:rsidRPr="00CE6561">
        <w:t>planning</w:t>
      </w:r>
      <w:r>
        <w:t xml:space="preserve"> and </w:t>
      </w:r>
      <w:r>
        <w:t xml:space="preserve">risk </w:t>
      </w:r>
      <w:r w:rsidRPr="00CE6561">
        <w:t>ownership. Delivery</w:t>
      </w:r>
      <w:r>
        <w:t xml:space="preserve"> will depend on </w:t>
      </w:r>
      <w:r>
        <w:t>early surveys, credible temporary operations, strong interface management and independent assurance.</w:t>
      </w:r>
      <w:r w:rsidR="00ED3A69" w:rsidRPr="00ED3A69">
        <w:t xml:space="preserve"> If these controls are applied consistently, the project can move beyond reopening </w:t>
      </w:r>
      <w:r w:rsidR="00ED3A69" w:rsidRPr="00ED3A69">
        <w:lastRenderedPageBreak/>
        <w:t>the hub and create a safer, more resilient and more useful transport asset for passengers, freight users and the wider city economy.</w:t>
      </w:r>
    </w:p>
    <w:p w14:paraId="1F65B1BC" w14:textId="77777777" w:rsidR="00381E64" w:rsidRDefault="00000000">
      <w:pPr>
        <w:pStyle w:val="Heading2"/>
      </w:pPr>
      <w:bookmarkStart w:id="106" w:name="_Toc237877362"/>
      <w:r>
        <w:t>11. References</w:t>
      </w:r>
      <w:bookmarkEnd w:id="102"/>
      <w:bookmarkEnd w:id="103"/>
      <w:bookmarkEnd w:id="104"/>
      <w:bookmarkEnd w:id="105"/>
      <w:bookmarkEnd w:id="106"/>
    </w:p>
    <w:p w14:paraId="1B6046B3" w14:textId="77777777" w:rsidR="00381E64" w:rsidRDefault="00000000">
      <w:pPr>
        <w:spacing w:after="80"/>
        <w:ind w:left="360" w:hanging="360"/>
      </w:pPr>
      <w:r>
        <w:t>Association for Project Management (APM) (2019) APM Body of Knowledge. 7th edn. Princes Risborough: Association for Project Management.</w:t>
      </w:r>
    </w:p>
    <w:p w14:paraId="57850CDB" w14:textId="77777777" w:rsidR="00381E64" w:rsidRDefault="00000000">
      <w:pPr>
        <w:spacing w:after="80"/>
        <w:ind w:left="360" w:hanging="360"/>
      </w:pPr>
      <w:r>
        <w:t>Flyvbjerg, B. (2014) ‘What you should know about megaprojects and why: An overview’, Project Management Journal, 45(2), pp. 6-19.</w:t>
      </w:r>
    </w:p>
    <w:p w14:paraId="264B0082" w14:textId="77777777" w:rsidR="00381E64" w:rsidRDefault="00000000">
      <w:pPr>
        <w:spacing w:after="80"/>
        <w:ind w:left="360" w:hanging="360"/>
      </w:pPr>
      <w:r>
        <w:t>Freeman, R.E. (1984) Strategic Management: A Stakeholder Approach. Boston: Pitman.</w:t>
      </w:r>
    </w:p>
    <w:p w14:paraId="265F31A0" w14:textId="77777777" w:rsidR="00381E64" w:rsidRDefault="00000000">
      <w:pPr>
        <w:spacing w:after="80"/>
        <w:ind w:left="360" w:hanging="360"/>
      </w:pPr>
      <w:r>
        <w:t>International Organization for Standardization (ISO) (2020) ISO 21502:2020 Project, programme and portfolio management - Guidance on project management. Geneva: ISO.</w:t>
      </w:r>
    </w:p>
    <w:p w14:paraId="2CFF9C05" w14:textId="77777777" w:rsidR="00381E64" w:rsidRDefault="00000000">
      <w:pPr>
        <w:spacing w:after="80"/>
        <w:ind w:left="360" w:hanging="360"/>
      </w:pPr>
      <w:r>
        <w:t>Kerzner, H. (2022) Project Management: A Systems Approach to Planning, Scheduling, and Controlling. 13th edn. Hoboken, NJ: Wiley.</w:t>
      </w:r>
    </w:p>
    <w:p w14:paraId="65113DF0" w14:textId="77777777" w:rsidR="00381E64" w:rsidRDefault="00000000">
      <w:pPr>
        <w:spacing w:after="80"/>
        <w:ind w:left="360" w:hanging="360"/>
      </w:pPr>
      <w:r>
        <w:t>Martens, M.L. and Carvalho, M.M. (2017) ‘Key factors of sustainability in project management context: A survey exploring the project managers’ perspective’, International Journal of Project Management, 35(6), pp. 1084-1102.</w:t>
      </w:r>
    </w:p>
    <w:p w14:paraId="6181FD06" w14:textId="77777777" w:rsidR="00381E64" w:rsidRDefault="00000000">
      <w:pPr>
        <w:spacing w:after="80"/>
        <w:ind w:left="360" w:hanging="360"/>
      </w:pPr>
      <w:r>
        <w:t>Müller, R. (2009) Project Governance. Farnham: Gower.</w:t>
      </w:r>
    </w:p>
    <w:p w14:paraId="52D4AB0A" w14:textId="77777777" w:rsidR="00381E64" w:rsidRDefault="00000000">
      <w:pPr>
        <w:spacing w:after="80"/>
        <w:ind w:left="360" w:hanging="360"/>
      </w:pPr>
      <w:r>
        <w:t>Olander, S. (2007) ‘Stakeholder impact analysis in construction project management’, Construction Management and Economics, 25(3), pp. 277-287.</w:t>
      </w:r>
    </w:p>
    <w:p w14:paraId="43B292FF" w14:textId="77777777" w:rsidR="00381E64" w:rsidRDefault="00000000">
      <w:pPr>
        <w:spacing w:after="80"/>
        <w:ind w:left="360" w:hanging="360"/>
      </w:pPr>
      <w:r>
        <w:t>Prebanić, K.R. and Vukomanović, M. (2023) ‘Exploring stakeholder engagement process as the success factor for infrastructure projects’, Buildings, 13(7), 1785.</w:t>
      </w:r>
    </w:p>
    <w:p w14:paraId="5CB581C8" w14:textId="77777777" w:rsidR="00381E64" w:rsidRDefault="00000000">
      <w:pPr>
        <w:spacing w:after="80"/>
        <w:ind w:left="360" w:hanging="360"/>
      </w:pPr>
      <w:r>
        <w:t xml:space="preserve">Project Management Institute (PMI) (2021) A Guide to the Project Management Body of Knowledge. 7th edn. Newtown Square, PA: </w:t>
      </w:r>
      <w:r w:rsidR="00A27204" w:rsidRPr="00A27204">
        <w:t>Project Management Institute</w:t>
      </w:r>
      <w:r>
        <w:t>.</w:t>
      </w:r>
    </w:p>
    <w:p w14:paraId="7C8BE62B" w14:textId="77777777" w:rsidR="00381E64" w:rsidRDefault="00000000">
      <w:pPr>
        <w:spacing w:after="80"/>
        <w:ind w:left="360" w:hanging="360"/>
      </w:pPr>
      <w:r>
        <w:t>Serra, C.E.M. and Kunc, M. (2015) ‘Benefits realisation management and its influence on project success and on the execution of business strategies’, International Journal of Project Management, 33(1), pp. 53-66.</w:t>
      </w:r>
    </w:p>
    <w:p w14:paraId="1E0A05BF" w14:textId="77777777" w:rsidR="00381E64" w:rsidRDefault="00000000">
      <w:pPr>
        <w:spacing w:after="80"/>
        <w:ind w:left="360" w:hanging="360"/>
      </w:pPr>
      <w:r>
        <w:t>Silvius, A.J.G. and Schipper, R.P.J. (2014) ‘Sustainability in project management: A literature review and impact analysis’, Social Business, 4(1), pp. 63-96.</w:t>
      </w:r>
    </w:p>
    <w:p w14:paraId="018B291D" w14:textId="77777777" w:rsidR="00381E64" w:rsidRDefault="00000000">
      <w:pPr>
        <w:spacing w:after="80"/>
        <w:ind w:left="360" w:hanging="360"/>
      </w:pPr>
      <w:r>
        <w:t>Too, E.G. and Weaver, P. (2014) ‘The management of project management: A conceptual framework for project governance’, International Journal of Project Management, 32(8), pp. 1382-1394.</w:t>
      </w:r>
    </w:p>
    <w:p w14:paraId="52B4DDE7" w14:textId="77777777" w:rsidR="00381E64" w:rsidRDefault="00000000">
      <w:pPr>
        <w:spacing w:after="80"/>
        <w:ind w:left="360" w:hanging="360"/>
      </w:pPr>
      <w:r>
        <w:t>Turner, J.R. (2014) The Handbook of Project-Based Management. 4th edn. New York: McGraw-Hill Education.</w:t>
      </w:r>
    </w:p>
    <w:p w14:paraId="7FB1D2BD" w14:textId="77777777" w:rsidR="00381E64" w:rsidRDefault="00000000">
      <w:pPr>
        <w:spacing w:after="80"/>
        <w:ind w:left="360" w:hanging="360"/>
      </w:pPr>
      <w:r>
        <w:t>Ward, S. and Chapman, C. (2003) ‘Transforming project risk management into project uncertainty management’, International Journal of Project Management, 21(2), pp. 97-105.</w:t>
      </w:r>
    </w:p>
    <w:p w14:paraId="63EE9093" w14:textId="77777777" w:rsidR="00381E64" w:rsidRDefault="00000000">
      <w:pPr>
        <w:spacing w:after="80"/>
        <w:ind w:left="360" w:hanging="360"/>
      </w:pPr>
      <w:r>
        <w:t>Winch, G.M. (2010) Managing Construction Projects. 2nd edn. Chichester: Wiley-Blackwell.</w:t>
      </w:r>
    </w:p>
    <w:p w14:paraId="522D313E" w14:textId="77777777" w:rsidR="00381E64" w:rsidRDefault="00000000">
      <w:pPr>
        <w:spacing w:after="80"/>
        <w:ind w:left="360" w:hanging="360"/>
      </w:pPr>
      <w:r>
        <w:t>Zou, P.X.W., Zhang, G. and Wang, J. (2007) ‘Understanding the key risks in construction projects in China’, International Journal of Project Management, 25(6), pp. 601-614.</w:t>
      </w:r>
    </w:p>
    <w:sectPr w:rsidR="00381E64" w:rsidSect="00034616">
      <w:headerReference w:type="even" r:id="rId16"/>
      <w:headerReference w:type="default" r:id="rId17"/>
      <w:footerReference w:type="even" r:id="rId18"/>
      <w:footerReference w:type="default" r:id="rId19"/>
      <w:headerReference w:type="first" r:id="rId20"/>
      <w:footerReference w:type="first" r:id="rId21"/>
      <w:pgSz w:w="11952" w:h="16848"/>
      <w:pgMar w:top="1152" w:right="1080" w:bottom="1080" w:left="1224"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521299A" w14:textId="77777777" w:rsidR="00B43C71" w:rsidRDefault="00B43C71">
      <w:pPr>
        <w:spacing w:after="0" w:line="240" w:lineRule="auto"/>
      </w:pPr>
      <w:r>
        <w:separator/>
      </w:r>
    </w:p>
  </w:endnote>
  <w:endnote w:type="continuationSeparator" w:id="0">
    <w:p w14:paraId="6FE61D8D" w14:textId="77777777" w:rsidR="00B43C71" w:rsidRDefault="00B43C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CDFD861" w14:textId="77777777" w:rsidR="00E0034E" w:rsidRDefault="00E003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B232C5" w14:textId="512D101E" w:rsidR="00381E64" w:rsidRDefault="00A27204">
    <w:pPr>
      <w:pStyle w:val="Footer"/>
      <w:jc w:val="center"/>
    </w:pPr>
    <w:r>
      <w:rPr>
        <w:color w:val="646464"/>
        <w:sz w:val="16"/>
        <w:szCs w:val="16"/>
      </w:rPr>
      <w:t xml:space="preserve">Idrissa Traore | Student ID 2426109 | Page </w:t>
    </w:r>
    <w:r>
      <w:rPr>
        <w:color w:val="646464"/>
        <w:sz w:val="16"/>
        <w:szCs w:val="16"/>
      </w:rPr>
      <w:fldChar w:fldCharType="begin"/>
    </w:r>
    <w:r>
      <w:rPr>
        <w:color w:val="646464"/>
        <w:sz w:val="16"/>
        <w:szCs w:val="16"/>
      </w:rPr>
      <w:instrText>PAGE</w:instrText>
    </w:r>
    <w:r>
      <w:rPr>
        <w:color w:val="646464"/>
        <w:sz w:val="16"/>
        <w:szCs w:val="16"/>
      </w:rPr>
      <w:fldChar w:fldCharType="separate"/>
    </w:r>
    <w:r>
      <w:rPr>
        <w:noProof/>
        <w:color w:val="646464"/>
        <w:sz w:val="16"/>
        <w:szCs w:val="16"/>
      </w:rPr>
      <w:t>15</w:t>
    </w:r>
    <w:r>
      <w:rPr>
        <w:color w:val="646464"/>
        <w:sz w:val="16"/>
        <w:szCs w:val="16"/>
      </w:rPr>
      <w:fldChar w:fldCharType="end"/>
    </w:r>
    <w:r>
      <w:rPr>
        <w:color w:val="646464"/>
        <w:sz w:val="16"/>
        <w:szCs w:val="16"/>
      </w:rPr>
      <w:t xml:space="preserve"> of </w:t>
    </w:r>
    <w:r>
      <w:rPr>
        <w:color w:val="646464"/>
        <w:sz w:val="16"/>
        <w:szCs w:val="16"/>
      </w:rPr>
      <w:fldChar w:fldCharType="begin"/>
    </w:r>
    <w:r>
      <w:rPr>
        <w:color w:val="646464"/>
        <w:sz w:val="16"/>
        <w:szCs w:val="16"/>
      </w:rPr>
      <w:instrText>NUMPAGES</w:instrText>
    </w:r>
    <w:r>
      <w:rPr>
        <w:color w:val="646464"/>
        <w:sz w:val="16"/>
        <w:szCs w:val="16"/>
      </w:rPr>
      <w:fldChar w:fldCharType="separate"/>
    </w:r>
    <w:r>
      <w:rPr>
        <w:noProof/>
        <w:color w:val="646464"/>
        <w:sz w:val="16"/>
        <w:szCs w:val="16"/>
      </w:rPr>
      <w:t>15</w:t>
    </w:r>
    <w:r>
      <w:rPr>
        <w:color w:val="646464"/>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3363CDF" w14:textId="77777777" w:rsidR="00E0034E" w:rsidRDefault="00E003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D85D690" w14:textId="77777777" w:rsidR="00B43C71" w:rsidRDefault="00B43C71">
      <w:pPr>
        <w:spacing w:after="0" w:line="240" w:lineRule="auto"/>
      </w:pPr>
      <w:r>
        <w:separator/>
      </w:r>
    </w:p>
  </w:footnote>
  <w:footnote w:type="continuationSeparator" w:id="0">
    <w:p w14:paraId="0FCF82B9" w14:textId="77777777" w:rsidR="00B43C71" w:rsidRDefault="00B43C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2D2D245" w14:textId="77777777" w:rsidR="00E0034E" w:rsidRDefault="00E0034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C91D3E" w14:textId="77777777" w:rsidR="00381E64" w:rsidRDefault="00000000">
    <w:pPr>
      <w:pStyle w:val="Header"/>
      <w:jc w:val="right"/>
    </w:pPr>
    <w:r>
      <w:rPr>
        <w:color w:val="646464"/>
        <w:sz w:val="16"/>
      </w:rPr>
      <w:t>LCLM</w:t>
    </w:r>
    <w:proofErr w:type="gramStart"/>
    <w:r>
      <w:rPr>
        <w:color w:val="646464"/>
        <w:sz w:val="16"/>
      </w:rPr>
      <w:t>5003  |</w:t>
    </w:r>
    <w:proofErr w:type="gramEnd"/>
    <w:r>
      <w:rPr>
        <w:color w:val="646464"/>
        <w:sz w:val="16"/>
      </w:rPr>
      <w:t xml:space="preserve">  PROJECT MANAGEMENT PLAN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8D0F840" w14:textId="77777777" w:rsidR="00E0034E" w:rsidRDefault="00E003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60321852">
    <w:abstractNumId w:val="8"/>
  </w:num>
  <w:num w:numId="2" w16cid:durableId="1885168221">
    <w:abstractNumId w:val="6"/>
  </w:num>
  <w:num w:numId="3" w16cid:durableId="464661193">
    <w:abstractNumId w:val="5"/>
  </w:num>
  <w:num w:numId="4" w16cid:durableId="1480882980">
    <w:abstractNumId w:val="4"/>
  </w:num>
  <w:num w:numId="5" w16cid:durableId="577325964">
    <w:abstractNumId w:val="7"/>
  </w:num>
  <w:num w:numId="6" w16cid:durableId="528758270">
    <w:abstractNumId w:val="3"/>
  </w:num>
  <w:num w:numId="7" w16cid:durableId="1995833428">
    <w:abstractNumId w:val="2"/>
  </w:num>
  <w:num w:numId="8" w16cid:durableId="684090164">
    <w:abstractNumId w:val="1"/>
  </w:num>
  <w:num w:numId="9" w16cid:durableId="25926096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14B4"/>
    <w:rsid w:val="00034616"/>
    <w:rsid w:val="000352AF"/>
    <w:rsid w:val="0006063C"/>
    <w:rsid w:val="001243A5"/>
    <w:rsid w:val="0015074B"/>
    <w:rsid w:val="00197C2D"/>
    <w:rsid w:val="001D751F"/>
    <w:rsid w:val="00224D39"/>
    <w:rsid w:val="002841A7"/>
    <w:rsid w:val="00287ED7"/>
    <w:rsid w:val="0029639D"/>
    <w:rsid w:val="00296BBA"/>
    <w:rsid w:val="002A6AC8"/>
    <w:rsid w:val="002F3B0A"/>
    <w:rsid w:val="00326F90"/>
    <w:rsid w:val="00381E64"/>
    <w:rsid w:val="003B2B22"/>
    <w:rsid w:val="003D10D7"/>
    <w:rsid w:val="004245C0"/>
    <w:rsid w:val="0043305C"/>
    <w:rsid w:val="00514ABD"/>
    <w:rsid w:val="005307E2"/>
    <w:rsid w:val="00542954"/>
    <w:rsid w:val="00576BB8"/>
    <w:rsid w:val="0069354D"/>
    <w:rsid w:val="00702CD0"/>
    <w:rsid w:val="00723ED1"/>
    <w:rsid w:val="0079043D"/>
    <w:rsid w:val="00820336"/>
    <w:rsid w:val="00852647"/>
    <w:rsid w:val="00893EE2"/>
    <w:rsid w:val="008F0A61"/>
    <w:rsid w:val="009404E8"/>
    <w:rsid w:val="00972D2B"/>
    <w:rsid w:val="009D79AB"/>
    <w:rsid w:val="009F43A9"/>
    <w:rsid w:val="00A1694D"/>
    <w:rsid w:val="00A27204"/>
    <w:rsid w:val="00A61C55"/>
    <w:rsid w:val="00A72EF4"/>
    <w:rsid w:val="00AA1D8D"/>
    <w:rsid w:val="00AA7398"/>
    <w:rsid w:val="00B14ACD"/>
    <w:rsid w:val="00B43C71"/>
    <w:rsid w:val="00B47730"/>
    <w:rsid w:val="00B6038F"/>
    <w:rsid w:val="00BC0148"/>
    <w:rsid w:val="00BD1B41"/>
    <w:rsid w:val="00C1394B"/>
    <w:rsid w:val="00C8152D"/>
    <w:rsid w:val="00C83B1E"/>
    <w:rsid w:val="00CB0664"/>
    <w:rsid w:val="00CB0925"/>
    <w:rsid w:val="00CE6561"/>
    <w:rsid w:val="00D45809"/>
    <w:rsid w:val="00E0034E"/>
    <w:rsid w:val="00E37883"/>
    <w:rsid w:val="00E55B34"/>
    <w:rsid w:val="00E56904"/>
    <w:rsid w:val="00EA7A55"/>
    <w:rsid w:val="00EC07E3"/>
    <w:rsid w:val="00EC66C7"/>
    <w:rsid w:val="00ED29C4"/>
    <w:rsid w:val="00ED3A69"/>
    <w:rsid w:val="00ED3E7A"/>
    <w:rsid w:val="00ED7896"/>
    <w:rsid w:val="00EE3C54"/>
    <w:rsid w:val="00EF0826"/>
    <w:rsid w:val="00F51AD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E09DB1"/>
  <w14:defaultImageDpi w14:val="300"/>
  <w15:docId w15:val="{46F4EDDD-ADCF-794D-AB46-01F015E73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Calibri" w:hAnsi="Calibri"/>
      <w:color w:val="1E1E1E"/>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b/>
      <w:bCs/>
      <w:color w:val="1F4E79"/>
      <w:sz w:val="36"/>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1F4E79"/>
      <w:sz w:val="28"/>
      <w:szCs w:val="26"/>
    </w:rPr>
  </w:style>
  <w:style w:type="paragraph" w:styleId="Heading3">
    <w:name w:val="heading 3"/>
    <w:basedOn w:val="Normal"/>
    <w:next w:val="Normal"/>
    <w:link w:val="Heading3Char"/>
    <w:uiPriority w:val="9"/>
    <w:unhideWhenUsed/>
    <w:qFormat/>
    <w:rsid w:val="00FC693F"/>
    <w:pPr>
      <w:keepNext/>
      <w:keepLines/>
      <w:spacing w:before="180" w:after="80"/>
      <w:outlineLvl w:val="2"/>
    </w:pPr>
    <w:rPr>
      <w:rFonts w:asciiTheme="majorHAnsi" w:eastAsiaTheme="majorEastAsia" w:hAnsiTheme="majorHAnsi" w:cstheme="majorBidi"/>
      <w:b/>
      <w:bCs/>
      <w:color w:val="17365D"/>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240" w:line="240" w:lineRule="auto"/>
      <w:contextualSpacing/>
    </w:pPr>
    <w:rPr>
      <w:rFonts w:asciiTheme="majorHAnsi" w:eastAsiaTheme="majorEastAsia" w:hAnsiTheme="majorHAnsi" w:cstheme="majorBidi"/>
      <w:b/>
      <w:color w:val="17365D"/>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spacing w:line="276" w:lineRule="atLeast"/>
      <w:outlineLvl w:val="9"/>
    </w:pPr>
    <w:rPr>
      <w:rFonts w:ascii="Calibri" w:hAnsi="Calibri" w:cs="Calibri"/>
    </w:r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E0034E"/>
    <w:pPr>
      <w:spacing w:before="100" w:beforeAutospacing="1" w:after="100" w:afterAutospacing="1" w:line="240" w:lineRule="auto"/>
    </w:pPr>
    <w:rPr>
      <w:rFonts w:ascii="Times New Roman" w:hAnsi="Times New Roman" w:cs="Times New Roman"/>
      <w:color w:val="auto"/>
      <w:sz w:val="24"/>
      <w:szCs w:val="24"/>
      <w:lang w:val="en-GB" w:eastAsia="en-GB"/>
    </w:rPr>
  </w:style>
  <w:style w:type="paragraph" w:styleId="TOC1">
    <w:name w:val="toc 1"/>
    <w:basedOn w:val="Normal"/>
    <w:next w:val="Normal"/>
    <w:autoRedefine/>
    <w:uiPriority w:val="39"/>
    <w:unhideWhenUsed/>
    <w:rsid w:val="00E0034E"/>
    <w:pPr>
      <w:spacing w:after="100"/>
    </w:pPr>
  </w:style>
  <w:style w:type="paragraph" w:styleId="TOC2">
    <w:name w:val="toc 2"/>
    <w:basedOn w:val="Normal"/>
    <w:next w:val="Normal"/>
    <w:autoRedefine/>
    <w:uiPriority w:val="39"/>
    <w:unhideWhenUsed/>
    <w:rsid w:val="00E0034E"/>
    <w:pPr>
      <w:spacing w:after="100"/>
      <w:ind w:left="220"/>
    </w:pPr>
  </w:style>
  <w:style w:type="character" w:styleId="Hyperlink">
    <w:name w:val="Hyperlink"/>
    <w:basedOn w:val="DefaultParagraphFont"/>
    <w:uiPriority w:val="99"/>
    <w:unhideWhenUsed/>
    <w:rsid w:val="00E0034E"/>
    <w:rPr>
      <w:color w:val="0000FF" w:themeColor="hyperlink"/>
      <w:u w:val="single"/>
    </w:rPr>
  </w:style>
  <w:style w:type="paragraph" w:styleId="Revision">
    <w:name w:val="Revision"/>
    <w:hidden/>
    <w:uiPriority w:val="99"/>
    <w:semiHidden/>
    <w:rsid w:val="00702CD0"/>
    <w:pPr>
      <w:spacing w:after="0" w:line="240" w:lineRule="auto"/>
    </w:pPr>
    <w:rPr>
      <w:rFonts w:ascii="Calibri" w:hAnsi="Calibri"/>
      <w:color w:val="1E1E1E"/>
    </w:rPr>
  </w:style>
  <w:style w:type="table" w:styleId="GridTable4-Accent1">
    <w:name w:val="Grid Table 4 Accent 1"/>
    <w:basedOn w:val="TableNormal"/>
    <w:uiPriority w:val="49"/>
    <w:rsid w:val="002A6AC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3163</Words>
  <Characters>20181</Characters>
  <Application>Microsoft Office Word</Application>
  <DocSecurity>0</DocSecurity>
  <Lines>473</Lines>
  <Paragraphs>231</Paragraphs>
  <ScaleCrop>false</ScaleCrop>
  <HeadingPairs>
    <vt:vector size="2" baseType="variant">
      <vt:variant>
        <vt:lpstr>Title</vt:lpstr>
      </vt:variant>
      <vt:variant>
        <vt:i4>1</vt:i4>
      </vt:variant>
    </vt:vector>
  </HeadingPairs>
  <TitlesOfParts>
    <vt:vector size="1" baseType="lpstr">
      <vt:lpstr>Project Management Plan – Redevelopment of the Central Transport Hub</vt:lpstr>
    </vt:vector>
  </TitlesOfParts>
  <Manager/>
  <Company/>
  <LinksUpToDate>false</LinksUpToDate>
  <CharactersWithSpaces>23122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 – Redevelopment of the Central Transport Hub</dc:title>
  <dc:subject>LCLM5003 submission</dc:subject>
  <dc:creator>Idrissa Traore</dc:creator>
  <cp:keywords>project management, transport hub redevelopment, LCLM5003, project plan</cp:keywords>
  <dc:description>generated by python-docx</dc:description>
  <cp:lastModifiedBy>Idrissa Traore</cp:lastModifiedBy>
  <cp:revision>2</cp:revision>
  <cp:lastPrinted>2026-08-17T15:20:00Z</cp:lastPrinted>
  <dcterms:created xsi:type="dcterms:W3CDTF">2026-08-17T15:44:00Z</dcterms:created>
  <dcterms:modified xsi:type="dcterms:W3CDTF">2026-08-17T15:44:00Z</dcterms:modified>
  <cp:category/>
</cp:coreProperties>
</file>