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0D253C" w14:textId="77777777" w:rsidR="00FD6FA4" w:rsidRPr="00C75E8F" w:rsidRDefault="00FD6FA4" w:rsidP="00FD6FA4">
      <w:pPr>
        <w:rPr>
          <w:lang w:val="en-GB"/>
        </w:rPr>
      </w:pPr>
      <w:r w:rsidRPr="00C75E8F">
        <w:rPr>
          <w:noProof/>
          <w:lang w:val="en-GB"/>
        </w:rPr>
        <w:drawing>
          <wp:inline distT="0" distB="0" distL="0" distR="0" wp14:anchorId="1B14F882" wp14:editId="0E8E6188">
            <wp:extent cx="5715000" cy="18954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7F5A4D5A" w14:textId="77777777" w:rsidR="00FD6FA4" w:rsidRPr="00C75E8F" w:rsidRDefault="00FD6FA4" w:rsidP="00FD6FA4">
      <w:pPr>
        <w:rPr>
          <w:lang w:val="en-GB"/>
        </w:rPr>
      </w:pPr>
    </w:p>
    <w:p w14:paraId="46567EBD" w14:textId="77777777" w:rsidR="00FD6FA4" w:rsidRPr="00C75E8F" w:rsidRDefault="00FD6FA4" w:rsidP="00FD6FA4">
      <w:pPr>
        <w:rPr>
          <w:lang w:val="en-GB"/>
        </w:rPr>
      </w:pPr>
    </w:p>
    <w:p w14:paraId="7F48FB0A" w14:textId="77777777" w:rsidR="00FD6FA4" w:rsidRPr="00C75E8F" w:rsidRDefault="00FD6FA4" w:rsidP="00FD6FA4">
      <w:pPr>
        <w:rPr>
          <w:lang w:val="en-GB"/>
        </w:rPr>
      </w:pPr>
    </w:p>
    <w:p w14:paraId="2DD39B6E" w14:textId="77777777" w:rsidR="00FD6FA4" w:rsidRPr="00C75E8F" w:rsidRDefault="00FD6FA4" w:rsidP="00FD6FA4">
      <w:pPr>
        <w:rPr>
          <w:b/>
          <w:bCs/>
          <w:sz w:val="44"/>
          <w:szCs w:val="44"/>
          <w:lang w:val="en-GB"/>
        </w:rPr>
      </w:pPr>
      <w:r w:rsidRPr="00C75E8F">
        <w:rPr>
          <w:b/>
          <w:bCs/>
          <w:sz w:val="44"/>
          <w:szCs w:val="44"/>
          <w:lang w:val="en-GB"/>
        </w:rPr>
        <w:t xml:space="preserve">BA (Hons) Leadership and Management </w:t>
      </w:r>
    </w:p>
    <w:p w14:paraId="29FE9AE9" w14:textId="77777777" w:rsidR="00FD6FA4" w:rsidRPr="00C75E8F" w:rsidRDefault="00FD6FA4" w:rsidP="00FD6FA4">
      <w:pPr>
        <w:spacing w:line="600" w:lineRule="auto"/>
        <w:rPr>
          <w:i/>
          <w:iCs/>
          <w:lang w:val="en-GB"/>
        </w:rPr>
      </w:pPr>
    </w:p>
    <w:p w14:paraId="2789AF38" w14:textId="72A85E95" w:rsidR="00FD6FA4" w:rsidRPr="00C75E8F" w:rsidRDefault="00FD6FA4" w:rsidP="00FD6FA4">
      <w:pPr>
        <w:spacing w:line="600" w:lineRule="auto"/>
        <w:rPr>
          <w:b/>
          <w:bCs/>
          <w:i/>
          <w:iCs/>
          <w:lang w:val="en-GB"/>
        </w:rPr>
      </w:pPr>
      <w:r w:rsidRPr="00C75E8F">
        <w:rPr>
          <w:b/>
          <w:bCs/>
          <w:i/>
          <w:iCs/>
          <w:lang w:val="en-GB"/>
        </w:rPr>
        <w:t>Student Name:</w:t>
      </w:r>
      <w:r w:rsidR="00F61594">
        <w:rPr>
          <w:b/>
          <w:bCs/>
          <w:i/>
          <w:iCs/>
          <w:lang w:val="en-GB"/>
        </w:rPr>
        <w:t xml:space="preserve"> Mihaela Gradinaru</w:t>
      </w:r>
    </w:p>
    <w:p w14:paraId="6813B143" w14:textId="7C09B3B2" w:rsidR="00FD6FA4" w:rsidRPr="00C75E8F" w:rsidRDefault="00FD6FA4" w:rsidP="00FD6FA4">
      <w:pPr>
        <w:spacing w:line="600" w:lineRule="auto"/>
        <w:rPr>
          <w:b/>
          <w:bCs/>
          <w:i/>
          <w:iCs/>
          <w:lang w:val="en-GB"/>
        </w:rPr>
      </w:pPr>
      <w:r w:rsidRPr="00C75E8F">
        <w:rPr>
          <w:b/>
          <w:bCs/>
          <w:i/>
          <w:iCs/>
          <w:lang w:val="en-GB"/>
        </w:rPr>
        <w:t>Student Number:</w:t>
      </w:r>
      <w:r w:rsidR="00F61594">
        <w:rPr>
          <w:b/>
          <w:bCs/>
          <w:i/>
          <w:iCs/>
          <w:lang w:val="en-GB"/>
        </w:rPr>
        <w:t xml:space="preserve"> 2411170</w:t>
      </w:r>
    </w:p>
    <w:p w14:paraId="568440D6" w14:textId="77777777" w:rsidR="00FD6FA4" w:rsidRPr="00C75E8F" w:rsidRDefault="00FD6FA4" w:rsidP="00FD6FA4">
      <w:pPr>
        <w:spacing w:line="600" w:lineRule="auto"/>
        <w:rPr>
          <w:i/>
          <w:iCs/>
          <w:lang w:val="en-GB"/>
        </w:rPr>
      </w:pPr>
      <w:r w:rsidRPr="00C75E8F">
        <w:rPr>
          <w:b/>
          <w:bCs/>
          <w:i/>
          <w:iCs/>
          <w:lang w:val="en-GB"/>
        </w:rPr>
        <w:t>Course Name:</w:t>
      </w:r>
      <w:r w:rsidRPr="00C75E8F">
        <w:rPr>
          <w:i/>
          <w:iCs/>
          <w:lang w:val="en-GB"/>
        </w:rPr>
        <w:t xml:space="preserve"> Understanding and Engaging stakeholders LCLM5001</w:t>
      </w:r>
    </w:p>
    <w:p w14:paraId="2AB8485B" w14:textId="7AF37996" w:rsidR="00FD6FA4" w:rsidRPr="00C75E8F" w:rsidRDefault="00FD6FA4" w:rsidP="00FD6FA4">
      <w:pPr>
        <w:spacing w:line="600" w:lineRule="auto"/>
        <w:rPr>
          <w:i/>
          <w:iCs/>
          <w:lang w:val="en-GB"/>
        </w:rPr>
      </w:pPr>
      <w:r w:rsidRPr="00C75E8F">
        <w:rPr>
          <w:b/>
          <w:bCs/>
          <w:i/>
          <w:iCs/>
          <w:lang w:val="en-GB"/>
        </w:rPr>
        <w:t>Lecturer Name:</w:t>
      </w:r>
      <w:r w:rsidR="00436B75">
        <w:rPr>
          <w:b/>
          <w:bCs/>
          <w:i/>
          <w:iCs/>
          <w:lang w:val="en-GB"/>
        </w:rPr>
        <w:t xml:space="preserve"> Nadeem Mirza</w:t>
      </w:r>
    </w:p>
    <w:p w14:paraId="7ABC9323" w14:textId="7B6EDB5B" w:rsidR="00FD6FA4" w:rsidRPr="00C75E8F" w:rsidRDefault="00FD6FA4" w:rsidP="00FD6FA4">
      <w:pPr>
        <w:spacing w:line="600" w:lineRule="auto"/>
        <w:rPr>
          <w:b/>
          <w:bCs/>
          <w:i/>
          <w:iCs/>
          <w:lang w:val="en-GB"/>
        </w:rPr>
      </w:pPr>
      <w:r w:rsidRPr="00C75E8F">
        <w:rPr>
          <w:b/>
          <w:bCs/>
          <w:i/>
          <w:iCs/>
          <w:lang w:val="en-GB"/>
        </w:rPr>
        <w:t xml:space="preserve"> </w:t>
      </w:r>
    </w:p>
    <w:p w14:paraId="2F659BE1" w14:textId="77777777" w:rsidR="00FD6FA4" w:rsidRPr="00C75E8F" w:rsidRDefault="00FD6FA4">
      <w:pPr>
        <w:rPr>
          <w:rFonts w:ascii="Times New Roman" w:hAnsi="Times New Roman" w:cs="Times New Roman"/>
          <w:sz w:val="24"/>
          <w:szCs w:val="24"/>
          <w:lang w:val="en-GB"/>
        </w:rPr>
      </w:pPr>
      <w:r w:rsidRPr="00C75E8F">
        <w:rPr>
          <w:rFonts w:ascii="Times New Roman" w:hAnsi="Times New Roman" w:cs="Times New Roman"/>
          <w:sz w:val="24"/>
          <w:szCs w:val="24"/>
          <w:lang w:val="en-GB"/>
        </w:rPr>
        <w:br w:type="page"/>
      </w:r>
    </w:p>
    <w:p w14:paraId="6819CB72" w14:textId="77777777" w:rsidR="00FD6FA4" w:rsidRPr="00C75E8F" w:rsidRDefault="00FD6FA4" w:rsidP="00FD6FA4">
      <w:pPr>
        <w:spacing w:line="360" w:lineRule="auto"/>
        <w:jc w:val="center"/>
        <w:rPr>
          <w:rFonts w:ascii="Times New Roman" w:hAnsi="Times New Roman" w:cs="Times New Roman"/>
          <w:b/>
          <w:sz w:val="28"/>
          <w:szCs w:val="24"/>
          <w:lang w:val="en-GB"/>
        </w:rPr>
      </w:pPr>
    </w:p>
    <w:p w14:paraId="409EC3E8" w14:textId="77777777" w:rsidR="00FD6FA4" w:rsidRPr="00C75E8F" w:rsidRDefault="00FD6FA4" w:rsidP="00FD6FA4">
      <w:pPr>
        <w:spacing w:line="360" w:lineRule="auto"/>
        <w:jc w:val="center"/>
        <w:rPr>
          <w:rFonts w:ascii="Times New Roman" w:hAnsi="Times New Roman" w:cs="Times New Roman"/>
          <w:b/>
          <w:sz w:val="28"/>
          <w:szCs w:val="24"/>
          <w:lang w:val="en-GB"/>
        </w:rPr>
      </w:pPr>
    </w:p>
    <w:p w14:paraId="25CE7FE9" w14:textId="77777777" w:rsidR="00FD6FA4" w:rsidRPr="00C75E8F" w:rsidRDefault="00FD6FA4" w:rsidP="00FD6FA4">
      <w:pPr>
        <w:spacing w:line="360" w:lineRule="auto"/>
        <w:jc w:val="center"/>
        <w:rPr>
          <w:rFonts w:ascii="Times New Roman" w:hAnsi="Times New Roman" w:cs="Times New Roman"/>
          <w:b/>
          <w:sz w:val="28"/>
          <w:szCs w:val="24"/>
          <w:lang w:val="en-GB"/>
        </w:rPr>
      </w:pPr>
    </w:p>
    <w:p w14:paraId="7E0DE54F" w14:textId="77777777" w:rsidR="00FD6FA4" w:rsidRPr="00C75E8F" w:rsidRDefault="00FD6FA4" w:rsidP="00FD6FA4">
      <w:pPr>
        <w:spacing w:line="360" w:lineRule="auto"/>
        <w:jc w:val="center"/>
        <w:rPr>
          <w:rFonts w:ascii="Times New Roman" w:hAnsi="Times New Roman" w:cs="Times New Roman"/>
          <w:b/>
          <w:sz w:val="28"/>
          <w:szCs w:val="24"/>
          <w:lang w:val="en-GB"/>
        </w:rPr>
      </w:pPr>
    </w:p>
    <w:p w14:paraId="7622F577" w14:textId="77777777" w:rsidR="00FD6FA4" w:rsidRPr="00C75E8F" w:rsidRDefault="00FD6FA4" w:rsidP="00FD6FA4">
      <w:pPr>
        <w:spacing w:line="360" w:lineRule="auto"/>
        <w:jc w:val="center"/>
        <w:rPr>
          <w:rFonts w:ascii="Times New Roman" w:hAnsi="Times New Roman" w:cs="Times New Roman"/>
          <w:b/>
          <w:sz w:val="28"/>
          <w:szCs w:val="24"/>
          <w:lang w:val="en-GB"/>
        </w:rPr>
      </w:pPr>
    </w:p>
    <w:p w14:paraId="362FDA7B" w14:textId="77777777" w:rsidR="00FD6FA4" w:rsidRPr="00C75E8F" w:rsidRDefault="00FD6FA4" w:rsidP="00FD6FA4">
      <w:pPr>
        <w:spacing w:line="360" w:lineRule="auto"/>
        <w:jc w:val="center"/>
        <w:rPr>
          <w:rFonts w:ascii="Times New Roman" w:hAnsi="Times New Roman" w:cs="Times New Roman"/>
          <w:b/>
          <w:sz w:val="28"/>
          <w:szCs w:val="24"/>
          <w:lang w:val="en-GB"/>
        </w:rPr>
      </w:pPr>
    </w:p>
    <w:p w14:paraId="64DD6B16" w14:textId="77777777" w:rsidR="00FD6FA4" w:rsidRPr="00C75E8F" w:rsidRDefault="00FD6FA4" w:rsidP="00FD6FA4">
      <w:pPr>
        <w:spacing w:line="360" w:lineRule="auto"/>
        <w:jc w:val="center"/>
        <w:rPr>
          <w:rFonts w:ascii="Times New Roman" w:hAnsi="Times New Roman" w:cs="Times New Roman"/>
          <w:b/>
          <w:sz w:val="28"/>
          <w:szCs w:val="24"/>
          <w:lang w:val="en-GB"/>
        </w:rPr>
      </w:pPr>
    </w:p>
    <w:p w14:paraId="1D6212FF" w14:textId="77777777" w:rsidR="00FD6FA4" w:rsidRPr="00C75E8F" w:rsidRDefault="00FD6FA4" w:rsidP="00FD6FA4">
      <w:pPr>
        <w:spacing w:line="360" w:lineRule="auto"/>
        <w:jc w:val="center"/>
        <w:rPr>
          <w:rFonts w:ascii="Times New Roman" w:hAnsi="Times New Roman" w:cs="Times New Roman"/>
          <w:b/>
          <w:sz w:val="28"/>
          <w:szCs w:val="24"/>
          <w:lang w:val="en-GB"/>
        </w:rPr>
      </w:pPr>
    </w:p>
    <w:p w14:paraId="567F789B" w14:textId="77777777" w:rsidR="00FD6FA4" w:rsidRPr="00C75E8F" w:rsidRDefault="00FD6FA4" w:rsidP="00FD6FA4">
      <w:pPr>
        <w:spacing w:line="360" w:lineRule="auto"/>
        <w:jc w:val="center"/>
        <w:rPr>
          <w:rFonts w:ascii="Times New Roman" w:hAnsi="Times New Roman" w:cs="Times New Roman"/>
          <w:b/>
          <w:sz w:val="28"/>
          <w:szCs w:val="24"/>
          <w:lang w:val="en-GB"/>
        </w:rPr>
      </w:pPr>
    </w:p>
    <w:p w14:paraId="7342C672" w14:textId="77777777" w:rsidR="00FD6FA4" w:rsidRPr="00C75E8F" w:rsidRDefault="00FD6FA4" w:rsidP="00FD6FA4">
      <w:pPr>
        <w:spacing w:line="360" w:lineRule="auto"/>
        <w:jc w:val="center"/>
        <w:rPr>
          <w:rFonts w:ascii="Times New Roman" w:hAnsi="Times New Roman" w:cs="Times New Roman"/>
          <w:b/>
          <w:sz w:val="28"/>
          <w:szCs w:val="24"/>
          <w:lang w:val="en-GB"/>
        </w:rPr>
      </w:pPr>
    </w:p>
    <w:p w14:paraId="63C3F215" w14:textId="77777777" w:rsidR="00FD6FA4" w:rsidRPr="00C75E8F" w:rsidRDefault="00FD6FA4" w:rsidP="00FD6FA4">
      <w:pPr>
        <w:spacing w:line="360" w:lineRule="auto"/>
        <w:jc w:val="center"/>
        <w:rPr>
          <w:rFonts w:ascii="Times New Roman" w:hAnsi="Times New Roman" w:cs="Times New Roman"/>
          <w:b/>
          <w:sz w:val="28"/>
          <w:szCs w:val="24"/>
          <w:lang w:val="en-GB"/>
        </w:rPr>
      </w:pPr>
    </w:p>
    <w:p w14:paraId="6F2AF468" w14:textId="77777777" w:rsidR="00FD6FA4" w:rsidRPr="00C75E8F" w:rsidRDefault="00FD6FA4" w:rsidP="00FD6FA4">
      <w:pPr>
        <w:spacing w:line="360" w:lineRule="auto"/>
        <w:jc w:val="center"/>
        <w:rPr>
          <w:rFonts w:ascii="Times New Roman" w:hAnsi="Times New Roman" w:cs="Times New Roman"/>
          <w:b/>
          <w:sz w:val="28"/>
          <w:szCs w:val="24"/>
          <w:lang w:val="en-GB"/>
        </w:rPr>
      </w:pPr>
    </w:p>
    <w:p w14:paraId="5DEF1F62" w14:textId="77777777" w:rsidR="00401A33" w:rsidRPr="00C75E8F" w:rsidRDefault="00FD6FA4" w:rsidP="00FD6FA4">
      <w:pPr>
        <w:spacing w:line="360" w:lineRule="auto"/>
        <w:jc w:val="center"/>
        <w:rPr>
          <w:rFonts w:ascii="Times New Roman" w:eastAsia="Times New Roman" w:hAnsi="Times New Roman" w:cs="Times New Roman"/>
          <w:b/>
          <w:sz w:val="24"/>
          <w:szCs w:val="24"/>
          <w:lang w:val="en-GB"/>
        </w:rPr>
      </w:pPr>
      <w:r w:rsidRPr="00C75E8F">
        <w:rPr>
          <w:rFonts w:ascii="Times New Roman" w:hAnsi="Times New Roman" w:cs="Times New Roman"/>
          <w:b/>
          <w:sz w:val="28"/>
          <w:szCs w:val="24"/>
          <w:lang w:val="en-GB"/>
        </w:rPr>
        <w:t>STAKEHOLDER ENGAGEMENT FOR THE LAUNCH OF A REMOTE HEALTH MONITORING DEVICE BY CURRENT HEALTH</w:t>
      </w:r>
      <w:r w:rsidR="00EC6766" w:rsidRPr="00C75E8F">
        <w:rPr>
          <w:rFonts w:ascii="Times New Roman" w:hAnsi="Times New Roman" w:cs="Times New Roman"/>
          <w:b/>
          <w:sz w:val="24"/>
          <w:szCs w:val="24"/>
          <w:lang w:val="en-GB"/>
        </w:rPr>
        <w:br w:type="page"/>
      </w:r>
    </w:p>
    <w:p w14:paraId="3993D821" w14:textId="77777777" w:rsidR="00401A33" w:rsidRPr="00C75E8F" w:rsidRDefault="00EC6766" w:rsidP="00FD6FA4">
      <w:pPr>
        <w:spacing w:line="360" w:lineRule="auto"/>
        <w:jc w:val="center"/>
        <w:rPr>
          <w:rFonts w:ascii="Times New Roman" w:eastAsia="Times New Roman" w:hAnsi="Times New Roman" w:cs="Times New Roman"/>
          <w:b/>
          <w:bCs/>
          <w:sz w:val="24"/>
          <w:szCs w:val="24"/>
          <w:lang w:val="en-GB"/>
        </w:rPr>
      </w:pPr>
      <w:r w:rsidRPr="00C75E8F">
        <w:rPr>
          <w:rFonts w:ascii="Times New Roman" w:eastAsia="Times New Roman" w:hAnsi="Times New Roman" w:cs="Times New Roman"/>
          <w:b/>
          <w:bCs/>
          <w:sz w:val="24"/>
          <w:szCs w:val="24"/>
          <w:lang w:val="en-GB"/>
        </w:rPr>
        <w:lastRenderedPageBreak/>
        <w:t>Executive Summary</w:t>
      </w:r>
    </w:p>
    <w:p w14:paraId="77D7488B" w14:textId="77777777" w:rsidR="00401A33" w:rsidRPr="00C75E8F" w:rsidRDefault="00EC6766" w:rsidP="00FD6FA4">
      <w:pPr>
        <w:spacing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In this report, the authors explore the relevance of proper stakeholder management in the successful initiation and implementation of a six-month project to introduce a new wearable health-related device in Current Health, a healthcare technology company in the UK, which deals with remote patient monitoring and virtual health care provision. The recommended action is to identify and involve the key internal and external stakeholders, including clinical partners, regulatory bodies, technology suppliers, patients, and specialist project teams, and ensure that the operations are ready, the product is adopted, and the performance results are achieved successfully and sustainably as the appointed Project Manager.</w:t>
      </w:r>
    </w:p>
    <w:p w14:paraId="1907058B" w14:textId="432F4287" w:rsidR="00401A33" w:rsidRPr="00C75E8F" w:rsidRDefault="00EC6766" w:rsidP="00FD6FA4">
      <w:pPr>
        <w:spacing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 xml:space="preserve">Based on the stakeholder engagement models and tools, such as SWOT analysis, the </w:t>
      </w:r>
      <w:r w:rsidR="00C75E8F" w:rsidRPr="00C75E8F">
        <w:rPr>
          <w:rFonts w:ascii="Times New Roman" w:eastAsia="Times New Roman" w:hAnsi="Times New Roman" w:cs="Times New Roman"/>
          <w:sz w:val="24"/>
          <w:szCs w:val="24"/>
          <w:lang w:val="en-GB"/>
        </w:rPr>
        <w:t>Power Interest</w:t>
      </w:r>
      <w:r w:rsidRPr="00C75E8F">
        <w:rPr>
          <w:rFonts w:ascii="Times New Roman" w:eastAsia="Times New Roman" w:hAnsi="Times New Roman" w:cs="Times New Roman"/>
          <w:sz w:val="24"/>
          <w:szCs w:val="24"/>
          <w:lang w:val="en-GB"/>
        </w:rPr>
        <w:t xml:space="preserve"> Matrix developed by Mendelow, a RACI responsibility framework, an engagement level matrix, and a comprehensive communication plan, the report critically analyses the benefits of stakeholders and possible challenges. The 4Cs Model (Communication, Coordination, Cooperation, and Collaboration) is used to tackle the management of conflicts because it helps to build systematic engagement mechanisms.</w:t>
      </w:r>
    </w:p>
    <w:p w14:paraId="3D6C6184" w14:textId="77777777" w:rsidR="00401A33" w:rsidRPr="00C75E8F" w:rsidRDefault="00EC6766" w:rsidP="00FD6FA4">
      <w:pPr>
        <w:spacing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The report has clearly illustrated the effectiveness of stakeholder engagement in organisational performance through a thorough analysis of the way effective stakeholder engagement improves innovation, regulatory adherence, patient outcomes, and competitiveness in the market. The report ends by giving a number of recommendations to incorporate more collaborative and transparent engagement practices in strategic decision-making, to further ensure the long-term success of deploying digital health technologies.</w:t>
      </w:r>
      <w:r w:rsidRPr="00C75E8F">
        <w:rPr>
          <w:rFonts w:ascii="Times New Roman" w:hAnsi="Times New Roman" w:cs="Times New Roman"/>
          <w:sz w:val="24"/>
          <w:szCs w:val="24"/>
          <w:lang w:val="en-GB"/>
        </w:rPr>
        <w:br w:type="page"/>
      </w:r>
    </w:p>
    <w:sdt>
      <w:sdtPr>
        <w:rPr>
          <w:rFonts w:ascii="Times New Roman" w:eastAsia="Arial" w:hAnsi="Times New Roman" w:cs="Times New Roman"/>
          <w:color w:val="auto"/>
          <w:sz w:val="24"/>
          <w:szCs w:val="24"/>
          <w:lang w:val="en-GB" w:eastAsia="en-GB"/>
        </w:rPr>
        <w:id w:val="1890144416"/>
        <w:docPartObj>
          <w:docPartGallery w:val="Table of Contents"/>
          <w:docPartUnique/>
        </w:docPartObj>
      </w:sdtPr>
      <w:sdtEndPr>
        <w:rPr>
          <w:b/>
          <w:bCs/>
          <w:noProof/>
        </w:rPr>
      </w:sdtEndPr>
      <w:sdtContent>
        <w:p w14:paraId="01E5CB64" w14:textId="77777777" w:rsidR="00FD6FA4" w:rsidRPr="00C75E8F" w:rsidRDefault="00FD6FA4" w:rsidP="00FD6FA4">
          <w:pPr>
            <w:pStyle w:val="TOCHeading"/>
            <w:spacing w:line="360" w:lineRule="auto"/>
            <w:jc w:val="center"/>
            <w:rPr>
              <w:rFonts w:ascii="Times New Roman" w:hAnsi="Times New Roman" w:cs="Times New Roman"/>
              <w:b/>
              <w:color w:val="auto"/>
              <w:sz w:val="24"/>
              <w:szCs w:val="24"/>
              <w:lang w:val="en-GB"/>
            </w:rPr>
          </w:pPr>
          <w:r w:rsidRPr="00C75E8F">
            <w:rPr>
              <w:rFonts w:ascii="Times New Roman" w:hAnsi="Times New Roman" w:cs="Times New Roman"/>
              <w:b/>
              <w:color w:val="auto"/>
              <w:sz w:val="24"/>
              <w:szCs w:val="24"/>
              <w:lang w:val="en-GB"/>
            </w:rPr>
            <w:t>Table of Contents</w:t>
          </w:r>
        </w:p>
        <w:p w14:paraId="67B864E9" w14:textId="77777777" w:rsidR="00FD6FA4" w:rsidRPr="00C75E8F" w:rsidRDefault="00FD6FA4" w:rsidP="00FD6FA4">
          <w:pPr>
            <w:pStyle w:val="TOC1"/>
            <w:tabs>
              <w:tab w:val="right" w:leader="dot" w:pos="9350"/>
            </w:tabs>
            <w:spacing w:line="360" w:lineRule="auto"/>
            <w:jc w:val="both"/>
            <w:rPr>
              <w:rFonts w:ascii="Times New Roman" w:hAnsi="Times New Roman" w:cs="Times New Roman"/>
              <w:noProof/>
              <w:sz w:val="24"/>
              <w:szCs w:val="24"/>
              <w:lang w:val="en-GB"/>
            </w:rPr>
          </w:pPr>
          <w:r w:rsidRPr="00C75E8F">
            <w:rPr>
              <w:rFonts w:ascii="Times New Roman" w:hAnsi="Times New Roman" w:cs="Times New Roman"/>
              <w:sz w:val="24"/>
              <w:szCs w:val="24"/>
              <w:lang w:val="en-GB"/>
            </w:rPr>
            <w:fldChar w:fldCharType="begin"/>
          </w:r>
          <w:r w:rsidRPr="00C75E8F">
            <w:rPr>
              <w:rFonts w:ascii="Times New Roman" w:hAnsi="Times New Roman" w:cs="Times New Roman"/>
              <w:sz w:val="24"/>
              <w:szCs w:val="24"/>
              <w:lang w:val="en-GB"/>
            </w:rPr>
            <w:instrText xml:space="preserve"> TOC \o "1-3" \h \z \u </w:instrText>
          </w:r>
          <w:r w:rsidRPr="00C75E8F">
            <w:rPr>
              <w:rFonts w:ascii="Times New Roman" w:hAnsi="Times New Roman" w:cs="Times New Roman"/>
              <w:sz w:val="24"/>
              <w:szCs w:val="24"/>
              <w:lang w:val="en-GB"/>
            </w:rPr>
            <w:fldChar w:fldCharType="separate"/>
          </w:r>
          <w:hyperlink w:anchor="_Toc215776364" w:history="1">
            <w:r w:rsidRPr="00C75E8F">
              <w:rPr>
                <w:rStyle w:val="Hyperlink"/>
                <w:rFonts w:ascii="Times New Roman" w:hAnsi="Times New Roman" w:cs="Times New Roman"/>
                <w:noProof/>
                <w:sz w:val="24"/>
                <w:szCs w:val="24"/>
                <w:lang w:val="en-GB"/>
              </w:rPr>
              <w:t>1.0 Introduction</w:t>
            </w:r>
            <w:r w:rsidRPr="00C75E8F">
              <w:rPr>
                <w:rFonts w:ascii="Times New Roman" w:hAnsi="Times New Roman" w:cs="Times New Roman"/>
                <w:noProof/>
                <w:webHidden/>
                <w:sz w:val="24"/>
                <w:szCs w:val="24"/>
                <w:lang w:val="en-GB"/>
              </w:rPr>
              <w:tab/>
            </w:r>
            <w:r w:rsidRPr="00C75E8F">
              <w:rPr>
                <w:rFonts w:ascii="Times New Roman" w:hAnsi="Times New Roman" w:cs="Times New Roman"/>
                <w:noProof/>
                <w:webHidden/>
                <w:sz w:val="24"/>
                <w:szCs w:val="24"/>
                <w:lang w:val="en-GB"/>
              </w:rPr>
              <w:fldChar w:fldCharType="begin"/>
            </w:r>
            <w:r w:rsidRPr="00C75E8F">
              <w:rPr>
                <w:rFonts w:ascii="Times New Roman" w:hAnsi="Times New Roman" w:cs="Times New Roman"/>
                <w:noProof/>
                <w:webHidden/>
                <w:sz w:val="24"/>
                <w:szCs w:val="24"/>
                <w:lang w:val="en-GB"/>
              </w:rPr>
              <w:instrText xml:space="preserve"> PAGEREF _Toc215776364 \h </w:instrText>
            </w:r>
            <w:r w:rsidRPr="00C75E8F">
              <w:rPr>
                <w:rFonts w:ascii="Times New Roman" w:hAnsi="Times New Roman" w:cs="Times New Roman"/>
                <w:noProof/>
                <w:webHidden/>
                <w:sz w:val="24"/>
                <w:szCs w:val="24"/>
                <w:lang w:val="en-GB"/>
              </w:rPr>
            </w:r>
            <w:r w:rsidRPr="00C75E8F">
              <w:rPr>
                <w:rFonts w:ascii="Times New Roman" w:hAnsi="Times New Roman" w:cs="Times New Roman"/>
                <w:noProof/>
                <w:webHidden/>
                <w:sz w:val="24"/>
                <w:szCs w:val="24"/>
                <w:lang w:val="en-GB"/>
              </w:rPr>
              <w:fldChar w:fldCharType="separate"/>
            </w:r>
            <w:r w:rsidRPr="00C75E8F">
              <w:rPr>
                <w:rFonts w:ascii="Times New Roman" w:hAnsi="Times New Roman" w:cs="Times New Roman"/>
                <w:noProof/>
                <w:webHidden/>
                <w:sz w:val="24"/>
                <w:szCs w:val="24"/>
                <w:lang w:val="en-GB"/>
              </w:rPr>
              <w:t>4</w:t>
            </w:r>
            <w:r w:rsidRPr="00C75E8F">
              <w:rPr>
                <w:rFonts w:ascii="Times New Roman" w:hAnsi="Times New Roman" w:cs="Times New Roman"/>
                <w:noProof/>
                <w:webHidden/>
                <w:sz w:val="24"/>
                <w:szCs w:val="24"/>
                <w:lang w:val="en-GB"/>
              </w:rPr>
              <w:fldChar w:fldCharType="end"/>
            </w:r>
          </w:hyperlink>
        </w:p>
        <w:p w14:paraId="28043795" w14:textId="77777777" w:rsidR="00FD6FA4" w:rsidRPr="00C75E8F" w:rsidRDefault="00FD6FA4" w:rsidP="00FD6FA4">
          <w:pPr>
            <w:pStyle w:val="TOC1"/>
            <w:tabs>
              <w:tab w:val="right" w:leader="dot" w:pos="9350"/>
            </w:tabs>
            <w:spacing w:line="360" w:lineRule="auto"/>
            <w:jc w:val="both"/>
            <w:rPr>
              <w:rFonts w:ascii="Times New Roman" w:hAnsi="Times New Roman" w:cs="Times New Roman"/>
              <w:noProof/>
              <w:sz w:val="24"/>
              <w:szCs w:val="24"/>
              <w:lang w:val="en-GB"/>
            </w:rPr>
          </w:pPr>
          <w:hyperlink w:anchor="_Toc215776365" w:history="1">
            <w:r w:rsidRPr="00C75E8F">
              <w:rPr>
                <w:rStyle w:val="Hyperlink"/>
                <w:rFonts w:ascii="Times New Roman" w:hAnsi="Times New Roman" w:cs="Times New Roman"/>
                <w:noProof/>
                <w:sz w:val="24"/>
                <w:szCs w:val="24"/>
                <w:lang w:val="en-GB"/>
              </w:rPr>
              <w:t>2.0 Project Overview and Situational Analysis.</w:t>
            </w:r>
            <w:r w:rsidRPr="00C75E8F">
              <w:rPr>
                <w:rFonts w:ascii="Times New Roman" w:hAnsi="Times New Roman" w:cs="Times New Roman"/>
                <w:noProof/>
                <w:webHidden/>
                <w:sz w:val="24"/>
                <w:szCs w:val="24"/>
                <w:lang w:val="en-GB"/>
              </w:rPr>
              <w:tab/>
            </w:r>
            <w:r w:rsidRPr="00C75E8F">
              <w:rPr>
                <w:rFonts w:ascii="Times New Roman" w:hAnsi="Times New Roman" w:cs="Times New Roman"/>
                <w:noProof/>
                <w:webHidden/>
                <w:sz w:val="24"/>
                <w:szCs w:val="24"/>
                <w:lang w:val="en-GB"/>
              </w:rPr>
              <w:fldChar w:fldCharType="begin"/>
            </w:r>
            <w:r w:rsidRPr="00C75E8F">
              <w:rPr>
                <w:rFonts w:ascii="Times New Roman" w:hAnsi="Times New Roman" w:cs="Times New Roman"/>
                <w:noProof/>
                <w:webHidden/>
                <w:sz w:val="24"/>
                <w:szCs w:val="24"/>
                <w:lang w:val="en-GB"/>
              </w:rPr>
              <w:instrText xml:space="preserve"> PAGEREF _Toc215776365 \h </w:instrText>
            </w:r>
            <w:r w:rsidRPr="00C75E8F">
              <w:rPr>
                <w:rFonts w:ascii="Times New Roman" w:hAnsi="Times New Roman" w:cs="Times New Roman"/>
                <w:noProof/>
                <w:webHidden/>
                <w:sz w:val="24"/>
                <w:szCs w:val="24"/>
                <w:lang w:val="en-GB"/>
              </w:rPr>
            </w:r>
            <w:r w:rsidRPr="00C75E8F">
              <w:rPr>
                <w:rFonts w:ascii="Times New Roman" w:hAnsi="Times New Roman" w:cs="Times New Roman"/>
                <w:noProof/>
                <w:webHidden/>
                <w:sz w:val="24"/>
                <w:szCs w:val="24"/>
                <w:lang w:val="en-GB"/>
              </w:rPr>
              <w:fldChar w:fldCharType="separate"/>
            </w:r>
            <w:r w:rsidRPr="00C75E8F">
              <w:rPr>
                <w:rFonts w:ascii="Times New Roman" w:hAnsi="Times New Roman" w:cs="Times New Roman"/>
                <w:noProof/>
                <w:webHidden/>
                <w:sz w:val="24"/>
                <w:szCs w:val="24"/>
                <w:lang w:val="en-GB"/>
              </w:rPr>
              <w:t>4</w:t>
            </w:r>
            <w:r w:rsidRPr="00C75E8F">
              <w:rPr>
                <w:rFonts w:ascii="Times New Roman" w:hAnsi="Times New Roman" w:cs="Times New Roman"/>
                <w:noProof/>
                <w:webHidden/>
                <w:sz w:val="24"/>
                <w:szCs w:val="24"/>
                <w:lang w:val="en-GB"/>
              </w:rPr>
              <w:fldChar w:fldCharType="end"/>
            </w:r>
          </w:hyperlink>
        </w:p>
        <w:p w14:paraId="44D5200D" w14:textId="77777777" w:rsidR="00FD6FA4" w:rsidRPr="00C75E8F" w:rsidRDefault="00FD6FA4" w:rsidP="00FD6FA4">
          <w:pPr>
            <w:pStyle w:val="TOC2"/>
            <w:tabs>
              <w:tab w:val="right" w:leader="dot" w:pos="9350"/>
            </w:tabs>
            <w:spacing w:line="360" w:lineRule="auto"/>
            <w:jc w:val="both"/>
            <w:rPr>
              <w:rFonts w:ascii="Times New Roman" w:hAnsi="Times New Roman" w:cs="Times New Roman"/>
              <w:noProof/>
              <w:sz w:val="24"/>
              <w:szCs w:val="24"/>
              <w:lang w:val="en-GB"/>
            </w:rPr>
          </w:pPr>
          <w:hyperlink w:anchor="_Toc215776366" w:history="1">
            <w:r w:rsidRPr="00C75E8F">
              <w:rPr>
                <w:rStyle w:val="Hyperlink"/>
                <w:rFonts w:ascii="Times New Roman" w:hAnsi="Times New Roman" w:cs="Times New Roman"/>
                <w:noProof/>
                <w:sz w:val="24"/>
                <w:szCs w:val="24"/>
                <w:lang w:val="en-GB"/>
              </w:rPr>
              <w:t>2.1 SWOT Analysis</w:t>
            </w:r>
            <w:r w:rsidRPr="00C75E8F">
              <w:rPr>
                <w:rFonts w:ascii="Times New Roman" w:hAnsi="Times New Roman" w:cs="Times New Roman"/>
                <w:noProof/>
                <w:webHidden/>
                <w:sz w:val="24"/>
                <w:szCs w:val="24"/>
                <w:lang w:val="en-GB"/>
              </w:rPr>
              <w:tab/>
            </w:r>
            <w:r w:rsidRPr="00C75E8F">
              <w:rPr>
                <w:rFonts w:ascii="Times New Roman" w:hAnsi="Times New Roman" w:cs="Times New Roman"/>
                <w:noProof/>
                <w:webHidden/>
                <w:sz w:val="24"/>
                <w:szCs w:val="24"/>
                <w:lang w:val="en-GB"/>
              </w:rPr>
              <w:fldChar w:fldCharType="begin"/>
            </w:r>
            <w:r w:rsidRPr="00C75E8F">
              <w:rPr>
                <w:rFonts w:ascii="Times New Roman" w:hAnsi="Times New Roman" w:cs="Times New Roman"/>
                <w:noProof/>
                <w:webHidden/>
                <w:sz w:val="24"/>
                <w:szCs w:val="24"/>
                <w:lang w:val="en-GB"/>
              </w:rPr>
              <w:instrText xml:space="preserve"> PAGEREF _Toc215776366 \h </w:instrText>
            </w:r>
            <w:r w:rsidRPr="00C75E8F">
              <w:rPr>
                <w:rFonts w:ascii="Times New Roman" w:hAnsi="Times New Roman" w:cs="Times New Roman"/>
                <w:noProof/>
                <w:webHidden/>
                <w:sz w:val="24"/>
                <w:szCs w:val="24"/>
                <w:lang w:val="en-GB"/>
              </w:rPr>
            </w:r>
            <w:r w:rsidRPr="00C75E8F">
              <w:rPr>
                <w:rFonts w:ascii="Times New Roman" w:hAnsi="Times New Roman" w:cs="Times New Roman"/>
                <w:noProof/>
                <w:webHidden/>
                <w:sz w:val="24"/>
                <w:szCs w:val="24"/>
                <w:lang w:val="en-GB"/>
              </w:rPr>
              <w:fldChar w:fldCharType="separate"/>
            </w:r>
            <w:r w:rsidRPr="00C75E8F">
              <w:rPr>
                <w:rFonts w:ascii="Times New Roman" w:hAnsi="Times New Roman" w:cs="Times New Roman"/>
                <w:noProof/>
                <w:webHidden/>
                <w:sz w:val="24"/>
                <w:szCs w:val="24"/>
                <w:lang w:val="en-GB"/>
              </w:rPr>
              <w:t>5</w:t>
            </w:r>
            <w:r w:rsidRPr="00C75E8F">
              <w:rPr>
                <w:rFonts w:ascii="Times New Roman" w:hAnsi="Times New Roman" w:cs="Times New Roman"/>
                <w:noProof/>
                <w:webHidden/>
                <w:sz w:val="24"/>
                <w:szCs w:val="24"/>
                <w:lang w:val="en-GB"/>
              </w:rPr>
              <w:fldChar w:fldCharType="end"/>
            </w:r>
          </w:hyperlink>
        </w:p>
        <w:p w14:paraId="3F3B7328" w14:textId="77777777" w:rsidR="00FD6FA4" w:rsidRPr="00C75E8F" w:rsidRDefault="00FD6FA4" w:rsidP="00FD6FA4">
          <w:pPr>
            <w:pStyle w:val="TOC2"/>
            <w:tabs>
              <w:tab w:val="right" w:leader="dot" w:pos="9350"/>
            </w:tabs>
            <w:spacing w:line="360" w:lineRule="auto"/>
            <w:jc w:val="both"/>
            <w:rPr>
              <w:rFonts w:ascii="Times New Roman" w:hAnsi="Times New Roman" w:cs="Times New Roman"/>
              <w:noProof/>
              <w:sz w:val="24"/>
              <w:szCs w:val="24"/>
              <w:lang w:val="en-GB"/>
            </w:rPr>
          </w:pPr>
          <w:hyperlink w:anchor="_Toc215776367" w:history="1">
            <w:r w:rsidRPr="00C75E8F">
              <w:rPr>
                <w:rStyle w:val="Hyperlink"/>
                <w:rFonts w:ascii="Times New Roman" w:hAnsi="Times New Roman" w:cs="Times New Roman"/>
                <w:noProof/>
                <w:sz w:val="24"/>
                <w:szCs w:val="24"/>
                <w:lang w:val="en-GB"/>
              </w:rPr>
              <w:t>2.2 SMART Objectives for the Project</w:t>
            </w:r>
            <w:r w:rsidRPr="00C75E8F">
              <w:rPr>
                <w:rFonts w:ascii="Times New Roman" w:hAnsi="Times New Roman" w:cs="Times New Roman"/>
                <w:noProof/>
                <w:webHidden/>
                <w:sz w:val="24"/>
                <w:szCs w:val="24"/>
                <w:lang w:val="en-GB"/>
              </w:rPr>
              <w:tab/>
            </w:r>
            <w:r w:rsidRPr="00C75E8F">
              <w:rPr>
                <w:rFonts w:ascii="Times New Roman" w:hAnsi="Times New Roman" w:cs="Times New Roman"/>
                <w:noProof/>
                <w:webHidden/>
                <w:sz w:val="24"/>
                <w:szCs w:val="24"/>
                <w:lang w:val="en-GB"/>
              </w:rPr>
              <w:fldChar w:fldCharType="begin"/>
            </w:r>
            <w:r w:rsidRPr="00C75E8F">
              <w:rPr>
                <w:rFonts w:ascii="Times New Roman" w:hAnsi="Times New Roman" w:cs="Times New Roman"/>
                <w:noProof/>
                <w:webHidden/>
                <w:sz w:val="24"/>
                <w:szCs w:val="24"/>
                <w:lang w:val="en-GB"/>
              </w:rPr>
              <w:instrText xml:space="preserve"> PAGEREF _Toc215776367 \h </w:instrText>
            </w:r>
            <w:r w:rsidRPr="00C75E8F">
              <w:rPr>
                <w:rFonts w:ascii="Times New Roman" w:hAnsi="Times New Roman" w:cs="Times New Roman"/>
                <w:noProof/>
                <w:webHidden/>
                <w:sz w:val="24"/>
                <w:szCs w:val="24"/>
                <w:lang w:val="en-GB"/>
              </w:rPr>
            </w:r>
            <w:r w:rsidRPr="00C75E8F">
              <w:rPr>
                <w:rFonts w:ascii="Times New Roman" w:hAnsi="Times New Roman" w:cs="Times New Roman"/>
                <w:noProof/>
                <w:webHidden/>
                <w:sz w:val="24"/>
                <w:szCs w:val="24"/>
                <w:lang w:val="en-GB"/>
              </w:rPr>
              <w:fldChar w:fldCharType="separate"/>
            </w:r>
            <w:r w:rsidRPr="00C75E8F">
              <w:rPr>
                <w:rFonts w:ascii="Times New Roman" w:hAnsi="Times New Roman" w:cs="Times New Roman"/>
                <w:noProof/>
                <w:webHidden/>
                <w:sz w:val="24"/>
                <w:szCs w:val="24"/>
                <w:lang w:val="en-GB"/>
              </w:rPr>
              <w:t>6</w:t>
            </w:r>
            <w:r w:rsidRPr="00C75E8F">
              <w:rPr>
                <w:rFonts w:ascii="Times New Roman" w:hAnsi="Times New Roman" w:cs="Times New Roman"/>
                <w:noProof/>
                <w:webHidden/>
                <w:sz w:val="24"/>
                <w:szCs w:val="24"/>
                <w:lang w:val="en-GB"/>
              </w:rPr>
              <w:fldChar w:fldCharType="end"/>
            </w:r>
          </w:hyperlink>
        </w:p>
        <w:p w14:paraId="66BD969A" w14:textId="77777777" w:rsidR="00FD6FA4" w:rsidRPr="00C75E8F" w:rsidRDefault="00FD6FA4" w:rsidP="00FD6FA4">
          <w:pPr>
            <w:pStyle w:val="TOC1"/>
            <w:tabs>
              <w:tab w:val="right" w:leader="dot" w:pos="9350"/>
            </w:tabs>
            <w:spacing w:line="360" w:lineRule="auto"/>
            <w:jc w:val="both"/>
            <w:rPr>
              <w:rFonts w:ascii="Times New Roman" w:hAnsi="Times New Roman" w:cs="Times New Roman"/>
              <w:noProof/>
              <w:sz w:val="24"/>
              <w:szCs w:val="24"/>
              <w:lang w:val="en-GB"/>
            </w:rPr>
          </w:pPr>
          <w:hyperlink w:anchor="_Toc215776368" w:history="1">
            <w:r w:rsidRPr="00C75E8F">
              <w:rPr>
                <w:rStyle w:val="Hyperlink"/>
                <w:rFonts w:ascii="Times New Roman" w:hAnsi="Times New Roman" w:cs="Times New Roman"/>
                <w:noProof/>
                <w:sz w:val="24"/>
                <w:szCs w:val="24"/>
                <w:lang w:val="en-GB"/>
              </w:rPr>
              <w:t>3.0 Identification of Key Stakeholders</w:t>
            </w:r>
            <w:r w:rsidRPr="00C75E8F">
              <w:rPr>
                <w:rFonts w:ascii="Times New Roman" w:hAnsi="Times New Roman" w:cs="Times New Roman"/>
                <w:noProof/>
                <w:webHidden/>
                <w:sz w:val="24"/>
                <w:szCs w:val="24"/>
                <w:lang w:val="en-GB"/>
              </w:rPr>
              <w:tab/>
            </w:r>
            <w:r w:rsidRPr="00C75E8F">
              <w:rPr>
                <w:rFonts w:ascii="Times New Roman" w:hAnsi="Times New Roman" w:cs="Times New Roman"/>
                <w:noProof/>
                <w:webHidden/>
                <w:sz w:val="24"/>
                <w:szCs w:val="24"/>
                <w:lang w:val="en-GB"/>
              </w:rPr>
              <w:fldChar w:fldCharType="begin"/>
            </w:r>
            <w:r w:rsidRPr="00C75E8F">
              <w:rPr>
                <w:rFonts w:ascii="Times New Roman" w:hAnsi="Times New Roman" w:cs="Times New Roman"/>
                <w:noProof/>
                <w:webHidden/>
                <w:sz w:val="24"/>
                <w:szCs w:val="24"/>
                <w:lang w:val="en-GB"/>
              </w:rPr>
              <w:instrText xml:space="preserve"> PAGEREF _Toc215776368 \h </w:instrText>
            </w:r>
            <w:r w:rsidRPr="00C75E8F">
              <w:rPr>
                <w:rFonts w:ascii="Times New Roman" w:hAnsi="Times New Roman" w:cs="Times New Roman"/>
                <w:noProof/>
                <w:webHidden/>
                <w:sz w:val="24"/>
                <w:szCs w:val="24"/>
                <w:lang w:val="en-GB"/>
              </w:rPr>
            </w:r>
            <w:r w:rsidRPr="00C75E8F">
              <w:rPr>
                <w:rFonts w:ascii="Times New Roman" w:hAnsi="Times New Roman" w:cs="Times New Roman"/>
                <w:noProof/>
                <w:webHidden/>
                <w:sz w:val="24"/>
                <w:szCs w:val="24"/>
                <w:lang w:val="en-GB"/>
              </w:rPr>
              <w:fldChar w:fldCharType="separate"/>
            </w:r>
            <w:r w:rsidRPr="00C75E8F">
              <w:rPr>
                <w:rFonts w:ascii="Times New Roman" w:hAnsi="Times New Roman" w:cs="Times New Roman"/>
                <w:noProof/>
                <w:webHidden/>
                <w:sz w:val="24"/>
                <w:szCs w:val="24"/>
                <w:lang w:val="en-GB"/>
              </w:rPr>
              <w:t>7</w:t>
            </w:r>
            <w:r w:rsidRPr="00C75E8F">
              <w:rPr>
                <w:rFonts w:ascii="Times New Roman" w:hAnsi="Times New Roman" w:cs="Times New Roman"/>
                <w:noProof/>
                <w:webHidden/>
                <w:sz w:val="24"/>
                <w:szCs w:val="24"/>
                <w:lang w:val="en-GB"/>
              </w:rPr>
              <w:fldChar w:fldCharType="end"/>
            </w:r>
          </w:hyperlink>
        </w:p>
        <w:p w14:paraId="12478051" w14:textId="77777777" w:rsidR="00FD6FA4" w:rsidRPr="00C75E8F" w:rsidRDefault="00FD6FA4" w:rsidP="00FD6FA4">
          <w:pPr>
            <w:pStyle w:val="TOC2"/>
            <w:tabs>
              <w:tab w:val="right" w:leader="dot" w:pos="9350"/>
            </w:tabs>
            <w:spacing w:line="360" w:lineRule="auto"/>
            <w:jc w:val="both"/>
            <w:rPr>
              <w:rFonts w:ascii="Times New Roman" w:hAnsi="Times New Roman" w:cs="Times New Roman"/>
              <w:noProof/>
              <w:sz w:val="24"/>
              <w:szCs w:val="24"/>
              <w:lang w:val="en-GB"/>
            </w:rPr>
          </w:pPr>
          <w:hyperlink w:anchor="_Toc215776369" w:history="1">
            <w:r w:rsidRPr="00C75E8F">
              <w:rPr>
                <w:rStyle w:val="Hyperlink"/>
                <w:rFonts w:ascii="Times New Roman" w:hAnsi="Times New Roman" w:cs="Times New Roman"/>
                <w:noProof/>
                <w:sz w:val="24"/>
                <w:szCs w:val="24"/>
                <w:lang w:val="en-GB"/>
              </w:rPr>
              <w:t>3.1 Key Stakeholder Groups and Their Importance</w:t>
            </w:r>
            <w:r w:rsidRPr="00C75E8F">
              <w:rPr>
                <w:rFonts w:ascii="Times New Roman" w:hAnsi="Times New Roman" w:cs="Times New Roman"/>
                <w:noProof/>
                <w:webHidden/>
                <w:sz w:val="24"/>
                <w:szCs w:val="24"/>
                <w:lang w:val="en-GB"/>
              </w:rPr>
              <w:tab/>
            </w:r>
            <w:r w:rsidRPr="00C75E8F">
              <w:rPr>
                <w:rFonts w:ascii="Times New Roman" w:hAnsi="Times New Roman" w:cs="Times New Roman"/>
                <w:noProof/>
                <w:webHidden/>
                <w:sz w:val="24"/>
                <w:szCs w:val="24"/>
                <w:lang w:val="en-GB"/>
              </w:rPr>
              <w:fldChar w:fldCharType="begin"/>
            </w:r>
            <w:r w:rsidRPr="00C75E8F">
              <w:rPr>
                <w:rFonts w:ascii="Times New Roman" w:hAnsi="Times New Roman" w:cs="Times New Roman"/>
                <w:noProof/>
                <w:webHidden/>
                <w:sz w:val="24"/>
                <w:szCs w:val="24"/>
                <w:lang w:val="en-GB"/>
              </w:rPr>
              <w:instrText xml:space="preserve"> PAGEREF _Toc215776369 \h </w:instrText>
            </w:r>
            <w:r w:rsidRPr="00C75E8F">
              <w:rPr>
                <w:rFonts w:ascii="Times New Roman" w:hAnsi="Times New Roman" w:cs="Times New Roman"/>
                <w:noProof/>
                <w:webHidden/>
                <w:sz w:val="24"/>
                <w:szCs w:val="24"/>
                <w:lang w:val="en-GB"/>
              </w:rPr>
            </w:r>
            <w:r w:rsidRPr="00C75E8F">
              <w:rPr>
                <w:rFonts w:ascii="Times New Roman" w:hAnsi="Times New Roman" w:cs="Times New Roman"/>
                <w:noProof/>
                <w:webHidden/>
                <w:sz w:val="24"/>
                <w:szCs w:val="24"/>
                <w:lang w:val="en-GB"/>
              </w:rPr>
              <w:fldChar w:fldCharType="separate"/>
            </w:r>
            <w:r w:rsidRPr="00C75E8F">
              <w:rPr>
                <w:rFonts w:ascii="Times New Roman" w:hAnsi="Times New Roman" w:cs="Times New Roman"/>
                <w:noProof/>
                <w:webHidden/>
                <w:sz w:val="24"/>
                <w:szCs w:val="24"/>
                <w:lang w:val="en-GB"/>
              </w:rPr>
              <w:t>8</w:t>
            </w:r>
            <w:r w:rsidRPr="00C75E8F">
              <w:rPr>
                <w:rFonts w:ascii="Times New Roman" w:hAnsi="Times New Roman" w:cs="Times New Roman"/>
                <w:noProof/>
                <w:webHidden/>
                <w:sz w:val="24"/>
                <w:szCs w:val="24"/>
                <w:lang w:val="en-GB"/>
              </w:rPr>
              <w:fldChar w:fldCharType="end"/>
            </w:r>
          </w:hyperlink>
        </w:p>
        <w:p w14:paraId="5C126C41" w14:textId="77777777" w:rsidR="00FD6FA4" w:rsidRPr="00C75E8F" w:rsidRDefault="00FD6FA4" w:rsidP="00FD6FA4">
          <w:pPr>
            <w:pStyle w:val="TOC1"/>
            <w:tabs>
              <w:tab w:val="right" w:leader="dot" w:pos="9350"/>
            </w:tabs>
            <w:spacing w:line="360" w:lineRule="auto"/>
            <w:jc w:val="both"/>
            <w:rPr>
              <w:rFonts w:ascii="Times New Roman" w:hAnsi="Times New Roman" w:cs="Times New Roman"/>
              <w:noProof/>
              <w:sz w:val="24"/>
              <w:szCs w:val="24"/>
              <w:lang w:val="en-GB"/>
            </w:rPr>
          </w:pPr>
          <w:hyperlink w:anchor="_Toc215776370" w:history="1">
            <w:r w:rsidRPr="00C75E8F">
              <w:rPr>
                <w:rStyle w:val="Hyperlink"/>
                <w:rFonts w:ascii="Times New Roman" w:hAnsi="Times New Roman" w:cs="Times New Roman"/>
                <w:noProof/>
                <w:sz w:val="24"/>
                <w:szCs w:val="24"/>
                <w:lang w:val="en-GB"/>
              </w:rPr>
              <w:t>4.0 Roles, Responsibilities, Benefits, and Challenges of Key Stakeholders.</w:t>
            </w:r>
            <w:r w:rsidRPr="00C75E8F">
              <w:rPr>
                <w:rFonts w:ascii="Times New Roman" w:hAnsi="Times New Roman" w:cs="Times New Roman"/>
                <w:noProof/>
                <w:webHidden/>
                <w:sz w:val="24"/>
                <w:szCs w:val="24"/>
                <w:lang w:val="en-GB"/>
              </w:rPr>
              <w:tab/>
            </w:r>
            <w:r w:rsidRPr="00C75E8F">
              <w:rPr>
                <w:rFonts w:ascii="Times New Roman" w:hAnsi="Times New Roman" w:cs="Times New Roman"/>
                <w:noProof/>
                <w:webHidden/>
                <w:sz w:val="24"/>
                <w:szCs w:val="24"/>
                <w:lang w:val="en-GB"/>
              </w:rPr>
              <w:fldChar w:fldCharType="begin"/>
            </w:r>
            <w:r w:rsidRPr="00C75E8F">
              <w:rPr>
                <w:rFonts w:ascii="Times New Roman" w:hAnsi="Times New Roman" w:cs="Times New Roman"/>
                <w:noProof/>
                <w:webHidden/>
                <w:sz w:val="24"/>
                <w:szCs w:val="24"/>
                <w:lang w:val="en-GB"/>
              </w:rPr>
              <w:instrText xml:space="preserve"> PAGEREF _Toc215776370 \h </w:instrText>
            </w:r>
            <w:r w:rsidRPr="00C75E8F">
              <w:rPr>
                <w:rFonts w:ascii="Times New Roman" w:hAnsi="Times New Roman" w:cs="Times New Roman"/>
                <w:noProof/>
                <w:webHidden/>
                <w:sz w:val="24"/>
                <w:szCs w:val="24"/>
                <w:lang w:val="en-GB"/>
              </w:rPr>
            </w:r>
            <w:r w:rsidRPr="00C75E8F">
              <w:rPr>
                <w:rFonts w:ascii="Times New Roman" w:hAnsi="Times New Roman" w:cs="Times New Roman"/>
                <w:noProof/>
                <w:webHidden/>
                <w:sz w:val="24"/>
                <w:szCs w:val="24"/>
                <w:lang w:val="en-GB"/>
              </w:rPr>
              <w:fldChar w:fldCharType="separate"/>
            </w:r>
            <w:r w:rsidRPr="00C75E8F">
              <w:rPr>
                <w:rFonts w:ascii="Times New Roman" w:hAnsi="Times New Roman" w:cs="Times New Roman"/>
                <w:noProof/>
                <w:webHidden/>
                <w:sz w:val="24"/>
                <w:szCs w:val="24"/>
                <w:lang w:val="en-GB"/>
              </w:rPr>
              <w:t>9</w:t>
            </w:r>
            <w:r w:rsidRPr="00C75E8F">
              <w:rPr>
                <w:rFonts w:ascii="Times New Roman" w:hAnsi="Times New Roman" w:cs="Times New Roman"/>
                <w:noProof/>
                <w:webHidden/>
                <w:sz w:val="24"/>
                <w:szCs w:val="24"/>
                <w:lang w:val="en-GB"/>
              </w:rPr>
              <w:fldChar w:fldCharType="end"/>
            </w:r>
          </w:hyperlink>
        </w:p>
        <w:p w14:paraId="49CFE8BB" w14:textId="77777777" w:rsidR="00FD6FA4" w:rsidRPr="00C75E8F" w:rsidRDefault="00FD6FA4" w:rsidP="00FD6FA4">
          <w:pPr>
            <w:pStyle w:val="TOC2"/>
            <w:tabs>
              <w:tab w:val="right" w:leader="dot" w:pos="9350"/>
            </w:tabs>
            <w:spacing w:line="360" w:lineRule="auto"/>
            <w:jc w:val="both"/>
            <w:rPr>
              <w:rFonts w:ascii="Times New Roman" w:hAnsi="Times New Roman" w:cs="Times New Roman"/>
              <w:noProof/>
              <w:sz w:val="24"/>
              <w:szCs w:val="24"/>
              <w:lang w:val="en-GB"/>
            </w:rPr>
          </w:pPr>
          <w:hyperlink w:anchor="_Toc215776371" w:history="1">
            <w:r w:rsidRPr="00C75E8F">
              <w:rPr>
                <w:rStyle w:val="Hyperlink"/>
                <w:rFonts w:ascii="Times New Roman" w:hAnsi="Times New Roman" w:cs="Times New Roman"/>
                <w:noProof/>
                <w:sz w:val="24"/>
                <w:szCs w:val="24"/>
                <w:lang w:val="en-GB"/>
              </w:rPr>
              <w:t>4.1 Stakeholder Roles, Benefits, and Challenges</w:t>
            </w:r>
            <w:r w:rsidRPr="00C75E8F">
              <w:rPr>
                <w:rFonts w:ascii="Times New Roman" w:hAnsi="Times New Roman" w:cs="Times New Roman"/>
                <w:noProof/>
                <w:webHidden/>
                <w:sz w:val="24"/>
                <w:szCs w:val="24"/>
                <w:lang w:val="en-GB"/>
              </w:rPr>
              <w:tab/>
            </w:r>
            <w:r w:rsidRPr="00C75E8F">
              <w:rPr>
                <w:rFonts w:ascii="Times New Roman" w:hAnsi="Times New Roman" w:cs="Times New Roman"/>
                <w:noProof/>
                <w:webHidden/>
                <w:sz w:val="24"/>
                <w:szCs w:val="24"/>
                <w:lang w:val="en-GB"/>
              </w:rPr>
              <w:fldChar w:fldCharType="begin"/>
            </w:r>
            <w:r w:rsidRPr="00C75E8F">
              <w:rPr>
                <w:rFonts w:ascii="Times New Roman" w:hAnsi="Times New Roman" w:cs="Times New Roman"/>
                <w:noProof/>
                <w:webHidden/>
                <w:sz w:val="24"/>
                <w:szCs w:val="24"/>
                <w:lang w:val="en-GB"/>
              </w:rPr>
              <w:instrText xml:space="preserve"> PAGEREF _Toc215776371 \h </w:instrText>
            </w:r>
            <w:r w:rsidRPr="00C75E8F">
              <w:rPr>
                <w:rFonts w:ascii="Times New Roman" w:hAnsi="Times New Roman" w:cs="Times New Roman"/>
                <w:noProof/>
                <w:webHidden/>
                <w:sz w:val="24"/>
                <w:szCs w:val="24"/>
                <w:lang w:val="en-GB"/>
              </w:rPr>
            </w:r>
            <w:r w:rsidRPr="00C75E8F">
              <w:rPr>
                <w:rFonts w:ascii="Times New Roman" w:hAnsi="Times New Roman" w:cs="Times New Roman"/>
                <w:noProof/>
                <w:webHidden/>
                <w:sz w:val="24"/>
                <w:szCs w:val="24"/>
                <w:lang w:val="en-GB"/>
              </w:rPr>
              <w:fldChar w:fldCharType="separate"/>
            </w:r>
            <w:r w:rsidRPr="00C75E8F">
              <w:rPr>
                <w:rFonts w:ascii="Times New Roman" w:hAnsi="Times New Roman" w:cs="Times New Roman"/>
                <w:noProof/>
                <w:webHidden/>
                <w:sz w:val="24"/>
                <w:szCs w:val="24"/>
                <w:lang w:val="en-GB"/>
              </w:rPr>
              <w:t>10</w:t>
            </w:r>
            <w:r w:rsidRPr="00C75E8F">
              <w:rPr>
                <w:rFonts w:ascii="Times New Roman" w:hAnsi="Times New Roman" w:cs="Times New Roman"/>
                <w:noProof/>
                <w:webHidden/>
                <w:sz w:val="24"/>
                <w:szCs w:val="24"/>
                <w:lang w:val="en-GB"/>
              </w:rPr>
              <w:fldChar w:fldCharType="end"/>
            </w:r>
          </w:hyperlink>
        </w:p>
        <w:p w14:paraId="48203615" w14:textId="77777777" w:rsidR="00FD6FA4" w:rsidRPr="00C75E8F" w:rsidRDefault="00FD6FA4" w:rsidP="00FD6FA4">
          <w:pPr>
            <w:pStyle w:val="TOC2"/>
            <w:tabs>
              <w:tab w:val="right" w:leader="dot" w:pos="9350"/>
            </w:tabs>
            <w:spacing w:line="360" w:lineRule="auto"/>
            <w:jc w:val="both"/>
            <w:rPr>
              <w:rFonts w:ascii="Times New Roman" w:hAnsi="Times New Roman" w:cs="Times New Roman"/>
              <w:noProof/>
              <w:sz w:val="24"/>
              <w:szCs w:val="24"/>
              <w:lang w:val="en-GB"/>
            </w:rPr>
          </w:pPr>
          <w:hyperlink w:anchor="_Toc215776372" w:history="1">
            <w:r w:rsidRPr="00C75E8F">
              <w:rPr>
                <w:rStyle w:val="Hyperlink"/>
                <w:rFonts w:ascii="Times New Roman" w:hAnsi="Times New Roman" w:cs="Times New Roman"/>
                <w:noProof/>
                <w:sz w:val="24"/>
                <w:szCs w:val="24"/>
                <w:lang w:val="en-GB"/>
              </w:rPr>
              <w:t>4.2 RACI Matrix on the Major Project Activities.</w:t>
            </w:r>
            <w:r w:rsidRPr="00C75E8F">
              <w:rPr>
                <w:rFonts w:ascii="Times New Roman" w:hAnsi="Times New Roman" w:cs="Times New Roman"/>
                <w:noProof/>
                <w:webHidden/>
                <w:sz w:val="24"/>
                <w:szCs w:val="24"/>
                <w:lang w:val="en-GB"/>
              </w:rPr>
              <w:tab/>
            </w:r>
            <w:r w:rsidRPr="00C75E8F">
              <w:rPr>
                <w:rFonts w:ascii="Times New Roman" w:hAnsi="Times New Roman" w:cs="Times New Roman"/>
                <w:noProof/>
                <w:webHidden/>
                <w:sz w:val="24"/>
                <w:szCs w:val="24"/>
                <w:lang w:val="en-GB"/>
              </w:rPr>
              <w:fldChar w:fldCharType="begin"/>
            </w:r>
            <w:r w:rsidRPr="00C75E8F">
              <w:rPr>
                <w:rFonts w:ascii="Times New Roman" w:hAnsi="Times New Roman" w:cs="Times New Roman"/>
                <w:noProof/>
                <w:webHidden/>
                <w:sz w:val="24"/>
                <w:szCs w:val="24"/>
                <w:lang w:val="en-GB"/>
              </w:rPr>
              <w:instrText xml:space="preserve"> PAGEREF _Toc215776372 \h </w:instrText>
            </w:r>
            <w:r w:rsidRPr="00C75E8F">
              <w:rPr>
                <w:rFonts w:ascii="Times New Roman" w:hAnsi="Times New Roman" w:cs="Times New Roman"/>
                <w:noProof/>
                <w:webHidden/>
                <w:sz w:val="24"/>
                <w:szCs w:val="24"/>
                <w:lang w:val="en-GB"/>
              </w:rPr>
            </w:r>
            <w:r w:rsidRPr="00C75E8F">
              <w:rPr>
                <w:rFonts w:ascii="Times New Roman" w:hAnsi="Times New Roman" w:cs="Times New Roman"/>
                <w:noProof/>
                <w:webHidden/>
                <w:sz w:val="24"/>
                <w:szCs w:val="24"/>
                <w:lang w:val="en-GB"/>
              </w:rPr>
              <w:fldChar w:fldCharType="separate"/>
            </w:r>
            <w:r w:rsidRPr="00C75E8F">
              <w:rPr>
                <w:rFonts w:ascii="Times New Roman" w:hAnsi="Times New Roman" w:cs="Times New Roman"/>
                <w:noProof/>
                <w:webHidden/>
                <w:sz w:val="24"/>
                <w:szCs w:val="24"/>
                <w:lang w:val="en-GB"/>
              </w:rPr>
              <w:t>12</w:t>
            </w:r>
            <w:r w:rsidRPr="00C75E8F">
              <w:rPr>
                <w:rFonts w:ascii="Times New Roman" w:hAnsi="Times New Roman" w:cs="Times New Roman"/>
                <w:noProof/>
                <w:webHidden/>
                <w:sz w:val="24"/>
                <w:szCs w:val="24"/>
                <w:lang w:val="en-GB"/>
              </w:rPr>
              <w:fldChar w:fldCharType="end"/>
            </w:r>
          </w:hyperlink>
        </w:p>
        <w:p w14:paraId="16C7AFE7" w14:textId="77777777" w:rsidR="00FD6FA4" w:rsidRPr="00C75E8F" w:rsidRDefault="00FD6FA4" w:rsidP="00FD6FA4">
          <w:pPr>
            <w:pStyle w:val="TOC1"/>
            <w:tabs>
              <w:tab w:val="right" w:leader="dot" w:pos="9350"/>
            </w:tabs>
            <w:spacing w:line="360" w:lineRule="auto"/>
            <w:jc w:val="both"/>
            <w:rPr>
              <w:rFonts w:ascii="Times New Roman" w:hAnsi="Times New Roman" w:cs="Times New Roman"/>
              <w:noProof/>
              <w:sz w:val="24"/>
              <w:szCs w:val="24"/>
              <w:lang w:val="en-GB"/>
            </w:rPr>
          </w:pPr>
          <w:hyperlink w:anchor="_Toc215776373" w:history="1">
            <w:r w:rsidRPr="00C75E8F">
              <w:rPr>
                <w:rStyle w:val="Hyperlink"/>
                <w:rFonts w:ascii="Times New Roman" w:hAnsi="Times New Roman" w:cs="Times New Roman"/>
                <w:noProof/>
                <w:sz w:val="24"/>
                <w:szCs w:val="24"/>
                <w:lang w:val="en-GB"/>
              </w:rPr>
              <w:t>5.0 Stakeholder Engagement Mechanisms, Tools, and Communication Strategy</w:t>
            </w:r>
            <w:r w:rsidRPr="00C75E8F">
              <w:rPr>
                <w:rFonts w:ascii="Times New Roman" w:hAnsi="Times New Roman" w:cs="Times New Roman"/>
                <w:noProof/>
                <w:webHidden/>
                <w:sz w:val="24"/>
                <w:szCs w:val="24"/>
                <w:lang w:val="en-GB"/>
              </w:rPr>
              <w:tab/>
            </w:r>
            <w:r w:rsidRPr="00C75E8F">
              <w:rPr>
                <w:rFonts w:ascii="Times New Roman" w:hAnsi="Times New Roman" w:cs="Times New Roman"/>
                <w:noProof/>
                <w:webHidden/>
                <w:sz w:val="24"/>
                <w:szCs w:val="24"/>
                <w:lang w:val="en-GB"/>
              </w:rPr>
              <w:fldChar w:fldCharType="begin"/>
            </w:r>
            <w:r w:rsidRPr="00C75E8F">
              <w:rPr>
                <w:rFonts w:ascii="Times New Roman" w:hAnsi="Times New Roman" w:cs="Times New Roman"/>
                <w:noProof/>
                <w:webHidden/>
                <w:sz w:val="24"/>
                <w:szCs w:val="24"/>
                <w:lang w:val="en-GB"/>
              </w:rPr>
              <w:instrText xml:space="preserve"> PAGEREF _Toc215776373 \h </w:instrText>
            </w:r>
            <w:r w:rsidRPr="00C75E8F">
              <w:rPr>
                <w:rFonts w:ascii="Times New Roman" w:hAnsi="Times New Roman" w:cs="Times New Roman"/>
                <w:noProof/>
                <w:webHidden/>
                <w:sz w:val="24"/>
                <w:szCs w:val="24"/>
                <w:lang w:val="en-GB"/>
              </w:rPr>
            </w:r>
            <w:r w:rsidRPr="00C75E8F">
              <w:rPr>
                <w:rFonts w:ascii="Times New Roman" w:hAnsi="Times New Roman" w:cs="Times New Roman"/>
                <w:noProof/>
                <w:webHidden/>
                <w:sz w:val="24"/>
                <w:szCs w:val="24"/>
                <w:lang w:val="en-GB"/>
              </w:rPr>
              <w:fldChar w:fldCharType="separate"/>
            </w:r>
            <w:r w:rsidRPr="00C75E8F">
              <w:rPr>
                <w:rFonts w:ascii="Times New Roman" w:hAnsi="Times New Roman" w:cs="Times New Roman"/>
                <w:noProof/>
                <w:webHidden/>
                <w:sz w:val="24"/>
                <w:szCs w:val="24"/>
                <w:lang w:val="en-GB"/>
              </w:rPr>
              <w:t>14</w:t>
            </w:r>
            <w:r w:rsidRPr="00C75E8F">
              <w:rPr>
                <w:rFonts w:ascii="Times New Roman" w:hAnsi="Times New Roman" w:cs="Times New Roman"/>
                <w:noProof/>
                <w:webHidden/>
                <w:sz w:val="24"/>
                <w:szCs w:val="24"/>
                <w:lang w:val="en-GB"/>
              </w:rPr>
              <w:fldChar w:fldCharType="end"/>
            </w:r>
          </w:hyperlink>
        </w:p>
        <w:p w14:paraId="05B3F675" w14:textId="77777777" w:rsidR="00FD6FA4" w:rsidRPr="00C75E8F" w:rsidRDefault="00FD6FA4" w:rsidP="00FD6FA4">
          <w:pPr>
            <w:pStyle w:val="TOC2"/>
            <w:tabs>
              <w:tab w:val="right" w:leader="dot" w:pos="9350"/>
            </w:tabs>
            <w:spacing w:line="360" w:lineRule="auto"/>
            <w:jc w:val="both"/>
            <w:rPr>
              <w:rFonts w:ascii="Times New Roman" w:hAnsi="Times New Roman" w:cs="Times New Roman"/>
              <w:noProof/>
              <w:sz w:val="24"/>
              <w:szCs w:val="24"/>
              <w:lang w:val="en-GB"/>
            </w:rPr>
          </w:pPr>
          <w:hyperlink w:anchor="_Toc215776374" w:history="1">
            <w:r w:rsidRPr="00C75E8F">
              <w:rPr>
                <w:rStyle w:val="Hyperlink"/>
                <w:rFonts w:ascii="Times New Roman" w:hAnsi="Times New Roman" w:cs="Times New Roman"/>
                <w:noProof/>
                <w:sz w:val="24"/>
                <w:szCs w:val="24"/>
                <w:lang w:val="en-GB"/>
              </w:rPr>
              <w:t>5.1 Mendelow’s Power–Interest Matrix.</w:t>
            </w:r>
            <w:r w:rsidRPr="00C75E8F">
              <w:rPr>
                <w:rFonts w:ascii="Times New Roman" w:hAnsi="Times New Roman" w:cs="Times New Roman"/>
                <w:noProof/>
                <w:webHidden/>
                <w:sz w:val="24"/>
                <w:szCs w:val="24"/>
                <w:lang w:val="en-GB"/>
              </w:rPr>
              <w:tab/>
            </w:r>
            <w:r w:rsidRPr="00C75E8F">
              <w:rPr>
                <w:rFonts w:ascii="Times New Roman" w:hAnsi="Times New Roman" w:cs="Times New Roman"/>
                <w:noProof/>
                <w:webHidden/>
                <w:sz w:val="24"/>
                <w:szCs w:val="24"/>
                <w:lang w:val="en-GB"/>
              </w:rPr>
              <w:fldChar w:fldCharType="begin"/>
            </w:r>
            <w:r w:rsidRPr="00C75E8F">
              <w:rPr>
                <w:rFonts w:ascii="Times New Roman" w:hAnsi="Times New Roman" w:cs="Times New Roman"/>
                <w:noProof/>
                <w:webHidden/>
                <w:sz w:val="24"/>
                <w:szCs w:val="24"/>
                <w:lang w:val="en-GB"/>
              </w:rPr>
              <w:instrText xml:space="preserve"> PAGEREF _Toc215776374 \h </w:instrText>
            </w:r>
            <w:r w:rsidRPr="00C75E8F">
              <w:rPr>
                <w:rFonts w:ascii="Times New Roman" w:hAnsi="Times New Roman" w:cs="Times New Roman"/>
                <w:noProof/>
                <w:webHidden/>
                <w:sz w:val="24"/>
                <w:szCs w:val="24"/>
                <w:lang w:val="en-GB"/>
              </w:rPr>
            </w:r>
            <w:r w:rsidRPr="00C75E8F">
              <w:rPr>
                <w:rFonts w:ascii="Times New Roman" w:hAnsi="Times New Roman" w:cs="Times New Roman"/>
                <w:noProof/>
                <w:webHidden/>
                <w:sz w:val="24"/>
                <w:szCs w:val="24"/>
                <w:lang w:val="en-GB"/>
              </w:rPr>
              <w:fldChar w:fldCharType="separate"/>
            </w:r>
            <w:r w:rsidRPr="00C75E8F">
              <w:rPr>
                <w:rFonts w:ascii="Times New Roman" w:hAnsi="Times New Roman" w:cs="Times New Roman"/>
                <w:noProof/>
                <w:webHidden/>
                <w:sz w:val="24"/>
                <w:szCs w:val="24"/>
                <w:lang w:val="en-GB"/>
              </w:rPr>
              <w:t>15</w:t>
            </w:r>
            <w:r w:rsidRPr="00C75E8F">
              <w:rPr>
                <w:rFonts w:ascii="Times New Roman" w:hAnsi="Times New Roman" w:cs="Times New Roman"/>
                <w:noProof/>
                <w:webHidden/>
                <w:sz w:val="24"/>
                <w:szCs w:val="24"/>
                <w:lang w:val="en-GB"/>
              </w:rPr>
              <w:fldChar w:fldCharType="end"/>
            </w:r>
          </w:hyperlink>
        </w:p>
        <w:p w14:paraId="64028932" w14:textId="77777777" w:rsidR="00FD6FA4" w:rsidRPr="00C75E8F" w:rsidRDefault="00FD6FA4" w:rsidP="00FD6FA4">
          <w:pPr>
            <w:pStyle w:val="TOC2"/>
            <w:tabs>
              <w:tab w:val="right" w:leader="dot" w:pos="9350"/>
            </w:tabs>
            <w:spacing w:line="360" w:lineRule="auto"/>
            <w:jc w:val="both"/>
            <w:rPr>
              <w:rFonts w:ascii="Times New Roman" w:hAnsi="Times New Roman" w:cs="Times New Roman"/>
              <w:noProof/>
              <w:sz w:val="24"/>
              <w:szCs w:val="24"/>
              <w:lang w:val="en-GB"/>
            </w:rPr>
          </w:pPr>
          <w:hyperlink w:anchor="_Toc215776375" w:history="1">
            <w:r w:rsidRPr="00C75E8F">
              <w:rPr>
                <w:rStyle w:val="Hyperlink"/>
                <w:rFonts w:ascii="Times New Roman" w:hAnsi="Times New Roman" w:cs="Times New Roman"/>
                <w:noProof/>
                <w:sz w:val="24"/>
                <w:szCs w:val="24"/>
                <w:lang w:val="en-GB"/>
              </w:rPr>
              <w:t>5.2 Stakeholder Engagement Level Matrix</w:t>
            </w:r>
            <w:r w:rsidRPr="00C75E8F">
              <w:rPr>
                <w:rFonts w:ascii="Times New Roman" w:hAnsi="Times New Roman" w:cs="Times New Roman"/>
                <w:noProof/>
                <w:webHidden/>
                <w:sz w:val="24"/>
                <w:szCs w:val="24"/>
                <w:lang w:val="en-GB"/>
              </w:rPr>
              <w:tab/>
            </w:r>
            <w:r w:rsidRPr="00C75E8F">
              <w:rPr>
                <w:rFonts w:ascii="Times New Roman" w:hAnsi="Times New Roman" w:cs="Times New Roman"/>
                <w:noProof/>
                <w:webHidden/>
                <w:sz w:val="24"/>
                <w:szCs w:val="24"/>
                <w:lang w:val="en-GB"/>
              </w:rPr>
              <w:fldChar w:fldCharType="begin"/>
            </w:r>
            <w:r w:rsidRPr="00C75E8F">
              <w:rPr>
                <w:rFonts w:ascii="Times New Roman" w:hAnsi="Times New Roman" w:cs="Times New Roman"/>
                <w:noProof/>
                <w:webHidden/>
                <w:sz w:val="24"/>
                <w:szCs w:val="24"/>
                <w:lang w:val="en-GB"/>
              </w:rPr>
              <w:instrText xml:space="preserve"> PAGEREF _Toc215776375 \h </w:instrText>
            </w:r>
            <w:r w:rsidRPr="00C75E8F">
              <w:rPr>
                <w:rFonts w:ascii="Times New Roman" w:hAnsi="Times New Roman" w:cs="Times New Roman"/>
                <w:noProof/>
                <w:webHidden/>
                <w:sz w:val="24"/>
                <w:szCs w:val="24"/>
                <w:lang w:val="en-GB"/>
              </w:rPr>
            </w:r>
            <w:r w:rsidRPr="00C75E8F">
              <w:rPr>
                <w:rFonts w:ascii="Times New Roman" w:hAnsi="Times New Roman" w:cs="Times New Roman"/>
                <w:noProof/>
                <w:webHidden/>
                <w:sz w:val="24"/>
                <w:szCs w:val="24"/>
                <w:lang w:val="en-GB"/>
              </w:rPr>
              <w:fldChar w:fldCharType="separate"/>
            </w:r>
            <w:r w:rsidRPr="00C75E8F">
              <w:rPr>
                <w:rFonts w:ascii="Times New Roman" w:hAnsi="Times New Roman" w:cs="Times New Roman"/>
                <w:noProof/>
                <w:webHidden/>
                <w:sz w:val="24"/>
                <w:szCs w:val="24"/>
                <w:lang w:val="en-GB"/>
              </w:rPr>
              <w:t>16</w:t>
            </w:r>
            <w:r w:rsidRPr="00C75E8F">
              <w:rPr>
                <w:rFonts w:ascii="Times New Roman" w:hAnsi="Times New Roman" w:cs="Times New Roman"/>
                <w:noProof/>
                <w:webHidden/>
                <w:sz w:val="24"/>
                <w:szCs w:val="24"/>
                <w:lang w:val="en-GB"/>
              </w:rPr>
              <w:fldChar w:fldCharType="end"/>
            </w:r>
          </w:hyperlink>
        </w:p>
        <w:p w14:paraId="505620D3" w14:textId="77777777" w:rsidR="00FD6FA4" w:rsidRPr="00C75E8F" w:rsidRDefault="00FD6FA4" w:rsidP="00FD6FA4">
          <w:pPr>
            <w:pStyle w:val="TOC2"/>
            <w:tabs>
              <w:tab w:val="right" w:leader="dot" w:pos="9350"/>
            </w:tabs>
            <w:spacing w:line="360" w:lineRule="auto"/>
            <w:jc w:val="both"/>
            <w:rPr>
              <w:rFonts w:ascii="Times New Roman" w:hAnsi="Times New Roman" w:cs="Times New Roman"/>
              <w:noProof/>
              <w:sz w:val="24"/>
              <w:szCs w:val="24"/>
              <w:lang w:val="en-GB"/>
            </w:rPr>
          </w:pPr>
          <w:hyperlink w:anchor="_Toc215776376" w:history="1">
            <w:r w:rsidRPr="00C75E8F">
              <w:rPr>
                <w:rStyle w:val="Hyperlink"/>
                <w:rFonts w:ascii="Times New Roman" w:hAnsi="Times New Roman" w:cs="Times New Roman"/>
                <w:noProof/>
                <w:sz w:val="24"/>
                <w:szCs w:val="24"/>
                <w:lang w:val="en-GB"/>
              </w:rPr>
              <w:t>5.3 Communication Plan</w:t>
            </w:r>
            <w:r w:rsidRPr="00C75E8F">
              <w:rPr>
                <w:rFonts w:ascii="Times New Roman" w:hAnsi="Times New Roman" w:cs="Times New Roman"/>
                <w:noProof/>
                <w:webHidden/>
                <w:sz w:val="24"/>
                <w:szCs w:val="24"/>
                <w:lang w:val="en-GB"/>
              </w:rPr>
              <w:tab/>
            </w:r>
            <w:r w:rsidRPr="00C75E8F">
              <w:rPr>
                <w:rFonts w:ascii="Times New Roman" w:hAnsi="Times New Roman" w:cs="Times New Roman"/>
                <w:noProof/>
                <w:webHidden/>
                <w:sz w:val="24"/>
                <w:szCs w:val="24"/>
                <w:lang w:val="en-GB"/>
              </w:rPr>
              <w:fldChar w:fldCharType="begin"/>
            </w:r>
            <w:r w:rsidRPr="00C75E8F">
              <w:rPr>
                <w:rFonts w:ascii="Times New Roman" w:hAnsi="Times New Roman" w:cs="Times New Roman"/>
                <w:noProof/>
                <w:webHidden/>
                <w:sz w:val="24"/>
                <w:szCs w:val="24"/>
                <w:lang w:val="en-GB"/>
              </w:rPr>
              <w:instrText xml:space="preserve"> PAGEREF _Toc215776376 \h </w:instrText>
            </w:r>
            <w:r w:rsidRPr="00C75E8F">
              <w:rPr>
                <w:rFonts w:ascii="Times New Roman" w:hAnsi="Times New Roman" w:cs="Times New Roman"/>
                <w:noProof/>
                <w:webHidden/>
                <w:sz w:val="24"/>
                <w:szCs w:val="24"/>
                <w:lang w:val="en-GB"/>
              </w:rPr>
            </w:r>
            <w:r w:rsidRPr="00C75E8F">
              <w:rPr>
                <w:rFonts w:ascii="Times New Roman" w:hAnsi="Times New Roman" w:cs="Times New Roman"/>
                <w:noProof/>
                <w:webHidden/>
                <w:sz w:val="24"/>
                <w:szCs w:val="24"/>
                <w:lang w:val="en-GB"/>
              </w:rPr>
              <w:fldChar w:fldCharType="separate"/>
            </w:r>
            <w:r w:rsidRPr="00C75E8F">
              <w:rPr>
                <w:rFonts w:ascii="Times New Roman" w:hAnsi="Times New Roman" w:cs="Times New Roman"/>
                <w:noProof/>
                <w:webHidden/>
                <w:sz w:val="24"/>
                <w:szCs w:val="24"/>
                <w:lang w:val="en-GB"/>
              </w:rPr>
              <w:t>17</w:t>
            </w:r>
            <w:r w:rsidRPr="00C75E8F">
              <w:rPr>
                <w:rFonts w:ascii="Times New Roman" w:hAnsi="Times New Roman" w:cs="Times New Roman"/>
                <w:noProof/>
                <w:webHidden/>
                <w:sz w:val="24"/>
                <w:szCs w:val="24"/>
                <w:lang w:val="en-GB"/>
              </w:rPr>
              <w:fldChar w:fldCharType="end"/>
            </w:r>
          </w:hyperlink>
        </w:p>
        <w:p w14:paraId="13361A71" w14:textId="77777777" w:rsidR="00FD6FA4" w:rsidRPr="00C75E8F" w:rsidRDefault="00FD6FA4" w:rsidP="00FD6FA4">
          <w:pPr>
            <w:pStyle w:val="TOC1"/>
            <w:tabs>
              <w:tab w:val="right" w:leader="dot" w:pos="9350"/>
            </w:tabs>
            <w:spacing w:line="360" w:lineRule="auto"/>
            <w:jc w:val="both"/>
            <w:rPr>
              <w:rFonts w:ascii="Times New Roman" w:hAnsi="Times New Roman" w:cs="Times New Roman"/>
              <w:noProof/>
              <w:sz w:val="24"/>
              <w:szCs w:val="24"/>
              <w:lang w:val="en-GB"/>
            </w:rPr>
          </w:pPr>
          <w:hyperlink w:anchor="_Toc215776377" w:history="1">
            <w:r w:rsidRPr="00C75E8F">
              <w:rPr>
                <w:rStyle w:val="Hyperlink"/>
                <w:rFonts w:ascii="Times New Roman" w:hAnsi="Times New Roman" w:cs="Times New Roman"/>
                <w:noProof/>
                <w:sz w:val="24"/>
                <w:szCs w:val="24"/>
                <w:lang w:val="en-GB"/>
              </w:rPr>
              <w:t>6.0 Stakeholder Engagement Process and Conflict Management.</w:t>
            </w:r>
            <w:r w:rsidRPr="00C75E8F">
              <w:rPr>
                <w:rFonts w:ascii="Times New Roman" w:hAnsi="Times New Roman" w:cs="Times New Roman"/>
                <w:noProof/>
                <w:webHidden/>
                <w:sz w:val="24"/>
                <w:szCs w:val="24"/>
                <w:lang w:val="en-GB"/>
              </w:rPr>
              <w:tab/>
            </w:r>
            <w:r w:rsidRPr="00C75E8F">
              <w:rPr>
                <w:rFonts w:ascii="Times New Roman" w:hAnsi="Times New Roman" w:cs="Times New Roman"/>
                <w:noProof/>
                <w:webHidden/>
                <w:sz w:val="24"/>
                <w:szCs w:val="24"/>
                <w:lang w:val="en-GB"/>
              </w:rPr>
              <w:fldChar w:fldCharType="begin"/>
            </w:r>
            <w:r w:rsidRPr="00C75E8F">
              <w:rPr>
                <w:rFonts w:ascii="Times New Roman" w:hAnsi="Times New Roman" w:cs="Times New Roman"/>
                <w:noProof/>
                <w:webHidden/>
                <w:sz w:val="24"/>
                <w:szCs w:val="24"/>
                <w:lang w:val="en-GB"/>
              </w:rPr>
              <w:instrText xml:space="preserve"> PAGEREF _Toc215776377 \h </w:instrText>
            </w:r>
            <w:r w:rsidRPr="00C75E8F">
              <w:rPr>
                <w:rFonts w:ascii="Times New Roman" w:hAnsi="Times New Roman" w:cs="Times New Roman"/>
                <w:noProof/>
                <w:webHidden/>
                <w:sz w:val="24"/>
                <w:szCs w:val="24"/>
                <w:lang w:val="en-GB"/>
              </w:rPr>
            </w:r>
            <w:r w:rsidRPr="00C75E8F">
              <w:rPr>
                <w:rFonts w:ascii="Times New Roman" w:hAnsi="Times New Roman" w:cs="Times New Roman"/>
                <w:noProof/>
                <w:webHidden/>
                <w:sz w:val="24"/>
                <w:szCs w:val="24"/>
                <w:lang w:val="en-GB"/>
              </w:rPr>
              <w:fldChar w:fldCharType="separate"/>
            </w:r>
            <w:r w:rsidRPr="00C75E8F">
              <w:rPr>
                <w:rFonts w:ascii="Times New Roman" w:hAnsi="Times New Roman" w:cs="Times New Roman"/>
                <w:noProof/>
                <w:webHidden/>
                <w:sz w:val="24"/>
                <w:szCs w:val="24"/>
                <w:lang w:val="en-GB"/>
              </w:rPr>
              <w:t>19</w:t>
            </w:r>
            <w:r w:rsidRPr="00C75E8F">
              <w:rPr>
                <w:rFonts w:ascii="Times New Roman" w:hAnsi="Times New Roman" w:cs="Times New Roman"/>
                <w:noProof/>
                <w:webHidden/>
                <w:sz w:val="24"/>
                <w:szCs w:val="24"/>
                <w:lang w:val="en-GB"/>
              </w:rPr>
              <w:fldChar w:fldCharType="end"/>
            </w:r>
          </w:hyperlink>
        </w:p>
        <w:p w14:paraId="1DA12816" w14:textId="77777777" w:rsidR="00FD6FA4" w:rsidRPr="00C75E8F" w:rsidRDefault="00FD6FA4" w:rsidP="00FD6FA4">
          <w:pPr>
            <w:pStyle w:val="TOC2"/>
            <w:tabs>
              <w:tab w:val="right" w:leader="dot" w:pos="9350"/>
            </w:tabs>
            <w:spacing w:line="360" w:lineRule="auto"/>
            <w:jc w:val="both"/>
            <w:rPr>
              <w:rFonts w:ascii="Times New Roman" w:hAnsi="Times New Roman" w:cs="Times New Roman"/>
              <w:noProof/>
              <w:sz w:val="24"/>
              <w:szCs w:val="24"/>
              <w:lang w:val="en-GB"/>
            </w:rPr>
          </w:pPr>
          <w:hyperlink w:anchor="_Toc215776378" w:history="1">
            <w:r w:rsidRPr="00C75E8F">
              <w:rPr>
                <w:rStyle w:val="Hyperlink"/>
                <w:rFonts w:ascii="Times New Roman" w:hAnsi="Times New Roman" w:cs="Times New Roman"/>
                <w:noProof/>
                <w:sz w:val="24"/>
                <w:szCs w:val="24"/>
                <w:lang w:val="en-GB"/>
              </w:rPr>
              <w:t>6.1 The Engagement Process</w:t>
            </w:r>
            <w:r w:rsidRPr="00C75E8F">
              <w:rPr>
                <w:rFonts w:ascii="Times New Roman" w:hAnsi="Times New Roman" w:cs="Times New Roman"/>
                <w:noProof/>
                <w:webHidden/>
                <w:sz w:val="24"/>
                <w:szCs w:val="24"/>
                <w:lang w:val="en-GB"/>
              </w:rPr>
              <w:tab/>
            </w:r>
            <w:r w:rsidRPr="00C75E8F">
              <w:rPr>
                <w:rFonts w:ascii="Times New Roman" w:hAnsi="Times New Roman" w:cs="Times New Roman"/>
                <w:noProof/>
                <w:webHidden/>
                <w:sz w:val="24"/>
                <w:szCs w:val="24"/>
                <w:lang w:val="en-GB"/>
              </w:rPr>
              <w:fldChar w:fldCharType="begin"/>
            </w:r>
            <w:r w:rsidRPr="00C75E8F">
              <w:rPr>
                <w:rFonts w:ascii="Times New Roman" w:hAnsi="Times New Roman" w:cs="Times New Roman"/>
                <w:noProof/>
                <w:webHidden/>
                <w:sz w:val="24"/>
                <w:szCs w:val="24"/>
                <w:lang w:val="en-GB"/>
              </w:rPr>
              <w:instrText xml:space="preserve"> PAGEREF _Toc215776378 \h </w:instrText>
            </w:r>
            <w:r w:rsidRPr="00C75E8F">
              <w:rPr>
                <w:rFonts w:ascii="Times New Roman" w:hAnsi="Times New Roman" w:cs="Times New Roman"/>
                <w:noProof/>
                <w:webHidden/>
                <w:sz w:val="24"/>
                <w:szCs w:val="24"/>
                <w:lang w:val="en-GB"/>
              </w:rPr>
            </w:r>
            <w:r w:rsidRPr="00C75E8F">
              <w:rPr>
                <w:rFonts w:ascii="Times New Roman" w:hAnsi="Times New Roman" w:cs="Times New Roman"/>
                <w:noProof/>
                <w:webHidden/>
                <w:sz w:val="24"/>
                <w:szCs w:val="24"/>
                <w:lang w:val="en-GB"/>
              </w:rPr>
              <w:fldChar w:fldCharType="separate"/>
            </w:r>
            <w:r w:rsidRPr="00C75E8F">
              <w:rPr>
                <w:rFonts w:ascii="Times New Roman" w:hAnsi="Times New Roman" w:cs="Times New Roman"/>
                <w:noProof/>
                <w:webHidden/>
                <w:sz w:val="24"/>
                <w:szCs w:val="24"/>
                <w:lang w:val="en-GB"/>
              </w:rPr>
              <w:t>19</w:t>
            </w:r>
            <w:r w:rsidRPr="00C75E8F">
              <w:rPr>
                <w:rFonts w:ascii="Times New Roman" w:hAnsi="Times New Roman" w:cs="Times New Roman"/>
                <w:noProof/>
                <w:webHidden/>
                <w:sz w:val="24"/>
                <w:szCs w:val="24"/>
                <w:lang w:val="en-GB"/>
              </w:rPr>
              <w:fldChar w:fldCharType="end"/>
            </w:r>
          </w:hyperlink>
        </w:p>
        <w:p w14:paraId="4A8B8EF6" w14:textId="77777777" w:rsidR="00FD6FA4" w:rsidRPr="00C75E8F" w:rsidRDefault="00FD6FA4" w:rsidP="00FD6FA4">
          <w:pPr>
            <w:pStyle w:val="TOC2"/>
            <w:tabs>
              <w:tab w:val="right" w:leader="dot" w:pos="9350"/>
            </w:tabs>
            <w:spacing w:line="360" w:lineRule="auto"/>
            <w:jc w:val="both"/>
            <w:rPr>
              <w:rFonts w:ascii="Times New Roman" w:hAnsi="Times New Roman" w:cs="Times New Roman"/>
              <w:noProof/>
              <w:sz w:val="24"/>
              <w:szCs w:val="24"/>
              <w:lang w:val="en-GB"/>
            </w:rPr>
          </w:pPr>
          <w:hyperlink w:anchor="_Toc215776379" w:history="1">
            <w:r w:rsidRPr="00C75E8F">
              <w:rPr>
                <w:rStyle w:val="Hyperlink"/>
                <w:rFonts w:ascii="Times New Roman" w:hAnsi="Times New Roman" w:cs="Times New Roman"/>
                <w:noProof/>
                <w:sz w:val="24"/>
                <w:szCs w:val="24"/>
                <w:lang w:val="en-GB"/>
              </w:rPr>
              <w:t>6.2 Stakeholder management using the 4Cs Model.</w:t>
            </w:r>
            <w:r w:rsidRPr="00C75E8F">
              <w:rPr>
                <w:rFonts w:ascii="Times New Roman" w:hAnsi="Times New Roman" w:cs="Times New Roman"/>
                <w:noProof/>
                <w:webHidden/>
                <w:sz w:val="24"/>
                <w:szCs w:val="24"/>
                <w:lang w:val="en-GB"/>
              </w:rPr>
              <w:tab/>
            </w:r>
            <w:r w:rsidRPr="00C75E8F">
              <w:rPr>
                <w:rFonts w:ascii="Times New Roman" w:hAnsi="Times New Roman" w:cs="Times New Roman"/>
                <w:noProof/>
                <w:webHidden/>
                <w:sz w:val="24"/>
                <w:szCs w:val="24"/>
                <w:lang w:val="en-GB"/>
              </w:rPr>
              <w:fldChar w:fldCharType="begin"/>
            </w:r>
            <w:r w:rsidRPr="00C75E8F">
              <w:rPr>
                <w:rFonts w:ascii="Times New Roman" w:hAnsi="Times New Roman" w:cs="Times New Roman"/>
                <w:noProof/>
                <w:webHidden/>
                <w:sz w:val="24"/>
                <w:szCs w:val="24"/>
                <w:lang w:val="en-GB"/>
              </w:rPr>
              <w:instrText xml:space="preserve"> PAGEREF _Toc215776379 \h </w:instrText>
            </w:r>
            <w:r w:rsidRPr="00C75E8F">
              <w:rPr>
                <w:rFonts w:ascii="Times New Roman" w:hAnsi="Times New Roman" w:cs="Times New Roman"/>
                <w:noProof/>
                <w:webHidden/>
                <w:sz w:val="24"/>
                <w:szCs w:val="24"/>
                <w:lang w:val="en-GB"/>
              </w:rPr>
            </w:r>
            <w:r w:rsidRPr="00C75E8F">
              <w:rPr>
                <w:rFonts w:ascii="Times New Roman" w:hAnsi="Times New Roman" w:cs="Times New Roman"/>
                <w:noProof/>
                <w:webHidden/>
                <w:sz w:val="24"/>
                <w:szCs w:val="24"/>
                <w:lang w:val="en-GB"/>
              </w:rPr>
              <w:fldChar w:fldCharType="separate"/>
            </w:r>
            <w:r w:rsidRPr="00C75E8F">
              <w:rPr>
                <w:rFonts w:ascii="Times New Roman" w:hAnsi="Times New Roman" w:cs="Times New Roman"/>
                <w:noProof/>
                <w:webHidden/>
                <w:sz w:val="24"/>
                <w:szCs w:val="24"/>
                <w:lang w:val="en-GB"/>
              </w:rPr>
              <w:t>21</w:t>
            </w:r>
            <w:r w:rsidRPr="00C75E8F">
              <w:rPr>
                <w:rFonts w:ascii="Times New Roman" w:hAnsi="Times New Roman" w:cs="Times New Roman"/>
                <w:noProof/>
                <w:webHidden/>
                <w:sz w:val="24"/>
                <w:szCs w:val="24"/>
                <w:lang w:val="en-GB"/>
              </w:rPr>
              <w:fldChar w:fldCharType="end"/>
            </w:r>
          </w:hyperlink>
        </w:p>
        <w:p w14:paraId="66F84B55" w14:textId="77777777" w:rsidR="00FD6FA4" w:rsidRPr="00C75E8F" w:rsidRDefault="00FD6FA4" w:rsidP="00FD6FA4">
          <w:pPr>
            <w:pStyle w:val="TOC2"/>
            <w:tabs>
              <w:tab w:val="right" w:leader="dot" w:pos="9350"/>
            </w:tabs>
            <w:spacing w:line="360" w:lineRule="auto"/>
            <w:jc w:val="both"/>
            <w:rPr>
              <w:rFonts w:ascii="Times New Roman" w:hAnsi="Times New Roman" w:cs="Times New Roman"/>
              <w:noProof/>
              <w:sz w:val="24"/>
              <w:szCs w:val="24"/>
              <w:lang w:val="en-GB"/>
            </w:rPr>
          </w:pPr>
          <w:hyperlink w:anchor="_Toc215776380" w:history="1">
            <w:r w:rsidRPr="00C75E8F">
              <w:rPr>
                <w:rStyle w:val="Hyperlink"/>
                <w:rFonts w:ascii="Times New Roman" w:hAnsi="Times New Roman" w:cs="Times New Roman"/>
                <w:noProof/>
                <w:sz w:val="24"/>
                <w:szCs w:val="24"/>
                <w:lang w:val="en-GB"/>
              </w:rPr>
              <w:t>6.3 Critical Examples of Conflict Sources and Mitigation</w:t>
            </w:r>
            <w:r w:rsidRPr="00C75E8F">
              <w:rPr>
                <w:rFonts w:ascii="Times New Roman" w:hAnsi="Times New Roman" w:cs="Times New Roman"/>
                <w:noProof/>
                <w:webHidden/>
                <w:sz w:val="24"/>
                <w:szCs w:val="24"/>
                <w:lang w:val="en-GB"/>
              </w:rPr>
              <w:tab/>
            </w:r>
            <w:r w:rsidRPr="00C75E8F">
              <w:rPr>
                <w:rFonts w:ascii="Times New Roman" w:hAnsi="Times New Roman" w:cs="Times New Roman"/>
                <w:noProof/>
                <w:webHidden/>
                <w:sz w:val="24"/>
                <w:szCs w:val="24"/>
                <w:lang w:val="en-GB"/>
              </w:rPr>
              <w:fldChar w:fldCharType="begin"/>
            </w:r>
            <w:r w:rsidRPr="00C75E8F">
              <w:rPr>
                <w:rFonts w:ascii="Times New Roman" w:hAnsi="Times New Roman" w:cs="Times New Roman"/>
                <w:noProof/>
                <w:webHidden/>
                <w:sz w:val="24"/>
                <w:szCs w:val="24"/>
                <w:lang w:val="en-GB"/>
              </w:rPr>
              <w:instrText xml:space="preserve"> PAGEREF _Toc215776380 \h </w:instrText>
            </w:r>
            <w:r w:rsidRPr="00C75E8F">
              <w:rPr>
                <w:rFonts w:ascii="Times New Roman" w:hAnsi="Times New Roman" w:cs="Times New Roman"/>
                <w:noProof/>
                <w:webHidden/>
                <w:sz w:val="24"/>
                <w:szCs w:val="24"/>
                <w:lang w:val="en-GB"/>
              </w:rPr>
            </w:r>
            <w:r w:rsidRPr="00C75E8F">
              <w:rPr>
                <w:rFonts w:ascii="Times New Roman" w:hAnsi="Times New Roman" w:cs="Times New Roman"/>
                <w:noProof/>
                <w:webHidden/>
                <w:sz w:val="24"/>
                <w:szCs w:val="24"/>
                <w:lang w:val="en-GB"/>
              </w:rPr>
              <w:fldChar w:fldCharType="separate"/>
            </w:r>
            <w:r w:rsidRPr="00C75E8F">
              <w:rPr>
                <w:rFonts w:ascii="Times New Roman" w:hAnsi="Times New Roman" w:cs="Times New Roman"/>
                <w:noProof/>
                <w:webHidden/>
                <w:sz w:val="24"/>
                <w:szCs w:val="24"/>
                <w:lang w:val="en-GB"/>
              </w:rPr>
              <w:t>22</w:t>
            </w:r>
            <w:r w:rsidRPr="00C75E8F">
              <w:rPr>
                <w:rFonts w:ascii="Times New Roman" w:hAnsi="Times New Roman" w:cs="Times New Roman"/>
                <w:noProof/>
                <w:webHidden/>
                <w:sz w:val="24"/>
                <w:szCs w:val="24"/>
                <w:lang w:val="en-GB"/>
              </w:rPr>
              <w:fldChar w:fldCharType="end"/>
            </w:r>
          </w:hyperlink>
        </w:p>
        <w:p w14:paraId="5E6EDF28" w14:textId="77777777" w:rsidR="00FD6FA4" w:rsidRPr="00C75E8F" w:rsidRDefault="00FD6FA4" w:rsidP="00FD6FA4">
          <w:pPr>
            <w:pStyle w:val="TOC2"/>
            <w:tabs>
              <w:tab w:val="right" w:leader="dot" w:pos="9350"/>
            </w:tabs>
            <w:spacing w:line="360" w:lineRule="auto"/>
            <w:jc w:val="both"/>
            <w:rPr>
              <w:rFonts w:ascii="Times New Roman" w:hAnsi="Times New Roman" w:cs="Times New Roman"/>
              <w:noProof/>
              <w:sz w:val="24"/>
              <w:szCs w:val="24"/>
              <w:lang w:val="en-GB"/>
            </w:rPr>
          </w:pPr>
          <w:hyperlink w:anchor="_Toc215776381" w:history="1">
            <w:r w:rsidRPr="00C75E8F">
              <w:rPr>
                <w:rStyle w:val="Hyperlink"/>
                <w:rFonts w:ascii="Times New Roman" w:hAnsi="Times New Roman" w:cs="Times New Roman"/>
                <w:noProof/>
                <w:sz w:val="24"/>
                <w:szCs w:val="24"/>
                <w:lang w:val="en-GB"/>
              </w:rPr>
              <w:t>6.4 Force Field and Trust as a Determinant of Engagement.</w:t>
            </w:r>
            <w:r w:rsidRPr="00C75E8F">
              <w:rPr>
                <w:rFonts w:ascii="Times New Roman" w:hAnsi="Times New Roman" w:cs="Times New Roman"/>
                <w:noProof/>
                <w:webHidden/>
                <w:sz w:val="24"/>
                <w:szCs w:val="24"/>
                <w:lang w:val="en-GB"/>
              </w:rPr>
              <w:tab/>
            </w:r>
            <w:r w:rsidRPr="00C75E8F">
              <w:rPr>
                <w:rFonts w:ascii="Times New Roman" w:hAnsi="Times New Roman" w:cs="Times New Roman"/>
                <w:noProof/>
                <w:webHidden/>
                <w:sz w:val="24"/>
                <w:szCs w:val="24"/>
                <w:lang w:val="en-GB"/>
              </w:rPr>
              <w:fldChar w:fldCharType="begin"/>
            </w:r>
            <w:r w:rsidRPr="00C75E8F">
              <w:rPr>
                <w:rFonts w:ascii="Times New Roman" w:hAnsi="Times New Roman" w:cs="Times New Roman"/>
                <w:noProof/>
                <w:webHidden/>
                <w:sz w:val="24"/>
                <w:szCs w:val="24"/>
                <w:lang w:val="en-GB"/>
              </w:rPr>
              <w:instrText xml:space="preserve"> PAGEREF _Toc215776381 \h </w:instrText>
            </w:r>
            <w:r w:rsidRPr="00C75E8F">
              <w:rPr>
                <w:rFonts w:ascii="Times New Roman" w:hAnsi="Times New Roman" w:cs="Times New Roman"/>
                <w:noProof/>
                <w:webHidden/>
                <w:sz w:val="24"/>
                <w:szCs w:val="24"/>
                <w:lang w:val="en-GB"/>
              </w:rPr>
            </w:r>
            <w:r w:rsidRPr="00C75E8F">
              <w:rPr>
                <w:rFonts w:ascii="Times New Roman" w:hAnsi="Times New Roman" w:cs="Times New Roman"/>
                <w:noProof/>
                <w:webHidden/>
                <w:sz w:val="24"/>
                <w:szCs w:val="24"/>
                <w:lang w:val="en-GB"/>
              </w:rPr>
              <w:fldChar w:fldCharType="separate"/>
            </w:r>
            <w:r w:rsidRPr="00C75E8F">
              <w:rPr>
                <w:rFonts w:ascii="Times New Roman" w:hAnsi="Times New Roman" w:cs="Times New Roman"/>
                <w:noProof/>
                <w:webHidden/>
                <w:sz w:val="24"/>
                <w:szCs w:val="24"/>
                <w:lang w:val="en-GB"/>
              </w:rPr>
              <w:t>23</w:t>
            </w:r>
            <w:r w:rsidRPr="00C75E8F">
              <w:rPr>
                <w:rFonts w:ascii="Times New Roman" w:hAnsi="Times New Roman" w:cs="Times New Roman"/>
                <w:noProof/>
                <w:webHidden/>
                <w:sz w:val="24"/>
                <w:szCs w:val="24"/>
                <w:lang w:val="en-GB"/>
              </w:rPr>
              <w:fldChar w:fldCharType="end"/>
            </w:r>
          </w:hyperlink>
        </w:p>
        <w:p w14:paraId="5E73F538" w14:textId="77777777" w:rsidR="00FD6FA4" w:rsidRPr="00C75E8F" w:rsidRDefault="00FD6FA4" w:rsidP="00FD6FA4">
          <w:pPr>
            <w:pStyle w:val="TOC2"/>
            <w:tabs>
              <w:tab w:val="right" w:leader="dot" w:pos="9350"/>
            </w:tabs>
            <w:spacing w:line="360" w:lineRule="auto"/>
            <w:jc w:val="both"/>
            <w:rPr>
              <w:rFonts w:ascii="Times New Roman" w:hAnsi="Times New Roman" w:cs="Times New Roman"/>
              <w:noProof/>
              <w:sz w:val="24"/>
              <w:szCs w:val="24"/>
              <w:lang w:val="en-GB"/>
            </w:rPr>
          </w:pPr>
          <w:hyperlink w:anchor="_Toc215776382" w:history="1">
            <w:r w:rsidRPr="00C75E8F">
              <w:rPr>
                <w:rStyle w:val="Hyperlink"/>
                <w:rFonts w:ascii="Times New Roman" w:hAnsi="Times New Roman" w:cs="Times New Roman"/>
                <w:noProof/>
                <w:sz w:val="24"/>
                <w:szCs w:val="24"/>
                <w:lang w:val="en-GB"/>
              </w:rPr>
              <w:t>6.5 Proactive Risk Anticipation</w:t>
            </w:r>
            <w:r w:rsidRPr="00C75E8F">
              <w:rPr>
                <w:rFonts w:ascii="Times New Roman" w:hAnsi="Times New Roman" w:cs="Times New Roman"/>
                <w:noProof/>
                <w:webHidden/>
                <w:sz w:val="24"/>
                <w:szCs w:val="24"/>
                <w:lang w:val="en-GB"/>
              </w:rPr>
              <w:tab/>
            </w:r>
            <w:r w:rsidRPr="00C75E8F">
              <w:rPr>
                <w:rFonts w:ascii="Times New Roman" w:hAnsi="Times New Roman" w:cs="Times New Roman"/>
                <w:noProof/>
                <w:webHidden/>
                <w:sz w:val="24"/>
                <w:szCs w:val="24"/>
                <w:lang w:val="en-GB"/>
              </w:rPr>
              <w:fldChar w:fldCharType="begin"/>
            </w:r>
            <w:r w:rsidRPr="00C75E8F">
              <w:rPr>
                <w:rFonts w:ascii="Times New Roman" w:hAnsi="Times New Roman" w:cs="Times New Roman"/>
                <w:noProof/>
                <w:webHidden/>
                <w:sz w:val="24"/>
                <w:szCs w:val="24"/>
                <w:lang w:val="en-GB"/>
              </w:rPr>
              <w:instrText xml:space="preserve"> PAGEREF _Toc215776382 \h </w:instrText>
            </w:r>
            <w:r w:rsidRPr="00C75E8F">
              <w:rPr>
                <w:rFonts w:ascii="Times New Roman" w:hAnsi="Times New Roman" w:cs="Times New Roman"/>
                <w:noProof/>
                <w:webHidden/>
                <w:sz w:val="24"/>
                <w:szCs w:val="24"/>
                <w:lang w:val="en-GB"/>
              </w:rPr>
            </w:r>
            <w:r w:rsidRPr="00C75E8F">
              <w:rPr>
                <w:rFonts w:ascii="Times New Roman" w:hAnsi="Times New Roman" w:cs="Times New Roman"/>
                <w:noProof/>
                <w:webHidden/>
                <w:sz w:val="24"/>
                <w:szCs w:val="24"/>
                <w:lang w:val="en-GB"/>
              </w:rPr>
              <w:fldChar w:fldCharType="separate"/>
            </w:r>
            <w:r w:rsidRPr="00C75E8F">
              <w:rPr>
                <w:rFonts w:ascii="Times New Roman" w:hAnsi="Times New Roman" w:cs="Times New Roman"/>
                <w:noProof/>
                <w:webHidden/>
                <w:sz w:val="24"/>
                <w:szCs w:val="24"/>
                <w:lang w:val="en-GB"/>
              </w:rPr>
              <w:t>23</w:t>
            </w:r>
            <w:r w:rsidRPr="00C75E8F">
              <w:rPr>
                <w:rFonts w:ascii="Times New Roman" w:hAnsi="Times New Roman" w:cs="Times New Roman"/>
                <w:noProof/>
                <w:webHidden/>
                <w:sz w:val="24"/>
                <w:szCs w:val="24"/>
                <w:lang w:val="en-GB"/>
              </w:rPr>
              <w:fldChar w:fldCharType="end"/>
            </w:r>
          </w:hyperlink>
        </w:p>
        <w:p w14:paraId="21935091" w14:textId="77777777" w:rsidR="00FD6FA4" w:rsidRPr="00C75E8F" w:rsidRDefault="00FD6FA4" w:rsidP="00FD6FA4">
          <w:pPr>
            <w:pStyle w:val="TOC2"/>
            <w:tabs>
              <w:tab w:val="right" w:leader="dot" w:pos="9350"/>
            </w:tabs>
            <w:spacing w:line="360" w:lineRule="auto"/>
            <w:jc w:val="both"/>
            <w:rPr>
              <w:rFonts w:ascii="Times New Roman" w:hAnsi="Times New Roman" w:cs="Times New Roman"/>
              <w:noProof/>
              <w:sz w:val="24"/>
              <w:szCs w:val="24"/>
              <w:lang w:val="en-GB"/>
            </w:rPr>
          </w:pPr>
          <w:hyperlink w:anchor="_Toc215776383" w:history="1">
            <w:r w:rsidRPr="00C75E8F">
              <w:rPr>
                <w:rStyle w:val="Hyperlink"/>
                <w:rFonts w:ascii="Times New Roman" w:hAnsi="Times New Roman" w:cs="Times New Roman"/>
                <w:noProof/>
                <w:sz w:val="24"/>
                <w:szCs w:val="24"/>
                <w:lang w:val="en-GB"/>
              </w:rPr>
              <w:t>6.6 Synthesis -Why the 4Cs Approach is Necessary.</w:t>
            </w:r>
            <w:r w:rsidRPr="00C75E8F">
              <w:rPr>
                <w:rFonts w:ascii="Times New Roman" w:hAnsi="Times New Roman" w:cs="Times New Roman"/>
                <w:noProof/>
                <w:webHidden/>
                <w:sz w:val="24"/>
                <w:szCs w:val="24"/>
                <w:lang w:val="en-GB"/>
              </w:rPr>
              <w:tab/>
            </w:r>
            <w:r w:rsidRPr="00C75E8F">
              <w:rPr>
                <w:rFonts w:ascii="Times New Roman" w:hAnsi="Times New Roman" w:cs="Times New Roman"/>
                <w:noProof/>
                <w:webHidden/>
                <w:sz w:val="24"/>
                <w:szCs w:val="24"/>
                <w:lang w:val="en-GB"/>
              </w:rPr>
              <w:fldChar w:fldCharType="begin"/>
            </w:r>
            <w:r w:rsidRPr="00C75E8F">
              <w:rPr>
                <w:rFonts w:ascii="Times New Roman" w:hAnsi="Times New Roman" w:cs="Times New Roman"/>
                <w:noProof/>
                <w:webHidden/>
                <w:sz w:val="24"/>
                <w:szCs w:val="24"/>
                <w:lang w:val="en-GB"/>
              </w:rPr>
              <w:instrText xml:space="preserve"> PAGEREF _Toc215776383 \h </w:instrText>
            </w:r>
            <w:r w:rsidRPr="00C75E8F">
              <w:rPr>
                <w:rFonts w:ascii="Times New Roman" w:hAnsi="Times New Roman" w:cs="Times New Roman"/>
                <w:noProof/>
                <w:webHidden/>
                <w:sz w:val="24"/>
                <w:szCs w:val="24"/>
                <w:lang w:val="en-GB"/>
              </w:rPr>
            </w:r>
            <w:r w:rsidRPr="00C75E8F">
              <w:rPr>
                <w:rFonts w:ascii="Times New Roman" w:hAnsi="Times New Roman" w:cs="Times New Roman"/>
                <w:noProof/>
                <w:webHidden/>
                <w:sz w:val="24"/>
                <w:szCs w:val="24"/>
                <w:lang w:val="en-GB"/>
              </w:rPr>
              <w:fldChar w:fldCharType="separate"/>
            </w:r>
            <w:r w:rsidRPr="00C75E8F">
              <w:rPr>
                <w:rFonts w:ascii="Times New Roman" w:hAnsi="Times New Roman" w:cs="Times New Roman"/>
                <w:noProof/>
                <w:webHidden/>
                <w:sz w:val="24"/>
                <w:szCs w:val="24"/>
                <w:lang w:val="en-GB"/>
              </w:rPr>
              <w:t>24</w:t>
            </w:r>
            <w:r w:rsidRPr="00C75E8F">
              <w:rPr>
                <w:rFonts w:ascii="Times New Roman" w:hAnsi="Times New Roman" w:cs="Times New Roman"/>
                <w:noProof/>
                <w:webHidden/>
                <w:sz w:val="24"/>
                <w:szCs w:val="24"/>
                <w:lang w:val="en-GB"/>
              </w:rPr>
              <w:fldChar w:fldCharType="end"/>
            </w:r>
          </w:hyperlink>
        </w:p>
        <w:p w14:paraId="2B86A1BE" w14:textId="77777777" w:rsidR="00FD6FA4" w:rsidRPr="00C75E8F" w:rsidRDefault="00FD6FA4" w:rsidP="00FD6FA4">
          <w:pPr>
            <w:pStyle w:val="TOC1"/>
            <w:tabs>
              <w:tab w:val="right" w:leader="dot" w:pos="9350"/>
            </w:tabs>
            <w:spacing w:line="360" w:lineRule="auto"/>
            <w:jc w:val="both"/>
            <w:rPr>
              <w:rFonts w:ascii="Times New Roman" w:hAnsi="Times New Roman" w:cs="Times New Roman"/>
              <w:noProof/>
              <w:sz w:val="24"/>
              <w:szCs w:val="24"/>
              <w:lang w:val="en-GB"/>
            </w:rPr>
          </w:pPr>
          <w:hyperlink w:anchor="_Toc215776384" w:history="1">
            <w:r w:rsidRPr="00C75E8F">
              <w:rPr>
                <w:rStyle w:val="Hyperlink"/>
                <w:rFonts w:ascii="Times New Roman" w:hAnsi="Times New Roman" w:cs="Times New Roman"/>
                <w:noProof/>
                <w:sz w:val="24"/>
                <w:szCs w:val="24"/>
                <w:lang w:val="en-GB"/>
              </w:rPr>
              <w:t>7.0 Analysis of the Effect of Stakeholder Engagement on the Business Performance and Future Recommendations.</w:t>
            </w:r>
            <w:r w:rsidRPr="00C75E8F">
              <w:rPr>
                <w:rFonts w:ascii="Times New Roman" w:hAnsi="Times New Roman" w:cs="Times New Roman"/>
                <w:noProof/>
                <w:webHidden/>
                <w:sz w:val="24"/>
                <w:szCs w:val="24"/>
                <w:lang w:val="en-GB"/>
              </w:rPr>
              <w:tab/>
            </w:r>
            <w:r w:rsidRPr="00C75E8F">
              <w:rPr>
                <w:rFonts w:ascii="Times New Roman" w:hAnsi="Times New Roman" w:cs="Times New Roman"/>
                <w:noProof/>
                <w:webHidden/>
                <w:sz w:val="24"/>
                <w:szCs w:val="24"/>
                <w:lang w:val="en-GB"/>
              </w:rPr>
              <w:fldChar w:fldCharType="begin"/>
            </w:r>
            <w:r w:rsidRPr="00C75E8F">
              <w:rPr>
                <w:rFonts w:ascii="Times New Roman" w:hAnsi="Times New Roman" w:cs="Times New Roman"/>
                <w:noProof/>
                <w:webHidden/>
                <w:sz w:val="24"/>
                <w:szCs w:val="24"/>
                <w:lang w:val="en-GB"/>
              </w:rPr>
              <w:instrText xml:space="preserve"> PAGEREF _Toc215776384 \h </w:instrText>
            </w:r>
            <w:r w:rsidRPr="00C75E8F">
              <w:rPr>
                <w:rFonts w:ascii="Times New Roman" w:hAnsi="Times New Roman" w:cs="Times New Roman"/>
                <w:noProof/>
                <w:webHidden/>
                <w:sz w:val="24"/>
                <w:szCs w:val="24"/>
                <w:lang w:val="en-GB"/>
              </w:rPr>
            </w:r>
            <w:r w:rsidRPr="00C75E8F">
              <w:rPr>
                <w:rFonts w:ascii="Times New Roman" w:hAnsi="Times New Roman" w:cs="Times New Roman"/>
                <w:noProof/>
                <w:webHidden/>
                <w:sz w:val="24"/>
                <w:szCs w:val="24"/>
                <w:lang w:val="en-GB"/>
              </w:rPr>
              <w:fldChar w:fldCharType="separate"/>
            </w:r>
            <w:r w:rsidRPr="00C75E8F">
              <w:rPr>
                <w:rFonts w:ascii="Times New Roman" w:hAnsi="Times New Roman" w:cs="Times New Roman"/>
                <w:noProof/>
                <w:webHidden/>
                <w:sz w:val="24"/>
                <w:szCs w:val="24"/>
                <w:lang w:val="en-GB"/>
              </w:rPr>
              <w:t>24</w:t>
            </w:r>
            <w:r w:rsidRPr="00C75E8F">
              <w:rPr>
                <w:rFonts w:ascii="Times New Roman" w:hAnsi="Times New Roman" w:cs="Times New Roman"/>
                <w:noProof/>
                <w:webHidden/>
                <w:sz w:val="24"/>
                <w:szCs w:val="24"/>
                <w:lang w:val="en-GB"/>
              </w:rPr>
              <w:fldChar w:fldCharType="end"/>
            </w:r>
          </w:hyperlink>
        </w:p>
        <w:p w14:paraId="66F7D268" w14:textId="77777777" w:rsidR="00FD6FA4" w:rsidRPr="00C75E8F" w:rsidRDefault="00FD6FA4" w:rsidP="00FD6FA4">
          <w:pPr>
            <w:pStyle w:val="TOC1"/>
            <w:tabs>
              <w:tab w:val="right" w:leader="dot" w:pos="9350"/>
            </w:tabs>
            <w:spacing w:line="360" w:lineRule="auto"/>
            <w:jc w:val="both"/>
            <w:rPr>
              <w:rFonts w:ascii="Times New Roman" w:hAnsi="Times New Roman" w:cs="Times New Roman"/>
              <w:noProof/>
              <w:sz w:val="24"/>
              <w:szCs w:val="24"/>
              <w:lang w:val="en-GB"/>
            </w:rPr>
          </w:pPr>
          <w:hyperlink w:anchor="_Toc215776385" w:history="1">
            <w:r w:rsidRPr="00C75E8F">
              <w:rPr>
                <w:rStyle w:val="Hyperlink"/>
                <w:rFonts w:ascii="Times New Roman" w:hAnsi="Times New Roman" w:cs="Times New Roman"/>
                <w:noProof/>
                <w:sz w:val="24"/>
                <w:szCs w:val="24"/>
                <w:lang w:val="en-GB"/>
              </w:rPr>
              <w:t>8.0 Conclusion</w:t>
            </w:r>
            <w:r w:rsidRPr="00C75E8F">
              <w:rPr>
                <w:rFonts w:ascii="Times New Roman" w:hAnsi="Times New Roman" w:cs="Times New Roman"/>
                <w:noProof/>
                <w:webHidden/>
                <w:sz w:val="24"/>
                <w:szCs w:val="24"/>
                <w:lang w:val="en-GB"/>
              </w:rPr>
              <w:tab/>
            </w:r>
            <w:r w:rsidRPr="00C75E8F">
              <w:rPr>
                <w:rFonts w:ascii="Times New Roman" w:hAnsi="Times New Roman" w:cs="Times New Roman"/>
                <w:noProof/>
                <w:webHidden/>
                <w:sz w:val="24"/>
                <w:szCs w:val="24"/>
                <w:lang w:val="en-GB"/>
              </w:rPr>
              <w:fldChar w:fldCharType="begin"/>
            </w:r>
            <w:r w:rsidRPr="00C75E8F">
              <w:rPr>
                <w:rFonts w:ascii="Times New Roman" w:hAnsi="Times New Roman" w:cs="Times New Roman"/>
                <w:noProof/>
                <w:webHidden/>
                <w:sz w:val="24"/>
                <w:szCs w:val="24"/>
                <w:lang w:val="en-GB"/>
              </w:rPr>
              <w:instrText xml:space="preserve"> PAGEREF _Toc215776385 \h </w:instrText>
            </w:r>
            <w:r w:rsidRPr="00C75E8F">
              <w:rPr>
                <w:rFonts w:ascii="Times New Roman" w:hAnsi="Times New Roman" w:cs="Times New Roman"/>
                <w:noProof/>
                <w:webHidden/>
                <w:sz w:val="24"/>
                <w:szCs w:val="24"/>
                <w:lang w:val="en-GB"/>
              </w:rPr>
            </w:r>
            <w:r w:rsidRPr="00C75E8F">
              <w:rPr>
                <w:rFonts w:ascii="Times New Roman" w:hAnsi="Times New Roman" w:cs="Times New Roman"/>
                <w:noProof/>
                <w:webHidden/>
                <w:sz w:val="24"/>
                <w:szCs w:val="24"/>
                <w:lang w:val="en-GB"/>
              </w:rPr>
              <w:fldChar w:fldCharType="separate"/>
            </w:r>
            <w:r w:rsidRPr="00C75E8F">
              <w:rPr>
                <w:rFonts w:ascii="Times New Roman" w:hAnsi="Times New Roman" w:cs="Times New Roman"/>
                <w:noProof/>
                <w:webHidden/>
                <w:sz w:val="24"/>
                <w:szCs w:val="24"/>
                <w:lang w:val="en-GB"/>
              </w:rPr>
              <w:t>26</w:t>
            </w:r>
            <w:r w:rsidRPr="00C75E8F">
              <w:rPr>
                <w:rFonts w:ascii="Times New Roman" w:hAnsi="Times New Roman" w:cs="Times New Roman"/>
                <w:noProof/>
                <w:webHidden/>
                <w:sz w:val="24"/>
                <w:szCs w:val="24"/>
                <w:lang w:val="en-GB"/>
              </w:rPr>
              <w:fldChar w:fldCharType="end"/>
            </w:r>
          </w:hyperlink>
        </w:p>
        <w:p w14:paraId="4C4FDE8F" w14:textId="77777777" w:rsidR="00FD6FA4" w:rsidRPr="00C75E8F" w:rsidRDefault="00FD6FA4" w:rsidP="00FD6FA4">
          <w:pPr>
            <w:pStyle w:val="TOC1"/>
            <w:tabs>
              <w:tab w:val="right" w:leader="dot" w:pos="9350"/>
            </w:tabs>
            <w:spacing w:line="360" w:lineRule="auto"/>
            <w:jc w:val="both"/>
            <w:rPr>
              <w:rFonts w:ascii="Times New Roman" w:hAnsi="Times New Roman" w:cs="Times New Roman"/>
              <w:noProof/>
              <w:sz w:val="24"/>
              <w:szCs w:val="24"/>
              <w:lang w:val="en-GB"/>
            </w:rPr>
          </w:pPr>
          <w:hyperlink w:anchor="_Toc215776386" w:history="1">
            <w:r w:rsidRPr="00C75E8F">
              <w:rPr>
                <w:rStyle w:val="Hyperlink"/>
                <w:rFonts w:ascii="Times New Roman" w:hAnsi="Times New Roman" w:cs="Times New Roman"/>
                <w:noProof/>
                <w:sz w:val="24"/>
                <w:szCs w:val="24"/>
                <w:lang w:val="en-GB"/>
              </w:rPr>
              <w:t>References</w:t>
            </w:r>
            <w:r w:rsidRPr="00C75E8F">
              <w:rPr>
                <w:rFonts w:ascii="Times New Roman" w:hAnsi="Times New Roman" w:cs="Times New Roman"/>
                <w:noProof/>
                <w:webHidden/>
                <w:sz w:val="24"/>
                <w:szCs w:val="24"/>
                <w:lang w:val="en-GB"/>
              </w:rPr>
              <w:tab/>
            </w:r>
            <w:r w:rsidRPr="00C75E8F">
              <w:rPr>
                <w:rFonts w:ascii="Times New Roman" w:hAnsi="Times New Roman" w:cs="Times New Roman"/>
                <w:noProof/>
                <w:webHidden/>
                <w:sz w:val="24"/>
                <w:szCs w:val="24"/>
                <w:lang w:val="en-GB"/>
              </w:rPr>
              <w:fldChar w:fldCharType="begin"/>
            </w:r>
            <w:r w:rsidRPr="00C75E8F">
              <w:rPr>
                <w:rFonts w:ascii="Times New Roman" w:hAnsi="Times New Roman" w:cs="Times New Roman"/>
                <w:noProof/>
                <w:webHidden/>
                <w:sz w:val="24"/>
                <w:szCs w:val="24"/>
                <w:lang w:val="en-GB"/>
              </w:rPr>
              <w:instrText xml:space="preserve"> PAGEREF _Toc215776386 \h </w:instrText>
            </w:r>
            <w:r w:rsidRPr="00C75E8F">
              <w:rPr>
                <w:rFonts w:ascii="Times New Roman" w:hAnsi="Times New Roman" w:cs="Times New Roman"/>
                <w:noProof/>
                <w:webHidden/>
                <w:sz w:val="24"/>
                <w:szCs w:val="24"/>
                <w:lang w:val="en-GB"/>
              </w:rPr>
            </w:r>
            <w:r w:rsidRPr="00C75E8F">
              <w:rPr>
                <w:rFonts w:ascii="Times New Roman" w:hAnsi="Times New Roman" w:cs="Times New Roman"/>
                <w:noProof/>
                <w:webHidden/>
                <w:sz w:val="24"/>
                <w:szCs w:val="24"/>
                <w:lang w:val="en-GB"/>
              </w:rPr>
              <w:fldChar w:fldCharType="separate"/>
            </w:r>
            <w:r w:rsidRPr="00C75E8F">
              <w:rPr>
                <w:rFonts w:ascii="Times New Roman" w:hAnsi="Times New Roman" w:cs="Times New Roman"/>
                <w:noProof/>
                <w:webHidden/>
                <w:sz w:val="24"/>
                <w:szCs w:val="24"/>
                <w:lang w:val="en-GB"/>
              </w:rPr>
              <w:t>28</w:t>
            </w:r>
            <w:r w:rsidRPr="00C75E8F">
              <w:rPr>
                <w:rFonts w:ascii="Times New Roman" w:hAnsi="Times New Roman" w:cs="Times New Roman"/>
                <w:noProof/>
                <w:webHidden/>
                <w:sz w:val="24"/>
                <w:szCs w:val="24"/>
                <w:lang w:val="en-GB"/>
              </w:rPr>
              <w:fldChar w:fldCharType="end"/>
            </w:r>
          </w:hyperlink>
        </w:p>
        <w:p w14:paraId="2F19FAAD" w14:textId="77777777" w:rsidR="00401A33" w:rsidRPr="00C75E8F" w:rsidRDefault="00FD6FA4" w:rsidP="00FD6FA4">
          <w:pPr>
            <w:spacing w:line="360" w:lineRule="auto"/>
            <w:jc w:val="both"/>
            <w:rPr>
              <w:rFonts w:ascii="Times New Roman" w:hAnsi="Times New Roman" w:cs="Times New Roman"/>
              <w:sz w:val="24"/>
              <w:szCs w:val="24"/>
              <w:lang w:val="en-GB"/>
            </w:rPr>
          </w:pPr>
          <w:r w:rsidRPr="00C75E8F">
            <w:rPr>
              <w:rFonts w:ascii="Times New Roman" w:hAnsi="Times New Roman" w:cs="Times New Roman"/>
              <w:b/>
              <w:bCs/>
              <w:noProof/>
              <w:sz w:val="24"/>
              <w:szCs w:val="24"/>
              <w:lang w:val="en-GB"/>
            </w:rPr>
            <w:fldChar w:fldCharType="end"/>
          </w:r>
        </w:p>
      </w:sdtContent>
    </w:sdt>
    <w:p w14:paraId="12B299D0" w14:textId="77777777" w:rsidR="00401A33" w:rsidRPr="00C75E8F" w:rsidRDefault="00EC6766" w:rsidP="00FD6FA4">
      <w:pPr>
        <w:pStyle w:val="Heading1"/>
        <w:rPr>
          <w:lang w:val="en-GB"/>
        </w:rPr>
      </w:pPr>
      <w:bookmarkStart w:id="0" w:name="_lb0fg23l95jg" w:colFirst="0" w:colLast="0"/>
      <w:bookmarkStart w:id="1" w:name="_Toc215776364"/>
      <w:bookmarkEnd w:id="0"/>
      <w:r w:rsidRPr="00C75E8F">
        <w:rPr>
          <w:lang w:val="en-GB"/>
        </w:rPr>
        <w:lastRenderedPageBreak/>
        <w:t>1.0 Introduction</w:t>
      </w:r>
      <w:bookmarkEnd w:id="1"/>
    </w:p>
    <w:p w14:paraId="68C387AB" w14:textId="77777777" w:rsidR="00401A33" w:rsidRPr="00C75E8F" w:rsidRDefault="00EC6766" w:rsidP="00FD6FA4">
      <w:pPr>
        <w:spacing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Current Health is a dominant healthcare technology organisation in the UK with its headquarters in Edinburgh that deals with remote patient monitoring and virtual care solutions (Current Health, 2025). The main idea behind it is to facilitate early intervention and avoid unnecessary hospitalisation. It provides clinicians with an opportunity to monitor the vital signs of patients at home. As Xu et al. (2022) note, the company incorporates wearable medical devices, artificial intelligence, and clinical dashboards to deal with people with chronic conditions, including cardiovascular disease, diabetes, and respiratory diseases, among others. The health gadget being developed is a new wearable that will be used to monitor heart rate, blood oxygen levels, sleep habits, and other physiological information that will enhance the management of diseases in the long term and the quality of life of patients.</w:t>
      </w:r>
    </w:p>
    <w:p w14:paraId="3038936C" w14:textId="77777777" w:rsidR="00401A33" w:rsidRPr="00C75E8F" w:rsidRDefault="00EC6766" w:rsidP="00FD6FA4">
      <w:pPr>
        <w:spacing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The organisation has a competitive healthcare environment that is highly regulated and has partnerships with NHS hospital trusts, clinical teams and technology suppliers. With digital health growing, the effective involvement of stakeholders is crucial to achieve the expectations of the clinical use of the device, regulatory and compliance considerations, patient acceptability, and commercial viability. This forms the strategic base of the stakeholder-oriented project of this report.</w:t>
      </w:r>
    </w:p>
    <w:p w14:paraId="057C6A15" w14:textId="77777777" w:rsidR="00401A33" w:rsidRPr="00C75E8F" w:rsidRDefault="00401A33" w:rsidP="00FD6FA4">
      <w:pPr>
        <w:spacing w:line="360" w:lineRule="auto"/>
        <w:jc w:val="both"/>
        <w:rPr>
          <w:rFonts w:ascii="Times New Roman" w:eastAsia="Times New Roman" w:hAnsi="Times New Roman" w:cs="Times New Roman"/>
          <w:sz w:val="24"/>
          <w:szCs w:val="24"/>
          <w:lang w:val="en-GB"/>
        </w:rPr>
      </w:pPr>
    </w:p>
    <w:p w14:paraId="10FE64EC" w14:textId="77777777" w:rsidR="00401A33" w:rsidRPr="00C75E8F" w:rsidRDefault="00EC6766" w:rsidP="00FD6FA4">
      <w:pPr>
        <w:pStyle w:val="Heading1"/>
        <w:rPr>
          <w:lang w:val="en-GB"/>
        </w:rPr>
      </w:pPr>
      <w:bookmarkStart w:id="2" w:name="_ff2v602o59vi" w:colFirst="0" w:colLast="0"/>
      <w:bookmarkStart w:id="3" w:name="_Toc215776365"/>
      <w:bookmarkEnd w:id="2"/>
      <w:r w:rsidRPr="00C75E8F">
        <w:rPr>
          <w:lang w:val="en-GB"/>
        </w:rPr>
        <w:t>2.0 Project Overview and Situational Analysis.</w:t>
      </w:r>
      <w:bookmarkEnd w:id="3"/>
    </w:p>
    <w:p w14:paraId="0A727B8B" w14:textId="77777777" w:rsidR="00401A33" w:rsidRPr="00C75E8F" w:rsidRDefault="00EC6766" w:rsidP="00FD6FA4">
      <w:pPr>
        <w:spacing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The project is about the complete preparation, regulatory clearance, and introduction of a new wearable device for health monitoring over a period of six months. The device will be able to sense the heart rate, oxygen saturation, and sleep patterns and will be incorporated into the telehealth platform of Current Health to enable the remote management of chronic disease patients. It is a complex project which depends on the combination of technical readiness and the ability of the stakeholders to work in a coordinated manner, so that the requirements of clinical, regulatory, and commercial as well as operational expectations can be achieved without breaching patient safety or data integrity.</w:t>
      </w:r>
    </w:p>
    <w:p w14:paraId="64FA33BF" w14:textId="77777777" w:rsidR="00401A33" w:rsidRPr="00C75E8F" w:rsidRDefault="00EC6766" w:rsidP="00FD6FA4">
      <w:pPr>
        <w:spacing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 xml:space="preserve">The SWOT analysis has been performed in a well-structured manner to critically evaluate the strategic environment of the organisation and the dependence it relies on regarding its stakeholders. This allows the risks that need to be addressed by early stakeholder cooperation to </w:t>
      </w:r>
      <w:r w:rsidRPr="00C75E8F">
        <w:rPr>
          <w:rFonts w:ascii="Times New Roman" w:eastAsia="Times New Roman" w:hAnsi="Times New Roman" w:cs="Times New Roman"/>
          <w:sz w:val="24"/>
          <w:szCs w:val="24"/>
          <w:lang w:val="en-GB"/>
        </w:rPr>
        <w:lastRenderedPageBreak/>
        <w:t>be identified, especially in clinical validation, reliability of the supply chain, and adoption of the product by users.</w:t>
      </w:r>
    </w:p>
    <w:p w14:paraId="6DA025B0" w14:textId="77777777" w:rsidR="00401A33" w:rsidRPr="00C75E8F" w:rsidRDefault="00401A33" w:rsidP="00FD6FA4">
      <w:pPr>
        <w:spacing w:line="360" w:lineRule="auto"/>
        <w:jc w:val="both"/>
        <w:rPr>
          <w:rFonts w:ascii="Times New Roman" w:eastAsia="Times New Roman" w:hAnsi="Times New Roman" w:cs="Times New Roman"/>
          <w:sz w:val="24"/>
          <w:szCs w:val="24"/>
          <w:lang w:val="en-GB"/>
        </w:rPr>
      </w:pPr>
    </w:p>
    <w:p w14:paraId="33D2C215" w14:textId="77777777" w:rsidR="00401A33" w:rsidRPr="00C75E8F" w:rsidRDefault="00EC6766" w:rsidP="00FD6FA4">
      <w:pPr>
        <w:pStyle w:val="Heading2"/>
        <w:rPr>
          <w:color w:val="000000"/>
          <w:lang w:val="en-GB"/>
        </w:rPr>
      </w:pPr>
      <w:bookmarkStart w:id="4" w:name="_goiea965yazi" w:colFirst="0" w:colLast="0"/>
      <w:bookmarkStart w:id="5" w:name="_Toc215776366"/>
      <w:bookmarkEnd w:id="4"/>
      <w:r w:rsidRPr="00C75E8F">
        <w:rPr>
          <w:lang w:val="en-GB"/>
        </w:rPr>
        <w:t>2.1 SWOT Analysis</w:t>
      </w:r>
      <w:bookmarkEnd w:id="5"/>
    </w:p>
    <w:tbl>
      <w:tblPr>
        <w:tblStyle w:val="a"/>
        <w:tblW w:w="923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370"/>
        <w:gridCol w:w="4865"/>
      </w:tblGrid>
      <w:tr w:rsidR="00401A33" w:rsidRPr="00C75E8F" w14:paraId="62FD4C54" w14:textId="77777777" w:rsidTr="00FD6FA4">
        <w:trPr>
          <w:trHeight w:val="515"/>
        </w:trPr>
        <w:tc>
          <w:tcPr>
            <w:tcW w:w="437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376C5DE5"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Strengths</w:t>
            </w:r>
          </w:p>
        </w:tc>
        <w:tc>
          <w:tcPr>
            <w:tcW w:w="4865"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535AF1DB"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Weaknesses</w:t>
            </w:r>
          </w:p>
        </w:tc>
      </w:tr>
      <w:tr w:rsidR="00401A33" w:rsidRPr="00C75E8F" w14:paraId="4A8C5B87" w14:textId="77777777">
        <w:trPr>
          <w:trHeight w:val="800"/>
        </w:trPr>
        <w:tc>
          <w:tcPr>
            <w:tcW w:w="4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661054"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Strong existing remote monitoring platform integration (Communications, 2022)</w:t>
            </w:r>
          </w:p>
        </w:tc>
        <w:tc>
          <w:tcPr>
            <w:tcW w:w="48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8D29E1"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Heavy reliance on third-party hardware components</w:t>
            </w:r>
          </w:p>
        </w:tc>
      </w:tr>
      <w:tr w:rsidR="00401A33" w:rsidRPr="00C75E8F" w14:paraId="0CEE134C" w14:textId="77777777">
        <w:trPr>
          <w:trHeight w:val="800"/>
        </w:trPr>
        <w:tc>
          <w:tcPr>
            <w:tcW w:w="4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A02C21"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Strong NHS and care provider partnerships</w:t>
            </w:r>
          </w:p>
        </w:tc>
        <w:tc>
          <w:tcPr>
            <w:tcW w:w="48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C9988C"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Limited internal manufacturing and logistics capabilities (Kwak et al., 2025)</w:t>
            </w:r>
          </w:p>
        </w:tc>
      </w:tr>
      <w:tr w:rsidR="00401A33" w:rsidRPr="00C75E8F" w14:paraId="7CCA4ED4" w14:textId="77777777">
        <w:trPr>
          <w:trHeight w:val="800"/>
        </w:trPr>
        <w:tc>
          <w:tcPr>
            <w:tcW w:w="4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66F565"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Advanced AI-based analytics for clinical insight</w:t>
            </w:r>
          </w:p>
        </w:tc>
        <w:tc>
          <w:tcPr>
            <w:tcW w:w="48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E0F2AB"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High compliance burden in medical device regulation</w:t>
            </w:r>
          </w:p>
        </w:tc>
      </w:tr>
      <w:tr w:rsidR="00401A33" w:rsidRPr="00C75E8F" w14:paraId="2DEB064D" w14:textId="77777777">
        <w:trPr>
          <w:trHeight w:val="800"/>
        </w:trPr>
        <w:tc>
          <w:tcPr>
            <w:tcW w:w="43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3F0A81"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Established brand reputation in digital health</w:t>
            </w:r>
          </w:p>
        </w:tc>
        <w:tc>
          <w:tcPr>
            <w:tcW w:w="48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8301DB"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Limited consumer market visibility versus fitness tech brands</w:t>
            </w:r>
          </w:p>
        </w:tc>
      </w:tr>
    </w:tbl>
    <w:p w14:paraId="2C5D8659" w14:textId="77777777" w:rsidR="00401A33" w:rsidRPr="00C75E8F" w:rsidRDefault="00401A33" w:rsidP="00FD6FA4">
      <w:pPr>
        <w:spacing w:before="240" w:after="240" w:line="360" w:lineRule="auto"/>
        <w:jc w:val="both"/>
        <w:rPr>
          <w:rFonts w:ascii="Times New Roman" w:eastAsia="Times New Roman" w:hAnsi="Times New Roman" w:cs="Times New Roman"/>
          <w:sz w:val="24"/>
          <w:szCs w:val="24"/>
          <w:lang w:val="en-GB"/>
        </w:rPr>
      </w:pPr>
    </w:p>
    <w:tbl>
      <w:tblPr>
        <w:tblStyle w:val="a0"/>
        <w:tblW w:w="923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715"/>
        <w:gridCol w:w="4520"/>
      </w:tblGrid>
      <w:tr w:rsidR="00401A33" w:rsidRPr="00C75E8F" w14:paraId="43BFA5A4" w14:textId="77777777" w:rsidTr="00FD6FA4">
        <w:trPr>
          <w:trHeight w:val="515"/>
        </w:trPr>
        <w:tc>
          <w:tcPr>
            <w:tcW w:w="4715"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1AF7DE06"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Opportunities</w:t>
            </w:r>
          </w:p>
        </w:tc>
        <w:tc>
          <w:tcPr>
            <w:tcW w:w="452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320D4FEB"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Threats</w:t>
            </w:r>
          </w:p>
        </w:tc>
      </w:tr>
      <w:tr w:rsidR="00401A33" w:rsidRPr="00C75E8F" w14:paraId="79186DEC" w14:textId="77777777">
        <w:trPr>
          <w:trHeight w:val="800"/>
        </w:trPr>
        <w:tc>
          <w:tcPr>
            <w:tcW w:w="47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42520E"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Growing demand for home-based healthcare</w:t>
            </w:r>
          </w:p>
        </w:tc>
        <w:tc>
          <w:tcPr>
            <w:tcW w:w="45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52B5E2"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Supply shortages or delays from technology suppliers</w:t>
            </w:r>
          </w:p>
        </w:tc>
      </w:tr>
      <w:tr w:rsidR="00401A33" w:rsidRPr="00C75E8F" w14:paraId="67F7B25E" w14:textId="77777777">
        <w:trPr>
          <w:trHeight w:val="800"/>
        </w:trPr>
        <w:tc>
          <w:tcPr>
            <w:tcW w:w="47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3DFA3C"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lastRenderedPageBreak/>
              <w:t>NHS adoption of remote monitoring to reduce admissions (</w:t>
            </w:r>
            <w:proofErr w:type="spellStart"/>
            <w:r w:rsidRPr="00C75E8F">
              <w:rPr>
                <w:rFonts w:ascii="Times New Roman" w:eastAsia="Times New Roman" w:hAnsi="Times New Roman" w:cs="Times New Roman"/>
                <w:color w:val="222222"/>
                <w:sz w:val="24"/>
                <w:szCs w:val="24"/>
                <w:highlight w:val="white"/>
                <w:lang w:val="en-GB"/>
              </w:rPr>
              <w:t>Vindrola-Padros</w:t>
            </w:r>
            <w:proofErr w:type="spellEnd"/>
            <w:r w:rsidRPr="00C75E8F">
              <w:rPr>
                <w:rFonts w:ascii="Times New Roman" w:eastAsia="Times New Roman" w:hAnsi="Times New Roman" w:cs="Times New Roman"/>
                <w:color w:val="222222"/>
                <w:sz w:val="24"/>
                <w:szCs w:val="24"/>
                <w:highlight w:val="white"/>
                <w:lang w:val="en-GB"/>
              </w:rPr>
              <w:t xml:space="preserve"> et al., 2021</w:t>
            </w:r>
            <w:r w:rsidRPr="00C75E8F">
              <w:rPr>
                <w:rFonts w:ascii="Times New Roman" w:eastAsia="Times New Roman" w:hAnsi="Times New Roman" w:cs="Times New Roman"/>
                <w:sz w:val="24"/>
                <w:szCs w:val="24"/>
                <w:lang w:val="en-GB"/>
              </w:rPr>
              <w:t>)</w:t>
            </w:r>
          </w:p>
        </w:tc>
        <w:tc>
          <w:tcPr>
            <w:tcW w:w="45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B5A13F"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Rapid competition from global wearable manufacturers</w:t>
            </w:r>
          </w:p>
        </w:tc>
      </w:tr>
      <w:tr w:rsidR="00401A33" w:rsidRPr="00C75E8F" w14:paraId="1C662872" w14:textId="77777777">
        <w:trPr>
          <w:trHeight w:val="800"/>
        </w:trPr>
        <w:tc>
          <w:tcPr>
            <w:tcW w:w="47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82C11A"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Policy shifts supporting digital health funding</w:t>
            </w:r>
          </w:p>
        </w:tc>
        <w:tc>
          <w:tcPr>
            <w:tcW w:w="45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36CD13"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Increased data security concerns are reducing patient trust (</w:t>
            </w:r>
            <w:r w:rsidRPr="00C75E8F">
              <w:rPr>
                <w:rFonts w:ascii="Times New Roman" w:eastAsia="Times New Roman" w:hAnsi="Times New Roman" w:cs="Times New Roman"/>
                <w:color w:val="222222"/>
                <w:sz w:val="24"/>
                <w:szCs w:val="24"/>
                <w:highlight w:val="white"/>
                <w:lang w:val="en-GB"/>
              </w:rPr>
              <w:t>Khatiwada et al., 2024</w:t>
            </w:r>
            <w:r w:rsidRPr="00C75E8F">
              <w:rPr>
                <w:rFonts w:ascii="Times New Roman" w:eastAsia="Times New Roman" w:hAnsi="Times New Roman" w:cs="Times New Roman"/>
                <w:sz w:val="24"/>
                <w:szCs w:val="24"/>
                <w:lang w:val="en-GB"/>
              </w:rPr>
              <w:t>)</w:t>
            </w:r>
          </w:p>
        </w:tc>
      </w:tr>
      <w:tr w:rsidR="00401A33" w:rsidRPr="00C75E8F" w14:paraId="1AD4BD64" w14:textId="77777777">
        <w:trPr>
          <w:trHeight w:val="800"/>
        </w:trPr>
        <w:tc>
          <w:tcPr>
            <w:tcW w:w="47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2A6F63"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Potential expansion into wider EU/US markets</w:t>
            </w:r>
          </w:p>
        </w:tc>
        <w:tc>
          <w:tcPr>
            <w:tcW w:w="45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FFF7DD"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Changing regulatory requirements are delaying the launch</w:t>
            </w:r>
          </w:p>
        </w:tc>
      </w:tr>
    </w:tbl>
    <w:p w14:paraId="6E727294" w14:textId="77777777" w:rsidR="00581A20" w:rsidRPr="00C75E8F" w:rsidRDefault="00581A20"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Table 1: SWOT Analysis of Current Health’s Wearable Monitoring Device Project</w:t>
      </w:r>
    </w:p>
    <w:p w14:paraId="37A27C05"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(Source: Kwak et al., 2025)</w:t>
      </w:r>
    </w:p>
    <w:p w14:paraId="6F7CA727" w14:textId="77777777" w:rsidR="00401A33" w:rsidRPr="00C75E8F" w:rsidRDefault="00EC6766" w:rsidP="00FD6FA4">
      <w:pPr>
        <w:spacing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There are a number of weaknesses and threats that are directly attributed to the management of stakeholders. An example is that in the case of reliance on suppliers, there is the existence of more operational risk, which in turn requires proper communication and contingency planning (Jean, 2024). Equally, the presence of the consumer brands in competition provides an indication that it is necessary to align the engagement with stakeholders in marketing and patient advocacy in order to distinguish the clinical credibility.</w:t>
      </w:r>
    </w:p>
    <w:p w14:paraId="1C256D1E" w14:textId="77777777" w:rsidR="00401A33" w:rsidRPr="00C75E8F" w:rsidRDefault="00EC6766" w:rsidP="00FD6FA4">
      <w:pPr>
        <w:spacing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The absence of proactive stakeholder alignment may limit the utilisation of such strong points as NHS relationships and regulatory challenges might sabotage the progress and schedules.</w:t>
      </w:r>
    </w:p>
    <w:p w14:paraId="62D7EBBE" w14:textId="77777777" w:rsidR="00401A33" w:rsidRPr="00C75E8F" w:rsidRDefault="00401A33" w:rsidP="00FD6FA4">
      <w:pPr>
        <w:spacing w:line="360" w:lineRule="auto"/>
        <w:jc w:val="both"/>
        <w:rPr>
          <w:rFonts w:ascii="Times New Roman" w:eastAsia="Times New Roman" w:hAnsi="Times New Roman" w:cs="Times New Roman"/>
          <w:sz w:val="24"/>
          <w:szCs w:val="24"/>
          <w:lang w:val="en-GB"/>
        </w:rPr>
      </w:pPr>
    </w:p>
    <w:p w14:paraId="107BBBAE" w14:textId="77777777" w:rsidR="00401A33" w:rsidRPr="00C75E8F" w:rsidRDefault="00401A33" w:rsidP="00FD6FA4">
      <w:pPr>
        <w:spacing w:line="360" w:lineRule="auto"/>
        <w:jc w:val="both"/>
        <w:rPr>
          <w:rFonts w:ascii="Times New Roman" w:eastAsia="Times New Roman" w:hAnsi="Times New Roman" w:cs="Times New Roman"/>
          <w:sz w:val="24"/>
          <w:szCs w:val="24"/>
          <w:lang w:val="en-GB"/>
        </w:rPr>
      </w:pPr>
    </w:p>
    <w:p w14:paraId="75DBCC03" w14:textId="77777777" w:rsidR="00401A33" w:rsidRPr="00C75E8F" w:rsidRDefault="00EC6766" w:rsidP="00FD6FA4">
      <w:pPr>
        <w:pStyle w:val="Heading2"/>
        <w:rPr>
          <w:color w:val="000000"/>
          <w:lang w:val="en-GB"/>
        </w:rPr>
      </w:pPr>
      <w:bookmarkStart w:id="6" w:name="_v198i45xk074" w:colFirst="0" w:colLast="0"/>
      <w:bookmarkStart w:id="7" w:name="_Toc215776367"/>
      <w:bookmarkEnd w:id="6"/>
      <w:r w:rsidRPr="00C75E8F">
        <w:rPr>
          <w:lang w:val="en-GB"/>
        </w:rPr>
        <w:t>2.2 SMART Objectives for the Project</w:t>
      </w:r>
      <w:bookmarkEnd w:id="7"/>
    </w:p>
    <w:tbl>
      <w:tblPr>
        <w:tblStyle w:val="a1"/>
        <w:tblW w:w="923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220"/>
        <w:gridCol w:w="5015"/>
      </w:tblGrid>
      <w:tr w:rsidR="00401A33" w:rsidRPr="00C75E8F" w14:paraId="204EA477" w14:textId="77777777" w:rsidTr="00FD6FA4">
        <w:trPr>
          <w:trHeight w:val="515"/>
        </w:trPr>
        <w:tc>
          <w:tcPr>
            <w:tcW w:w="422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0C2E8C13"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Objective</w:t>
            </w:r>
          </w:p>
        </w:tc>
        <w:tc>
          <w:tcPr>
            <w:tcW w:w="5015"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70C0677A"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Details (Critical Rationale)</w:t>
            </w:r>
          </w:p>
        </w:tc>
      </w:tr>
      <w:tr w:rsidR="00401A33" w:rsidRPr="00C75E8F" w14:paraId="790B483D" w14:textId="77777777">
        <w:trPr>
          <w:trHeight w:val="800"/>
        </w:trPr>
        <w:tc>
          <w:tcPr>
            <w:tcW w:w="42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082780"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lastRenderedPageBreak/>
              <w:t>S</w:t>
            </w:r>
            <w:r w:rsidRPr="00C75E8F">
              <w:rPr>
                <w:rFonts w:ascii="Times New Roman" w:eastAsia="Times New Roman" w:hAnsi="Times New Roman" w:cs="Times New Roman"/>
                <w:sz w:val="24"/>
                <w:szCs w:val="24"/>
                <w:lang w:val="en-GB"/>
              </w:rPr>
              <w:t>: Secure regulatory approval for device launch</w:t>
            </w:r>
          </w:p>
        </w:tc>
        <w:tc>
          <w:tcPr>
            <w:tcW w:w="50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E00ACD"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Required to prevent costly delays, early collaboration with regulators reduces risk</w:t>
            </w:r>
          </w:p>
        </w:tc>
      </w:tr>
      <w:tr w:rsidR="00401A33" w:rsidRPr="00C75E8F" w14:paraId="3F7F1719" w14:textId="77777777">
        <w:trPr>
          <w:trHeight w:val="800"/>
        </w:trPr>
        <w:tc>
          <w:tcPr>
            <w:tcW w:w="42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DF5055"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M</w:t>
            </w:r>
            <w:r w:rsidRPr="00C75E8F">
              <w:rPr>
                <w:rFonts w:ascii="Times New Roman" w:eastAsia="Gungsuh" w:hAnsi="Times New Roman" w:cs="Times New Roman"/>
                <w:sz w:val="24"/>
                <w:szCs w:val="24"/>
                <w:lang w:val="en-GB"/>
              </w:rPr>
              <w:t>: Achieve ≥95% device reliability during clinical validation trials</w:t>
            </w:r>
          </w:p>
        </w:tc>
        <w:tc>
          <w:tcPr>
            <w:tcW w:w="50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19B69A"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Ensures trust from clinicians and reduces reputational and adoption barriers</w:t>
            </w:r>
          </w:p>
        </w:tc>
      </w:tr>
      <w:tr w:rsidR="00401A33" w:rsidRPr="00C75E8F" w14:paraId="698BCD24" w14:textId="77777777">
        <w:trPr>
          <w:trHeight w:val="800"/>
        </w:trPr>
        <w:tc>
          <w:tcPr>
            <w:tcW w:w="42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A5FC2B"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A</w:t>
            </w:r>
            <w:r w:rsidRPr="00C75E8F">
              <w:rPr>
                <w:rFonts w:ascii="Times New Roman" w:eastAsia="Times New Roman" w:hAnsi="Times New Roman" w:cs="Times New Roman"/>
                <w:sz w:val="24"/>
                <w:szCs w:val="24"/>
                <w:lang w:val="en-GB"/>
              </w:rPr>
              <w:t>: Train 100% of pilot clinical teams before market launch</w:t>
            </w:r>
          </w:p>
        </w:tc>
        <w:tc>
          <w:tcPr>
            <w:tcW w:w="50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C7A82E"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Stakeholder capacity building reduces operational disruption once scaling begins</w:t>
            </w:r>
          </w:p>
        </w:tc>
      </w:tr>
      <w:tr w:rsidR="00401A33" w:rsidRPr="00C75E8F" w14:paraId="7D78D632" w14:textId="77777777">
        <w:trPr>
          <w:trHeight w:val="800"/>
        </w:trPr>
        <w:tc>
          <w:tcPr>
            <w:tcW w:w="42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49D584"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R</w:t>
            </w:r>
            <w:r w:rsidRPr="00C75E8F">
              <w:rPr>
                <w:rFonts w:ascii="Times New Roman" w:eastAsia="Times New Roman" w:hAnsi="Times New Roman" w:cs="Times New Roman"/>
                <w:sz w:val="24"/>
                <w:szCs w:val="24"/>
                <w:lang w:val="en-GB"/>
              </w:rPr>
              <w:t>: Co-develop the patient onboarding process with clinicians and users</w:t>
            </w:r>
          </w:p>
        </w:tc>
        <w:tc>
          <w:tcPr>
            <w:tcW w:w="50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90F0F6"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Prevents patient resistance and improves adherence through co-designed workflows</w:t>
            </w:r>
          </w:p>
        </w:tc>
      </w:tr>
      <w:tr w:rsidR="00401A33" w:rsidRPr="00C75E8F" w14:paraId="5E31E97A" w14:textId="77777777">
        <w:trPr>
          <w:trHeight w:val="800"/>
        </w:trPr>
        <w:tc>
          <w:tcPr>
            <w:tcW w:w="42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BE2B49"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T</w:t>
            </w:r>
            <w:r w:rsidRPr="00C75E8F">
              <w:rPr>
                <w:rFonts w:ascii="Times New Roman" w:eastAsia="Times New Roman" w:hAnsi="Times New Roman" w:cs="Times New Roman"/>
                <w:sz w:val="24"/>
                <w:szCs w:val="24"/>
                <w:lang w:val="en-GB"/>
              </w:rPr>
              <w:t>: Complete full integration into the Current Health platform by month 5</w:t>
            </w:r>
          </w:p>
        </w:tc>
        <w:tc>
          <w:tcPr>
            <w:tcW w:w="50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8F5161"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Guarantees sufficient time for stakeholder testing and issue correction</w:t>
            </w:r>
          </w:p>
        </w:tc>
      </w:tr>
    </w:tbl>
    <w:p w14:paraId="3BD6D519" w14:textId="77777777" w:rsidR="00581A20" w:rsidRPr="00C75E8F" w:rsidRDefault="00581A20"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Table 2: SMART Objectives for the Project</w:t>
      </w:r>
    </w:p>
    <w:p w14:paraId="3BB9E983"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(Source: Curated by author)</w:t>
      </w:r>
    </w:p>
    <w:p w14:paraId="664020BA" w14:textId="77777777" w:rsidR="00401A33" w:rsidRPr="00C75E8F" w:rsidRDefault="00EC6766" w:rsidP="00FD6FA4">
      <w:pPr>
        <w:spacing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Every SMART goal is connected to a stakeholder dependency. As an illustration, reliability validation presupposes a complete collaboration of the development teams and clinical trial partners, whereas training goals indicate the necessity to work on capability gaps at the earliest. The lack of these specific goals would jeopardise the quality and credibility of the launch.</w:t>
      </w:r>
    </w:p>
    <w:p w14:paraId="45346D1E" w14:textId="77777777" w:rsidR="00401A33" w:rsidRPr="00C75E8F" w:rsidRDefault="00401A33" w:rsidP="00FD6FA4">
      <w:pPr>
        <w:spacing w:line="360" w:lineRule="auto"/>
        <w:jc w:val="both"/>
        <w:rPr>
          <w:rFonts w:ascii="Times New Roman" w:eastAsia="Times New Roman" w:hAnsi="Times New Roman" w:cs="Times New Roman"/>
          <w:sz w:val="24"/>
          <w:szCs w:val="24"/>
          <w:lang w:val="en-GB"/>
        </w:rPr>
      </w:pPr>
    </w:p>
    <w:p w14:paraId="074AE0CF" w14:textId="77777777" w:rsidR="00401A33" w:rsidRPr="00C75E8F" w:rsidRDefault="00EC6766" w:rsidP="00FD6FA4">
      <w:pPr>
        <w:pStyle w:val="Heading1"/>
        <w:rPr>
          <w:lang w:val="en-GB"/>
        </w:rPr>
      </w:pPr>
      <w:bookmarkStart w:id="8" w:name="_3laj709fyk05" w:colFirst="0" w:colLast="0"/>
      <w:bookmarkStart w:id="9" w:name="_Toc215776368"/>
      <w:bookmarkEnd w:id="8"/>
      <w:r w:rsidRPr="00C75E8F">
        <w:rPr>
          <w:lang w:val="en-GB"/>
        </w:rPr>
        <w:t>3.0 Identification of Key Stakeholders</w:t>
      </w:r>
      <w:bookmarkEnd w:id="9"/>
    </w:p>
    <w:p w14:paraId="5E9F0E8F" w14:textId="77777777" w:rsidR="00401A33" w:rsidRPr="00C75E8F" w:rsidRDefault="00EC6766" w:rsidP="00FD6FA4">
      <w:pPr>
        <w:spacing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 xml:space="preserve">As </w:t>
      </w:r>
      <w:proofErr w:type="spellStart"/>
      <w:r w:rsidRPr="00C75E8F">
        <w:rPr>
          <w:rFonts w:ascii="Times New Roman" w:eastAsia="Times New Roman" w:hAnsi="Times New Roman" w:cs="Times New Roman"/>
          <w:sz w:val="24"/>
          <w:szCs w:val="24"/>
          <w:lang w:val="en-GB"/>
        </w:rPr>
        <w:t>Munoru</w:t>
      </w:r>
      <w:proofErr w:type="spellEnd"/>
      <w:r w:rsidRPr="00C75E8F">
        <w:rPr>
          <w:rFonts w:ascii="Times New Roman" w:eastAsia="Times New Roman" w:hAnsi="Times New Roman" w:cs="Times New Roman"/>
          <w:sz w:val="24"/>
          <w:szCs w:val="24"/>
          <w:lang w:val="en-GB"/>
        </w:rPr>
        <w:t xml:space="preserve"> (2024) claims, a wide and varied network of stakeholders with different interests, influence, and involvement has a key role in the success of this project. Within a healthcare technology environment, stakeholders will be able not only to help in delivering the products but </w:t>
      </w:r>
      <w:r w:rsidRPr="00C75E8F">
        <w:rPr>
          <w:rFonts w:ascii="Times New Roman" w:eastAsia="Times New Roman" w:hAnsi="Times New Roman" w:cs="Times New Roman"/>
          <w:sz w:val="24"/>
          <w:szCs w:val="24"/>
          <w:lang w:val="en-GB"/>
        </w:rPr>
        <w:lastRenderedPageBreak/>
        <w:t>also in shaping the clinical adoption, patient trust, regulatory compliance, and market acceptance (Negash and Sarmiento, 2023). Thus, stakeholders should be identified and categorised accurately to make engagement strategies focused, effective, and risk-sensitive.</w:t>
      </w:r>
    </w:p>
    <w:p w14:paraId="16FE67FB" w14:textId="77777777" w:rsidR="00401A33" w:rsidRPr="00C75E8F" w:rsidRDefault="00EC6766" w:rsidP="00FD6FA4">
      <w:pPr>
        <w:spacing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The following table categorises the stakeholders into internal and external and overrides their strategic importance to the project.</w:t>
      </w:r>
    </w:p>
    <w:p w14:paraId="38E7CE78" w14:textId="77777777" w:rsidR="00401A33" w:rsidRPr="00C75E8F" w:rsidRDefault="00401A33" w:rsidP="00FD6FA4">
      <w:pPr>
        <w:spacing w:line="360" w:lineRule="auto"/>
        <w:jc w:val="both"/>
        <w:rPr>
          <w:rFonts w:ascii="Times New Roman" w:eastAsia="Times New Roman" w:hAnsi="Times New Roman" w:cs="Times New Roman"/>
          <w:sz w:val="24"/>
          <w:szCs w:val="24"/>
          <w:lang w:val="en-GB"/>
        </w:rPr>
      </w:pPr>
    </w:p>
    <w:p w14:paraId="2FE8939B" w14:textId="77777777" w:rsidR="00401A33" w:rsidRPr="00C75E8F" w:rsidRDefault="00EC6766" w:rsidP="00FD6FA4">
      <w:pPr>
        <w:pStyle w:val="Heading2"/>
        <w:rPr>
          <w:lang w:val="en-GB"/>
        </w:rPr>
      </w:pPr>
      <w:bookmarkStart w:id="10" w:name="_9fvnrpij2w35" w:colFirst="0" w:colLast="0"/>
      <w:bookmarkStart w:id="11" w:name="_Toc215776369"/>
      <w:bookmarkEnd w:id="10"/>
      <w:r w:rsidRPr="00C75E8F">
        <w:rPr>
          <w:lang w:val="en-GB"/>
        </w:rPr>
        <w:t>3.1 Key Stakeholder Groups and Their Importance</w:t>
      </w:r>
      <w:bookmarkEnd w:id="11"/>
    </w:p>
    <w:tbl>
      <w:tblPr>
        <w:tblStyle w:val="a2"/>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777"/>
        <w:gridCol w:w="1033"/>
        <w:gridCol w:w="5550"/>
      </w:tblGrid>
      <w:tr w:rsidR="00401A33" w:rsidRPr="00C75E8F" w14:paraId="2BD665FB" w14:textId="77777777" w:rsidTr="00FD6FA4">
        <w:trPr>
          <w:trHeight w:val="515"/>
        </w:trPr>
        <w:tc>
          <w:tcPr>
            <w:tcW w:w="2777"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08737C20"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Stakeholder Group</w:t>
            </w:r>
          </w:p>
        </w:tc>
        <w:tc>
          <w:tcPr>
            <w:tcW w:w="1033"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516D90CB"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Type</w:t>
            </w:r>
          </w:p>
        </w:tc>
        <w:tc>
          <w:tcPr>
            <w:tcW w:w="5549"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7358AC49"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Importance to the Project (Critical Rationale)</w:t>
            </w:r>
          </w:p>
        </w:tc>
      </w:tr>
      <w:tr w:rsidR="00401A33" w:rsidRPr="00C75E8F" w14:paraId="2A8219BA" w14:textId="77777777">
        <w:trPr>
          <w:trHeight w:val="800"/>
        </w:trPr>
        <w:tc>
          <w:tcPr>
            <w:tcW w:w="27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131298"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Executive Leadership</w:t>
            </w:r>
          </w:p>
        </w:tc>
        <w:tc>
          <w:tcPr>
            <w:tcW w:w="10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BD24D8"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Internal</w:t>
            </w:r>
          </w:p>
        </w:tc>
        <w:tc>
          <w:tcPr>
            <w:tcW w:w="554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3B1ADB"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Provides strategic oversight and resource allocation; misalignment may delay launch.</w:t>
            </w:r>
          </w:p>
        </w:tc>
      </w:tr>
      <w:tr w:rsidR="00401A33" w:rsidRPr="00C75E8F" w14:paraId="59591FE4" w14:textId="77777777">
        <w:trPr>
          <w:trHeight w:val="800"/>
        </w:trPr>
        <w:tc>
          <w:tcPr>
            <w:tcW w:w="27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21CA10"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Project Management Team</w:t>
            </w:r>
          </w:p>
        </w:tc>
        <w:tc>
          <w:tcPr>
            <w:tcW w:w="10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51AB52"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Internal</w:t>
            </w:r>
          </w:p>
        </w:tc>
        <w:tc>
          <w:tcPr>
            <w:tcW w:w="554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2624A8"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Responsible for coordination and execution; ineffective coordination leads to operational bottlenecks.</w:t>
            </w:r>
          </w:p>
        </w:tc>
      </w:tr>
      <w:tr w:rsidR="00401A33" w:rsidRPr="00C75E8F" w14:paraId="5B5B557A" w14:textId="77777777">
        <w:trPr>
          <w:trHeight w:val="800"/>
        </w:trPr>
        <w:tc>
          <w:tcPr>
            <w:tcW w:w="27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294605"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Product Development &amp; Engineering</w:t>
            </w:r>
          </w:p>
        </w:tc>
        <w:tc>
          <w:tcPr>
            <w:tcW w:w="10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6FFFA4"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Internal</w:t>
            </w:r>
          </w:p>
        </w:tc>
        <w:tc>
          <w:tcPr>
            <w:tcW w:w="554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AEF78B"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Ensures device safety and functionality; technical failures damage credibility.</w:t>
            </w:r>
          </w:p>
        </w:tc>
      </w:tr>
      <w:tr w:rsidR="00401A33" w:rsidRPr="00C75E8F" w14:paraId="0697F721" w14:textId="77777777">
        <w:trPr>
          <w:trHeight w:val="800"/>
        </w:trPr>
        <w:tc>
          <w:tcPr>
            <w:tcW w:w="27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EB1C2F"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Quality and Regulatory Affairs</w:t>
            </w:r>
          </w:p>
        </w:tc>
        <w:tc>
          <w:tcPr>
            <w:tcW w:w="10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A52260"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Internal</w:t>
            </w:r>
          </w:p>
        </w:tc>
        <w:tc>
          <w:tcPr>
            <w:tcW w:w="554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24748B"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Ensures compliance with medical device standards; errors can cause legal penalties and lead to withdrawal.</w:t>
            </w:r>
          </w:p>
        </w:tc>
      </w:tr>
      <w:tr w:rsidR="00401A33" w:rsidRPr="00C75E8F" w14:paraId="5ABD537D" w14:textId="77777777">
        <w:trPr>
          <w:trHeight w:val="800"/>
        </w:trPr>
        <w:tc>
          <w:tcPr>
            <w:tcW w:w="27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F05F91"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Clinical Partners (NHS clinicians)</w:t>
            </w:r>
          </w:p>
        </w:tc>
        <w:tc>
          <w:tcPr>
            <w:tcW w:w="10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8F0875"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External</w:t>
            </w:r>
          </w:p>
        </w:tc>
        <w:tc>
          <w:tcPr>
            <w:tcW w:w="554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442E9F"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Validate clinical effectiveness; lack of trust prevents adoption and reimbursement.</w:t>
            </w:r>
          </w:p>
        </w:tc>
      </w:tr>
      <w:tr w:rsidR="00401A33" w:rsidRPr="00C75E8F" w14:paraId="0730B518" w14:textId="77777777">
        <w:trPr>
          <w:trHeight w:val="800"/>
        </w:trPr>
        <w:tc>
          <w:tcPr>
            <w:tcW w:w="27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38D86C"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lastRenderedPageBreak/>
              <w:t>Patients and Caregivers</w:t>
            </w:r>
          </w:p>
        </w:tc>
        <w:tc>
          <w:tcPr>
            <w:tcW w:w="10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D3844C"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External</w:t>
            </w:r>
          </w:p>
        </w:tc>
        <w:tc>
          <w:tcPr>
            <w:tcW w:w="554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72204"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Ultimate end-users; dissatisfaction leads to low utilisation and poor health outcomes.</w:t>
            </w:r>
          </w:p>
        </w:tc>
      </w:tr>
      <w:tr w:rsidR="00401A33" w:rsidRPr="00C75E8F" w14:paraId="1BBB197D" w14:textId="77777777">
        <w:trPr>
          <w:trHeight w:val="800"/>
        </w:trPr>
        <w:tc>
          <w:tcPr>
            <w:tcW w:w="27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A011B0"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Technology Suppliers</w:t>
            </w:r>
          </w:p>
        </w:tc>
        <w:tc>
          <w:tcPr>
            <w:tcW w:w="10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D38115"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External</w:t>
            </w:r>
          </w:p>
        </w:tc>
        <w:tc>
          <w:tcPr>
            <w:tcW w:w="554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0BA4B9"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Deliver hardware components; supply variability jeopardises deadlines and quality.</w:t>
            </w:r>
          </w:p>
        </w:tc>
      </w:tr>
      <w:tr w:rsidR="00401A33" w:rsidRPr="00C75E8F" w14:paraId="5D23CBD3" w14:textId="77777777">
        <w:trPr>
          <w:trHeight w:val="800"/>
        </w:trPr>
        <w:tc>
          <w:tcPr>
            <w:tcW w:w="27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CD9770"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Data Security &amp; IT Infrastructure Providers</w:t>
            </w:r>
          </w:p>
        </w:tc>
        <w:tc>
          <w:tcPr>
            <w:tcW w:w="10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37AB62"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External</w:t>
            </w:r>
          </w:p>
        </w:tc>
        <w:tc>
          <w:tcPr>
            <w:tcW w:w="554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B6A6A5"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Protect sensitive patient data; breaches could permanently damage brand reputation.</w:t>
            </w:r>
          </w:p>
        </w:tc>
      </w:tr>
      <w:tr w:rsidR="00401A33" w:rsidRPr="00C75E8F" w14:paraId="61609BDD" w14:textId="77777777">
        <w:trPr>
          <w:trHeight w:val="800"/>
        </w:trPr>
        <w:tc>
          <w:tcPr>
            <w:tcW w:w="27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4F4D39"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Marketing and Sales Teams</w:t>
            </w:r>
          </w:p>
        </w:tc>
        <w:tc>
          <w:tcPr>
            <w:tcW w:w="10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5248F2"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Internal</w:t>
            </w:r>
          </w:p>
        </w:tc>
        <w:tc>
          <w:tcPr>
            <w:tcW w:w="554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C51918"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Drive adoption across healthcare providers; weak messaging leads to market failure.</w:t>
            </w:r>
          </w:p>
        </w:tc>
      </w:tr>
      <w:tr w:rsidR="00401A33" w:rsidRPr="00C75E8F" w14:paraId="1C518072" w14:textId="77777777">
        <w:trPr>
          <w:trHeight w:val="800"/>
        </w:trPr>
        <w:tc>
          <w:tcPr>
            <w:tcW w:w="27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484793"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Regulators (e.g., MHRA)</w:t>
            </w:r>
          </w:p>
        </w:tc>
        <w:tc>
          <w:tcPr>
            <w:tcW w:w="10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EEA786"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External</w:t>
            </w:r>
          </w:p>
        </w:tc>
        <w:tc>
          <w:tcPr>
            <w:tcW w:w="554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9D8059"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Authorisation gatekeepers; delays increase costs and project risk exposure.</w:t>
            </w:r>
          </w:p>
        </w:tc>
      </w:tr>
    </w:tbl>
    <w:p w14:paraId="7DB94C09" w14:textId="77777777" w:rsidR="00401A33" w:rsidRPr="00C75E8F" w:rsidRDefault="00401A33" w:rsidP="00FD6FA4">
      <w:pPr>
        <w:spacing w:line="360" w:lineRule="auto"/>
        <w:jc w:val="both"/>
        <w:rPr>
          <w:rFonts w:ascii="Times New Roman" w:eastAsia="Times New Roman" w:hAnsi="Times New Roman" w:cs="Times New Roman"/>
          <w:sz w:val="24"/>
          <w:szCs w:val="24"/>
          <w:lang w:val="en-GB"/>
        </w:rPr>
      </w:pPr>
    </w:p>
    <w:p w14:paraId="48A6DF11" w14:textId="77777777" w:rsidR="00581A20" w:rsidRPr="00C75E8F" w:rsidRDefault="00581A20"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Table 3: Key Stakeholder Groups and Their Importance</w:t>
      </w:r>
    </w:p>
    <w:p w14:paraId="44C87B4C"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(Source: Curated by author)</w:t>
      </w:r>
    </w:p>
    <w:p w14:paraId="5A2EF091" w14:textId="77777777" w:rsidR="00401A33" w:rsidRPr="00C75E8F" w:rsidRDefault="00EC6766" w:rsidP="00FD6FA4">
      <w:pPr>
        <w:spacing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This category draws attention to the fact that even though internal stakeholders have strong operational influence, other stakeholders, in particular, the regulators, patients, and clinical partners, have disproportional power over the overall success of the launch. Watson (2024) clarifies that the adoption of technology in healthcare, in contrast to the consumer technology markets, depends on trust, safety, and clinical integration; that is, the views of users and clinicians should be prioritised.</w:t>
      </w:r>
    </w:p>
    <w:p w14:paraId="55CFE256" w14:textId="77777777" w:rsidR="00401A33" w:rsidRPr="00C75E8F" w:rsidRDefault="00EC6766" w:rsidP="00FD6FA4">
      <w:pPr>
        <w:spacing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lastRenderedPageBreak/>
        <w:t>Furthermore, the existing dependence on suppliers increases the risks: any failure in quality or delivery schedules can be transferred into failure in compliance and reputational loss. Constant and early participation is then required to minimise the uncertainty and conflict.</w:t>
      </w:r>
    </w:p>
    <w:p w14:paraId="232ADA28" w14:textId="77777777" w:rsidR="00401A33" w:rsidRPr="00C75E8F" w:rsidRDefault="00401A33" w:rsidP="00FD6FA4">
      <w:pPr>
        <w:spacing w:line="360" w:lineRule="auto"/>
        <w:jc w:val="both"/>
        <w:rPr>
          <w:rFonts w:ascii="Times New Roman" w:eastAsia="Times New Roman" w:hAnsi="Times New Roman" w:cs="Times New Roman"/>
          <w:sz w:val="24"/>
          <w:szCs w:val="24"/>
          <w:lang w:val="en-GB"/>
        </w:rPr>
      </w:pPr>
    </w:p>
    <w:p w14:paraId="3DFFED00" w14:textId="77777777" w:rsidR="00401A33" w:rsidRPr="00C75E8F" w:rsidRDefault="00401A33" w:rsidP="00FD6FA4">
      <w:pPr>
        <w:spacing w:line="360" w:lineRule="auto"/>
        <w:jc w:val="both"/>
        <w:rPr>
          <w:rFonts w:ascii="Times New Roman" w:eastAsia="Times New Roman" w:hAnsi="Times New Roman" w:cs="Times New Roman"/>
          <w:sz w:val="24"/>
          <w:szCs w:val="24"/>
          <w:lang w:val="en-GB"/>
        </w:rPr>
      </w:pPr>
    </w:p>
    <w:p w14:paraId="1E33E2E2" w14:textId="77777777" w:rsidR="00401A33" w:rsidRPr="00C75E8F" w:rsidRDefault="00EC6766" w:rsidP="00FD6FA4">
      <w:pPr>
        <w:pStyle w:val="Heading1"/>
        <w:rPr>
          <w:lang w:val="en-GB"/>
        </w:rPr>
      </w:pPr>
      <w:bookmarkStart w:id="12" w:name="_6fe3lj7f50m0" w:colFirst="0" w:colLast="0"/>
      <w:bookmarkStart w:id="13" w:name="_Toc215776370"/>
      <w:bookmarkEnd w:id="12"/>
      <w:r w:rsidRPr="00C75E8F">
        <w:rPr>
          <w:lang w:val="en-GB"/>
        </w:rPr>
        <w:t>4.0 Roles, Responsibilities, Benefits, and Challenges of Key Stakeholders.</w:t>
      </w:r>
      <w:bookmarkEnd w:id="13"/>
    </w:p>
    <w:p w14:paraId="4793AF53" w14:textId="77777777" w:rsidR="00401A33" w:rsidRPr="00C75E8F" w:rsidRDefault="00EC6766" w:rsidP="00FD6FA4">
      <w:pPr>
        <w:spacing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The successful implementation of this healthcare project is determined by the quality of the strategic understanding and integration of the specifics of roles and expectations of each stakeholder group (Kehinde, 2024). This healthcare device setting inherently creates role-based interdependencies, in which a lack of coordination or incompatible priorities may increase the project risks (</w:t>
      </w:r>
      <w:proofErr w:type="spellStart"/>
      <w:r w:rsidRPr="00C75E8F">
        <w:rPr>
          <w:rFonts w:ascii="Times New Roman" w:eastAsia="Times New Roman" w:hAnsi="Times New Roman" w:cs="Times New Roman"/>
          <w:sz w:val="24"/>
          <w:szCs w:val="24"/>
          <w:lang w:val="en-GB"/>
        </w:rPr>
        <w:t>Gbabo</w:t>
      </w:r>
      <w:proofErr w:type="spellEnd"/>
      <w:r w:rsidRPr="00C75E8F">
        <w:rPr>
          <w:rFonts w:ascii="Times New Roman" w:eastAsia="Times New Roman" w:hAnsi="Times New Roman" w:cs="Times New Roman"/>
          <w:sz w:val="24"/>
          <w:szCs w:val="24"/>
          <w:lang w:val="en-GB"/>
        </w:rPr>
        <w:t xml:space="preserve"> et al., 2024). These dynamics are summarised in a tabular form as shown below.</w:t>
      </w:r>
    </w:p>
    <w:p w14:paraId="07B9D7FA" w14:textId="77777777" w:rsidR="00401A33" w:rsidRPr="00C75E8F" w:rsidRDefault="00401A33" w:rsidP="00FD6FA4">
      <w:pPr>
        <w:spacing w:line="360" w:lineRule="auto"/>
        <w:jc w:val="both"/>
        <w:rPr>
          <w:rFonts w:ascii="Times New Roman" w:eastAsia="Times New Roman" w:hAnsi="Times New Roman" w:cs="Times New Roman"/>
          <w:sz w:val="24"/>
          <w:szCs w:val="24"/>
          <w:lang w:val="en-GB"/>
        </w:rPr>
      </w:pPr>
    </w:p>
    <w:p w14:paraId="7F9F369B" w14:textId="77777777" w:rsidR="00401A33" w:rsidRPr="00C75E8F" w:rsidRDefault="00EC6766" w:rsidP="00FD6FA4">
      <w:pPr>
        <w:pStyle w:val="Heading2"/>
        <w:rPr>
          <w:color w:val="000000"/>
          <w:lang w:val="en-GB"/>
        </w:rPr>
      </w:pPr>
      <w:bookmarkStart w:id="14" w:name="_c2c6kz5eei6m" w:colFirst="0" w:colLast="0"/>
      <w:bookmarkStart w:id="15" w:name="_Toc215776371"/>
      <w:bookmarkEnd w:id="14"/>
      <w:r w:rsidRPr="00C75E8F">
        <w:rPr>
          <w:lang w:val="en-GB"/>
        </w:rPr>
        <w:t>4.1 Stakeholder Roles, Benefits, and Challenges</w:t>
      </w:r>
      <w:bookmarkEnd w:id="15"/>
    </w:p>
    <w:tbl>
      <w:tblPr>
        <w:tblStyle w:val="a3"/>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922"/>
        <w:gridCol w:w="2728"/>
        <w:gridCol w:w="2260"/>
        <w:gridCol w:w="2450"/>
      </w:tblGrid>
      <w:tr w:rsidR="00401A33" w:rsidRPr="00C75E8F" w14:paraId="78A8531B" w14:textId="77777777" w:rsidTr="00581A20">
        <w:trPr>
          <w:trHeight w:val="800"/>
        </w:trPr>
        <w:tc>
          <w:tcPr>
            <w:tcW w:w="1922"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19FEDFA2"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Stakeholder Group</w:t>
            </w:r>
          </w:p>
        </w:tc>
        <w:tc>
          <w:tcPr>
            <w:tcW w:w="2728"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61D5FF20"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Primary Roles &amp; Responsibilities</w:t>
            </w:r>
          </w:p>
        </w:tc>
        <w:tc>
          <w:tcPr>
            <w:tcW w:w="226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69A94E15"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Benefits They Contribute</w:t>
            </w:r>
          </w:p>
        </w:tc>
        <w:tc>
          <w:tcPr>
            <w:tcW w:w="245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1F256535"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Challenges They May Pose</w:t>
            </w:r>
          </w:p>
        </w:tc>
      </w:tr>
      <w:tr w:rsidR="00401A33" w:rsidRPr="00C75E8F" w14:paraId="7BDA3B7E" w14:textId="77777777" w:rsidTr="00581A20">
        <w:trPr>
          <w:trHeight w:val="1355"/>
        </w:trPr>
        <w:tc>
          <w:tcPr>
            <w:tcW w:w="192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891D21"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Executive Leadership</w:t>
            </w:r>
          </w:p>
        </w:tc>
        <w:tc>
          <w:tcPr>
            <w:tcW w:w="27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2F7199"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Approve budget; set strategic priorities; monitor performance (</w:t>
            </w:r>
            <w:proofErr w:type="spellStart"/>
            <w:r w:rsidRPr="00C75E8F">
              <w:rPr>
                <w:rFonts w:ascii="Times New Roman" w:eastAsia="Times New Roman" w:hAnsi="Times New Roman" w:cs="Times New Roman"/>
                <w:color w:val="222222"/>
                <w:sz w:val="24"/>
                <w:szCs w:val="24"/>
                <w:highlight w:val="white"/>
                <w:lang w:val="en-GB"/>
              </w:rPr>
              <w:t>Efunniyi</w:t>
            </w:r>
            <w:proofErr w:type="spellEnd"/>
            <w:r w:rsidRPr="00C75E8F">
              <w:rPr>
                <w:rFonts w:ascii="Times New Roman" w:eastAsia="Times New Roman" w:hAnsi="Times New Roman" w:cs="Times New Roman"/>
                <w:color w:val="222222"/>
                <w:sz w:val="24"/>
                <w:szCs w:val="24"/>
                <w:highlight w:val="white"/>
                <w:lang w:val="en-GB"/>
              </w:rPr>
              <w:t xml:space="preserve"> et al., 2024</w:t>
            </w:r>
            <w:r w:rsidRPr="00C75E8F">
              <w:rPr>
                <w:rFonts w:ascii="Times New Roman" w:eastAsia="Times New Roman" w:hAnsi="Times New Roman" w:cs="Times New Roman"/>
                <w:sz w:val="24"/>
                <w:szCs w:val="24"/>
                <w:lang w:val="en-GB"/>
              </w:rPr>
              <w:t>)</w:t>
            </w:r>
          </w:p>
        </w:tc>
        <w:tc>
          <w:tcPr>
            <w:tcW w:w="2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25E91A"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Enables resource access and organisational alignment (</w:t>
            </w:r>
            <w:proofErr w:type="spellStart"/>
            <w:r w:rsidRPr="00C75E8F">
              <w:rPr>
                <w:rFonts w:ascii="Times New Roman" w:eastAsia="Times New Roman" w:hAnsi="Times New Roman" w:cs="Times New Roman"/>
                <w:color w:val="222222"/>
                <w:sz w:val="24"/>
                <w:szCs w:val="24"/>
                <w:highlight w:val="white"/>
                <w:lang w:val="en-GB"/>
              </w:rPr>
              <w:t>Jerab</w:t>
            </w:r>
            <w:proofErr w:type="spellEnd"/>
            <w:r w:rsidRPr="00C75E8F">
              <w:rPr>
                <w:rFonts w:ascii="Times New Roman" w:eastAsia="Times New Roman" w:hAnsi="Times New Roman" w:cs="Times New Roman"/>
                <w:color w:val="222222"/>
                <w:sz w:val="24"/>
                <w:szCs w:val="24"/>
                <w:highlight w:val="white"/>
                <w:lang w:val="en-GB"/>
              </w:rPr>
              <w:t xml:space="preserve"> and Mabrouk, 2023</w:t>
            </w:r>
            <w:r w:rsidRPr="00C75E8F">
              <w:rPr>
                <w:rFonts w:ascii="Times New Roman" w:eastAsia="Times New Roman" w:hAnsi="Times New Roman" w:cs="Times New Roman"/>
                <w:sz w:val="24"/>
                <w:szCs w:val="24"/>
                <w:lang w:val="en-GB"/>
              </w:rPr>
              <w:t>)</w:t>
            </w:r>
          </w:p>
        </w:tc>
        <w:tc>
          <w:tcPr>
            <w:tcW w:w="24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6C6135"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Risk of shifting priorities, reducing continuity</w:t>
            </w:r>
          </w:p>
        </w:tc>
      </w:tr>
      <w:tr w:rsidR="00401A33" w:rsidRPr="00C75E8F" w14:paraId="36B1EE81" w14:textId="77777777" w:rsidTr="00581A20">
        <w:trPr>
          <w:trHeight w:val="1085"/>
        </w:trPr>
        <w:tc>
          <w:tcPr>
            <w:tcW w:w="192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2939BF"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Project Management Team</w:t>
            </w:r>
          </w:p>
        </w:tc>
        <w:tc>
          <w:tcPr>
            <w:tcW w:w="27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9940A9"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Coordinates tasks; manages timelines, risks, conflicts (</w:t>
            </w:r>
            <w:proofErr w:type="gramStart"/>
            <w:r w:rsidRPr="00C75E8F">
              <w:rPr>
                <w:rFonts w:ascii="Times New Roman" w:eastAsia="Times New Roman" w:hAnsi="Times New Roman" w:cs="Times New Roman"/>
                <w:color w:val="222222"/>
                <w:sz w:val="24"/>
                <w:szCs w:val="24"/>
                <w:highlight w:val="white"/>
                <w:lang w:val="en-GB"/>
              </w:rPr>
              <w:t>Kerzner,  2025</w:t>
            </w:r>
            <w:proofErr w:type="gramEnd"/>
            <w:r w:rsidRPr="00C75E8F">
              <w:rPr>
                <w:rFonts w:ascii="Times New Roman" w:eastAsia="Times New Roman" w:hAnsi="Times New Roman" w:cs="Times New Roman"/>
                <w:sz w:val="24"/>
                <w:szCs w:val="24"/>
                <w:lang w:val="en-GB"/>
              </w:rPr>
              <w:t>)</w:t>
            </w:r>
          </w:p>
        </w:tc>
        <w:tc>
          <w:tcPr>
            <w:tcW w:w="2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525901"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Maintains delivery efficiency and visibility (</w:t>
            </w:r>
            <w:r w:rsidRPr="00C75E8F">
              <w:rPr>
                <w:rFonts w:ascii="Times New Roman" w:eastAsia="Times New Roman" w:hAnsi="Times New Roman" w:cs="Times New Roman"/>
                <w:color w:val="222222"/>
                <w:sz w:val="24"/>
                <w:szCs w:val="24"/>
                <w:highlight w:val="white"/>
                <w:lang w:val="en-GB"/>
              </w:rPr>
              <w:t>Somanathan and Sureshkumar, 2023</w:t>
            </w:r>
            <w:r w:rsidRPr="00C75E8F">
              <w:rPr>
                <w:rFonts w:ascii="Times New Roman" w:eastAsia="Times New Roman" w:hAnsi="Times New Roman" w:cs="Times New Roman"/>
                <w:sz w:val="24"/>
                <w:szCs w:val="24"/>
                <w:lang w:val="en-GB"/>
              </w:rPr>
              <w:t>)</w:t>
            </w:r>
          </w:p>
        </w:tc>
        <w:tc>
          <w:tcPr>
            <w:tcW w:w="24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2D4B62"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Overstretching capacity may lead to implementation gaps</w:t>
            </w:r>
          </w:p>
        </w:tc>
      </w:tr>
      <w:tr w:rsidR="00401A33" w:rsidRPr="00C75E8F" w14:paraId="2E811D76" w14:textId="77777777" w:rsidTr="00581A20">
        <w:trPr>
          <w:trHeight w:val="1085"/>
        </w:trPr>
        <w:tc>
          <w:tcPr>
            <w:tcW w:w="192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17A719"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lastRenderedPageBreak/>
              <w:t>Product Development &amp; Engineering</w:t>
            </w:r>
          </w:p>
        </w:tc>
        <w:tc>
          <w:tcPr>
            <w:tcW w:w="27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725AED"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Product design, firmware/software build, testing</w:t>
            </w:r>
          </w:p>
        </w:tc>
        <w:tc>
          <w:tcPr>
            <w:tcW w:w="2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16FEB4"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Ensures clinical-grade device performance (</w:t>
            </w:r>
            <w:r w:rsidRPr="00C75E8F">
              <w:rPr>
                <w:rFonts w:ascii="Times New Roman" w:eastAsia="Times New Roman" w:hAnsi="Times New Roman" w:cs="Times New Roman"/>
                <w:color w:val="222222"/>
                <w:sz w:val="24"/>
                <w:szCs w:val="24"/>
                <w:highlight w:val="white"/>
                <w:lang w:val="en-GB"/>
              </w:rPr>
              <w:t>Emmanuel, 2025</w:t>
            </w:r>
            <w:r w:rsidRPr="00C75E8F">
              <w:rPr>
                <w:rFonts w:ascii="Times New Roman" w:eastAsia="Times New Roman" w:hAnsi="Times New Roman" w:cs="Times New Roman"/>
                <w:sz w:val="24"/>
                <w:szCs w:val="24"/>
                <w:lang w:val="en-GB"/>
              </w:rPr>
              <w:t>)</w:t>
            </w:r>
          </w:p>
        </w:tc>
        <w:tc>
          <w:tcPr>
            <w:tcW w:w="24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36199A"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Technical failures may delay regulatory approval</w:t>
            </w:r>
          </w:p>
        </w:tc>
      </w:tr>
      <w:tr w:rsidR="00401A33" w:rsidRPr="00C75E8F" w14:paraId="44AA2FC8" w14:textId="77777777" w:rsidTr="00581A20">
        <w:trPr>
          <w:trHeight w:val="1085"/>
        </w:trPr>
        <w:tc>
          <w:tcPr>
            <w:tcW w:w="192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53FCA7"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Regulatory Affairs</w:t>
            </w:r>
          </w:p>
        </w:tc>
        <w:tc>
          <w:tcPr>
            <w:tcW w:w="27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1062C3"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Compliance checks, documentation, and MHRA submission</w:t>
            </w:r>
          </w:p>
        </w:tc>
        <w:tc>
          <w:tcPr>
            <w:tcW w:w="2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6A9D9B6"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Prevents legal exposure and patient safety issues (</w:t>
            </w:r>
            <w:proofErr w:type="spellStart"/>
            <w:r w:rsidRPr="00C75E8F">
              <w:rPr>
                <w:rFonts w:ascii="Times New Roman" w:eastAsia="Times New Roman" w:hAnsi="Times New Roman" w:cs="Times New Roman"/>
                <w:color w:val="222222"/>
                <w:sz w:val="24"/>
                <w:szCs w:val="24"/>
                <w:highlight w:val="white"/>
                <w:lang w:val="en-GB"/>
              </w:rPr>
              <w:t>Arote</w:t>
            </w:r>
            <w:proofErr w:type="spellEnd"/>
            <w:r w:rsidRPr="00C75E8F">
              <w:rPr>
                <w:rFonts w:ascii="Times New Roman" w:eastAsia="Times New Roman" w:hAnsi="Times New Roman" w:cs="Times New Roman"/>
                <w:color w:val="222222"/>
                <w:sz w:val="24"/>
                <w:szCs w:val="24"/>
                <w:highlight w:val="white"/>
                <w:lang w:val="en-GB"/>
              </w:rPr>
              <w:t xml:space="preserve"> et al., 2023</w:t>
            </w:r>
            <w:r w:rsidRPr="00C75E8F">
              <w:rPr>
                <w:rFonts w:ascii="Times New Roman" w:eastAsia="Times New Roman" w:hAnsi="Times New Roman" w:cs="Times New Roman"/>
                <w:sz w:val="24"/>
                <w:szCs w:val="24"/>
                <w:lang w:val="en-GB"/>
              </w:rPr>
              <w:t>)</w:t>
            </w:r>
          </w:p>
        </w:tc>
        <w:tc>
          <w:tcPr>
            <w:tcW w:w="24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11F328"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High scrutiny may prolong approval cycles</w:t>
            </w:r>
          </w:p>
        </w:tc>
      </w:tr>
      <w:tr w:rsidR="00401A33" w:rsidRPr="00C75E8F" w14:paraId="3EF4E056" w14:textId="77777777" w:rsidTr="00581A20">
        <w:trPr>
          <w:trHeight w:val="1085"/>
        </w:trPr>
        <w:tc>
          <w:tcPr>
            <w:tcW w:w="192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F7D4DC"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Clinical Partners (NHS)</w:t>
            </w:r>
          </w:p>
        </w:tc>
        <w:tc>
          <w:tcPr>
            <w:tcW w:w="27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ADE784"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Clinical validation, feedback on usability and workflow</w:t>
            </w:r>
          </w:p>
        </w:tc>
        <w:tc>
          <w:tcPr>
            <w:tcW w:w="2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97ACDD"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Improves patient outcomes and adoption likelihood (</w:t>
            </w:r>
            <w:r w:rsidRPr="00C75E8F">
              <w:rPr>
                <w:rFonts w:ascii="Times New Roman" w:eastAsia="Times New Roman" w:hAnsi="Times New Roman" w:cs="Times New Roman"/>
                <w:color w:val="222222"/>
                <w:sz w:val="24"/>
                <w:szCs w:val="24"/>
                <w:highlight w:val="white"/>
                <w:lang w:val="en-GB"/>
              </w:rPr>
              <w:t>Sharma et al., 2021</w:t>
            </w:r>
            <w:r w:rsidRPr="00C75E8F">
              <w:rPr>
                <w:rFonts w:ascii="Times New Roman" w:eastAsia="Times New Roman" w:hAnsi="Times New Roman" w:cs="Times New Roman"/>
                <w:sz w:val="24"/>
                <w:szCs w:val="24"/>
                <w:lang w:val="en-GB"/>
              </w:rPr>
              <w:t>)</w:t>
            </w:r>
          </w:p>
        </w:tc>
        <w:tc>
          <w:tcPr>
            <w:tcW w:w="24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CF6224"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Resistance if device increases workload</w:t>
            </w:r>
          </w:p>
        </w:tc>
      </w:tr>
      <w:tr w:rsidR="00401A33" w:rsidRPr="00C75E8F" w14:paraId="0F9B3A74" w14:textId="77777777" w:rsidTr="00581A20">
        <w:trPr>
          <w:trHeight w:val="1085"/>
        </w:trPr>
        <w:tc>
          <w:tcPr>
            <w:tcW w:w="192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4F143D"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Patients &amp; Caregivers</w:t>
            </w:r>
          </w:p>
        </w:tc>
        <w:tc>
          <w:tcPr>
            <w:tcW w:w="27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C84F90"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Provide user experience insights; adherence behaviour (</w:t>
            </w:r>
            <w:r w:rsidRPr="00C75E8F">
              <w:rPr>
                <w:rFonts w:ascii="Times New Roman" w:eastAsia="Times New Roman" w:hAnsi="Times New Roman" w:cs="Times New Roman"/>
                <w:color w:val="222222"/>
                <w:sz w:val="24"/>
                <w:szCs w:val="24"/>
                <w:highlight w:val="white"/>
                <w:lang w:val="en-GB"/>
              </w:rPr>
              <w:t>Forma et al., 2022</w:t>
            </w:r>
            <w:r w:rsidRPr="00C75E8F">
              <w:rPr>
                <w:rFonts w:ascii="Times New Roman" w:eastAsia="Times New Roman" w:hAnsi="Times New Roman" w:cs="Times New Roman"/>
                <w:sz w:val="24"/>
                <w:szCs w:val="24"/>
                <w:lang w:val="en-GB"/>
              </w:rPr>
              <w:t>)</w:t>
            </w:r>
          </w:p>
        </w:tc>
        <w:tc>
          <w:tcPr>
            <w:tcW w:w="2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A11443"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Identify real-world issues early (</w:t>
            </w:r>
            <w:r w:rsidRPr="00C75E8F">
              <w:rPr>
                <w:rFonts w:ascii="Times New Roman" w:eastAsia="Times New Roman" w:hAnsi="Times New Roman" w:cs="Times New Roman"/>
                <w:color w:val="222222"/>
                <w:sz w:val="24"/>
                <w:szCs w:val="24"/>
                <w:highlight w:val="white"/>
                <w:lang w:val="en-GB"/>
              </w:rPr>
              <w:t>Zapata et al., 2023</w:t>
            </w:r>
            <w:r w:rsidRPr="00C75E8F">
              <w:rPr>
                <w:rFonts w:ascii="Times New Roman" w:eastAsia="Times New Roman" w:hAnsi="Times New Roman" w:cs="Times New Roman"/>
                <w:sz w:val="24"/>
                <w:szCs w:val="24"/>
                <w:lang w:val="en-GB"/>
              </w:rPr>
              <w:t>)</w:t>
            </w:r>
          </w:p>
        </w:tc>
        <w:tc>
          <w:tcPr>
            <w:tcW w:w="24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933D16"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Low engagement leads to limited utilisation</w:t>
            </w:r>
          </w:p>
        </w:tc>
      </w:tr>
      <w:tr w:rsidR="00401A33" w:rsidRPr="00C75E8F" w14:paraId="1B2745B9" w14:textId="77777777" w:rsidTr="00581A20">
        <w:trPr>
          <w:trHeight w:val="800"/>
        </w:trPr>
        <w:tc>
          <w:tcPr>
            <w:tcW w:w="192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1E363A"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Technology Suppliers</w:t>
            </w:r>
          </w:p>
        </w:tc>
        <w:tc>
          <w:tcPr>
            <w:tcW w:w="27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1330DB"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Provide sensors and core hardware (</w:t>
            </w:r>
            <w:r w:rsidRPr="00C75E8F">
              <w:rPr>
                <w:rFonts w:ascii="Times New Roman" w:eastAsia="Times New Roman" w:hAnsi="Times New Roman" w:cs="Times New Roman"/>
                <w:color w:val="222222"/>
                <w:sz w:val="24"/>
                <w:szCs w:val="24"/>
                <w:highlight w:val="white"/>
                <w:lang w:val="en-GB"/>
              </w:rPr>
              <w:t>Lynch et al., 2022</w:t>
            </w:r>
            <w:r w:rsidRPr="00C75E8F">
              <w:rPr>
                <w:rFonts w:ascii="Times New Roman" w:eastAsia="Times New Roman" w:hAnsi="Times New Roman" w:cs="Times New Roman"/>
                <w:sz w:val="24"/>
                <w:szCs w:val="24"/>
                <w:lang w:val="en-GB"/>
              </w:rPr>
              <w:t>)</w:t>
            </w:r>
          </w:p>
        </w:tc>
        <w:tc>
          <w:tcPr>
            <w:tcW w:w="2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45F69B"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Support innovation and speed to market</w:t>
            </w:r>
          </w:p>
        </w:tc>
        <w:tc>
          <w:tcPr>
            <w:tcW w:w="24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12893B" w14:textId="647FD8A5"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Supply chain instability disrupts deadlines (</w:t>
            </w:r>
            <w:r w:rsidR="00C75E8F" w:rsidRPr="00C75E8F">
              <w:rPr>
                <w:rFonts w:ascii="Times New Roman" w:eastAsia="Times New Roman" w:hAnsi="Times New Roman" w:cs="Times New Roman"/>
                <w:color w:val="222222"/>
                <w:sz w:val="24"/>
                <w:szCs w:val="24"/>
                <w:highlight w:val="white"/>
                <w:lang w:val="en-GB"/>
              </w:rPr>
              <w:t>Kanike, 2023</w:t>
            </w:r>
            <w:r w:rsidRPr="00C75E8F">
              <w:rPr>
                <w:rFonts w:ascii="Times New Roman" w:eastAsia="Times New Roman" w:hAnsi="Times New Roman" w:cs="Times New Roman"/>
                <w:sz w:val="24"/>
                <w:szCs w:val="24"/>
                <w:lang w:val="en-GB"/>
              </w:rPr>
              <w:t>)</w:t>
            </w:r>
          </w:p>
        </w:tc>
      </w:tr>
      <w:tr w:rsidR="00401A33" w:rsidRPr="00C75E8F" w14:paraId="627A806F" w14:textId="77777777" w:rsidTr="00581A20">
        <w:trPr>
          <w:trHeight w:val="1085"/>
        </w:trPr>
        <w:tc>
          <w:tcPr>
            <w:tcW w:w="192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AA80E7"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lastRenderedPageBreak/>
              <w:t>Data Security Teams</w:t>
            </w:r>
          </w:p>
        </w:tc>
        <w:tc>
          <w:tcPr>
            <w:tcW w:w="27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200EAF"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Secure infrastructure, privacy compliance (</w:t>
            </w:r>
            <w:r w:rsidRPr="00C75E8F">
              <w:rPr>
                <w:rFonts w:ascii="Times New Roman" w:eastAsia="Times New Roman" w:hAnsi="Times New Roman" w:cs="Times New Roman"/>
                <w:color w:val="222222"/>
                <w:sz w:val="24"/>
                <w:szCs w:val="24"/>
                <w:highlight w:val="white"/>
                <w:lang w:val="en-GB"/>
              </w:rPr>
              <w:t>Aslam et al., 2022</w:t>
            </w:r>
            <w:r w:rsidRPr="00C75E8F">
              <w:rPr>
                <w:rFonts w:ascii="Times New Roman" w:eastAsia="Times New Roman" w:hAnsi="Times New Roman" w:cs="Times New Roman"/>
                <w:sz w:val="24"/>
                <w:szCs w:val="24"/>
                <w:lang w:val="en-GB"/>
              </w:rPr>
              <w:t>)</w:t>
            </w:r>
          </w:p>
        </w:tc>
        <w:tc>
          <w:tcPr>
            <w:tcW w:w="2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E03794"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Builds public trust in digital health (</w:t>
            </w:r>
            <w:proofErr w:type="spellStart"/>
            <w:r w:rsidRPr="00C75E8F">
              <w:rPr>
                <w:rFonts w:ascii="Times New Roman" w:eastAsia="Times New Roman" w:hAnsi="Times New Roman" w:cs="Times New Roman"/>
                <w:color w:val="222222"/>
                <w:sz w:val="24"/>
                <w:szCs w:val="24"/>
                <w:highlight w:val="white"/>
                <w:lang w:val="en-GB"/>
              </w:rPr>
              <w:t>AlKnawy</w:t>
            </w:r>
            <w:proofErr w:type="spellEnd"/>
            <w:r w:rsidRPr="00C75E8F">
              <w:rPr>
                <w:rFonts w:ascii="Times New Roman" w:eastAsia="Times New Roman" w:hAnsi="Times New Roman" w:cs="Times New Roman"/>
                <w:color w:val="222222"/>
                <w:sz w:val="24"/>
                <w:szCs w:val="24"/>
                <w:highlight w:val="white"/>
                <w:lang w:val="en-GB"/>
              </w:rPr>
              <w:t xml:space="preserve"> et al., 2023</w:t>
            </w:r>
            <w:r w:rsidRPr="00C75E8F">
              <w:rPr>
                <w:rFonts w:ascii="Times New Roman" w:eastAsia="Times New Roman" w:hAnsi="Times New Roman" w:cs="Times New Roman"/>
                <w:sz w:val="24"/>
                <w:szCs w:val="24"/>
                <w:lang w:val="en-GB"/>
              </w:rPr>
              <w:t>)</w:t>
            </w:r>
          </w:p>
        </w:tc>
        <w:tc>
          <w:tcPr>
            <w:tcW w:w="24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C0E0BC"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Breaches could destroy credibility instantaneously</w:t>
            </w:r>
          </w:p>
        </w:tc>
      </w:tr>
      <w:tr w:rsidR="00401A33" w:rsidRPr="00C75E8F" w14:paraId="7EADF390" w14:textId="77777777" w:rsidTr="00581A20">
        <w:trPr>
          <w:trHeight w:val="1085"/>
        </w:trPr>
        <w:tc>
          <w:tcPr>
            <w:tcW w:w="192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9E10FF"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Marketing &amp; Sales Teams</w:t>
            </w:r>
          </w:p>
        </w:tc>
        <w:tc>
          <w:tcPr>
            <w:tcW w:w="27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FEC4FB"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Launch communication, pricing, and customer onboarding (</w:t>
            </w:r>
            <w:r w:rsidRPr="00C75E8F">
              <w:rPr>
                <w:rFonts w:ascii="Times New Roman" w:eastAsia="Times New Roman" w:hAnsi="Times New Roman" w:cs="Times New Roman"/>
                <w:color w:val="222222"/>
                <w:sz w:val="24"/>
                <w:szCs w:val="24"/>
                <w:highlight w:val="white"/>
                <w:lang w:val="en-GB"/>
              </w:rPr>
              <w:t>Niemi, 2024</w:t>
            </w:r>
            <w:r w:rsidRPr="00C75E8F">
              <w:rPr>
                <w:rFonts w:ascii="Times New Roman" w:eastAsia="Times New Roman" w:hAnsi="Times New Roman" w:cs="Times New Roman"/>
                <w:sz w:val="24"/>
                <w:szCs w:val="24"/>
                <w:lang w:val="en-GB"/>
              </w:rPr>
              <w:t>)</w:t>
            </w:r>
          </w:p>
        </w:tc>
        <w:tc>
          <w:tcPr>
            <w:tcW w:w="2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D78975"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Drives uptake and revenue growth</w:t>
            </w:r>
          </w:p>
        </w:tc>
        <w:tc>
          <w:tcPr>
            <w:tcW w:w="24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C110C9"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Poor messaging undermines clinical value proposition</w:t>
            </w:r>
          </w:p>
        </w:tc>
      </w:tr>
      <w:tr w:rsidR="00401A33" w:rsidRPr="00C75E8F" w14:paraId="512D02CF" w14:textId="77777777" w:rsidTr="00581A20">
        <w:trPr>
          <w:trHeight w:val="1085"/>
        </w:trPr>
        <w:tc>
          <w:tcPr>
            <w:tcW w:w="192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65E7F3"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Regulators (MHRA)</w:t>
            </w:r>
          </w:p>
        </w:tc>
        <w:tc>
          <w:tcPr>
            <w:tcW w:w="272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80533B"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Certification, periodic review, risk monitoring</w:t>
            </w:r>
          </w:p>
        </w:tc>
        <w:tc>
          <w:tcPr>
            <w:tcW w:w="2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05E550"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Ensures market legitimacy and ethical practices (</w:t>
            </w:r>
            <w:proofErr w:type="spellStart"/>
            <w:r w:rsidRPr="00C75E8F">
              <w:rPr>
                <w:rFonts w:ascii="Times New Roman" w:eastAsia="Times New Roman" w:hAnsi="Times New Roman" w:cs="Times New Roman"/>
                <w:color w:val="222222"/>
                <w:sz w:val="24"/>
                <w:szCs w:val="24"/>
                <w:highlight w:val="white"/>
                <w:lang w:val="en-GB"/>
              </w:rPr>
              <w:t>Arote</w:t>
            </w:r>
            <w:proofErr w:type="spellEnd"/>
            <w:r w:rsidRPr="00C75E8F">
              <w:rPr>
                <w:rFonts w:ascii="Times New Roman" w:eastAsia="Times New Roman" w:hAnsi="Times New Roman" w:cs="Times New Roman"/>
                <w:color w:val="222222"/>
                <w:sz w:val="24"/>
                <w:szCs w:val="24"/>
                <w:highlight w:val="white"/>
                <w:lang w:val="en-GB"/>
              </w:rPr>
              <w:t xml:space="preserve"> et al., 2023</w:t>
            </w:r>
            <w:r w:rsidRPr="00C75E8F">
              <w:rPr>
                <w:rFonts w:ascii="Times New Roman" w:eastAsia="Times New Roman" w:hAnsi="Times New Roman" w:cs="Times New Roman"/>
                <w:sz w:val="24"/>
                <w:szCs w:val="24"/>
                <w:lang w:val="en-GB"/>
              </w:rPr>
              <w:t>)</w:t>
            </w:r>
          </w:p>
        </w:tc>
        <w:tc>
          <w:tcPr>
            <w:tcW w:w="24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3AF099"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May impose stringent product modifications late-stage</w:t>
            </w:r>
          </w:p>
        </w:tc>
      </w:tr>
    </w:tbl>
    <w:p w14:paraId="46D1A840" w14:textId="77777777" w:rsidR="00581A20" w:rsidRPr="00C75E8F" w:rsidRDefault="00581A20"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Table 4: Stakeholder Roles, Benefits and Challenges</w:t>
      </w:r>
    </w:p>
    <w:p w14:paraId="74306C0C"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(Source: Curated by author)</w:t>
      </w:r>
    </w:p>
    <w:p w14:paraId="3096A1F5" w14:textId="5FC76008"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The stakeholder role analysis demonstrates that every group will add different types of value to the project, provided that certain friction may arise, which can only be averted by taking proactive measures. Indicatively, technical innovation can be advocated by engineering teams, but they may not be aligned with regulatory teams that are concerned with documentation and risk control, which, in the absence of alignment mechanisms, they introduce delays</w:t>
      </w:r>
      <w:r w:rsidR="00C75E8F">
        <w:rPr>
          <w:rFonts w:ascii="Times New Roman" w:eastAsia="Times New Roman" w:hAnsi="Times New Roman" w:cs="Times New Roman"/>
          <w:sz w:val="24"/>
          <w:szCs w:val="24"/>
          <w:lang w:val="en-GB"/>
        </w:rPr>
        <w:t xml:space="preserve"> </w:t>
      </w:r>
      <w:r w:rsidRPr="00C75E8F">
        <w:rPr>
          <w:rFonts w:ascii="Times New Roman" w:eastAsia="Times New Roman" w:hAnsi="Times New Roman" w:cs="Times New Roman"/>
          <w:sz w:val="24"/>
          <w:szCs w:val="24"/>
          <w:lang w:val="en-GB"/>
        </w:rPr>
        <w:t xml:space="preserve">(El Arab et al., 2025). Patients provide insights about usability and adherence, the final key to product success, but this input is conditional on the long-term engagement that is notoriously difficult in the long-term monitoring setting. Suppliers facilitate scalability, but, at the same time, they are an external dependency that lowers control over lead time and quality. </w:t>
      </w:r>
    </w:p>
    <w:p w14:paraId="1DD00DC6" w14:textId="77777777" w:rsidR="00401A33" w:rsidRPr="00C75E8F" w:rsidRDefault="00EC6766" w:rsidP="00FD6FA4">
      <w:pPr>
        <w:pStyle w:val="Heading2"/>
        <w:spacing w:before="240" w:after="240"/>
        <w:rPr>
          <w:lang w:val="en-GB"/>
        </w:rPr>
      </w:pPr>
      <w:bookmarkStart w:id="16" w:name="_irvye9un7c4v" w:colFirst="0" w:colLast="0"/>
      <w:bookmarkStart w:id="17" w:name="_Toc215776372"/>
      <w:bookmarkEnd w:id="16"/>
      <w:r w:rsidRPr="00C75E8F">
        <w:rPr>
          <w:lang w:val="en-GB"/>
        </w:rPr>
        <w:lastRenderedPageBreak/>
        <w:t>4.2 RACI Matrix on the Major Project Activities.</w:t>
      </w:r>
      <w:bookmarkEnd w:id="17"/>
    </w:p>
    <w:p w14:paraId="51AD14C5" w14:textId="77777777" w:rsidR="00401A33" w:rsidRPr="00C75E8F" w:rsidRDefault="00401A33" w:rsidP="00FD6FA4">
      <w:pPr>
        <w:pStyle w:val="Heading3"/>
        <w:keepNext w:val="0"/>
        <w:keepLines w:val="0"/>
        <w:spacing w:before="280" w:line="360" w:lineRule="auto"/>
        <w:jc w:val="both"/>
        <w:rPr>
          <w:rFonts w:ascii="Times New Roman" w:eastAsia="Times New Roman" w:hAnsi="Times New Roman" w:cs="Times New Roman"/>
          <w:b/>
          <w:bCs/>
          <w:color w:val="000000"/>
          <w:sz w:val="24"/>
          <w:szCs w:val="24"/>
          <w:lang w:val="en-GB"/>
        </w:rPr>
      </w:pPr>
      <w:bookmarkStart w:id="18" w:name="_hguzzaj2pu50" w:colFirst="0" w:colLast="0"/>
      <w:bookmarkEnd w:id="18"/>
    </w:p>
    <w:tbl>
      <w:tblPr>
        <w:tblStyle w:val="a4"/>
        <w:tblW w:w="9359"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80"/>
        <w:gridCol w:w="1294"/>
        <w:gridCol w:w="737"/>
        <w:gridCol w:w="1348"/>
        <w:gridCol w:w="1063"/>
        <w:gridCol w:w="1090"/>
        <w:gridCol w:w="1293"/>
        <w:gridCol w:w="954"/>
      </w:tblGrid>
      <w:tr w:rsidR="00401A33" w:rsidRPr="00C75E8F" w14:paraId="6B395324" w14:textId="77777777" w:rsidTr="00581A20">
        <w:trPr>
          <w:trHeight w:val="800"/>
        </w:trPr>
        <w:tc>
          <w:tcPr>
            <w:tcW w:w="158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7802B5B9"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Activity</w:t>
            </w:r>
          </w:p>
        </w:tc>
        <w:tc>
          <w:tcPr>
            <w:tcW w:w="1294"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1B026ECC"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Exec Leadership</w:t>
            </w:r>
          </w:p>
        </w:tc>
        <w:tc>
          <w:tcPr>
            <w:tcW w:w="737"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476153DD"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PM Team</w:t>
            </w:r>
          </w:p>
        </w:tc>
        <w:tc>
          <w:tcPr>
            <w:tcW w:w="1348"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7BDB1142"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Engineering</w:t>
            </w:r>
          </w:p>
        </w:tc>
        <w:tc>
          <w:tcPr>
            <w:tcW w:w="1063"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1E321839"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Clinical Partners</w:t>
            </w:r>
          </w:p>
        </w:tc>
        <w:tc>
          <w:tcPr>
            <w:tcW w:w="109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02D8174E"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Suppliers</w:t>
            </w:r>
          </w:p>
        </w:tc>
        <w:tc>
          <w:tcPr>
            <w:tcW w:w="1293"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3702C196"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Regulatory Affairs</w:t>
            </w:r>
          </w:p>
        </w:tc>
        <w:tc>
          <w:tcPr>
            <w:tcW w:w="954"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7FC95E73"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Patients</w:t>
            </w:r>
          </w:p>
        </w:tc>
      </w:tr>
      <w:tr w:rsidR="00401A33" w:rsidRPr="00C75E8F" w14:paraId="57C5A0D3" w14:textId="77777777" w:rsidTr="00581A20">
        <w:trPr>
          <w:trHeight w:val="800"/>
        </w:trPr>
        <w:tc>
          <w:tcPr>
            <w:tcW w:w="1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137858A"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Requirements definition</w:t>
            </w:r>
          </w:p>
        </w:tc>
        <w:tc>
          <w:tcPr>
            <w:tcW w:w="12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0AC38C"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w:t>
            </w:r>
          </w:p>
        </w:tc>
        <w:tc>
          <w:tcPr>
            <w:tcW w:w="7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FC7F1E"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A</w:t>
            </w:r>
          </w:p>
        </w:tc>
        <w:tc>
          <w:tcPr>
            <w:tcW w:w="134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6A570A6"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R</w:t>
            </w:r>
          </w:p>
        </w:tc>
        <w:tc>
          <w:tcPr>
            <w:tcW w:w="10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DF6679"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w:t>
            </w:r>
          </w:p>
        </w:tc>
        <w:tc>
          <w:tcPr>
            <w:tcW w:w="10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6B0573"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I</w:t>
            </w:r>
          </w:p>
        </w:tc>
        <w:tc>
          <w:tcPr>
            <w:tcW w:w="129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BCF048"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I</w:t>
            </w:r>
          </w:p>
        </w:tc>
        <w:tc>
          <w:tcPr>
            <w:tcW w:w="9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5ADC64"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w:t>
            </w:r>
          </w:p>
        </w:tc>
      </w:tr>
      <w:tr w:rsidR="00401A33" w:rsidRPr="00C75E8F" w14:paraId="2AFE3C1E" w14:textId="77777777" w:rsidTr="00581A20">
        <w:trPr>
          <w:trHeight w:val="800"/>
        </w:trPr>
        <w:tc>
          <w:tcPr>
            <w:tcW w:w="1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B796D8"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Device development</w:t>
            </w:r>
          </w:p>
        </w:tc>
        <w:tc>
          <w:tcPr>
            <w:tcW w:w="12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22AE4A"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I</w:t>
            </w:r>
          </w:p>
        </w:tc>
        <w:tc>
          <w:tcPr>
            <w:tcW w:w="7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853435"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w:t>
            </w:r>
          </w:p>
        </w:tc>
        <w:tc>
          <w:tcPr>
            <w:tcW w:w="134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30C19A"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A/R</w:t>
            </w:r>
          </w:p>
        </w:tc>
        <w:tc>
          <w:tcPr>
            <w:tcW w:w="10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7FFD72"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I</w:t>
            </w:r>
          </w:p>
        </w:tc>
        <w:tc>
          <w:tcPr>
            <w:tcW w:w="10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2AE9B7"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w:t>
            </w:r>
          </w:p>
        </w:tc>
        <w:tc>
          <w:tcPr>
            <w:tcW w:w="129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54C928"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w:t>
            </w:r>
          </w:p>
        </w:tc>
        <w:tc>
          <w:tcPr>
            <w:tcW w:w="9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B5B56F"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I</w:t>
            </w:r>
          </w:p>
        </w:tc>
      </w:tr>
      <w:tr w:rsidR="00401A33" w:rsidRPr="00C75E8F" w14:paraId="792FBA7B" w14:textId="77777777" w:rsidTr="00581A20">
        <w:trPr>
          <w:trHeight w:val="800"/>
        </w:trPr>
        <w:tc>
          <w:tcPr>
            <w:tcW w:w="1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5507BD"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Clinical testing &amp; validation</w:t>
            </w:r>
          </w:p>
        </w:tc>
        <w:tc>
          <w:tcPr>
            <w:tcW w:w="12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16CA62"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I</w:t>
            </w:r>
          </w:p>
        </w:tc>
        <w:tc>
          <w:tcPr>
            <w:tcW w:w="7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5EDAA9"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w:t>
            </w:r>
          </w:p>
        </w:tc>
        <w:tc>
          <w:tcPr>
            <w:tcW w:w="134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F73CB1"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R</w:t>
            </w:r>
          </w:p>
        </w:tc>
        <w:tc>
          <w:tcPr>
            <w:tcW w:w="10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E02E18"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A/R</w:t>
            </w:r>
          </w:p>
        </w:tc>
        <w:tc>
          <w:tcPr>
            <w:tcW w:w="10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54FDC5"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I</w:t>
            </w:r>
          </w:p>
        </w:tc>
        <w:tc>
          <w:tcPr>
            <w:tcW w:w="129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987178"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w:t>
            </w:r>
          </w:p>
        </w:tc>
        <w:tc>
          <w:tcPr>
            <w:tcW w:w="9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45C8A7"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w:t>
            </w:r>
          </w:p>
        </w:tc>
      </w:tr>
      <w:tr w:rsidR="00401A33" w:rsidRPr="00C75E8F" w14:paraId="1C34CFAA" w14:textId="77777777" w:rsidTr="00581A20">
        <w:trPr>
          <w:trHeight w:val="1085"/>
        </w:trPr>
        <w:tc>
          <w:tcPr>
            <w:tcW w:w="1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11FECA"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Regulatory submission &amp; approval</w:t>
            </w:r>
          </w:p>
        </w:tc>
        <w:tc>
          <w:tcPr>
            <w:tcW w:w="12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6859D5"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I</w:t>
            </w:r>
          </w:p>
        </w:tc>
        <w:tc>
          <w:tcPr>
            <w:tcW w:w="7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4B2109"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w:t>
            </w:r>
          </w:p>
        </w:tc>
        <w:tc>
          <w:tcPr>
            <w:tcW w:w="134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3F3C3F"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w:t>
            </w:r>
          </w:p>
        </w:tc>
        <w:tc>
          <w:tcPr>
            <w:tcW w:w="10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F71EE4"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I</w:t>
            </w:r>
          </w:p>
        </w:tc>
        <w:tc>
          <w:tcPr>
            <w:tcW w:w="10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690125"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I</w:t>
            </w:r>
          </w:p>
        </w:tc>
        <w:tc>
          <w:tcPr>
            <w:tcW w:w="129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5DCD12"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A/R</w:t>
            </w:r>
          </w:p>
        </w:tc>
        <w:tc>
          <w:tcPr>
            <w:tcW w:w="9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910334"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I</w:t>
            </w:r>
          </w:p>
        </w:tc>
      </w:tr>
      <w:tr w:rsidR="00401A33" w:rsidRPr="00C75E8F" w14:paraId="2BA1F1DA" w14:textId="77777777" w:rsidTr="00581A20">
        <w:trPr>
          <w:trHeight w:val="800"/>
        </w:trPr>
        <w:tc>
          <w:tcPr>
            <w:tcW w:w="1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0F6448"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Market launch planning</w:t>
            </w:r>
          </w:p>
        </w:tc>
        <w:tc>
          <w:tcPr>
            <w:tcW w:w="12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86E87C"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A</w:t>
            </w:r>
          </w:p>
        </w:tc>
        <w:tc>
          <w:tcPr>
            <w:tcW w:w="7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91BE14"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R</w:t>
            </w:r>
          </w:p>
        </w:tc>
        <w:tc>
          <w:tcPr>
            <w:tcW w:w="134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35E7B9"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I</w:t>
            </w:r>
          </w:p>
        </w:tc>
        <w:tc>
          <w:tcPr>
            <w:tcW w:w="10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0771C3"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w:t>
            </w:r>
          </w:p>
        </w:tc>
        <w:tc>
          <w:tcPr>
            <w:tcW w:w="10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A3F93D"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w:t>
            </w:r>
          </w:p>
        </w:tc>
        <w:tc>
          <w:tcPr>
            <w:tcW w:w="129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9D8A3B"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I</w:t>
            </w:r>
          </w:p>
        </w:tc>
        <w:tc>
          <w:tcPr>
            <w:tcW w:w="9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CCB0A8"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I</w:t>
            </w:r>
          </w:p>
        </w:tc>
      </w:tr>
      <w:tr w:rsidR="00401A33" w:rsidRPr="00C75E8F" w14:paraId="2440442C" w14:textId="77777777" w:rsidTr="00581A20">
        <w:trPr>
          <w:trHeight w:val="1355"/>
        </w:trPr>
        <w:tc>
          <w:tcPr>
            <w:tcW w:w="1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C80358"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lastRenderedPageBreak/>
              <w:t>Training development (users &amp; clinicians)</w:t>
            </w:r>
          </w:p>
        </w:tc>
        <w:tc>
          <w:tcPr>
            <w:tcW w:w="12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354E4A"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I</w:t>
            </w:r>
          </w:p>
        </w:tc>
        <w:tc>
          <w:tcPr>
            <w:tcW w:w="7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094885"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R</w:t>
            </w:r>
          </w:p>
        </w:tc>
        <w:tc>
          <w:tcPr>
            <w:tcW w:w="134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2FF5C6"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w:t>
            </w:r>
          </w:p>
        </w:tc>
        <w:tc>
          <w:tcPr>
            <w:tcW w:w="10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F49682"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w:t>
            </w:r>
          </w:p>
        </w:tc>
        <w:tc>
          <w:tcPr>
            <w:tcW w:w="10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3EAA14"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I</w:t>
            </w:r>
          </w:p>
        </w:tc>
        <w:tc>
          <w:tcPr>
            <w:tcW w:w="129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0FAB96"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w:t>
            </w:r>
          </w:p>
        </w:tc>
        <w:tc>
          <w:tcPr>
            <w:tcW w:w="9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369008"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w:t>
            </w:r>
          </w:p>
        </w:tc>
      </w:tr>
    </w:tbl>
    <w:p w14:paraId="5084077A" w14:textId="77777777" w:rsidR="00581A20" w:rsidRPr="00C75E8F" w:rsidRDefault="00581A20"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Table 5: RACI Matrix for Key Project Activities</w:t>
      </w:r>
    </w:p>
    <w:p w14:paraId="741FB5B3"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(Source: Curated by author)</w:t>
      </w:r>
    </w:p>
    <w:p w14:paraId="76DA5C97" w14:textId="3FF8EB83"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 xml:space="preserve">The RACI table explains the accountability in the project, and it also ensures that the stakeholders are efficiently deployed based on their expertise and authority to make decisions (Kotb, 2025). Nevertheless, the role allocation also reveals a number of vulnerabilities in the engagement that need to be addressed. Most of the launch activities are accounted for by Project Management, thus exerting a lot of pressure on the coordination and balance of workload. This centralisation can result in a decision bottleneck or lack of responsiveness unless there is constant monitoring of resources. The Engineering teams, conversely, are characterised by a high level of responsibility and low authority (accountability), which can adversely affect the innovation process in case decisions need more than one level of approval. </w:t>
      </w:r>
    </w:p>
    <w:p w14:paraId="321EF42F" w14:textId="77777777" w:rsidR="00401A33" w:rsidRPr="00C75E8F" w:rsidRDefault="00EC6766" w:rsidP="00FD6FA4">
      <w:pPr>
        <w:pStyle w:val="Heading1"/>
        <w:spacing w:before="240" w:after="240"/>
        <w:rPr>
          <w:lang w:val="en-GB"/>
        </w:rPr>
      </w:pPr>
      <w:bookmarkStart w:id="19" w:name="_ejkxbtcpin5y" w:colFirst="0" w:colLast="0"/>
      <w:bookmarkStart w:id="20" w:name="_Toc215776373"/>
      <w:bookmarkEnd w:id="19"/>
      <w:r w:rsidRPr="00C75E8F">
        <w:rPr>
          <w:lang w:val="en-GB"/>
        </w:rPr>
        <w:t>5.0 Stakeholder Engagement Mechanisms, Tools, and Communication Strategy</w:t>
      </w:r>
      <w:bookmarkEnd w:id="20"/>
    </w:p>
    <w:p w14:paraId="688A7521"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The delivery of a medical-grade wearable device in a limited time duration necessitates good governance as well as specific engagement strategies, depending on the stakeholder power, interest, and influence. The project manager can use tools like the Matrix created by Mendelow, the engagement level mapping, and the structured communication planning to manage the expectations proactively, anticipate a conflict, and improve collaboration (Kumar, 2022). In this part, these tools are directly incorporated into the strategy of engagement itself.</w:t>
      </w:r>
    </w:p>
    <w:p w14:paraId="22BC6CD3" w14:textId="77777777" w:rsidR="00401A33" w:rsidRPr="00C75E8F" w:rsidRDefault="00EC6766" w:rsidP="00FD6FA4">
      <w:pPr>
        <w:pStyle w:val="Heading2"/>
        <w:spacing w:before="240" w:after="240"/>
        <w:rPr>
          <w:color w:val="000000"/>
          <w:lang w:val="en-GB"/>
        </w:rPr>
      </w:pPr>
      <w:bookmarkStart w:id="21" w:name="_u0plezv46dst" w:colFirst="0" w:colLast="0"/>
      <w:bookmarkStart w:id="22" w:name="_Toc215776374"/>
      <w:bookmarkEnd w:id="21"/>
      <w:r w:rsidRPr="00C75E8F">
        <w:rPr>
          <w:lang w:val="en-GB"/>
        </w:rPr>
        <w:lastRenderedPageBreak/>
        <w:t>5.1 Mendelow’s Power–Interest Matrix.</w:t>
      </w:r>
      <w:bookmarkEnd w:id="22"/>
    </w:p>
    <w:tbl>
      <w:tblPr>
        <w:tblStyle w:val="a5"/>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641"/>
        <w:gridCol w:w="4767"/>
        <w:gridCol w:w="2952"/>
      </w:tblGrid>
      <w:tr w:rsidR="00401A33" w:rsidRPr="00C75E8F" w14:paraId="31BF8E57" w14:textId="77777777" w:rsidTr="00581A20">
        <w:trPr>
          <w:trHeight w:val="800"/>
        </w:trPr>
        <w:tc>
          <w:tcPr>
            <w:tcW w:w="1641"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31A79B77"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Power / Interest</w:t>
            </w:r>
          </w:p>
        </w:tc>
        <w:tc>
          <w:tcPr>
            <w:tcW w:w="4767"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060402A5"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High Interest</w:t>
            </w:r>
          </w:p>
        </w:tc>
        <w:tc>
          <w:tcPr>
            <w:tcW w:w="2952"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62E62252"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Low Interest</w:t>
            </w:r>
          </w:p>
        </w:tc>
      </w:tr>
      <w:tr w:rsidR="00401A33" w:rsidRPr="00C75E8F" w14:paraId="2BF1416D" w14:textId="77777777" w:rsidTr="00581A20">
        <w:trPr>
          <w:trHeight w:val="800"/>
        </w:trPr>
        <w:tc>
          <w:tcPr>
            <w:tcW w:w="16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C45E53"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High Power</w:t>
            </w:r>
          </w:p>
        </w:tc>
        <w:tc>
          <w:tcPr>
            <w:tcW w:w="476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634AE7"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Executive Leadership, Regulatory Affairs, Clinical Partners</w:t>
            </w:r>
          </w:p>
        </w:tc>
        <w:tc>
          <w:tcPr>
            <w:tcW w:w="295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3D54F6"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Suppliers, Data Security Providers</w:t>
            </w:r>
          </w:p>
        </w:tc>
      </w:tr>
      <w:tr w:rsidR="00401A33" w:rsidRPr="00C75E8F" w14:paraId="2E5DCB98" w14:textId="77777777" w:rsidTr="00581A20">
        <w:trPr>
          <w:trHeight w:val="515"/>
        </w:trPr>
        <w:tc>
          <w:tcPr>
            <w:tcW w:w="16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67C731"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Low Power</w:t>
            </w:r>
          </w:p>
        </w:tc>
        <w:tc>
          <w:tcPr>
            <w:tcW w:w="476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517F69"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Patients &amp; Caregivers, Project Team</w:t>
            </w:r>
          </w:p>
        </w:tc>
        <w:tc>
          <w:tcPr>
            <w:tcW w:w="295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91CC78"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Marketing &amp; Sales Teams</w:t>
            </w:r>
          </w:p>
        </w:tc>
      </w:tr>
    </w:tbl>
    <w:p w14:paraId="5F58624E" w14:textId="77777777" w:rsidR="00581A20" w:rsidRPr="00C75E8F" w:rsidRDefault="00581A20"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Table 6: Mendelow’s Power–Interest Matrix</w:t>
      </w:r>
    </w:p>
    <w:p w14:paraId="5CC0443E"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(Source: Curated by author)</w:t>
      </w:r>
    </w:p>
    <w:p w14:paraId="5706ECAB"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The stakeholders of the high power-high interest quadrant need to be constantly in collaboration with each other since they directly influence approval, safety, and adoption. Clinical Partners and Regulatory Affairs are particularly crucial: the loss of their assistance can suspend the advancement of the launch completely. On the other hand, low-power high-interest groups like patients have very important experiential knowledge but are at risk of being sidelined during decision-making; this may result in usability and adherence problems after launch. The project manager should thus increase his/her visibility with the help of feedback loops and co-design activities.</w:t>
      </w:r>
    </w:p>
    <w:p w14:paraId="3FB23669"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noProof/>
          <w:sz w:val="24"/>
          <w:szCs w:val="24"/>
          <w:lang w:val="en-GB"/>
        </w:rPr>
        <w:lastRenderedPageBreak/>
        <w:drawing>
          <wp:inline distT="114300" distB="114300" distL="114300" distR="114300" wp14:anchorId="07404AC5" wp14:editId="4881090F">
            <wp:extent cx="3500438" cy="2827276"/>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500438" cy="2827276"/>
                    </a:xfrm>
                    <a:prstGeom prst="rect">
                      <a:avLst/>
                    </a:prstGeom>
                    <a:ln/>
                  </pic:spPr>
                </pic:pic>
              </a:graphicData>
            </a:graphic>
          </wp:inline>
        </w:drawing>
      </w:r>
    </w:p>
    <w:p w14:paraId="32DE2F44"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Figure 1: Stakeholder Engagement Strategy</w:t>
      </w:r>
    </w:p>
    <w:p w14:paraId="10C8045F"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(Source:  Curated by author)</w:t>
      </w:r>
    </w:p>
    <w:p w14:paraId="645C5A9F"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Power and interest are hidden dangers of those with high power but low interest (e.g., suppliers): when they are not engaged, they may either become unmanageable in the form of supply shortages or expensive, or overcommunication may occur.</w:t>
      </w:r>
    </w:p>
    <w:p w14:paraId="460D62BF" w14:textId="77777777" w:rsidR="00401A33" w:rsidRPr="00C75E8F" w:rsidRDefault="00401A33" w:rsidP="00FD6FA4">
      <w:pPr>
        <w:spacing w:before="240" w:after="240" w:line="360" w:lineRule="auto"/>
        <w:jc w:val="both"/>
        <w:rPr>
          <w:rFonts w:ascii="Times New Roman" w:eastAsia="Times New Roman" w:hAnsi="Times New Roman" w:cs="Times New Roman"/>
          <w:sz w:val="24"/>
          <w:szCs w:val="24"/>
          <w:lang w:val="en-GB"/>
        </w:rPr>
      </w:pPr>
    </w:p>
    <w:p w14:paraId="0A922330" w14:textId="77777777" w:rsidR="00401A33" w:rsidRPr="00C75E8F" w:rsidRDefault="00EC6766" w:rsidP="00FD6FA4">
      <w:pPr>
        <w:pStyle w:val="Heading2"/>
        <w:spacing w:before="240" w:after="240"/>
        <w:rPr>
          <w:lang w:val="en-GB"/>
        </w:rPr>
      </w:pPr>
      <w:bookmarkStart w:id="23" w:name="_tf3mexpln90b" w:colFirst="0" w:colLast="0"/>
      <w:bookmarkStart w:id="24" w:name="_Toc215776375"/>
      <w:bookmarkEnd w:id="23"/>
      <w:r w:rsidRPr="00C75E8F">
        <w:rPr>
          <w:lang w:val="en-GB"/>
        </w:rPr>
        <w:t>5.2 Stakeholder Engagement Level Matrix</w:t>
      </w:r>
      <w:bookmarkStart w:id="25" w:name="_hzekvz33q4ky" w:colFirst="0" w:colLast="0"/>
      <w:bookmarkEnd w:id="24"/>
      <w:bookmarkEnd w:id="25"/>
    </w:p>
    <w:tbl>
      <w:tblPr>
        <w:tblStyle w:val="a6"/>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052"/>
        <w:gridCol w:w="1539"/>
        <w:gridCol w:w="1495"/>
        <w:gridCol w:w="4274"/>
      </w:tblGrid>
      <w:tr w:rsidR="00401A33" w:rsidRPr="00C75E8F" w14:paraId="753804C5" w14:textId="77777777" w:rsidTr="00581A20">
        <w:trPr>
          <w:trHeight w:val="800"/>
        </w:trPr>
        <w:tc>
          <w:tcPr>
            <w:tcW w:w="2052"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235CAE33"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Stakeholder</w:t>
            </w:r>
          </w:p>
        </w:tc>
        <w:tc>
          <w:tcPr>
            <w:tcW w:w="1539"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35939220"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Current Level</w:t>
            </w:r>
          </w:p>
        </w:tc>
        <w:tc>
          <w:tcPr>
            <w:tcW w:w="1495"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7959A6EB"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Desired Level</w:t>
            </w:r>
          </w:p>
        </w:tc>
        <w:tc>
          <w:tcPr>
            <w:tcW w:w="4274"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7F6588A4"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Engagement Strategy Requirement</w:t>
            </w:r>
          </w:p>
        </w:tc>
      </w:tr>
      <w:tr w:rsidR="00401A33" w:rsidRPr="00C75E8F" w14:paraId="649CADB1" w14:textId="77777777" w:rsidTr="00581A20">
        <w:trPr>
          <w:trHeight w:val="800"/>
        </w:trPr>
        <w:tc>
          <w:tcPr>
            <w:tcW w:w="205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1BE9E3"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Executive Leadership</w:t>
            </w:r>
          </w:p>
        </w:tc>
        <w:tc>
          <w:tcPr>
            <w:tcW w:w="15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E867BB"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Supportive</w:t>
            </w:r>
          </w:p>
        </w:tc>
        <w:tc>
          <w:tcPr>
            <w:tcW w:w="14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E0489A"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Leading</w:t>
            </w:r>
          </w:p>
        </w:tc>
        <w:tc>
          <w:tcPr>
            <w:tcW w:w="427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4E0EDC"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Strengthen visibility of progress and benefits</w:t>
            </w:r>
          </w:p>
        </w:tc>
      </w:tr>
      <w:tr w:rsidR="00401A33" w:rsidRPr="00C75E8F" w14:paraId="0D4B5A4B" w14:textId="77777777" w:rsidTr="00581A20">
        <w:trPr>
          <w:trHeight w:val="800"/>
        </w:trPr>
        <w:tc>
          <w:tcPr>
            <w:tcW w:w="205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C039BD"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lastRenderedPageBreak/>
              <w:t>Project Team</w:t>
            </w:r>
          </w:p>
        </w:tc>
        <w:tc>
          <w:tcPr>
            <w:tcW w:w="15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7401B9"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Neutral</w:t>
            </w:r>
          </w:p>
        </w:tc>
        <w:tc>
          <w:tcPr>
            <w:tcW w:w="14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72C591"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Supportive</w:t>
            </w:r>
          </w:p>
        </w:tc>
        <w:tc>
          <w:tcPr>
            <w:tcW w:w="427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11F75C"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Improve empowerment and communication</w:t>
            </w:r>
          </w:p>
        </w:tc>
      </w:tr>
      <w:tr w:rsidR="00401A33" w:rsidRPr="00C75E8F" w14:paraId="1CB992FE" w14:textId="77777777" w:rsidTr="00581A20">
        <w:trPr>
          <w:trHeight w:val="515"/>
        </w:trPr>
        <w:tc>
          <w:tcPr>
            <w:tcW w:w="205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D3A8DE"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Regulatory Affairs</w:t>
            </w:r>
          </w:p>
        </w:tc>
        <w:tc>
          <w:tcPr>
            <w:tcW w:w="15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021A46"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Leading</w:t>
            </w:r>
          </w:p>
        </w:tc>
        <w:tc>
          <w:tcPr>
            <w:tcW w:w="14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B6D02A"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Leading</w:t>
            </w:r>
          </w:p>
        </w:tc>
        <w:tc>
          <w:tcPr>
            <w:tcW w:w="427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5CA1D8"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Maintain compliance collaboration</w:t>
            </w:r>
          </w:p>
        </w:tc>
      </w:tr>
      <w:tr w:rsidR="00401A33" w:rsidRPr="00C75E8F" w14:paraId="1A2D1FFE" w14:textId="77777777" w:rsidTr="00581A20">
        <w:trPr>
          <w:trHeight w:val="800"/>
        </w:trPr>
        <w:tc>
          <w:tcPr>
            <w:tcW w:w="205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48E49B"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Clinical Partners</w:t>
            </w:r>
          </w:p>
        </w:tc>
        <w:tc>
          <w:tcPr>
            <w:tcW w:w="15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76C8FB"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Supportive</w:t>
            </w:r>
          </w:p>
        </w:tc>
        <w:tc>
          <w:tcPr>
            <w:tcW w:w="14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090147"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Leading</w:t>
            </w:r>
          </w:p>
        </w:tc>
        <w:tc>
          <w:tcPr>
            <w:tcW w:w="427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82CE32"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Increase involvement in testing and decision-making</w:t>
            </w:r>
          </w:p>
        </w:tc>
      </w:tr>
      <w:tr w:rsidR="00401A33" w:rsidRPr="00C75E8F" w14:paraId="69F3686C" w14:textId="77777777" w:rsidTr="00581A20">
        <w:trPr>
          <w:trHeight w:val="800"/>
        </w:trPr>
        <w:tc>
          <w:tcPr>
            <w:tcW w:w="205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312638"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Suppliers</w:t>
            </w:r>
          </w:p>
        </w:tc>
        <w:tc>
          <w:tcPr>
            <w:tcW w:w="15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940F1C"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Neutral</w:t>
            </w:r>
          </w:p>
        </w:tc>
        <w:tc>
          <w:tcPr>
            <w:tcW w:w="14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1453B4"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Supportive</w:t>
            </w:r>
          </w:p>
        </w:tc>
        <w:tc>
          <w:tcPr>
            <w:tcW w:w="427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DBF283"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Build stronger contractual and communication ties</w:t>
            </w:r>
          </w:p>
        </w:tc>
      </w:tr>
      <w:tr w:rsidR="00401A33" w:rsidRPr="00C75E8F" w14:paraId="60EC1819" w14:textId="77777777" w:rsidTr="00581A20">
        <w:trPr>
          <w:trHeight w:val="800"/>
        </w:trPr>
        <w:tc>
          <w:tcPr>
            <w:tcW w:w="205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F9F976"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Patients</w:t>
            </w:r>
          </w:p>
        </w:tc>
        <w:tc>
          <w:tcPr>
            <w:tcW w:w="15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E3F1DE"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Passive</w:t>
            </w:r>
          </w:p>
        </w:tc>
        <w:tc>
          <w:tcPr>
            <w:tcW w:w="14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C2AEDC"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Supportive</w:t>
            </w:r>
          </w:p>
        </w:tc>
        <w:tc>
          <w:tcPr>
            <w:tcW w:w="427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BB0643"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User testing, simplified onboarding, trust-building</w:t>
            </w:r>
          </w:p>
        </w:tc>
      </w:tr>
    </w:tbl>
    <w:p w14:paraId="5C65562A" w14:textId="77777777" w:rsidR="00581A20" w:rsidRPr="00C75E8F" w:rsidRDefault="00581A20"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Table 7: Stakeholder Engagement Level Matrix</w:t>
      </w:r>
    </w:p>
    <w:p w14:paraId="36A7765B"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(Source: Created by author)</w:t>
      </w:r>
    </w:p>
    <w:p w14:paraId="51744684"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Engagement gaps are revealed in this matrix, especially when high-impact groups such as patients are not adequately engaged. To achieve the desired state, the engagement should not be based on passive communication; it should allow active participation, shared ownership and unrelenting influence on design decisions.</w:t>
      </w:r>
    </w:p>
    <w:p w14:paraId="74C21E66" w14:textId="77777777" w:rsidR="00401A33" w:rsidRPr="00C75E8F" w:rsidRDefault="00401A33" w:rsidP="00FD6FA4">
      <w:pPr>
        <w:spacing w:before="240" w:after="240" w:line="360" w:lineRule="auto"/>
        <w:jc w:val="both"/>
        <w:rPr>
          <w:rFonts w:ascii="Times New Roman" w:eastAsia="Times New Roman" w:hAnsi="Times New Roman" w:cs="Times New Roman"/>
          <w:sz w:val="24"/>
          <w:szCs w:val="24"/>
          <w:lang w:val="en-GB"/>
        </w:rPr>
      </w:pPr>
    </w:p>
    <w:p w14:paraId="56153733" w14:textId="77777777" w:rsidR="00401A33" w:rsidRPr="00C75E8F" w:rsidRDefault="00EC6766" w:rsidP="00FD6FA4">
      <w:pPr>
        <w:pStyle w:val="Heading2"/>
        <w:spacing w:before="240" w:after="240"/>
        <w:rPr>
          <w:lang w:val="en-GB"/>
        </w:rPr>
      </w:pPr>
      <w:bookmarkStart w:id="26" w:name="_qvd34p4m4jmb" w:colFirst="0" w:colLast="0"/>
      <w:bookmarkStart w:id="27" w:name="_Toc215776376"/>
      <w:bookmarkEnd w:id="26"/>
      <w:r w:rsidRPr="00C75E8F">
        <w:rPr>
          <w:lang w:val="en-GB"/>
        </w:rPr>
        <w:lastRenderedPageBreak/>
        <w:t>5.3 Communication Plan</w:t>
      </w:r>
      <w:bookmarkStart w:id="28" w:name="_zhhl584giasp" w:colFirst="0" w:colLast="0"/>
      <w:bookmarkEnd w:id="27"/>
      <w:bookmarkEnd w:id="28"/>
    </w:p>
    <w:tbl>
      <w:tblPr>
        <w:tblStyle w:val="a7"/>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668"/>
        <w:gridCol w:w="1381"/>
        <w:gridCol w:w="2558"/>
        <w:gridCol w:w="1683"/>
        <w:gridCol w:w="2070"/>
      </w:tblGrid>
      <w:tr w:rsidR="00401A33" w:rsidRPr="00C75E8F" w14:paraId="2E9218F9" w14:textId="77777777" w:rsidTr="00581A20">
        <w:trPr>
          <w:trHeight w:val="800"/>
        </w:trPr>
        <w:tc>
          <w:tcPr>
            <w:tcW w:w="1668"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06F37B05"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Stakeholder</w:t>
            </w:r>
          </w:p>
        </w:tc>
        <w:tc>
          <w:tcPr>
            <w:tcW w:w="1381"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45C319FA"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Frequency</w:t>
            </w:r>
          </w:p>
        </w:tc>
        <w:tc>
          <w:tcPr>
            <w:tcW w:w="2558"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68C85745"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Method</w:t>
            </w:r>
          </w:p>
        </w:tc>
        <w:tc>
          <w:tcPr>
            <w:tcW w:w="1683"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68C8EEE5"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Responsible Owner</w:t>
            </w:r>
          </w:p>
        </w:tc>
        <w:tc>
          <w:tcPr>
            <w:tcW w:w="207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7F81B88E"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Purpose</w:t>
            </w:r>
          </w:p>
        </w:tc>
      </w:tr>
      <w:tr w:rsidR="00401A33" w:rsidRPr="00C75E8F" w14:paraId="2D7DF4EB" w14:textId="77777777" w:rsidTr="00581A20">
        <w:trPr>
          <w:trHeight w:val="800"/>
        </w:trPr>
        <w:tc>
          <w:tcPr>
            <w:tcW w:w="166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D4C5D3"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Executive Leadership</w:t>
            </w:r>
          </w:p>
        </w:tc>
        <w:tc>
          <w:tcPr>
            <w:tcW w:w="138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EB6006D"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Monthly</w:t>
            </w:r>
          </w:p>
        </w:tc>
        <w:tc>
          <w:tcPr>
            <w:tcW w:w="255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3B2817"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Strategic Review Meetings</w:t>
            </w:r>
          </w:p>
        </w:tc>
        <w:tc>
          <w:tcPr>
            <w:tcW w:w="16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7DFA08"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PM Team</w:t>
            </w:r>
          </w:p>
        </w:tc>
        <w:tc>
          <w:tcPr>
            <w:tcW w:w="20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EDF286"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Direction, decision approvals</w:t>
            </w:r>
          </w:p>
        </w:tc>
      </w:tr>
      <w:tr w:rsidR="00401A33" w:rsidRPr="00C75E8F" w14:paraId="1EA73D97" w14:textId="77777777" w:rsidTr="00581A20">
        <w:trPr>
          <w:trHeight w:val="800"/>
        </w:trPr>
        <w:tc>
          <w:tcPr>
            <w:tcW w:w="166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29A71F"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Regulatory Affairs</w:t>
            </w:r>
          </w:p>
        </w:tc>
        <w:tc>
          <w:tcPr>
            <w:tcW w:w="138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FD429A"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Weekly</w:t>
            </w:r>
          </w:p>
        </w:tc>
        <w:tc>
          <w:tcPr>
            <w:tcW w:w="255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F0EED3"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Compliance Clinics, Documentation Reviews</w:t>
            </w:r>
          </w:p>
        </w:tc>
        <w:tc>
          <w:tcPr>
            <w:tcW w:w="16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070F8A"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Quality Lead</w:t>
            </w:r>
          </w:p>
        </w:tc>
        <w:tc>
          <w:tcPr>
            <w:tcW w:w="20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1EBD06A"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Risk mitigation &amp; timely approvals</w:t>
            </w:r>
          </w:p>
        </w:tc>
      </w:tr>
      <w:tr w:rsidR="00401A33" w:rsidRPr="00C75E8F" w14:paraId="7776EE95" w14:textId="77777777" w:rsidTr="00581A20">
        <w:trPr>
          <w:trHeight w:val="800"/>
        </w:trPr>
        <w:tc>
          <w:tcPr>
            <w:tcW w:w="166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F27D7C"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Clinical Partners</w:t>
            </w:r>
          </w:p>
        </w:tc>
        <w:tc>
          <w:tcPr>
            <w:tcW w:w="138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C4B74B"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Bi-weekly</w:t>
            </w:r>
          </w:p>
        </w:tc>
        <w:tc>
          <w:tcPr>
            <w:tcW w:w="255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B88965"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Usability Workshops, Pilot Feedback</w:t>
            </w:r>
          </w:p>
        </w:tc>
        <w:tc>
          <w:tcPr>
            <w:tcW w:w="16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7BB6AA"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Clinical Liaison</w:t>
            </w:r>
          </w:p>
        </w:tc>
        <w:tc>
          <w:tcPr>
            <w:tcW w:w="20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1B82D4"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Improve workflow integration</w:t>
            </w:r>
          </w:p>
        </w:tc>
      </w:tr>
      <w:tr w:rsidR="00401A33" w:rsidRPr="00C75E8F" w14:paraId="01E8D26E" w14:textId="77777777" w:rsidTr="00581A20">
        <w:trPr>
          <w:trHeight w:val="800"/>
        </w:trPr>
        <w:tc>
          <w:tcPr>
            <w:tcW w:w="166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ABB5BA"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Project Team</w:t>
            </w:r>
          </w:p>
        </w:tc>
        <w:tc>
          <w:tcPr>
            <w:tcW w:w="138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67741D"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Weekly</w:t>
            </w:r>
          </w:p>
        </w:tc>
        <w:tc>
          <w:tcPr>
            <w:tcW w:w="255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DE6AAE"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Stand-ups, Dashboards</w:t>
            </w:r>
          </w:p>
        </w:tc>
        <w:tc>
          <w:tcPr>
            <w:tcW w:w="16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AF6F81"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 xml:space="preserve">PM </w:t>
            </w:r>
            <w:proofErr w:type="gramStart"/>
            <w:r w:rsidRPr="00C75E8F">
              <w:rPr>
                <w:rFonts w:ascii="Times New Roman" w:eastAsia="Times New Roman" w:hAnsi="Times New Roman" w:cs="Times New Roman"/>
                <w:sz w:val="24"/>
                <w:szCs w:val="24"/>
                <w:lang w:val="en-GB"/>
              </w:rPr>
              <w:t>Lead</w:t>
            </w:r>
            <w:proofErr w:type="gramEnd"/>
          </w:p>
        </w:tc>
        <w:tc>
          <w:tcPr>
            <w:tcW w:w="20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55569E"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Alignment, issue resolution</w:t>
            </w:r>
          </w:p>
        </w:tc>
      </w:tr>
      <w:tr w:rsidR="00401A33" w:rsidRPr="00C75E8F" w14:paraId="234EE461" w14:textId="77777777" w:rsidTr="00581A20">
        <w:trPr>
          <w:trHeight w:val="1085"/>
        </w:trPr>
        <w:tc>
          <w:tcPr>
            <w:tcW w:w="166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DD7012"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Patients</w:t>
            </w:r>
          </w:p>
        </w:tc>
        <w:tc>
          <w:tcPr>
            <w:tcW w:w="138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213F87"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Pilot Phase</w:t>
            </w:r>
          </w:p>
        </w:tc>
        <w:tc>
          <w:tcPr>
            <w:tcW w:w="255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8EF87B"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Surveys, Interviews, Remote Demonstrations</w:t>
            </w:r>
          </w:p>
        </w:tc>
        <w:tc>
          <w:tcPr>
            <w:tcW w:w="16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DF69BD"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User Experience Team</w:t>
            </w:r>
          </w:p>
        </w:tc>
        <w:tc>
          <w:tcPr>
            <w:tcW w:w="20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E85699"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Improve usability &amp; trust</w:t>
            </w:r>
          </w:p>
        </w:tc>
      </w:tr>
      <w:tr w:rsidR="00401A33" w:rsidRPr="00C75E8F" w14:paraId="2D4F4BAE" w14:textId="77777777" w:rsidTr="00581A20">
        <w:trPr>
          <w:trHeight w:val="800"/>
        </w:trPr>
        <w:tc>
          <w:tcPr>
            <w:tcW w:w="166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9C2AF1"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Suppliers</w:t>
            </w:r>
          </w:p>
        </w:tc>
        <w:tc>
          <w:tcPr>
            <w:tcW w:w="138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2820E4"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Monthly (min.)</w:t>
            </w:r>
          </w:p>
        </w:tc>
        <w:tc>
          <w:tcPr>
            <w:tcW w:w="255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28D4B"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Virtual Coordination Reviews</w:t>
            </w:r>
          </w:p>
        </w:tc>
        <w:tc>
          <w:tcPr>
            <w:tcW w:w="16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732E24"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Procurement Lead</w:t>
            </w:r>
          </w:p>
        </w:tc>
        <w:tc>
          <w:tcPr>
            <w:tcW w:w="20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BE083F"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Supply continuity and transparency</w:t>
            </w:r>
          </w:p>
        </w:tc>
      </w:tr>
    </w:tbl>
    <w:p w14:paraId="5617102D" w14:textId="77777777" w:rsidR="00581A20" w:rsidRPr="00C75E8F" w:rsidRDefault="00581A20" w:rsidP="00FD6FA4">
      <w:pPr>
        <w:pStyle w:val="Heading4"/>
        <w:keepNext w:val="0"/>
        <w:keepLines w:val="0"/>
        <w:spacing w:before="240" w:after="40" w:line="360" w:lineRule="auto"/>
        <w:jc w:val="center"/>
        <w:rPr>
          <w:rFonts w:ascii="Times New Roman" w:eastAsia="Times New Roman" w:hAnsi="Times New Roman" w:cs="Times New Roman"/>
          <w:color w:val="000000"/>
          <w:lang w:val="en-GB"/>
        </w:rPr>
      </w:pPr>
      <w:bookmarkStart w:id="29" w:name="_fblx7d2zhow" w:colFirst="0" w:colLast="0"/>
      <w:bookmarkEnd w:id="29"/>
      <w:r w:rsidRPr="00C75E8F">
        <w:rPr>
          <w:rFonts w:ascii="Times New Roman" w:eastAsia="Times New Roman" w:hAnsi="Times New Roman" w:cs="Times New Roman"/>
          <w:color w:val="000000"/>
          <w:lang w:val="en-GB"/>
        </w:rPr>
        <w:t>Table 8: Communication Plan for Stakeholder Groups</w:t>
      </w:r>
    </w:p>
    <w:p w14:paraId="4DD47081" w14:textId="77777777" w:rsidR="00401A33" w:rsidRPr="00C75E8F" w:rsidRDefault="00EC6766" w:rsidP="00FD6FA4">
      <w:pPr>
        <w:pStyle w:val="Heading4"/>
        <w:keepNext w:val="0"/>
        <w:keepLines w:val="0"/>
        <w:spacing w:before="240" w:after="40" w:line="360" w:lineRule="auto"/>
        <w:jc w:val="center"/>
        <w:rPr>
          <w:rFonts w:ascii="Times New Roman" w:eastAsia="Times New Roman" w:hAnsi="Times New Roman" w:cs="Times New Roman"/>
          <w:color w:val="000000"/>
          <w:lang w:val="en-GB"/>
        </w:rPr>
      </w:pPr>
      <w:r w:rsidRPr="00C75E8F">
        <w:rPr>
          <w:rFonts w:ascii="Times New Roman" w:eastAsia="Times New Roman" w:hAnsi="Times New Roman" w:cs="Times New Roman"/>
          <w:color w:val="000000"/>
          <w:lang w:val="en-GB"/>
        </w:rPr>
        <w:t>(Source: Curated by author)</w:t>
      </w:r>
    </w:p>
    <w:p w14:paraId="69ECDCC0"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lastRenderedPageBreak/>
        <w:t>The frequency of communication grows with the exposure to risks (</w:t>
      </w:r>
      <w:proofErr w:type="spellStart"/>
      <w:r w:rsidRPr="00C75E8F">
        <w:rPr>
          <w:rFonts w:ascii="Times New Roman" w:eastAsia="Times New Roman" w:hAnsi="Times New Roman" w:cs="Times New Roman"/>
          <w:sz w:val="24"/>
          <w:szCs w:val="24"/>
          <w:lang w:val="en-GB"/>
        </w:rPr>
        <w:t>Adeghe</w:t>
      </w:r>
      <w:proofErr w:type="spellEnd"/>
      <w:r w:rsidRPr="00C75E8F">
        <w:rPr>
          <w:rFonts w:ascii="Times New Roman" w:eastAsia="Times New Roman" w:hAnsi="Times New Roman" w:cs="Times New Roman"/>
          <w:sz w:val="24"/>
          <w:szCs w:val="24"/>
          <w:lang w:val="en-GB"/>
        </w:rPr>
        <w:t xml:space="preserve"> et al., 2024). Nevertheless, the formal channels are not all that is needed; the communication plan should be flexible in order to respond quickly to arising compliance or technical problems. An inability to change the intensity of communication during crisis periods can lead to delays in delivery and cost overruns.</w:t>
      </w:r>
    </w:p>
    <w:p w14:paraId="3EDDB46D" w14:textId="77777777" w:rsidR="00401A33" w:rsidRPr="00C75E8F" w:rsidRDefault="00EC6766" w:rsidP="00FD6FA4">
      <w:pPr>
        <w:pStyle w:val="Heading1"/>
        <w:spacing w:before="240" w:after="240"/>
        <w:rPr>
          <w:lang w:val="en-GB"/>
        </w:rPr>
      </w:pPr>
      <w:bookmarkStart w:id="30" w:name="_cn2e47dgpxxw" w:colFirst="0" w:colLast="0"/>
      <w:bookmarkStart w:id="31" w:name="_Toc215776377"/>
      <w:bookmarkEnd w:id="30"/>
      <w:r w:rsidRPr="00C75E8F">
        <w:rPr>
          <w:lang w:val="en-GB"/>
        </w:rPr>
        <w:t>6.0 Stakeholder Engagement Process and Conflict Management.</w:t>
      </w:r>
      <w:bookmarkEnd w:id="31"/>
    </w:p>
    <w:p w14:paraId="5A5F8B0B"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The implementation of a healthcare technology project involves a continuous structured interaction with stakeholders throughout the entire lifecycle of development and deployment to be successful (Kehinde, 2024). Since patient safety and regulatory compliance belong to the critical sphere, there is no way that any conflict would be absent when various types of value, including the efficiency of clinical workflows, compliance with regulations, commercial performance, data protection, and patient wellbeing, are the aspects that stakeholders have to defend. Being the Project Manager, a systematic engagement process based on the 4Cs model Communication, Coordination, Cooperation and Collaboration would engage their stakeholders in an active manner, not in a reactive manner, and alignment of stakeholders would be an ongoing process (Ellis et al., 1991).</w:t>
      </w:r>
    </w:p>
    <w:p w14:paraId="1E660FD9" w14:textId="77777777" w:rsidR="00401A33" w:rsidRPr="00C75E8F" w:rsidRDefault="00EC6766" w:rsidP="00FD6FA4">
      <w:pPr>
        <w:pStyle w:val="Heading2"/>
        <w:spacing w:before="240" w:after="240"/>
        <w:rPr>
          <w:lang w:val="en-GB"/>
        </w:rPr>
      </w:pPr>
      <w:bookmarkStart w:id="32" w:name="_pbvt9d6qt11r" w:colFirst="0" w:colLast="0"/>
      <w:bookmarkStart w:id="33" w:name="_Toc215776378"/>
      <w:bookmarkEnd w:id="32"/>
      <w:r w:rsidRPr="00C75E8F">
        <w:rPr>
          <w:lang w:val="en-GB"/>
        </w:rPr>
        <w:t>6.1 The Engagement Process</w:t>
      </w:r>
      <w:bookmarkEnd w:id="33"/>
    </w:p>
    <w:p w14:paraId="4C7AAC0E"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The process of the engagement of this project is multi-stage and iterative:</w:t>
      </w:r>
    </w:p>
    <w:tbl>
      <w:tblPr>
        <w:tblStyle w:val="a8"/>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389"/>
        <w:gridCol w:w="4551"/>
        <w:gridCol w:w="2420"/>
      </w:tblGrid>
      <w:tr w:rsidR="00401A33" w:rsidRPr="00C75E8F" w14:paraId="270F5CE3" w14:textId="77777777" w:rsidTr="00581A20">
        <w:trPr>
          <w:trHeight w:val="515"/>
        </w:trPr>
        <w:tc>
          <w:tcPr>
            <w:tcW w:w="2389"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19278615"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Phase</w:t>
            </w:r>
          </w:p>
        </w:tc>
        <w:tc>
          <w:tcPr>
            <w:tcW w:w="4551"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1C4F83CF"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Key Activities</w:t>
            </w:r>
          </w:p>
        </w:tc>
        <w:tc>
          <w:tcPr>
            <w:tcW w:w="242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31806E2C"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Critical Focus</w:t>
            </w:r>
          </w:p>
        </w:tc>
      </w:tr>
      <w:tr w:rsidR="00401A33" w:rsidRPr="00C75E8F" w14:paraId="6379054C" w14:textId="77777777" w:rsidTr="00581A20">
        <w:trPr>
          <w:trHeight w:val="1640"/>
        </w:trPr>
        <w:tc>
          <w:tcPr>
            <w:tcW w:w="23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6B2E35"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Initiation &amp; Stakeholder Alignment</w:t>
            </w:r>
          </w:p>
        </w:tc>
        <w:tc>
          <w:tcPr>
            <w:tcW w:w="45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1D87482" w14:textId="77777777" w:rsidR="00401A33" w:rsidRPr="00C75E8F" w:rsidRDefault="00EC6766" w:rsidP="00FD6FA4">
            <w:pPr>
              <w:numPr>
                <w:ilvl w:val="0"/>
                <w:numId w:val="4"/>
              </w:numPr>
              <w:spacing w:before="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Identify stakeholder goals, constraints, interests, and influence (</w:t>
            </w:r>
            <w:r w:rsidRPr="00C75E8F">
              <w:rPr>
                <w:rFonts w:ascii="Times New Roman" w:eastAsia="Times New Roman" w:hAnsi="Times New Roman" w:cs="Times New Roman"/>
                <w:color w:val="222222"/>
                <w:sz w:val="24"/>
                <w:szCs w:val="24"/>
                <w:highlight w:val="white"/>
                <w:lang w:val="en-GB"/>
              </w:rPr>
              <w:t>Wood et al., 2021</w:t>
            </w:r>
            <w:r w:rsidRPr="00C75E8F">
              <w:rPr>
                <w:rFonts w:ascii="Times New Roman" w:eastAsia="Times New Roman" w:hAnsi="Times New Roman" w:cs="Times New Roman"/>
                <w:sz w:val="24"/>
                <w:szCs w:val="24"/>
                <w:lang w:val="en-GB"/>
              </w:rPr>
              <w:t>)</w:t>
            </w:r>
          </w:p>
          <w:p w14:paraId="37FA5D1E" w14:textId="77777777" w:rsidR="00401A33" w:rsidRPr="00C75E8F" w:rsidRDefault="00EC6766" w:rsidP="00FD6FA4">
            <w:pPr>
              <w:numPr>
                <w:ilvl w:val="0"/>
                <w:numId w:val="4"/>
              </w:numPr>
              <w:spacing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Establish communication expectations and governance roles</w:t>
            </w:r>
          </w:p>
          <w:p w14:paraId="1AD32317" w14:textId="77777777" w:rsidR="00401A33" w:rsidRPr="00C75E8F" w:rsidRDefault="00EC6766" w:rsidP="00FD6FA4">
            <w:pPr>
              <w:numPr>
                <w:ilvl w:val="0"/>
                <w:numId w:val="4"/>
              </w:numPr>
              <w:spacing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lastRenderedPageBreak/>
              <w:t>Run early discovery sessions with clinical partners and patient testing groups</w:t>
            </w:r>
          </w:p>
        </w:tc>
        <w:tc>
          <w:tcPr>
            <w:tcW w:w="2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F5DF01"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lastRenderedPageBreak/>
              <w:t>Prevent role ambiguity and mismatched expectations</w:t>
            </w:r>
          </w:p>
        </w:tc>
      </w:tr>
      <w:tr w:rsidR="00401A33" w:rsidRPr="00C75E8F" w14:paraId="45879CA6" w14:textId="77777777" w:rsidTr="00581A20">
        <w:trPr>
          <w:trHeight w:val="1640"/>
        </w:trPr>
        <w:tc>
          <w:tcPr>
            <w:tcW w:w="23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CD2FF1"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Co-Design &amp; Requirements Development</w:t>
            </w:r>
          </w:p>
        </w:tc>
        <w:tc>
          <w:tcPr>
            <w:tcW w:w="45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EB509A4" w14:textId="77777777" w:rsidR="00401A33" w:rsidRPr="00C75E8F" w:rsidRDefault="00EC6766" w:rsidP="00FD6FA4">
            <w:pPr>
              <w:numPr>
                <w:ilvl w:val="0"/>
                <w:numId w:val="3"/>
              </w:numPr>
              <w:spacing w:before="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Convert stakeholder needs into clear device and workflow requirements</w:t>
            </w:r>
          </w:p>
          <w:p w14:paraId="423FB14B" w14:textId="77777777" w:rsidR="00401A33" w:rsidRPr="00C75E8F" w:rsidRDefault="00EC6766" w:rsidP="00FD6FA4">
            <w:pPr>
              <w:numPr>
                <w:ilvl w:val="0"/>
                <w:numId w:val="3"/>
              </w:numPr>
              <w:spacing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Conduct joint risk assessment workshops with regulators and clinicians</w:t>
            </w:r>
          </w:p>
          <w:p w14:paraId="2081667C" w14:textId="77777777" w:rsidR="00401A33" w:rsidRPr="00C75E8F" w:rsidRDefault="00EC6766" w:rsidP="00FD6FA4">
            <w:pPr>
              <w:numPr>
                <w:ilvl w:val="0"/>
                <w:numId w:val="3"/>
              </w:numPr>
              <w:spacing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Validate technical feasibility and define success criteria</w:t>
            </w:r>
          </w:p>
        </w:tc>
        <w:tc>
          <w:tcPr>
            <w:tcW w:w="2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456D87"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Prevent over-engineering and regulatory rework</w:t>
            </w:r>
          </w:p>
        </w:tc>
      </w:tr>
      <w:tr w:rsidR="00401A33" w:rsidRPr="00C75E8F" w14:paraId="106C4FFF" w14:textId="77777777" w:rsidTr="00581A20">
        <w:trPr>
          <w:trHeight w:val="1925"/>
        </w:trPr>
        <w:tc>
          <w:tcPr>
            <w:tcW w:w="23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916684"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Development &amp; Continuous Review</w:t>
            </w:r>
          </w:p>
        </w:tc>
        <w:tc>
          <w:tcPr>
            <w:tcW w:w="45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16CA78" w14:textId="77777777" w:rsidR="00401A33" w:rsidRPr="00C75E8F" w:rsidRDefault="00EC6766" w:rsidP="00FD6FA4">
            <w:pPr>
              <w:numPr>
                <w:ilvl w:val="0"/>
                <w:numId w:val="1"/>
              </w:numPr>
              <w:spacing w:before="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Conduct sprint-based development with routine validation checkpoints</w:t>
            </w:r>
          </w:p>
          <w:p w14:paraId="24622274" w14:textId="77777777" w:rsidR="00401A33" w:rsidRPr="00C75E8F" w:rsidRDefault="00EC6766" w:rsidP="00FD6FA4">
            <w:pPr>
              <w:numPr>
                <w:ilvl w:val="0"/>
                <w:numId w:val="1"/>
              </w:numPr>
              <w:spacing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Integrate clinical usability feedback and supplier readiness updates (</w:t>
            </w:r>
            <w:r w:rsidRPr="00C75E8F">
              <w:rPr>
                <w:rFonts w:ascii="Times New Roman" w:eastAsia="Times New Roman" w:hAnsi="Times New Roman" w:cs="Times New Roman"/>
                <w:color w:val="222222"/>
                <w:sz w:val="24"/>
                <w:szCs w:val="24"/>
                <w:highlight w:val="white"/>
                <w:lang w:val="en-GB"/>
              </w:rPr>
              <w:t>Ștefan et al., 2024</w:t>
            </w:r>
            <w:r w:rsidRPr="00C75E8F">
              <w:rPr>
                <w:rFonts w:ascii="Times New Roman" w:eastAsia="Times New Roman" w:hAnsi="Times New Roman" w:cs="Times New Roman"/>
                <w:sz w:val="24"/>
                <w:szCs w:val="24"/>
                <w:lang w:val="en-GB"/>
              </w:rPr>
              <w:t>)</w:t>
            </w:r>
          </w:p>
          <w:p w14:paraId="63D09335" w14:textId="77777777" w:rsidR="00401A33" w:rsidRPr="00C75E8F" w:rsidRDefault="00EC6766" w:rsidP="00FD6FA4">
            <w:pPr>
              <w:numPr>
                <w:ilvl w:val="0"/>
                <w:numId w:val="1"/>
              </w:numPr>
              <w:spacing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Implement data security measures aligned with user consent frameworks</w:t>
            </w:r>
          </w:p>
        </w:tc>
        <w:tc>
          <w:tcPr>
            <w:tcW w:w="2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AC34A4"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Prevent delayed defect detection and unmanageable change requests</w:t>
            </w:r>
          </w:p>
        </w:tc>
      </w:tr>
      <w:tr w:rsidR="00401A33" w:rsidRPr="00C75E8F" w14:paraId="369AA8C3" w14:textId="77777777" w:rsidTr="00581A20">
        <w:trPr>
          <w:trHeight w:val="1355"/>
        </w:trPr>
        <w:tc>
          <w:tcPr>
            <w:tcW w:w="23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45AA01"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Testing, Training &amp; Pre-Launch Adoption</w:t>
            </w:r>
          </w:p>
        </w:tc>
        <w:tc>
          <w:tcPr>
            <w:tcW w:w="45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979CF6" w14:textId="77777777" w:rsidR="00401A33" w:rsidRPr="00C75E8F" w:rsidRDefault="00EC6766" w:rsidP="00FD6FA4">
            <w:pPr>
              <w:numPr>
                <w:ilvl w:val="0"/>
                <w:numId w:val="5"/>
              </w:numPr>
              <w:spacing w:before="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Conduct clinical trials under controlled supervision</w:t>
            </w:r>
          </w:p>
          <w:p w14:paraId="286D76D7" w14:textId="77777777" w:rsidR="00401A33" w:rsidRPr="00C75E8F" w:rsidRDefault="00EC6766" w:rsidP="00FD6FA4">
            <w:pPr>
              <w:numPr>
                <w:ilvl w:val="0"/>
                <w:numId w:val="5"/>
              </w:numPr>
              <w:spacing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Roll out training to clinical staff and early adopters</w:t>
            </w:r>
          </w:p>
          <w:p w14:paraId="0A74D80C" w14:textId="77777777" w:rsidR="00401A33" w:rsidRPr="00C75E8F" w:rsidRDefault="00EC6766" w:rsidP="00FD6FA4">
            <w:pPr>
              <w:numPr>
                <w:ilvl w:val="0"/>
                <w:numId w:val="5"/>
              </w:numPr>
              <w:spacing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Test patient onboarding for sustained engagement</w:t>
            </w:r>
          </w:p>
        </w:tc>
        <w:tc>
          <w:tcPr>
            <w:tcW w:w="2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90F1D7"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Prevent adoption barriers and workflow resistance</w:t>
            </w:r>
          </w:p>
        </w:tc>
      </w:tr>
      <w:tr w:rsidR="00401A33" w:rsidRPr="00C75E8F" w14:paraId="0969821E" w14:textId="77777777" w:rsidTr="00581A20">
        <w:trPr>
          <w:trHeight w:val="1670"/>
        </w:trPr>
        <w:tc>
          <w:tcPr>
            <w:tcW w:w="23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490AA4"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lastRenderedPageBreak/>
              <w:t>Launch, Monitoring &amp; Ongoing Relationship Management</w:t>
            </w:r>
          </w:p>
        </w:tc>
        <w:tc>
          <w:tcPr>
            <w:tcW w:w="45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2A3290" w14:textId="77777777" w:rsidR="00401A33" w:rsidRPr="00C75E8F" w:rsidRDefault="00EC6766" w:rsidP="00FD6FA4">
            <w:pPr>
              <w:numPr>
                <w:ilvl w:val="0"/>
                <w:numId w:val="2"/>
              </w:numPr>
              <w:spacing w:before="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Establish feedback loops and compliance monitoring</w:t>
            </w:r>
          </w:p>
          <w:p w14:paraId="3CE270E4" w14:textId="77777777" w:rsidR="00401A33" w:rsidRPr="00C75E8F" w:rsidRDefault="00EC6766" w:rsidP="00FD6FA4">
            <w:pPr>
              <w:numPr>
                <w:ilvl w:val="0"/>
                <w:numId w:val="2"/>
              </w:numPr>
              <w:spacing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Capture usage analytics to inform improvements</w:t>
            </w:r>
          </w:p>
          <w:p w14:paraId="5611A59B" w14:textId="77777777" w:rsidR="00401A33" w:rsidRPr="00C75E8F" w:rsidRDefault="00EC6766" w:rsidP="00FD6FA4">
            <w:pPr>
              <w:numPr>
                <w:ilvl w:val="0"/>
                <w:numId w:val="2"/>
              </w:numPr>
              <w:spacing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Maintain engagement cadence to sustain performance outcomes</w:t>
            </w:r>
          </w:p>
        </w:tc>
        <w:tc>
          <w:tcPr>
            <w:tcW w:w="2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0B0FC9"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Prevent post-launch attrition and stakeholder disengagement</w:t>
            </w:r>
          </w:p>
        </w:tc>
      </w:tr>
    </w:tbl>
    <w:p w14:paraId="2FB1622F" w14:textId="77777777" w:rsidR="00581A20" w:rsidRPr="00C75E8F" w:rsidRDefault="00581A20"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Table 9: Engagement Process Phases for the Wearable Device Launch Project</w:t>
      </w:r>
    </w:p>
    <w:p w14:paraId="43108223"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(Source: Curated by Author)</w:t>
      </w:r>
    </w:p>
    <w:p w14:paraId="6B5D431E" w14:textId="77777777" w:rsidR="00401A33" w:rsidRPr="00C75E8F" w:rsidRDefault="00401A33" w:rsidP="00FD6FA4">
      <w:pPr>
        <w:spacing w:before="240" w:after="240" w:line="360" w:lineRule="auto"/>
        <w:jc w:val="both"/>
        <w:rPr>
          <w:rFonts w:ascii="Times New Roman" w:eastAsia="Times New Roman" w:hAnsi="Times New Roman" w:cs="Times New Roman"/>
          <w:sz w:val="24"/>
          <w:szCs w:val="24"/>
          <w:lang w:val="en-GB"/>
        </w:rPr>
      </w:pPr>
    </w:p>
    <w:p w14:paraId="73E4BDE5" w14:textId="77777777" w:rsidR="00401A33" w:rsidRPr="00C75E8F" w:rsidRDefault="00EC6766" w:rsidP="00FD6FA4">
      <w:pPr>
        <w:pStyle w:val="Heading2"/>
        <w:spacing w:before="240" w:after="240"/>
        <w:rPr>
          <w:lang w:val="en-GB"/>
        </w:rPr>
      </w:pPr>
      <w:bookmarkStart w:id="34" w:name="_67alixdkr814" w:colFirst="0" w:colLast="0"/>
      <w:bookmarkStart w:id="35" w:name="_Toc215776379"/>
      <w:bookmarkEnd w:id="34"/>
      <w:r w:rsidRPr="00C75E8F">
        <w:rPr>
          <w:lang w:val="en-GB"/>
        </w:rPr>
        <w:t>6.2 Stakeholder management using the 4Cs Model.</w:t>
      </w:r>
      <w:bookmarkEnd w:id="35"/>
    </w:p>
    <w:p w14:paraId="2955FEE4"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The 4Cs framework is a systemic way to synchronise the decision-making of high-dependency stakeholders.</w:t>
      </w:r>
    </w:p>
    <w:tbl>
      <w:tblPr>
        <w:tblStyle w:val="a9"/>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987"/>
        <w:gridCol w:w="3910"/>
        <w:gridCol w:w="3463"/>
      </w:tblGrid>
      <w:tr w:rsidR="00401A33" w:rsidRPr="00C75E8F" w14:paraId="7F63287E" w14:textId="77777777" w:rsidTr="00581A20">
        <w:trPr>
          <w:trHeight w:val="1442"/>
        </w:trPr>
        <w:tc>
          <w:tcPr>
            <w:tcW w:w="1987"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63203EAD"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4C Model Element</w:t>
            </w:r>
          </w:p>
        </w:tc>
        <w:tc>
          <w:tcPr>
            <w:tcW w:w="3910"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6711687C"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Application in the Project</w:t>
            </w:r>
          </w:p>
        </w:tc>
        <w:tc>
          <w:tcPr>
            <w:tcW w:w="3463"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21E23DA2"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Conflict Prevention &amp; Resolution Contribution</w:t>
            </w:r>
          </w:p>
        </w:tc>
      </w:tr>
      <w:tr w:rsidR="00401A33" w:rsidRPr="00C75E8F" w14:paraId="2F9B68A1" w14:textId="77777777" w:rsidTr="00581A20">
        <w:trPr>
          <w:trHeight w:val="800"/>
        </w:trPr>
        <w:tc>
          <w:tcPr>
            <w:tcW w:w="198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157644"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Communication</w:t>
            </w:r>
          </w:p>
        </w:tc>
        <w:tc>
          <w:tcPr>
            <w:tcW w:w="3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66D85C"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Transparent updates, clinical testing outcomes, and risks escalated early</w:t>
            </w:r>
          </w:p>
        </w:tc>
        <w:tc>
          <w:tcPr>
            <w:tcW w:w="34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870A1A"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Eliminates misinformation and perceptions of exclusion</w:t>
            </w:r>
          </w:p>
        </w:tc>
      </w:tr>
      <w:tr w:rsidR="00401A33" w:rsidRPr="00C75E8F" w14:paraId="31886C54" w14:textId="77777777" w:rsidTr="00581A20">
        <w:trPr>
          <w:trHeight w:val="800"/>
        </w:trPr>
        <w:tc>
          <w:tcPr>
            <w:tcW w:w="198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09B284"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Coordination</w:t>
            </w:r>
          </w:p>
        </w:tc>
        <w:tc>
          <w:tcPr>
            <w:tcW w:w="3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125D7A"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Shared timelines, aligned approvals, supply chain monitoring</w:t>
            </w:r>
          </w:p>
        </w:tc>
        <w:tc>
          <w:tcPr>
            <w:tcW w:w="34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98DDFA"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Reduces duplication and operational clashes</w:t>
            </w:r>
          </w:p>
        </w:tc>
      </w:tr>
      <w:tr w:rsidR="00401A33" w:rsidRPr="00C75E8F" w14:paraId="3E2FC66E" w14:textId="77777777" w:rsidTr="00581A20">
        <w:trPr>
          <w:trHeight w:val="800"/>
        </w:trPr>
        <w:tc>
          <w:tcPr>
            <w:tcW w:w="198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B0A84F"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lastRenderedPageBreak/>
              <w:t>Cooperation</w:t>
            </w:r>
          </w:p>
        </w:tc>
        <w:tc>
          <w:tcPr>
            <w:tcW w:w="3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35B7B6"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Stakeholders accept mutual dependencies and shared constraints</w:t>
            </w:r>
          </w:p>
        </w:tc>
        <w:tc>
          <w:tcPr>
            <w:tcW w:w="34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D5B93A"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Encourages relational trust and compromise</w:t>
            </w:r>
          </w:p>
        </w:tc>
      </w:tr>
      <w:tr w:rsidR="00401A33" w:rsidRPr="00C75E8F" w14:paraId="25CFEC06" w14:textId="77777777" w:rsidTr="00581A20">
        <w:trPr>
          <w:trHeight w:val="800"/>
        </w:trPr>
        <w:tc>
          <w:tcPr>
            <w:tcW w:w="198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DC3411"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Collaboration</w:t>
            </w:r>
          </w:p>
        </w:tc>
        <w:tc>
          <w:tcPr>
            <w:tcW w:w="3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C63C4E"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Joint decision-making, co-designed workflows, and patient pathways</w:t>
            </w:r>
          </w:p>
        </w:tc>
        <w:tc>
          <w:tcPr>
            <w:tcW w:w="34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0444CB"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Builds ownership and reduces resistance to change</w:t>
            </w:r>
          </w:p>
        </w:tc>
      </w:tr>
    </w:tbl>
    <w:p w14:paraId="349E7893" w14:textId="77777777" w:rsidR="00581A20" w:rsidRPr="00C75E8F" w:rsidRDefault="00581A20"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Table 10: Risk Sources and Conflict Mitigation Strategies (4Cs Model)</w:t>
      </w:r>
    </w:p>
    <w:p w14:paraId="3E846370" w14:textId="77777777" w:rsidR="00401A33" w:rsidRPr="00C75E8F" w:rsidRDefault="00EC6766" w:rsidP="00581A20">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(Source: Curated by author)</w:t>
      </w:r>
    </w:p>
    <w:p w14:paraId="77E796D3" w14:textId="77777777" w:rsidR="00401A33" w:rsidRPr="00C75E8F" w:rsidRDefault="00EC6766" w:rsidP="00FD6FA4">
      <w:pPr>
        <w:pStyle w:val="Heading2"/>
        <w:spacing w:before="240" w:after="240"/>
        <w:rPr>
          <w:lang w:val="en-GB"/>
        </w:rPr>
      </w:pPr>
      <w:bookmarkStart w:id="36" w:name="_bz64ao640s62" w:colFirst="0" w:colLast="0"/>
      <w:bookmarkStart w:id="37" w:name="_Toc215776380"/>
      <w:bookmarkEnd w:id="36"/>
      <w:r w:rsidRPr="00C75E8F">
        <w:rPr>
          <w:lang w:val="en-GB"/>
        </w:rPr>
        <w:t>6.3 Critical Examples of Conflict Sources and Mitigation</w:t>
      </w:r>
      <w:bookmarkStart w:id="38" w:name="_tgk3k6gnqils" w:colFirst="0" w:colLast="0"/>
      <w:bookmarkEnd w:id="37"/>
      <w:bookmarkEnd w:id="38"/>
    </w:p>
    <w:tbl>
      <w:tblPr>
        <w:tblStyle w:val="a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301"/>
        <w:gridCol w:w="3075"/>
        <w:gridCol w:w="3984"/>
      </w:tblGrid>
      <w:tr w:rsidR="00401A33" w:rsidRPr="00C75E8F" w14:paraId="3D7C8169" w14:textId="77777777" w:rsidTr="002D5FA7">
        <w:trPr>
          <w:trHeight w:val="800"/>
        </w:trPr>
        <w:tc>
          <w:tcPr>
            <w:tcW w:w="2301"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0A922660"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Stakeholder Conflict Risk</w:t>
            </w:r>
          </w:p>
        </w:tc>
        <w:tc>
          <w:tcPr>
            <w:tcW w:w="3075"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23D6DEF5"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Underlying Cause</w:t>
            </w:r>
          </w:p>
        </w:tc>
        <w:tc>
          <w:tcPr>
            <w:tcW w:w="3984" w:type="dxa"/>
            <w:tcBorders>
              <w:top w:val="single" w:sz="4" w:space="0" w:color="000000"/>
              <w:left w:val="single" w:sz="4" w:space="0" w:color="000000"/>
              <w:bottom w:val="single" w:sz="4" w:space="0" w:color="000000"/>
              <w:right w:val="single" w:sz="4" w:space="0" w:color="000000"/>
            </w:tcBorders>
            <w:shd w:val="clear" w:color="auto" w:fill="DAEEF3" w:themeFill="accent5" w:themeFillTint="33"/>
            <w:tcMar>
              <w:top w:w="100" w:type="dxa"/>
              <w:left w:w="100" w:type="dxa"/>
              <w:bottom w:w="100" w:type="dxa"/>
              <w:right w:w="100" w:type="dxa"/>
            </w:tcMar>
          </w:tcPr>
          <w:p w14:paraId="05342BAF" w14:textId="77777777" w:rsidR="00401A33" w:rsidRPr="00C75E8F" w:rsidRDefault="00EC6766"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
                <w:bCs/>
                <w:sz w:val="24"/>
                <w:szCs w:val="24"/>
                <w:lang w:val="en-GB"/>
              </w:rPr>
              <w:t>Mitigation Strategy (4Cs Embedded)</w:t>
            </w:r>
          </w:p>
        </w:tc>
      </w:tr>
      <w:tr w:rsidR="00401A33" w:rsidRPr="00C75E8F" w14:paraId="024749CA" w14:textId="77777777" w:rsidTr="002D5FA7">
        <w:trPr>
          <w:trHeight w:val="800"/>
        </w:trPr>
        <w:tc>
          <w:tcPr>
            <w:tcW w:w="230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7D72C2"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Clinicians resist adoption</w:t>
            </w:r>
          </w:p>
        </w:tc>
        <w:tc>
          <w:tcPr>
            <w:tcW w:w="3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A85F9C"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Perceived increased workload</w:t>
            </w:r>
          </w:p>
        </w:tc>
        <w:tc>
          <w:tcPr>
            <w:tcW w:w="398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68A324"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Co-design workflow changes; transparent impact testing</w:t>
            </w:r>
          </w:p>
        </w:tc>
      </w:tr>
      <w:tr w:rsidR="00401A33" w:rsidRPr="00C75E8F" w14:paraId="3B5FB880" w14:textId="77777777" w:rsidTr="002D5FA7">
        <w:trPr>
          <w:trHeight w:val="800"/>
        </w:trPr>
        <w:tc>
          <w:tcPr>
            <w:tcW w:w="230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E67638"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Suppliers cause delays</w:t>
            </w:r>
          </w:p>
        </w:tc>
        <w:tc>
          <w:tcPr>
            <w:tcW w:w="3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51FFCA"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Competing priorities or limited capacity</w:t>
            </w:r>
          </w:p>
        </w:tc>
        <w:tc>
          <w:tcPr>
            <w:tcW w:w="398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CEB0C1"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Shared forecasts; contractual performance reviews</w:t>
            </w:r>
          </w:p>
        </w:tc>
      </w:tr>
      <w:tr w:rsidR="00401A33" w:rsidRPr="00C75E8F" w14:paraId="1589A173" w14:textId="77777777" w:rsidTr="002D5FA7">
        <w:trPr>
          <w:trHeight w:val="800"/>
        </w:trPr>
        <w:tc>
          <w:tcPr>
            <w:tcW w:w="230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35DEEA"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Regulatory rejections</w:t>
            </w:r>
          </w:p>
        </w:tc>
        <w:tc>
          <w:tcPr>
            <w:tcW w:w="3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B59DBC"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Documentation deficiencies</w:t>
            </w:r>
          </w:p>
        </w:tc>
        <w:tc>
          <w:tcPr>
            <w:tcW w:w="398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711043"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Early compliance involvement; iterative evidence submissions</w:t>
            </w:r>
          </w:p>
        </w:tc>
      </w:tr>
      <w:tr w:rsidR="00401A33" w:rsidRPr="00C75E8F" w14:paraId="10EC9802" w14:textId="77777777" w:rsidTr="002D5FA7">
        <w:trPr>
          <w:trHeight w:val="800"/>
        </w:trPr>
        <w:tc>
          <w:tcPr>
            <w:tcW w:w="230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037AB6"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Patient disengagement</w:t>
            </w:r>
          </w:p>
        </w:tc>
        <w:tc>
          <w:tcPr>
            <w:tcW w:w="3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879254"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Poor usability or anxiety about monitoring</w:t>
            </w:r>
          </w:p>
        </w:tc>
        <w:tc>
          <w:tcPr>
            <w:tcW w:w="398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055DCF"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Continuous user feedback loop and simplified onboarding</w:t>
            </w:r>
          </w:p>
        </w:tc>
      </w:tr>
    </w:tbl>
    <w:p w14:paraId="5F9034FB" w14:textId="77777777" w:rsidR="00401A33" w:rsidRPr="00C75E8F" w:rsidRDefault="002D5FA7" w:rsidP="00FD6FA4">
      <w:pPr>
        <w:spacing w:before="240" w:after="240" w:line="360" w:lineRule="auto"/>
        <w:jc w:val="center"/>
        <w:rPr>
          <w:rFonts w:ascii="Times New Roman" w:eastAsia="Times New Roman" w:hAnsi="Times New Roman" w:cs="Times New Roman"/>
          <w:sz w:val="24"/>
          <w:szCs w:val="24"/>
          <w:lang w:val="en-GB"/>
        </w:rPr>
      </w:pPr>
      <w:r w:rsidRPr="00C75E8F">
        <w:rPr>
          <w:rFonts w:ascii="Times New Roman" w:eastAsia="Times New Roman" w:hAnsi="Times New Roman" w:cs="Times New Roman"/>
          <w:bCs/>
          <w:sz w:val="24"/>
          <w:szCs w:val="24"/>
          <w:lang w:val="en-GB"/>
        </w:rPr>
        <w:lastRenderedPageBreak/>
        <w:t>Table 11: Conflict Sources and Mitigation Strategies Aligned with the 4Cs Engagement Model</w:t>
      </w:r>
      <w:r w:rsidR="00EC6766" w:rsidRPr="00C75E8F">
        <w:rPr>
          <w:rFonts w:ascii="Times New Roman" w:eastAsia="Times New Roman" w:hAnsi="Times New Roman" w:cs="Times New Roman"/>
          <w:b/>
          <w:bCs/>
          <w:sz w:val="24"/>
          <w:szCs w:val="24"/>
          <w:lang w:val="en-GB"/>
        </w:rPr>
        <w:br/>
      </w:r>
      <w:r w:rsidR="00EC6766" w:rsidRPr="00C75E8F">
        <w:rPr>
          <w:rFonts w:ascii="Times New Roman" w:eastAsia="Times New Roman" w:hAnsi="Times New Roman" w:cs="Times New Roman"/>
          <w:sz w:val="24"/>
          <w:szCs w:val="24"/>
          <w:lang w:val="en-GB"/>
        </w:rPr>
        <w:t>(Source: Curated by author)</w:t>
      </w:r>
    </w:p>
    <w:p w14:paraId="3A4D5A20"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Not every stakeholder is motivated the same way; some of them need to be constantly reminded that their needs are at the core. Powerful stakeholders like regulators might insist on the design changes being made at the last minute, and low-power yet highly interested patients might simply switch off. That is why the Project Manager cannot presume that the engagement will be constant; he or she has to actively keep it.</w:t>
      </w:r>
    </w:p>
    <w:p w14:paraId="44874867" w14:textId="77777777" w:rsidR="00401A33" w:rsidRPr="00C75E8F" w:rsidRDefault="00EC6766" w:rsidP="00FD6FA4">
      <w:pPr>
        <w:pStyle w:val="Heading2"/>
        <w:spacing w:before="240" w:after="240"/>
        <w:rPr>
          <w:lang w:val="en-GB"/>
        </w:rPr>
      </w:pPr>
      <w:bookmarkStart w:id="39" w:name="_lynxouonw1fl" w:colFirst="0" w:colLast="0"/>
      <w:bookmarkStart w:id="40" w:name="_Toc215776381"/>
      <w:bookmarkEnd w:id="39"/>
      <w:r w:rsidRPr="00C75E8F">
        <w:rPr>
          <w:lang w:val="en-GB"/>
        </w:rPr>
        <w:t>6.4 Force Field and Trust as a Determinant of Engagement.</w:t>
      </w:r>
      <w:bookmarkEnd w:id="40"/>
    </w:p>
    <w:p w14:paraId="14F17BE6"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Power relations and trust are the essential factors of interaction in healthcare systems, and their lack of balance may lead to the rapid outbreak of conflict in the event of insensitive management (</w:t>
      </w:r>
      <w:proofErr w:type="spellStart"/>
      <w:r w:rsidRPr="00C75E8F">
        <w:rPr>
          <w:rFonts w:ascii="Times New Roman" w:eastAsia="Times New Roman" w:hAnsi="Times New Roman" w:cs="Times New Roman"/>
          <w:sz w:val="24"/>
          <w:szCs w:val="24"/>
          <w:lang w:val="en-GB"/>
        </w:rPr>
        <w:t>Bochatay</w:t>
      </w:r>
      <w:proofErr w:type="spellEnd"/>
      <w:r w:rsidRPr="00C75E8F">
        <w:rPr>
          <w:rFonts w:ascii="Times New Roman" w:eastAsia="Times New Roman" w:hAnsi="Times New Roman" w:cs="Times New Roman"/>
          <w:sz w:val="24"/>
          <w:szCs w:val="24"/>
          <w:lang w:val="en-GB"/>
        </w:rPr>
        <w:t xml:space="preserve"> et al., 2021). Clinicians can experience that they are being replaced by automation in making professional judgements, the suppliers may use their power to affect project decisions by manipulating unique components, and the patients may not trust the promise of data privacy without regular assurances. To address such risks, the Project Manager will have to foster psychological safety within all feedback settings, transparent data illustrating clinical and personal value, as well as suppliers as strategic partners and not as transactional vendors. When such dynamics are proactively handled, the stakeholders will cease to remain in the position of mere observers, but will become true champions of the project.</w:t>
      </w:r>
    </w:p>
    <w:p w14:paraId="0F2AF04A" w14:textId="77777777" w:rsidR="00401A33" w:rsidRPr="00C75E8F" w:rsidRDefault="00401A33" w:rsidP="00FD6FA4">
      <w:pPr>
        <w:spacing w:before="240" w:after="240" w:line="360" w:lineRule="auto"/>
        <w:jc w:val="both"/>
        <w:rPr>
          <w:rFonts w:ascii="Times New Roman" w:eastAsia="Times New Roman" w:hAnsi="Times New Roman" w:cs="Times New Roman"/>
          <w:sz w:val="24"/>
          <w:szCs w:val="24"/>
          <w:lang w:val="en-GB"/>
        </w:rPr>
      </w:pPr>
    </w:p>
    <w:p w14:paraId="7D50F02A" w14:textId="77777777" w:rsidR="00401A33" w:rsidRPr="00C75E8F" w:rsidRDefault="00EC6766" w:rsidP="00FD6FA4">
      <w:pPr>
        <w:pStyle w:val="Heading2"/>
        <w:spacing w:before="240" w:after="240"/>
        <w:rPr>
          <w:lang w:val="en-GB"/>
        </w:rPr>
      </w:pPr>
      <w:bookmarkStart w:id="41" w:name="_dumloxpfnjd5" w:colFirst="0" w:colLast="0"/>
      <w:bookmarkStart w:id="42" w:name="_Toc215776382"/>
      <w:bookmarkEnd w:id="41"/>
      <w:r w:rsidRPr="00C75E8F">
        <w:rPr>
          <w:lang w:val="en-GB"/>
        </w:rPr>
        <w:t>6.5 Proactive Risk Anticipation</w:t>
      </w:r>
      <w:bookmarkEnd w:id="42"/>
    </w:p>
    <w:p w14:paraId="251A7EAF"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Proactive risk anticipation involves ongoing observation of the risks that are driven by stakeholders by providing early warning messages, performance indicators in the form of engagement, i.e., attendance of meetings and frequency of feedback, and scheduled alignment checkpoints at important project milestones. Devoid of this vigilance, the stakeholder enthusiasm can fade in the silent background with time, leading to such failures occurring at the last stage, which can be not only expensive and very hard to undo.</w:t>
      </w:r>
    </w:p>
    <w:p w14:paraId="047ACA22" w14:textId="77777777" w:rsidR="00401A33" w:rsidRPr="00C75E8F" w:rsidRDefault="00401A33" w:rsidP="00FD6FA4">
      <w:pPr>
        <w:spacing w:before="240" w:after="240" w:line="360" w:lineRule="auto"/>
        <w:jc w:val="both"/>
        <w:rPr>
          <w:rFonts w:ascii="Times New Roman" w:eastAsia="Times New Roman" w:hAnsi="Times New Roman" w:cs="Times New Roman"/>
          <w:sz w:val="24"/>
          <w:szCs w:val="24"/>
          <w:lang w:val="en-GB"/>
        </w:rPr>
      </w:pPr>
    </w:p>
    <w:p w14:paraId="75A9238F" w14:textId="77777777" w:rsidR="00401A33" w:rsidRPr="00C75E8F" w:rsidRDefault="00EC6766" w:rsidP="00FD6FA4">
      <w:pPr>
        <w:pStyle w:val="Heading2"/>
        <w:spacing w:before="240" w:after="240"/>
        <w:rPr>
          <w:lang w:val="en-GB"/>
        </w:rPr>
      </w:pPr>
      <w:bookmarkStart w:id="43" w:name="_wjuljvf038pn" w:colFirst="0" w:colLast="0"/>
      <w:bookmarkStart w:id="44" w:name="_Toc215776383"/>
      <w:bookmarkEnd w:id="43"/>
      <w:r w:rsidRPr="00C75E8F">
        <w:rPr>
          <w:lang w:val="en-GB"/>
        </w:rPr>
        <w:lastRenderedPageBreak/>
        <w:t>6.6 Synthesis -Why the 4Cs Approach is Necessary.</w:t>
      </w:r>
      <w:bookmarkEnd w:id="44"/>
    </w:p>
    <w:p w14:paraId="74C62167"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The 4Cs strategy is necessary as it makes the engagement not be limited to one-way communication but develops into actual behavioural alignment, which is significant in a multi-layered and tightly controlled medical wearable introduction (Xu et al., 2024). Communication helps to keep the stakeholders updated, coordination helps to manage operational efforts, cooperation helps to create shared responsibility, and collaboration helps to create commitment to shared outcomes. In the absence of such a systematic strategy, the conflicts may lead to disengagement, operational mistakes, or even a violation of compliance - each of them may jeopardize the safety of patients and postpone entry into the market.</w:t>
      </w:r>
    </w:p>
    <w:p w14:paraId="6FFC6161" w14:textId="77777777" w:rsidR="00401A33" w:rsidRPr="00C75E8F" w:rsidRDefault="00401A33" w:rsidP="00FD6FA4">
      <w:pPr>
        <w:spacing w:before="240" w:after="240" w:line="360" w:lineRule="auto"/>
        <w:jc w:val="both"/>
        <w:rPr>
          <w:rFonts w:ascii="Times New Roman" w:eastAsia="Times New Roman" w:hAnsi="Times New Roman" w:cs="Times New Roman"/>
          <w:sz w:val="24"/>
          <w:szCs w:val="24"/>
          <w:lang w:val="en-GB"/>
        </w:rPr>
      </w:pPr>
    </w:p>
    <w:p w14:paraId="4030B4E8" w14:textId="77777777" w:rsidR="00401A33" w:rsidRPr="00C75E8F" w:rsidRDefault="00EC6766" w:rsidP="00FD6FA4">
      <w:pPr>
        <w:pStyle w:val="Heading1"/>
        <w:spacing w:before="240" w:after="240"/>
        <w:rPr>
          <w:lang w:val="en-GB"/>
        </w:rPr>
      </w:pPr>
      <w:bookmarkStart w:id="45" w:name="_7cks0j7ihcqx" w:colFirst="0" w:colLast="0"/>
      <w:bookmarkStart w:id="46" w:name="_Toc215776384"/>
      <w:bookmarkEnd w:id="45"/>
      <w:r w:rsidRPr="00C75E8F">
        <w:rPr>
          <w:lang w:val="en-GB"/>
        </w:rPr>
        <w:t>7.0 Analysis of the Effect of Stakeholder Engagement on the Business Performance and Future Recommendations.</w:t>
      </w:r>
      <w:bookmarkEnd w:id="46"/>
    </w:p>
    <w:p w14:paraId="27990D10"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 xml:space="preserve">Engagement of stakeholders is a crucial strategic facilitator in any healthcare technology project, and acceptance, patient safety, and organisational integrity are at fault (Ashcroft, 2017). When introducing the wearable monitoring device of Current Health, the relationships with stakeholders have a direct impact on the efficiency of operations, market penetration, </w:t>
      </w:r>
      <w:r w:rsidR="00FD6FA4" w:rsidRPr="00C75E8F">
        <w:rPr>
          <w:rFonts w:ascii="Times New Roman" w:eastAsia="Times New Roman" w:hAnsi="Times New Roman" w:cs="Times New Roman"/>
          <w:sz w:val="24"/>
          <w:szCs w:val="24"/>
          <w:lang w:val="en-GB"/>
        </w:rPr>
        <w:t>and level</w:t>
      </w:r>
      <w:r w:rsidRPr="00C75E8F">
        <w:rPr>
          <w:rFonts w:ascii="Times New Roman" w:eastAsia="Times New Roman" w:hAnsi="Times New Roman" w:cs="Times New Roman"/>
          <w:sz w:val="24"/>
          <w:szCs w:val="24"/>
          <w:lang w:val="en-GB"/>
        </w:rPr>
        <w:t xml:space="preserve"> of innovation, financial soundness, user satisfaction, and acceptance by the regulatory bodies. This section critically </w:t>
      </w:r>
      <w:proofErr w:type="spellStart"/>
      <w:r w:rsidRPr="00C75E8F">
        <w:rPr>
          <w:rFonts w:ascii="Times New Roman" w:eastAsia="Times New Roman" w:hAnsi="Times New Roman" w:cs="Times New Roman"/>
          <w:sz w:val="24"/>
          <w:szCs w:val="24"/>
          <w:lang w:val="en-GB"/>
        </w:rPr>
        <w:t>analyzes</w:t>
      </w:r>
      <w:proofErr w:type="spellEnd"/>
      <w:r w:rsidRPr="00C75E8F">
        <w:rPr>
          <w:rFonts w:ascii="Times New Roman" w:eastAsia="Times New Roman" w:hAnsi="Times New Roman" w:cs="Times New Roman"/>
          <w:sz w:val="24"/>
          <w:szCs w:val="24"/>
          <w:lang w:val="en-GB"/>
        </w:rPr>
        <w:t xml:space="preserve"> these effects and gives future suggestions to enhance sustainable engagement.</w:t>
      </w:r>
    </w:p>
    <w:p w14:paraId="3596DE0E" w14:textId="77777777" w:rsidR="00401A33" w:rsidRPr="00C75E8F" w:rsidRDefault="00EC6766" w:rsidP="00FD6FA4">
      <w:pPr>
        <w:spacing w:before="240" w:after="240" w:line="360" w:lineRule="auto"/>
        <w:jc w:val="both"/>
        <w:rPr>
          <w:rFonts w:ascii="Times New Roman" w:eastAsia="Times New Roman" w:hAnsi="Times New Roman" w:cs="Times New Roman"/>
          <w:b/>
          <w:bCs/>
          <w:i/>
          <w:iCs/>
          <w:sz w:val="24"/>
          <w:szCs w:val="24"/>
          <w:lang w:val="en-GB"/>
        </w:rPr>
      </w:pPr>
      <w:r w:rsidRPr="00C75E8F">
        <w:rPr>
          <w:rFonts w:ascii="Times New Roman" w:eastAsia="Times New Roman" w:hAnsi="Times New Roman" w:cs="Times New Roman"/>
          <w:b/>
          <w:bCs/>
          <w:i/>
          <w:iCs/>
          <w:sz w:val="24"/>
          <w:szCs w:val="24"/>
          <w:lang w:val="en-GB"/>
        </w:rPr>
        <w:t>Impact on Operational Effectiveness.</w:t>
      </w:r>
    </w:p>
    <w:p w14:paraId="77D17E3F"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Close collaboration with the teams and external partners helps to minimize delays, enhance the alignment of the work process, and reduce quality failures (Adepoju et al., 2022). Integration errors can be addressed before mass deployment when clinical stakeholders invest their insights in the initial stages. Similarly, when the communication is clear, supply chain partners have the ability to change production to the anticipated demand. Nevertheless, there are discrepancies in engagement, which result in bottlenecks, duplication of effort, and inconsistency in the status of readiness in teams. To curb this, the organisation must incorporate ongoing observation of the performance of the stakeholder engagement and hold a collective sense of responsibility in the attainment of milestones.</w:t>
      </w:r>
    </w:p>
    <w:p w14:paraId="3AE53BCF" w14:textId="77777777" w:rsidR="00401A33" w:rsidRPr="00C75E8F" w:rsidRDefault="00EC6766" w:rsidP="00FD6FA4">
      <w:pPr>
        <w:spacing w:before="240" w:after="240" w:line="360" w:lineRule="auto"/>
        <w:jc w:val="both"/>
        <w:rPr>
          <w:rFonts w:ascii="Times New Roman" w:eastAsia="Times New Roman" w:hAnsi="Times New Roman" w:cs="Times New Roman"/>
          <w:i/>
          <w:iCs/>
          <w:sz w:val="24"/>
          <w:szCs w:val="24"/>
          <w:lang w:val="en-GB"/>
        </w:rPr>
      </w:pPr>
      <w:r w:rsidRPr="00C75E8F">
        <w:rPr>
          <w:rFonts w:ascii="Times New Roman" w:eastAsia="Times New Roman" w:hAnsi="Times New Roman" w:cs="Times New Roman"/>
          <w:i/>
          <w:iCs/>
          <w:sz w:val="24"/>
          <w:szCs w:val="24"/>
          <w:lang w:val="en-GB"/>
        </w:rPr>
        <w:lastRenderedPageBreak/>
        <w:t>Recommendation:</w:t>
      </w:r>
    </w:p>
    <w:p w14:paraId="07345709"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Establish a performance dashboard to monitor the level of responsiveness in your engagement, attendance, and task completion by each group of stakeholders in advance to identify coordination gaps.</w:t>
      </w:r>
    </w:p>
    <w:p w14:paraId="7DFB97C8" w14:textId="77777777" w:rsidR="00401A33" w:rsidRPr="00C75E8F" w:rsidRDefault="00EC6766" w:rsidP="00FD6FA4">
      <w:pPr>
        <w:spacing w:before="240" w:after="240" w:line="360" w:lineRule="auto"/>
        <w:jc w:val="both"/>
        <w:rPr>
          <w:rFonts w:ascii="Times New Roman" w:eastAsia="Times New Roman" w:hAnsi="Times New Roman" w:cs="Times New Roman"/>
          <w:b/>
          <w:bCs/>
          <w:i/>
          <w:iCs/>
          <w:sz w:val="24"/>
          <w:szCs w:val="24"/>
          <w:lang w:val="en-GB"/>
        </w:rPr>
      </w:pPr>
      <w:r w:rsidRPr="00C75E8F">
        <w:rPr>
          <w:rFonts w:ascii="Times New Roman" w:eastAsia="Times New Roman" w:hAnsi="Times New Roman" w:cs="Times New Roman"/>
          <w:b/>
          <w:bCs/>
          <w:i/>
          <w:iCs/>
          <w:sz w:val="24"/>
          <w:szCs w:val="24"/>
          <w:lang w:val="en-GB"/>
        </w:rPr>
        <w:t>Impact on Innovation and Product Quality</w:t>
      </w:r>
    </w:p>
    <w:p w14:paraId="37FAD79B"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By partnering with patients and clinicians, it will be possible to develop clinical-quality products that will enhance experience, usability, and outcomes (Emmanuel, 2025). The response of the users will guarantee that the device will address the daily practical needs of individuals with chronic illnesses. The trustworthiness of the products is strengthened by regulatory and cybersecurity stakeholders who reduce the risk exposures. However, when the authority on decision-making is centralized in individual departments like compliance or engineering, the innovation process might come to a halt. Over-caution can result in stalling the positive design cycles, but uncoordinated design engineering decisions can produce safety risks in the future.</w:t>
      </w:r>
    </w:p>
    <w:p w14:paraId="2D2E2A34" w14:textId="77777777" w:rsidR="00401A33" w:rsidRPr="00C75E8F" w:rsidRDefault="00EC6766" w:rsidP="00FD6FA4">
      <w:pPr>
        <w:spacing w:before="240" w:after="240" w:line="360" w:lineRule="auto"/>
        <w:jc w:val="both"/>
        <w:rPr>
          <w:rFonts w:ascii="Times New Roman" w:eastAsia="Times New Roman" w:hAnsi="Times New Roman" w:cs="Times New Roman"/>
          <w:i/>
          <w:iCs/>
          <w:sz w:val="24"/>
          <w:szCs w:val="24"/>
          <w:lang w:val="en-GB"/>
        </w:rPr>
      </w:pPr>
      <w:r w:rsidRPr="00C75E8F">
        <w:rPr>
          <w:rFonts w:ascii="Times New Roman" w:eastAsia="Times New Roman" w:hAnsi="Times New Roman" w:cs="Times New Roman"/>
          <w:i/>
          <w:iCs/>
          <w:sz w:val="24"/>
          <w:szCs w:val="24"/>
          <w:lang w:val="en-GB"/>
        </w:rPr>
        <w:t>Recommendation:</w:t>
      </w:r>
    </w:p>
    <w:p w14:paraId="5F15DF03"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Introducing co-design forums. In these forums, the engineering, clinical, and patient representatives collectively certify all significant product changes, continuing innovation without endangering regulatory integrity.</w:t>
      </w:r>
    </w:p>
    <w:p w14:paraId="651952ED" w14:textId="77777777" w:rsidR="00401A33" w:rsidRPr="00C75E8F" w:rsidRDefault="00EC6766" w:rsidP="00FD6FA4">
      <w:pPr>
        <w:spacing w:before="240" w:after="240" w:line="360" w:lineRule="auto"/>
        <w:jc w:val="both"/>
        <w:rPr>
          <w:rFonts w:ascii="Times New Roman" w:eastAsia="Times New Roman" w:hAnsi="Times New Roman" w:cs="Times New Roman"/>
          <w:b/>
          <w:bCs/>
          <w:i/>
          <w:iCs/>
          <w:sz w:val="24"/>
          <w:szCs w:val="24"/>
          <w:lang w:val="en-GB"/>
        </w:rPr>
      </w:pPr>
      <w:r w:rsidRPr="00C75E8F">
        <w:rPr>
          <w:rFonts w:ascii="Times New Roman" w:eastAsia="Times New Roman" w:hAnsi="Times New Roman" w:cs="Times New Roman"/>
          <w:b/>
          <w:bCs/>
          <w:i/>
          <w:iCs/>
          <w:sz w:val="24"/>
          <w:szCs w:val="24"/>
          <w:lang w:val="en-GB"/>
        </w:rPr>
        <w:t>Impact on the Success of Regulation and Risk Management.</w:t>
      </w:r>
    </w:p>
    <w:p w14:paraId="178F29F6"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Primarily, involvement in regulatory organizations guarantees the introduction of principles of safety at the initial level, enhancing the efficiency of approval and minimizing documentation failures (Gupta et al., 2024). It also makes Current Health an employee-trusted and transparent partner. Even small compliance holes can cause delays of several months or the necessity to redesign the product when regulatory interests are involved in the process later. Such disruptions can usually spread into extra expenses and a competitive advantage.</w:t>
      </w:r>
    </w:p>
    <w:p w14:paraId="6A49905E" w14:textId="77777777" w:rsidR="00401A33" w:rsidRPr="00C75E8F" w:rsidRDefault="00EC6766" w:rsidP="00FD6FA4">
      <w:pPr>
        <w:spacing w:before="240" w:after="240" w:line="360" w:lineRule="auto"/>
        <w:jc w:val="both"/>
        <w:rPr>
          <w:rFonts w:ascii="Times New Roman" w:eastAsia="Times New Roman" w:hAnsi="Times New Roman" w:cs="Times New Roman"/>
          <w:i/>
          <w:iCs/>
          <w:sz w:val="24"/>
          <w:szCs w:val="24"/>
          <w:lang w:val="en-GB"/>
        </w:rPr>
      </w:pPr>
      <w:r w:rsidRPr="00C75E8F">
        <w:rPr>
          <w:rFonts w:ascii="Times New Roman" w:eastAsia="Times New Roman" w:hAnsi="Times New Roman" w:cs="Times New Roman"/>
          <w:i/>
          <w:iCs/>
          <w:sz w:val="24"/>
          <w:szCs w:val="24"/>
          <w:lang w:val="en-GB"/>
        </w:rPr>
        <w:t>Recommendation:</w:t>
      </w:r>
    </w:p>
    <w:p w14:paraId="2334435C"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lastRenderedPageBreak/>
        <w:t>Institutionalise the regularity of compliance points during the development process instead of making regulation review a post-process approval measure.</w:t>
      </w:r>
    </w:p>
    <w:p w14:paraId="2708F8C4" w14:textId="77777777" w:rsidR="00401A33" w:rsidRPr="00C75E8F" w:rsidRDefault="00EC6766" w:rsidP="00FD6FA4">
      <w:pPr>
        <w:spacing w:before="240" w:after="240" w:line="360" w:lineRule="auto"/>
        <w:jc w:val="both"/>
        <w:rPr>
          <w:rFonts w:ascii="Times New Roman" w:eastAsia="Times New Roman" w:hAnsi="Times New Roman" w:cs="Times New Roman"/>
          <w:b/>
          <w:bCs/>
          <w:i/>
          <w:iCs/>
          <w:sz w:val="24"/>
          <w:szCs w:val="24"/>
          <w:lang w:val="en-GB"/>
        </w:rPr>
      </w:pPr>
      <w:r w:rsidRPr="00C75E8F">
        <w:rPr>
          <w:rFonts w:ascii="Times New Roman" w:eastAsia="Times New Roman" w:hAnsi="Times New Roman" w:cs="Times New Roman"/>
          <w:b/>
          <w:bCs/>
          <w:i/>
          <w:iCs/>
          <w:sz w:val="24"/>
          <w:szCs w:val="24"/>
          <w:lang w:val="en-GB"/>
        </w:rPr>
        <w:t>Impact on Competitive Positioning and Market Acceptance.</w:t>
      </w:r>
    </w:p>
    <w:p w14:paraId="1E3C309A"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The relationships with NHS clinicians and care providers are strong, and this factor directly affects purchasing and prescribing decisions (Boulding and Hinrichs-</w:t>
      </w:r>
      <w:proofErr w:type="spellStart"/>
      <w:r w:rsidRPr="00C75E8F">
        <w:rPr>
          <w:rFonts w:ascii="Times New Roman" w:eastAsia="Times New Roman" w:hAnsi="Times New Roman" w:cs="Times New Roman"/>
          <w:sz w:val="24"/>
          <w:szCs w:val="24"/>
          <w:lang w:val="en-GB"/>
        </w:rPr>
        <w:t>Krapels</w:t>
      </w:r>
      <w:proofErr w:type="spellEnd"/>
      <w:r w:rsidRPr="00C75E8F">
        <w:rPr>
          <w:rFonts w:ascii="Times New Roman" w:eastAsia="Times New Roman" w:hAnsi="Times New Roman" w:cs="Times New Roman"/>
          <w:sz w:val="24"/>
          <w:szCs w:val="24"/>
          <w:lang w:val="en-GB"/>
        </w:rPr>
        <w:t>, 2021). Market adoption of a device can be rapid when advocated by stakeholders, especially where the clinical trial evidence and real-life feedback support the device. It would assist in separating the device and other consumer wearables with no clinical validation. On the other hand, a perception of heightened workload or lack of support may create resistance, thus lowering deployment success.</w:t>
      </w:r>
    </w:p>
    <w:p w14:paraId="06213CAB" w14:textId="77777777" w:rsidR="00401A33" w:rsidRPr="00C75E8F" w:rsidRDefault="00EC6766" w:rsidP="00FD6FA4">
      <w:pPr>
        <w:spacing w:before="240" w:after="240" w:line="360" w:lineRule="auto"/>
        <w:jc w:val="both"/>
        <w:rPr>
          <w:rFonts w:ascii="Times New Roman" w:eastAsia="Times New Roman" w:hAnsi="Times New Roman" w:cs="Times New Roman"/>
          <w:i/>
          <w:iCs/>
          <w:sz w:val="24"/>
          <w:szCs w:val="24"/>
          <w:lang w:val="en-GB"/>
        </w:rPr>
      </w:pPr>
      <w:r w:rsidRPr="00C75E8F">
        <w:rPr>
          <w:rFonts w:ascii="Times New Roman" w:eastAsia="Times New Roman" w:hAnsi="Times New Roman" w:cs="Times New Roman"/>
          <w:i/>
          <w:iCs/>
          <w:sz w:val="24"/>
          <w:szCs w:val="24"/>
          <w:lang w:val="en-GB"/>
        </w:rPr>
        <w:t>Recommendation:</w:t>
      </w:r>
    </w:p>
    <w:p w14:paraId="442132DA"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Offer incentives for clinical training and workflow efficiency to show real value to the care teams.</w:t>
      </w:r>
    </w:p>
    <w:p w14:paraId="48A8C104" w14:textId="77777777" w:rsidR="00401A33" w:rsidRPr="00C75E8F" w:rsidRDefault="00EC6766" w:rsidP="00FD6FA4">
      <w:pPr>
        <w:spacing w:before="240" w:after="240" w:line="360" w:lineRule="auto"/>
        <w:jc w:val="both"/>
        <w:rPr>
          <w:rFonts w:ascii="Times New Roman" w:eastAsia="Times New Roman" w:hAnsi="Times New Roman" w:cs="Times New Roman"/>
          <w:b/>
          <w:bCs/>
          <w:i/>
          <w:iCs/>
          <w:sz w:val="24"/>
          <w:szCs w:val="24"/>
          <w:lang w:val="en-GB"/>
        </w:rPr>
      </w:pPr>
      <w:r w:rsidRPr="00C75E8F">
        <w:rPr>
          <w:rFonts w:ascii="Times New Roman" w:eastAsia="Times New Roman" w:hAnsi="Times New Roman" w:cs="Times New Roman"/>
          <w:b/>
          <w:bCs/>
          <w:i/>
          <w:iCs/>
          <w:sz w:val="24"/>
          <w:szCs w:val="24"/>
          <w:lang w:val="en-GB"/>
        </w:rPr>
        <w:t>Impact on Health outcomes and patient satisfaction.</w:t>
      </w:r>
    </w:p>
    <w:p w14:paraId="0D019EE8"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Patients are one of the main beneficiaries and final decision-makers in remote monitoring solutions (Baumann et al., 2024). Patients who are engaged are more adherent and provide vital feedback that can be used to improve onboarding and usability. Nonetheless, poor confidence users can be demotivated by the fear of their data being seen or their device being used, decreasing the utilisation rates over time, and negating the effects of care.</w:t>
      </w:r>
    </w:p>
    <w:p w14:paraId="1239E5B4" w14:textId="77777777" w:rsidR="00401A33" w:rsidRPr="00C75E8F" w:rsidRDefault="00EC6766" w:rsidP="00FD6FA4">
      <w:pPr>
        <w:spacing w:before="240" w:after="240" w:line="360" w:lineRule="auto"/>
        <w:jc w:val="both"/>
        <w:rPr>
          <w:rFonts w:ascii="Times New Roman" w:eastAsia="Times New Roman" w:hAnsi="Times New Roman" w:cs="Times New Roman"/>
          <w:i/>
          <w:iCs/>
          <w:sz w:val="24"/>
          <w:szCs w:val="24"/>
          <w:lang w:val="en-GB"/>
        </w:rPr>
      </w:pPr>
      <w:r w:rsidRPr="00C75E8F">
        <w:rPr>
          <w:rFonts w:ascii="Times New Roman" w:eastAsia="Times New Roman" w:hAnsi="Times New Roman" w:cs="Times New Roman"/>
          <w:i/>
          <w:iCs/>
          <w:sz w:val="24"/>
          <w:szCs w:val="24"/>
          <w:lang w:val="en-GB"/>
        </w:rPr>
        <w:t>Recommendation:</w:t>
      </w:r>
    </w:p>
    <w:p w14:paraId="522DDF70"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Establish a patient engagement programme that engages patients over the long term, that incorporates personalised onboarding, ongoing support lines, and behavioural nudges to enforce adherence.</w:t>
      </w:r>
    </w:p>
    <w:p w14:paraId="44E1BC9B" w14:textId="77777777" w:rsidR="00401A33" w:rsidRPr="00C75E8F" w:rsidRDefault="00EC6766" w:rsidP="00FD6FA4">
      <w:pPr>
        <w:pStyle w:val="Heading1"/>
        <w:spacing w:before="240" w:after="240"/>
        <w:rPr>
          <w:lang w:val="en-GB"/>
        </w:rPr>
      </w:pPr>
      <w:bookmarkStart w:id="47" w:name="_9sefna2hya2f" w:colFirst="0" w:colLast="0"/>
      <w:bookmarkStart w:id="48" w:name="_Toc215776385"/>
      <w:bookmarkEnd w:id="47"/>
      <w:r w:rsidRPr="00C75E8F">
        <w:rPr>
          <w:lang w:val="en-GB"/>
        </w:rPr>
        <w:t>8.0 Conclusion</w:t>
      </w:r>
      <w:bookmarkEnd w:id="48"/>
    </w:p>
    <w:p w14:paraId="230D55E2"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 xml:space="preserve">The introduction of the new wearable monitoring device of Current Health proves that stakeholder engagement is not just a communication practice, but an essential strategic operation that directly predetermines the project and organisational success. When patient safety, regulatory oversight, </w:t>
      </w:r>
      <w:r w:rsidRPr="00C75E8F">
        <w:rPr>
          <w:rFonts w:ascii="Times New Roman" w:eastAsia="Times New Roman" w:hAnsi="Times New Roman" w:cs="Times New Roman"/>
          <w:sz w:val="24"/>
          <w:szCs w:val="24"/>
          <w:lang w:val="en-GB"/>
        </w:rPr>
        <w:lastRenderedPageBreak/>
        <w:t xml:space="preserve">and integration of clinical workflows are the key elements in healthcare technology, alignment of various interests becomes a vital competitive edge. This report has demonstrated that sustained interaction with internal teams, clinical partners, </w:t>
      </w:r>
      <w:r w:rsidR="00FD6FA4" w:rsidRPr="00C75E8F">
        <w:rPr>
          <w:rFonts w:ascii="Times New Roman" w:eastAsia="Times New Roman" w:hAnsi="Times New Roman" w:cs="Times New Roman"/>
          <w:sz w:val="24"/>
          <w:szCs w:val="24"/>
          <w:lang w:val="en-GB"/>
        </w:rPr>
        <w:t>and regulators</w:t>
      </w:r>
      <w:r w:rsidRPr="00C75E8F">
        <w:rPr>
          <w:rFonts w:ascii="Times New Roman" w:eastAsia="Times New Roman" w:hAnsi="Times New Roman" w:cs="Times New Roman"/>
          <w:sz w:val="24"/>
          <w:szCs w:val="24"/>
          <w:lang w:val="en-GB"/>
        </w:rPr>
        <w:t xml:space="preserve">, suppliers, and </w:t>
      </w:r>
      <w:r w:rsidR="00FD6FA4" w:rsidRPr="00C75E8F">
        <w:rPr>
          <w:rFonts w:ascii="Times New Roman" w:eastAsia="Times New Roman" w:hAnsi="Times New Roman" w:cs="Times New Roman"/>
          <w:sz w:val="24"/>
          <w:szCs w:val="24"/>
          <w:lang w:val="en-GB"/>
        </w:rPr>
        <w:t>patient’s</w:t>
      </w:r>
      <w:r w:rsidRPr="00C75E8F">
        <w:rPr>
          <w:rFonts w:ascii="Times New Roman" w:eastAsia="Times New Roman" w:hAnsi="Times New Roman" w:cs="Times New Roman"/>
          <w:sz w:val="24"/>
          <w:szCs w:val="24"/>
          <w:lang w:val="en-GB"/>
        </w:rPr>
        <w:t xml:space="preserve"> results in increased innovation, seamless operations, adoption preparedness, and financial sustainability in the long run.</w:t>
      </w:r>
    </w:p>
    <w:p w14:paraId="51A49532"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The most important tools of engagement, like the Matrix by Mendelow, RACI allocation, engagement level mapping, and structured communication planning, help the project manager to predict conflict, instead of responding to it. Limited in combination with the 4Cs model- Communication, Coordination, Cooperation, and Collaboration-engagement transforms to behavioural alignment, which leads to shared ownership of the outcome as well as minimizing chances of rework wastage or resistance.</w:t>
      </w:r>
    </w:p>
    <w:p w14:paraId="31FC6DB1"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Finally, the transformative effects of stakeholder engagement are significant: it enhances trust, makes things more usable and clinically valuable, helps accelerate regulatory approval, and establishes a strong basis of ongoing learning and improvement. Stakeholder collaboration, as the organisation continues to become successful beyond this launch, has to remain part of organisational strategy and organisational culture. Through further investing in open communication, co-design, and evidence-based decision-making, Current Health will be able to ensure that it is resilient in the market in the long run and provide a high-quality improvement in patient outcomes using remote monitoring technologies.</w:t>
      </w:r>
      <w:r w:rsidRPr="00C75E8F">
        <w:rPr>
          <w:rFonts w:ascii="Times New Roman" w:hAnsi="Times New Roman" w:cs="Times New Roman"/>
          <w:sz w:val="24"/>
          <w:szCs w:val="24"/>
          <w:lang w:val="en-GB"/>
        </w:rPr>
        <w:br w:type="page"/>
      </w:r>
    </w:p>
    <w:p w14:paraId="3C08E090" w14:textId="77777777" w:rsidR="00401A33" w:rsidRPr="00C75E8F" w:rsidRDefault="00EC6766" w:rsidP="00FD6FA4">
      <w:pPr>
        <w:pStyle w:val="Heading1"/>
        <w:spacing w:before="240" w:after="240"/>
        <w:rPr>
          <w:lang w:val="en-GB"/>
        </w:rPr>
      </w:pPr>
      <w:bookmarkStart w:id="49" w:name="_mpoiun48krzp" w:colFirst="0" w:colLast="0"/>
      <w:bookmarkStart w:id="50" w:name="_Toc215776386"/>
      <w:bookmarkEnd w:id="49"/>
      <w:r w:rsidRPr="00C75E8F">
        <w:rPr>
          <w:lang w:val="en-GB"/>
        </w:rPr>
        <w:lastRenderedPageBreak/>
        <w:t>References</w:t>
      </w:r>
      <w:bookmarkEnd w:id="50"/>
    </w:p>
    <w:p w14:paraId="3B9BD62B"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proofErr w:type="spellStart"/>
      <w:r w:rsidRPr="00C75E8F">
        <w:rPr>
          <w:rFonts w:ascii="Times New Roman" w:eastAsia="Times New Roman" w:hAnsi="Times New Roman" w:cs="Times New Roman"/>
          <w:color w:val="222222"/>
          <w:sz w:val="24"/>
          <w:szCs w:val="24"/>
          <w:highlight w:val="white"/>
          <w:lang w:val="en-GB"/>
        </w:rPr>
        <w:t>Adeghe</w:t>
      </w:r>
      <w:proofErr w:type="spellEnd"/>
      <w:r w:rsidRPr="00C75E8F">
        <w:rPr>
          <w:rFonts w:ascii="Times New Roman" w:eastAsia="Times New Roman" w:hAnsi="Times New Roman" w:cs="Times New Roman"/>
          <w:color w:val="222222"/>
          <w:sz w:val="24"/>
          <w:szCs w:val="24"/>
          <w:highlight w:val="white"/>
          <w:lang w:val="en-GB"/>
        </w:rPr>
        <w:t xml:space="preserve">, E.P., Okolo, C.A. and </w:t>
      </w:r>
      <w:proofErr w:type="spellStart"/>
      <w:r w:rsidRPr="00C75E8F">
        <w:rPr>
          <w:rFonts w:ascii="Times New Roman" w:eastAsia="Times New Roman" w:hAnsi="Times New Roman" w:cs="Times New Roman"/>
          <w:color w:val="222222"/>
          <w:sz w:val="24"/>
          <w:szCs w:val="24"/>
          <w:highlight w:val="white"/>
          <w:lang w:val="en-GB"/>
        </w:rPr>
        <w:t>Ojeyinka</w:t>
      </w:r>
      <w:proofErr w:type="spellEnd"/>
      <w:r w:rsidRPr="00C75E8F">
        <w:rPr>
          <w:rFonts w:ascii="Times New Roman" w:eastAsia="Times New Roman" w:hAnsi="Times New Roman" w:cs="Times New Roman"/>
          <w:color w:val="222222"/>
          <w:sz w:val="24"/>
          <w:szCs w:val="24"/>
          <w:highlight w:val="white"/>
          <w:lang w:val="en-GB"/>
        </w:rPr>
        <w:t xml:space="preserve">, O.T., 2024. A review of wearable technology in healthcare: Monitoring patient health and enhancing outcomes. </w:t>
      </w:r>
      <w:r w:rsidRPr="00C75E8F">
        <w:rPr>
          <w:rFonts w:ascii="Times New Roman" w:eastAsia="Times New Roman" w:hAnsi="Times New Roman" w:cs="Times New Roman"/>
          <w:i/>
          <w:iCs/>
          <w:sz w:val="24"/>
          <w:szCs w:val="24"/>
          <w:lang w:val="en-GB"/>
        </w:rPr>
        <w:t>OARJ of Multidisciplinary Studies</w:t>
      </w:r>
      <w:r w:rsidRPr="00C75E8F">
        <w:rPr>
          <w:rFonts w:ascii="Times New Roman" w:eastAsia="Times New Roman" w:hAnsi="Times New Roman" w:cs="Times New Roman"/>
          <w:sz w:val="24"/>
          <w:szCs w:val="24"/>
          <w:lang w:val="en-GB"/>
        </w:rPr>
        <w:t xml:space="preserve">, </w:t>
      </w:r>
      <w:r w:rsidRPr="00C75E8F">
        <w:rPr>
          <w:rFonts w:ascii="Times New Roman" w:eastAsia="Times New Roman" w:hAnsi="Times New Roman" w:cs="Times New Roman"/>
          <w:i/>
          <w:iCs/>
          <w:sz w:val="24"/>
          <w:szCs w:val="24"/>
          <w:lang w:val="en-GB"/>
        </w:rPr>
        <w:t>7</w:t>
      </w:r>
      <w:r w:rsidRPr="00C75E8F">
        <w:rPr>
          <w:rFonts w:ascii="Times New Roman" w:eastAsia="Times New Roman" w:hAnsi="Times New Roman" w:cs="Times New Roman"/>
          <w:sz w:val="24"/>
          <w:szCs w:val="24"/>
          <w:lang w:val="en-GB"/>
        </w:rPr>
        <w:t>(01), pp.142-148.</w:t>
      </w:r>
    </w:p>
    <w:p w14:paraId="64741200"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color w:val="222222"/>
          <w:sz w:val="24"/>
          <w:szCs w:val="24"/>
          <w:highlight w:val="white"/>
          <w:lang w:val="en-GB"/>
        </w:rPr>
        <w:t xml:space="preserve">Adepoju, A.H., Austin-Gabriel, B.L.E.S.S.I.N.G., </w:t>
      </w:r>
      <w:proofErr w:type="spellStart"/>
      <w:r w:rsidRPr="00C75E8F">
        <w:rPr>
          <w:rFonts w:ascii="Times New Roman" w:eastAsia="Times New Roman" w:hAnsi="Times New Roman" w:cs="Times New Roman"/>
          <w:color w:val="222222"/>
          <w:sz w:val="24"/>
          <w:szCs w:val="24"/>
          <w:highlight w:val="white"/>
          <w:lang w:val="en-GB"/>
        </w:rPr>
        <w:t>Eweje</w:t>
      </w:r>
      <w:proofErr w:type="spellEnd"/>
      <w:r w:rsidRPr="00C75E8F">
        <w:rPr>
          <w:rFonts w:ascii="Times New Roman" w:eastAsia="Times New Roman" w:hAnsi="Times New Roman" w:cs="Times New Roman"/>
          <w:color w:val="222222"/>
          <w:sz w:val="24"/>
          <w:szCs w:val="24"/>
          <w:highlight w:val="white"/>
          <w:lang w:val="en-GB"/>
        </w:rPr>
        <w:t xml:space="preserve">, A.D.E.O.L.U.W.A. and Collins, A.N.U.O.L.U.W.A.P.O., 2022. Framework for automating multi-team workflows to maximize operational efficiency and minimize redundant data handling. </w:t>
      </w:r>
      <w:r w:rsidRPr="00C75E8F">
        <w:rPr>
          <w:rFonts w:ascii="Times New Roman" w:eastAsia="Times New Roman" w:hAnsi="Times New Roman" w:cs="Times New Roman"/>
          <w:i/>
          <w:iCs/>
          <w:sz w:val="24"/>
          <w:szCs w:val="24"/>
          <w:lang w:val="en-GB"/>
        </w:rPr>
        <w:t>IRE Journals</w:t>
      </w:r>
      <w:r w:rsidRPr="00C75E8F">
        <w:rPr>
          <w:rFonts w:ascii="Times New Roman" w:eastAsia="Times New Roman" w:hAnsi="Times New Roman" w:cs="Times New Roman"/>
          <w:sz w:val="24"/>
          <w:szCs w:val="24"/>
          <w:lang w:val="en-GB"/>
        </w:rPr>
        <w:t xml:space="preserve">, </w:t>
      </w:r>
      <w:r w:rsidRPr="00C75E8F">
        <w:rPr>
          <w:rFonts w:ascii="Times New Roman" w:eastAsia="Times New Roman" w:hAnsi="Times New Roman" w:cs="Times New Roman"/>
          <w:i/>
          <w:iCs/>
          <w:sz w:val="24"/>
          <w:szCs w:val="24"/>
          <w:lang w:val="en-GB"/>
        </w:rPr>
        <w:t>5</w:t>
      </w:r>
      <w:r w:rsidRPr="00C75E8F">
        <w:rPr>
          <w:rFonts w:ascii="Times New Roman" w:eastAsia="Times New Roman" w:hAnsi="Times New Roman" w:cs="Times New Roman"/>
          <w:sz w:val="24"/>
          <w:szCs w:val="24"/>
          <w:lang w:val="en-GB"/>
        </w:rPr>
        <w:t>(9), pp.663-664.</w:t>
      </w:r>
    </w:p>
    <w:p w14:paraId="53E376CC"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proofErr w:type="spellStart"/>
      <w:r w:rsidRPr="00C75E8F">
        <w:rPr>
          <w:rFonts w:ascii="Times New Roman" w:eastAsia="Times New Roman" w:hAnsi="Times New Roman" w:cs="Times New Roman"/>
          <w:color w:val="222222"/>
          <w:sz w:val="24"/>
          <w:szCs w:val="24"/>
          <w:highlight w:val="white"/>
          <w:lang w:val="en-GB"/>
        </w:rPr>
        <w:t>AlKnawy</w:t>
      </w:r>
      <w:proofErr w:type="spellEnd"/>
      <w:r w:rsidRPr="00C75E8F">
        <w:rPr>
          <w:rFonts w:ascii="Times New Roman" w:eastAsia="Times New Roman" w:hAnsi="Times New Roman" w:cs="Times New Roman"/>
          <w:color w:val="222222"/>
          <w:sz w:val="24"/>
          <w:szCs w:val="24"/>
          <w:highlight w:val="white"/>
          <w:lang w:val="en-GB"/>
        </w:rPr>
        <w:t xml:space="preserve">, B., </w:t>
      </w:r>
      <w:proofErr w:type="spellStart"/>
      <w:r w:rsidRPr="00C75E8F">
        <w:rPr>
          <w:rFonts w:ascii="Times New Roman" w:eastAsia="Times New Roman" w:hAnsi="Times New Roman" w:cs="Times New Roman"/>
          <w:color w:val="222222"/>
          <w:sz w:val="24"/>
          <w:szCs w:val="24"/>
          <w:highlight w:val="white"/>
          <w:lang w:val="en-GB"/>
        </w:rPr>
        <w:t>Kozlakidis</w:t>
      </w:r>
      <w:proofErr w:type="spellEnd"/>
      <w:r w:rsidRPr="00C75E8F">
        <w:rPr>
          <w:rFonts w:ascii="Times New Roman" w:eastAsia="Times New Roman" w:hAnsi="Times New Roman" w:cs="Times New Roman"/>
          <w:color w:val="222222"/>
          <w:sz w:val="24"/>
          <w:szCs w:val="24"/>
          <w:highlight w:val="white"/>
          <w:lang w:val="en-GB"/>
        </w:rPr>
        <w:t xml:space="preserve">, Z., </w:t>
      </w:r>
      <w:proofErr w:type="spellStart"/>
      <w:r w:rsidRPr="00C75E8F">
        <w:rPr>
          <w:rFonts w:ascii="Times New Roman" w:eastAsia="Times New Roman" w:hAnsi="Times New Roman" w:cs="Times New Roman"/>
          <w:color w:val="222222"/>
          <w:sz w:val="24"/>
          <w:szCs w:val="24"/>
          <w:highlight w:val="white"/>
          <w:lang w:val="en-GB"/>
        </w:rPr>
        <w:t>Tarkoma</w:t>
      </w:r>
      <w:proofErr w:type="spellEnd"/>
      <w:r w:rsidRPr="00C75E8F">
        <w:rPr>
          <w:rFonts w:ascii="Times New Roman" w:eastAsia="Times New Roman" w:hAnsi="Times New Roman" w:cs="Times New Roman"/>
          <w:color w:val="222222"/>
          <w:sz w:val="24"/>
          <w:szCs w:val="24"/>
          <w:highlight w:val="white"/>
          <w:lang w:val="en-GB"/>
        </w:rPr>
        <w:t xml:space="preserve">, S., Bates, D., Honkela, A., Crooks, G., Rhee, K. and McKillop, M., 2023. Digital public health leadership in the global fight for health security. </w:t>
      </w:r>
      <w:r w:rsidRPr="00C75E8F">
        <w:rPr>
          <w:rFonts w:ascii="Times New Roman" w:eastAsia="Times New Roman" w:hAnsi="Times New Roman" w:cs="Times New Roman"/>
          <w:i/>
          <w:iCs/>
          <w:sz w:val="24"/>
          <w:szCs w:val="24"/>
          <w:lang w:val="en-GB"/>
        </w:rPr>
        <w:t>BMJ global health</w:t>
      </w:r>
      <w:r w:rsidRPr="00C75E8F">
        <w:rPr>
          <w:rFonts w:ascii="Times New Roman" w:eastAsia="Times New Roman" w:hAnsi="Times New Roman" w:cs="Times New Roman"/>
          <w:sz w:val="24"/>
          <w:szCs w:val="24"/>
          <w:lang w:val="en-GB"/>
        </w:rPr>
        <w:t xml:space="preserve">, </w:t>
      </w:r>
      <w:r w:rsidRPr="00C75E8F">
        <w:rPr>
          <w:rFonts w:ascii="Times New Roman" w:eastAsia="Times New Roman" w:hAnsi="Times New Roman" w:cs="Times New Roman"/>
          <w:i/>
          <w:iCs/>
          <w:sz w:val="24"/>
          <w:szCs w:val="24"/>
          <w:lang w:val="en-GB"/>
        </w:rPr>
        <w:t>8</w:t>
      </w:r>
      <w:r w:rsidRPr="00C75E8F">
        <w:rPr>
          <w:rFonts w:ascii="Times New Roman" w:eastAsia="Times New Roman" w:hAnsi="Times New Roman" w:cs="Times New Roman"/>
          <w:sz w:val="24"/>
          <w:szCs w:val="24"/>
          <w:lang w:val="en-GB"/>
        </w:rPr>
        <w:t>(2).</w:t>
      </w:r>
    </w:p>
    <w:p w14:paraId="5851400F"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proofErr w:type="spellStart"/>
      <w:r w:rsidRPr="00C75E8F">
        <w:rPr>
          <w:rFonts w:ascii="Times New Roman" w:eastAsia="Times New Roman" w:hAnsi="Times New Roman" w:cs="Times New Roman"/>
          <w:color w:val="222222"/>
          <w:sz w:val="24"/>
          <w:szCs w:val="24"/>
          <w:highlight w:val="white"/>
          <w:lang w:val="en-GB"/>
        </w:rPr>
        <w:t>Arote</w:t>
      </w:r>
      <w:proofErr w:type="spellEnd"/>
      <w:r w:rsidRPr="00C75E8F">
        <w:rPr>
          <w:rFonts w:ascii="Times New Roman" w:eastAsia="Times New Roman" w:hAnsi="Times New Roman" w:cs="Times New Roman"/>
          <w:color w:val="222222"/>
          <w:sz w:val="24"/>
          <w:szCs w:val="24"/>
          <w:highlight w:val="white"/>
          <w:lang w:val="en-GB"/>
        </w:rPr>
        <w:t xml:space="preserve">, K.S., Salade, D.A. and Patil, N.V., 2023. A brief review on regulatory affairs: Ensuring compliance, safety, and market access. </w:t>
      </w:r>
      <w:r w:rsidRPr="00C75E8F">
        <w:rPr>
          <w:rFonts w:ascii="Times New Roman" w:eastAsia="Times New Roman" w:hAnsi="Times New Roman" w:cs="Times New Roman"/>
          <w:i/>
          <w:iCs/>
          <w:sz w:val="24"/>
          <w:szCs w:val="24"/>
          <w:lang w:val="en-GB"/>
        </w:rPr>
        <w:t>International Journal of Pharmaceutical Sciences</w:t>
      </w:r>
      <w:r w:rsidRPr="00C75E8F">
        <w:rPr>
          <w:rFonts w:ascii="Times New Roman" w:eastAsia="Times New Roman" w:hAnsi="Times New Roman" w:cs="Times New Roman"/>
          <w:sz w:val="24"/>
          <w:szCs w:val="24"/>
          <w:lang w:val="en-GB"/>
        </w:rPr>
        <w:t xml:space="preserve">, </w:t>
      </w:r>
      <w:r w:rsidRPr="00C75E8F">
        <w:rPr>
          <w:rFonts w:ascii="Times New Roman" w:eastAsia="Times New Roman" w:hAnsi="Times New Roman" w:cs="Times New Roman"/>
          <w:i/>
          <w:iCs/>
          <w:sz w:val="24"/>
          <w:szCs w:val="24"/>
          <w:lang w:val="en-GB"/>
        </w:rPr>
        <w:t>1</w:t>
      </w:r>
      <w:r w:rsidRPr="00C75E8F">
        <w:rPr>
          <w:rFonts w:ascii="Times New Roman" w:eastAsia="Times New Roman" w:hAnsi="Times New Roman" w:cs="Times New Roman"/>
          <w:sz w:val="24"/>
          <w:szCs w:val="24"/>
          <w:lang w:val="en-GB"/>
        </w:rPr>
        <w:t>(09), pp.1-1.</w:t>
      </w:r>
    </w:p>
    <w:p w14:paraId="40135205"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proofErr w:type="spellStart"/>
      <w:r w:rsidRPr="00C75E8F">
        <w:rPr>
          <w:rFonts w:ascii="Times New Roman" w:eastAsia="Times New Roman" w:hAnsi="Times New Roman" w:cs="Times New Roman"/>
          <w:color w:val="222222"/>
          <w:sz w:val="24"/>
          <w:szCs w:val="24"/>
          <w:highlight w:val="white"/>
          <w:lang w:val="en-GB"/>
        </w:rPr>
        <w:t>Arote</w:t>
      </w:r>
      <w:proofErr w:type="spellEnd"/>
      <w:r w:rsidRPr="00C75E8F">
        <w:rPr>
          <w:rFonts w:ascii="Times New Roman" w:eastAsia="Times New Roman" w:hAnsi="Times New Roman" w:cs="Times New Roman"/>
          <w:color w:val="222222"/>
          <w:sz w:val="24"/>
          <w:szCs w:val="24"/>
          <w:highlight w:val="white"/>
          <w:lang w:val="en-GB"/>
        </w:rPr>
        <w:t xml:space="preserve">, K.S., Salade, D.A. and Patil, N.V., 2023. A brief review on regulatory affairs: Ensuring compliance, safety, and market access. </w:t>
      </w:r>
      <w:r w:rsidRPr="00C75E8F">
        <w:rPr>
          <w:rFonts w:ascii="Times New Roman" w:eastAsia="Times New Roman" w:hAnsi="Times New Roman" w:cs="Times New Roman"/>
          <w:i/>
          <w:iCs/>
          <w:sz w:val="24"/>
          <w:szCs w:val="24"/>
          <w:lang w:val="en-GB"/>
        </w:rPr>
        <w:t>International Journal of Pharmaceutical Sciences</w:t>
      </w:r>
      <w:r w:rsidRPr="00C75E8F">
        <w:rPr>
          <w:rFonts w:ascii="Times New Roman" w:eastAsia="Times New Roman" w:hAnsi="Times New Roman" w:cs="Times New Roman"/>
          <w:sz w:val="24"/>
          <w:szCs w:val="24"/>
          <w:lang w:val="en-GB"/>
        </w:rPr>
        <w:t xml:space="preserve">, </w:t>
      </w:r>
      <w:r w:rsidRPr="00C75E8F">
        <w:rPr>
          <w:rFonts w:ascii="Times New Roman" w:eastAsia="Times New Roman" w:hAnsi="Times New Roman" w:cs="Times New Roman"/>
          <w:i/>
          <w:iCs/>
          <w:sz w:val="24"/>
          <w:szCs w:val="24"/>
          <w:lang w:val="en-GB"/>
        </w:rPr>
        <w:t>1</w:t>
      </w:r>
      <w:r w:rsidRPr="00C75E8F">
        <w:rPr>
          <w:rFonts w:ascii="Times New Roman" w:eastAsia="Times New Roman" w:hAnsi="Times New Roman" w:cs="Times New Roman"/>
          <w:sz w:val="24"/>
          <w:szCs w:val="24"/>
          <w:lang w:val="en-GB"/>
        </w:rPr>
        <w:t>(09), pp.1-1.</w:t>
      </w:r>
    </w:p>
    <w:p w14:paraId="403E6A19"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 xml:space="preserve">Ashcroft, J. (2017) </w:t>
      </w:r>
      <w:r w:rsidRPr="00C75E8F">
        <w:rPr>
          <w:rFonts w:ascii="Times New Roman" w:eastAsia="Times New Roman" w:hAnsi="Times New Roman" w:cs="Times New Roman"/>
          <w:i/>
          <w:iCs/>
          <w:sz w:val="24"/>
          <w:szCs w:val="24"/>
          <w:lang w:val="en-GB"/>
        </w:rPr>
        <w:t>The relational lens: understanding, measuring, and managing stakeholder relationships</w:t>
      </w:r>
      <w:r w:rsidRPr="00C75E8F">
        <w:rPr>
          <w:rFonts w:ascii="Times New Roman" w:eastAsia="Times New Roman" w:hAnsi="Times New Roman" w:cs="Times New Roman"/>
          <w:sz w:val="24"/>
          <w:szCs w:val="24"/>
          <w:lang w:val="en-GB"/>
        </w:rPr>
        <w:t>. Cambridge: Cambridge University Press. Available at: https://www-cambridge-org.ezproxy.uwtsd.ac.uk/core/books/relational-lens/value-and-importance-of-relationships/718C31032061BDFA3F480BA2A53F45D4 (Accessed: [insert date]).</w:t>
      </w:r>
    </w:p>
    <w:p w14:paraId="35792A95"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color w:val="222222"/>
          <w:sz w:val="24"/>
          <w:szCs w:val="24"/>
          <w:highlight w:val="white"/>
          <w:lang w:val="en-GB"/>
        </w:rPr>
        <w:t xml:space="preserve">Aslam, M., Khan Abbasi, M.A., Khalid, T., Shan, R.U., Ullah, S., Ahmad, T., Saeed, S., </w:t>
      </w:r>
      <w:proofErr w:type="spellStart"/>
      <w:r w:rsidRPr="00C75E8F">
        <w:rPr>
          <w:rFonts w:ascii="Times New Roman" w:eastAsia="Times New Roman" w:hAnsi="Times New Roman" w:cs="Times New Roman"/>
          <w:color w:val="222222"/>
          <w:sz w:val="24"/>
          <w:szCs w:val="24"/>
          <w:highlight w:val="white"/>
          <w:lang w:val="en-GB"/>
        </w:rPr>
        <w:t>Alabbad</w:t>
      </w:r>
      <w:proofErr w:type="spellEnd"/>
      <w:r w:rsidRPr="00C75E8F">
        <w:rPr>
          <w:rFonts w:ascii="Times New Roman" w:eastAsia="Times New Roman" w:hAnsi="Times New Roman" w:cs="Times New Roman"/>
          <w:color w:val="222222"/>
          <w:sz w:val="24"/>
          <w:szCs w:val="24"/>
          <w:highlight w:val="white"/>
          <w:lang w:val="en-GB"/>
        </w:rPr>
        <w:t xml:space="preserve">, D.A. and Ahmad, R., 2022. Getting smarter about smart cities: Improving data security and privacy through compliance. </w:t>
      </w:r>
      <w:r w:rsidRPr="00C75E8F">
        <w:rPr>
          <w:rFonts w:ascii="Times New Roman" w:eastAsia="Times New Roman" w:hAnsi="Times New Roman" w:cs="Times New Roman"/>
          <w:i/>
          <w:iCs/>
          <w:sz w:val="24"/>
          <w:szCs w:val="24"/>
          <w:lang w:val="en-GB"/>
        </w:rPr>
        <w:t>Sensors</w:t>
      </w:r>
      <w:r w:rsidRPr="00C75E8F">
        <w:rPr>
          <w:rFonts w:ascii="Times New Roman" w:eastAsia="Times New Roman" w:hAnsi="Times New Roman" w:cs="Times New Roman"/>
          <w:sz w:val="24"/>
          <w:szCs w:val="24"/>
          <w:lang w:val="en-GB"/>
        </w:rPr>
        <w:t xml:space="preserve">, </w:t>
      </w:r>
      <w:r w:rsidRPr="00C75E8F">
        <w:rPr>
          <w:rFonts w:ascii="Times New Roman" w:eastAsia="Times New Roman" w:hAnsi="Times New Roman" w:cs="Times New Roman"/>
          <w:i/>
          <w:iCs/>
          <w:sz w:val="24"/>
          <w:szCs w:val="24"/>
          <w:lang w:val="en-GB"/>
        </w:rPr>
        <w:t>22</w:t>
      </w:r>
      <w:r w:rsidRPr="00C75E8F">
        <w:rPr>
          <w:rFonts w:ascii="Times New Roman" w:eastAsia="Times New Roman" w:hAnsi="Times New Roman" w:cs="Times New Roman"/>
          <w:sz w:val="24"/>
          <w:szCs w:val="24"/>
          <w:lang w:val="en-GB"/>
        </w:rPr>
        <w:t>(23), p.9338.</w:t>
      </w:r>
    </w:p>
    <w:p w14:paraId="04636662"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color w:val="222222"/>
          <w:sz w:val="24"/>
          <w:szCs w:val="24"/>
          <w:highlight w:val="white"/>
          <w:lang w:val="en-GB"/>
        </w:rPr>
        <w:t xml:space="preserve">Baumann, S., Stone, R.T. and Abdelall, E., 2024. Introducing a remote patient monitoring usability impact model to overcome challenges. </w:t>
      </w:r>
      <w:r w:rsidRPr="00C75E8F">
        <w:rPr>
          <w:rFonts w:ascii="Times New Roman" w:eastAsia="Times New Roman" w:hAnsi="Times New Roman" w:cs="Times New Roman"/>
          <w:i/>
          <w:iCs/>
          <w:sz w:val="24"/>
          <w:szCs w:val="24"/>
          <w:lang w:val="en-GB"/>
        </w:rPr>
        <w:t>Sensors</w:t>
      </w:r>
      <w:r w:rsidRPr="00C75E8F">
        <w:rPr>
          <w:rFonts w:ascii="Times New Roman" w:eastAsia="Times New Roman" w:hAnsi="Times New Roman" w:cs="Times New Roman"/>
          <w:sz w:val="24"/>
          <w:szCs w:val="24"/>
          <w:lang w:val="en-GB"/>
        </w:rPr>
        <w:t xml:space="preserve">, </w:t>
      </w:r>
      <w:r w:rsidRPr="00C75E8F">
        <w:rPr>
          <w:rFonts w:ascii="Times New Roman" w:eastAsia="Times New Roman" w:hAnsi="Times New Roman" w:cs="Times New Roman"/>
          <w:i/>
          <w:iCs/>
          <w:sz w:val="24"/>
          <w:szCs w:val="24"/>
          <w:lang w:val="en-GB"/>
        </w:rPr>
        <w:t>24</w:t>
      </w:r>
      <w:r w:rsidRPr="00C75E8F">
        <w:rPr>
          <w:rFonts w:ascii="Times New Roman" w:eastAsia="Times New Roman" w:hAnsi="Times New Roman" w:cs="Times New Roman"/>
          <w:sz w:val="24"/>
          <w:szCs w:val="24"/>
          <w:lang w:val="en-GB"/>
        </w:rPr>
        <w:t>(12), p.3977.</w:t>
      </w:r>
    </w:p>
    <w:p w14:paraId="745B5F51"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proofErr w:type="spellStart"/>
      <w:r w:rsidRPr="00C75E8F">
        <w:rPr>
          <w:rFonts w:ascii="Times New Roman" w:eastAsia="Times New Roman" w:hAnsi="Times New Roman" w:cs="Times New Roman"/>
          <w:color w:val="222222"/>
          <w:sz w:val="24"/>
          <w:szCs w:val="24"/>
          <w:highlight w:val="white"/>
          <w:lang w:val="en-GB"/>
        </w:rPr>
        <w:lastRenderedPageBreak/>
        <w:t>Bochatay</w:t>
      </w:r>
      <w:proofErr w:type="spellEnd"/>
      <w:r w:rsidRPr="00C75E8F">
        <w:rPr>
          <w:rFonts w:ascii="Times New Roman" w:eastAsia="Times New Roman" w:hAnsi="Times New Roman" w:cs="Times New Roman"/>
          <w:color w:val="222222"/>
          <w:sz w:val="24"/>
          <w:szCs w:val="24"/>
          <w:highlight w:val="white"/>
          <w:lang w:val="en-GB"/>
        </w:rPr>
        <w:t xml:space="preserve">, N., Kuna, Á., Csupor, É., Pintér, J.N., Muller-Juge, V., Hudelson, P., </w:t>
      </w:r>
      <w:proofErr w:type="spellStart"/>
      <w:r w:rsidRPr="00C75E8F">
        <w:rPr>
          <w:rFonts w:ascii="Times New Roman" w:eastAsia="Times New Roman" w:hAnsi="Times New Roman" w:cs="Times New Roman"/>
          <w:color w:val="222222"/>
          <w:sz w:val="24"/>
          <w:szCs w:val="24"/>
          <w:highlight w:val="white"/>
          <w:lang w:val="en-GB"/>
        </w:rPr>
        <w:t>Nendaz</w:t>
      </w:r>
      <w:proofErr w:type="spellEnd"/>
      <w:r w:rsidRPr="00C75E8F">
        <w:rPr>
          <w:rFonts w:ascii="Times New Roman" w:eastAsia="Times New Roman" w:hAnsi="Times New Roman" w:cs="Times New Roman"/>
          <w:color w:val="222222"/>
          <w:sz w:val="24"/>
          <w:szCs w:val="24"/>
          <w:highlight w:val="white"/>
          <w:lang w:val="en-GB"/>
        </w:rPr>
        <w:t xml:space="preserve">, M.R., Csabai, M., Bajwa, N.M. and Kim, S., 2021. The role of power in health care conflict: recommendations for shifting toward constructive approaches. </w:t>
      </w:r>
      <w:r w:rsidRPr="00C75E8F">
        <w:rPr>
          <w:rFonts w:ascii="Times New Roman" w:eastAsia="Times New Roman" w:hAnsi="Times New Roman" w:cs="Times New Roman"/>
          <w:i/>
          <w:iCs/>
          <w:sz w:val="24"/>
          <w:szCs w:val="24"/>
          <w:lang w:val="en-GB"/>
        </w:rPr>
        <w:t>Academic Medicine</w:t>
      </w:r>
      <w:r w:rsidRPr="00C75E8F">
        <w:rPr>
          <w:rFonts w:ascii="Times New Roman" w:eastAsia="Times New Roman" w:hAnsi="Times New Roman" w:cs="Times New Roman"/>
          <w:sz w:val="24"/>
          <w:szCs w:val="24"/>
          <w:lang w:val="en-GB"/>
        </w:rPr>
        <w:t xml:space="preserve">, </w:t>
      </w:r>
      <w:r w:rsidRPr="00C75E8F">
        <w:rPr>
          <w:rFonts w:ascii="Times New Roman" w:eastAsia="Times New Roman" w:hAnsi="Times New Roman" w:cs="Times New Roman"/>
          <w:i/>
          <w:iCs/>
          <w:sz w:val="24"/>
          <w:szCs w:val="24"/>
          <w:lang w:val="en-GB"/>
        </w:rPr>
        <w:t>96</w:t>
      </w:r>
      <w:r w:rsidRPr="00C75E8F">
        <w:rPr>
          <w:rFonts w:ascii="Times New Roman" w:eastAsia="Times New Roman" w:hAnsi="Times New Roman" w:cs="Times New Roman"/>
          <w:sz w:val="24"/>
          <w:szCs w:val="24"/>
          <w:lang w:val="en-GB"/>
        </w:rPr>
        <w:t>(1), pp.134-141.</w:t>
      </w:r>
    </w:p>
    <w:p w14:paraId="70649C96"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color w:val="222222"/>
          <w:sz w:val="24"/>
          <w:szCs w:val="24"/>
          <w:highlight w:val="white"/>
          <w:lang w:val="en-GB"/>
        </w:rPr>
        <w:t>Boulding, H. and Hinrichs-</w:t>
      </w:r>
      <w:proofErr w:type="spellStart"/>
      <w:r w:rsidRPr="00C75E8F">
        <w:rPr>
          <w:rFonts w:ascii="Times New Roman" w:eastAsia="Times New Roman" w:hAnsi="Times New Roman" w:cs="Times New Roman"/>
          <w:color w:val="222222"/>
          <w:sz w:val="24"/>
          <w:szCs w:val="24"/>
          <w:highlight w:val="white"/>
          <w:lang w:val="en-GB"/>
        </w:rPr>
        <w:t>Krapels</w:t>
      </w:r>
      <w:proofErr w:type="spellEnd"/>
      <w:r w:rsidRPr="00C75E8F">
        <w:rPr>
          <w:rFonts w:ascii="Times New Roman" w:eastAsia="Times New Roman" w:hAnsi="Times New Roman" w:cs="Times New Roman"/>
          <w:color w:val="222222"/>
          <w:sz w:val="24"/>
          <w:szCs w:val="24"/>
          <w:highlight w:val="white"/>
          <w:lang w:val="en-GB"/>
        </w:rPr>
        <w:t xml:space="preserve">, S., 2021. Factors influencing procurement behaviour and decision-making: an exploratory qualitative study in a UK healthcare provider. </w:t>
      </w:r>
      <w:r w:rsidRPr="00C75E8F">
        <w:rPr>
          <w:rFonts w:ascii="Times New Roman" w:eastAsia="Times New Roman" w:hAnsi="Times New Roman" w:cs="Times New Roman"/>
          <w:i/>
          <w:iCs/>
          <w:sz w:val="24"/>
          <w:szCs w:val="24"/>
          <w:lang w:val="en-GB"/>
        </w:rPr>
        <w:t>BMC health services research</w:t>
      </w:r>
      <w:r w:rsidRPr="00C75E8F">
        <w:rPr>
          <w:rFonts w:ascii="Times New Roman" w:eastAsia="Times New Roman" w:hAnsi="Times New Roman" w:cs="Times New Roman"/>
          <w:sz w:val="24"/>
          <w:szCs w:val="24"/>
          <w:lang w:val="en-GB"/>
        </w:rPr>
        <w:t xml:space="preserve">, </w:t>
      </w:r>
      <w:r w:rsidRPr="00C75E8F">
        <w:rPr>
          <w:rFonts w:ascii="Times New Roman" w:eastAsia="Times New Roman" w:hAnsi="Times New Roman" w:cs="Times New Roman"/>
          <w:i/>
          <w:iCs/>
          <w:sz w:val="24"/>
          <w:szCs w:val="24"/>
          <w:lang w:val="en-GB"/>
        </w:rPr>
        <w:t>21</w:t>
      </w:r>
      <w:r w:rsidRPr="00C75E8F">
        <w:rPr>
          <w:rFonts w:ascii="Times New Roman" w:eastAsia="Times New Roman" w:hAnsi="Times New Roman" w:cs="Times New Roman"/>
          <w:sz w:val="24"/>
          <w:szCs w:val="24"/>
          <w:lang w:val="en-GB"/>
        </w:rPr>
        <w:t>(1), p.1087.</w:t>
      </w:r>
    </w:p>
    <w:p w14:paraId="5ED81190" w14:textId="77777777" w:rsidR="00401A33" w:rsidRPr="00C75E8F" w:rsidRDefault="00EC6766" w:rsidP="00FD6FA4">
      <w:pPr>
        <w:spacing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 xml:space="preserve">Communications, V. (2022) 'Current Health makes its end-to-end care-at-home platform available in the Epic App Market,' </w:t>
      </w:r>
      <w:r w:rsidRPr="00C75E8F">
        <w:rPr>
          <w:rFonts w:ascii="Times New Roman" w:eastAsia="Times New Roman" w:hAnsi="Times New Roman" w:cs="Times New Roman"/>
          <w:i/>
          <w:iCs/>
          <w:sz w:val="24"/>
          <w:szCs w:val="24"/>
          <w:lang w:val="en-GB"/>
        </w:rPr>
        <w:t>Business Wire</w:t>
      </w:r>
      <w:r w:rsidRPr="00C75E8F">
        <w:rPr>
          <w:rFonts w:ascii="Times New Roman" w:eastAsia="Times New Roman" w:hAnsi="Times New Roman" w:cs="Times New Roman"/>
          <w:sz w:val="24"/>
          <w:szCs w:val="24"/>
          <w:lang w:val="en-GB"/>
        </w:rPr>
        <w:t>, 10 November.</w:t>
      </w:r>
      <w:hyperlink r:id="rId10">
        <w:r w:rsidRPr="00C75E8F">
          <w:rPr>
            <w:rFonts w:ascii="Times New Roman" w:eastAsia="Times New Roman" w:hAnsi="Times New Roman" w:cs="Times New Roman"/>
            <w:sz w:val="24"/>
            <w:szCs w:val="24"/>
            <w:lang w:val="en-GB"/>
          </w:rPr>
          <w:t xml:space="preserve"> </w:t>
        </w:r>
      </w:hyperlink>
      <w:hyperlink r:id="rId11">
        <w:r w:rsidRPr="00C75E8F">
          <w:rPr>
            <w:rFonts w:ascii="Times New Roman" w:eastAsia="Times New Roman" w:hAnsi="Times New Roman" w:cs="Times New Roman"/>
            <w:color w:val="1155CC"/>
            <w:sz w:val="24"/>
            <w:szCs w:val="24"/>
            <w:u w:val="single"/>
            <w:lang w:val="en-GB"/>
          </w:rPr>
          <w:t>https://www.businesswire.com/news/home/20221110005283/en/Current-Health-makes-its-end-to-end-care-at-home-platform-available-in-the-Epic-App-Market</w:t>
        </w:r>
      </w:hyperlink>
      <w:r w:rsidRPr="00C75E8F">
        <w:rPr>
          <w:rFonts w:ascii="Times New Roman" w:eastAsia="Times New Roman" w:hAnsi="Times New Roman" w:cs="Times New Roman"/>
          <w:sz w:val="24"/>
          <w:szCs w:val="24"/>
          <w:lang w:val="en-GB"/>
        </w:rPr>
        <w:t>.</w:t>
      </w:r>
    </w:p>
    <w:p w14:paraId="2226B0E2" w14:textId="77777777" w:rsidR="00401A33" w:rsidRPr="00C75E8F" w:rsidRDefault="00EC6766" w:rsidP="00FD6FA4">
      <w:pPr>
        <w:spacing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 xml:space="preserve">Current Health (2025) </w:t>
      </w:r>
      <w:r w:rsidRPr="00C75E8F">
        <w:rPr>
          <w:rFonts w:ascii="Times New Roman" w:eastAsia="Times New Roman" w:hAnsi="Times New Roman" w:cs="Times New Roman"/>
          <w:i/>
          <w:iCs/>
          <w:sz w:val="24"/>
          <w:szCs w:val="24"/>
          <w:lang w:val="en-GB"/>
        </w:rPr>
        <w:t>Company overview</w:t>
      </w:r>
      <w:r w:rsidRPr="00C75E8F">
        <w:rPr>
          <w:rFonts w:ascii="Times New Roman" w:eastAsia="Times New Roman" w:hAnsi="Times New Roman" w:cs="Times New Roman"/>
          <w:sz w:val="24"/>
          <w:szCs w:val="24"/>
          <w:lang w:val="en-GB"/>
        </w:rPr>
        <w:t>.</w:t>
      </w:r>
      <w:hyperlink r:id="rId12">
        <w:r w:rsidRPr="00C75E8F">
          <w:rPr>
            <w:rFonts w:ascii="Times New Roman" w:eastAsia="Times New Roman" w:hAnsi="Times New Roman" w:cs="Times New Roman"/>
            <w:sz w:val="24"/>
            <w:szCs w:val="24"/>
            <w:lang w:val="en-GB"/>
          </w:rPr>
          <w:t xml:space="preserve"> </w:t>
        </w:r>
      </w:hyperlink>
      <w:hyperlink r:id="rId13">
        <w:r w:rsidRPr="00C75E8F">
          <w:rPr>
            <w:rFonts w:ascii="Times New Roman" w:eastAsia="Times New Roman" w:hAnsi="Times New Roman" w:cs="Times New Roman"/>
            <w:color w:val="1155CC"/>
            <w:sz w:val="24"/>
            <w:szCs w:val="24"/>
            <w:u w:val="single"/>
            <w:lang w:val="en-GB"/>
          </w:rPr>
          <w:t>https://currenthealth.com/company-overview/</w:t>
        </w:r>
      </w:hyperlink>
      <w:r w:rsidRPr="00C75E8F">
        <w:rPr>
          <w:rFonts w:ascii="Times New Roman" w:eastAsia="Times New Roman" w:hAnsi="Times New Roman" w:cs="Times New Roman"/>
          <w:sz w:val="24"/>
          <w:szCs w:val="24"/>
          <w:lang w:val="en-GB"/>
        </w:rPr>
        <w:t>.</w:t>
      </w:r>
    </w:p>
    <w:p w14:paraId="415C9356"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proofErr w:type="spellStart"/>
      <w:r w:rsidRPr="00C75E8F">
        <w:rPr>
          <w:rFonts w:ascii="Times New Roman" w:eastAsia="Times New Roman" w:hAnsi="Times New Roman" w:cs="Times New Roman"/>
          <w:color w:val="222222"/>
          <w:sz w:val="24"/>
          <w:szCs w:val="24"/>
          <w:highlight w:val="white"/>
          <w:lang w:val="en-GB"/>
        </w:rPr>
        <w:t>Efunniyi</w:t>
      </w:r>
      <w:proofErr w:type="spellEnd"/>
      <w:r w:rsidRPr="00C75E8F">
        <w:rPr>
          <w:rFonts w:ascii="Times New Roman" w:eastAsia="Times New Roman" w:hAnsi="Times New Roman" w:cs="Times New Roman"/>
          <w:color w:val="222222"/>
          <w:sz w:val="24"/>
          <w:szCs w:val="24"/>
          <w:highlight w:val="white"/>
          <w:lang w:val="en-GB"/>
        </w:rPr>
        <w:t xml:space="preserve">, C.P., </w:t>
      </w:r>
      <w:proofErr w:type="spellStart"/>
      <w:r w:rsidRPr="00C75E8F">
        <w:rPr>
          <w:rFonts w:ascii="Times New Roman" w:eastAsia="Times New Roman" w:hAnsi="Times New Roman" w:cs="Times New Roman"/>
          <w:color w:val="222222"/>
          <w:sz w:val="24"/>
          <w:szCs w:val="24"/>
          <w:highlight w:val="white"/>
          <w:lang w:val="en-GB"/>
        </w:rPr>
        <w:t>Abhulimen</w:t>
      </w:r>
      <w:proofErr w:type="spellEnd"/>
      <w:r w:rsidRPr="00C75E8F">
        <w:rPr>
          <w:rFonts w:ascii="Times New Roman" w:eastAsia="Times New Roman" w:hAnsi="Times New Roman" w:cs="Times New Roman"/>
          <w:color w:val="222222"/>
          <w:sz w:val="24"/>
          <w:szCs w:val="24"/>
          <w:highlight w:val="white"/>
          <w:lang w:val="en-GB"/>
        </w:rPr>
        <w:t xml:space="preserve">, A.O., </w:t>
      </w:r>
      <w:proofErr w:type="spellStart"/>
      <w:r w:rsidRPr="00C75E8F">
        <w:rPr>
          <w:rFonts w:ascii="Times New Roman" w:eastAsia="Times New Roman" w:hAnsi="Times New Roman" w:cs="Times New Roman"/>
          <w:color w:val="222222"/>
          <w:sz w:val="24"/>
          <w:szCs w:val="24"/>
          <w:highlight w:val="white"/>
          <w:lang w:val="en-GB"/>
        </w:rPr>
        <w:t>Obiki-Osafiele</w:t>
      </w:r>
      <w:proofErr w:type="spellEnd"/>
      <w:r w:rsidRPr="00C75E8F">
        <w:rPr>
          <w:rFonts w:ascii="Times New Roman" w:eastAsia="Times New Roman" w:hAnsi="Times New Roman" w:cs="Times New Roman"/>
          <w:color w:val="222222"/>
          <w:sz w:val="24"/>
          <w:szCs w:val="24"/>
          <w:highlight w:val="white"/>
          <w:lang w:val="en-GB"/>
        </w:rPr>
        <w:t xml:space="preserve">, A.N., </w:t>
      </w:r>
      <w:proofErr w:type="spellStart"/>
      <w:r w:rsidRPr="00C75E8F">
        <w:rPr>
          <w:rFonts w:ascii="Times New Roman" w:eastAsia="Times New Roman" w:hAnsi="Times New Roman" w:cs="Times New Roman"/>
          <w:color w:val="222222"/>
          <w:sz w:val="24"/>
          <w:szCs w:val="24"/>
          <w:highlight w:val="white"/>
          <w:lang w:val="en-GB"/>
        </w:rPr>
        <w:t>Osundare</w:t>
      </w:r>
      <w:proofErr w:type="spellEnd"/>
      <w:r w:rsidRPr="00C75E8F">
        <w:rPr>
          <w:rFonts w:ascii="Times New Roman" w:eastAsia="Times New Roman" w:hAnsi="Times New Roman" w:cs="Times New Roman"/>
          <w:color w:val="222222"/>
          <w:sz w:val="24"/>
          <w:szCs w:val="24"/>
          <w:highlight w:val="white"/>
          <w:lang w:val="en-GB"/>
        </w:rPr>
        <w:t xml:space="preserve">, O.S., Agu, E.E. and Adeniran, I.A., 2024. Strengthening corporate governance and financial compliance: Enhancing accountability and transparency. </w:t>
      </w:r>
      <w:r w:rsidRPr="00C75E8F">
        <w:rPr>
          <w:rFonts w:ascii="Times New Roman" w:eastAsia="Times New Roman" w:hAnsi="Times New Roman" w:cs="Times New Roman"/>
          <w:i/>
          <w:iCs/>
          <w:sz w:val="24"/>
          <w:szCs w:val="24"/>
          <w:lang w:val="en-GB"/>
        </w:rPr>
        <w:t>Finance &amp; Accounting Research Journal</w:t>
      </w:r>
      <w:r w:rsidRPr="00C75E8F">
        <w:rPr>
          <w:rFonts w:ascii="Times New Roman" w:eastAsia="Times New Roman" w:hAnsi="Times New Roman" w:cs="Times New Roman"/>
          <w:sz w:val="24"/>
          <w:szCs w:val="24"/>
          <w:lang w:val="en-GB"/>
        </w:rPr>
        <w:t xml:space="preserve">, </w:t>
      </w:r>
      <w:r w:rsidRPr="00C75E8F">
        <w:rPr>
          <w:rFonts w:ascii="Times New Roman" w:eastAsia="Times New Roman" w:hAnsi="Times New Roman" w:cs="Times New Roman"/>
          <w:i/>
          <w:iCs/>
          <w:sz w:val="24"/>
          <w:szCs w:val="24"/>
          <w:lang w:val="en-GB"/>
        </w:rPr>
        <w:t>6</w:t>
      </w:r>
      <w:r w:rsidRPr="00C75E8F">
        <w:rPr>
          <w:rFonts w:ascii="Times New Roman" w:eastAsia="Times New Roman" w:hAnsi="Times New Roman" w:cs="Times New Roman"/>
          <w:sz w:val="24"/>
          <w:szCs w:val="24"/>
          <w:lang w:val="en-GB"/>
        </w:rPr>
        <w:t>(8), pp.1597-1616.</w:t>
      </w:r>
    </w:p>
    <w:p w14:paraId="178D1DCA"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color w:val="222222"/>
          <w:sz w:val="24"/>
          <w:szCs w:val="24"/>
          <w:highlight w:val="white"/>
          <w:lang w:val="en-GB"/>
        </w:rPr>
        <w:t xml:space="preserve">El Arab, R.A., Abu-Mahfouz, M.S., Abuadas, F.H., </w:t>
      </w:r>
      <w:proofErr w:type="spellStart"/>
      <w:r w:rsidRPr="00C75E8F">
        <w:rPr>
          <w:rFonts w:ascii="Times New Roman" w:eastAsia="Times New Roman" w:hAnsi="Times New Roman" w:cs="Times New Roman"/>
          <w:color w:val="222222"/>
          <w:sz w:val="24"/>
          <w:szCs w:val="24"/>
          <w:highlight w:val="white"/>
          <w:lang w:val="en-GB"/>
        </w:rPr>
        <w:t>Alzghoul</w:t>
      </w:r>
      <w:proofErr w:type="spellEnd"/>
      <w:r w:rsidRPr="00C75E8F">
        <w:rPr>
          <w:rFonts w:ascii="Times New Roman" w:eastAsia="Times New Roman" w:hAnsi="Times New Roman" w:cs="Times New Roman"/>
          <w:color w:val="222222"/>
          <w:sz w:val="24"/>
          <w:szCs w:val="24"/>
          <w:highlight w:val="white"/>
          <w:lang w:val="en-GB"/>
        </w:rPr>
        <w:t xml:space="preserve">, H., </w:t>
      </w:r>
      <w:proofErr w:type="spellStart"/>
      <w:r w:rsidRPr="00C75E8F">
        <w:rPr>
          <w:rFonts w:ascii="Times New Roman" w:eastAsia="Times New Roman" w:hAnsi="Times New Roman" w:cs="Times New Roman"/>
          <w:color w:val="222222"/>
          <w:sz w:val="24"/>
          <w:szCs w:val="24"/>
          <w:highlight w:val="white"/>
          <w:lang w:val="en-GB"/>
        </w:rPr>
        <w:t>Almari</w:t>
      </w:r>
      <w:proofErr w:type="spellEnd"/>
      <w:r w:rsidRPr="00C75E8F">
        <w:rPr>
          <w:rFonts w:ascii="Times New Roman" w:eastAsia="Times New Roman" w:hAnsi="Times New Roman" w:cs="Times New Roman"/>
          <w:color w:val="222222"/>
          <w:sz w:val="24"/>
          <w:szCs w:val="24"/>
          <w:highlight w:val="white"/>
          <w:lang w:val="en-GB"/>
        </w:rPr>
        <w:t xml:space="preserve">, M., Ghannam, A. and </w:t>
      </w:r>
      <w:proofErr w:type="spellStart"/>
      <w:r w:rsidRPr="00C75E8F">
        <w:rPr>
          <w:rFonts w:ascii="Times New Roman" w:eastAsia="Times New Roman" w:hAnsi="Times New Roman" w:cs="Times New Roman"/>
          <w:color w:val="222222"/>
          <w:sz w:val="24"/>
          <w:szCs w:val="24"/>
          <w:highlight w:val="white"/>
          <w:lang w:val="en-GB"/>
        </w:rPr>
        <w:t>Seweid</w:t>
      </w:r>
      <w:proofErr w:type="spellEnd"/>
      <w:r w:rsidRPr="00C75E8F">
        <w:rPr>
          <w:rFonts w:ascii="Times New Roman" w:eastAsia="Times New Roman" w:hAnsi="Times New Roman" w:cs="Times New Roman"/>
          <w:color w:val="222222"/>
          <w:sz w:val="24"/>
          <w:szCs w:val="24"/>
          <w:highlight w:val="white"/>
          <w:lang w:val="en-GB"/>
        </w:rPr>
        <w:t xml:space="preserve">, M.M., 2025, March. Bridging the gap: From AI success in clinical trials to real-world healthcare implementation—A narrative review. In </w:t>
      </w:r>
      <w:r w:rsidRPr="00C75E8F">
        <w:rPr>
          <w:rFonts w:ascii="Times New Roman" w:eastAsia="Times New Roman" w:hAnsi="Times New Roman" w:cs="Times New Roman"/>
          <w:i/>
          <w:iCs/>
          <w:sz w:val="24"/>
          <w:szCs w:val="24"/>
          <w:lang w:val="en-GB"/>
        </w:rPr>
        <w:t>Healthcare</w:t>
      </w:r>
      <w:r w:rsidRPr="00C75E8F">
        <w:rPr>
          <w:rFonts w:ascii="Times New Roman" w:eastAsia="Times New Roman" w:hAnsi="Times New Roman" w:cs="Times New Roman"/>
          <w:sz w:val="24"/>
          <w:szCs w:val="24"/>
          <w:lang w:val="en-GB"/>
        </w:rPr>
        <w:t xml:space="preserve"> (Vol. 13, No. 7, p. 701). MDPI.</w:t>
      </w:r>
    </w:p>
    <w:p w14:paraId="1BBC962B"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 xml:space="preserve">Ellis, C.A., Gibbs, S.J. and Rein, G.L. (1991) ‘Groupware: Some issues and experiences’, </w:t>
      </w:r>
      <w:r w:rsidRPr="00C75E8F">
        <w:rPr>
          <w:rFonts w:ascii="Times New Roman" w:eastAsia="Times New Roman" w:hAnsi="Times New Roman" w:cs="Times New Roman"/>
          <w:i/>
          <w:iCs/>
          <w:sz w:val="24"/>
          <w:szCs w:val="24"/>
          <w:lang w:val="en-GB"/>
        </w:rPr>
        <w:t>Communications of the ACM</w:t>
      </w:r>
      <w:r w:rsidRPr="00C75E8F">
        <w:rPr>
          <w:rFonts w:ascii="Times New Roman" w:eastAsia="Times New Roman" w:hAnsi="Times New Roman" w:cs="Times New Roman"/>
          <w:sz w:val="24"/>
          <w:szCs w:val="24"/>
          <w:lang w:val="en-GB"/>
        </w:rPr>
        <w:t>, 34(1), pp. 38–58. doi:10.1145/99977.99987.</w:t>
      </w:r>
    </w:p>
    <w:p w14:paraId="2CD9A38C" w14:textId="77777777" w:rsidR="00401A33" w:rsidRPr="00C75E8F" w:rsidRDefault="00EC6766" w:rsidP="00FD6FA4">
      <w:pPr>
        <w:spacing w:before="240" w:after="240" w:line="360" w:lineRule="auto"/>
        <w:jc w:val="both"/>
        <w:rPr>
          <w:rFonts w:ascii="Times New Roman" w:eastAsia="Times New Roman" w:hAnsi="Times New Roman" w:cs="Times New Roman"/>
          <w:color w:val="222222"/>
          <w:sz w:val="24"/>
          <w:szCs w:val="24"/>
          <w:highlight w:val="white"/>
          <w:lang w:val="en-GB"/>
        </w:rPr>
      </w:pPr>
      <w:r w:rsidRPr="00C75E8F">
        <w:rPr>
          <w:rFonts w:ascii="Times New Roman" w:eastAsia="Times New Roman" w:hAnsi="Times New Roman" w:cs="Times New Roman"/>
          <w:color w:val="222222"/>
          <w:sz w:val="24"/>
          <w:szCs w:val="24"/>
          <w:highlight w:val="white"/>
          <w:lang w:val="en-GB"/>
        </w:rPr>
        <w:t>Emmanuel, M., 2025. Commercial vs. Clinical-Grade IoT Health Devices.</w:t>
      </w:r>
    </w:p>
    <w:p w14:paraId="346406FB"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color w:val="222222"/>
          <w:sz w:val="24"/>
          <w:szCs w:val="24"/>
          <w:highlight w:val="white"/>
          <w:lang w:val="en-GB"/>
        </w:rPr>
        <w:t xml:space="preserve">Forma, F., Chiu, K., Shafrin, J., Boskovic, D.H. and </w:t>
      </w:r>
      <w:proofErr w:type="spellStart"/>
      <w:r w:rsidRPr="00C75E8F">
        <w:rPr>
          <w:rFonts w:ascii="Times New Roman" w:eastAsia="Times New Roman" w:hAnsi="Times New Roman" w:cs="Times New Roman"/>
          <w:color w:val="222222"/>
          <w:sz w:val="24"/>
          <w:szCs w:val="24"/>
          <w:highlight w:val="white"/>
          <w:lang w:val="en-GB"/>
        </w:rPr>
        <w:t>Veeranki</w:t>
      </w:r>
      <w:proofErr w:type="spellEnd"/>
      <w:r w:rsidRPr="00C75E8F">
        <w:rPr>
          <w:rFonts w:ascii="Times New Roman" w:eastAsia="Times New Roman" w:hAnsi="Times New Roman" w:cs="Times New Roman"/>
          <w:color w:val="222222"/>
          <w:sz w:val="24"/>
          <w:szCs w:val="24"/>
          <w:highlight w:val="white"/>
          <w:lang w:val="en-GB"/>
        </w:rPr>
        <w:t xml:space="preserve">, S.P., 2022. Are caregivers ready for digital? Caregiver preferences for health technology tools to monitor medication adherence among patients with serious mental illness. </w:t>
      </w:r>
      <w:r w:rsidRPr="00C75E8F">
        <w:rPr>
          <w:rFonts w:ascii="Times New Roman" w:eastAsia="Times New Roman" w:hAnsi="Times New Roman" w:cs="Times New Roman"/>
          <w:i/>
          <w:iCs/>
          <w:sz w:val="24"/>
          <w:szCs w:val="24"/>
          <w:lang w:val="en-GB"/>
        </w:rPr>
        <w:t>Digital health</w:t>
      </w:r>
      <w:r w:rsidRPr="00C75E8F">
        <w:rPr>
          <w:rFonts w:ascii="Times New Roman" w:eastAsia="Times New Roman" w:hAnsi="Times New Roman" w:cs="Times New Roman"/>
          <w:sz w:val="24"/>
          <w:szCs w:val="24"/>
          <w:lang w:val="en-GB"/>
        </w:rPr>
        <w:t xml:space="preserve">, </w:t>
      </w:r>
      <w:r w:rsidRPr="00C75E8F">
        <w:rPr>
          <w:rFonts w:ascii="Times New Roman" w:eastAsia="Times New Roman" w:hAnsi="Times New Roman" w:cs="Times New Roman"/>
          <w:i/>
          <w:iCs/>
          <w:sz w:val="24"/>
          <w:szCs w:val="24"/>
          <w:lang w:val="en-GB"/>
        </w:rPr>
        <w:t>8</w:t>
      </w:r>
      <w:r w:rsidRPr="00C75E8F">
        <w:rPr>
          <w:rFonts w:ascii="Times New Roman" w:eastAsia="Times New Roman" w:hAnsi="Times New Roman" w:cs="Times New Roman"/>
          <w:sz w:val="24"/>
          <w:szCs w:val="24"/>
          <w:lang w:val="en-GB"/>
        </w:rPr>
        <w:t>, p.20552076221084472.</w:t>
      </w:r>
    </w:p>
    <w:p w14:paraId="7C6C8BD8"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proofErr w:type="spellStart"/>
      <w:r w:rsidRPr="00C75E8F">
        <w:rPr>
          <w:rFonts w:ascii="Times New Roman" w:eastAsia="Times New Roman" w:hAnsi="Times New Roman" w:cs="Times New Roman"/>
          <w:color w:val="222222"/>
          <w:sz w:val="24"/>
          <w:szCs w:val="24"/>
          <w:highlight w:val="white"/>
          <w:lang w:val="en-GB"/>
        </w:rPr>
        <w:t>Gbabo</w:t>
      </w:r>
      <w:proofErr w:type="spellEnd"/>
      <w:r w:rsidRPr="00C75E8F">
        <w:rPr>
          <w:rFonts w:ascii="Times New Roman" w:eastAsia="Times New Roman" w:hAnsi="Times New Roman" w:cs="Times New Roman"/>
          <w:color w:val="222222"/>
          <w:sz w:val="24"/>
          <w:szCs w:val="24"/>
          <w:highlight w:val="white"/>
          <w:lang w:val="en-GB"/>
        </w:rPr>
        <w:t xml:space="preserve">, E.Y., </w:t>
      </w:r>
      <w:proofErr w:type="spellStart"/>
      <w:r w:rsidRPr="00C75E8F">
        <w:rPr>
          <w:rFonts w:ascii="Times New Roman" w:eastAsia="Times New Roman" w:hAnsi="Times New Roman" w:cs="Times New Roman"/>
          <w:color w:val="222222"/>
          <w:sz w:val="24"/>
          <w:szCs w:val="24"/>
          <w:highlight w:val="white"/>
          <w:lang w:val="en-GB"/>
        </w:rPr>
        <w:t>Okenwa</w:t>
      </w:r>
      <w:proofErr w:type="spellEnd"/>
      <w:r w:rsidRPr="00C75E8F">
        <w:rPr>
          <w:rFonts w:ascii="Times New Roman" w:eastAsia="Times New Roman" w:hAnsi="Times New Roman" w:cs="Times New Roman"/>
          <w:color w:val="222222"/>
          <w:sz w:val="24"/>
          <w:szCs w:val="24"/>
          <w:highlight w:val="white"/>
          <w:lang w:val="en-GB"/>
        </w:rPr>
        <w:t xml:space="preserve">, O.K. and Chima, P.E., 2024. Integrating CDM Regulations into Role-Based Compliance Models for Energy Infrastructure Projects. </w:t>
      </w:r>
      <w:r w:rsidRPr="00C75E8F">
        <w:rPr>
          <w:rFonts w:ascii="Times New Roman" w:eastAsia="Times New Roman" w:hAnsi="Times New Roman" w:cs="Times New Roman"/>
          <w:i/>
          <w:iCs/>
          <w:sz w:val="24"/>
          <w:szCs w:val="24"/>
          <w:lang w:val="en-GB"/>
        </w:rPr>
        <w:t>International Journal of Advanced Multidisciplinary Research and Studies</w:t>
      </w:r>
      <w:r w:rsidRPr="00C75E8F">
        <w:rPr>
          <w:rFonts w:ascii="Times New Roman" w:eastAsia="Times New Roman" w:hAnsi="Times New Roman" w:cs="Times New Roman"/>
          <w:sz w:val="24"/>
          <w:szCs w:val="24"/>
          <w:lang w:val="en-GB"/>
        </w:rPr>
        <w:t xml:space="preserve">, </w:t>
      </w:r>
      <w:r w:rsidRPr="00C75E8F">
        <w:rPr>
          <w:rFonts w:ascii="Times New Roman" w:eastAsia="Times New Roman" w:hAnsi="Times New Roman" w:cs="Times New Roman"/>
          <w:i/>
          <w:iCs/>
          <w:sz w:val="24"/>
          <w:szCs w:val="24"/>
          <w:lang w:val="en-GB"/>
        </w:rPr>
        <w:t>4</w:t>
      </w:r>
      <w:r w:rsidRPr="00C75E8F">
        <w:rPr>
          <w:rFonts w:ascii="Times New Roman" w:eastAsia="Times New Roman" w:hAnsi="Times New Roman" w:cs="Times New Roman"/>
          <w:sz w:val="24"/>
          <w:szCs w:val="24"/>
          <w:lang w:val="en-GB"/>
        </w:rPr>
        <w:t>(6), pp.2430-2438.</w:t>
      </w:r>
    </w:p>
    <w:p w14:paraId="6B3DD44D"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color w:val="222222"/>
          <w:sz w:val="24"/>
          <w:szCs w:val="24"/>
          <w:highlight w:val="white"/>
          <w:lang w:val="en-GB"/>
        </w:rPr>
        <w:lastRenderedPageBreak/>
        <w:t xml:space="preserve">Gupta, D.K., Tiwari, A., Yadav, Y., Soni, P. and Joshi, M., 2024. Ensuring safety and efficacy in combination products: regulatory challenges and best practices. </w:t>
      </w:r>
      <w:r w:rsidRPr="00C75E8F">
        <w:rPr>
          <w:rFonts w:ascii="Times New Roman" w:eastAsia="Times New Roman" w:hAnsi="Times New Roman" w:cs="Times New Roman"/>
          <w:i/>
          <w:iCs/>
          <w:sz w:val="24"/>
          <w:szCs w:val="24"/>
          <w:lang w:val="en-GB"/>
        </w:rPr>
        <w:t>Frontiers in Medical Technology</w:t>
      </w:r>
      <w:r w:rsidRPr="00C75E8F">
        <w:rPr>
          <w:rFonts w:ascii="Times New Roman" w:eastAsia="Times New Roman" w:hAnsi="Times New Roman" w:cs="Times New Roman"/>
          <w:sz w:val="24"/>
          <w:szCs w:val="24"/>
          <w:lang w:val="en-GB"/>
        </w:rPr>
        <w:t xml:space="preserve">, </w:t>
      </w:r>
      <w:r w:rsidRPr="00C75E8F">
        <w:rPr>
          <w:rFonts w:ascii="Times New Roman" w:eastAsia="Times New Roman" w:hAnsi="Times New Roman" w:cs="Times New Roman"/>
          <w:i/>
          <w:iCs/>
          <w:sz w:val="24"/>
          <w:szCs w:val="24"/>
          <w:lang w:val="en-GB"/>
        </w:rPr>
        <w:t>6</w:t>
      </w:r>
      <w:r w:rsidRPr="00C75E8F">
        <w:rPr>
          <w:rFonts w:ascii="Times New Roman" w:eastAsia="Times New Roman" w:hAnsi="Times New Roman" w:cs="Times New Roman"/>
          <w:sz w:val="24"/>
          <w:szCs w:val="24"/>
          <w:lang w:val="en-GB"/>
        </w:rPr>
        <w:t>, p.1377443.</w:t>
      </w:r>
    </w:p>
    <w:p w14:paraId="3E069179" w14:textId="77777777" w:rsidR="00401A33" w:rsidRPr="00C75E8F" w:rsidRDefault="00EC6766" w:rsidP="00FD6FA4">
      <w:pPr>
        <w:spacing w:before="240" w:after="240" w:line="360" w:lineRule="auto"/>
        <w:jc w:val="both"/>
        <w:rPr>
          <w:rFonts w:ascii="Times New Roman" w:eastAsia="Times New Roman" w:hAnsi="Times New Roman" w:cs="Times New Roman"/>
          <w:color w:val="222222"/>
          <w:sz w:val="24"/>
          <w:szCs w:val="24"/>
          <w:highlight w:val="white"/>
          <w:lang w:val="en-GB"/>
        </w:rPr>
      </w:pPr>
      <w:r w:rsidRPr="00C75E8F">
        <w:rPr>
          <w:rFonts w:ascii="Times New Roman" w:eastAsia="Times New Roman" w:hAnsi="Times New Roman" w:cs="Times New Roman"/>
          <w:color w:val="222222"/>
          <w:sz w:val="24"/>
          <w:szCs w:val="24"/>
          <w:highlight w:val="white"/>
          <w:lang w:val="en-GB"/>
        </w:rPr>
        <w:t>Jean, G., 2024. Risk Management and Contingency Planning.</w:t>
      </w:r>
    </w:p>
    <w:p w14:paraId="1D07A068"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proofErr w:type="spellStart"/>
      <w:r w:rsidRPr="00C75E8F">
        <w:rPr>
          <w:rFonts w:ascii="Times New Roman" w:eastAsia="Times New Roman" w:hAnsi="Times New Roman" w:cs="Times New Roman"/>
          <w:color w:val="222222"/>
          <w:sz w:val="24"/>
          <w:szCs w:val="24"/>
          <w:highlight w:val="white"/>
          <w:lang w:val="en-GB"/>
        </w:rPr>
        <w:t>Jerab</w:t>
      </w:r>
      <w:proofErr w:type="spellEnd"/>
      <w:r w:rsidRPr="00C75E8F">
        <w:rPr>
          <w:rFonts w:ascii="Times New Roman" w:eastAsia="Times New Roman" w:hAnsi="Times New Roman" w:cs="Times New Roman"/>
          <w:color w:val="222222"/>
          <w:sz w:val="24"/>
          <w:szCs w:val="24"/>
          <w:highlight w:val="white"/>
          <w:lang w:val="en-GB"/>
        </w:rPr>
        <w:t xml:space="preserve">, D. and Mabrouk, T., 2023. The role of leadership in changing organizational culture. </w:t>
      </w:r>
      <w:r w:rsidRPr="00C75E8F">
        <w:rPr>
          <w:rFonts w:ascii="Times New Roman" w:eastAsia="Times New Roman" w:hAnsi="Times New Roman" w:cs="Times New Roman"/>
          <w:i/>
          <w:iCs/>
          <w:sz w:val="24"/>
          <w:szCs w:val="24"/>
          <w:lang w:val="en-GB"/>
        </w:rPr>
        <w:t>Available at SSRN 4574324</w:t>
      </w:r>
      <w:r w:rsidRPr="00C75E8F">
        <w:rPr>
          <w:rFonts w:ascii="Times New Roman" w:eastAsia="Times New Roman" w:hAnsi="Times New Roman" w:cs="Times New Roman"/>
          <w:sz w:val="24"/>
          <w:szCs w:val="24"/>
          <w:lang w:val="en-GB"/>
        </w:rPr>
        <w:t>.</w:t>
      </w:r>
    </w:p>
    <w:p w14:paraId="48A17A44"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color w:val="222222"/>
          <w:sz w:val="24"/>
          <w:szCs w:val="24"/>
          <w:highlight w:val="white"/>
          <w:lang w:val="en-GB"/>
        </w:rPr>
        <w:t xml:space="preserve">Kanike, U.K., 2023. Factors disrupting supply chain management in manufacturing industries. </w:t>
      </w:r>
      <w:r w:rsidRPr="00C75E8F">
        <w:rPr>
          <w:rFonts w:ascii="Times New Roman" w:eastAsia="Times New Roman" w:hAnsi="Times New Roman" w:cs="Times New Roman"/>
          <w:i/>
          <w:iCs/>
          <w:sz w:val="24"/>
          <w:szCs w:val="24"/>
          <w:lang w:val="en-GB"/>
        </w:rPr>
        <w:t>Journal of Supply Chain Management Science</w:t>
      </w:r>
      <w:r w:rsidRPr="00C75E8F">
        <w:rPr>
          <w:rFonts w:ascii="Times New Roman" w:eastAsia="Times New Roman" w:hAnsi="Times New Roman" w:cs="Times New Roman"/>
          <w:sz w:val="24"/>
          <w:szCs w:val="24"/>
          <w:lang w:val="en-GB"/>
        </w:rPr>
        <w:t xml:space="preserve">, </w:t>
      </w:r>
      <w:r w:rsidRPr="00C75E8F">
        <w:rPr>
          <w:rFonts w:ascii="Times New Roman" w:eastAsia="Times New Roman" w:hAnsi="Times New Roman" w:cs="Times New Roman"/>
          <w:i/>
          <w:iCs/>
          <w:sz w:val="24"/>
          <w:szCs w:val="24"/>
          <w:lang w:val="en-GB"/>
        </w:rPr>
        <w:t>4</w:t>
      </w:r>
      <w:r w:rsidRPr="00C75E8F">
        <w:rPr>
          <w:rFonts w:ascii="Times New Roman" w:eastAsia="Times New Roman" w:hAnsi="Times New Roman" w:cs="Times New Roman"/>
          <w:sz w:val="24"/>
          <w:szCs w:val="24"/>
          <w:lang w:val="en-GB"/>
        </w:rPr>
        <w:t>(1-2), pp.1-24.</w:t>
      </w:r>
    </w:p>
    <w:p w14:paraId="75DC5D4A"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color w:val="222222"/>
          <w:sz w:val="24"/>
          <w:szCs w:val="24"/>
          <w:highlight w:val="white"/>
          <w:lang w:val="en-GB"/>
        </w:rPr>
        <w:t xml:space="preserve">Kehinde, O., 2024. Achieving strategic excellence in healthcare projects: Leveraging benefit realization management framework. </w:t>
      </w:r>
      <w:r w:rsidRPr="00C75E8F">
        <w:rPr>
          <w:rFonts w:ascii="Times New Roman" w:eastAsia="Times New Roman" w:hAnsi="Times New Roman" w:cs="Times New Roman"/>
          <w:i/>
          <w:iCs/>
          <w:sz w:val="24"/>
          <w:szCs w:val="24"/>
          <w:lang w:val="en-GB"/>
        </w:rPr>
        <w:t>World Journal of Advanced Research and Reviews</w:t>
      </w:r>
      <w:r w:rsidRPr="00C75E8F">
        <w:rPr>
          <w:rFonts w:ascii="Times New Roman" w:eastAsia="Times New Roman" w:hAnsi="Times New Roman" w:cs="Times New Roman"/>
          <w:sz w:val="24"/>
          <w:szCs w:val="24"/>
          <w:lang w:val="en-GB"/>
        </w:rPr>
        <w:t xml:space="preserve">, </w:t>
      </w:r>
      <w:r w:rsidRPr="00C75E8F">
        <w:rPr>
          <w:rFonts w:ascii="Times New Roman" w:eastAsia="Times New Roman" w:hAnsi="Times New Roman" w:cs="Times New Roman"/>
          <w:i/>
          <w:iCs/>
          <w:sz w:val="24"/>
          <w:szCs w:val="24"/>
          <w:lang w:val="en-GB"/>
        </w:rPr>
        <w:t>21</w:t>
      </w:r>
      <w:r w:rsidRPr="00C75E8F">
        <w:rPr>
          <w:rFonts w:ascii="Times New Roman" w:eastAsia="Times New Roman" w:hAnsi="Times New Roman" w:cs="Times New Roman"/>
          <w:sz w:val="24"/>
          <w:szCs w:val="24"/>
          <w:lang w:val="en-GB"/>
        </w:rPr>
        <w:t>(01), pp.2925-50.</w:t>
      </w:r>
    </w:p>
    <w:p w14:paraId="21F3D0E0"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color w:val="222222"/>
          <w:sz w:val="24"/>
          <w:szCs w:val="24"/>
          <w:highlight w:val="white"/>
          <w:lang w:val="en-GB"/>
        </w:rPr>
        <w:t xml:space="preserve">Kerzner, H., 2025. </w:t>
      </w:r>
      <w:r w:rsidRPr="00C75E8F">
        <w:rPr>
          <w:rFonts w:ascii="Times New Roman" w:eastAsia="Times New Roman" w:hAnsi="Times New Roman" w:cs="Times New Roman"/>
          <w:i/>
          <w:iCs/>
          <w:sz w:val="24"/>
          <w:szCs w:val="24"/>
          <w:lang w:val="en-GB"/>
        </w:rPr>
        <w:t>Project management: a systems approach to planning, scheduling, and controlling</w:t>
      </w:r>
      <w:r w:rsidRPr="00C75E8F">
        <w:rPr>
          <w:rFonts w:ascii="Times New Roman" w:eastAsia="Times New Roman" w:hAnsi="Times New Roman" w:cs="Times New Roman"/>
          <w:sz w:val="24"/>
          <w:szCs w:val="24"/>
          <w:lang w:val="en-GB"/>
        </w:rPr>
        <w:t>. John Wiley &amp; Sons.</w:t>
      </w:r>
    </w:p>
    <w:p w14:paraId="21A0F7EB"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color w:val="222222"/>
          <w:sz w:val="24"/>
          <w:szCs w:val="24"/>
          <w:highlight w:val="white"/>
          <w:lang w:val="en-GB"/>
        </w:rPr>
        <w:t xml:space="preserve">Khatiwada, P., Yang, B., Lin, J.C. and </w:t>
      </w:r>
      <w:proofErr w:type="spellStart"/>
      <w:r w:rsidRPr="00C75E8F">
        <w:rPr>
          <w:rFonts w:ascii="Times New Roman" w:eastAsia="Times New Roman" w:hAnsi="Times New Roman" w:cs="Times New Roman"/>
          <w:color w:val="222222"/>
          <w:sz w:val="24"/>
          <w:szCs w:val="24"/>
          <w:highlight w:val="white"/>
          <w:lang w:val="en-GB"/>
        </w:rPr>
        <w:t>Blobel</w:t>
      </w:r>
      <w:proofErr w:type="spellEnd"/>
      <w:r w:rsidRPr="00C75E8F">
        <w:rPr>
          <w:rFonts w:ascii="Times New Roman" w:eastAsia="Times New Roman" w:hAnsi="Times New Roman" w:cs="Times New Roman"/>
          <w:color w:val="222222"/>
          <w:sz w:val="24"/>
          <w:szCs w:val="24"/>
          <w:highlight w:val="white"/>
          <w:lang w:val="en-GB"/>
        </w:rPr>
        <w:t xml:space="preserve">, B., 2024. Patient-generated health data (PGHD): understanding, requirements, challenges, and existing techniques for data security and privacy. </w:t>
      </w:r>
      <w:r w:rsidRPr="00C75E8F">
        <w:rPr>
          <w:rFonts w:ascii="Times New Roman" w:eastAsia="Times New Roman" w:hAnsi="Times New Roman" w:cs="Times New Roman"/>
          <w:i/>
          <w:iCs/>
          <w:sz w:val="24"/>
          <w:szCs w:val="24"/>
          <w:lang w:val="en-GB"/>
        </w:rPr>
        <w:t>Journal of personalized medicine</w:t>
      </w:r>
      <w:r w:rsidRPr="00C75E8F">
        <w:rPr>
          <w:rFonts w:ascii="Times New Roman" w:eastAsia="Times New Roman" w:hAnsi="Times New Roman" w:cs="Times New Roman"/>
          <w:sz w:val="24"/>
          <w:szCs w:val="24"/>
          <w:lang w:val="en-GB"/>
        </w:rPr>
        <w:t xml:space="preserve">, </w:t>
      </w:r>
      <w:r w:rsidRPr="00C75E8F">
        <w:rPr>
          <w:rFonts w:ascii="Times New Roman" w:eastAsia="Times New Roman" w:hAnsi="Times New Roman" w:cs="Times New Roman"/>
          <w:i/>
          <w:iCs/>
          <w:sz w:val="24"/>
          <w:szCs w:val="24"/>
          <w:lang w:val="en-GB"/>
        </w:rPr>
        <w:t>14</w:t>
      </w:r>
      <w:r w:rsidRPr="00C75E8F">
        <w:rPr>
          <w:rFonts w:ascii="Times New Roman" w:eastAsia="Times New Roman" w:hAnsi="Times New Roman" w:cs="Times New Roman"/>
          <w:sz w:val="24"/>
          <w:szCs w:val="24"/>
          <w:lang w:val="en-GB"/>
        </w:rPr>
        <w:t>(3), p.282.</w:t>
      </w:r>
    </w:p>
    <w:p w14:paraId="3753C458" w14:textId="77777777" w:rsidR="00401A33" w:rsidRPr="00C75E8F" w:rsidRDefault="00EC6766" w:rsidP="00FD6FA4">
      <w:pPr>
        <w:spacing w:before="240" w:after="240" w:line="360" w:lineRule="auto"/>
        <w:jc w:val="both"/>
        <w:rPr>
          <w:rFonts w:ascii="Times New Roman" w:eastAsia="Times New Roman" w:hAnsi="Times New Roman" w:cs="Times New Roman"/>
          <w:color w:val="222222"/>
          <w:sz w:val="24"/>
          <w:szCs w:val="24"/>
          <w:highlight w:val="white"/>
          <w:lang w:val="en-GB"/>
        </w:rPr>
      </w:pPr>
      <w:r w:rsidRPr="00C75E8F">
        <w:rPr>
          <w:rFonts w:ascii="Times New Roman" w:eastAsia="Times New Roman" w:hAnsi="Times New Roman" w:cs="Times New Roman"/>
          <w:color w:val="222222"/>
          <w:sz w:val="24"/>
          <w:szCs w:val="24"/>
          <w:highlight w:val="white"/>
          <w:lang w:val="en-GB"/>
        </w:rPr>
        <w:t xml:space="preserve">Kotb, A., 2025. Help For Project Management </w:t>
      </w:r>
      <w:proofErr w:type="gramStart"/>
      <w:r w:rsidRPr="00C75E8F">
        <w:rPr>
          <w:rFonts w:ascii="Times New Roman" w:eastAsia="Times New Roman" w:hAnsi="Times New Roman" w:cs="Times New Roman"/>
          <w:color w:val="222222"/>
          <w:sz w:val="24"/>
          <w:szCs w:val="24"/>
          <w:highlight w:val="white"/>
          <w:lang w:val="en-GB"/>
        </w:rPr>
        <w:t>To</w:t>
      </w:r>
      <w:proofErr w:type="gramEnd"/>
      <w:r w:rsidRPr="00C75E8F">
        <w:rPr>
          <w:rFonts w:ascii="Times New Roman" w:eastAsia="Times New Roman" w:hAnsi="Times New Roman" w:cs="Times New Roman"/>
          <w:color w:val="222222"/>
          <w:sz w:val="24"/>
          <w:szCs w:val="24"/>
          <w:highlight w:val="white"/>
          <w:lang w:val="en-GB"/>
        </w:rPr>
        <w:t xml:space="preserve"> Finish Projects </w:t>
      </w:r>
      <w:proofErr w:type="gramStart"/>
      <w:r w:rsidRPr="00C75E8F">
        <w:rPr>
          <w:rFonts w:ascii="Times New Roman" w:eastAsia="Times New Roman" w:hAnsi="Times New Roman" w:cs="Times New Roman"/>
          <w:color w:val="222222"/>
          <w:sz w:val="24"/>
          <w:szCs w:val="24"/>
          <w:highlight w:val="white"/>
          <w:lang w:val="en-GB"/>
        </w:rPr>
        <w:t>On</w:t>
      </w:r>
      <w:proofErr w:type="gramEnd"/>
      <w:r w:rsidRPr="00C75E8F">
        <w:rPr>
          <w:rFonts w:ascii="Times New Roman" w:eastAsia="Times New Roman" w:hAnsi="Times New Roman" w:cs="Times New Roman"/>
          <w:color w:val="222222"/>
          <w:sz w:val="24"/>
          <w:szCs w:val="24"/>
          <w:highlight w:val="white"/>
          <w:lang w:val="en-GB"/>
        </w:rPr>
        <w:t xml:space="preserve"> Time.</w:t>
      </w:r>
    </w:p>
    <w:p w14:paraId="23A032DF"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color w:val="222222"/>
          <w:sz w:val="24"/>
          <w:szCs w:val="24"/>
          <w:highlight w:val="white"/>
          <w:lang w:val="en-GB"/>
        </w:rPr>
        <w:t xml:space="preserve">Kumar, M., 2022. Tools and techniques of project management. </w:t>
      </w:r>
      <w:r w:rsidRPr="00C75E8F">
        <w:rPr>
          <w:rFonts w:ascii="Times New Roman" w:eastAsia="Times New Roman" w:hAnsi="Times New Roman" w:cs="Times New Roman"/>
          <w:i/>
          <w:iCs/>
          <w:sz w:val="24"/>
          <w:szCs w:val="24"/>
          <w:lang w:val="en-GB"/>
        </w:rPr>
        <w:t>Available at SSRN 4072538</w:t>
      </w:r>
      <w:r w:rsidRPr="00C75E8F">
        <w:rPr>
          <w:rFonts w:ascii="Times New Roman" w:eastAsia="Times New Roman" w:hAnsi="Times New Roman" w:cs="Times New Roman"/>
          <w:sz w:val="24"/>
          <w:szCs w:val="24"/>
          <w:lang w:val="en-GB"/>
        </w:rPr>
        <w:t>.</w:t>
      </w:r>
    </w:p>
    <w:p w14:paraId="53CC52C0" w14:textId="77777777" w:rsidR="00401A33" w:rsidRPr="00C75E8F" w:rsidRDefault="00EC6766" w:rsidP="00FD6FA4">
      <w:pPr>
        <w:spacing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 xml:space="preserve">Kwak, H., Kim, T.-Y. and Lee, D.-H. (2025) 'A study on the application of logistics automation in the healthcare industry: Exploratory Qualitative research,' </w:t>
      </w:r>
      <w:r w:rsidRPr="00C75E8F">
        <w:rPr>
          <w:rFonts w:ascii="Times New Roman" w:eastAsia="Times New Roman" w:hAnsi="Times New Roman" w:cs="Times New Roman"/>
          <w:i/>
          <w:iCs/>
          <w:sz w:val="24"/>
          <w:szCs w:val="24"/>
          <w:lang w:val="en-GB"/>
        </w:rPr>
        <w:t>Eng—Advances in Engineering</w:t>
      </w:r>
      <w:r w:rsidRPr="00C75E8F">
        <w:rPr>
          <w:rFonts w:ascii="Times New Roman" w:eastAsia="Times New Roman" w:hAnsi="Times New Roman" w:cs="Times New Roman"/>
          <w:sz w:val="24"/>
          <w:szCs w:val="24"/>
          <w:lang w:val="en-GB"/>
        </w:rPr>
        <w:t>, 6(9), p. 205.</w:t>
      </w:r>
    </w:p>
    <w:p w14:paraId="608F835D"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color w:val="222222"/>
          <w:sz w:val="24"/>
          <w:szCs w:val="24"/>
          <w:highlight w:val="white"/>
          <w:lang w:val="en-GB"/>
        </w:rPr>
        <w:t xml:space="preserve">Lynch, J.P., Sohn, H. and Wang, M.L. eds., 2022. </w:t>
      </w:r>
      <w:r w:rsidRPr="00C75E8F">
        <w:rPr>
          <w:rFonts w:ascii="Times New Roman" w:eastAsia="Times New Roman" w:hAnsi="Times New Roman" w:cs="Times New Roman"/>
          <w:i/>
          <w:iCs/>
          <w:sz w:val="24"/>
          <w:szCs w:val="24"/>
          <w:lang w:val="en-GB"/>
        </w:rPr>
        <w:t>Sensor technologies for civil infrastructures: Volume 1: Sensing hardware and data collection methods for performance assessment</w:t>
      </w:r>
      <w:r w:rsidRPr="00C75E8F">
        <w:rPr>
          <w:rFonts w:ascii="Times New Roman" w:eastAsia="Times New Roman" w:hAnsi="Times New Roman" w:cs="Times New Roman"/>
          <w:sz w:val="24"/>
          <w:szCs w:val="24"/>
          <w:lang w:val="en-GB"/>
        </w:rPr>
        <w:t>. Woodhead Publishing.</w:t>
      </w:r>
    </w:p>
    <w:p w14:paraId="7CAF6B09" w14:textId="77777777" w:rsidR="00401A33" w:rsidRPr="00C75E8F" w:rsidRDefault="00EC6766" w:rsidP="00FD6FA4">
      <w:pPr>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C75E8F">
        <w:rPr>
          <w:rFonts w:ascii="Times New Roman" w:eastAsia="Times New Roman" w:hAnsi="Times New Roman" w:cs="Times New Roman"/>
          <w:color w:val="222222"/>
          <w:sz w:val="24"/>
          <w:szCs w:val="24"/>
          <w:highlight w:val="white"/>
          <w:lang w:val="en-GB"/>
        </w:rPr>
        <w:t>Munoru</w:t>
      </w:r>
      <w:proofErr w:type="spellEnd"/>
      <w:r w:rsidRPr="00C75E8F">
        <w:rPr>
          <w:rFonts w:ascii="Times New Roman" w:eastAsia="Times New Roman" w:hAnsi="Times New Roman" w:cs="Times New Roman"/>
          <w:color w:val="222222"/>
          <w:sz w:val="24"/>
          <w:szCs w:val="24"/>
          <w:highlight w:val="white"/>
          <w:lang w:val="en-GB"/>
        </w:rPr>
        <w:t>, E., 2024. Stakeholder involvement in the implementation of digital health technologies.</w:t>
      </w:r>
    </w:p>
    <w:p w14:paraId="70AA39D1"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color w:val="222222"/>
          <w:sz w:val="24"/>
          <w:szCs w:val="24"/>
          <w:highlight w:val="white"/>
          <w:lang w:val="en-GB"/>
        </w:rPr>
        <w:lastRenderedPageBreak/>
        <w:t xml:space="preserve">Negash, Y.T. and Sarmiento, L.S.C., 2023. Smart product-service systems in the healthcare industry: Intelligent connected products and stakeholder communication drive digital health service adoption. </w:t>
      </w:r>
      <w:proofErr w:type="spellStart"/>
      <w:r w:rsidRPr="00C75E8F">
        <w:rPr>
          <w:rFonts w:ascii="Times New Roman" w:eastAsia="Times New Roman" w:hAnsi="Times New Roman" w:cs="Times New Roman"/>
          <w:i/>
          <w:iCs/>
          <w:sz w:val="24"/>
          <w:szCs w:val="24"/>
          <w:lang w:val="en-GB"/>
        </w:rPr>
        <w:t>Heliyon</w:t>
      </w:r>
      <w:proofErr w:type="spellEnd"/>
      <w:r w:rsidRPr="00C75E8F">
        <w:rPr>
          <w:rFonts w:ascii="Times New Roman" w:eastAsia="Times New Roman" w:hAnsi="Times New Roman" w:cs="Times New Roman"/>
          <w:sz w:val="24"/>
          <w:szCs w:val="24"/>
          <w:lang w:val="en-GB"/>
        </w:rPr>
        <w:t xml:space="preserve">, </w:t>
      </w:r>
      <w:r w:rsidRPr="00C75E8F">
        <w:rPr>
          <w:rFonts w:ascii="Times New Roman" w:eastAsia="Times New Roman" w:hAnsi="Times New Roman" w:cs="Times New Roman"/>
          <w:i/>
          <w:iCs/>
          <w:sz w:val="24"/>
          <w:szCs w:val="24"/>
          <w:lang w:val="en-GB"/>
        </w:rPr>
        <w:t>9</w:t>
      </w:r>
      <w:r w:rsidRPr="00C75E8F">
        <w:rPr>
          <w:rFonts w:ascii="Times New Roman" w:eastAsia="Times New Roman" w:hAnsi="Times New Roman" w:cs="Times New Roman"/>
          <w:sz w:val="24"/>
          <w:szCs w:val="24"/>
          <w:lang w:val="en-GB"/>
        </w:rPr>
        <w:t>(2).</w:t>
      </w:r>
    </w:p>
    <w:p w14:paraId="4D790960" w14:textId="77777777" w:rsidR="00401A33" w:rsidRPr="00C75E8F" w:rsidRDefault="00EC6766" w:rsidP="00FD6FA4">
      <w:pPr>
        <w:spacing w:before="240" w:after="240" w:line="360" w:lineRule="auto"/>
        <w:jc w:val="both"/>
        <w:rPr>
          <w:rFonts w:ascii="Times New Roman" w:eastAsia="Times New Roman" w:hAnsi="Times New Roman" w:cs="Times New Roman"/>
          <w:color w:val="222222"/>
          <w:sz w:val="24"/>
          <w:szCs w:val="24"/>
          <w:highlight w:val="white"/>
          <w:lang w:val="en-GB"/>
        </w:rPr>
      </w:pPr>
      <w:r w:rsidRPr="00C75E8F">
        <w:rPr>
          <w:rFonts w:ascii="Times New Roman" w:eastAsia="Times New Roman" w:hAnsi="Times New Roman" w:cs="Times New Roman"/>
          <w:color w:val="222222"/>
          <w:sz w:val="24"/>
          <w:szCs w:val="24"/>
          <w:highlight w:val="white"/>
          <w:lang w:val="en-GB"/>
        </w:rPr>
        <w:t>Niemi, S.S., 2024. Improving the Sales Onboarding Process for Sales Representatives.</w:t>
      </w:r>
    </w:p>
    <w:p w14:paraId="37698ADB"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color w:val="222222"/>
          <w:sz w:val="24"/>
          <w:szCs w:val="24"/>
          <w:highlight w:val="white"/>
          <w:lang w:val="en-GB"/>
        </w:rPr>
        <w:t xml:space="preserve">Sharma, V., Ali, I., van der Veer, S., Martin, G., Ainsworth, J. and Augustine, T., 2021. Adoption of clinical risk prediction tools is limited by a lack of integration with electronic health records. </w:t>
      </w:r>
      <w:r w:rsidRPr="00C75E8F">
        <w:rPr>
          <w:rFonts w:ascii="Times New Roman" w:eastAsia="Times New Roman" w:hAnsi="Times New Roman" w:cs="Times New Roman"/>
          <w:i/>
          <w:iCs/>
          <w:sz w:val="24"/>
          <w:szCs w:val="24"/>
          <w:lang w:val="en-GB"/>
        </w:rPr>
        <w:t>BMJ Health &amp; Care Informatics</w:t>
      </w:r>
      <w:r w:rsidRPr="00C75E8F">
        <w:rPr>
          <w:rFonts w:ascii="Times New Roman" w:eastAsia="Times New Roman" w:hAnsi="Times New Roman" w:cs="Times New Roman"/>
          <w:sz w:val="24"/>
          <w:szCs w:val="24"/>
          <w:lang w:val="en-GB"/>
        </w:rPr>
        <w:t xml:space="preserve">, </w:t>
      </w:r>
      <w:r w:rsidRPr="00C75E8F">
        <w:rPr>
          <w:rFonts w:ascii="Times New Roman" w:eastAsia="Times New Roman" w:hAnsi="Times New Roman" w:cs="Times New Roman"/>
          <w:i/>
          <w:iCs/>
          <w:sz w:val="24"/>
          <w:szCs w:val="24"/>
          <w:lang w:val="en-GB"/>
        </w:rPr>
        <w:t>28</w:t>
      </w:r>
      <w:r w:rsidRPr="00C75E8F">
        <w:rPr>
          <w:rFonts w:ascii="Times New Roman" w:eastAsia="Times New Roman" w:hAnsi="Times New Roman" w:cs="Times New Roman"/>
          <w:sz w:val="24"/>
          <w:szCs w:val="24"/>
          <w:lang w:val="en-GB"/>
        </w:rPr>
        <w:t>(1), p.e100253.</w:t>
      </w:r>
    </w:p>
    <w:p w14:paraId="6700CB5F"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color w:val="222222"/>
          <w:sz w:val="24"/>
          <w:szCs w:val="24"/>
          <w:highlight w:val="white"/>
          <w:lang w:val="en-GB"/>
        </w:rPr>
        <w:t xml:space="preserve">Somanathan, S. and Sureshkumar, S., 2023. Optimizing agile project management for virtual teams: Strategies for collaboration, communication, and productivity in remote settings. </w:t>
      </w:r>
      <w:r w:rsidRPr="00C75E8F">
        <w:rPr>
          <w:rFonts w:ascii="Times New Roman" w:eastAsia="Times New Roman" w:hAnsi="Times New Roman" w:cs="Times New Roman"/>
          <w:i/>
          <w:iCs/>
          <w:sz w:val="24"/>
          <w:szCs w:val="24"/>
          <w:lang w:val="en-GB"/>
        </w:rPr>
        <w:t>International Journal of Applied Engineering &amp; Technology</w:t>
      </w:r>
      <w:r w:rsidRPr="00C75E8F">
        <w:rPr>
          <w:rFonts w:ascii="Times New Roman" w:eastAsia="Times New Roman" w:hAnsi="Times New Roman" w:cs="Times New Roman"/>
          <w:sz w:val="24"/>
          <w:szCs w:val="24"/>
          <w:lang w:val="en-GB"/>
        </w:rPr>
        <w:t xml:space="preserve">, </w:t>
      </w:r>
      <w:r w:rsidRPr="00C75E8F">
        <w:rPr>
          <w:rFonts w:ascii="Times New Roman" w:eastAsia="Times New Roman" w:hAnsi="Times New Roman" w:cs="Times New Roman"/>
          <w:i/>
          <w:iCs/>
          <w:sz w:val="24"/>
          <w:szCs w:val="24"/>
          <w:lang w:val="en-GB"/>
        </w:rPr>
        <w:t>5</w:t>
      </w:r>
      <w:r w:rsidRPr="00C75E8F">
        <w:rPr>
          <w:rFonts w:ascii="Times New Roman" w:eastAsia="Times New Roman" w:hAnsi="Times New Roman" w:cs="Times New Roman"/>
          <w:sz w:val="24"/>
          <w:szCs w:val="24"/>
          <w:lang w:val="en-GB"/>
        </w:rPr>
        <w:t>(S2), pp.161-170.</w:t>
      </w:r>
    </w:p>
    <w:p w14:paraId="2486F738"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color w:val="222222"/>
          <w:sz w:val="24"/>
          <w:szCs w:val="24"/>
          <w:highlight w:val="white"/>
          <w:lang w:val="en-GB"/>
        </w:rPr>
        <w:t xml:space="preserve">Ștefan, A.M., Rusu, N.R., </w:t>
      </w:r>
      <w:proofErr w:type="spellStart"/>
      <w:r w:rsidRPr="00C75E8F">
        <w:rPr>
          <w:rFonts w:ascii="Times New Roman" w:eastAsia="Times New Roman" w:hAnsi="Times New Roman" w:cs="Times New Roman"/>
          <w:color w:val="222222"/>
          <w:sz w:val="24"/>
          <w:szCs w:val="24"/>
          <w:highlight w:val="white"/>
          <w:lang w:val="en-GB"/>
        </w:rPr>
        <w:t>Ovreiu</w:t>
      </w:r>
      <w:proofErr w:type="spellEnd"/>
      <w:r w:rsidRPr="00C75E8F">
        <w:rPr>
          <w:rFonts w:ascii="Times New Roman" w:eastAsia="Times New Roman" w:hAnsi="Times New Roman" w:cs="Times New Roman"/>
          <w:color w:val="222222"/>
          <w:sz w:val="24"/>
          <w:szCs w:val="24"/>
          <w:highlight w:val="white"/>
          <w:lang w:val="en-GB"/>
        </w:rPr>
        <w:t xml:space="preserve">, E. and </w:t>
      </w:r>
      <w:proofErr w:type="spellStart"/>
      <w:r w:rsidRPr="00C75E8F">
        <w:rPr>
          <w:rFonts w:ascii="Times New Roman" w:eastAsia="Times New Roman" w:hAnsi="Times New Roman" w:cs="Times New Roman"/>
          <w:color w:val="222222"/>
          <w:sz w:val="24"/>
          <w:szCs w:val="24"/>
          <w:highlight w:val="white"/>
          <w:lang w:val="en-GB"/>
        </w:rPr>
        <w:t>Ciuc</w:t>
      </w:r>
      <w:proofErr w:type="spellEnd"/>
      <w:r w:rsidRPr="00C75E8F">
        <w:rPr>
          <w:rFonts w:ascii="Times New Roman" w:eastAsia="Times New Roman" w:hAnsi="Times New Roman" w:cs="Times New Roman"/>
          <w:color w:val="222222"/>
          <w:sz w:val="24"/>
          <w:szCs w:val="24"/>
          <w:highlight w:val="white"/>
          <w:lang w:val="en-GB"/>
        </w:rPr>
        <w:t xml:space="preserve">, M., 2024. Empowering healthcare: A comprehensive guide to Implementing a robust medical information system—components, benefits, objectives, evaluation criteria, and seamless deployment strategies. </w:t>
      </w:r>
      <w:r w:rsidRPr="00C75E8F">
        <w:rPr>
          <w:rFonts w:ascii="Times New Roman" w:eastAsia="Times New Roman" w:hAnsi="Times New Roman" w:cs="Times New Roman"/>
          <w:i/>
          <w:iCs/>
          <w:sz w:val="24"/>
          <w:szCs w:val="24"/>
          <w:lang w:val="en-GB"/>
        </w:rPr>
        <w:t>Applied System Innovation</w:t>
      </w:r>
      <w:r w:rsidRPr="00C75E8F">
        <w:rPr>
          <w:rFonts w:ascii="Times New Roman" w:eastAsia="Times New Roman" w:hAnsi="Times New Roman" w:cs="Times New Roman"/>
          <w:sz w:val="24"/>
          <w:szCs w:val="24"/>
          <w:lang w:val="en-GB"/>
        </w:rPr>
        <w:t xml:space="preserve">, </w:t>
      </w:r>
      <w:r w:rsidRPr="00C75E8F">
        <w:rPr>
          <w:rFonts w:ascii="Times New Roman" w:eastAsia="Times New Roman" w:hAnsi="Times New Roman" w:cs="Times New Roman"/>
          <w:i/>
          <w:iCs/>
          <w:sz w:val="24"/>
          <w:szCs w:val="24"/>
          <w:lang w:val="en-GB"/>
        </w:rPr>
        <w:t>7</w:t>
      </w:r>
      <w:r w:rsidRPr="00C75E8F">
        <w:rPr>
          <w:rFonts w:ascii="Times New Roman" w:eastAsia="Times New Roman" w:hAnsi="Times New Roman" w:cs="Times New Roman"/>
          <w:sz w:val="24"/>
          <w:szCs w:val="24"/>
          <w:lang w:val="en-GB"/>
        </w:rPr>
        <w:t>(3), p.51.</w:t>
      </w:r>
    </w:p>
    <w:p w14:paraId="68C6F4E9"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color w:val="222222"/>
          <w:sz w:val="24"/>
          <w:szCs w:val="24"/>
          <w:highlight w:val="white"/>
          <w:lang w:val="en-GB"/>
        </w:rPr>
        <w:t xml:space="preserve">Vaghani, B.M., 2024. Integrating Quality at Source into Supplier Management: </w:t>
      </w:r>
      <w:proofErr w:type="gramStart"/>
      <w:r w:rsidRPr="00C75E8F">
        <w:rPr>
          <w:rFonts w:ascii="Times New Roman" w:eastAsia="Times New Roman" w:hAnsi="Times New Roman" w:cs="Times New Roman"/>
          <w:color w:val="222222"/>
          <w:sz w:val="24"/>
          <w:szCs w:val="24"/>
          <w:highlight w:val="white"/>
          <w:lang w:val="en-GB"/>
        </w:rPr>
        <w:t>a</w:t>
      </w:r>
      <w:proofErr w:type="gramEnd"/>
      <w:r w:rsidRPr="00C75E8F">
        <w:rPr>
          <w:rFonts w:ascii="Times New Roman" w:eastAsia="Times New Roman" w:hAnsi="Times New Roman" w:cs="Times New Roman"/>
          <w:color w:val="222222"/>
          <w:sz w:val="24"/>
          <w:szCs w:val="24"/>
          <w:highlight w:val="white"/>
          <w:lang w:val="en-GB"/>
        </w:rPr>
        <w:t xml:space="preserve"> Pathway to Cost Efficiency and Regulatory Compliance. </w:t>
      </w:r>
      <w:r w:rsidRPr="00C75E8F">
        <w:rPr>
          <w:rFonts w:ascii="Times New Roman" w:eastAsia="Times New Roman" w:hAnsi="Times New Roman" w:cs="Times New Roman"/>
          <w:i/>
          <w:iCs/>
          <w:sz w:val="24"/>
          <w:szCs w:val="24"/>
          <w:lang w:val="en-GB"/>
        </w:rPr>
        <w:t xml:space="preserve">Journal of Current Science and Research </w:t>
      </w:r>
      <w:proofErr w:type="spellStart"/>
      <w:r w:rsidRPr="00C75E8F">
        <w:rPr>
          <w:rFonts w:ascii="Times New Roman" w:eastAsia="Times New Roman" w:hAnsi="Times New Roman" w:cs="Times New Roman"/>
          <w:i/>
          <w:iCs/>
          <w:sz w:val="24"/>
          <w:szCs w:val="24"/>
          <w:lang w:val="en-GB"/>
        </w:rPr>
        <w:t>ReviewVolume</w:t>
      </w:r>
      <w:proofErr w:type="spellEnd"/>
      <w:r w:rsidRPr="00C75E8F">
        <w:rPr>
          <w:rFonts w:ascii="Times New Roman" w:eastAsia="Times New Roman" w:hAnsi="Times New Roman" w:cs="Times New Roman"/>
          <w:sz w:val="24"/>
          <w:szCs w:val="24"/>
          <w:lang w:val="en-GB"/>
        </w:rPr>
        <w:t xml:space="preserve">, </w:t>
      </w:r>
      <w:r w:rsidRPr="00C75E8F">
        <w:rPr>
          <w:rFonts w:ascii="Times New Roman" w:eastAsia="Times New Roman" w:hAnsi="Times New Roman" w:cs="Times New Roman"/>
          <w:i/>
          <w:iCs/>
          <w:sz w:val="24"/>
          <w:szCs w:val="24"/>
          <w:lang w:val="en-GB"/>
        </w:rPr>
        <w:t>2</w:t>
      </w:r>
      <w:r w:rsidRPr="00C75E8F">
        <w:rPr>
          <w:rFonts w:ascii="Times New Roman" w:eastAsia="Times New Roman" w:hAnsi="Times New Roman" w:cs="Times New Roman"/>
          <w:sz w:val="24"/>
          <w:szCs w:val="24"/>
          <w:lang w:val="en-GB"/>
        </w:rPr>
        <w:t>(2), pp.56-68.</w:t>
      </w:r>
    </w:p>
    <w:p w14:paraId="33AE791E"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proofErr w:type="spellStart"/>
      <w:r w:rsidRPr="00C75E8F">
        <w:rPr>
          <w:rFonts w:ascii="Times New Roman" w:eastAsia="Times New Roman" w:hAnsi="Times New Roman" w:cs="Times New Roman"/>
          <w:color w:val="222222"/>
          <w:sz w:val="24"/>
          <w:szCs w:val="24"/>
          <w:highlight w:val="white"/>
          <w:lang w:val="en-GB"/>
        </w:rPr>
        <w:t>Vindrola-Padros</w:t>
      </w:r>
      <w:proofErr w:type="spellEnd"/>
      <w:r w:rsidRPr="00C75E8F">
        <w:rPr>
          <w:rFonts w:ascii="Times New Roman" w:eastAsia="Times New Roman" w:hAnsi="Times New Roman" w:cs="Times New Roman"/>
          <w:color w:val="222222"/>
          <w:sz w:val="24"/>
          <w:szCs w:val="24"/>
          <w:highlight w:val="white"/>
          <w:lang w:val="en-GB"/>
        </w:rPr>
        <w:t xml:space="preserve">, C., Sidhu, M.S., Georghiou, T., </w:t>
      </w:r>
      <w:proofErr w:type="spellStart"/>
      <w:r w:rsidRPr="00C75E8F">
        <w:rPr>
          <w:rFonts w:ascii="Times New Roman" w:eastAsia="Times New Roman" w:hAnsi="Times New Roman" w:cs="Times New Roman"/>
          <w:color w:val="222222"/>
          <w:sz w:val="24"/>
          <w:szCs w:val="24"/>
          <w:highlight w:val="white"/>
          <w:lang w:val="en-GB"/>
        </w:rPr>
        <w:t>Sherlaw</w:t>
      </w:r>
      <w:proofErr w:type="spellEnd"/>
      <w:r w:rsidRPr="00C75E8F">
        <w:rPr>
          <w:rFonts w:ascii="Times New Roman" w:eastAsia="Times New Roman" w:hAnsi="Times New Roman" w:cs="Times New Roman"/>
          <w:color w:val="222222"/>
          <w:sz w:val="24"/>
          <w:szCs w:val="24"/>
          <w:highlight w:val="white"/>
          <w:lang w:val="en-GB"/>
        </w:rPr>
        <w:t xml:space="preserve">-Johnson, C., Singh, K.E., Tomini, S.M., Ellins, J., Morris, S. and Fulop, N.J., 2021. The implementation of remote home monitoring models during the COVID-19 pandemic in England. </w:t>
      </w:r>
      <w:proofErr w:type="spellStart"/>
      <w:r w:rsidRPr="00C75E8F">
        <w:rPr>
          <w:rFonts w:ascii="Times New Roman" w:eastAsia="Times New Roman" w:hAnsi="Times New Roman" w:cs="Times New Roman"/>
          <w:i/>
          <w:iCs/>
          <w:sz w:val="24"/>
          <w:szCs w:val="24"/>
          <w:lang w:val="en-GB"/>
        </w:rPr>
        <w:t>EClinicalMedicine</w:t>
      </w:r>
      <w:proofErr w:type="spellEnd"/>
      <w:r w:rsidRPr="00C75E8F">
        <w:rPr>
          <w:rFonts w:ascii="Times New Roman" w:eastAsia="Times New Roman" w:hAnsi="Times New Roman" w:cs="Times New Roman"/>
          <w:sz w:val="24"/>
          <w:szCs w:val="24"/>
          <w:lang w:val="en-GB"/>
        </w:rPr>
        <w:t xml:space="preserve">, </w:t>
      </w:r>
      <w:r w:rsidRPr="00C75E8F">
        <w:rPr>
          <w:rFonts w:ascii="Times New Roman" w:eastAsia="Times New Roman" w:hAnsi="Times New Roman" w:cs="Times New Roman"/>
          <w:i/>
          <w:iCs/>
          <w:sz w:val="24"/>
          <w:szCs w:val="24"/>
          <w:lang w:val="en-GB"/>
        </w:rPr>
        <w:t>34</w:t>
      </w:r>
      <w:r w:rsidRPr="00C75E8F">
        <w:rPr>
          <w:rFonts w:ascii="Times New Roman" w:eastAsia="Times New Roman" w:hAnsi="Times New Roman" w:cs="Times New Roman"/>
          <w:sz w:val="24"/>
          <w:szCs w:val="24"/>
          <w:lang w:val="en-GB"/>
        </w:rPr>
        <w:t>.</w:t>
      </w:r>
    </w:p>
    <w:p w14:paraId="47695202"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color w:val="222222"/>
          <w:sz w:val="24"/>
          <w:szCs w:val="24"/>
          <w:highlight w:val="white"/>
          <w:lang w:val="en-GB"/>
        </w:rPr>
        <w:t xml:space="preserve">Watson, J.M., 2024. </w:t>
      </w:r>
      <w:r w:rsidRPr="00C75E8F">
        <w:rPr>
          <w:rFonts w:ascii="Times New Roman" w:eastAsia="Times New Roman" w:hAnsi="Times New Roman" w:cs="Times New Roman"/>
          <w:i/>
          <w:iCs/>
          <w:sz w:val="24"/>
          <w:szCs w:val="24"/>
          <w:lang w:val="en-GB"/>
        </w:rPr>
        <w:t>Healthcare Technology Adoption: A Social-Organisational Perspective</w:t>
      </w:r>
      <w:r w:rsidRPr="00C75E8F">
        <w:rPr>
          <w:rFonts w:ascii="Times New Roman" w:eastAsia="Times New Roman" w:hAnsi="Times New Roman" w:cs="Times New Roman"/>
          <w:sz w:val="24"/>
          <w:szCs w:val="24"/>
          <w:lang w:val="en-GB"/>
        </w:rPr>
        <w:t>. University of Canterbury.</w:t>
      </w:r>
    </w:p>
    <w:p w14:paraId="2E7BF5F6"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color w:val="222222"/>
          <w:sz w:val="24"/>
          <w:szCs w:val="24"/>
          <w:highlight w:val="white"/>
          <w:lang w:val="en-GB"/>
        </w:rPr>
        <w:t xml:space="preserve">Wood, D.J., Mitchell, R.K., Agle, B.R. and Bryan, L.M., 2021. Stakeholder identification and salience after 20 years: Progress, problems, and prospects. </w:t>
      </w:r>
      <w:r w:rsidRPr="00C75E8F">
        <w:rPr>
          <w:rFonts w:ascii="Times New Roman" w:eastAsia="Times New Roman" w:hAnsi="Times New Roman" w:cs="Times New Roman"/>
          <w:i/>
          <w:iCs/>
          <w:sz w:val="24"/>
          <w:szCs w:val="24"/>
          <w:lang w:val="en-GB"/>
        </w:rPr>
        <w:t>Business &amp; Society</w:t>
      </w:r>
      <w:r w:rsidRPr="00C75E8F">
        <w:rPr>
          <w:rFonts w:ascii="Times New Roman" w:eastAsia="Times New Roman" w:hAnsi="Times New Roman" w:cs="Times New Roman"/>
          <w:sz w:val="24"/>
          <w:szCs w:val="24"/>
          <w:lang w:val="en-GB"/>
        </w:rPr>
        <w:t xml:space="preserve">, </w:t>
      </w:r>
      <w:r w:rsidRPr="00C75E8F">
        <w:rPr>
          <w:rFonts w:ascii="Times New Roman" w:eastAsia="Times New Roman" w:hAnsi="Times New Roman" w:cs="Times New Roman"/>
          <w:i/>
          <w:iCs/>
          <w:sz w:val="24"/>
          <w:szCs w:val="24"/>
          <w:lang w:val="en-GB"/>
        </w:rPr>
        <w:t>60</w:t>
      </w:r>
      <w:r w:rsidRPr="00C75E8F">
        <w:rPr>
          <w:rFonts w:ascii="Times New Roman" w:eastAsia="Times New Roman" w:hAnsi="Times New Roman" w:cs="Times New Roman"/>
          <w:sz w:val="24"/>
          <w:szCs w:val="24"/>
          <w:lang w:val="en-GB"/>
        </w:rPr>
        <w:t>(1), pp.196-245.</w:t>
      </w:r>
    </w:p>
    <w:p w14:paraId="6497B309" w14:textId="77777777" w:rsidR="00401A33" w:rsidRPr="00C75E8F" w:rsidRDefault="00EC6766" w:rsidP="00FD6FA4">
      <w:pPr>
        <w:spacing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sz w:val="24"/>
          <w:szCs w:val="24"/>
          <w:lang w:val="en-GB"/>
        </w:rPr>
        <w:t xml:space="preserve">Xu, S. </w:t>
      </w:r>
      <w:r w:rsidRPr="00C75E8F">
        <w:rPr>
          <w:rFonts w:ascii="Times New Roman" w:eastAsia="Times New Roman" w:hAnsi="Times New Roman" w:cs="Times New Roman"/>
          <w:i/>
          <w:iCs/>
          <w:sz w:val="24"/>
          <w:szCs w:val="24"/>
          <w:lang w:val="en-GB"/>
        </w:rPr>
        <w:t>et al.</w:t>
      </w:r>
      <w:r w:rsidRPr="00C75E8F">
        <w:rPr>
          <w:rFonts w:ascii="Times New Roman" w:eastAsia="Times New Roman" w:hAnsi="Times New Roman" w:cs="Times New Roman"/>
          <w:sz w:val="24"/>
          <w:szCs w:val="24"/>
          <w:lang w:val="en-GB"/>
        </w:rPr>
        <w:t xml:space="preserve"> (2022) 'Translational gaps and opportunities for medical wearables in digital health,' </w:t>
      </w:r>
      <w:r w:rsidRPr="00C75E8F">
        <w:rPr>
          <w:rFonts w:ascii="Times New Roman" w:eastAsia="Times New Roman" w:hAnsi="Times New Roman" w:cs="Times New Roman"/>
          <w:i/>
          <w:iCs/>
          <w:sz w:val="24"/>
          <w:szCs w:val="24"/>
          <w:lang w:val="en-GB"/>
        </w:rPr>
        <w:t>Science Translational Medicine</w:t>
      </w:r>
      <w:r w:rsidRPr="00C75E8F">
        <w:rPr>
          <w:rFonts w:ascii="Times New Roman" w:eastAsia="Times New Roman" w:hAnsi="Times New Roman" w:cs="Times New Roman"/>
          <w:sz w:val="24"/>
          <w:szCs w:val="24"/>
          <w:lang w:val="en-GB"/>
        </w:rPr>
        <w:t>, 14(666), p. eabn6036.</w:t>
      </w:r>
    </w:p>
    <w:p w14:paraId="2ABC43DA"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color w:val="222222"/>
          <w:sz w:val="24"/>
          <w:szCs w:val="24"/>
          <w:highlight w:val="white"/>
          <w:lang w:val="en-GB"/>
        </w:rPr>
        <w:lastRenderedPageBreak/>
        <w:t xml:space="preserve">Xu, S., Liu, Y., Lee, H. and Li, W., 2024, October. Neural interfaces: Bridging the brain to the world beyond healthcare. In </w:t>
      </w:r>
      <w:r w:rsidRPr="00C75E8F">
        <w:rPr>
          <w:rFonts w:ascii="Times New Roman" w:eastAsia="Times New Roman" w:hAnsi="Times New Roman" w:cs="Times New Roman"/>
          <w:i/>
          <w:iCs/>
          <w:sz w:val="24"/>
          <w:szCs w:val="24"/>
          <w:lang w:val="en-GB"/>
        </w:rPr>
        <w:t>Exploration</w:t>
      </w:r>
      <w:r w:rsidRPr="00C75E8F">
        <w:rPr>
          <w:rFonts w:ascii="Times New Roman" w:eastAsia="Times New Roman" w:hAnsi="Times New Roman" w:cs="Times New Roman"/>
          <w:sz w:val="24"/>
          <w:szCs w:val="24"/>
          <w:lang w:val="en-GB"/>
        </w:rPr>
        <w:t xml:space="preserve"> (Vol. 4, No. 5, p. 20230146).</w:t>
      </w:r>
    </w:p>
    <w:p w14:paraId="1383C509" w14:textId="77777777" w:rsidR="00401A33" w:rsidRPr="00C75E8F" w:rsidRDefault="00EC6766" w:rsidP="00FD6FA4">
      <w:pPr>
        <w:spacing w:before="240" w:after="240" w:line="360" w:lineRule="auto"/>
        <w:jc w:val="both"/>
        <w:rPr>
          <w:rFonts w:ascii="Times New Roman" w:eastAsia="Times New Roman" w:hAnsi="Times New Roman" w:cs="Times New Roman"/>
          <w:sz w:val="24"/>
          <w:szCs w:val="24"/>
          <w:lang w:val="en-GB"/>
        </w:rPr>
      </w:pPr>
      <w:r w:rsidRPr="00C75E8F">
        <w:rPr>
          <w:rFonts w:ascii="Times New Roman" w:eastAsia="Times New Roman" w:hAnsi="Times New Roman" w:cs="Times New Roman"/>
          <w:color w:val="222222"/>
          <w:sz w:val="24"/>
          <w:szCs w:val="24"/>
          <w:highlight w:val="white"/>
          <w:lang w:val="en-GB"/>
        </w:rPr>
        <w:t xml:space="preserve">Zapata, C.B., Dionne-Odom, J.N., Harris, H.A., Kalanithi, L., Lin, J., Bischoff, K., Fazzalaro, K. and </w:t>
      </w:r>
      <w:proofErr w:type="spellStart"/>
      <w:r w:rsidRPr="00C75E8F">
        <w:rPr>
          <w:rFonts w:ascii="Times New Roman" w:eastAsia="Times New Roman" w:hAnsi="Times New Roman" w:cs="Times New Roman"/>
          <w:color w:val="222222"/>
          <w:sz w:val="24"/>
          <w:szCs w:val="24"/>
          <w:highlight w:val="white"/>
          <w:lang w:val="en-GB"/>
        </w:rPr>
        <w:t>Pantilat</w:t>
      </w:r>
      <w:proofErr w:type="spellEnd"/>
      <w:r w:rsidRPr="00C75E8F">
        <w:rPr>
          <w:rFonts w:ascii="Times New Roman" w:eastAsia="Times New Roman" w:hAnsi="Times New Roman" w:cs="Times New Roman"/>
          <w:color w:val="222222"/>
          <w:sz w:val="24"/>
          <w:szCs w:val="24"/>
          <w:highlight w:val="white"/>
          <w:lang w:val="en-GB"/>
        </w:rPr>
        <w:t xml:space="preserve">, S.Z., 2023. </w:t>
      </w:r>
      <w:proofErr w:type="spellStart"/>
      <w:r w:rsidRPr="00C75E8F">
        <w:rPr>
          <w:rFonts w:ascii="Times New Roman" w:eastAsia="Times New Roman" w:hAnsi="Times New Roman" w:cs="Times New Roman"/>
          <w:color w:val="222222"/>
          <w:sz w:val="24"/>
          <w:szCs w:val="24"/>
          <w:highlight w:val="white"/>
          <w:lang w:val="en-GB"/>
        </w:rPr>
        <w:t>Honoring</w:t>
      </w:r>
      <w:proofErr w:type="spellEnd"/>
      <w:r w:rsidRPr="00C75E8F">
        <w:rPr>
          <w:rFonts w:ascii="Times New Roman" w:eastAsia="Times New Roman" w:hAnsi="Times New Roman" w:cs="Times New Roman"/>
          <w:color w:val="222222"/>
          <w:sz w:val="24"/>
          <w:szCs w:val="24"/>
          <w:highlight w:val="white"/>
          <w:lang w:val="en-GB"/>
        </w:rPr>
        <w:t xml:space="preserve"> what we say we do: developing real-world tools for routine family caregiver assessment and support in outpatient palliative care. </w:t>
      </w:r>
      <w:r w:rsidRPr="00C75E8F">
        <w:rPr>
          <w:rFonts w:ascii="Times New Roman" w:eastAsia="Times New Roman" w:hAnsi="Times New Roman" w:cs="Times New Roman"/>
          <w:i/>
          <w:iCs/>
          <w:sz w:val="24"/>
          <w:szCs w:val="24"/>
          <w:lang w:val="en-GB"/>
        </w:rPr>
        <w:t>Journal of Palliative Medicine</w:t>
      </w:r>
      <w:r w:rsidRPr="00C75E8F">
        <w:rPr>
          <w:rFonts w:ascii="Times New Roman" w:eastAsia="Times New Roman" w:hAnsi="Times New Roman" w:cs="Times New Roman"/>
          <w:sz w:val="24"/>
          <w:szCs w:val="24"/>
          <w:lang w:val="en-GB"/>
        </w:rPr>
        <w:t xml:space="preserve">, </w:t>
      </w:r>
      <w:r w:rsidRPr="00C75E8F">
        <w:rPr>
          <w:rFonts w:ascii="Times New Roman" w:eastAsia="Times New Roman" w:hAnsi="Times New Roman" w:cs="Times New Roman"/>
          <w:i/>
          <w:iCs/>
          <w:sz w:val="24"/>
          <w:szCs w:val="24"/>
          <w:lang w:val="en-GB"/>
        </w:rPr>
        <w:t>26</w:t>
      </w:r>
      <w:r w:rsidRPr="00C75E8F">
        <w:rPr>
          <w:rFonts w:ascii="Times New Roman" w:eastAsia="Times New Roman" w:hAnsi="Times New Roman" w:cs="Times New Roman"/>
          <w:sz w:val="24"/>
          <w:szCs w:val="24"/>
          <w:lang w:val="en-GB"/>
        </w:rPr>
        <w:t>(3), pp.376-384.</w:t>
      </w:r>
    </w:p>
    <w:p w14:paraId="412A9EA5" w14:textId="77777777" w:rsidR="00401A33" w:rsidRPr="00C75E8F" w:rsidRDefault="00401A33" w:rsidP="00FD6FA4">
      <w:pPr>
        <w:spacing w:before="240" w:after="240" w:line="360" w:lineRule="auto"/>
        <w:jc w:val="both"/>
        <w:rPr>
          <w:rFonts w:ascii="Times New Roman" w:eastAsia="Times New Roman" w:hAnsi="Times New Roman" w:cs="Times New Roman"/>
          <w:sz w:val="24"/>
          <w:szCs w:val="24"/>
          <w:lang w:val="en-GB"/>
        </w:rPr>
      </w:pPr>
    </w:p>
    <w:sectPr w:rsidR="00401A33" w:rsidRPr="00C75E8F" w:rsidSect="00FD6FA4">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53716C" w14:textId="77777777" w:rsidR="00924EC4" w:rsidRDefault="00924EC4" w:rsidP="00FD6FA4">
      <w:pPr>
        <w:spacing w:line="240" w:lineRule="auto"/>
      </w:pPr>
      <w:r>
        <w:separator/>
      </w:r>
    </w:p>
  </w:endnote>
  <w:endnote w:type="continuationSeparator" w:id="0">
    <w:p w14:paraId="2F7493F1" w14:textId="77777777" w:rsidR="00924EC4" w:rsidRDefault="00924EC4" w:rsidP="00FD6F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ungsuh">
    <w:altName w:val="Times New Roman"/>
    <w:charset w:val="81"/>
    <w:family w:val="roman"/>
    <w:pitch w:val="variable"/>
    <w:sig w:usb0="B00002AF" w:usb1="69D77CFB" w:usb2="00000030" w:usb3="00000000" w:csb0="0008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4207886"/>
      <w:docPartObj>
        <w:docPartGallery w:val="Page Numbers (Bottom of Page)"/>
        <w:docPartUnique/>
      </w:docPartObj>
    </w:sdtPr>
    <w:sdtEndPr>
      <w:rPr>
        <w:noProof/>
      </w:rPr>
    </w:sdtEndPr>
    <w:sdtContent>
      <w:p w14:paraId="0A78FF5C" w14:textId="77777777" w:rsidR="00581A20" w:rsidRDefault="00581A20">
        <w:pPr>
          <w:pStyle w:val="Footer"/>
          <w:jc w:val="right"/>
        </w:pPr>
        <w:r>
          <w:fldChar w:fldCharType="begin"/>
        </w:r>
        <w:r>
          <w:instrText xml:space="preserve"> PAGE   \* MERGEFORMAT </w:instrText>
        </w:r>
        <w:r>
          <w:fldChar w:fldCharType="separate"/>
        </w:r>
        <w:r w:rsidR="002D5FA7">
          <w:rPr>
            <w:noProof/>
          </w:rPr>
          <w:t>30</w:t>
        </w:r>
        <w:r>
          <w:rPr>
            <w:noProof/>
          </w:rPr>
          <w:fldChar w:fldCharType="end"/>
        </w:r>
      </w:p>
    </w:sdtContent>
  </w:sdt>
  <w:p w14:paraId="5EE9109C" w14:textId="77777777" w:rsidR="00581A20" w:rsidRDefault="00581A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D83E9E" w14:textId="77777777" w:rsidR="00924EC4" w:rsidRDefault="00924EC4" w:rsidP="00FD6FA4">
      <w:pPr>
        <w:spacing w:line="240" w:lineRule="auto"/>
      </w:pPr>
      <w:r>
        <w:separator/>
      </w:r>
    </w:p>
  </w:footnote>
  <w:footnote w:type="continuationSeparator" w:id="0">
    <w:p w14:paraId="7E45B2CD" w14:textId="77777777" w:rsidR="00924EC4" w:rsidRDefault="00924EC4" w:rsidP="00FD6FA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B7CB5"/>
    <w:multiLevelType w:val="multilevel"/>
    <w:tmpl w:val="E6DE6F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04C1458"/>
    <w:multiLevelType w:val="multilevel"/>
    <w:tmpl w:val="404886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DDB4869"/>
    <w:multiLevelType w:val="multilevel"/>
    <w:tmpl w:val="444C85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F1077F5"/>
    <w:multiLevelType w:val="multilevel"/>
    <w:tmpl w:val="83D64F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9561A38"/>
    <w:multiLevelType w:val="multilevel"/>
    <w:tmpl w:val="355C97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65330541">
    <w:abstractNumId w:val="3"/>
  </w:num>
  <w:num w:numId="2" w16cid:durableId="1380665431">
    <w:abstractNumId w:val="4"/>
  </w:num>
  <w:num w:numId="3" w16cid:durableId="1279533863">
    <w:abstractNumId w:val="1"/>
  </w:num>
  <w:num w:numId="4" w16cid:durableId="1856381342">
    <w:abstractNumId w:val="2"/>
  </w:num>
  <w:num w:numId="5" w16cid:durableId="18343720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1A33"/>
    <w:rsid w:val="002D5FA7"/>
    <w:rsid w:val="00401A33"/>
    <w:rsid w:val="00436B75"/>
    <w:rsid w:val="004D6F0A"/>
    <w:rsid w:val="005108E7"/>
    <w:rsid w:val="00510F32"/>
    <w:rsid w:val="00581A20"/>
    <w:rsid w:val="006D18C4"/>
    <w:rsid w:val="007A566F"/>
    <w:rsid w:val="00924EC4"/>
    <w:rsid w:val="00C75E8F"/>
    <w:rsid w:val="00EC6766"/>
    <w:rsid w:val="00F35AD0"/>
    <w:rsid w:val="00F61594"/>
    <w:rsid w:val="00FD6F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14433"/>
  <w15:docId w15:val="{1B7A2D41-74CB-4F7E-96D5-4EEF21945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table" w:customStyle="1" w:styleId="a7">
    <w:basedOn w:val="TableNormal0"/>
    <w:tblPr>
      <w:tblStyleRowBandSize w:val="1"/>
      <w:tblStyleColBandSize w:val="1"/>
    </w:tblPr>
  </w:style>
  <w:style w:type="table" w:customStyle="1" w:styleId="a8">
    <w:basedOn w:val="TableNormal0"/>
    <w:tblPr>
      <w:tblStyleRowBandSize w:val="1"/>
      <w:tblStyleColBandSize w:val="1"/>
    </w:tblPr>
  </w:style>
  <w:style w:type="table" w:customStyle="1" w:styleId="a9">
    <w:basedOn w:val="TableNormal0"/>
    <w:tblPr>
      <w:tblStyleRowBandSize w:val="1"/>
      <w:tblStyleColBandSize w:val="1"/>
    </w:tblPr>
  </w:style>
  <w:style w:type="table" w:customStyle="1" w:styleId="aa">
    <w:basedOn w:val="TableNormal0"/>
    <w:tblPr>
      <w:tblStyleRowBandSize w:val="1"/>
      <w:tblStyleColBandSize w:val="1"/>
    </w:tblPr>
  </w:style>
  <w:style w:type="paragraph" w:styleId="Header">
    <w:name w:val="header"/>
    <w:basedOn w:val="Normal"/>
    <w:link w:val="HeaderChar"/>
    <w:uiPriority w:val="99"/>
    <w:unhideWhenUsed/>
    <w:rsid w:val="00FD6FA4"/>
    <w:pPr>
      <w:tabs>
        <w:tab w:val="center" w:pos="4680"/>
        <w:tab w:val="right" w:pos="9360"/>
      </w:tabs>
      <w:spacing w:line="240" w:lineRule="auto"/>
    </w:pPr>
  </w:style>
  <w:style w:type="character" w:customStyle="1" w:styleId="HeaderChar">
    <w:name w:val="Header Char"/>
    <w:basedOn w:val="DefaultParagraphFont"/>
    <w:link w:val="Header"/>
    <w:uiPriority w:val="99"/>
    <w:rsid w:val="00FD6FA4"/>
  </w:style>
  <w:style w:type="paragraph" w:styleId="Footer">
    <w:name w:val="footer"/>
    <w:basedOn w:val="Normal"/>
    <w:link w:val="FooterChar"/>
    <w:uiPriority w:val="99"/>
    <w:unhideWhenUsed/>
    <w:rsid w:val="00FD6FA4"/>
    <w:pPr>
      <w:tabs>
        <w:tab w:val="center" w:pos="4680"/>
        <w:tab w:val="right" w:pos="9360"/>
      </w:tabs>
      <w:spacing w:line="240" w:lineRule="auto"/>
    </w:pPr>
  </w:style>
  <w:style w:type="character" w:customStyle="1" w:styleId="FooterChar">
    <w:name w:val="Footer Char"/>
    <w:basedOn w:val="DefaultParagraphFont"/>
    <w:link w:val="Footer"/>
    <w:uiPriority w:val="99"/>
    <w:rsid w:val="00FD6FA4"/>
  </w:style>
  <w:style w:type="paragraph" w:styleId="TOCHeading">
    <w:name w:val="TOC Heading"/>
    <w:basedOn w:val="Heading1"/>
    <w:next w:val="Normal"/>
    <w:uiPriority w:val="39"/>
    <w:unhideWhenUsed/>
    <w:qFormat/>
    <w:rsid w:val="00FD6FA4"/>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FD6FA4"/>
    <w:pPr>
      <w:spacing w:after="100"/>
    </w:pPr>
  </w:style>
  <w:style w:type="paragraph" w:styleId="TOC2">
    <w:name w:val="toc 2"/>
    <w:basedOn w:val="Normal"/>
    <w:next w:val="Normal"/>
    <w:autoRedefine/>
    <w:uiPriority w:val="39"/>
    <w:unhideWhenUsed/>
    <w:rsid w:val="00FD6FA4"/>
    <w:pPr>
      <w:spacing w:after="100"/>
      <w:ind w:left="220"/>
    </w:pPr>
  </w:style>
  <w:style w:type="character" w:styleId="Hyperlink">
    <w:name w:val="Hyperlink"/>
    <w:basedOn w:val="DefaultParagraphFont"/>
    <w:uiPriority w:val="99"/>
    <w:unhideWhenUsed/>
    <w:rsid w:val="00FD6FA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urrenthealth.com/company-overview/"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urrenthealth.com/company-overview/"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wire.com/news/home/20221110005283/en/Current-Health-makes-its-end-to-end-care-at-home-platform-available-in-the-Epic-App-Market"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businesswire.com/news/home/20221110005283/en/Current-Health-makes-its-end-to-end-care-at-home-platform-available-in-the-Epic-App-Marke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C255D2-7D77-4491-870C-881D19BF46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33</Pages>
  <Words>6671</Words>
  <Characters>38025</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Oliviu Muntean</cp:lastModifiedBy>
  <cp:revision>3</cp:revision>
  <dcterms:created xsi:type="dcterms:W3CDTF">2025-12-11T21:39:00Z</dcterms:created>
  <dcterms:modified xsi:type="dcterms:W3CDTF">2025-12-11T22:18:00Z</dcterms:modified>
</cp:coreProperties>
</file>