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52AEE" w14:textId="77777777" w:rsidR="00E91D10" w:rsidRPr="007A674E" w:rsidRDefault="00E91D10" w:rsidP="007A674E">
      <w:pPr>
        <w:spacing w:line="480" w:lineRule="auto"/>
        <w:jc w:val="center"/>
        <w:rPr>
          <w:rFonts w:ascii="Times New Roman" w:hAnsi="Times New Roman" w:cs="Times New Roman"/>
          <w:b/>
          <w:bCs/>
          <w:sz w:val="24"/>
          <w:szCs w:val="24"/>
        </w:rPr>
      </w:pPr>
    </w:p>
    <w:p w14:paraId="6039938B" w14:textId="6B47BA75" w:rsidR="00593965" w:rsidRPr="00593965" w:rsidRDefault="00593965" w:rsidP="000243C2">
      <w:pPr>
        <w:spacing w:line="480" w:lineRule="auto"/>
        <w:rPr>
          <w:rFonts w:ascii="Times New Roman" w:hAnsi="Times New Roman" w:cs="Times New Roman"/>
          <w:b/>
          <w:bCs/>
          <w:sz w:val="24"/>
          <w:szCs w:val="24"/>
        </w:rPr>
      </w:pPr>
    </w:p>
    <w:p w14:paraId="1BDE2FB6" w14:textId="03A62519" w:rsidR="00593965" w:rsidRPr="00593965" w:rsidRDefault="000243C2" w:rsidP="0059396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Name of the S</w:t>
      </w:r>
      <w:r w:rsidR="00593965" w:rsidRPr="00593965">
        <w:rPr>
          <w:rFonts w:ascii="Times New Roman" w:hAnsi="Times New Roman" w:cs="Times New Roman"/>
          <w:b/>
          <w:bCs/>
          <w:sz w:val="24"/>
          <w:szCs w:val="24"/>
        </w:rPr>
        <w:t>tudent:Thaera Akhtar</w:t>
      </w:r>
    </w:p>
    <w:p w14:paraId="35D92864" w14:textId="77777777" w:rsidR="00593965" w:rsidRPr="00593965" w:rsidRDefault="00593965" w:rsidP="00593965">
      <w:pPr>
        <w:spacing w:line="480" w:lineRule="auto"/>
        <w:jc w:val="center"/>
        <w:rPr>
          <w:rFonts w:ascii="Times New Roman" w:hAnsi="Times New Roman" w:cs="Times New Roman"/>
          <w:b/>
          <w:bCs/>
          <w:sz w:val="24"/>
          <w:szCs w:val="24"/>
        </w:rPr>
      </w:pPr>
      <w:r w:rsidRPr="00593965">
        <w:rPr>
          <w:rFonts w:ascii="Times New Roman" w:hAnsi="Times New Roman" w:cs="Times New Roman"/>
          <w:b/>
          <w:bCs/>
          <w:sz w:val="24"/>
          <w:szCs w:val="24"/>
        </w:rPr>
        <w:t>Student ID:1807092</w:t>
      </w:r>
    </w:p>
    <w:p w14:paraId="66EF64E9" w14:textId="77777777" w:rsidR="00593965" w:rsidRPr="00593965" w:rsidRDefault="00593965" w:rsidP="00593965">
      <w:pPr>
        <w:spacing w:line="480" w:lineRule="auto"/>
        <w:jc w:val="center"/>
        <w:rPr>
          <w:rFonts w:ascii="Times New Roman" w:hAnsi="Times New Roman" w:cs="Times New Roman"/>
          <w:b/>
          <w:bCs/>
          <w:sz w:val="24"/>
          <w:szCs w:val="24"/>
        </w:rPr>
      </w:pPr>
      <w:r w:rsidRPr="00593965">
        <w:rPr>
          <w:rFonts w:ascii="Times New Roman" w:hAnsi="Times New Roman" w:cs="Times New Roman"/>
          <w:b/>
          <w:bCs/>
          <w:sz w:val="24"/>
          <w:szCs w:val="24"/>
        </w:rPr>
        <w:t>BMHP5005</w:t>
      </w:r>
    </w:p>
    <w:p w14:paraId="4DE6AB20" w14:textId="77777777" w:rsidR="00E91D10" w:rsidRPr="007A674E" w:rsidRDefault="00E91D10" w:rsidP="007A674E">
      <w:pPr>
        <w:spacing w:line="480" w:lineRule="auto"/>
        <w:jc w:val="center"/>
        <w:rPr>
          <w:rFonts w:ascii="Times New Roman" w:hAnsi="Times New Roman" w:cs="Times New Roman"/>
          <w:b/>
          <w:bCs/>
          <w:sz w:val="24"/>
          <w:szCs w:val="24"/>
        </w:rPr>
      </w:pPr>
    </w:p>
    <w:p w14:paraId="184A32F6" w14:textId="77777777" w:rsidR="00E91D10" w:rsidRPr="007A674E" w:rsidRDefault="00E91D10" w:rsidP="007A674E">
      <w:pPr>
        <w:spacing w:line="480" w:lineRule="auto"/>
        <w:jc w:val="center"/>
        <w:rPr>
          <w:rFonts w:ascii="Times New Roman" w:hAnsi="Times New Roman" w:cs="Times New Roman"/>
          <w:b/>
          <w:bCs/>
          <w:sz w:val="24"/>
          <w:szCs w:val="24"/>
        </w:rPr>
      </w:pPr>
    </w:p>
    <w:p w14:paraId="7E8BC435" w14:textId="77777777" w:rsidR="00E91D10" w:rsidRPr="007A674E" w:rsidRDefault="00E91D10" w:rsidP="007A674E">
      <w:pPr>
        <w:spacing w:line="480" w:lineRule="auto"/>
        <w:jc w:val="center"/>
        <w:rPr>
          <w:rFonts w:ascii="Times New Roman" w:hAnsi="Times New Roman" w:cs="Times New Roman"/>
          <w:b/>
          <w:bCs/>
          <w:sz w:val="24"/>
          <w:szCs w:val="24"/>
        </w:rPr>
      </w:pPr>
    </w:p>
    <w:p w14:paraId="0F97DB4E" w14:textId="7191B9A4" w:rsidR="00E91D10" w:rsidRPr="007A674E" w:rsidRDefault="00E91D10" w:rsidP="007A674E">
      <w:pPr>
        <w:spacing w:line="480" w:lineRule="auto"/>
        <w:jc w:val="center"/>
        <w:rPr>
          <w:rFonts w:ascii="Times New Roman" w:hAnsi="Times New Roman" w:cs="Times New Roman"/>
          <w:b/>
          <w:bCs/>
          <w:sz w:val="24"/>
          <w:szCs w:val="24"/>
        </w:rPr>
      </w:pPr>
      <w:r w:rsidRPr="007A674E">
        <w:rPr>
          <w:rFonts w:ascii="Times New Roman" w:hAnsi="Times New Roman" w:cs="Times New Roman"/>
          <w:b/>
          <w:bCs/>
          <w:sz w:val="24"/>
          <w:szCs w:val="24"/>
        </w:rPr>
        <w:t>Home care</w:t>
      </w:r>
      <w:bookmarkStart w:id="0" w:name="_GoBack"/>
      <w:bookmarkEnd w:id="0"/>
      <w:r w:rsidRPr="007A674E">
        <w:rPr>
          <w:rFonts w:ascii="Times New Roman" w:hAnsi="Times New Roman" w:cs="Times New Roman"/>
          <w:b/>
          <w:bCs/>
          <w:sz w:val="24"/>
          <w:szCs w:val="24"/>
        </w:rPr>
        <w:t xml:space="preserve">: delivering personal care and practical support to older people living in their own homes </w:t>
      </w:r>
    </w:p>
    <w:sdt>
      <w:sdtPr>
        <w:rPr>
          <w:rFonts w:ascii="Times New Roman" w:eastAsiaTheme="minorHAnsi" w:hAnsi="Times New Roman" w:cs="Times New Roman"/>
          <w:color w:val="auto"/>
          <w:sz w:val="24"/>
          <w:szCs w:val="24"/>
        </w:rPr>
        <w:id w:val="653727091"/>
        <w:docPartObj>
          <w:docPartGallery w:val="Table of Contents"/>
          <w:docPartUnique/>
        </w:docPartObj>
      </w:sdtPr>
      <w:sdtEndPr>
        <w:rPr>
          <w:b/>
          <w:bCs/>
          <w:noProof/>
        </w:rPr>
      </w:sdtEndPr>
      <w:sdtContent>
        <w:p w14:paraId="5528C0F0" w14:textId="501D6A16" w:rsidR="007A674E" w:rsidRPr="007A674E" w:rsidRDefault="007A674E" w:rsidP="007A674E">
          <w:pPr>
            <w:pStyle w:val="TOCHeading"/>
            <w:spacing w:line="480" w:lineRule="auto"/>
            <w:jc w:val="both"/>
            <w:rPr>
              <w:rFonts w:ascii="Times New Roman" w:hAnsi="Times New Roman" w:cs="Times New Roman"/>
              <w:b/>
              <w:bCs/>
              <w:color w:val="auto"/>
              <w:sz w:val="24"/>
              <w:szCs w:val="24"/>
            </w:rPr>
          </w:pPr>
          <w:r w:rsidRPr="007A674E">
            <w:rPr>
              <w:rFonts w:ascii="Times New Roman" w:hAnsi="Times New Roman" w:cs="Times New Roman"/>
              <w:b/>
              <w:bCs/>
              <w:color w:val="auto"/>
              <w:sz w:val="24"/>
              <w:szCs w:val="24"/>
            </w:rPr>
            <w:t>Table of Contents</w:t>
          </w:r>
        </w:p>
        <w:p w14:paraId="13EB51A6" w14:textId="0522A500" w:rsidR="007A674E" w:rsidRPr="007A674E" w:rsidRDefault="007A674E" w:rsidP="007A674E">
          <w:pPr>
            <w:pStyle w:val="TOC1"/>
            <w:tabs>
              <w:tab w:val="right" w:leader="dot" w:pos="9350"/>
            </w:tabs>
            <w:spacing w:line="480" w:lineRule="auto"/>
            <w:jc w:val="both"/>
            <w:rPr>
              <w:rFonts w:ascii="Times New Roman" w:hAnsi="Times New Roman" w:cs="Times New Roman"/>
              <w:noProof/>
              <w:sz w:val="24"/>
              <w:szCs w:val="24"/>
            </w:rPr>
          </w:pPr>
          <w:r w:rsidRPr="007A674E">
            <w:rPr>
              <w:rFonts w:ascii="Times New Roman" w:hAnsi="Times New Roman" w:cs="Times New Roman"/>
              <w:sz w:val="24"/>
              <w:szCs w:val="24"/>
            </w:rPr>
            <w:fldChar w:fldCharType="begin"/>
          </w:r>
          <w:r w:rsidRPr="007A674E">
            <w:rPr>
              <w:rFonts w:ascii="Times New Roman" w:hAnsi="Times New Roman" w:cs="Times New Roman"/>
              <w:sz w:val="24"/>
              <w:szCs w:val="24"/>
            </w:rPr>
            <w:instrText xml:space="preserve"> TOC \o "1-3" \h \z \u </w:instrText>
          </w:r>
          <w:r w:rsidRPr="007A674E">
            <w:rPr>
              <w:rFonts w:ascii="Times New Roman" w:hAnsi="Times New Roman" w:cs="Times New Roman"/>
              <w:sz w:val="24"/>
              <w:szCs w:val="24"/>
            </w:rPr>
            <w:fldChar w:fldCharType="separate"/>
          </w:r>
          <w:hyperlink w:anchor="_Toc100843630" w:history="1">
            <w:r w:rsidRPr="007A674E">
              <w:rPr>
                <w:rStyle w:val="Hyperlink"/>
                <w:rFonts w:ascii="Times New Roman" w:hAnsi="Times New Roman" w:cs="Times New Roman"/>
                <w:noProof/>
                <w:color w:val="auto"/>
                <w:sz w:val="24"/>
                <w:szCs w:val="24"/>
              </w:rPr>
              <w:t>Background:</w:t>
            </w:r>
            <w:r w:rsidRPr="007A674E">
              <w:rPr>
                <w:rFonts w:ascii="Times New Roman" w:hAnsi="Times New Roman" w:cs="Times New Roman"/>
                <w:noProof/>
                <w:webHidden/>
                <w:sz w:val="24"/>
                <w:szCs w:val="24"/>
              </w:rPr>
              <w:tab/>
            </w:r>
            <w:r w:rsidRPr="007A674E">
              <w:rPr>
                <w:rFonts w:ascii="Times New Roman" w:hAnsi="Times New Roman" w:cs="Times New Roman"/>
                <w:noProof/>
                <w:webHidden/>
                <w:sz w:val="24"/>
                <w:szCs w:val="24"/>
              </w:rPr>
              <w:fldChar w:fldCharType="begin"/>
            </w:r>
            <w:r w:rsidRPr="007A674E">
              <w:rPr>
                <w:rFonts w:ascii="Times New Roman" w:hAnsi="Times New Roman" w:cs="Times New Roman"/>
                <w:noProof/>
                <w:webHidden/>
                <w:sz w:val="24"/>
                <w:szCs w:val="24"/>
              </w:rPr>
              <w:instrText xml:space="preserve"> PAGEREF _Toc100843630 \h </w:instrText>
            </w:r>
            <w:r w:rsidRPr="007A674E">
              <w:rPr>
                <w:rFonts w:ascii="Times New Roman" w:hAnsi="Times New Roman" w:cs="Times New Roman"/>
                <w:noProof/>
                <w:webHidden/>
                <w:sz w:val="24"/>
                <w:szCs w:val="24"/>
              </w:rPr>
            </w:r>
            <w:r w:rsidRPr="007A674E">
              <w:rPr>
                <w:rFonts w:ascii="Times New Roman" w:hAnsi="Times New Roman" w:cs="Times New Roman"/>
                <w:noProof/>
                <w:webHidden/>
                <w:sz w:val="24"/>
                <w:szCs w:val="24"/>
              </w:rPr>
              <w:fldChar w:fldCharType="separate"/>
            </w:r>
            <w:r w:rsidRPr="007A674E">
              <w:rPr>
                <w:rFonts w:ascii="Times New Roman" w:hAnsi="Times New Roman" w:cs="Times New Roman"/>
                <w:noProof/>
                <w:webHidden/>
                <w:sz w:val="24"/>
                <w:szCs w:val="24"/>
              </w:rPr>
              <w:t>3</w:t>
            </w:r>
            <w:r w:rsidRPr="007A674E">
              <w:rPr>
                <w:rFonts w:ascii="Times New Roman" w:hAnsi="Times New Roman" w:cs="Times New Roman"/>
                <w:noProof/>
                <w:webHidden/>
                <w:sz w:val="24"/>
                <w:szCs w:val="24"/>
              </w:rPr>
              <w:fldChar w:fldCharType="end"/>
            </w:r>
          </w:hyperlink>
        </w:p>
        <w:p w14:paraId="45A80CD8" w14:textId="39E39F59"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1" w:history="1">
            <w:r w:rsidR="007A674E" w:rsidRPr="007A674E">
              <w:rPr>
                <w:rStyle w:val="Hyperlink"/>
                <w:rFonts w:ascii="Times New Roman" w:hAnsi="Times New Roman" w:cs="Times New Roman"/>
                <w:noProof/>
                <w:color w:val="auto"/>
                <w:sz w:val="24"/>
                <w:szCs w:val="24"/>
              </w:rPr>
              <w:t>Methodology:</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_Toc100843631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4</w:t>
            </w:r>
            <w:r w:rsidR="007A674E" w:rsidRPr="007A674E">
              <w:rPr>
                <w:rFonts w:ascii="Times New Roman" w:hAnsi="Times New Roman" w:cs="Times New Roman"/>
                <w:noProof/>
                <w:webHidden/>
                <w:sz w:val="24"/>
                <w:szCs w:val="24"/>
              </w:rPr>
              <w:fldChar w:fldCharType="end"/>
            </w:r>
          </w:hyperlink>
        </w:p>
        <w:p w14:paraId="5B019581" w14:textId="6B980731"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2" w:history="1">
            <w:r w:rsidR="007A674E" w:rsidRPr="007A674E">
              <w:rPr>
                <w:rStyle w:val="Hyperlink"/>
                <w:rFonts w:ascii="Times New Roman" w:hAnsi="Times New Roman" w:cs="Times New Roman"/>
                <w:noProof/>
                <w:color w:val="auto"/>
                <w:sz w:val="24"/>
                <w:szCs w:val="24"/>
              </w:rPr>
              <w:t>Consideration of the importance of ethical practice in research:</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_Toc100843632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6</w:t>
            </w:r>
            <w:r w:rsidR="007A674E" w:rsidRPr="007A674E">
              <w:rPr>
                <w:rFonts w:ascii="Times New Roman" w:hAnsi="Times New Roman" w:cs="Times New Roman"/>
                <w:noProof/>
                <w:webHidden/>
                <w:sz w:val="24"/>
                <w:szCs w:val="24"/>
              </w:rPr>
              <w:fldChar w:fldCharType="end"/>
            </w:r>
          </w:hyperlink>
        </w:p>
        <w:p w14:paraId="66D16A4D" w14:textId="6D70033B"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3" w:history="1">
            <w:r w:rsidR="007A674E" w:rsidRPr="007A674E">
              <w:rPr>
                <w:rStyle w:val="Hyperlink"/>
                <w:rFonts w:ascii="Times New Roman" w:hAnsi="Times New Roman" w:cs="Times New Roman"/>
                <w:noProof/>
                <w:color w:val="auto"/>
                <w:sz w:val="24"/>
                <w:szCs w:val="24"/>
              </w:rPr>
              <w:t>Literature Review:</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_Toc100843633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6</w:t>
            </w:r>
            <w:r w:rsidR="007A674E" w:rsidRPr="007A674E">
              <w:rPr>
                <w:rFonts w:ascii="Times New Roman" w:hAnsi="Times New Roman" w:cs="Times New Roman"/>
                <w:noProof/>
                <w:webHidden/>
                <w:sz w:val="24"/>
                <w:szCs w:val="24"/>
              </w:rPr>
              <w:fldChar w:fldCharType="end"/>
            </w:r>
          </w:hyperlink>
        </w:p>
        <w:p w14:paraId="0AE7F028" w14:textId="709B9048"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4" w:history="1">
            <w:r w:rsidR="007A674E" w:rsidRPr="007A674E">
              <w:rPr>
                <w:rStyle w:val="Hyperlink"/>
                <w:rFonts w:ascii="Times New Roman" w:hAnsi="Times New Roman" w:cs="Times New Roman"/>
                <w:noProof/>
                <w:color w:val="auto"/>
                <w:sz w:val="24"/>
                <w:szCs w:val="24"/>
              </w:rPr>
              <w:t>Findings and discussions:</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_Toc100843634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10</w:t>
            </w:r>
            <w:r w:rsidR="007A674E" w:rsidRPr="007A674E">
              <w:rPr>
                <w:rFonts w:ascii="Times New Roman" w:hAnsi="Times New Roman" w:cs="Times New Roman"/>
                <w:noProof/>
                <w:webHidden/>
                <w:sz w:val="24"/>
                <w:szCs w:val="24"/>
              </w:rPr>
              <w:fldChar w:fldCharType="end"/>
            </w:r>
          </w:hyperlink>
        </w:p>
        <w:p w14:paraId="7EF4DC62" w14:textId="23865065"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5" w:history="1">
            <w:r w:rsidR="007A674E" w:rsidRPr="007A674E">
              <w:rPr>
                <w:rStyle w:val="Hyperlink"/>
                <w:rFonts w:ascii="Times New Roman" w:hAnsi="Times New Roman" w:cs="Times New Roman"/>
                <w:noProof/>
                <w:color w:val="auto"/>
                <w:sz w:val="24"/>
                <w:szCs w:val="24"/>
              </w:rPr>
              <w:t>Conclusions and Recommendations:</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_Toc100843635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12</w:t>
            </w:r>
            <w:r w:rsidR="007A674E" w:rsidRPr="007A674E">
              <w:rPr>
                <w:rFonts w:ascii="Times New Roman" w:hAnsi="Times New Roman" w:cs="Times New Roman"/>
                <w:noProof/>
                <w:webHidden/>
                <w:sz w:val="24"/>
                <w:szCs w:val="24"/>
              </w:rPr>
              <w:fldChar w:fldCharType="end"/>
            </w:r>
          </w:hyperlink>
        </w:p>
        <w:p w14:paraId="12B7A21A" w14:textId="534B6EC0" w:rsidR="007A674E" w:rsidRPr="007A674E" w:rsidRDefault="001B3DFE" w:rsidP="007A674E">
          <w:pPr>
            <w:pStyle w:val="TOC1"/>
            <w:tabs>
              <w:tab w:val="right" w:leader="dot" w:pos="9350"/>
            </w:tabs>
            <w:spacing w:line="480" w:lineRule="auto"/>
            <w:jc w:val="both"/>
            <w:rPr>
              <w:rFonts w:ascii="Times New Roman" w:hAnsi="Times New Roman" w:cs="Times New Roman"/>
              <w:noProof/>
              <w:sz w:val="24"/>
              <w:szCs w:val="24"/>
            </w:rPr>
          </w:pPr>
          <w:hyperlink w:anchor="_Toc100843636" w:history="1">
            <w:r w:rsidR="007A674E" w:rsidRPr="007A674E">
              <w:rPr>
                <w:rStyle w:val="Hyperlink"/>
                <w:rFonts w:ascii="Times New Roman" w:hAnsi="Times New Roman" w:cs="Times New Roman"/>
                <w:noProof/>
                <w:color w:val="auto"/>
                <w:sz w:val="24"/>
                <w:szCs w:val="24"/>
              </w:rPr>
              <w:t>References:</w:t>
            </w:r>
            <w:r w:rsidR="007A674E" w:rsidRPr="007A674E">
              <w:rPr>
                <w:rFonts w:ascii="Times New Roman" w:hAnsi="Times New Roman" w:cs="Times New Roman"/>
                <w:noProof/>
                <w:webHidden/>
                <w:sz w:val="24"/>
                <w:szCs w:val="24"/>
              </w:rPr>
              <w:tab/>
            </w:r>
            <w:r w:rsidR="007A674E" w:rsidRPr="007A674E">
              <w:rPr>
                <w:rFonts w:ascii="Times New Roman" w:hAnsi="Times New Roman" w:cs="Times New Roman"/>
                <w:noProof/>
                <w:webHidden/>
                <w:sz w:val="24"/>
                <w:szCs w:val="24"/>
              </w:rPr>
              <w:fldChar w:fldCharType="begin"/>
            </w:r>
            <w:r w:rsidR="007A674E" w:rsidRPr="007A674E">
              <w:rPr>
                <w:rFonts w:ascii="Times New Roman" w:hAnsi="Times New Roman" w:cs="Times New Roman"/>
                <w:noProof/>
                <w:webHidden/>
                <w:sz w:val="24"/>
                <w:szCs w:val="24"/>
              </w:rPr>
              <w:instrText xml:space="preserve"> PAGEREF _Toc100843636 \h </w:instrText>
            </w:r>
            <w:r w:rsidR="007A674E" w:rsidRPr="007A674E">
              <w:rPr>
                <w:rFonts w:ascii="Times New Roman" w:hAnsi="Times New Roman" w:cs="Times New Roman"/>
                <w:noProof/>
                <w:webHidden/>
                <w:sz w:val="24"/>
                <w:szCs w:val="24"/>
              </w:rPr>
            </w:r>
            <w:r w:rsidR="007A674E" w:rsidRPr="007A674E">
              <w:rPr>
                <w:rFonts w:ascii="Times New Roman" w:hAnsi="Times New Roman" w:cs="Times New Roman"/>
                <w:noProof/>
                <w:webHidden/>
                <w:sz w:val="24"/>
                <w:szCs w:val="24"/>
              </w:rPr>
              <w:fldChar w:fldCharType="separate"/>
            </w:r>
            <w:r w:rsidR="007A674E" w:rsidRPr="007A674E">
              <w:rPr>
                <w:rFonts w:ascii="Times New Roman" w:hAnsi="Times New Roman" w:cs="Times New Roman"/>
                <w:noProof/>
                <w:webHidden/>
                <w:sz w:val="24"/>
                <w:szCs w:val="24"/>
              </w:rPr>
              <w:t>15</w:t>
            </w:r>
            <w:r w:rsidR="007A674E" w:rsidRPr="007A674E">
              <w:rPr>
                <w:rFonts w:ascii="Times New Roman" w:hAnsi="Times New Roman" w:cs="Times New Roman"/>
                <w:noProof/>
                <w:webHidden/>
                <w:sz w:val="24"/>
                <w:szCs w:val="24"/>
              </w:rPr>
              <w:fldChar w:fldCharType="end"/>
            </w:r>
          </w:hyperlink>
        </w:p>
        <w:p w14:paraId="177E8A36" w14:textId="0FE49B10"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noProof/>
              <w:sz w:val="24"/>
              <w:szCs w:val="24"/>
            </w:rPr>
            <w:fldChar w:fldCharType="end"/>
          </w:r>
        </w:p>
      </w:sdtContent>
    </w:sdt>
    <w:p w14:paraId="32EAD22E" w14:textId="77777777" w:rsidR="007A674E" w:rsidRPr="007A674E" w:rsidRDefault="007A674E" w:rsidP="007A674E">
      <w:pPr>
        <w:spacing w:line="480" w:lineRule="auto"/>
        <w:rPr>
          <w:rFonts w:ascii="Times New Roman" w:hAnsi="Times New Roman" w:cs="Times New Roman"/>
          <w:b/>
          <w:bCs/>
          <w:sz w:val="24"/>
          <w:szCs w:val="24"/>
        </w:rPr>
      </w:pPr>
      <w:r w:rsidRPr="007A674E">
        <w:rPr>
          <w:rFonts w:ascii="Times New Roman" w:hAnsi="Times New Roman" w:cs="Times New Roman"/>
          <w:b/>
          <w:bCs/>
          <w:sz w:val="24"/>
          <w:szCs w:val="24"/>
        </w:rPr>
        <w:lastRenderedPageBreak/>
        <w:br w:type="page"/>
      </w:r>
    </w:p>
    <w:p w14:paraId="4EF677D3"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1" w:name="_Toc100843630"/>
      <w:r w:rsidRPr="007A674E">
        <w:rPr>
          <w:rFonts w:ascii="Times New Roman" w:hAnsi="Times New Roman" w:cs="Times New Roman"/>
          <w:b/>
          <w:bCs/>
          <w:color w:val="auto"/>
          <w:sz w:val="24"/>
          <w:szCs w:val="24"/>
        </w:rPr>
        <w:lastRenderedPageBreak/>
        <w:t>Background:</w:t>
      </w:r>
      <w:bookmarkEnd w:id="1"/>
    </w:p>
    <w:p w14:paraId="605FB80F"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 xml:space="preserve">Aging with in place indicates staying within the comfort of their home for a longer time as they grow older, rather than shifting into a long-term care facility or retirement. aging with increase might be considered as a reliable option if they only require minor assistance with their regular activities, embrace new network within friends and families nearby and could use the accurate services of home care to cover their requirements. By discovering the series of service present they could determine if aging with in place could be considered as the effective option for them to maintain their independence and make the most of their golden years. </w:t>
      </w:r>
    </w:p>
    <w:p w14:paraId="5325128E" w14:textId="2D85EFB8"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It can also be said that NICE Have projected uh directions on conveying personal care as well as practical assistant to the elder individuals living within their homes; the following directions covers the delivery and planning of person centric care for elderly individuals living within their homes. It concentrates to provide independence to the elder individuals and to make sure consistency and security with standard quality services of home care </w:t>
      </w:r>
      <w:r w:rsidRPr="007A674E">
        <w:rPr>
          <w:rFonts w:ascii="Times New Roman" w:hAnsi="Times New Roman" w:cs="Times New Roman"/>
          <w:sz w:val="24"/>
          <w:szCs w:val="24"/>
          <w:shd w:val="clear" w:color="auto" w:fill="FFFFFF"/>
        </w:rPr>
        <w:t>(Al-Khafajiy et al., 2019)</w:t>
      </w:r>
      <w:r w:rsidRPr="007A674E">
        <w:rPr>
          <w:rFonts w:ascii="Times New Roman" w:hAnsi="Times New Roman" w:cs="Times New Roman"/>
          <w:sz w:val="24"/>
          <w:szCs w:val="24"/>
        </w:rPr>
        <w:t>.  It is critical to make sure that services of whom base drive ability of older people to live within their homes and to volunteer in regular life as well as society as long as feasible. Discovering the experiences of older people with volunteer in whom dependent service conveying is important for growth and delivery of create quality provision that assists participation of older people. Older individual with a range of age associated physical impairments and home frequency dependent services were also interviewed.</w:t>
      </w:r>
    </w:p>
    <w:p w14:paraId="5045BC22" w14:textId="2C937EE0"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 The number of elder individuals with complicating requirements those are staying within their home with the assistance of the provisions of home care is developing. According to the different evidence of research claims what elder individuals require and want from their provision of home care. Individual those utilize services require particular assistance that they obtain by an intricate </w:t>
      </w:r>
      <w:r w:rsidRPr="007A674E">
        <w:rPr>
          <w:rFonts w:ascii="Times New Roman" w:hAnsi="Times New Roman" w:cs="Times New Roman"/>
          <w:sz w:val="24"/>
          <w:szCs w:val="24"/>
        </w:rPr>
        <w:lastRenderedPageBreak/>
        <w:t xml:space="preserve">and deferred system of often unpaid and formal care.  The increase the disability of an individual the greater add their probability requires as there would be a broad series of tasks, they cannot do by themselves. Several are at threat of not having the requirements achieved this method. Therefore, they are at the margins of freedom leaving.  it can also be stated that elder individuals likely to stay within their homes and communities as well until it is not possible for them to conduct so, rather than shift into different residential care </w:t>
      </w:r>
      <w:r w:rsidRPr="007A674E">
        <w:rPr>
          <w:rFonts w:ascii="Times New Roman" w:hAnsi="Times New Roman" w:cs="Times New Roman"/>
          <w:sz w:val="24"/>
          <w:szCs w:val="24"/>
          <w:shd w:val="clear" w:color="auto" w:fill="FFFFFF"/>
        </w:rPr>
        <w:t>(Danielsen et al., 2018)</w:t>
      </w:r>
      <w:r w:rsidRPr="007A674E">
        <w:rPr>
          <w:rFonts w:ascii="Times New Roman" w:hAnsi="Times New Roman" w:cs="Times New Roman"/>
          <w:sz w:val="24"/>
          <w:szCs w:val="24"/>
        </w:rPr>
        <w:t xml:space="preserve">. Most of the elder individuals embrace being in their home atmosphere and see residential care with doubt. </w:t>
      </w:r>
    </w:p>
    <w:p w14:paraId="1E4F496F" w14:textId="00FD7C9B"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Older individuals being cared at their home have differing and several Support requirements and an approach of one size fits all is not suitable here. Therefore, people desire offers an individualized and adaptable approach for their care that regards them as human beings. This is particularly essential for elder individual do not have their family or companions living close to them those could provide them support or assistance. However, it can be said that the service user sense that the provision of care is always dependent on what commissioners or service provider I think is essential and that they do not consider the time to communicate with them to discover what is essential for them. Elder individuals value occupational those facilitate care services that achieve their understanding of their requirements and assist them to provide them a sense of being in well-being and control </w:t>
      </w:r>
      <w:r w:rsidRPr="007A674E">
        <w:rPr>
          <w:rFonts w:ascii="Times New Roman" w:hAnsi="Times New Roman" w:cs="Times New Roman"/>
          <w:sz w:val="24"/>
          <w:szCs w:val="24"/>
          <w:shd w:val="clear" w:color="auto" w:fill="FFFFFF"/>
        </w:rPr>
        <w:t>(De Biase et al., 2020)</w:t>
      </w:r>
      <w:r w:rsidRPr="007A674E">
        <w:rPr>
          <w:rFonts w:ascii="Times New Roman" w:hAnsi="Times New Roman" w:cs="Times New Roman"/>
          <w:sz w:val="24"/>
          <w:szCs w:val="24"/>
        </w:rPr>
        <w:t>.</w:t>
      </w:r>
    </w:p>
    <w:p w14:paraId="62C0DC12"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2" w:name="_Toc100843631"/>
      <w:r w:rsidRPr="007A674E">
        <w:rPr>
          <w:rFonts w:ascii="Times New Roman" w:hAnsi="Times New Roman" w:cs="Times New Roman"/>
          <w:b/>
          <w:bCs/>
          <w:color w:val="auto"/>
          <w:sz w:val="24"/>
          <w:szCs w:val="24"/>
        </w:rPr>
        <w:t>Methodology:</w:t>
      </w:r>
      <w:bookmarkEnd w:id="2"/>
    </w:p>
    <w:p w14:paraId="1BC799F3" w14:textId="5442DA98"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The researcher would use both the qualitative and quantitative methodology for conducting this research. It is also demonstrated that most of the examination relating to the quantitative methods is wholly based on the gathering of the secondary data from the facilitated feedbacks received from the recipients of home services. On the contrary based on the whole information’s it would also support to examine how the practices relating home care are able to impact the wellbeing of the </w:t>
      </w:r>
      <w:r w:rsidRPr="007A674E">
        <w:rPr>
          <w:rFonts w:ascii="Times New Roman" w:hAnsi="Times New Roman" w:cs="Times New Roman"/>
          <w:sz w:val="24"/>
          <w:szCs w:val="24"/>
        </w:rPr>
        <w:lastRenderedPageBreak/>
        <w:t xml:space="preserve">elder individuals at their home. The researchers were also potential to examine the gathering of secondary information from the following websites and also the journals as well to interpret or translate the content of home care services and to know about the view of the people. It is also demonstrated that elder individuals are not like to go to any kind of residential care as they fear they would loss all sorts of independence and it is known by the help of the secondary information from different books and journals. Effective sampling strategy that is an approach looking for participants reliable to the following research question in relation was applied. therefore, the following strategy of sampling was dependent upon discoveries within studies comprised within the huge project </w:t>
      </w:r>
      <w:r w:rsidRPr="007A674E">
        <w:rPr>
          <w:rFonts w:ascii="Times New Roman" w:hAnsi="Times New Roman" w:cs="Times New Roman"/>
          <w:sz w:val="24"/>
          <w:szCs w:val="24"/>
          <w:shd w:val="clear" w:color="auto" w:fill="FFFFFF"/>
        </w:rPr>
        <w:t>(Dineen-Griffin et al., 2019)</w:t>
      </w:r>
      <w:r w:rsidRPr="007A674E">
        <w:rPr>
          <w:rFonts w:ascii="Times New Roman" w:hAnsi="Times New Roman" w:cs="Times New Roman"/>
          <w:sz w:val="24"/>
          <w:szCs w:val="24"/>
        </w:rPr>
        <w:t xml:space="preserve">. Discoveries within the first study displayed for instance that service providers obtain elder individual generally by means of passively waiting for the providers of service to come therefore being in requirement of social participation including the providers of service and that providers of service show related to the challenges to participation in older individual in daily life. The following study comprised a survey in between the elder individuals with reduced to moderate requirements of home services. </w:t>
      </w:r>
    </w:p>
    <w:p w14:paraId="5369B8F9"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 xml:space="preserve">An effective discovery from the study was that the satisfaction of older individuals with participation in daily life events represented no collaboration with home service delivery frequency. Thus, For the current study to obtain enhance data and discover earlier discoveries it became reliable that the sampling must differ in between residing accommodation, age level, social contexts associated to physical impairments as well as health issues. It has also become reliable after the initial five interviews that it was essential to obtain elder individuals with lesser informal social assistance and elder individuals feeling deserted to capture a wider display of features influencing the participation of older individual with service provider. Therefore, different preliminary theoretical classification at that specific stage comprising balancing agency of elder </w:t>
      </w:r>
      <w:r w:rsidRPr="007A674E">
        <w:rPr>
          <w:rFonts w:ascii="Times New Roman" w:hAnsi="Times New Roman" w:cs="Times New Roman"/>
          <w:sz w:val="24"/>
          <w:szCs w:val="24"/>
        </w:rPr>
        <w:lastRenderedPageBreak/>
        <w:t>individual, the content of the following values and their socializing and interaction with the providers of service became essential to additional discovery.</w:t>
      </w:r>
    </w:p>
    <w:p w14:paraId="19E9FD0E"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3" w:name="_Toc100843632"/>
      <w:r w:rsidRPr="007A674E">
        <w:rPr>
          <w:rFonts w:ascii="Times New Roman" w:hAnsi="Times New Roman" w:cs="Times New Roman"/>
          <w:b/>
          <w:bCs/>
          <w:color w:val="auto"/>
          <w:sz w:val="24"/>
          <w:szCs w:val="24"/>
        </w:rPr>
        <w:t>Consideration of the importance of ethical practice in research:</w:t>
      </w:r>
      <w:bookmarkEnd w:id="3"/>
    </w:p>
    <w:p w14:paraId="409DB856" w14:textId="0ACBFAF6"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It can be indicated that ethics is considered as the understanding the behaviour of the dispute’s emergence from ethical imperatives and the how effective the research deal with them. Thus, ethics within the health care research manages with the disputes of interest throughout different levels. Here the recipients are elder the research have keep in mind to take their consents before taking their interviews and while conducting the interview to ensure that their feelings are not hurt. He or she have to follow the set guidelines that had been proposed across the world. Thus, ethical consideration within research is considered as the set of principles that direct the research practices as well as the designs </w:t>
      </w:r>
      <w:r w:rsidRPr="007A674E">
        <w:rPr>
          <w:rFonts w:ascii="Times New Roman" w:hAnsi="Times New Roman" w:cs="Times New Roman"/>
          <w:sz w:val="24"/>
          <w:szCs w:val="24"/>
          <w:shd w:val="clear" w:color="auto" w:fill="FFFFFF"/>
        </w:rPr>
        <w:t>(Fletcher et al., 2018)</w:t>
      </w:r>
      <w:r w:rsidRPr="007A674E">
        <w:rPr>
          <w:rFonts w:ascii="Times New Roman" w:hAnsi="Times New Roman" w:cs="Times New Roman"/>
          <w:sz w:val="24"/>
          <w:szCs w:val="24"/>
        </w:rPr>
        <w:t>. These following principles comprise informed consent, voluntary participation, potential for harm, confidentiality and communication of results.</w:t>
      </w:r>
    </w:p>
    <w:p w14:paraId="7DB58232"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4" w:name="_Toc100843633"/>
      <w:r w:rsidRPr="007A674E">
        <w:rPr>
          <w:rFonts w:ascii="Times New Roman" w:hAnsi="Times New Roman" w:cs="Times New Roman"/>
          <w:b/>
          <w:bCs/>
          <w:color w:val="auto"/>
          <w:sz w:val="24"/>
          <w:szCs w:val="24"/>
        </w:rPr>
        <w:t>Literature Review:</w:t>
      </w:r>
      <w:bookmarkEnd w:id="4"/>
    </w:p>
    <w:p w14:paraId="3750B8E4" w14:textId="1004F0C5"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There is an among some concentrations on participation and activity for elderly individuals because of the healthy and active framework of aging policy. One of the essential objectives is to assess the possibilities of the enter individuals and ability to live within their homes as far as possible and to volunteer in regular society and life. Research and policies associating to different issues of disability such as equal rise to volunteer in society has to a great extent met individuals with different functional prohibition at the age of working. Most of the individuals having functional provisions are elder and thus summons for widening research and policy of disability challenges to comprise this group. Therefore, as the aging inhabitants grows, the older individuals number residing in place and based on home dependent services would enhance.  Research regarding older individuals with lower ability and functional decrease have discovered relationship </w:t>
      </w:r>
      <w:r w:rsidRPr="007A674E">
        <w:rPr>
          <w:rFonts w:ascii="Times New Roman" w:hAnsi="Times New Roman" w:cs="Times New Roman"/>
          <w:sz w:val="24"/>
          <w:szCs w:val="24"/>
        </w:rPr>
        <w:lastRenderedPageBreak/>
        <w:t xml:space="preserve">among volunteer and enhanced duration relating to life, laser sickness and death of additional functional decrease </w:t>
      </w:r>
      <w:r w:rsidRPr="007A674E">
        <w:rPr>
          <w:rFonts w:ascii="Times New Roman" w:hAnsi="Times New Roman" w:cs="Times New Roman"/>
          <w:sz w:val="24"/>
          <w:szCs w:val="24"/>
          <w:shd w:val="clear" w:color="auto" w:fill="FFFFFF"/>
        </w:rPr>
        <w:t>(FORD‐GILBOE et al., 2018)</w:t>
      </w:r>
      <w:r w:rsidRPr="007A674E">
        <w:rPr>
          <w:rFonts w:ascii="Times New Roman" w:hAnsi="Times New Roman" w:cs="Times New Roman"/>
          <w:sz w:val="24"/>
          <w:szCs w:val="24"/>
        </w:rPr>
        <w:t xml:space="preserve">.  </w:t>
      </w:r>
    </w:p>
    <w:p w14:paraId="2ED1DF11" w14:textId="21C02078"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Many researchers have discovered that based on whom services in older age might show challenges to volunteer. experiences with employees and the system of service may show challenges to self-determination and control in daily life. Different study states that home dependent services are provided as passive assistant and there is a requirement to discover factors driving Volunteer within elder recipients relating to home services. Knowledge of today’s elder individuals experience and perceive volunteer when residing in place and based on whom service is prohibited and required to be additionally discovered. Enhance knowledge regarding how home services impact the participations of older individuals in regular life would enhance the ability of structuring services that provide their participation </w:t>
      </w:r>
      <w:r w:rsidRPr="007A674E">
        <w:rPr>
          <w:rFonts w:ascii="Times New Roman" w:hAnsi="Times New Roman" w:cs="Times New Roman"/>
          <w:sz w:val="24"/>
          <w:szCs w:val="24"/>
          <w:shd w:val="clear" w:color="auto" w:fill="FFFFFF"/>
        </w:rPr>
        <w:t>(Goodman-Casanova et al., 2020)</w:t>
      </w:r>
      <w:r w:rsidRPr="007A674E">
        <w:rPr>
          <w:rFonts w:ascii="Times New Roman" w:hAnsi="Times New Roman" w:cs="Times New Roman"/>
          <w:sz w:val="24"/>
          <w:szCs w:val="24"/>
        </w:rPr>
        <w:t xml:space="preserve">. Participation within service delivery has always been understood by means of user engagement, engagement in decision making, co-determination, empowerment. </w:t>
      </w:r>
    </w:p>
    <w:p w14:paraId="446759A8"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As well as insights on the range of participation from an effective concentration on civil rights for everyone at the societal level to the level of individual with a concentration on volunteer within nursing care, volunteer as autonomy as well as agency. It can also be indicated that the World Health Organization explains participation by means of involvement within life context. As per the participation concept has several different levels and meanings as well. In this literature review the concentration is on the volunteer within service delivery. Many research relating to older home service participation of recipients within daily life have considered the insight of the professionals.</w:t>
      </w:r>
    </w:p>
    <w:p w14:paraId="4BE74AA3" w14:textId="0C8F9BF0"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 xml:space="preserve">The number of elder individuals with complicating requirements those are staying within their home with the assistance of the provisions of home care is developing. According to the different </w:t>
      </w:r>
      <w:r w:rsidRPr="007A674E">
        <w:rPr>
          <w:rFonts w:ascii="Times New Roman" w:hAnsi="Times New Roman" w:cs="Times New Roman"/>
          <w:sz w:val="24"/>
          <w:szCs w:val="24"/>
        </w:rPr>
        <w:lastRenderedPageBreak/>
        <w:t xml:space="preserve">evidence of research claims what elder individuals require and want from their provision of home care. Individual those utilize services require particular assistance that they obtain by an intricate and deferred system of often unpaid and formal care.  The increase the disability of an individual the greater add their probability requires as there would be a broad series of tasks, they cannot do by themselves </w:t>
      </w:r>
      <w:r w:rsidRPr="007A674E">
        <w:rPr>
          <w:rFonts w:ascii="Times New Roman" w:hAnsi="Times New Roman" w:cs="Times New Roman"/>
          <w:sz w:val="24"/>
          <w:szCs w:val="24"/>
          <w:shd w:val="clear" w:color="auto" w:fill="FFFFFF"/>
        </w:rPr>
        <w:t>(Kokorelias et al., 2019)</w:t>
      </w:r>
      <w:r w:rsidRPr="007A674E">
        <w:rPr>
          <w:rFonts w:ascii="Times New Roman" w:hAnsi="Times New Roman" w:cs="Times New Roman"/>
          <w:sz w:val="24"/>
          <w:szCs w:val="24"/>
        </w:rPr>
        <w:t xml:space="preserve">.  It can also be stated that elder individuals likely to stay within their homes and communities as well until it is not possible for them to conduct so, rather than shift into different residential care. Most of the elder individuals embrace being in their home atmosphere and see residential care with doubt. </w:t>
      </w:r>
    </w:p>
    <w:p w14:paraId="0327296F" w14:textId="504869D7"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It can also be indicated that elder individuals might fight to adjust or adopt I obtaining home care and also fear or be scared of the loss of their freedom. Therefore, home care is not witness simply as accomplishing the practical requirements- elder individual desired their home care to achieve their emotional and social requirements as well. it does not matter how physically disabled or frail they are, they are likely to go outside, make new friends and participate within community life. Thus, relatively some of the care packages comprise support or assistance for activities external the house. They also communicated about having to be reliable on the goodwill related to their paid carers or to go out with in the garden alone </w:t>
      </w:r>
      <w:r w:rsidRPr="007A674E">
        <w:rPr>
          <w:rFonts w:ascii="Times New Roman" w:hAnsi="Times New Roman" w:cs="Times New Roman"/>
          <w:sz w:val="24"/>
          <w:szCs w:val="24"/>
          <w:shd w:val="clear" w:color="auto" w:fill="FFFFFF"/>
        </w:rPr>
        <w:t>(Levine et al., 2020)</w:t>
      </w:r>
      <w:r w:rsidRPr="007A674E">
        <w:rPr>
          <w:rFonts w:ascii="Times New Roman" w:hAnsi="Times New Roman" w:cs="Times New Roman"/>
          <w:sz w:val="24"/>
          <w:szCs w:val="24"/>
        </w:rPr>
        <w:t xml:space="preserve">.  It can also be indicated that loneliness is considered to be a huge issue for elder individuals living at their home. There are increased depression rates and loneliness especially among those with complicating health issues or those our suffering from bereavement, that interactions of social could alleviate. Individual those utilized services feel that their carriers does not inspire them to participate within activities as well as communicate with different individuals or support them to make increase utilization of their resources. </w:t>
      </w:r>
    </w:p>
    <w:p w14:paraId="106D2F1D" w14:textId="396BC9F4"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lastRenderedPageBreak/>
        <w:t xml:space="preserve">Therefore, most of the individuals being cared for in their home desire or warm relationship along with their service provider and position several values on the conversation. A sociable and friendly service provider is related by means soft surface user to be considered as a marker for whether they are effective practitioner or a poor one. service provider themselves complain regarding that they always do not have time to converse with their clients and that this component of their part is not identified as essential. Several users sense that their service providers are constrained by specific time at the time of their visit, they could either converse or do but not both the things. Care continuity is witness as important by the following users; those desires are regular service provider those they could obtain to understand well. an increased variety or turnover of employees have an emotional influence on the service user those get embarrassed when following strangers conduct intimate individualized task for those people or discovered it exhausting having to continuously do personal information to new individuals </w:t>
      </w:r>
      <w:r w:rsidRPr="007A674E">
        <w:rPr>
          <w:rFonts w:ascii="Times New Roman" w:hAnsi="Times New Roman" w:cs="Times New Roman"/>
          <w:sz w:val="24"/>
          <w:szCs w:val="24"/>
          <w:shd w:val="clear" w:color="auto" w:fill="FFFFFF"/>
        </w:rPr>
        <w:t>(Monahan et al., 2020)</w:t>
      </w:r>
      <w:r w:rsidRPr="007A674E">
        <w:rPr>
          <w:rFonts w:ascii="Times New Roman" w:hAnsi="Times New Roman" w:cs="Times New Roman"/>
          <w:sz w:val="24"/>
          <w:szCs w:val="24"/>
        </w:rPr>
        <w:t>. Older individuals being cared at their home have differing and several Support requirements and an approach of one size fits all is not suitable here. Therefore, people desire offers an individualized and adaptable approach for their care that regards them as human beings. This is particularly essential for elder individual do not have their family or companions living close to them those could provide them support or assistance. However, it can be said that the service user sense that the provision of care is always dependent on what commissioners or service provider I think is essential and that they do not consider the time to communicate with them to discover what is essential for them. Elder individuals value occupational those facilitate care services that achieve their understanding of their requirements and assist them to provide them a sense of being in well-being and control.</w:t>
      </w:r>
    </w:p>
    <w:p w14:paraId="47B53052"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5" w:name="_Toc100843634"/>
      <w:r w:rsidRPr="007A674E">
        <w:rPr>
          <w:rFonts w:ascii="Times New Roman" w:hAnsi="Times New Roman" w:cs="Times New Roman"/>
          <w:b/>
          <w:bCs/>
          <w:color w:val="auto"/>
          <w:sz w:val="24"/>
          <w:szCs w:val="24"/>
        </w:rPr>
        <w:lastRenderedPageBreak/>
        <w:t>Findings and discussions:</w:t>
      </w:r>
      <w:bookmarkEnd w:id="5"/>
    </w:p>
    <w:p w14:paraId="0D0BA0E5" w14:textId="498C3EB2"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The data collected from the literature review regarding the whom dependent services that were interviewed – in depth 1 to one interview among the homes of older people. our continuous comparative method motivated by constructivists grounded three was put to examine the data. therefore, the study shed light on the essentiality of knowledge both intellectual and emotional features of the participation of older people and to identify their techniques for balancing the specific agency in their daily life </w:t>
      </w:r>
      <w:r w:rsidRPr="007A674E">
        <w:rPr>
          <w:rFonts w:ascii="Times New Roman" w:hAnsi="Times New Roman" w:cs="Times New Roman"/>
          <w:sz w:val="24"/>
          <w:szCs w:val="24"/>
          <w:shd w:val="clear" w:color="auto" w:fill="FFFFFF"/>
        </w:rPr>
        <w:t>(Morrow-Howell et al., 2020)</w:t>
      </w:r>
      <w:r w:rsidRPr="007A674E">
        <w:rPr>
          <w:rFonts w:ascii="Times New Roman" w:hAnsi="Times New Roman" w:cs="Times New Roman"/>
          <w:sz w:val="24"/>
          <w:szCs w:val="24"/>
        </w:rPr>
        <w:t xml:space="preserve">. As per the professional and effective requirement within the elder individual was societal volunteer with the provider of service. Other different studies have concentrated on relational features as well and interpersonal skills and the influence on volunteer in relation between elder individuals and professionals. </w:t>
      </w:r>
    </w:p>
    <w:p w14:paraId="12282246" w14:textId="32F9D6DC"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It has also been analyzed from the above literature review that the service provider will preferably to encounter the relational climate along with the elder individual recipients including a greater emotional degree compared to the service recipients. Finding was demonstrated as an expression of a one from a close and warm relationship and a want to be kind, appreciated, confirmed and loved as competent. It was also discovered that interactions of care between the providers of service as well as the elder individuals always are disempowering. Therefore, taking into account other studies stress continuously regarding care and time as key for the occupational to provide an increase participation within elder recipients of home services. As per current studies that has been discovered that elder individuals within the situation of living within their place and attaining home services embrace friends, family and neighbor as essential for voluntary and providing participation within daily life </w:t>
      </w:r>
      <w:r w:rsidRPr="007A674E">
        <w:rPr>
          <w:rFonts w:ascii="Times New Roman" w:hAnsi="Times New Roman" w:cs="Times New Roman"/>
          <w:sz w:val="24"/>
          <w:szCs w:val="24"/>
          <w:shd w:val="clear" w:color="auto" w:fill="FFFFFF"/>
        </w:rPr>
        <w:t>(National Academies of Sciences et al., 2020)</w:t>
      </w:r>
      <w:r w:rsidRPr="007A674E">
        <w:rPr>
          <w:rFonts w:ascii="Times New Roman" w:hAnsi="Times New Roman" w:cs="Times New Roman"/>
          <w:sz w:val="24"/>
          <w:szCs w:val="24"/>
        </w:rPr>
        <w:t xml:space="preserve">.  It is known regarding how elder individual encounter participation within the interface with home services. Therefore, </w:t>
      </w:r>
      <w:r w:rsidRPr="007A674E">
        <w:rPr>
          <w:rFonts w:ascii="Times New Roman" w:hAnsi="Times New Roman" w:cs="Times New Roman"/>
          <w:sz w:val="24"/>
          <w:szCs w:val="24"/>
        </w:rPr>
        <w:lastRenderedPageBreak/>
        <w:t xml:space="preserve">to meet this cap within knowledge and essential step is to review how elder individual obtain participation by means of collaborations including service provider </w:t>
      </w:r>
      <w:r w:rsidRPr="007A674E">
        <w:rPr>
          <w:rFonts w:ascii="Times New Roman" w:hAnsi="Times New Roman" w:cs="Times New Roman"/>
          <w:sz w:val="24"/>
          <w:szCs w:val="24"/>
          <w:shd w:val="clear" w:color="auto" w:fill="FFFFFF"/>
        </w:rPr>
        <w:t>(Wu, 2020)</w:t>
      </w:r>
      <w:r w:rsidRPr="007A674E">
        <w:rPr>
          <w:rFonts w:ascii="Times New Roman" w:hAnsi="Times New Roman" w:cs="Times New Roman"/>
          <w:sz w:val="24"/>
          <w:szCs w:val="24"/>
        </w:rPr>
        <w:t>.</w:t>
      </w:r>
    </w:p>
    <w:p w14:paraId="28B789EF" w14:textId="77777777" w:rsidR="007A674E" w:rsidRPr="007A674E" w:rsidRDefault="007A674E" w:rsidP="007A674E">
      <w:pPr>
        <w:spacing w:line="480" w:lineRule="auto"/>
        <w:jc w:val="both"/>
        <w:rPr>
          <w:rFonts w:ascii="Times New Roman" w:hAnsi="Times New Roman" w:cs="Times New Roman"/>
          <w:b/>
          <w:bCs/>
          <w:sz w:val="24"/>
          <w:szCs w:val="24"/>
        </w:rPr>
      </w:pPr>
      <w:r w:rsidRPr="007A674E">
        <w:rPr>
          <w:rFonts w:ascii="Times New Roman" w:hAnsi="Times New Roman" w:cs="Times New Roman"/>
          <w:b/>
          <w:bCs/>
          <w:sz w:val="24"/>
          <w:szCs w:val="24"/>
        </w:rPr>
        <w:t>Balancing agency- a procedure of considering, giving and letting go:</w:t>
      </w:r>
    </w:p>
    <w:p w14:paraId="243359A3" w14:textId="5568538F"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This following classification and its sub classification demonstrate the strategies of elderly individuals who are balancing agency as the procedure of considering, providing and letting go and display various dimensions of the ways by which they upheld adaptability and control when experiencing the providers of service. One of the following dimensions of this falling classification as an entire was the expression of elder individuals relating to emotional aspects of volunteer like gratefulness or being constructively astonished by the range of services being obtainable and with both services and the providers of service. However, the elder individuals just not only express gratitude but also some anticipation within the interface along with providers of service.  the examination recognized the sub classification; anticipating combined accountability for suitable delivery of service, Bing indulgent and understanding and making mark of 1, displaying the features of the classification that is balancing agency. The sub classification comprises the expectations of the elder individuals and their part with an encounter with the providers of service to consider the service within their daily life </w:t>
      </w:r>
      <w:r w:rsidRPr="007A674E">
        <w:rPr>
          <w:rFonts w:ascii="Times New Roman" w:hAnsi="Times New Roman" w:cs="Times New Roman"/>
          <w:sz w:val="24"/>
          <w:szCs w:val="24"/>
          <w:shd w:val="clear" w:color="auto" w:fill="FFFFFF"/>
        </w:rPr>
        <w:t>(Pearson et al., 2019)</w:t>
      </w:r>
      <w:r w:rsidRPr="007A674E">
        <w:rPr>
          <w:rFonts w:ascii="Times New Roman" w:hAnsi="Times New Roman" w:cs="Times New Roman"/>
          <w:sz w:val="24"/>
          <w:szCs w:val="24"/>
        </w:rPr>
        <w:t>.</w:t>
      </w:r>
    </w:p>
    <w:p w14:paraId="61028473" w14:textId="4A4DA8C4" w:rsidR="007A674E" w:rsidRPr="007A674E" w:rsidRDefault="007A674E"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rPr>
        <w:t xml:space="preserve">It can also be said that proper directions are very much required for conveying personal care as well as practical assistant to the elder individuals living within their homes; the following directions covers the delivery and planning of person centric care for elderly individuals living within their homes. It concentrates to provide independence to the elder individuals and to make sure consistency and security with standard quality services of home care </w:t>
      </w:r>
      <w:r w:rsidRPr="007A674E">
        <w:rPr>
          <w:rFonts w:ascii="Times New Roman" w:hAnsi="Times New Roman" w:cs="Times New Roman"/>
          <w:sz w:val="24"/>
          <w:szCs w:val="24"/>
          <w:shd w:val="clear" w:color="auto" w:fill="FFFFFF"/>
        </w:rPr>
        <w:t>(Schmidt et al., 2019)</w:t>
      </w:r>
      <w:r w:rsidRPr="007A674E">
        <w:rPr>
          <w:rFonts w:ascii="Times New Roman" w:hAnsi="Times New Roman" w:cs="Times New Roman"/>
          <w:sz w:val="24"/>
          <w:szCs w:val="24"/>
        </w:rPr>
        <w:t xml:space="preserve">.  It is critical to make sure that services of whom base drive ability of older people to live within </w:t>
      </w:r>
      <w:r w:rsidRPr="007A674E">
        <w:rPr>
          <w:rFonts w:ascii="Times New Roman" w:hAnsi="Times New Roman" w:cs="Times New Roman"/>
          <w:sz w:val="24"/>
          <w:szCs w:val="24"/>
        </w:rPr>
        <w:lastRenderedPageBreak/>
        <w:t xml:space="preserve">their homes and to volunteer in regular life as well as society as long as feasible. Discovering the experiences of older people with volunteer in whom dependent service conveying is important for growth and delivery of create quality provision that assists participation of older people. Older individual with a range of age associated physical impairments and home frequency dependent services were also interviewed </w:t>
      </w:r>
      <w:r w:rsidRPr="007A674E">
        <w:rPr>
          <w:rFonts w:ascii="Times New Roman" w:hAnsi="Times New Roman" w:cs="Times New Roman"/>
          <w:sz w:val="24"/>
          <w:szCs w:val="24"/>
          <w:shd w:val="clear" w:color="auto" w:fill="FFFFFF"/>
        </w:rPr>
        <w:t>(Van Leeuwen et al., 2019)</w:t>
      </w:r>
      <w:r w:rsidRPr="007A674E">
        <w:rPr>
          <w:rFonts w:ascii="Times New Roman" w:hAnsi="Times New Roman" w:cs="Times New Roman"/>
          <w:sz w:val="24"/>
          <w:szCs w:val="24"/>
        </w:rPr>
        <w:t>.</w:t>
      </w:r>
    </w:p>
    <w:p w14:paraId="38A01F7F" w14:textId="77777777" w:rsidR="007A674E" w:rsidRPr="007A674E" w:rsidRDefault="007A674E" w:rsidP="007A674E">
      <w:pPr>
        <w:pStyle w:val="Heading1"/>
        <w:spacing w:line="480" w:lineRule="auto"/>
        <w:rPr>
          <w:rFonts w:ascii="Times New Roman" w:hAnsi="Times New Roman" w:cs="Times New Roman"/>
          <w:b/>
          <w:bCs/>
          <w:color w:val="auto"/>
          <w:sz w:val="24"/>
          <w:szCs w:val="24"/>
        </w:rPr>
      </w:pPr>
      <w:bookmarkStart w:id="6" w:name="_Toc100843635"/>
      <w:r w:rsidRPr="007A674E">
        <w:rPr>
          <w:rFonts w:ascii="Times New Roman" w:hAnsi="Times New Roman" w:cs="Times New Roman"/>
          <w:b/>
          <w:bCs/>
          <w:color w:val="auto"/>
          <w:sz w:val="24"/>
          <w:szCs w:val="24"/>
        </w:rPr>
        <w:t>Conclusions and Recommendations:</w:t>
      </w:r>
      <w:bookmarkEnd w:id="6"/>
    </w:p>
    <w:p w14:paraId="71E51E4E" w14:textId="77777777" w:rsidR="007A674E" w:rsidRPr="007A674E" w:rsidRDefault="007A674E" w:rsidP="007A674E">
      <w:pPr>
        <w:spacing w:line="480" w:lineRule="auto"/>
        <w:jc w:val="both"/>
        <w:rPr>
          <w:rFonts w:ascii="Times New Roman" w:hAnsi="Times New Roman" w:cs="Times New Roman"/>
          <w:b/>
          <w:bCs/>
          <w:sz w:val="24"/>
          <w:szCs w:val="24"/>
        </w:rPr>
      </w:pPr>
      <w:r w:rsidRPr="007A674E">
        <w:rPr>
          <w:rFonts w:ascii="Times New Roman" w:hAnsi="Times New Roman" w:cs="Times New Roman"/>
          <w:b/>
          <w:bCs/>
          <w:sz w:val="24"/>
          <w:szCs w:val="24"/>
        </w:rPr>
        <w:t>Conclusion:</w:t>
      </w:r>
    </w:p>
    <w:p w14:paraId="7DC88800" w14:textId="24692C95"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 xml:space="preserve">Aging with in place indicates staying within the comfort of their home for a longer time as they grow older, rather than shifting into a long-term care facility or retirement. aging with increase might be considered as a reliable option if they only require minor assistance with their regular activities, embrace new network within friends and families nearby and could use the accurate services of home care to cover their requirements. By discovering the series of service present they could determine if aging with in place could be considered as the effective option for them to maintain their independence and make the most of their golden years. The data collected from the </w:t>
      </w:r>
      <w:r w:rsidR="00EA120A">
        <w:rPr>
          <w:rFonts w:ascii="Times New Roman" w:hAnsi="Times New Roman" w:cs="Times New Roman"/>
          <w:sz w:val="24"/>
          <w:szCs w:val="24"/>
        </w:rPr>
        <w:t xml:space="preserve">literature review regarding the </w:t>
      </w:r>
      <w:r w:rsidRPr="007A674E">
        <w:rPr>
          <w:rFonts w:ascii="Times New Roman" w:hAnsi="Times New Roman" w:cs="Times New Roman"/>
          <w:sz w:val="24"/>
          <w:szCs w:val="24"/>
        </w:rPr>
        <w:t xml:space="preserve">whom dependent services that were interviewed – in depth 1 to one interview among the homes of older people. our continuous comparative method motivated by constructivists grounded three was put to examine the data. therefore, the study shed light on the essentiality of knowledge both intellectual and emotional features of the participation of older people and to identify their techniques for balancing the specific agency in their daily life. As per the professional and effective requirement within the elder individual was societal volunteer with the provider of service. Other different studies have concentrated on relational features as well and interpersonal skills and the influence on volunteer in relation between elder individuals and professionals. </w:t>
      </w:r>
    </w:p>
    <w:p w14:paraId="111656F9"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lastRenderedPageBreak/>
        <w:t>It can also be concluded from the paper that the researcher would use both the qualitative and quantitative methodology for conducting this research. It is also demonstrated that most of the examination relating to the quantitative methods is wholly based on the gathering of the secondary data from the facilitated feedbacks received from the recipients of home services. On the contrary based on the whole information’s it would also support to examine how the practices relating home care are able to impact the wellbeing of the elder individuals at their home. The researchers were also potential to examine the gathering of secondary information from the following websites and also the journals as well to interpret or translate the content of home care services and to know about the view of the people. It is also demonstrated that elder individuals are not like to go to any kind of residential care as they fear they would loss all sorts of independence and it is known by the help of the secondary information from different books and journals.</w:t>
      </w:r>
    </w:p>
    <w:p w14:paraId="21134262"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Lastly it can be depicted by witnessing the experiences of older people with volunteer in whom dependent service conveying is important for growth and delivery of create quality provision that assists participation of older people. Older individual with a range of age associated physical impairments and home frequency dependent services were also interviewed.</w:t>
      </w:r>
    </w:p>
    <w:p w14:paraId="7AE67EB8" w14:textId="77777777" w:rsidR="007A674E" w:rsidRPr="007A674E" w:rsidRDefault="007A674E" w:rsidP="007A674E">
      <w:pPr>
        <w:spacing w:line="480" w:lineRule="auto"/>
        <w:jc w:val="both"/>
        <w:rPr>
          <w:rFonts w:ascii="Times New Roman" w:hAnsi="Times New Roman" w:cs="Times New Roman"/>
          <w:b/>
          <w:bCs/>
          <w:sz w:val="24"/>
          <w:szCs w:val="24"/>
        </w:rPr>
      </w:pPr>
      <w:r w:rsidRPr="007A674E">
        <w:rPr>
          <w:rFonts w:ascii="Times New Roman" w:hAnsi="Times New Roman" w:cs="Times New Roman"/>
          <w:b/>
          <w:bCs/>
          <w:sz w:val="24"/>
          <w:szCs w:val="24"/>
        </w:rPr>
        <w:t>Recommendation:</w:t>
      </w:r>
    </w:p>
    <w:p w14:paraId="77983FDE" w14:textId="77777777" w:rsidR="007A674E" w:rsidRPr="007A674E" w:rsidRDefault="007A674E" w:rsidP="007A674E">
      <w:pPr>
        <w:spacing w:line="480" w:lineRule="auto"/>
        <w:jc w:val="both"/>
        <w:rPr>
          <w:rFonts w:ascii="Times New Roman" w:hAnsi="Times New Roman" w:cs="Times New Roman"/>
          <w:b/>
          <w:bCs/>
          <w:sz w:val="24"/>
          <w:szCs w:val="24"/>
        </w:rPr>
      </w:pPr>
      <w:r w:rsidRPr="007A674E">
        <w:rPr>
          <w:rFonts w:ascii="Times New Roman" w:hAnsi="Times New Roman" w:cs="Times New Roman"/>
          <w:b/>
          <w:bCs/>
          <w:sz w:val="24"/>
          <w:szCs w:val="24"/>
        </w:rPr>
        <w:t>Planning home care:</w:t>
      </w:r>
    </w:p>
    <w:p w14:paraId="26D71E90" w14:textId="77777777" w:rsidR="007A674E" w:rsidRPr="007A674E" w:rsidRDefault="007A674E" w:rsidP="007A674E">
      <w:pPr>
        <w:spacing w:line="480" w:lineRule="auto"/>
        <w:jc w:val="both"/>
        <w:rPr>
          <w:rFonts w:ascii="Times New Roman" w:hAnsi="Times New Roman" w:cs="Times New Roman"/>
          <w:sz w:val="24"/>
          <w:szCs w:val="24"/>
        </w:rPr>
      </w:pPr>
      <w:r w:rsidRPr="007A674E">
        <w:rPr>
          <w:rFonts w:ascii="Times New Roman" w:hAnsi="Times New Roman" w:cs="Times New Roman"/>
          <w:sz w:val="24"/>
          <w:szCs w:val="24"/>
        </w:rPr>
        <w:t xml:space="preserve"> Making sure that the named coordinator of care and others those who are engaged with in home care and assistance planning –</w:t>
      </w:r>
    </w:p>
    <w:p w14:paraId="25BC37FB" w14:textId="0CCE1BDD"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t>Understanding the importance</w:t>
      </w:r>
      <w:r w:rsidR="00EA120A">
        <w:rPr>
          <w:rFonts w:ascii="Times New Roman" w:hAnsi="Times New Roman" w:cs="Times New Roman"/>
          <w:sz w:val="24"/>
          <w:szCs w:val="24"/>
        </w:rPr>
        <w:t xml:space="preserve"> and principles of provider as </w:t>
      </w:r>
      <w:r w:rsidRPr="007A674E">
        <w:rPr>
          <w:rFonts w:ascii="Times New Roman" w:hAnsi="Times New Roman" w:cs="Times New Roman"/>
          <w:sz w:val="24"/>
          <w:szCs w:val="24"/>
        </w:rPr>
        <w:t>by means of equal partner within verifying the services and support they achieve.</w:t>
      </w:r>
    </w:p>
    <w:p w14:paraId="40BC5E77" w14:textId="77777777"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lastRenderedPageBreak/>
        <w:t>Knowing regarding the work in a way that optimizes control, choice, respect and dignity for the individual utilizing services.</w:t>
      </w:r>
    </w:p>
    <w:p w14:paraId="1580E39C" w14:textId="77777777"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t>Understanding the general context influencing individual utilizing the services of home care for instance – diabetes, dementia, neurological condition, physical and mental health, sensory loss and learning disabilities. Therefore, NICE Has generated direction that covers management and referral techniques for several context.</w:t>
      </w:r>
    </w:p>
    <w:p w14:paraId="0CA88C20" w14:textId="77777777"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t>Knowing regarding the national and local corporation that facilitate specialist assistance.</w:t>
      </w:r>
    </w:p>
    <w:p w14:paraId="391460CC" w14:textId="77777777"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t>Knowing regarding the options of funding present for support and care</w:t>
      </w:r>
    </w:p>
    <w:p w14:paraId="5DD23C49" w14:textId="77777777" w:rsidR="007A674E" w:rsidRPr="007A674E" w:rsidRDefault="007A674E" w:rsidP="007A674E">
      <w:pPr>
        <w:pStyle w:val="ListParagraph"/>
        <w:numPr>
          <w:ilvl w:val="0"/>
          <w:numId w:val="1"/>
        </w:numPr>
        <w:spacing w:after="160" w:line="480" w:lineRule="auto"/>
        <w:jc w:val="both"/>
        <w:rPr>
          <w:rFonts w:ascii="Times New Roman" w:hAnsi="Times New Roman" w:cs="Times New Roman"/>
          <w:sz w:val="24"/>
          <w:szCs w:val="24"/>
        </w:rPr>
      </w:pPr>
      <w:r w:rsidRPr="007A674E">
        <w:rPr>
          <w:rFonts w:ascii="Times New Roman" w:hAnsi="Times New Roman" w:cs="Times New Roman"/>
          <w:sz w:val="24"/>
          <w:szCs w:val="24"/>
        </w:rPr>
        <w:t>Understanding various mechanism of funding including the current options present for individual with individualized budgets for instance having a handle budge, a personalized service fund as well as direct payment.</w:t>
      </w:r>
    </w:p>
    <w:p w14:paraId="655FB5FA" w14:textId="77777777" w:rsidR="007A674E" w:rsidRPr="007A674E" w:rsidRDefault="007A674E" w:rsidP="007A674E">
      <w:pPr>
        <w:spacing w:line="480" w:lineRule="auto"/>
        <w:jc w:val="both"/>
        <w:rPr>
          <w:rFonts w:ascii="Times New Roman" w:hAnsi="Times New Roman" w:cs="Times New Roman"/>
          <w:sz w:val="24"/>
          <w:szCs w:val="24"/>
        </w:rPr>
      </w:pPr>
    </w:p>
    <w:p w14:paraId="2E14A38B" w14:textId="690D00F6" w:rsidR="00E91D10" w:rsidRPr="007A674E" w:rsidRDefault="00E91D10" w:rsidP="007A674E">
      <w:pPr>
        <w:spacing w:line="480" w:lineRule="auto"/>
        <w:rPr>
          <w:rFonts w:ascii="Times New Roman" w:eastAsiaTheme="majorEastAsia" w:hAnsi="Times New Roman" w:cs="Times New Roman"/>
          <w:b/>
          <w:bCs/>
          <w:sz w:val="24"/>
          <w:szCs w:val="24"/>
        </w:rPr>
      </w:pPr>
      <w:r w:rsidRPr="007A674E">
        <w:rPr>
          <w:rFonts w:ascii="Times New Roman" w:hAnsi="Times New Roman" w:cs="Times New Roman"/>
          <w:b/>
          <w:bCs/>
          <w:sz w:val="24"/>
          <w:szCs w:val="24"/>
        </w:rPr>
        <w:br w:type="page"/>
      </w:r>
    </w:p>
    <w:p w14:paraId="6BAB2EB5" w14:textId="5C2FBA8D" w:rsidR="00043768" w:rsidRPr="007A674E" w:rsidRDefault="00F00A20" w:rsidP="007A674E">
      <w:pPr>
        <w:pStyle w:val="Heading1"/>
        <w:spacing w:line="480" w:lineRule="auto"/>
        <w:rPr>
          <w:rFonts w:ascii="Times New Roman" w:hAnsi="Times New Roman" w:cs="Times New Roman"/>
          <w:b/>
          <w:bCs/>
          <w:color w:val="auto"/>
          <w:sz w:val="24"/>
          <w:szCs w:val="24"/>
        </w:rPr>
      </w:pPr>
      <w:bookmarkStart w:id="7" w:name="_Toc100843636"/>
      <w:r w:rsidRPr="007A674E">
        <w:rPr>
          <w:rFonts w:ascii="Times New Roman" w:hAnsi="Times New Roman" w:cs="Times New Roman"/>
          <w:b/>
          <w:bCs/>
          <w:color w:val="auto"/>
          <w:sz w:val="24"/>
          <w:szCs w:val="24"/>
        </w:rPr>
        <w:lastRenderedPageBreak/>
        <w:t>References:</w:t>
      </w:r>
      <w:bookmarkEnd w:id="7"/>
    </w:p>
    <w:p w14:paraId="5AD8D961"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Al-Khafajiy, M., Baker, T., Chalmers, C., Asim, M., Kolivand, H., Fahim, M. and Waraich, A., 2019. Remote health monitoring of elderly through wearable sensors. </w:t>
      </w:r>
      <w:r w:rsidRPr="007A674E">
        <w:rPr>
          <w:rFonts w:ascii="Times New Roman" w:hAnsi="Times New Roman" w:cs="Times New Roman"/>
          <w:i/>
          <w:iCs/>
          <w:sz w:val="24"/>
          <w:szCs w:val="24"/>
          <w:shd w:val="clear" w:color="auto" w:fill="FFFFFF"/>
        </w:rPr>
        <w:t>Multimedia Tools and Applications</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78</w:t>
      </w:r>
      <w:r w:rsidRPr="007A674E">
        <w:rPr>
          <w:rFonts w:ascii="Times New Roman" w:hAnsi="Times New Roman" w:cs="Times New Roman"/>
          <w:sz w:val="24"/>
          <w:szCs w:val="24"/>
          <w:shd w:val="clear" w:color="auto" w:fill="FFFFFF"/>
        </w:rPr>
        <w:t>(17), pp.24681-24706.</w:t>
      </w:r>
    </w:p>
    <w:p w14:paraId="4C184796"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Danielsen, B.V., Sand, A.M., Rosland, J.H. and Førland, O., 2018. Experiences and challenges of home care nurses and general practitioners in home-based palliative care–a qualitative study. </w:t>
      </w:r>
      <w:r w:rsidRPr="007A674E">
        <w:rPr>
          <w:rFonts w:ascii="Times New Roman" w:hAnsi="Times New Roman" w:cs="Times New Roman"/>
          <w:i/>
          <w:iCs/>
          <w:sz w:val="24"/>
          <w:szCs w:val="24"/>
          <w:shd w:val="clear" w:color="auto" w:fill="FFFFFF"/>
        </w:rPr>
        <w:t>BMC palliative care</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17</w:t>
      </w:r>
      <w:r w:rsidRPr="007A674E">
        <w:rPr>
          <w:rFonts w:ascii="Times New Roman" w:hAnsi="Times New Roman" w:cs="Times New Roman"/>
          <w:sz w:val="24"/>
          <w:szCs w:val="24"/>
          <w:shd w:val="clear" w:color="auto" w:fill="FFFFFF"/>
        </w:rPr>
        <w:t>(1), pp.1-13.</w:t>
      </w:r>
    </w:p>
    <w:p w14:paraId="5A7F2E2A"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De Biase, S., Cook, L., Skelton, D.A., Witham, M. and Ten Hove, R., 2020. The COVID-19 rehabilitation pandemic. </w:t>
      </w:r>
      <w:r w:rsidRPr="007A674E">
        <w:rPr>
          <w:rFonts w:ascii="Times New Roman" w:hAnsi="Times New Roman" w:cs="Times New Roman"/>
          <w:i/>
          <w:iCs/>
          <w:sz w:val="24"/>
          <w:szCs w:val="24"/>
          <w:shd w:val="clear" w:color="auto" w:fill="FFFFFF"/>
        </w:rPr>
        <w:t>Age and ageing</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49</w:t>
      </w:r>
      <w:r w:rsidRPr="007A674E">
        <w:rPr>
          <w:rFonts w:ascii="Times New Roman" w:hAnsi="Times New Roman" w:cs="Times New Roman"/>
          <w:sz w:val="24"/>
          <w:szCs w:val="24"/>
          <w:shd w:val="clear" w:color="auto" w:fill="FFFFFF"/>
        </w:rPr>
        <w:t>(5), pp.696-700.</w:t>
      </w:r>
    </w:p>
    <w:p w14:paraId="5C1AF7F1"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Dineen-Griffin, S., Garcia-Cardenas, V., Williams, K. and Benrimoj, S.I., 2019. Helping patients help themselves: a systematic review of self-management support strategies in primary health care practice. </w:t>
      </w:r>
      <w:r w:rsidRPr="007A674E">
        <w:rPr>
          <w:rFonts w:ascii="Times New Roman" w:hAnsi="Times New Roman" w:cs="Times New Roman"/>
          <w:i/>
          <w:iCs/>
          <w:sz w:val="24"/>
          <w:szCs w:val="24"/>
          <w:shd w:val="clear" w:color="auto" w:fill="FFFFFF"/>
        </w:rPr>
        <w:t>PloS one</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14</w:t>
      </w:r>
      <w:r w:rsidRPr="007A674E">
        <w:rPr>
          <w:rFonts w:ascii="Times New Roman" w:hAnsi="Times New Roman" w:cs="Times New Roman"/>
          <w:sz w:val="24"/>
          <w:szCs w:val="24"/>
          <w:shd w:val="clear" w:color="auto" w:fill="FFFFFF"/>
        </w:rPr>
        <w:t>(8), p.e0220116.</w:t>
      </w:r>
    </w:p>
    <w:p w14:paraId="11A6CDF7"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Fletcher, T.L., Hogan, J.B., Keegan, F., Davis, M.L., Wassef, M., Day, S. and Lindsay, J.A., 2018. Recent advances in delivering mental health treatment via video to home. </w:t>
      </w:r>
      <w:r w:rsidRPr="007A674E">
        <w:rPr>
          <w:rFonts w:ascii="Times New Roman" w:hAnsi="Times New Roman" w:cs="Times New Roman"/>
          <w:i/>
          <w:iCs/>
          <w:sz w:val="24"/>
          <w:szCs w:val="24"/>
          <w:shd w:val="clear" w:color="auto" w:fill="FFFFFF"/>
        </w:rPr>
        <w:t>Current psychiatry reports</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20</w:t>
      </w:r>
      <w:r w:rsidRPr="007A674E">
        <w:rPr>
          <w:rFonts w:ascii="Times New Roman" w:hAnsi="Times New Roman" w:cs="Times New Roman"/>
          <w:sz w:val="24"/>
          <w:szCs w:val="24"/>
          <w:shd w:val="clear" w:color="auto" w:fill="FFFFFF"/>
        </w:rPr>
        <w:t>(8), pp.1-9.</w:t>
      </w:r>
    </w:p>
    <w:p w14:paraId="47384868"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FORD‐GILBOE, M.A.R.I.L.Y.N., Wathen, C.N., Varcoe, C., Herbert, C., Jackson, B.E., Lavoie, J.G., Pauly, B., Perrin, N.A., Smye, V., Wallace, B. and Wong, S.T., 2018. How equity‐oriented health care affects health: key mechanisms and implications for primary health care practice and policy. </w:t>
      </w:r>
      <w:r w:rsidRPr="007A674E">
        <w:rPr>
          <w:rFonts w:ascii="Times New Roman" w:hAnsi="Times New Roman" w:cs="Times New Roman"/>
          <w:i/>
          <w:iCs/>
          <w:sz w:val="24"/>
          <w:szCs w:val="24"/>
          <w:shd w:val="clear" w:color="auto" w:fill="FFFFFF"/>
        </w:rPr>
        <w:t>The Milbank Quarterly</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96</w:t>
      </w:r>
      <w:r w:rsidRPr="007A674E">
        <w:rPr>
          <w:rFonts w:ascii="Times New Roman" w:hAnsi="Times New Roman" w:cs="Times New Roman"/>
          <w:sz w:val="24"/>
          <w:szCs w:val="24"/>
          <w:shd w:val="clear" w:color="auto" w:fill="FFFFFF"/>
        </w:rPr>
        <w:t>(4), pp.635-671.</w:t>
      </w:r>
    </w:p>
    <w:p w14:paraId="553EA927"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Goodman-Casanova, J.M., Dura-Perez, E., Guzman-Parra, J., Cuesta-Vargas, A. and Mayoral-Cleries, F., 2020. Telehealth home support during COVID-19 confinement for community-</w:t>
      </w:r>
      <w:r w:rsidRPr="007A674E">
        <w:rPr>
          <w:rFonts w:ascii="Times New Roman" w:hAnsi="Times New Roman" w:cs="Times New Roman"/>
          <w:sz w:val="24"/>
          <w:szCs w:val="24"/>
          <w:shd w:val="clear" w:color="auto" w:fill="FFFFFF"/>
        </w:rPr>
        <w:lastRenderedPageBreak/>
        <w:t>dwelling older adults with mild cognitive impairment or mild dementia: survey study. </w:t>
      </w:r>
      <w:r w:rsidRPr="007A674E">
        <w:rPr>
          <w:rFonts w:ascii="Times New Roman" w:hAnsi="Times New Roman" w:cs="Times New Roman"/>
          <w:i/>
          <w:iCs/>
          <w:sz w:val="24"/>
          <w:szCs w:val="24"/>
          <w:shd w:val="clear" w:color="auto" w:fill="FFFFFF"/>
        </w:rPr>
        <w:t>Journal of medical Internet research</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22</w:t>
      </w:r>
      <w:r w:rsidRPr="007A674E">
        <w:rPr>
          <w:rFonts w:ascii="Times New Roman" w:hAnsi="Times New Roman" w:cs="Times New Roman"/>
          <w:sz w:val="24"/>
          <w:szCs w:val="24"/>
          <w:shd w:val="clear" w:color="auto" w:fill="FFFFFF"/>
        </w:rPr>
        <w:t>(5), p.e19434.</w:t>
      </w:r>
    </w:p>
    <w:p w14:paraId="5FEC222B"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Kokorelias, K.M., Gignac, M.A., Naglie, G. and Cameron, J.I., 2019. Towards a universal model of family centered care: a scoping review. </w:t>
      </w:r>
      <w:r w:rsidRPr="007A674E">
        <w:rPr>
          <w:rFonts w:ascii="Times New Roman" w:hAnsi="Times New Roman" w:cs="Times New Roman"/>
          <w:i/>
          <w:iCs/>
          <w:sz w:val="24"/>
          <w:szCs w:val="24"/>
          <w:shd w:val="clear" w:color="auto" w:fill="FFFFFF"/>
        </w:rPr>
        <w:t>BMC health services research</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19</w:t>
      </w:r>
      <w:r w:rsidRPr="007A674E">
        <w:rPr>
          <w:rFonts w:ascii="Times New Roman" w:hAnsi="Times New Roman" w:cs="Times New Roman"/>
          <w:sz w:val="24"/>
          <w:szCs w:val="24"/>
          <w:shd w:val="clear" w:color="auto" w:fill="FFFFFF"/>
        </w:rPr>
        <w:t>(1), pp.1-11.</w:t>
      </w:r>
    </w:p>
    <w:p w14:paraId="00E7C622"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Levine, D.M., Ouchi, K., Blanchfield, B., Saenz, A., Burke, K., Paz, M., Diamond, K., Pu, C.T. and Schnipper, J.L., 2020. Hospital-level care at home for acutely ill adults: a randomized controlled trial. </w:t>
      </w:r>
      <w:r w:rsidRPr="007A674E">
        <w:rPr>
          <w:rFonts w:ascii="Times New Roman" w:hAnsi="Times New Roman" w:cs="Times New Roman"/>
          <w:i/>
          <w:iCs/>
          <w:sz w:val="24"/>
          <w:szCs w:val="24"/>
          <w:shd w:val="clear" w:color="auto" w:fill="FFFFFF"/>
        </w:rPr>
        <w:t>Annals of internal medicine</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172</w:t>
      </w:r>
      <w:r w:rsidRPr="007A674E">
        <w:rPr>
          <w:rFonts w:ascii="Times New Roman" w:hAnsi="Times New Roman" w:cs="Times New Roman"/>
          <w:sz w:val="24"/>
          <w:szCs w:val="24"/>
          <w:shd w:val="clear" w:color="auto" w:fill="FFFFFF"/>
        </w:rPr>
        <w:t>(2), pp.77-85.</w:t>
      </w:r>
    </w:p>
    <w:p w14:paraId="56A8B927"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Monahan, C., Macdonald, J., Lytle, A., Apriceno, M. and Levy, S.R., 2020. COVID-19 and ageism: How positive and negative responses impact older adults and society. </w:t>
      </w:r>
      <w:r w:rsidRPr="007A674E">
        <w:rPr>
          <w:rFonts w:ascii="Times New Roman" w:hAnsi="Times New Roman" w:cs="Times New Roman"/>
          <w:i/>
          <w:iCs/>
          <w:sz w:val="24"/>
          <w:szCs w:val="24"/>
          <w:shd w:val="clear" w:color="auto" w:fill="FFFFFF"/>
        </w:rPr>
        <w:t>American Psychologist</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75</w:t>
      </w:r>
      <w:r w:rsidRPr="007A674E">
        <w:rPr>
          <w:rFonts w:ascii="Times New Roman" w:hAnsi="Times New Roman" w:cs="Times New Roman"/>
          <w:sz w:val="24"/>
          <w:szCs w:val="24"/>
          <w:shd w:val="clear" w:color="auto" w:fill="FFFFFF"/>
        </w:rPr>
        <w:t>(7), p.887.</w:t>
      </w:r>
    </w:p>
    <w:p w14:paraId="21D3ECDB"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Morrow-Howell, N., Galucia, N. and Swinford, E., 2020. Recovering from the COVID-19 pandemic: A focus on older adults. </w:t>
      </w:r>
      <w:r w:rsidRPr="007A674E">
        <w:rPr>
          <w:rFonts w:ascii="Times New Roman" w:hAnsi="Times New Roman" w:cs="Times New Roman"/>
          <w:i/>
          <w:iCs/>
          <w:sz w:val="24"/>
          <w:szCs w:val="24"/>
          <w:shd w:val="clear" w:color="auto" w:fill="FFFFFF"/>
        </w:rPr>
        <w:t>Journal of aging &amp; social policy</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32</w:t>
      </w:r>
      <w:r w:rsidRPr="007A674E">
        <w:rPr>
          <w:rFonts w:ascii="Times New Roman" w:hAnsi="Times New Roman" w:cs="Times New Roman"/>
          <w:sz w:val="24"/>
          <w:szCs w:val="24"/>
          <w:shd w:val="clear" w:color="auto" w:fill="FFFFFF"/>
        </w:rPr>
        <w:t>(4-5), pp.526-535.</w:t>
      </w:r>
    </w:p>
    <w:p w14:paraId="5A324AC6"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National Academies of Sciences, Engineering, and Medicine, 2020. </w:t>
      </w:r>
      <w:r w:rsidRPr="007A674E">
        <w:rPr>
          <w:rFonts w:ascii="Times New Roman" w:hAnsi="Times New Roman" w:cs="Times New Roman"/>
          <w:i/>
          <w:iCs/>
          <w:sz w:val="24"/>
          <w:szCs w:val="24"/>
          <w:shd w:val="clear" w:color="auto" w:fill="FFFFFF"/>
        </w:rPr>
        <w:t>Social isolation and loneliness in older adults: Opportunities for the health care system</w:t>
      </w:r>
      <w:r w:rsidRPr="007A674E">
        <w:rPr>
          <w:rFonts w:ascii="Times New Roman" w:hAnsi="Times New Roman" w:cs="Times New Roman"/>
          <w:sz w:val="24"/>
          <w:szCs w:val="24"/>
          <w:shd w:val="clear" w:color="auto" w:fill="FFFFFF"/>
        </w:rPr>
        <w:t>. National Academies Press.</w:t>
      </w:r>
    </w:p>
    <w:p w14:paraId="566B7721"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Pearson, C.F., Quinn, C.C., Loganathan, S., Datta, A.R., Mace, B.B. and Grabowski, D.C., 2019. The forgotten middle: Many middle-income seniors will have insufficient resources for housing and health care. </w:t>
      </w:r>
      <w:r w:rsidRPr="007A674E">
        <w:rPr>
          <w:rFonts w:ascii="Times New Roman" w:hAnsi="Times New Roman" w:cs="Times New Roman"/>
          <w:i/>
          <w:iCs/>
          <w:sz w:val="24"/>
          <w:szCs w:val="24"/>
          <w:shd w:val="clear" w:color="auto" w:fill="FFFFFF"/>
        </w:rPr>
        <w:t>Health Affairs</w:t>
      </w:r>
      <w:r w:rsidRPr="007A674E">
        <w:rPr>
          <w:rFonts w:ascii="Times New Roman" w:hAnsi="Times New Roman" w:cs="Times New Roman"/>
          <w:sz w:val="24"/>
          <w:szCs w:val="24"/>
          <w:shd w:val="clear" w:color="auto" w:fill="FFFFFF"/>
        </w:rPr>
        <w:t>, pp.10-1377.</w:t>
      </w:r>
    </w:p>
    <w:p w14:paraId="73C607B9"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Schmidt, M., Schmidt, S.A.J., Adelborg, K., Sundbøll, J., Laugesen, K., Ehrenstein, V. and Sørensen, H.T., 2019. The Danish health care system and epidemiological research: from health care contacts to database records. </w:t>
      </w:r>
      <w:r w:rsidRPr="007A674E">
        <w:rPr>
          <w:rFonts w:ascii="Times New Roman" w:hAnsi="Times New Roman" w:cs="Times New Roman"/>
          <w:i/>
          <w:iCs/>
          <w:sz w:val="24"/>
          <w:szCs w:val="24"/>
          <w:shd w:val="clear" w:color="auto" w:fill="FFFFFF"/>
        </w:rPr>
        <w:t>Clinical epidemiology</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11</w:t>
      </w:r>
      <w:r w:rsidRPr="007A674E">
        <w:rPr>
          <w:rFonts w:ascii="Times New Roman" w:hAnsi="Times New Roman" w:cs="Times New Roman"/>
          <w:sz w:val="24"/>
          <w:szCs w:val="24"/>
          <w:shd w:val="clear" w:color="auto" w:fill="FFFFFF"/>
        </w:rPr>
        <w:t>, p.563.</w:t>
      </w:r>
    </w:p>
    <w:p w14:paraId="0F234324"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lastRenderedPageBreak/>
        <w:t>Van Leeuwen, K.M., Van Loon, M.S., Van Nes, F.A., Bosmans, J.E., De Vet, H.C., Ket, J.C., Widdershoven, G.A. and Ostelo, R.W., 2019. What does quality of life mean to older adults? A thematic synthesis. </w:t>
      </w:r>
      <w:r w:rsidRPr="007A674E">
        <w:rPr>
          <w:rFonts w:ascii="Times New Roman" w:hAnsi="Times New Roman" w:cs="Times New Roman"/>
          <w:i/>
          <w:iCs/>
          <w:sz w:val="24"/>
          <w:szCs w:val="24"/>
          <w:shd w:val="clear" w:color="auto" w:fill="FFFFFF"/>
        </w:rPr>
        <w:t>PloS one</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14</w:t>
      </w:r>
      <w:r w:rsidRPr="007A674E">
        <w:rPr>
          <w:rFonts w:ascii="Times New Roman" w:hAnsi="Times New Roman" w:cs="Times New Roman"/>
          <w:sz w:val="24"/>
          <w:szCs w:val="24"/>
          <w:shd w:val="clear" w:color="auto" w:fill="FFFFFF"/>
        </w:rPr>
        <w:t>(3), p.e0213263.</w:t>
      </w:r>
    </w:p>
    <w:p w14:paraId="56D3642A" w14:textId="77777777" w:rsidR="00E91D10" w:rsidRPr="007A674E" w:rsidRDefault="00E91D10" w:rsidP="007A674E">
      <w:pPr>
        <w:spacing w:line="480" w:lineRule="auto"/>
        <w:jc w:val="both"/>
        <w:rPr>
          <w:rFonts w:ascii="Times New Roman" w:hAnsi="Times New Roman" w:cs="Times New Roman"/>
          <w:sz w:val="24"/>
          <w:szCs w:val="24"/>
          <w:shd w:val="clear" w:color="auto" w:fill="FFFFFF"/>
        </w:rPr>
      </w:pPr>
      <w:r w:rsidRPr="007A674E">
        <w:rPr>
          <w:rFonts w:ascii="Times New Roman" w:hAnsi="Times New Roman" w:cs="Times New Roman"/>
          <w:sz w:val="24"/>
          <w:szCs w:val="24"/>
          <w:shd w:val="clear" w:color="auto" w:fill="FFFFFF"/>
        </w:rPr>
        <w:t>Wu, B., 2020. Social isolation and loneliness among older adults in the context of COVID-19: a global challenge. </w:t>
      </w:r>
      <w:r w:rsidRPr="007A674E">
        <w:rPr>
          <w:rFonts w:ascii="Times New Roman" w:hAnsi="Times New Roman" w:cs="Times New Roman"/>
          <w:i/>
          <w:iCs/>
          <w:sz w:val="24"/>
          <w:szCs w:val="24"/>
          <w:shd w:val="clear" w:color="auto" w:fill="FFFFFF"/>
        </w:rPr>
        <w:t>Global health research and policy</w:t>
      </w:r>
      <w:r w:rsidRPr="007A674E">
        <w:rPr>
          <w:rFonts w:ascii="Times New Roman" w:hAnsi="Times New Roman" w:cs="Times New Roman"/>
          <w:sz w:val="24"/>
          <w:szCs w:val="24"/>
          <w:shd w:val="clear" w:color="auto" w:fill="FFFFFF"/>
        </w:rPr>
        <w:t>, </w:t>
      </w:r>
      <w:r w:rsidRPr="007A674E">
        <w:rPr>
          <w:rFonts w:ascii="Times New Roman" w:hAnsi="Times New Roman" w:cs="Times New Roman"/>
          <w:i/>
          <w:iCs/>
          <w:sz w:val="24"/>
          <w:szCs w:val="24"/>
          <w:shd w:val="clear" w:color="auto" w:fill="FFFFFF"/>
        </w:rPr>
        <w:t>5</w:t>
      </w:r>
      <w:r w:rsidRPr="007A674E">
        <w:rPr>
          <w:rFonts w:ascii="Times New Roman" w:hAnsi="Times New Roman" w:cs="Times New Roman"/>
          <w:sz w:val="24"/>
          <w:szCs w:val="24"/>
          <w:shd w:val="clear" w:color="auto" w:fill="FFFFFF"/>
        </w:rPr>
        <w:t>(1), pp.1-3.</w:t>
      </w:r>
    </w:p>
    <w:p w14:paraId="32210DF6" w14:textId="77777777" w:rsidR="00F00A20" w:rsidRPr="007A674E" w:rsidRDefault="00F00A20" w:rsidP="007A674E">
      <w:pPr>
        <w:spacing w:line="480" w:lineRule="auto"/>
        <w:rPr>
          <w:rFonts w:ascii="Times New Roman" w:hAnsi="Times New Roman" w:cs="Times New Roman"/>
          <w:sz w:val="24"/>
          <w:szCs w:val="24"/>
        </w:rPr>
      </w:pPr>
    </w:p>
    <w:sectPr w:rsidR="00F00A20" w:rsidRPr="007A674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20E23" w14:textId="77777777" w:rsidR="001B3DFE" w:rsidRDefault="001B3DFE" w:rsidP="00E91D10">
      <w:pPr>
        <w:spacing w:after="0" w:line="240" w:lineRule="auto"/>
      </w:pPr>
      <w:r>
        <w:separator/>
      </w:r>
    </w:p>
  </w:endnote>
  <w:endnote w:type="continuationSeparator" w:id="0">
    <w:p w14:paraId="15E21D28" w14:textId="77777777" w:rsidR="001B3DFE" w:rsidRDefault="001B3DFE" w:rsidP="00E9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199081"/>
      <w:docPartObj>
        <w:docPartGallery w:val="Page Numbers (Bottom of Page)"/>
        <w:docPartUnique/>
      </w:docPartObj>
    </w:sdtPr>
    <w:sdtEndPr>
      <w:rPr>
        <w:rFonts w:ascii="Times New Roman" w:hAnsi="Times New Roman" w:cs="Times New Roman"/>
        <w:noProof/>
        <w:sz w:val="24"/>
        <w:szCs w:val="24"/>
      </w:rPr>
    </w:sdtEndPr>
    <w:sdtContent>
      <w:p w14:paraId="7FBCF498" w14:textId="1BC75B32" w:rsidR="00E91D10" w:rsidRPr="00E91D10" w:rsidRDefault="00E91D10">
        <w:pPr>
          <w:pStyle w:val="Footer"/>
          <w:jc w:val="right"/>
          <w:rPr>
            <w:rFonts w:ascii="Times New Roman" w:hAnsi="Times New Roman" w:cs="Times New Roman"/>
            <w:sz w:val="24"/>
            <w:szCs w:val="24"/>
          </w:rPr>
        </w:pPr>
        <w:r w:rsidRPr="00E91D10">
          <w:rPr>
            <w:rFonts w:ascii="Times New Roman" w:hAnsi="Times New Roman" w:cs="Times New Roman"/>
            <w:sz w:val="24"/>
            <w:szCs w:val="24"/>
          </w:rPr>
          <w:fldChar w:fldCharType="begin"/>
        </w:r>
        <w:r w:rsidRPr="00E91D10">
          <w:rPr>
            <w:rFonts w:ascii="Times New Roman" w:hAnsi="Times New Roman" w:cs="Times New Roman"/>
            <w:sz w:val="24"/>
            <w:szCs w:val="24"/>
          </w:rPr>
          <w:instrText xml:space="preserve"> PAGE   \* MERGEFORMAT </w:instrText>
        </w:r>
        <w:r w:rsidRPr="00E91D10">
          <w:rPr>
            <w:rFonts w:ascii="Times New Roman" w:hAnsi="Times New Roman" w:cs="Times New Roman"/>
            <w:sz w:val="24"/>
            <w:szCs w:val="24"/>
          </w:rPr>
          <w:fldChar w:fldCharType="separate"/>
        </w:r>
        <w:r w:rsidR="000243C2">
          <w:rPr>
            <w:rFonts w:ascii="Times New Roman" w:hAnsi="Times New Roman" w:cs="Times New Roman"/>
            <w:noProof/>
            <w:sz w:val="24"/>
            <w:szCs w:val="24"/>
          </w:rPr>
          <w:t>2</w:t>
        </w:r>
        <w:r w:rsidRPr="00E91D10">
          <w:rPr>
            <w:rFonts w:ascii="Times New Roman" w:hAnsi="Times New Roman" w:cs="Times New Roman"/>
            <w:noProof/>
            <w:sz w:val="24"/>
            <w:szCs w:val="24"/>
          </w:rPr>
          <w:fldChar w:fldCharType="end"/>
        </w:r>
      </w:p>
    </w:sdtContent>
  </w:sdt>
  <w:p w14:paraId="10D8E504" w14:textId="77777777" w:rsidR="00E91D10" w:rsidRDefault="00E91D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0C3F4" w14:textId="77777777" w:rsidR="001B3DFE" w:rsidRDefault="001B3DFE" w:rsidP="00E91D10">
      <w:pPr>
        <w:spacing w:after="0" w:line="240" w:lineRule="auto"/>
      </w:pPr>
      <w:r>
        <w:separator/>
      </w:r>
    </w:p>
  </w:footnote>
  <w:footnote w:type="continuationSeparator" w:id="0">
    <w:p w14:paraId="6AA96854" w14:textId="77777777" w:rsidR="001B3DFE" w:rsidRDefault="001B3DFE" w:rsidP="00E91D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37E63"/>
    <w:multiLevelType w:val="hybridMultilevel"/>
    <w:tmpl w:val="92240F66"/>
    <w:lvl w:ilvl="0" w:tplc="E932CE6C">
      <w:start w:val="3"/>
      <w:numFmt w:val="bullet"/>
      <w:lvlText w:val=""/>
      <w:lvlJc w:val="left"/>
      <w:pPr>
        <w:ind w:left="720" w:hanging="360"/>
      </w:pPr>
      <w:rPr>
        <w:rFonts w:ascii="Symbol" w:eastAsiaTheme="minorHAnsi" w:hAnsi="Symbol" w:cstheme="minorBidi"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A20"/>
    <w:rsid w:val="000243C2"/>
    <w:rsid w:val="00043768"/>
    <w:rsid w:val="001B3DFE"/>
    <w:rsid w:val="00593965"/>
    <w:rsid w:val="007A674E"/>
    <w:rsid w:val="00E91D10"/>
    <w:rsid w:val="00EA120A"/>
    <w:rsid w:val="00F00A20"/>
    <w:rsid w:val="00FA7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303C0"/>
  <w15:chartTrackingRefBased/>
  <w15:docId w15:val="{7D928801-0158-4AB0-96E2-A60AF551D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0A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A20"/>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91D10"/>
    <w:pPr>
      <w:ind w:left="720"/>
      <w:contextualSpacing/>
    </w:pPr>
  </w:style>
  <w:style w:type="paragraph" w:styleId="Header">
    <w:name w:val="header"/>
    <w:basedOn w:val="Normal"/>
    <w:link w:val="HeaderChar"/>
    <w:uiPriority w:val="99"/>
    <w:unhideWhenUsed/>
    <w:rsid w:val="00E91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D10"/>
  </w:style>
  <w:style w:type="paragraph" w:styleId="Footer">
    <w:name w:val="footer"/>
    <w:basedOn w:val="Normal"/>
    <w:link w:val="FooterChar"/>
    <w:uiPriority w:val="99"/>
    <w:unhideWhenUsed/>
    <w:rsid w:val="00E91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D10"/>
  </w:style>
  <w:style w:type="paragraph" w:styleId="TOCHeading">
    <w:name w:val="TOC Heading"/>
    <w:basedOn w:val="Heading1"/>
    <w:next w:val="Normal"/>
    <w:uiPriority w:val="39"/>
    <w:unhideWhenUsed/>
    <w:qFormat/>
    <w:rsid w:val="007A674E"/>
    <w:pPr>
      <w:spacing w:line="259" w:lineRule="auto"/>
      <w:outlineLvl w:val="9"/>
    </w:pPr>
  </w:style>
  <w:style w:type="paragraph" w:styleId="TOC1">
    <w:name w:val="toc 1"/>
    <w:basedOn w:val="Normal"/>
    <w:next w:val="Normal"/>
    <w:autoRedefine/>
    <w:uiPriority w:val="39"/>
    <w:unhideWhenUsed/>
    <w:rsid w:val="007A674E"/>
    <w:pPr>
      <w:spacing w:after="100"/>
    </w:pPr>
  </w:style>
  <w:style w:type="character" w:styleId="Hyperlink">
    <w:name w:val="Hyperlink"/>
    <w:basedOn w:val="DefaultParagraphFont"/>
    <w:uiPriority w:val="99"/>
    <w:unhideWhenUsed/>
    <w:rsid w:val="007A67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31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58127-9776-4270-8DD3-60474B45D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4131</Words>
  <Characters>23549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Dell</cp:lastModifiedBy>
  <cp:revision>2</cp:revision>
  <dcterms:created xsi:type="dcterms:W3CDTF">2022-04-14T13:23:00Z</dcterms:created>
  <dcterms:modified xsi:type="dcterms:W3CDTF">2022-04-14T13:23:00Z</dcterms:modified>
</cp:coreProperties>
</file>