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F9ED5" w:themeColor="accent4">
    <v:background id="_x0000_s1025" o:bwmode="white" fillcolor="#0f9ed5 [3207]">
      <v:fill r:id="rId5" o:title=" 20%" type="pattern"/>
    </v:background>
  </w:background>
  <w:body>
    <w:sdt>
      <w:sdtPr>
        <w:rPr>
          <w:sz w:val="2"/>
        </w:rPr>
        <w:id w:val="1121729323"/>
        <w:docPartObj>
          <w:docPartGallery w:val="Cover Pages"/>
          <w:docPartUnique/>
        </w:docPartObj>
      </w:sdtPr>
      <w:sdtEndPr>
        <w:rPr>
          <w:noProof/>
          <w:color w:val="0E2841" w:themeColor="text2"/>
          <w:sz w:val="22"/>
        </w:rPr>
      </w:sdtEndPr>
      <w:sdtContent>
        <w:p w14:paraId="3D1A1D64" w14:textId="6E2D245D" w:rsidR="00140EAE" w:rsidRDefault="00F84CE4">
          <w:pPr>
            <w:pStyle w:val="NoSpacing"/>
            <w:rPr>
              <w:sz w:val="2"/>
            </w:rPr>
          </w:pPr>
          <w:r>
            <w:rPr>
              <w:noProof/>
            </w:rPr>
            <mc:AlternateContent>
              <mc:Choice Requires="wps">
                <w:drawing>
                  <wp:anchor distT="0" distB="0" distL="114300" distR="114300" simplePos="0" relativeHeight="251679744" behindDoc="0" locked="0" layoutInCell="1" allowOverlap="1" wp14:anchorId="7A50C11E" wp14:editId="20D1FBF8">
                    <wp:simplePos x="0" y="0"/>
                    <wp:positionH relativeFrom="page">
                      <wp:posOffset>1352551</wp:posOffset>
                    </wp:positionH>
                    <wp:positionV relativeFrom="margin">
                      <wp:posOffset>22860</wp:posOffset>
                    </wp:positionV>
                    <wp:extent cx="867918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867918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449FEF7" w14:textId="2A2526CA" w:rsidR="00140EAE" w:rsidRDefault="00140EAE">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DATA WAREHOUSING REPORT FOR NHS ENGLAND</w:t>
                                    </w:r>
                                  </w:p>
                                </w:sdtContent>
                              </w:sdt>
                              <w:p w14:paraId="25C70467" w14:textId="02786EFB" w:rsidR="00140EAE"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40EAE">
                                      <w:rPr>
                                        <w:color w:val="156082" w:themeColor="accent1"/>
                                        <w:sz w:val="36"/>
                                        <w:szCs w:val="36"/>
                                      </w:rPr>
                                      <w:t>Module: ACCA6026 Data Warehousing &amp; Data Mining</w:t>
                                    </w:r>
                                  </w:sdtContent>
                                </w:sdt>
                                <w:r w:rsidR="00140EAE">
                                  <w:rPr>
                                    <w:noProof/>
                                  </w:rPr>
                                  <w:t xml:space="preserve"> </w:t>
                                </w:r>
                              </w:p>
                              <w:p w14:paraId="5F009F82" w14:textId="77777777" w:rsidR="00140EAE" w:rsidRDefault="00140E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7A50C11E" id="_x0000_t202" coordsize="21600,21600" o:spt="202" path="m,l,21600r21600,l21600,xe">
                    <v:stroke joinstyle="miter"/>
                    <v:path gradientshapeok="t" o:connecttype="rect"/>
                  </v:shapetype>
                  <v:shape id="Text Box 66" o:spid="_x0000_s1026" type="#_x0000_t202" style="position:absolute;margin-left:106.5pt;margin-top:1.8pt;width:683.4pt;height:1in;z-index:251679744;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449FEF7" w14:textId="2A2526CA" w:rsidR="00140EAE" w:rsidRDefault="00140EAE">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DATA WAREHOUSING REPORT FOR NHS ENGLAND</w:t>
                              </w:r>
                            </w:p>
                          </w:sdtContent>
                        </w:sdt>
                        <w:p w14:paraId="25C70467" w14:textId="02786EFB" w:rsidR="00140EAE"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40EAE">
                                <w:rPr>
                                  <w:color w:val="156082" w:themeColor="accent1"/>
                                  <w:sz w:val="36"/>
                                  <w:szCs w:val="36"/>
                                </w:rPr>
                                <w:t>Module: ACCA6026 Data Warehousing &amp; Data Mining</w:t>
                              </w:r>
                            </w:sdtContent>
                          </w:sdt>
                          <w:r w:rsidR="00140EAE">
                            <w:rPr>
                              <w:noProof/>
                            </w:rPr>
                            <w:t xml:space="preserve"> </w:t>
                          </w:r>
                        </w:p>
                        <w:p w14:paraId="5F009F82" w14:textId="77777777" w:rsidR="00140EAE" w:rsidRDefault="00140EAE"/>
                      </w:txbxContent>
                    </v:textbox>
                    <w10:wrap anchorx="page" anchory="margin"/>
                  </v:shape>
                </w:pict>
              </mc:Fallback>
            </mc:AlternateContent>
          </w:r>
        </w:p>
        <w:p w14:paraId="2DE6622A" w14:textId="49521CF1" w:rsidR="00140EAE" w:rsidRDefault="00140EAE">
          <w:r>
            <w:rPr>
              <w:noProof/>
            </w:rPr>
            <mc:AlternateContent>
              <mc:Choice Requires="wps">
                <w:drawing>
                  <wp:anchor distT="0" distB="0" distL="114300" distR="114300" simplePos="0" relativeHeight="251677696" behindDoc="0" locked="0" layoutInCell="1" allowOverlap="1" wp14:anchorId="620081F6" wp14:editId="4DAC4A46">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A919" w14:textId="6D7CF6DC" w:rsidR="00140EAE" w:rsidRDefault="00000000" w:rsidP="00F84CE4">
                                <w:pPr>
                                  <w:pStyle w:val="NoSpacing"/>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F84CE4">
                                      <w:rPr>
                                        <w:color w:val="156082" w:themeColor="accent1"/>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20081F6" id="Text Box 73" o:spid="_x0000_s1027" type="#_x0000_t202" style="position:absolute;margin-left:0;margin-top:0;width:468pt;height:29.5pt;z-index:25167769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42EA919" w14:textId="6D7CF6DC" w:rsidR="00140EAE" w:rsidRDefault="00000000" w:rsidP="00F84CE4">
                          <w:pPr>
                            <w:pStyle w:val="NoSpacing"/>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F84CE4">
                                <w:rPr>
                                  <w:color w:val="156082" w:themeColor="accent1"/>
                                  <w:sz w:val="36"/>
                                  <w:szCs w:val="36"/>
                                </w:rPr>
                                <w:t xml:space="preserve">     </w:t>
                              </w:r>
                            </w:sdtContent>
                          </w:sdt>
                        </w:p>
                      </w:txbxContent>
                    </v:textbox>
                    <w10:wrap anchorx="page" anchory="margin"/>
                  </v:shape>
                </w:pict>
              </mc:Fallback>
            </mc:AlternateContent>
          </w:r>
        </w:p>
        <w:p w14:paraId="604116A8" w14:textId="77777777" w:rsidR="000457AF" w:rsidRDefault="000457AF">
          <w:pPr>
            <w:rPr>
              <w:noProof/>
              <w:color w:val="156082" w:themeColor="accent1"/>
              <w:sz w:val="36"/>
              <w:szCs w:val="36"/>
            </w:rPr>
          </w:pPr>
        </w:p>
        <w:p w14:paraId="6D8BA805" w14:textId="0E11E9C0" w:rsidR="00140EAE" w:rsidRDefault="000457AF">
          <w:pPr>
            <w:rPr>
              <w:noProof/>
              <w:color w:val="0E2841" w:themeColor="text2"/>
            </w:rPr>
          </w:pPr>
          <w:r>
            <w:rPr>
              <w:noProof/>
              <w:color w:val="156082" w:themeColor="accent1"/>
              <w:sz w:val="36"/>
              <w:szCs w:val="36"/>
            </w:rPr>
            <mc:AlternateContent>
              <mc:Choice Requires="wpg">
                <w:drawing>
                  <wp:anchor distT="0" distB="0" distL="114300" distR="114300" simplePos="0" relativeHeight="251678720" behindDoc="1" locked="0" layoutInCell="1" allowOverlap="1" wp14:anchorId="2E6437A1" wp14:editId="3ECB0880">
                    <wp:simplePos x="0" y="0"/>
                    <wp:positionH relativeFrom="page">
                      <wp:posOffset>617764</wp:posOffset>
                    </wp:positionH>
                    <wp:positionV relativeFrom="margin">
                      <wp:align>bottom</wp:align>
                    </wp:positionV>
                    <wp:extent cx="6982747" cy="7249886"/>
                    <wp:effectExtent l="0" t="0" r="8890" b="825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2747" cy="7249886"/>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6DB8224" id="Group 2" o:spid="_x0000_s1026" style="position:absolute;margin-left:48.65pt;margin-top:0;width:549.8pt;height:570.85pt;z-index:-251637760;mso-position-horizontal-relative:page;mso-position-vertical:bottom;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margin"/>
                  </v:group>
                </w:pict>
              </mc:Fallback>
            </mc:AlternateContent>
          </w:r>
          <w:r w:rsidR="00140EAE">
            <w:rPr>
              <w:noProof/>
              <w:color w:val="0E2841" w:themeColor="text2"/>
            </w:rPr>
            <w:br w:type="page"/>
          </w:r>
        </w:p>
      </w:sdtContent>
    </w:sdt>
    <w:p w14:paraId="56653909" w14:textId="77777777" w:rsidR="007F07B9" w:rsidRPr="00E954D6" w:rsidRDefault="007F07B9" w:rsidP="00267CF5">
      <w:pPr>
        <w:jc w:val="both"/>
        <w:rPr>
          <w:rFonts w:ascii="Arial" w:hAnsi="Arial" w:cs="Arial"/>
          <w:b/>
          <w:bCs/>
          <w:sz w:val="28"/>
          <w:szCs w:val="28"/>
          <w:lang w:val="en-GB"/>
        </w:rPr>
      </w:pPr>
    </w:p>
    <w:p w14:paraId="4BC64B4B" w14:textId="77777777" w:rsidR="007F07B9" w:rsidRPr="00E954D6" w:rsidRDefault="007F07B9" w:rsidP="00267CF5">
      <w:pPr>
        <w:jc w:val="both"/>
        <w:rPr>
          <w:rFonts w:ascii="Arial" w:hAnsi="Arial" w:cs="Arial"/>
          <w:b/>
          <w:bCs/>
          <w:sz w:val="36"/>
          <w:szCs w:val="36"/>
          <w:lang w:val="en-GB"/>
        </w:rPr>
      </w:pPr>
    </w:p>
    <w:p w14:paraId="114359C3" w14:textId="1E18DFFB" w:rsidR="007F07B9" w:rsidRPr="00E954D6" w:rsidRDefault="007F07B9" w:rsidP="004A5F74">
      <w:pPr>
        <w:jc w:val="center"/>
        <w:rPr>
          <w:rFonts w:ascii="Arial" w:hAnsi="Arial" w:cs="Arial"/>
          <w:b/>
          <w:bCs/>
          <w:sz w:val="36"/>
          <w:szCs w:val="36"/>
          <w:lang w:val="en-GB"/>
        </w:rPr>
      </w:pPr>
      <w:r w:rsidRPr="00E954D6">
        <w:rPr>
          <w:rFonts w:ascii="Arial" w:hAnsi="Arial" w:cs="Arial"/>
          <w:b/>
          <w:bCs/>
          <w:sz w:val="36"/>
          <w:szCs w:val="36"/>
          <w:lang w:val="en-GB"/>
        </w:rPr>
        <w:t>DATA WAREHOUSING REPORT</w:t>
      </w:r>
    </w:p>
    <w:p w14:paraId="5FD73553" w14:textId="3B556B6A" w:rsidR="007F07B9" w:rsidRPr="00E954D6" w:rsidRDefault="007F07B9" w:rsidP="004A5F74">
      <w:pPr>
        <w:jc w:val="center"/>
        <w:rPr>
          <w:rFonts w:ascii="Arial" w:hAnsi="Arial" w:cs="Arial"/>
          <w:b/>
          <w:bCs/>
          <w:sz w:val="36"/>
          <w:szCs w:val="36"/>
          <w:lang w:val="en-GB"/>
        </w:rPr>
      </w:pPr>
      <w:r w:rsidRPr="00E954D6">
        <w:rPr>
          <w:rFonts w:ascii="Arial" w:hAnsi="Arial" w:cs="Arial"/>
          <w:b/>
          <w:bCs/>
          <w:sz w:val="36"/>
          <w:szCs w:val="36"/>
          <w:lang w:val="en-GB"/>
        </w:rPr>
        <w:t>FOR NHS ENGLAND</w:t>
      </w:r>
    </w:p>
    <w:p w14:paraId="5E25A6CA" w14:textId="77777777" w:rsidR="007F07B9" w:rsidRPr="00E954D6" w:rsidRDefault="007F07B9" w:rsidP="004A5F74">
      <w:pPr>
        <w:jc w:val="center"/>
        <w:rPr>
          <w:rFonts w:ascii="Arial" w:hAnsi="Arial" w:cs="Arial"/>
          <w:b/>
          <w:bCs/>
          <w:sz w:val="28"/>
          <w:szCs w:val="28"/>
          <w:lang w:val="en-GB"/>
        </w:rPr>
      </w:pPr>
    </w:p>
    <w:p w14:paraId="657C73F7" w14:textId="77777777" w:rsidR="007F07B9" w:rsidRPr="00E954D6" w:rsidRDefault="007F07B9" w:rsidP="004A5F74">
      <w:pPr>
        <w:jc w:val="center"/>
        <w:rPr>
          <w:rFonts w:ascii="Arial" w:hAnsi="Arial" w:cs="Arial"/>
          <w:b/>
          <w:bCs/>
          <w:sz w:val="32"/>
          <w:szCs w:val="32"/>
          <w:lang w:val="en-GB"/>
        </w:rPr>
      </w:pPr>
    </w:p>
    <w:p w14:paraId="7279A9BD" w14:textId="57068312" w:rsidR="007F07B9" w:rsidRPr="00E954D6" w:rsidRDefault="007F07B9" w:rsidP="004A5F74">
      <w:pPr>
        <w:jc w:val="center"/>
        <w:rPr>
          <w:rFonts w:ascii="Arial" w:hAnsi="Arial" w:cs="Arial"/>
          <w:b/>
          <w:bCs/>
          <w:sz w:val="32"/>
          <w:szCs w:val="32"/>
          <w:lang w:val="en-GB"/>
        </w:rPr>
      </w:pPr>
      <w:r w:rsidRPr="00E954D6">
        <w:rPr>
          <w:rFonts w:ascii="Arial" w:hAnsi="Arial" w:cs="Arial"/>
          <w:b/>
          <w:bCs/>
          <w:sz w:val="32"/>
          <w:szCs w:val="32"/>
          <w:lang w:val="en-GB"/>
        </w:rPr>
        <w:t>Module: ACCA6026 Data Warehousing &amp; Data Mining</w:t>
      </w:r>
    </w:p>
    <w:p w14:paraId="40719DCA" w14:textId="77777777" w:rsidR="007F07B9" w:rsidRPr="00E954D6" w:rsidRDefault="007F07B9" w:rsidP="004A5F74">
      <w:pPr>
        <w:jc w:val="center"/>
        <w:rPr>
          <w:rFonts w:ascii="Arial" w:hAnsi="Arial" w:cs="Arial"/>
          <w:b/>
          <w:bCs/>
          <w:sz w:val="28"/>
          <w:szCs w:val="28"/>
          <w:lang w:val="en-GB"/>
        </w:rPr>
      </w:pPr>
    </w:p>
    <w:p w14:paraId="61BF1809" w14:textId="77777777" w:rsidR="007F07B9" w:rsidRPr="00E954D6" w:rsidRDefault="007F07B9" w:rsidP="004A5F74">
      <w:pPr>
        <w:jc w:val="center"/>
        <w:rPr>
          <w:rFonts w:ascii="Arial" w:hAnsi="Arial" w:cs="Arial"/>
          <w:b/>
          <w:bCs/>
          <w:sz w:val="28"/>
          <w:szCs w:val="28"/>
          <w:lang w:val="en-GB"/>
        </w:rPr>
      </w:pPr>
    </w:p>
    <w:p w14:paraId="7B0A004F" w14:textId="77777777" w:rsidR="007F07B9" w:rsidRPr="00E954D6" w:rsidRDefault="007F07B9" w:rsidP="004A5F74">
      <w:pPr>
        <w:jc w:val="center"/>
        <w:rPr>
          <w:rFonts w:ascii="Arial" w:hAnsi="Arial" w:cs="Arial"/>
          <w:b/>
          <w:bCs/>
          <w:sz w:val="28"/>
          <w:szCs w:val="28"/>
          <w:lang w:val="en-GB"/>
        </w:rPr>
      </w:pPr>
    </w:p>
    <w:p w14:paraId="49BADE3F" w14:textId="2FDF20E8" w:rsidR="007F07B9" w:rsidRPr="00E954D6" w:rsidRDefault="007F07B9" w:rsidP="004A5F74">
      <w:pPr>
        <w:jc w:val="center"/>
        <w:rPr>
          <w:rFonts w:ascii="Arial" w:hAnsi="Arial" w:cs="Arial"/>
          <w:b/>
          <w:bCs/>
          <w:sz w:val="28"/>
          <w:szCs w:val="28"/>
          <w:lang w:val="en-GB"/>
        </w:rPr>
      </w:pPr>
      <w:r w:rsidRPr="00E954D6">
        <w:rPr>
          <w:rFonts w:ascii="Arial" w:hAnsi="Arial" w:cs="Arial"/>
          <w:b/>
          <w:bCs/>
          <w:sz w:val="28"/>
          <w:szCs w:val="28"/>
          <w:lang w:val="en-GB"/>
        </w:rPr>
        <w:t>Student Name</w:t>
      </w:r>
    </w:p>
    <w:p w14:paraId="20ECE0FE" w14:textId="3618D5B9" w:rsidR="007F07B9" w:rsidRPr="00E954D6" w:rsidRDefault="00F84CE4" w:rsidP="004A5F74">
      <w:pPr>
        <w:jc w:val="center"/>
        <w:rPr>
          <w:rFonts w:ascii="Arial" w:hAnsi="Arial" w:cs="Arial"/>
          <w:b/>
          <w:bCs/>
          <w:sz w:val="28"/>
          <w:szCs w:val="28"/>
          <w:lang w:val="en-GB"/>
        </w:rPr>
      </w:pPr>
      <w:r>
        <w:rPr>
          <w:rFonts w:ascii="Arial" w:hAnsi="Arial" w:cs="Arial"/>
          <w:b/>
          <w:bCs/>
          <w:sz w:val="28"/>
          <w:szCs w:val="28"/>
          <w:lang w:val="en-GB"/>
        </w:rPr>
        <w:t>Hafsa Gul</w:t>
      </w:r>
    </w:p>
    <w:p w14:paraId="3A803C67" w14:textId="1DFE362E" w:rsidR="007F07B9" w:rsidRPr="00E954D6" w:rsidRDefault="007F07B9" w:rsidP="004A5F74">
      <w:pPr>
        <w:jc w:val="center"/>
        <w:rPr>
          <w:rFonts w:ascii="Arial" w:hAnsi="Arial" w:cs="Arial"/>
          <w:b/>
          <w:bCs/>
          <w:sz w:val="28"/>
          <w:szCs w:val="28"/>
          <w:lang w:val="en-GB"/>
        </w:rPr>
      </w:pPr>
      <w:r w:rsidRPr="00E954D6">
        <w:rPr>
          <w:rFonts w:ascii="Arial" w:hAnsi="Arial" w:cs="Arial"/>
          <w:b/>
          <w:bCs/>
          <w:sz w:val="28"/>
          <w:szCs w:val="28"/>
          <w:lang w:val="en-GB"/>
        </w:rPr>
        <w:t>Student ID</w:t>
      </w:r>
    </w:p>
    <w:p w14:paraId="649A03DF" w14:textId="45E92A15" w:rsidR="007F07B9" w:rsidRPr="00E954D6" w:rsidRDefault="00F84CE4" w:rsidP="004A5F74">
      <w:pPr>
        <w:jc w:val="center"/>
        <w:rPr>
          <w:rFonts w:ascii="Arial" w:hAnsi="Arial" w:cs="Arial"/>
          <w:b/>
          <w:bCs/>
          <w:sz w:val="28"/>
          <w:szCs w:val="28"/>
          <w:lang w:val="en-GB"/>
        </w:rPr>
      </w:pPr>
      <w:r>
        <w:rPr>
          <w:rFonts w:ascii="Arial" w:hAnsi="Arial" w:cs="Arial"/>
          <w:b/>
          <w:bCs/>
          <w:sz w:val="28"/>
          <w:szCs w:val="28"/>
          <w:lang w:val="en-GB"/>
        </w:rPr>
        <w:t>2323803</w:t>
      </w:r>
    </w:p>
    <w:p w14:paraId="039374A8" w14:textId="1F20228D" w:rsidR="007F07B9" w:rsidRPr="00E954D6" w:rsidRDefault="00140EAE" w:rsidP="00140EAE">
      <w:pPr>
        <w:tabs>
          <w:tab w:val="left" w:pos="3885"/>
        </w:tabs>
        <w:rPr>
          <w:rFonts w:ascii="Arial" w:hAnsi="Arial" w:cs="Arial"/>
          <w:b/>
          <w:bCs/>
          <w:sz w:val="28"/>
          <w:szCs w:val="28"/>
          <w:lang w:val="en-GB"/>
        </w:rPr>
      </w:pPr>
      <w:r>
        <w:rPr>
          <w:rFonts w:ascii="Arial" w:hAnsi="Arial" w:cs="Arial"/>
          <w:b/>
          <w:bCs/>
          <w:sz w:val="28"/>
          <w:szCs w:val="28"/>
          <w:lang w:val="en-GB"/>
        </w:rPr>
        <w:tab/>
      </w:r>
    </w:p>
    <w:p w14:paraId="4AEF010F" w14:textId="77777777" w:rsidR="007F07B9" w:rsidRPr="00E954D6" w:rsidRDefault="007F07B9" w:rsidP="004A5F74">
      <w:pPr>
        <w:jc w:val="center"/>
        <w:rPr>
          <w:rFonts w:ascii="Arial" w:hAnsi="Arial" w:cs="Arial"/>
          <w:b/>
          <w:bCs/>
          <w:sz w:val="28"/>
          <w:szCs w:val="28"/>
          <w:lang w:val="en-GB"/>
        </w:rPr>
      </w:pPr>
    </w:p>
    <w:p w14:paraId="4E0886D9" w14:textId="3C714AA5" w:rsidR="007F07B9" w:rsidRPr="00E954D6" w:rsidRDefault="007F07B9" w:rsidP="004A5F74">
      <w:pPr>
        <w:jc w:val="center"/>
        <w:rPr>
          <w:rFonts w:ascii="Arial" w:hAnsi="Arial" w:cs="Arial"/>
          <w:b/>
          <w:bCs/>
          <w:sz w:val="28"/>
          <w:szCs w:val="28"/>
          <w:lang w:val="en-GB"/>
        </w:rPr>
      </w:pPr>
      <w:r w:rsidRPr="00E954D6">
        <w:rPr>
          <w:rFonts w:ascii="Arial" w:hAnsi="Arial" w:cs="Arial"/>
          <w:b/>
          <w:bCs/>
          <w:sz w:val="28"/>
          <w:szCs w:val="28"/>
          <w:lang w:val="en-GB"/>
        </w:rPr>
        <w:t>BSc Applied Computing</w:t>
      </w:r>
    </w:p>
    <w:p w14:paraId="382A09F9" w14:textId="77777777" w:rsidR="007F07B9" w:rsidRPr="00E954D6" w:rsidRDefault="007F07B9" w:rsidP="004A5F74">
      <w:pPr>
        <w:jc w:val="center"/>
        <w:rPr>
          <w:rFonts w:ascii="Arial" w:hAnsi="Arial" w:cs="Arial"/>
          <w:b/>
          <w:bCs/>
          <w:sz w:val="28"/>
          <w:szCs w:val="28"/>
          <w:lang w:val="en-GB"/>
        </w:rPr>
      </w:pPr>
    </w:p>
    <w:p w14:paraId="3FCD78D0" w14:textId="77777777" w:rsidR="007F07B9" w:rsidRPr="00E954D6" w:rsidRDefault="007F07B9" w:rsidP="004A5F74">
      <w:pPr>
        <w:jc w:val="center"/>
        <w:rPr>
          <w:rFonts w:ascii="Arial" w:hAnsi="Arial" w:cs="Arial"/>
          <w:b/>
          <w:bCs/>
          <w:sz w:val="28"/>
          <w:szCs w:val="28"/>
          <w:lang w:val="en-GB"/>
        </w:rPr>
      </w:pPr>
    </w:p>
    <w:p w14:paraId="53EE93A9" w14:textId="61495DCD" w:rsidR="007F07B9" w:rsidRPr="00E954D6" w:rsidRDefault="007F07B9" w:rsidP="004A5F74">
      <w:pPr>
        <w:jc w:val="center"/>
        <w:rPr>
          <w:rFonts w:ascii="Arial" w:hAnsi="Arial" w:cs="Arial"/>
          <w:b/>
          <w:bCs/>
          <w:sz w:val="28"/>
          <w:szCs w:val="28"/>
          <w:lang w:val="en-GB"/>
        </w:rPr>
      </w:pPr>
      <w:r w:rsidRPr="00E954D6">
        <w:rPr>
          <w:rFonts w:ascii="Arial" w:hAnsi="Arial" w:cs="Arial"/>
          <w:b/>
          <w:bCs/>
          <w:sz w:val="28"/>
          <w:szCs w:val="28"/>
          <w:lang w:val="en-GB"/>
        </w:rPr>
        <w:t>Submission Date:</w:t>
      </w:r>
    </w:p>
    <w:p w14:paraId="473F4F44" w14:textId="0D21C91B" w:rsidR="00C87A5F" w:rsidRPr="00E62193" w:rsidRDefault="00F84CE4" w:rsidP="00E62193">
      <w:pPr>
        <w:jc w:val="center"/>
        <w:rPr>
          <w:rFonts w:ascii="Arial" w:hAnsi="Arial" w:cs="Arial"/>
          <w:b/>
          <w:bCs/>
          <w:sz w:val="28"/>
          <w:szCs w:val="28"/>
          <w:lang w:val="en-GB"/>
        </w:rPr>
      </w:pPr>
      <w:r>
        <w:rPr>
          <w:rFonts w:ascii="Arial" w:hAnsi="Arial" w:cs="Arial"/>
          <w:b/>
          <w:bCs/>
          <w:sz w:val="28"/>
          <w:szCs w:val="28"/>
          <w:lang w:val="en-GB"/>
        </w:rPr>
        <w:t>10</w:t>
      </w:r>
      <w:r w:rsidR="007F07B9" w:rsidRPr="00E954D6">
        <w:rPr>
          <w:rFonts w:ascii="Arial" w:hAnsi="Arial" w:cs="Arial"/>
          <w:b/>
          <w:bCs/>
          <w:sz w:val="28"/>
          <w:szCs w:val="28"/>
          <w:lang w:val="en-GB"/>
        </w:rPr>
        <w:t>July 2026</w:t>
      </w:r>
    </w:p>
    <w:p w14:paraId="437F9A37" w14:textId="77777777" w:rsidR="001D05BF" w:rsidRDefault="001D05BF" w:rsidP="00E62193">
      <w:pPr>
        <w:jc w:val="center"/>
        <w:rPr>
          <w:rFonts w:ascii="Arial" w:hAnsi="Arial" w:cs="Arial"/>
          <w:b/>
          <w:bCs/>
          <w:sz w:val="20"/>
          <w:szCs w:val="20"/>
          <w:lang w:val="en-GB"/>
        </w:rPr>
      </w:pPr>
    </w:p>
    <w:p w14:paraId="2A476FD0" w14:textId="77777777" w:rsidR="001D05BF" w:rsidRDefault="001D05BF" w:rsidP="00E62193">
      <w:pPr>
        <w:jc w:val="center"/>
        <w:rPr>
          <w:rFonts w:ascii="Arial" w:hAnsi="Arial" w:cs="Arial"/>
          <w:b/>
          <w:bCs/>
          <w:sz w:val="20"/>
          <w:szCs w:val="20"/>
          <w:lang w:val="en-GB"/>
        </w:rPr>
      </w:pPr>
    </w:p>
    <w:p w14:paraId="3EB3E933" w14:textId="77777777" w:rsidR="001D05BF" w:rsidRDefault="001D05BF" w:rsidP="00E62193">
      <w:pPr>
        <w:jc w:val="center"/>
        <w:rPr>
          <w:rFonts w:ascii="Arial" w:hAnsi="Arial" w:cs="Arial"/>
          <w:b/>
          <w:bCs/>
          <w:sz w:val="20"/>
          <w:szCs w:val="20"/>
          <w:lang w:val="en-GB"/>
        </w:rPr>
      </w:pPr>
    </w:p>
    <w:p w14:paraId="613CE22E" w14:textId="77777777" w:rsidR="001D05BF" w:rsidRDefault="001D05BF" w:rsidP="00E62193">
      <w:pPr>
        <w:jc w:val="center"/>
        <w:rPr>
          <w:rFonts w:ascii="Arial" w:hAnsi="Arial" w:cs="Arial"/>
          <w:b/>
          <w:bCs/>
          <w:sz w:val="20"/>
          <w:szCs w:val="20"/>
          <w:lang w:val="en-GB"/>
        </w:rPr>
      </w:pPr>
    </w:p>
    <w:p w14:paraId="1ACCE2DA" w14:textId="1706216C" w:rsidR="00C91E4E" w:rsidRPr="00E954D6" w:rsidRDefault="00C91E4E" w:rsidP="00E62193">
      <w:pPr>
        <w:jc w:val="center"/>
        <w:rPr>
          <w:rFonts w:ascii="Arial" w:hAnsi="Arial" w:cs="Arial"/>
          <w:b/>
          <w:bCs/>
          <w:sz w:val="20"/>
          <w:szCs w:val="20"/>
          <w:lang w:val="en-GB"/>
        </w:rPr>
      </w:pPr>
      <w:r w:rsidRPr="00E954D6">
        <w:rPr>
          <w:rFonts w:ascii="Arial" w:hAnsi="Arial" w:cs="Arial"/>
          <w:b/>
          <w:bCs/>
          <w:sz w:val="20"/>
          <w:szCs w:val="20"/>
          <w:lang w:val="en-GB"/>
        </w:rPr>
        <w:t>TABLE OF CONTENTS</w:t>
      </w:r>
    </w:p>
    <w:p w14:paraId="41279212" w14:textId="77777777" w:rsidR="00C91E4E" w:rsidRPr="00E954D6" w:rsidRDefault="00C91E4E" w:rsidP="00E62193">
      <w:pPr>
        <w:rPr>
          <w:rFonts w:ascii="Arial" w:hAnsi="Arial" w:cs="Arial"/>
          <w:b/>
          <w:bCs/>
          <w:sz w:val="20"/>
          <w:szCs w:val="20"/>
          <w:lang w:val="en-GB"/>
        </w:rPr>
      </w:pPr>
    </w:p>
    <w:p w14:paraId="0D7B80DC" w14:textId="1D5F830B" w:rsidR="00C91E4E" w:rsidRPr="001D05BF" w:rsidRDefault="00C91E4E" w:rsidP="001D05BF">
      <w:pPr>
        <w:pStyle w:val="ListParagraph"/>
        <w:numPr>
          <w:ilvl w:val="0"/>
          <w:numId w:val="27"/>
        </w:numPr>
        <w:rPr>
          <w:rFonts w:ascii="Arial" w:hAnsi="Arial" w:cs="Arial"/>
          <w:b/>
          <w:bCs/>
          <w:sz w:val="20"/>
          <w:szCs w:val="20"/>
          <w:lang w:val="en-GB"/>
        </w:rPr>
      </w:pPr>
      <w:r w:rsidRPr="001D05BF">
        <w:rPr>
          <w:rFonts w:ascii="Arial" w:hAnsi="Arial" w:cs="Arial"/>
          <w:b/>
          <w:bCs/>
          <w:sz w:val="20"/>
          <w:szCs w:val="20"/>
          <w:lang w:val="en-GB"/>
        </w:rPr>
        <w:t>Introduction ...................................................</w:t>
      </w:r>
      <w:r w:rsidR="007E0A9C" w:rsidRPr="001D05BF">
        <w:rPr>
          <w:rFonts w:ascii="Arial" w:hAnsi="Arial" w:cs="Arial"/>
          <w:b/>
          <w:bCs/>
          <w:sz w:val="20"/>
          <w:szCs w:val="20"/>
          <w:lang w:val="en-GB"/>
        </w:rPr>
        <w:t>..................................................</w:t>
      </w:r>
      <w:r w:rsidR="00E62193" w:rsidRPr="001D05BF">
        <w:rPr>
          <w:rFonts w:ascii="Arial" w:hAnsi="Arial" w:cs="Arial"/>
          <w:b/>
          <w:bCs/>
          <w:sz w:val="20"/>
          <w:szCs w:val="20"/>
          <w:lang w:val="en-GB"/>
        </w:rPr>
        <w:t>...</w:t>
      </w:r>
      <w:r w:rsidR="007E0A9C" w:rsidRPr="001D05BF">
        <w:rPr>
          <w:rFonts w:ascii="Arial" w:hAnsi="Arial" w:cs="Arial"/>
          <w:b/>
          <w:bCs/>
          <w:sz w:val="20"/>
          <w:szCs w:val="20"/>
          <w:lang w:val="en-GB"/>
        </w:rPr>
        <w:t>.................................</w:t>
      </w:r>
      <w:r w:rsidR="005154B6">
        <w:rPr>
          <w:rFonts w:ascii="Arial" w:hAnsi="Arial" w:cs="Arial"/>
          <w:b/>
          <w:bCs/>
          <w:sz w:val="20"/>
          <w:szCs w:val="20"/>
          <w:lang w:val="en-GB"/>
        </w:rPr>
        <w:t>.................</w:t>
      </w:r>
      <w:r w:rsidR="007E0A9C" w:rsidRPr="001D05BF">
        <w:rPr>
          <w:rFonts w:ascii="Arial" w:hAnsi="Arial" w:cs="Arial"/>
          <w:b/>
          <w:bCs/>
          <w:sz w:val="20"/>
          <w:szCs w:val="20"/>
          <w:lang w:val="en-GB"/>
        </w:rPr>
        <w:t>..</w:t>
      </w:r>
      <w:r w:rsidRPr="001D05BF">
        <w:rPr>
          <w:rFonts w:ascii="Arial" w:hAnsi="Arial" w:cs="Arial"/>
          <w:b/>
          <w:bCs/>
          <w:sz w:val="20"/>
          <w:szCs w:val="20"/>
          <w:lang w:val="en-GB"/>
        </w:rPr>
        <w:t xml:space="preserve"> </w:t>
      </w:r>
      <w:r w:rsidR="00715771">
        <w:rPr>
          <w:rFonts w:ascii="Arial" w:hAnsi="Arial" w:cs="Arial"/>
          <w:b/>
          <w:bCs/>
          <w:sz w:val="20"/>
          <w:szCs w:val="20"/>
          <w:lang w:val="en-GB"/>
        </w:rPr>
        <w:t>4</w:t>
      </w:r>
    </w:p>
    <w:p w14:paraId="4DA7372A" w14:textId="77777777" w:rsidR="001D05BF" w:rsidRPr="001D05BF" w:rsidRDefault="001D05BF" w:rsidP="001D05BF">
      <w:pPr>
        <w:ind w:left="360"/>
        <w:rPr>
          <w:rFonts w:ascii="Arial" w:hAnsi="Arial" w:cs="Arial"/>
          <w:b/>
          <w:bCs/>
          <w:sz w:val="20"/>
          <w:szCs w:val="20"/>
          <w:lang w:val="en-GB"/>
        </w:rPr>
      </w:pPr>
    </w:p>
    <w:p w14:paraId="560B2BB2" w14:textId="6911CFDD" w:rsidR="00C91E4E" w:rsidRPr="00E954D6" w:rsidRDefault="005154B6" w:rsidP="00E62193">
      <w:pPr>
        <w:rPr>
          <w:rFonts w:ascii="Arial" w:hAnsi="Arial" w:cs="Arial"/>
          <w:b/>
          <w:bCs/>
          <w:sz w:val="20"/>
          <w:szCs w:val="20"/>
          <w:lang w:val="en-GB"/>
        </w:rPr>
      </w:pPr>
      <w:r>
        <w:rPr>
          <w:rFonts w:ascii="Arial" w:hAnsi="Arial" w:cs="Arial"/>
          <w:b/>
          <w:bCs/>
          <w:sz w:val="20"/>
          <w:szCs w:val="20"/>
          <w:lang w:val="en-GB"/>
        </w:rPr>
        <w:t xml:space="preserve">       </w:t>
      </w:r>
      <w:r w:rsidR="00C91E4E" w:rsidRPr="00E954D6">
        <w:rPr>
          <w:rFonts w:ascii="Arial" w:hAnsi="Arial" w:cs="Arial"/>
          <w:b/>
          <w:bCs/>
          <w:sz w:val="20"/>
          <w:szCs w:val="20"/>
          <w:lang w:val="en-GB"/>
        </w:rPr>
        <w:t xml:space="preserve">2. Task 1: Data Warehousing Concepts for NHS </w:t>
      </w:r>
      <w:r w:rsidR="00E62193">
        <w:rPr>
          <w:rFonts w:ascii="Arial" w:hAnsi="Arial" w:cs="Arial"/>
          <w:b/>
          <w:bCs/>
          <w:sz w:val="20"/>
          <w:szCs w:val="20"/>
          <w:lang w:val="en-GB"/>
        </w:rPr>
        <w:t xml:space="preserve"> </w:t>
      </w:r>
      <w:r w:rsidR="00C91E4E" w:rsidRPr="00E954D6">
        <w:rPr>
          <w:rFonts w:ascii="Arial" w:hAnsi="Arial" w:cs="Arial"/>
          <w:b/>
          <w:bCs/>
          <w:sz w:val="20"/>
          <w:szCs w:val="20"/>
          <w:lang w:val="en-GB"/>
        </w:rPr>
        <w:t>England......</w:t>
      </w:r>
      <w:r w:rsidR="007E0A9C" w:rsidRPr="00E954D6">
        <w:rPr>
          <w:rFonts w:ascii="Arial" w:hAnsi="Arial" w:cs="Arial"/>
          <w:b/>
          <w:bCs/>
          <w:sz w:val="20"/>
          <w:szCs w:val="20"/>
          <w:lang w:val="en-GB"/>
        </w:rPr>
        <w:t>...........................</w:t>
      </w:r>
      <w:r w:rsidR="00E62193">
        <w:rPr>
          <w:rFonts w:ascii="Arial" w:hAnsi="Arial" w:cs="Arial"/>
          <w:b/>
          <w:bCs/>
          <w:sz w:val="20"/>
          <w:szCs w:val="20"/>
          <w:lang w:val="en-GB"/>
        </w:rPr>
        <w:t>...</w:t>
      </w:r>
      <w:r w:rsidR="007E0A9C" w:rsidRPr="00E954D6">
        <w:rPr>
          <w:rFonts w:ascii="Arial" w:hAnsi="Arial" w:cs="Arial"/>
          <w:b/>
          <w:bCs/>
          <w:sz w:val="20"/>
          <w:szCs w:val="20"/>
          <w:lang w:val="en-GB"/>
        </w:rPr>
        <w:t>.............................</w:t>
      </w:r>
      <w:r>
        <w:rPr>
          <w:rFonts w:ascii="Arial" w:hAnsi="Arial" w:cs="Arial"/>
          <w:b/>
          <w:bCs/>
          <w:sz w:val="20"/>
          <w:szCs w:val="20"/>
          <w:lang w:val="en-GB"/>
        </w:rPr>
        <w:t>....................</w:t>
      </w:r>
      <w:r w:rsidR="007E0A9C" w:rsidRPr="00E954D6">
        <w:rPr>
          <w:rFonts w:ascii="Arial" w:hAnsi="Arial" w:cs="Arial"/>
          <w:b/>
          <w:bCs/>
          <w:sz w:val="20"/>
          <w:szCs w:val="20"/>
          <w:lang w:val="en-GB"/>
        </w:rPr>
        <w:t xml:space="preserve">.. </w:t>
      </w:r>
      <w:r w:rsidR="00715771">
        <w:rPr>
          <w:rFonts w:ascii="Arial" w:hAnsi="Arial" w:cs="Arial"/>
          <w:b/>
          <w:bCs/>
          <w:sz w:val="20"/>
          <w:szCs w:val="20"/>
          <w:lang w:val="en-GB"/>
        </w:rPr>
        <w:t>5</w:t>
      </w:r>
    </w:p>
    <w:p w14:paraId="05983937" w14:textId="3D03A632"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 xml:space="preserve">         </w:t>
      </w:r>
      <w:r w:rsidR="005154B6">
        <w:rPr>
          <w:rFonts w:ascii="Arial" w:hAnsi="Arial" w:cs="Arial"/>
          <w:b/>
          <w:bCs/>
          <w:sz w:val="20"/>
          <w:szCs w:val="20"/>
          <w:lang w:val="en-GB"/>
        </w:rPr>
        <w:tab/>
      </w:r>
      <w:r>
        <w:rPr>
          <w:rFonts w:ascii="Arial" w:hAnsi="Arial" w:cs="Arial"/>
          <w:b/>
          <w:bCs/>
          <w:sz w:val="20"/>
          <w:szCs w:val="20"/>
          <w:lang w:val="en-GB"/>
        </w:rPr>
        <w:t xml:space="preserve"> </w:t>
      </w:r>
      <w:r w:rsidR="00C91E4E" w:rsidRPr="00E954D6">
        <w:rPr>
          <w:rFonts w:ascii="Arial" w:hAnsi="Arial" w:cs="Arial"/>
          <w:b/>
          <w:bCs/>
          <w:sz w:val="20"/>
          <w:szCs w:val="20"/>
          <w:lang w:val="en-GB"/>
        </w:rPr>
        <w:t>2.1 OLTP vs Data Warehouse ..........................</w:t>
      </w:r>
      <w:r w:rsidR="007E0A9C" w:rsidRPr="00E954D6">
        <w:rPr>
          <w:rFonts w:ascii="Arial" w:hAnsi="Arial" w:cs="Arial"/>
          <w:b/>
          <w:bCs/>
          <w:sz w:val="20"/>
          <w:szCs w:val="20"/>
          <w:lang w:val="en-GB"/>
        </w:rPr>
        <w:t>.....................................................</w:t>
      </w:r>
      <w:r>
        <w:rPr>
          <w:rFonts w:ascii="Arial" w:hAnsi="Arial" w:cs="Arial"/>
          <w:b/>
          <w:bCs/>
          <w:sz w:val="20"/>
          <w:szCs w:val="20"/>
          <w:lang w:val="en-GB"/>
        </w:rPr>
        <w:t>.</w:t>
      </w:r>
      <w:r w:rsidR="007E0A9C" w:rsidRPr="00E954D6">
        <w:rPr>
          <w:rFonts w:ascii="Arial" w:hAnsi="Arial" w:cs="Arial"/>
          <w:b/>
          <w:bCs/>
          <w:sz w:val="20"/>
          <w:szCs w:val="20"/>
          <w:lang w:val="en-GB"/>
        </w:rPr>
        <w:t>......................</w:t>
      </w:r>
      <w:r w:rsidR="005154B6">
        <w:rPr>
          <w:rFonts w:ascii="Arial" w:hAnsi="Arial" w:cs="Arial"/>
          <w:b/>
          <w:bCs/>
          <w:sz w:val="20"/>
          <w:szCs w:val="20"/>
          <w:lang w:val="en-GB"/>
        </w:rPr>
        <w:t>...............</w:t>
      </w:r>
      <w:r w:rsidR="007E0A9C" w:rsidRPr="00E954D6">
        <w:rPr>
          <w:rFonts w:ascii="Arial" w:hAnsi="Arial" w:cs="Arial"/>
          <w:b/>
          <w:bCs/>
          <w:sz w:val="20"/>
          <w:szCs w:val="20"/>
          <w:lang w:val="en-GB"/>
        </w:rPr>
        <w:t xml:space="preserve">........ </w:t>
      </w:r>
      <w:r w:rsidR="00C91E4E" w:rsidRPr="00E954D6">
        <w:rPr>
          <w:rFonts w:ascii="Arial" w:hAnsi="Arial" w:cs="Arial"/>
          <w:b/>
          <w:bCs/>
          <w:sz w:val="20"/>
          <w:szCs w:val="20"/>
          <w:lang w:val="en-GB"/>
        </w:rPr>
        <w:t xml:space="preserve"> </w:t>
      </w:r>
      <w:r w:rsidR="00715771">
        <w:rPr>
          <w:rFonts w:ascii="Arial" w:hAnsi="Arial" w:cs="Arial"/>
          <w:b/>
          <w:bCs/>
          <w:sz w:val="20"/>
          <w:szCs w:val="20"/>
          <w:lang w:val="en-GB"/>
        </w:rPr>
        <w:t>5</w:t>
      </w:r>
    </w:p>
    <w:p w14:paraId="3BD79586" w14:textId="56E01C52"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Pr>
          <w:rFonts w:ascii="Arial" w:hAnsi="Arial" w:cs="Arial"/>
          <w:b/>
          <w:bCs/>
          <w:sz w:val="20"/>
          <w:szCs w:val="20"/>
          <w:lang w:val="en-GB"/>
        </w:rPr>
        <w:t xml:space="preserve"> </w:t>
      </w:r>
      <w:r w:rsidR="00C91E4E" w:rsidRPr="00E954D6">
        <w:rPr>
          <w:rFonts w:ascii="Arial" w:hAnsi="Arial" w:cs="Arial"/>
          <w:b/>
          <w:bCs/>
          <w:sz w:val="20"/>
          <w:szCs w:val="20"/>
          <w:lang w:val="en-GB"/>
        </w:rPr>
        <w:t xml:space="preserve">2.2 Data Warehouse Architecture and ETL </w:t>
      </w:r>
      <w:r>
        <w:rPr>
          <w:rFonts w:ascii="Arial" w:hAnsi="Arial" w:cs="Arial"/>
          <w:b/>
          <w:bCs/>
          <w:sz w:val="20"/>
          <w:szCs w:val="20"/>
          <w:lang w:val="en-GB"/>
        </w:rPr>
        <w:t>.</w:t>
      </w:r>
      <w:r w:rsidR="00C91E4E" w:rsidRPr="00E954D6">
        <w:rPr>
          <w:rFonts w:ascii="Arial" w:hAnsi="Arial" w:cs="Arial"/>
          <w:b/>
          <w:bCs/>
          <w:sz w:val="20"/>
          <w:szCs w:val="20"/>
          <w:lang w:val="en-GB"/>
        </w:rPr>
        <w:t>................</w:t>
      </w:r>
      <w:r w:rsidR="007E0A9C" w:rsidRPr="00E954D6">
        <w:rPr>
          <w:rFonts w:ascii="Arial" w:hAnsi="Arial" w:cs="Arial"/>
          <w:b/>
          <w:bCs/>
          <w:sz w:val="20"/>
          <w:szCs w:val="20"/>
          <w:lang w:val="en-GB"/>
        </w:rPr>
        <w:t>.................................................................</w:t>
      </w:r>
      <w:r w:rsidR="005154B6">
        <w:rPr>
          <w:rFonts w:ascii="Arial" w:hAnsi="Arial" w:cs="Arial"/>
          <w:b/>
          <w:bCs/>
          <w:sz w:val="20"/>
          <w:szCs w:val="20"/>
          <w:lang w:val="en-GB"/>
        </w:rPr>
        <w:t>...............</w:t>
      </w:r>
      <w:r w:rsidR="007E0A9C" w:rsidRPr="00E954D6">
        <w:rPr>
          <w:rFonts w:ascii="Arial" w:hAnsi="Arial" w:cs="Arial"/>
          <w:b/>
          <w:bCs/>
          <w:sz w:val="20"/>
          <w:szCs w:val="20"/>
          <w:lang w:val="en-GB"/>
        </w:rPr>
        <w:t xml:space="preserve">....... </w:t>
      </w:r>
      <w:r w:rsidR="00715771">
        <w:rPr>
          <w:rFonts w:ascii="Arial" w:hAnsi="Arial" w:cs="Arial"/>
          <w:b/>
          <w:bCs/>
          <w:sz w:val="20"/>
          <w:szCs w:val="20"/>
          <w:lang w:val="en-GB"/>
        </w:rPr>
        <w:t>6</w:t>
      </w:r>
    </w:p>
    <w:p w14:paraId="58900567" w14:textId="7C710552"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 xml:space="preserve">Figure 1: Proposed NHS England Data Warehouse Architecture </w:t>
      </w:r>
      <w:r w:rsidR="007E0A9C" w:rsidRPr="00E954D6">
        <w:rPr>
          <w:rFonts w:ascii="Arial" w:hAnsi="Arial" w:cs="Arial"/>
          <w:b/>
          <w:bCs/>
          <w:sz w:val="20"/>
          <w:szCs w:val="20"/>
          <w:lang w:val="en-GB"/>
        </w:rPr>
        <w:t>...................</w:t>
      </w:r>
      <w:r>
        <w:rPr>
          <w:rFonts w:ascii="Arial" w:hAnsi="Arial" w:cs="Arial"/>
          <w:b/>
          <w:bCs/>
          <w:sz w:val="20"/>
          <w:szCs w:val="20"/>
          <w:lang w:val="en-GB"/>
        </w:rPr>
        <w:t>.</w:t>
      </w:r>
      <w:r w:rsidR="007E0A9C" w:rsidRPr="00E954D6">
        <w:rPr>
          <w:rFonts w:ascii="Arial" w:hAnsi="Arial" w:cs="Arial"/>
          <w:b/>
          <w:bCs/>
          <w:sz w:val="20"/>
          <w:szCs w:val="20"/>
          <w:lang w:val="en-GB"/>
        </w:rPr>
        <w:t>...........................</w:t>
      </w:r>
      <w:r w:rsidR="005154B6">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 xml:space="preserve"> </w:t>
      </w:r>
      <w:r w:rsidR="006369D6">
        <w:rPr>
          <w:rFonts w:ascii="Arial" w:hAnsi="Arial" w:cs="Arial"/>
          <w:b/>
          <w:bCs/>
          <w:sz w:val="20"/>
          <w:szCs w:val="20"/>
          <w:lang w:val="en-GB"/>
        </w:rPr>
        <w:t>6</w:t>
      </w:r>
    </w:p>
    <w:p w14:paraId="282C2473" w14:textId="02F0BF28"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2.3 Data Marts for Management Decision-Making.........</w:t>
      </w:r>
      <w:r w:rsidR="007E0A9C" w:rsidRPr="00E954D6">
        <w:rPr>
          <w:rFonts w:ascii="Arial" w:hAnsi="Arial" w:cs="Arial"/>
          <w:b/>
          <w:bCs/>
          <w:sz w:val="20"/>
          <w:szCs w:val="20"/>
          <w:lang w:val="en-GB"/>
        </w:rPr>
        <w:t>.................................................................</w:t>
      </w:r>
      <w:r w:rsidR="005154B6">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 xml:space="preserve"> </w:t>
      </w:r>
      <w:r w:rsidR="0066512A">
        <w:rPr>
          <w:rFonts w:ascii="Arial" w:hAnsi="Arial" w:cs="Arial"/>
          <w:b/>
          <w:bCs/>
          <w:sz w:val="20"/>
          <w:szCs w:val="20"/>
          <w:lang w:val="en-GB"/>
        </w:rPr>
        <w:t>7</w:t>
      </w:r>
    </w:p>
    <w:p w14:paraId="407F160F" w14:textId="54385F45"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2.4 OLTP Normalisation vs Data Warehouse Dimensional Model</w:t>
      </w:r>
      <w:r>
        <w:rPr>
          <w:rFonts w:ascii="Arial" w:hAnsi="Arial" w:cs="Arial"/>
          <w:b/>
          <w:bCs/>
          <w:sz w:val="20"/>
          <w:szCs w:val="20"/>
          <w:lang w:val="en-GB"/>
        </w:rPr>
        <w:t>ing...</w:t>
      </w:r>
      <w:r w:rsidR="007E0A9C" w:rsidRPr="00E954D6">
        <w:rPr>
          <w:rFonts w:ascii="Arial" w:hAnsi="Arial" w:cs="Arial"/>
          <w:b/>
          <w:bCs/>
          <w:sz w:val="20"/>
          <w:szCs w:val="20"/>
          <w:lang w:val="en-GB"/>
        </w:rPr>
        <w:t>......................................</w:t>
      </w:r>
      <w:r w:rsidR="005154B6">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 xml:space="preserve"> </w:t>
      </w:r>
      <w:r w:rsidR="0066512A">
        <w:rPr>
          <w:rFonts w:ascii="Arial" w:hAnsi="Arial" w:cs="Arial"/>
          <w:b/>
          <w:bCs/>
          <w:sz w:val="20"/>
          <w:szCs w:val="20"/>
          <w:lang w:val="en-GB"/>
        </w:rPr>
        <w:t>8</w:t>
      </w:r>
    </w:p>
    <w:p w14:paraId="107DEA78" w14:textId="4A0FCF79"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C91E4E" w:rsidRPr="00E954D6">
        <w:rPr>
          <w:rFonts w:ascii="Arial" w:hAnsi="Arial" w:cs="Arial"/>
          <w:b/>
          <w:bCs/>
          <w:sz w:val="20"/>
          <w:szCs w:val="20"/>
          <w:lang w:val="en-GB"/>
        </w:rPr>
        <w:t>Table 1: Comparison of OLTP Normalisation an</w:t>
      </w:r>
      <w:r w:rsidR="007E0A9C" w:rsidRPr="00E954D6">
        <w:rPr>
          <w:rFonts w:ascii="Arial" w:hAnsi="Arial" w:cs="Arial"/>
          <w:b/>
          <w:bCs/>
          <w:sz w:val="20"/>
          <w:szCs w:val="20"/>
          <w:lang w:val="en-GB"/>
        </w:rPr>
        <w:t xml:space="preserve">d </w:t>
      </w:r>
      <w:r w:rsidR="00C91E4E" w:rsidRPr="00E954D6">
        <w:rPr>
          <w:rFonts w:ascii="Arial" w:hAnsi="Arial" w:cs="Arial"/>
          <w:b/>
          <w:bCs/>
          <w:sz w:val="20"/>
          <w:szCs w:val="20"/>
          <w:lang w:val="en-GB"/>
        </w:rPr>
        <w:t>Dimensional Modelling.....................</w:t>
      </w:r>
      <w:r w:rsidR="007E0A9C" w:rsidRPr="00E954D6">
        <w:rPr>
          <w:rFonts w:ascii="Arial" w:hAnsi="Arial" w:cs="Arial"/>
          <w:b/>
          <w:bCs/>
          <w:sz w:val="20"/>
          <w:szCs w:val="20"/>
          <w:lang w:val="en-GB"/>
        </w:rPr>
        <w:t>......</w:t>
      </w:r>
      <w:r w:rsidR="005154B6">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 xml:space="preserve"> </w:t>
      </w:r>
      <w:r w:rsidR="0066512A">
        <w:rPr>
          <w:rFonts w:ascii="Arial" w:hAnsi="Arial" w:cs="Arial"/>
          <w:b/>
          <w:bCs/>
          <w:sz w:val="20"/>
          <w:szCs w:val="20"/>
          <w:lang w:val="en-GB"/>
        </w:rPr>
        <w:t>9</w:t>
      </w:r>
    </w:p>
    <w:p w14:paraId="4998B6C4" w14:textId="77777777" w:rsidR="00C91E4E" w:rsidRPr="00E954D6" w:rsidRDefault="00C91E4E" w:rsidP="00E62193">
      <w:pPr>
        <w:rPr>
          <w:rFonts w:ascii="Arial" w:hAnsi="Arial" w:cs="Arial"/>
          <w:b/>
          <w:bCs/>
          <w:sz w:val="20"/>
          <w:szCs w:val="20"/>
          <w:lang w:val="en-GB"/>
        </w:rPr>
      </w:pPr>
    </w:p>
    <w:p w14:paraId="02A84763" w14:textId="6CC683A6" w:rsidR="00C91E4E" w:rsidRPr="00E954D6" w:rsidRDefault="005154B6" w:rsidP="005154B6">
      <w:pPr>
        <w:rPr>
          <w:rFonts w:ascii="Arial" w:hAnsi="Arial" w:cs="Arial"/>
          <w:b/>
          <w:bCs/>
          <w:sz w:val="20"/>
          <w:szCs w:val="20"/>
          <w:lang w:val="en-GB"/>
        </w:rPr>
      </w:pPr>
      <w:r>
        <w:rPr>
          <w:rFonts w:ascii="Arial" w:hAnsi="Arial" w:cs="Arial"/>
          <w:b/>
          <w:bCs/>
          <w:sz w:val="20"/>
          <w:szCs w:val="20"/>
          <w:lang w:val="en-GB"/>
        </w:rPr>
        <w:t xml:space="preserve">   </w:t>
      </w:r>
      <w:r w:rsidR="00C91E4E" w:rsidRPr="00E954D6">
        <w:rPr>
          <w:rFonts w:ascii="Arial" w:hAnsi="Arial" w:cs="Arial"/>
          <w:b/>
          <w:bCs/>
          <w:sz w:val="20"/>
          <w:szCs w:val="20"/>
          <w:lang w:val="en-GB"/>
        </w:rPr>
        <w:t>3. Task 2: NHS England Data Warehouse Design .</w:t>
      </w:r>
      <w:r w:rsidR="00E62193">
        <w:rPr>
          <w:rFonts w:ascii="Arial" w:hAnsi="Arial" w:cs="Arial"/>
          <w:b/>
          <w:bCs/>
          <w:sz w:val="20"/>
          <w:szCs w:val="20"/>
          <w:lang w:val="en-GB"/>
        </w:rPr>
        <w:t>.</w:t>
      </w:r>
      <w:r w:rsidR="00C91E4E" w:rsidRPr="00E954D6">
        <w:rPr>
          <w:rFonts w:ascii="Arial" w:hAnsi="Arial" w:cs="Arial"/>
          <w:b/>
          <w:bCs/>
          <w:sz w:val="20"/>
          <w:szCs w:val="20"/>
          <w:lang w:val="en-GB"/>
        </w:rPr>
        <w:t>..........</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2B005A"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 xml:space="preserve"> </w:t>
      </w:r>
      <w:r w:rsidR="0066512A">
        <w:rPr>
          <w:rFonts w:ascii="Arial" w:hAnsi="Arial" w:cs="Arial"/>
          <w:b/>
          <w:bCs/>
          <w:sz w:val="20"/>
          <w:szCs w:val="20"/>
          <w:lang w:val="en-GB"/>
        </w:rPr>
        <w:t>9</w:t>
      </w:r>
    </w:p>
    <w:p w14:paraId="0CC74DB3" w14:textId="66CBB1DB"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3.1 Source System Identification .....</w:t>
      </w:r>
      <w:r>
        <w:rPr>
          <w:rFonts w:ascii="Arial" w:hAnsi="Arial" w:cs="Arial"/>
          <w:b/>
          <w:bCs/>
          <w:sz w:val="20"/>
          <w:szCs w:val="20"/>
          <w:lang w:val="en-GB"/>
        </w:rPr>
        <w:t>....</w:t>
      </w:r>
      <w:r w:rsidR="00C91E4E" w:rsidRPr="00E954D6">
        <w:rPr>
          <w:rFonts w:ascii="Arial" w:hAnsi="Arial" w:cs="Arial"/>
          <w:b/>
          <w:bCs/>
          <w:sz w:val="20"/>
          <w:szCs w:val="20"/>
          <w:lang w:val="en-GB"/>
        </w:rPr>
        <w:t>..........</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 xml:space="preserve"> </w:t>
      </w:r>
      <w:r w:rsidR="0066512A">
        <w:rPr>
          <w:rFonts w:ascii="Arial" w:hAnsi="Arial" w:cs="Arial"/>
          <w:b/>
          <w:bCs/>
          <w:sz w:val="20"/>
          <w:szCs w:val="20"/>
          <w:lang w:val="en-GB"/>
        </w:rPr>
        <w:t>9</w:t>
      </w:r>
    </w:p>
    <w:p w14:paraId="54FC905D" w14:textId="2B39A958"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C91E4E" w:rsidRPr="00E954D6">
        <w:rPr>
          <w:rFonts w:ascii="Arial" w:hAnsi="Arial" w:cs="Arial"/>
          <w:b/>
          <w:bCs/>
          <w:sz w:val="20"/>
          <w:szCs w:val="20"/>
          <w:lang w:val="en-GB"/>
        </w:rPr>
        <w:t>Table 2: NHS England Source Systems ..........</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w:t>
      </w:r>
      <w:r w:rsidR="0066512A">
        <w:rPr>
          <w:rFonts w:ascii="Arial" w:hAnsi="Arial" w:cs="Arial"/>
          <w:b/>
          <w:bCs/>
          <w:sz w:val="20"/>
          <w:szCs w:val="20"/>
          <w:lang w:val="en-GB"/>
        </w:rPr>
        <w:t>10</w:t>
      </w:r>
    </w:p>
    <w:p w14:paraId="783B236D" w14:textId="1B4C5FF7"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3.2 Star Schema Design ..........................</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66512A">
        <w:rPr>
          <w:rFonts w:ascii="Arial" w:hAnsi="Arial" w:cs="Arial"/>
          <w:b/>
          <w:bCs/>
          <w:sz w:val="20"/>
          <w:szCs w:val="20"/>
          <w:lang w:val="en-GB"/>
        </w:rPr>
        <w:t>.11</w:t>
      </w:r>
    </w:p>
    <w:p w14:paraId="0FCB13D9" w14:textId="42C5DC2C"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C91E4E" w:rsidRPr="00E954D6">
        <w:rPr>
          <w:rFonts w:ascii="Arial" w:hAnsi="Arial" w:cs="Arial"/>
          <w:b/>
          <w:bCs/>
          <w:sz w:val="20"/>
          <w:szCs w:val="20"/>
          <w:lang w:val="en-GB"/>
        </w:rPr>
        <w:t>Figure 2: Proposed NHS England Star Schema Design ..</w:t>
      </w:r>
      <w:r>
        <w:rPr>
          <w:rFonts w:ascii="Arial" w:hAnsi="Arial" w:cs="Arial"/>
          <w:b/>
          <w:bCs/>
          <w:sz w:val="20"/>
          <w:szCs w:val="20"/>
          <w:lang w:val="en-GB"/>
        </w:rPr>
        <w:t>.</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66512A">
        <w:rPr>
          <w:rFonts w:ascii="Arial" w:hAnsi="Arial" w:cs="Arial"/>
          <w:b/>
          <w:bCs/>
          <w:sz w:val="20"/>
          <w:szCs w:val="20"/>
          <w:lang w:val="en-GB"/>
        </w:rPr>
        <w:t>.</w:t>
      </w:r>
      <w:r w:rsidR="00C91E4E" w:rsidRPr="00E954D6">
        <w:rPr>
          <w:rFonts w:ascii="Arial" w:hAnsi="Arial" w:cs="Arial"/>
          <w:b/>
          <w:bCs/>
          <w:sz w:val="20"/>
          <w:szCs w:val="20"/>
          <w:lang w:val="en-GB"/>
        </w:rPr>
        <w:t xml:space="preserve"> </w:t>
      </w:r>
      <w:r w:rsidR="0066512A">
        <w:rPr>
          <w:rFonts w:ascii="Arial" w:hAnsi="Arial" w:cs="Arial"/>
          <w:b/>
          <w:bCs/>
          <w:sz w:val="20"/>
          <w:szCs w:val="20"/>
          <w:lang w:val="en-GB"/>
        </w:rPr>
        <w:t>11</w:t>
      </w:r>
    </w:p>
    <w:p w14:paraId="7CC51A0F" w14:textId="0DD06711"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 xml:space="preserve">3.3 Data Marts and Schema </w:t>
      </w:r>
      <w:r>
        <w:rPr>
          <w:rFonts w:ascii="Arial" w:hAnsi="Arial" w:cs="Arial"/>
          <w:b/>
          <w:bCs/>
          <w:sz w:val="20"/>
          <w:szCs w:val="20"/>
          <w:lang w:val="en-GB"/>
        </w:rPr>
        <w:t>.</w:t>
      </w:r>
      <w:r w:rsidR="00C91E4E" w:rsidRPr="00E954D6">
        <w:rPr>
          <w:rFonts w:ascii="Arial" w:hAnsi="Arial" w:cs="Arial"/>
          <w:b/>
          <w:bCs/>
          <w:sz w:val="20"/>
          <w:szCs w:val="20"/>
          <w:lang w:val="en-GB"/>
        </w:rPr>
        <w:t>.....................</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w:t>
      </w:r>
      <w:r w:rsidR="0066512A">
        <w:rPr>
          <w:rFonts w:ascii="Arial" w:hAnsi="Arial" w:cs="Arial"/>
          <w:b/>
          <w:bCs/>
          <w:sz w:val="20"/>
          <w:szCs w:val="20"/>
          <w:lang w:val="en-GB"/>
        </w:rPr>
        <w:t>.</w:t>
      </w:r>
      <w:r w:rsidR="00C91E4E" w:rsidRPr="00E954D6">
        <w:rPr>
          <w:rFonts w:ascii="Arial" w:hAnsi="Arial" w:cs="Arial"/>
          <w:b/>
          <w:bCs/>
          <w:sz w:val="20"/>
          <w:szCs w:val="20"/>
          <w:lang w:val="en-GB"/>
        </w:rPr>
        <w:t>1</w:t>
      </w:r>
      <w:r w:rsidR="0066512A">
        <w:rPr>
          <w:rFonts w:ascii="Arial" w:hAnsi="Arial" w:cs="Arial"/>
          <w:b/>
          <w:bCs/>
          <w:sz w:val="20"/>
          <w:szCs w:val="20"/>
          <w:lang w:val="en-GB"/>
        </w:rPr>
        <w:t>2</w:t>
      </w:r>
    </w:p>
    <w:p w14:paraId="6D02CEA4" w14:textId="417ACDB8" w:rsidR="00D14929"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D14929" w:rsidRPr="00E954D6">
        <w:rPr>
          <w:rFonts w:ascii="Arial" w:hAnsi="Arial" w:cs="Arial"/>
          <w:b/>
          <w:bCs/>
          <w:sz w:val="20"/>
          <w:szCs w:val="20"/>
          <w:lang w:val="en-GB"/>
        </w:rPr>
        <w:t xml:space="preserve">Table 3: NHS England Data Marts and Their Purpose </w:t>
      </w:r>
      <w:r>
        <w:rPr>
          <w:rFonts w:ascii="Arial" w:hAnsi="Arial" w:cs="Arial"/>
          <w:b/>
          <w:bCs/>
          <w:sz w:val="20"/>
          <w:szCs w:val="20"/>
          <w:lang w:val="en-GB"/>
        </w:rPr>
        <w:t xml:space="preserve">  </w:t>
      </w:r>
      <w:r w:rsidR="00D14929" w:rsidRPr="00E954D6">
        <w:rPr>
          <w:rFonts w:ascii="Arial" w:hAnsi="Arial" w:cs="Arial"/>
          <w:b/>
          <w:bCs/>
          <w:sz w:val="20"/>
          <w:szCs w:val="20"/>
          <w:lang w:val="en-GB"/>
        </w:rPr>
        <w:t>...........................................................</w:t>
      </w:r>
      <w:r w:rsidR="002B005A">
        <w:rPr>
          <w:rFonts w:ascii="Arial" w:hAnsi="Arial" w:cs="Arial"/>
          <w:b/>
          <w:bCs/>
          <w:sz w:val="20"/>
          <w:szCs w:val="20"/>
          <w:lang w:val="en-GB"/>
        </w:rPr>
        <w:t>........</w:t>
      </w:r>
      <w:r w:rsidR="00D14929" w:rsidRPr="00E954D6">
        <w:rPr>
          <w:rFonts w:ascii="Arial" w:hAnsi="Arial" w:cs="Arial"/>
          <w:b/>
          <w:bCs/>
          <w:sz w:val="20"/>
          <w:szCs w:val="20"/>
          <w:lang w:val="en-GB"/>
        </w:rPr>
        <w:t>..</w:t>
      </w:r>
      <w:r w:rsidR="00EB5D4A">
        <w:rPr>
          <w:rFonts w:ascii="Arial" w:hAnsi="Arial" w:cs="Arial"/>
          <w:b/>
          <w:bCs/>
          <w:sz w:val="20"/>
          <w:szCs w:val="20"/>
          <w:lang w:val="en-GB"/>
        </w:rPr>
        <w:t>.</w:t>
      </w:r>
      <w:r w:rsidR="00D14929" w:rsidRPr="00E954D6">
        <w:rPr>
          <w:rFonts w:ascii="Arial" w:hAnsi="Arial" w:cs="Arial"/>
          <w:b/>
          <w:bCs/>
          <w:sz w:val="20"/>
          <w:szCs w:val="20"/>
          <w:lang w:val="en-GB"/>
        </w:rPr>
        <w:t>. 1</w:t>
      </w:r>
      <w:r w:rsidR="0066512A">
        <w:rPr>
          <w:rFonts w:ascii="Arial" w:hAnsi="Arial" w:cs="Arial"/>
          <w:b/>
          <w:bCs/>
          <w:sz w:val="20"/>
          <w:szCs w:val="20"/>
          <w:lang w:val="en-GB"/>
        </w:rPr>
        <w:t>2</w:t>
      </w:r>
    </w:p>
    <w:p w14:paraId="1467808F" w14:textId="25206BC9"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C91E4E" w:rsidRPr="00E954D6">
        <w:rPr>
          <w:rFonts w:ascii="Arial" w:hAnsi="Arial" w:cs="Arial"/>
          <w:b/>
          <w:bCs/>
          <w:sz w:val="20"/>
          <w:szCs w:val="20"/>
          <w:lang w:val="en-GB"/>
        </w:rPr>
        <w:t>Figure 3: Proposed NHS England Data Mart Architecture</w:t>
      </w:r>
      <w:r>
        <w:rPr>
          <w:rFonts w:ascii="Arial" w:hAnsi="Arial" w:cs="Arial"/>
          <w:b/>
          <w:bCs/>
          <w:sz w:val="20"/>
          <w:szCs w:val="20"/>
          <w:lang w:val="en-GB"/>
        </w:rPr>
        <w:t>..</w:t>
      </w:r>
      <w:r w:rsidR="007E0A9C" w:rsidRPr="00E954D6">
        <w:rPr>
          <w:rFonts w:ascii="Arial" w:hAnsi="Arial" w:cs="Arial"/>
          <w:b/>
          <w:bCs/>
          <w:sz w:val="20"/>
          <w:szCs w:val="20"/>
          <w:lang w:val="en-GB"/>
        </w:rPr>
        <w:t>....................................................</w:t>
      </w:r>
      <w:r w:rsidR="002B005A">
        <w:rPr>
          <w:rFonts w:ascii="Arial" w:hAnsi="Arial" w:cs="Arial"/>
          <w:b/>
          <w:bCs/>
          <w:sz w:val="20"/>
          <w:szCs w:val="20"/>
          <w:lang w:val="en-GB"/>
        </w:rPr>
        <w:t>.......</w:t>
      </w:r>
      <w:r w:rsidR="007E0A9C" w:rsidRPr="00E954D6">
        <w:rPr>
          <w:rFonts w:ascii="Arial" w:hAnsi="Arial" w:cs="Arial"/>
          <w:b/>
          <w:bCs/>
          <w:sz w:val="20"/>
          <w:szCs w:val="20"/>
          <w:lang w:val="en-GB"/>
        </w:rPr>
        <w:t>.</w:t>
      </w:r>
      <w:r w:rsidR="00C91E4E" w:rsidRPr="00E954D6">
        <w:rPr>
          <w:rFonts w:ascii="Arial" w:hAnsi="Arial" w:cs="Arial"/>
          <w:b/>
          <w:bCs/>
          <w:sz w:val="20"/>
          <w:szCs w:val="20"/>
          <w:lang w:val="en-GB"/>
        </w:rPr>
        <w:t>..</w:t>
      </w:r>
      <w:r w:rsidR="00EB5D4A">
        <w:rPr>
          <w:rFonts w:ascii="Arial" w:hAnsi="Arial" w:cs="Arial"/>
          <w:b/>
          <w:bCs/>
          <w:sz w:val="20"/>
          <w:szCs w:val="20"/>
          <w:lang w:val="en-GB"/>
        </w:rPr>
        <w:t>.</w:t>
      </w:r>
      <w:r w:rsidR="00C91E4E" w:rsidRPr="00E954D6">
        <w:rPr>
          <w:rFonts w:ascii="Arial" w:hAnsi="Arial" w:cs="Arial"/>
          <w:b/>
          <w:bCs/>
          <w:sz w:val="20"/>
          <w:szCs w:val="20"/>
          <w:lang w:val="en-GB"/>
        </w:rPr>
        <w:t>.</w:t>
      </w:r>
      <w:r w:rsidR="0066512A">
        <w:rPr>
          <w:rFonts w:ascii="Arial" w:hAnsi="Arial" w:cs="Arial"/>
          <w:b/>
          <w:bCs/>
          <w:sz w:val="20"/>
          <w:szCs w:val="20"/>
          <w:lang w:val="en-GB"/>
        </w:rPr>
        <w:t>.</w:t>
      </w:r>
      <w:r w:rsidR="00C91E4E" w:rsidRPr="00E954D6">
        <w:rPr>
          <w:rFonts w:ascii="Arial" w:hAnsi="Arial" w:cs="Arial"/>
          <w:b/>
          <w:bCs/>
          <w:sz w:val="20"/>
          <w:szCs w:val="20"/>
          <w:lang w:val="en-GB"/>
        </w:rPr>
        <w:t xml:space="preserve"> 1</w:t>
      </w:r>
      <w:r w:rsidR="0066512A">
        <w:rPr>
          <w:rFonts w:ascii="Arial" w:hAnsi="Arial" w:cs="Arial"/>
          <w:b/>
          <w:bCs/>
          <w:sz w:val="20"/>
          <w:szCs w:val="20"/>
          <w:lang w:val="en-GB"/>
        </w:rPr>
        <w:t>3</w:t>
      </w:r>
    </w:p>
    <w:p w14:paraId="61BBA1F3" w14:textId="72145CF6"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 xml:space="preserve">3.4 ETL Plan </w:t>
      </w:r>
      <w:r>
        <w:rPr>
          <w:rFonts w:ascii="Arial" w:hAnsi="Arial" w:cs="Arial"/>
          <w:b/>
          <w:bCs/>
          <w:sz w:val="20"/>
          <w:szCs w:val="20"/>
          <w:lang w:val="en-GB"/>
        </w:rPr>
        <w:t>………………..</w:t>
      </w:r>
      <w:r w:rsidR="00C91E4E" w:rsidRPr="00E954D6">
        <w:rPr>
          <w:rFonts w:ascii="Arial" w:hAnsi="Arial" w:cs="Arial"/>
          <w:b/>
          <w:bCs/>
          <w:sz w:val="20"/>
          <w:szCs w:val="20"/>
          <w:lang w:val="en-GB"/>
        </w:rPr>
        <w:t>............</w:t>
      </w:r>
      <w:r w:rsidR="00D14929" w:rsidRPr="00E954D6">
        <w:rPr>
          <w:rFonts w:ascii="Arial" w:hAnsi="Arial" w:cs="Arial"/>
          <w:b/>
          <w:bCs/>
          <w:sz w:val="20"/>
          <w:szCs w:val="20"/>
          <w:lang w:val="en-GB"/>
        </w:rPr>
        <w:t>................................................................................................</w:t>
      </w:r>
      <w:r w:rsidR="002B005A">
        <w:rPr>
          <w:rFonts w:ascii="Arial" w:hAnsi="Arial" w:cs="Arial"/>
          <w:b/>
          <w:bCs/>
          <w:sz w:val="20"/>
          <w:szCs w:val="20"/>
          <w:lang w:val="en-GB"/>
        </w:rPr>
        <w:t>...................</w:t>
      </w:r>
      <w:r w:rsidR="00D14929" w:rsidRPr="00E954D6">
        <w:rPr>
          <w:rFonts w:ascii="Arial" w:hAnsi="Arial" w:cs="Arial"/>
          <w:b/>
          <w:bCs/>
          <w:sz w:val="20"/>
          <w:szCs w:val="20"/>
          <w:lang w:val="en-GB"/>
        </w:rPr>
        <w:t>..</w:t>
      </w:r>
      <w:r w:rsidR="00C91E4E" w:rsidRPr="00E954D6">
        <w:rPr>
          <w:rFonts w:ascii="Arial" w:hAnsi="Arial" w:cs="Arial"/>
          <w:b/>
          <w:bCs/>
          <w:sz w:val="20"/>
          <w:szCs w:val="20"/>
          <w:lang w:val="en-GB"/>
        </w:rPr>
        <w:t>. 1</w:t>
      </w:r>
      <w:r w:rsidR="0066512A">
        <w:rPr>
          <w:rFonts w:ascii="Arial" w:hAnsi="Arial" w:cs="Arial"/>
          <w:b/>
          <w:bCs/>
          <w:sz w:val="20"/>
          <w:szCs w:val="20"/>
          <w:lang w:val="en-GB"/>
        </w:rPr>
        <w:t>5</w:t>
      </w:r>
    </w:p>
    <w:p w14:paraId="7640C35C" w14:textId="0B2A7D0A"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C91E4E" w:rsidRPr="00E954D6">
        <w:rPr>
          <w:rFonts w:ascii="Arial" w:hAnsi="Arial" w:cs="Arial"/>
          <w:b/>
          <w:bCs/>
          <w:sz w:val="20"/>
          <w:szCs w:val="20"/>
          <w:lang w:val="en-GB"/>
        </w:rPr>
        <w:t>Figure 4: Proposed NHS England ETL Process Workflow</w:t>
      </w:r>
      <w:r>
        <w:rPr>
          <w:rFonts w:ascii="Arial" w:hAnsi="Arial" w:cs="Arial"/>
          <w:b/>
          <w:bCs/>
          <w:sz w:val="20"/>
          <w:szCs w:val="20"/>
          <w:lang w:val="en-GB"/>
        </w:rPr>
        <w:t>.</w:t>
      </w:r>
      <w:r w:rsidR="00D14929" w:rsidRPr="00E954D6">
        <w:rPr>
          <w:rFonts w:ascii="Arial" w:hAnsi="Arial" w:cs="Arial"/>
          <w:b/>
          <w:bCs/>
          <w:sz w:val="20"/>
          <w:szCs w:val="20"/>
          <w:lang w:val="en-GB"/>
        </w:rPr>
        <w:t>......................................................</w:t>
      </w:r>
      <w:r w:rsidR="00C91E4E" w:rsidRPr="00E954D6">
        <w:rPr>
          <w:rFonts w:ascii="Arial" w:hAnsi="Arial" w:cs="Arial"/>
          <w:b/>
          <w:bCs/>
          <w:sz w:val="20"/>
          <w:szCs w:val="20"/>
          <w:lang w:val="en-GB"/>
        </w:rPr>
        <w:t>.</w:t>
      </w:r>
      <w:r w:rsidR="00EB5D4A">
        <w:rPr>
          <w:rFonts w:ascii="Arial" w:hAnsi="Arial" w:cs="Arial"/>
          <w:b/>
          <w:bCs/>
          <w:sz w:val="20"/>
          <w:szCs w:val="20"/>
          <w:lang w:val="en-GB"/>
        </w:rPr>
        <w:t>..........</w:t>
      </w:r>
      <w:r w:rsidR="00C91E4E" w:rsidRPr="00E954D6">
        <w:rPr>
          <w:rFonts w:ascii="Arial" w:hAnsi="Arial" w:cs="Arial"/>
          <w:b/>
          <w:bCs/>
          <w:sz w:val="20"/>
          <w:szCs w:val="20"/>
          <w:lang w:val="en-GB"/>
        </w:rPr>
        <w:t xml:space="preserve"> 1</w:t>
      </w:r>
      <w:r w:rsidR="0066512A">
        <w:rPr>
          <w:rFonts w:ascii="Arial" w:hAnsi="Arial" w:cs="Arial"/>
          <w:b/>
          <w:bCs/>
          <w:sz w:val="20"/>
          <w:szCs w:val="20"/>
          <w:lang w:val="en-GB"/>
        </w:rPr>
        <w:t>5</w:t>
      </w:r>
    </w:p>
    <w:p w14:paraId="2D93A9B1" w14:textId="46D815F0"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C91E4E" w:rsidRPr="00E954D6">
        <w:rPr>
          <w:rFonts w:ascii="Arial" w:hAnsi="Arial" w:cs="Arial"/>
          <w:b/>
          <w:bCs/>
          <w:sz w:val="20"/>
          <w:szCs w:val="20"/>
          <w:lang w:val="en-GB"/>
        </w:rPr>
        <w:t>3.5 Data Quality and Governance</w:t>
      </w:r>
      <w:r>
        <w:rPr>
          <w:rFonts w:ascii="Arial" w:hAnsi="Arial" w:cs="Arial"/>
          <w:b/>
          <w:bCs/>
          <w:sz w:val="20"/>
          <w:szCs w:val="20"/>
          <w:lang w:val="en-GB"/>
        </w:rPr>
        <w:t>……..</w:t>
      </w:r>
      <w:r w:rsidR="00C91E4E" w:rsidRPr="00E954D6">
        <w:rPr>
          <w:rFonts w:ascii="Arial" w:hAnsi="Arial" w:cs="Arial"/>
          <w:b/>
          <w:bCs/>
          <w:sz w:val="20"/>
          <w:szCs w:val="20"/>
          <w:lang w:val="en-GB"/>
        </w:rPr>
        <w:t>......</w:t>
      </w:r>
      <w:r w:rsidR="00D14929" w:rsidRPr="00E954D6">
        <w:rPr>
          <w:rFonts w:ascii="Arial" w:hAnsi="Arial" w:cs="Arial"/>
          <w:b/>
          <w:bCs/>
          <w:sz w:val="20"/>
          <w:szCs w:val="20"/>
          <w:lang w:val="en-GB"/>
        </w:rPr>
        <w:t>...................................................................................</w:t>
      </w:r>
      <w:r w:rsidR="00C91E4E" w:rsidRPr="00E954D6">
        <w:rPr>
          <w:rFonts w:ascii="Arial" w:hAnsi="Arial" w:cs="Arial"/>
          <w:b/>
          <w:bCs/>
          <w:sz w:val="20"/>
          <w:szCs w:val="20"/>
          <w:lang w:val="en-GB"/>
        </w:rPr>
        <w:t>.</w:t>
      </w:r>
      <w:r w:rsidR="00EB5D4A">
        <w:rPr>
          <w:rFonts w:ascii="Arial" w:hAnsi="Arial" w:cs="Arial"/>
          <w:b/>
          <w:bCs/>
          <w:sz w:val="20"/>
          <w:szCs w:val="20"/>
          <w:lang w:val="en-GB"/>
        </w:rPr>
        <w:t>...................</w:t>
      </w:r>
      <w:r w:rsidR="00C91E4E" w:rsidRPr="00E954D6">
        <w:rPr>
          <w:rFonts w:ascii="Arial" w:hAnsi="Arial" w:cs="Arial"/>
          <w:b/>
          <w:bCs/>
          <w:sz w:val="20"/>
          <w:szCs w:val="20"/>
          <w:lang w:val="en-GB"/>
        </w:rPr>
        <w:t>. 1</w:t>
      </w:r>
      <w:r w:rsidR="0066512A">
        <w:rPr>
          <w:rFonts w:ascii="Arial" w:hAnsi="Arial" w:cs="Arial"/>
          <w:b/>
          <w:bCs/>
          <w:sz w:val="20"/>
          <w:szCs w:val="20"/>
          <w:lang w:val="en-GB"/>
        </w:rPr>
        <w:t>7</w:t>
      </w:r>
    </w:p>
    <w:p w14:paraId="14E1BC27" w14:textId="5006977B" w:rsidR="00C91E4E" w:rsidRPr="00E954D6" w:rsidRDefault="00E62193" w:rsidP="00E62193">
      <w:pPr>
        <w:rPr>
          <w:rFonts w:ascii="Arial" w:hAnsi="Arial" w:cs="Arial"/>
          <w:b/>
          <w:bCs/>
          <w:sz w:val="20"/>
          <w:szCs w:val="20"/>
          <w:lang w:val="en-GB"/>
        </w:rPr>
      </w:pPr>
      <w:r>
        <w:rPr>
          <w:rFonts w:ascii="Arial" w:hAnsi="Arial" w:cs="Arial"/>
          <w:b/>
          <w:bCs/>
          <w:sz w:val="20"/>
          <w:szCs w:val="20"/>
          <w:lang w:val="en-GB"/>
        </w:rPr>
        <w:t xml:space="preserve">         </w:t>
      </w:r>
      <w:r w:rsidR="005154B6">
        <w:rPr>
          <w:rFonts w:ascii="Arial" w:hAnsi="Arial" w:cs="Arial"/>
          <w:b/>
          <w:bCs/>
          <w:sz w:val="20"/>
          <w:szCs w:val="20"/>
          <w:lang w:val="en-GB"/>
        </w:rPr>
        <w:tab/>
      </w:r>
      <w:r w:rsidR="005154B6">
        <w:rPr>
          <w:rFonts w:ascii="Arial" w:hAnsi="Arial" w:cs="Arial"/>
          <w:b/>
          <w:bCs/>
          <w:sz w:val="20"/>
          <w:szCs w:val="20"/>
          <w:lang w:val="en-GB"/>
        </w:rPr>
        <w:tab/>
      </w:r>
      <w:r w:rsidR="00C91E4E" w:rsidRPr="00E954D6">
        <w:rPr>
          <w:rFonts w:ascii="Arial" w:hAnsi="Arial" w:cs="Arial"/>
          <w:b/>
          <w:bCs/>
          <w:sz w:val="20"/>
          <w:szCs w:val="20"/>
          <w:lang w:val="en-GB"/>
        </w:rPr>
        <w:t>Table 4: Data Quality Issues and Mitigation Strategies</w:t>
      </w:r>
      <w:r w:rsidR="00D14929" w:rsidRPr="00E954D6">
        <w:rPr>
          <w:rFonts w:ascii="Arial" w:hAnsi="Arial" w:cs="Arial"/>
          <w:b/>
          <w:bCs/>
          <w:sz w:val="20"/>
          <w:szCs w:val="20"/>
          <w:lang w:val="en-GB"/>
        </w:rPr>
        <w:t>...</w:t>
      </w:r>
      <w:r>
        <w:rPr>
          <w:rFonts w:ascii="Arial" w:hAnsi="Arial" w:cs="Arial"/>
          <w:b/>
          <w:bCs/>
          <w:sz w:val="20"/>
          <w:szCs w:val="20"/>
          <w:lang w:val="en-GB"/>
        </w:rPr>
        <w:t>......</w:t>
      </w:r>
      <w:r w:rsidR="00D14929" w:rsidRPr="00E954D6">
        <w:rPr>
          <w:rFonts w:ascii="Arial" w:hAnsi="Arial" w:cs="Arial"/>
          <w:b/>
          <w:bCs/>
          <w:sz w:val="20"/>
          <w:szCs w:val="20"/>
          <w:lang w:val="en-GB"/>
        </w:rPr>
        <w:t>.................................................</w:t>
      </w:r>
      <w:r w:rsidR="00EB5D4A">
        <w:rPr>
          <w:rFonts w:ascii="Arial" w:hAnsi="Arial" w:cs="Arial"/>
          <w:b/>
          <w:bCs/>
          <w:sz w:val="20"/>
          <w:szCs w:val="20"/>
          <w:lang w:val="en-GB"/>
        </w:rPr>
        <w:t>..........</w:t>
      </w:r>
      <w:r w:rsidR="00C91E4E" w:rsidRPr="00E954D6">
        <w:rPr>
          <w:rFonts w:ascii="Arial" w:hAnsi="Arial" w:cs="Arial"/>
          <w:b/>
          <w:bCs/>
          <w:sz w:val="20"/>
          <w:szCs w:val="20"/>
          <w:lang w:val="en-GB"/>
        </w:rPr>
        <w:t>... 1</w:t>
      </w:r>
      <w:r w:rsidR="0066512A">
        <w:rPr>
          <w:rFonts w:ascii="Arial" w:hAnsi="Arial" w:cs="Arial"/>
          <w:b/>
          <w:bCs/>
          <w:sz w:val="20"/>
          <w:szCs w:val="20"/>
          <w:lang w:val="en-GB"/>
        </w:rPr>
        <w:t>7</w:t>
      </w:r>
    </w:p>
    <w:p w14:paraId="32FBD745" w14:textId="77777777" w:rsidR="00C91E4E" w:rsidRPr="00E954D6" w:rsidRDefault="00C91E4E" w:rsidP="00E62193">
      <w:pPr>
        <w:rPr>
          <w:rFonts w:ascii="Arial" w:hAnsi="Arial" w:cs="Arial"/>
          <w:b/>
          <w:bCs/>
          <w:sz w:val="20"/>
          <w:szCs w:val="20"/>
          <w:lang w:val="en-GB"/>
        </w:rPr>
      </w:pPr>
    </w:p>
    <w:p w14:paraId="027E4744" w14:textId="14797E52" w:rsidR="00C91E4E" w:rsidRPr="00E954D6" w:rsidRDefault="005154B6" w:rsidP="00E62193">
      <w:pPr>
        <w:rPr>
          <w:rFonts w:ascii="Arial" w:hAnsi="Arial" w:cs="Arial"/>
          <w:b/>
          <w:bCs/>
          <w:sz w:val="20"/>
          <w:szCs w:val="20"/>
          <w:lang w:val="en-GB"/>
        </w:rPr>
      </w:pPr>
      <w:r>
        <w:rPr>
          <w:rFonts w:ascii="Arial" w:hAnsi="Arial" w:cs="Arial"/>
          <w:b/>
          <w:bCs/>
          <w:sz w:val="20"/>
          <w:szCs w:val="20"/>
          <w:lang w:val="en-GB"/>
        </w:rPr>
        <w:t xml:space="preserve">  </w:t>
      </w:r>
      <w:r w:rsidR="00C91E4E" w:rsidRPr="00E954D6">
        <w:rPr>
          <w:rFonts w:ascii="Arial" w:hAnsi="Arial" w:cs="Arial"/>
          <w:b/>
          <w:bCs/>
          <w:sz w:val="20"/>
          <w:szCs w:val="20"/>
          <w:lang w:val="en-GB"/>
        </w:rPr>
        <w:t>4. Conclusion..................</w:t>
      </w:r>
      <w:r w:rsidR="00E62193">
        <w:rPr>
          <w:rFonts w:ascii="Arial" w:hAnsi="Arial" w:cs="Arial"/>
          <w:b/>
          <w:bCs/>
          <w:sz w:val="20"/>
          <w:szCs w:val="20"/>
          <w:lang w:val="en-GB"/>
        </w:rPr>
        <w:t>................</w:t>
      </w:r>
      <w:r w:rsidR="00C91E4E" w:rsidRPr="00E954D6">
        <w:rPr>
          <w:rFonts w:ascii="Arial" w:hAnsi="Arial" w:cs="Arial"/>
          <w:b/>
          <w:bCs/>
          <w:sz w:val="20"/>
          <w:szCs w:val="20"/>
          <w:lang w:val="en-GB"/>
        </w:rPr>
        <w:t>..</w:t>
      </w:r>
      <w:r w:rsidR="00D14929" w:rsidRPr="00E954D6">
        <w:rPr>
          <w:rFonts w:ascii="Arial" w:hAnsi="Arial" w:cs="Arial"/>
          <w:b/>
          <w:bCs/>
          <w:sz w:val="20"/>
          <w:szCs w:val="20"/>
          <w:lang w:val="en-GB"/>
        </w:rPr>
        <w:t>..................................................................................................</w:t>
      </w:r>
      <w:r w:rsidR="00C91E4E" w:rsidRPr="00E954D6">
        <w:rPr>
          <w:rFonts w:ascii="Arial" w:hAnsi="Arial" w:cs="Arial"/>
          <w:b/>
          <w:bCs/>
          <w:sz w:val="20"/>
          <w:szCs w:val="20"/>
          <w:lang w:val="en-GB"/>
        </w:rPr>
        <w:t>....</w:t>
      </w:r>
      <w:r w:rsidR="00EB5D4A">
        <w:rPr>
          <w:rFonts w:ascii="Arial" w:hAnsi="Arial" w:cs="Arial"/>
          <w:b/>
          <w:bCs/>
          <w:sz w:val="20"/>
          <w:szCs w:val="20"/>
          <w:lang w:val="en-GB"/>
        </w:rPr>
        <w:t>........................</w:t>
      </w:r>
      <w:r w:rsidR="00C91E4E" w:rsidRPr="00E954D6">
        <w:rPr>
          <w:rFonts w:ascii="Arial" w:hAnsi="Arial" w:cs="Arial"/>
          <w:b/>
          <w:bCs/>
          <w:sz w:val="20"/>
          <w:szCs w:val="20"/>
          <w:lang w:val="en-GB"/>
        </w:rPr>
        <w:t>. 1</w:t>
      </w:r>
      <w:r w:rsidR="004A7E92">
        <w:rPr>
          <w:rFonts w:ascii="Arial" w:hAnsi="Arial" w:cs="Arial"/>
          <w:b/>
          <w:bCs/>
          <w:sz w:val="20"/>
          <w:szCs w:val="20"/>
          <w:lang w:val="en-GB"/>
        </w:rPr>
        <w:t>9</w:t>
      </w:r>
    </w:p>
    <w:p w14:paraId="41809CF9" w14:textId="77777777" w:rsidR="00C91E4E" w:rsidRPr="00E954D6" w:rsidRDefault="00C91E4E" w:rsidP="00E62193">
      <w:pPr>
        <w:rPr>
          <w:rFonts w:ascii="Arial" w:hAnsi="Arial" w:cs="Arial"/>
          <w:b/>
          <w:bCs/>
          <w:sz w:val="20"/>
          <w:szCs w:val="20"/>
          <w:lang w:val="en-GB"/>
        </w:rPr>
      </w:pPr>
    </w:p>
    <w:p w14:paraId="2C9B8629" w14:textId="34B9E4B4" w:rsidR="008866A8" w:rsidRPr="00E954D6" w:rsidRDefault="005154B6" w:rsidP="00E62193">
      <w:pPr>
        <w:rPr>
          <w:rFonts w:ascii="Arial" w:hAnsi="Arial" w:cs="Arial"/>
          <w:b/>
          <w:bCs/>
          <w:sz w:val="20"/>
          <w:szCs w:val="20"/>
          <w:lang w:val="en-GB"/>
        </w:rPr>
      </w:pPr>
      <w:r>
        <w:rPr>
          <w:rFonts w:ascii="Arial" w:hAnsi="Arial" w:cs="Arial"/>
          <w:b/>
          <w:bCs/>
          <w:sz w:val="20"/>
          <w:szCs w:val="20"/>
          <w:lang w:val="en-GB"/>
        </w:rPr>
        <w:t xml:space="preserve">  </w:t>
      </w:r>
      <w:r w:rsidR="00C91E4E" w:rsidRPr="00E954D6">
        <w:rPr>
          <w:rFonts w:ascii="Arial" w:hAnsi="Arial" w:cs="Arial"/>
          <w:b/>
          <w:bCs/>
          <w:sz w:val="20"/>
          <w:szCs w:val="20"/>
          <w:lang w:val="en-GB"/>
        </w:rPr>
        <w:t>5. References......</w:t>
      </w:r>
      <w:r w:rsidR="00E62193">
        <w:rPr>
          <w:rFonts w:ascii="Arial" w:hAnsi="Arial" w:cs="Arial"/>
          <w:b/>
          <w:bCs/>
          <w:sz w:val="20"/>
          <w:szCs w:val="20"/>
          <w:lang w:val="en-GB"/>
        </w:rPr>
        <w:t>.............</w:t>
      </w:r>
      <w:r w:rsidR="00C91E4E" w:rsidRPr="00E954D6">
        <w:rPr>
          <w:rFonts w:ascii="Arial" w:hAnsi="Arial" w:cs="Arial"/>
          <w:b/>
          <w:bCs/>
          <w:sz w:val="20"/>
          <w:szCs w:val="20"/>
          <w:lang w:val="en-GB"/>
        </w:rPr>
        <w:t>........</w:t>
      </w:r>
      <w:r w:rsidR="00D14929" w:rsidRPr="00E954D6">
        <w:rPr>
          <w:rFonts w:ascii="Arial" w:hAnsi="Arial" w:cs="Arial"/>
          <w:b/>
          <w:bCs/>
          <w:sz w:val="20"/>
          <w:szCs w:val="20"/>
          <w:lang w:val="en-GB"/>
        </w:rPr>
        <w:t>..................................................................................................</w:t>
      </w:r>
      <w:r w:rsidR="00C91E4E" w:rsidRPr="00E954D6">
        <w:rPr>
          <w:rFonts w:ascii="Arial" w:hAnsi="Arial" w:cs="Arial"/>
          <w:b/>
          <w:bCs/>
          <w:sz w:val="20"/>
          <w:szCs w:val="20"/>
          <w:lang w:val="en-GB"/>
        </w:rPr>
        <w:t>..........</w:t>
      </w:r>
      <w:r w:rsidR="00EB5D4A">
        <w:rPr>
          <w:rFonts w:ascii="Arial" w:hAnsi="Arial" w:cs="Arial"/>
          <w:b/>
          <w:bCs/>
          <w:sz w:val="20"/>
          <w:szCs w:val="20"/>
          <w:lang w:val="en-GB"/>
        </w:rPr>
        <w:t>.......................</w:t>
      </w:r>
      <w:r w:rsidR="00C91E4E" w:rsidRPr="00E954D6">
        <w:rPr>
          <w:rFonts w:ascii="Arial" w:hAnsi="Arial" w:cs="Arial"/>
          <w:b/>
          <w:bCs/>
          <w:sz w:val="20"/>
          <w:szCs w:val="20"/>
          <w:lang w:val="en-GB"/>
        </w:rPr>
        <w:t xml:space="preserve">..... </w:t>
      </w:r>
      <w:r w:rsidR="004A7E92">
        <w:rPr>
          <w:rFonts w:ascii="Arial" w:hAnsi="Arial" w:cs="Arial"/>
          <w:b/>
          <w:bCs/>
          <w:sz w:val="20"/>
          <w:szCs w:val="20"/>
          <w:lang w:val="en-GB"/>
        </w:rPr>
        <w:t>20</w:t>
      </w:r>
    </w:p>
    <w:p w14:paraId="6545E301" w14:textId="77777777" w:rsidR="00CE3E97" w:rsidRDefault="00CE3E97" w:rsidP="00267CF5">
      <w:pPr>
        <w:jc w:val="both"/>
        <w:rPr>
          <w:rFonts w:ascii="Arial" w:hAnsi="Arial" w:cs="Arial"/>
          <w:b/>
          <w:bCs/>
          <w:sz w:val="28"/>
          <w:szCs w:val="28"/>
          <w:lang w:val="en-GB"/>
        </w:rPr>
      </w:pPr>
    </w:p>
    <w:p w14:paraId="236D235C" w14:textId="77777777" w:rsidR="00743A56" w:rsidRDefault="00743A56" w:rsidP="001E05F9">
      <w:pPr>
        <w:jc w:val="center"/>
        <w:rPr>
          <w:rFonts w:ascii="Arial" w:hAnsi="Arial" w:cs="Arial"/>
          <w:b/>
          <w:bCs/>
          <w:sz w:val="28"/>
          <w:szCs w:val="28"/>
          <w:lang w:val="en-GB"/>
        </w:rPr>
      </w:pPr>
    </w:p>
    <w:p w14:paraId="5A4EA901" w14:textId="17A8024E" w:rsidR="00CE3E97" w:rsidRDefault="0014145B" w:rsidP="001E05F9">
      <w:pPr>
        <w:jc w:val="center"/>
        <w:rPr>
          <w:rFonts w:ascii="Arial" w:hAnsi="Arial" w:cs="Arial"/>
          <w:b/>
          <w:bCs/>
          <w:sz w:val="28"/>
          <w:szCs w:val="28"/>
          <w:lang w:val="en-GB"/>
        </w:rPr>
      </w:pPr>
      <w:r>
        <w:rPr>
          <w:rFonts w:ascii="Arial" w:hAnsi="Arial" w:cs="Arial"/>
          <w:b/>
          <w:bCs/>
          <w:sz w:val="28"/>
          <w:szCs w:val="28"/>
          <w:lang w:val="en-GB"/>
        </w:rPr>
        <w:t>List</w:t>
      </w:r>
      <w:r w:rsidR="001E05F9">
        <w:rPr>
          <w:rFonts w:ascii="Arial" w:hAnsi="Arial" w:cs="Arial"/>
          <w:b/>
          <w:bCs/>
          <w:sz w:val="28"/>
          <w:szCs w:val="28"/>
          <w:lang w:val="en-GB"/>
        </w:rPr>
        <w:t xml:space="preserve"> of Figures</w:t>
      </w:r>
    </w:p>
    <w:p w14:paraId="23E4F0EA" w14:textId="77777777" w:rsidR="001E05F9" w:rsidRDefault="001E05F9" w:rsidP="001E05F9">
      <w:pPr>
        <w:jc w:val="center"/>
        <w:rPr>
          <w:rFonts w:ascii="Arial" w:hAnsi="Arial" w:cs="Arial"/>
          <w:b/>
          <w:bCs/>
          <w:sz w:val="28"/>
          <w:szCs w:val="28"/>
          <w:lang w:val="en-GB"/>
        </w:rPr>
      </w:pPr>
    </w:p>
    <w:tbl>
      <w:tblPr>
        <w:tblStyle w:val="TableGrid"/>
        <w:tblW w:w="0" w:type="auto"/>
        <w:tblLook w:val="04A0" w:firstRow="1" w:lastRow="0" w:firstColumn="1" w:lastColumn="0" w:noHBand="0" w:noVBand="1"/>
      </w:tblPr>
      <w:tblGrid>
        <w:gridCol w:w="1323"/>
        <w:gridCol w:w="8364"/>
        <w:gridCol w:w="790"/>
      </w:tblGrid>
      <w:tr w:rsidR="001E05F9" w:rsidRPr="001E05F9" w14:paraId="0D1324BE" w14:textId="77777777" w:rsidTr="001E05F9">
        <w:tc>
          <w:tcPr>
            <w:tcW w:w="0" w:type="auto"/>
            <w:hideMark/>
          </w:tcPr>
          <w:p w14:paraId="0599F9EE"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w:t>
            </w:r>
          </w:p>
        </w:tc>
        <w:tc>
          <w:tcPr>
            <w:tcW w:w="0" w:type="auto"/>
            <w:hideMark/>
          </w:tcPr>
          <w:p w14:paraId="7F15C5AC" w14:textId="77777777" w:rsidR="001E05F9" w:rsidRPr="001E05F9" w:rsidRDefault="001E05F9" w:rsidP="0014145B">
            <w:pPr>
              <w:spacing w:after="200" w:line="276" w:lineRule="auto"/>
              <w:jc w:val="center"/>
              <w:rPr>
                <w:rFonts w:ascii="Arial" w:hAnsi="Arial" w:cs="Arial"/>
                <w:b/>
                <w:bCs/>
                <w:sz w:val="24"/>
                <w:szCs w:val="24"/>
              </w:rPr>
            </w:pPr>
            <w:r w:rsidRPr="001E05F9">
              <w:rPr>
                <w:rFonts w:ascii="Arial" w:hAnsi="Arial" w:cs="Arial"/>
                <w:b/>
                <w:bCs/>
                <w:sz w:val="24"/>
                <w:szCs w:val="24"/>
              </w:rPr>
              <w:t>Title</w:t>
            </w:r>
          </w:p>
        </w:tc>
        <w:tc>
          <w:tcPr>
            <w:tcW w:w="0" w:type="auto"/>
            <w:hideMark/>
          </w:tcPr>
          <w:p w14:paraId="014D49C1"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Page</w:t>
            </w:r>
          </w:p>
        </w:tc>
      </w:tr>
      <w:tr w:rsidR="001E05F9" w:rsidRPr="001E05F9" w14:paraId="33881BE5" w14:textId="77777777" w:rsidTr="001E05F9">
        <w:tc>
          <w:tcPr>
            <w:tcW w:w="0" w:type="auto"/>
            <w:hideMark/>
          </w:tcPr>
          <w:p w14:paraId="32754645"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1</w:t>
            </w:r>
          </w:p>
        </w:tc>
        <w:tc>
          <w:tcPr>
            <w:tcW w:w="0" w:type="auto"/>
            <w:hideMark/>
          </w:tcPr>
          <w:p w14:paraId="5815A1B7"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Proposed NHS England Data Warehouse Architecture</w:t>
            </w:r>
          </w:p>
        </w:tc>
        <w:tc>
          <w:tcPr>
            <w:tcW w:w="0" w:type="auto"/>
            <w:hideMark/>
          </w:tcPr>
          <w:p w14:paraId="50E9C71A" w14:textId="5499BF39" w:rsidR="001E05F9" w:rsidRPr="001E05F9" w:rsidRDefault="0014145B" w:rsidP="001E05F9">
            <w:pPr>
              <w:spacing w:after="200" w:line="276" w:lineRule="auto"/>
              <w:jc w:val="both"/>
              <w:rPr>
                <w:rFonts w:ascii="Arial" w:hAnsi="Arial" w:cs="Arial"/>
                <w:b/>
                <w:bCs/>
                <w:sz w:val="24"/>
                <w:szCs w:val="24"/>
              </w:rPr>
            </w:pPr>
            <w:r>
              <w:rPr>
                <w:rFonts w:ascii="Arial" w:hAnsi="Arial" w:cs="Arial"/>
                <w:b/>
                <w:bCs/>
                <w:sz w:val="24"/>
                <w:szCs w:val="24"/>
              </w:rPr>
              <w:t>6</w:t>
            </w:r>
          </w:p>
        </w:tc>
      </w:tr>
      <w:tr w:rsidR="001E05F9" w:rsidRPr="001E05F9" w14:paraId="49CDC702" w14:textId="77777777" w:rsidTr="001E05F9">
        <w:tc>
          <w:tcPr>
            <w:tcW w:w="0" w:type="auto"/>
            <w:hideMark/>
          </w:tcPr>
          <w:p w14:paraId="07A2E5CE"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1A</w:t>
            </w:r>
          </w:p>
        </w:tc>
        <w:tc>
          <w:tcPr>
            <w:tcW w:w="0" w:type="auto"/>
            <w:hideMark/>
          </w:tcPr>
          <w:p w14:paraId="0F56B980"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Distribution of NHS England Data Mart Usage by Business Function</w:t>
            </w:r>
          </w:p>
        </w:tc>
        <w:tc>
          <w:tcPr>
            <w:tcW w:w="0" w:type="auto"/>
            <w:hideMark/>
          </w:tcPr>
          <w:p w14:paraId="0D1716AE" w14:textId="001FBD3E" w:rsidR="001E05F9" w:rsidRPr="001E05F9" w:rsidRDefault="003A5D3B" w:rsidP="001E05F9">
            <w:pPr>
              <w:spacing w:after="200" w:line="276" w:lineRule="auto"/>
              <w:jc w:val="both"/>
              <w:rPr>
                <w:rFonts w:ascii="Arial" w:hAnsi="Arial" w:cs="Arial"/>
                <w:b/>
                <w:bCs/>
                <w:sz w:val="24"/>
                <w:szCs w:val="24"/>
              </w:rPr>
            </w:pPr>
            <w:r>
              <w:rPr>
                <w:rFonts w:ascii="Arial" w:hAnsi="Arial" w:cs="Arial"/>
                <w:b/>
                <w:bCs/>
                <w:sz w:val="24"/>
                <w:szCs w:val="24"/>
              </w:rPr>
              <w:t>7</w:t>
            </w:r>
          </w:p>
        </w:tc>
      </w:tr>
      <w:tr w:rsidR="001E05F9" w:rsidRPr="001E05F9" w14:paraId="66EEC6D2" w14:textId="77777777" w:rsidTr="001E05F9">
        <w:tc>
          <w:tcPr>
            <w:tcW w:w="0" w:type="auto"/>
            <w:hideMark/>
          </w:tcPr>
          <w:p w14:paraId="76588199"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2</w:t>
            </w:r>
          </w:p>
        </w:tc>
        <w:tc>
          <w:tcPr>
            <w:tcW w:w="0" w:type="auto"/>
            <w:hideMark/>
          </w:tcPr>
          <w:p w14:paraId="3C70BDAC"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Proposed NHS England Star Schema Design</w:t>
            </w:r>
          </w:p>
        </w:tc>
        <w:tc>
          <w:tcPr>
            <w:tcW w:w="0" w:type="auto"/>
            <w:hideMark/>
          </w:tcPr>
          <w:p w14:paraId="4C294953"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10</w:t>
            </w:r>
          </w:p>
        </w:tc>
      </w:tr>
      <w:tr w:rsidR="001E05F9" w:rsidRPr="001E05F9" w14:paraId="1AD7CAD9" w14:textId="77777777" w:rsidTr="001E05F9">
        <w:tc>
          <w:tcPr>
            <w:tcW w:w="0" w:type="auto"/>
            <w:hideMark/>
          </w:tcPr>
          <w:p w14:paraId="714E660A"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2A</w:t>
            </w:r>
          </w:p>
        </w:tc>
        <w:tc>
          <w:tcPr>
            <w:tcW w:w="0" w:type="auto"/>
            <w:hideMark/>
          </w:tcPr>
          <w:p w14:paraId="67AD8238"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Estimated Data Volume Managed by NHS England Source Systems</w:t>
            </w:r>
          </w:p>
        </w:tc>
        <w:tc>
          <w:tcPr>
            <w:tcW w:w="0" w:type="auto"/>
            <w:hideMark/>
          </w:tcPr>
          <w:p w14:paraId="06699077" w14:textId="3D63DD01"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1</w:t>
            </w:r>
            <w:r w:rsidR="003A5D3B">
              <w:rPr>
                <w:rFonts w:ascii="Arial" w:hAnsi="Arial" w:cs="Arial"/>
                <w:b/>
                <w:bCs/>
                <w:sz w:val="24"/>
                <w:szCs w:val="24"/>
              </w:rPr>
              <w:t>2</w:t>
            </w:r>
          </w:p>
        </w:tc>
      </w:tr>
      <w:tr w:rsidR="001E05F9" w:rsidRPr="001E05F9" w14:paraId="01A16A35" w14:textId="77777777" w:rsidTr="001E05F9">
        <w:tc>
          <w:tcPr>
            <w:tcW w:w="0" w:type="auto"/>
            <w:hideMark/>
          </w:tcPr>
          <w:p w14:paraId="638DA159"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3</w:t>
            </w:r>
          </w:p>
        </w:tc>
        <w:tc>
          <w:tcPr>
            <w:tcW w:w="0" w:type="auto"/>
            <w:hideMark/>
          </w:tcPr>
          <w:p w14:paraId="4B73CE37"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Proposed NHS England Data Mart Architecture</w:t>
            </w:r>
          </w:p>
        </w:tc>
        <w:tc>
          <w:tcPr>
            <w:tcW w:w="0" w:type="auto"/>
            <w:hideMark/>
          </w:tcPr>
          <w:p w14:paraId="34BAE9A0" w14:textId="2EA11314"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1</w:t>
            </w:r>
            <w:r w:rsidR="003A5D3B">
              <w:rPr>
                <w:rFonts w:ascii="Arial" w:hAnsi="Arial" w:cs="Arial"/>
                <w:b/>
                <w:bCs/>
                <w:sz w:val="24"/>
                <w:szCs w:val="24"/>
              </w:rPr>
              <w:t>3</w:t>
            </w:r>
          </w:p>
        </w:tc>
      </w:tr>
      <w:tr w:rsidR="001E05F9" w:rsidRPr="001E05F9" w14:paraId="1726F1CF" w14:textId="77777777" w:rsidTr="001E05F9">
        <w:tc>
          <w:tcPr>
            <w:tcW w:w="0" w:type="auto"/>
            <w:hideMark/>
          </w:tcPr>
          <w:p w14:paraId="287426E2"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3A</w:t>
            </w:r>
          </w:p>
        </w:tc>
        <w:tc>
          <w:tcPr>
            <w:tcW w:w="0" w:type="auto"/>
            <w:hideMark/>
          </w:tcPr>
          <w:p w14:paraId="0B04655A"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Comparative Data Volume Across NHS England Data Marts</w:t>
            </w:r>
          </w:p>
        </w:tc>
        <w:tc>
          <w:tcPr>
            <w:tcW w:w="0" w:type="auto"/>
            <w:hideMark/>
          </w:tcPr>
          <w:p w14:paraId="42B0E3FB" w14:textId="7E486052"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1</w:t>
            </w:r>
            <w:r w:rsidR="003A5D3B">
              <w:rPr>
                <w:rFonts w:ascii="Arial" w:hAnsi="Arial" w:cs="Arial"/>
                <w:b/>
                <w:bCs/>
                <w:sz w:val="24"/>
                <w:szCs w:val="24"/>
              </w:rPr>
              <w:t>3</w:t>
            </w:r>
          </w:p>
        </w:tc>
      </w:tr>
      <w:tr w:rsidR="001E05F9" w:rsidRPr="001E05F9" w14:paraId="11B55FA2" w14:textId="77777777" w:rsidTr="001E05F9">
        <w:tc>
          <w:tcPr>
            <w:tcW w:w="0" w:type="auto"/>
            <w:hideMark/>
          </w:tcPr>
          <w:p w14:paraId="4C175748"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3B</w:t>
            </w:r>
          </w:p>
        </w:tc>
        <w:tc>
          <w:tcPr>
            <w:tcW w:w="0" w:type="auto"/>
            <w:hideMark/>
          </w:tcPr>
          <w:p w14:paraId="367C5121"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Performance Comparison of NHS England Data Marts</w:t>
            </w:r>
          </w:p>
        </w:tc>
        <w:tc>
          <w:tcPr>
            <w:tcW w:w="0" w:type="auto"/>
            <w:hideMark/>
          </w:tcPr>
          <w:p w14:paraId="5A412F03" w14:textId="6BF12FBD"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1</w:t>
            </w:r>
            <w:r w:rsidR="003A5D3B">
              <w:rPr>
                <w:rFonts w:ascii="Arial" w:hAnsi="Arial" w:cs="Arial"/>
                <w:b/>
                <w:bCs/>
                <w:sz w:val="24"/>
                <w:szCs w:val="24"/>
              </w:rPr>
              <w:t>4</w:t>
            </w:r>
          </w:p>
        </w:tc>
      </w:tr>
      <w:tr w:rsidR="001E05F9" w:rsidRPr="001E05F9" w14:paraId="393FE466" w14:textId="77777777" w:rsidTr="001E05F9">
        <w:tc>
          <w:tcPr>
            <w:tcW w:w="0" w:type="auto"/>
            <w:hideMark/>
          </w:tcPr>
          <w:p w14:paraId="76227FA6"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Figure 3C</w:t>
            </w:r>
          </w:p>
        </w:tc>
        <w:tc>
          <w:tcPr>
            <w:tcW w:w="0" w:type="auto"/>
            <w:hideMark/>
          </w:tcPr>
          <w:p w14:paraId="2487ED2E"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Hierarchical Distribution of Information Within NHS England Data Marts</w:t>
            </w:r>
          </w:p>
        </w:tc>
        <w:tc>
          <w:tcPr>
            <w:tcW w:w="0" w:type="auto"/>
            <w:hideMark/>
          </w:tcPr>
          <w:p w14:paraId="0DA2CA84" w14:textId="77777777" w:rsidR="001E05F9" w:rsidRPr="001E05F9" w:rsidRDefault="001E05F9" w:rsidP="001E05F9">
            <w:pPr>
              <w:spacing w:after="200" w:line="276" w:lineRule="auto"/>
              <w:jc w:val="both"/>
              <w:rPr>
                <w:rFonts w:ascii="Arial" w:hAnsi="Arial" w:cs="Arial"/>
                <w:b/>
                <w:bCs/>
                <w:sz w:val="24"/>
                <w:szCs w:val="24"/>
              </w:rPr>
            </w:pPr>
            <w:r w:rsidRPr="001E05F9">
              <w:rPr>
                <w:rFonts w:ascii="Arial" w:hAnsi="Arial" w:cs="Arial"/>
                <w:b/>
                <w:bCs/>
                <w:sz w:val="24"/>
                <w:szCs w:val="24"/>
              </w:rPr>
              <w:t>18</w:t>
            </w:r>
          </w:p>
        </w:tc>
      </w:tr>
      <w:tr w:rsidR="003A5D3B" w:rsidRPr="001E05F9" w14:paraId="6BC81433" w14:textId="77777777" w:rsidTr="003A5D3B">
        <w:trPr>
          <w:trHeight w:val="440"/>
        </w:trPr>
        <w:tc>
          <w:tcPr>
            <w:tcW w:w="0" w:type="auto"/>
          </w:tcPr>
          <w:p w14:paraId="585885BF" w14:textId="2F8006FD" w:rsidR="003A5D3B" w:rsidRPr="001E05F9" w:rsidRDefault="003A5D3B" w:rsidP="001E05F9">
            <w:pPr>
              <w:jc w:val="both"/>
              <w:rPr>
                <w:rFonts w:ascii="Arial" w:hAnsi="Arial" w:cs="Arial"/>
                <w:b/>
                <w:bCs/>
                <w:sz w:val="24"/>
                <w:szCs w:val="24"/>
              </w:rPr>
            </w:pPr>
            <w:r>
              <w:rPr>
                <w:rFonts w:ascii="Arial" w:hAnsi="Arial" w:cs="Arial"/>
                <w:b/>
                <w:bCs/>
                <w:sz w:val="24"/>
                <w:szCs w:val="24"/>
              </w:rPr>
              <w:t>Figure 4</w:t>
            </w:r>
          </w:p>
        </w:tc>
        <w:tc>
          <w:tcPr>
            <w:tcW w:w="0" w:type="auto"/>
          </w:tcPr>
          <w:p w14:paraId="570FD58B" w14:textId="4FC2C4EA" w:rsidR="003A5D3B" w:rsidRPr="001E05F9" w:rsidRDefault="003A5D3B" w:rsidP="001E05F9">
            <w:pPr>
              <w:jc w:val="both"/>
              <w:rPr>
                <w:rFonts w:ascii="Arial" w:hAnsi="Arial" w:cs="Arial"/>
                <w:b/>
                <w:bCs/>
                <w:sz w:val="24"/>
                <w:szCs w:val="24"/>
              </w:rPr>
            </w:pPr>
            <w:r w:rsidRPr="003A5D3B">
              <w:rPr>
                <w:rFonts w:ascii="Arial" w:hAnsi="Arial" w:cs="Arial"/>
                <w:b/>
                <w:bCs/>
                <w:sz w:val="24"/>
                <w:szCs w:val="24"/>
              </w:rPr>
              <w:t>Proposed NHS England ETL Process Workflow</w:t>
            </w:r>
          </w:p>
        </w:tc>
        <w:tc>
          <w:tcPr>
            <w:tcW w:w="0" w:type="auto"/>
          </w:tcPr>
          <w:p w14:paraId="15800838" w14:textId="11EF1B13" w:rsidR="003A5D3B" w:rsidRPr="001E05F9" w:rsidRDefault="003A5D3B" w:rsidP="001E05F9">
            <w:pPr>
              <w:jc w:val="both"/>
              <w:rPr>
                <w:rFonts w:ascii="Arial" w:hAnsi="Arial" w:cs="Arial"/>
                <w:b/>
                <w:bCs/>
                <w:sz w:val="24"/>
                <w:szCs w:val="24"/>
              </w:rPr>
            </w:pPr>
            <w:r>
              <w:rPr>
                <w:rFonts w:ascii="Arial" w:hAnsi="Arial" w:cs="Arial"/>
                <w:b/>
                <w:bCs/>
                <w:sz w:val="24"/>
                <w:szCs w:val="24"/>
              </w:rPr>
              <w:t>16</w:t>
            </w:r>
          </w:p>
        </w:tc>
      </w:tr>
    </w:tbl>
    <w:p w14:paraId="7026F89C" w14:textId="77777777" w:rsidR="00CE3E97" w:rsidRDefault="00CE3E97" w:rsidP="00267CF5">
      <w:pPr>
        <w:jc w:val="both"/>
        <w:rPr>
          <w:rFonts w:ascii="Arial" w:hAnsi="Arial" w:cs="Arial"/>
          <w:b/>
          <w:bCs/>
          <w:sz w:val="28"/>
          <w:szCs w:val="28"/>
          <w:lang w:val="en-GB"/>
        </w:rPr>
      </w:pPr>
    </w:p>
    <w:p w14:paraId="36F4968A" w14:textId="77777777" w:rsidR="00CE3E97" w:rsidRDefault="00CE3E97" w:rsidP="00267CF5">
      <w:pPr>
        <w:jc w:val="both"/>
        <w:rPr>
          <w:rFonts w:ascii="Arial" w:hAnsi="Arial" w:cs="Arial"/>
          <w:b/>
          <w:bCs/>
          <w:sz w:val="28"/>
          <w:szCs w:val="28"/>
          <w:lang w:val="en-GB"/>
        </w:rPr>
      </w:pPr>
    </w:p>
    <w:p w14:paraId="12DE96E2" w14:textId="6D0B433B" w:rsidR="00CE3E97" w:rsidRDefault="0014145B" w:rsidP="0014145B">
      <w:pPr>
        <w:jc w:val="center"/>
        <w:rPr>
          <w:rFonts w:ascii="Arial" w:hAnsi="Arial" w:cs="Arial"/>
          <w:b/>
          <w:bCs/>
          <w:sz w:val="28"/>
          <w:szCs w:val="28"/>
          <w:lang w:val="en-GB"/>
        </w:rPr>
      </w:pPr>
      <w:r>
        <w:rPr>
          <w:rFonts w:ascii="Arial" w:hAnsi="Arial" w:cs="Arial"/>
          <w:b/>
          <w:bCs/>
          <w:sz w:val="28"/>
          <w:szCs w:val="28"/>
          <w:lang w:val="en-GB"/>
        </w:rPr>
        <w:t>List of Table</w:t>
      </w:r>
    </w:p>
    <w:tbl>
      <w:tblPr>
        <w:tblStyle w:val="TableGrid"/>
        <w:tblW w:w="10680" w:type="dxa"/>
        <w:tblLook w:val="04A0" w:firstRow="1" w:lastRow="0" w:firstColumn="1" w:lastColumn="0" w:noHBand="0" w:noVBand="1"/>
      </w:tblPr>
      <w:tblGrid>
        <w:gridCol w:w="1199"/>
        <w:gridCol w:w="8573"/>
        <w:gridCol w:w="908"/>
      </w:tblGrid>
      <w:tr w:rsidR="0014145B" w:rsidRPr="0014145B" w14:paraId="707D6482" w14:textId="77777777" w:rsidTr="00743A56">
        <w:trPr>
          <w:trHeight w:val="553"/>
        </w:trPr>
        <w:tc>
          <w:tcPr>
            <w:tcW w:w="0" w:type="auto"/>
            <w:hideMark/>
          </w:tcPr>
          <w:p w14:paraId="3E355320"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Table</w:t>
            </w:r>
          </w:p>
        </w:tc>
        <w:tc>
          <w:tcPr>
            <w:tcW w:w="0" w:type="auto"/>
            <w:hideMark/>
          </w:tcPr>
          <w:p w14:paraId="1EC2CBA4" w14:textId="77777777" w:rsidR="0014145B" w:rsidRPr="0087494A" w:rsidRDefault="0014145B" w:rsidP="00743A56">
            <w:pPr>
              <w:spacing w:after="200" w:line="276" w:lineRule="auto"/>
              <w:jc w:val="center"/>
              <w:rPr>
                <w:rFonts w:ascii="Arial" w:hAnsi="Arial" w:cs="Arial"/>
                <w:b/>
                <w:bCs/>
                <w:sz w:val="24"/>
                <w:szCs w:val="24"/>
              </w:rPr>
            </w:pPr>
            <w:r w:rsidRPr="0087494A">
              <w:rPr>
                <w:rFonts w:ascii="Arial" w:hAnsi="Arial" w:cs="Arial"/>
                <w:b/>
                <w:bCs/>
                <w:sz w:val="24"/>
                <w:szCs w:val="24"/>
              </w:rPr>
              <w:t>Title</w:t>
            </w:r>
          </w:p>
        </w:tc>
        <w:tc>
          <w:tcPr>
            <w:tcW w:w="0" w:type="auto"/>
            <w:hideMark/>
          </w:tcPr>
          <w:p w14:paraId="320B2453"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Page</w:t>
            </w:r>
          </w:p>
        </w:tc>
      </w:tr>
      <w:tr w:rsidR="0014145B" w:rsidRPr="0014145B" w14:paraId="252ED80F" w14:textId="77777777" w:rsidTr="00743A56">
        <w:trPr>
          <w:trHeight w:val="553"/>
        </w:trPr>
        <w:tc>
          <w:tcPr>
            <w:tcW w:w="0" w:type="auto"/>
            <w:hideMark/>
          </w:tcPr>
          <w:p w14:paraId="1585BFB2"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Table 1</w:t>
            </w:r>
          </w:p>
        </w:tc>
        <w:tc>
          <w:tcPr>
            <w:tcW w:w="0" w:type="auto"/>
            <w:hideMark/>
          </w:tcPr>
          <w:p w14:paraId="4717DBDE"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Comparison of OLTP Normalisation and Dimensional Modelling</w:t>
            </w:r>
          </w:p>
        </w:tc>
        <w:tc>
          <w:tcPr>
            <w:tcW w:w="0" w:type="auto"/>
            <w:hideMark/>
          </w:tcPr>
          <w:p w14:paraId="795AA312" w14:textId="0187C3E7" w:rsidR="0014145B" w:rsidRPr="0087494A" w:rsidRDefault="00453D28" w:rsidP="0014145B">
            <w:pPr>
              <w:spacing w:after="200" w:line="276" w:lineRule="auto"/>
              <w:jc w:val="both"/>
              <w:rPr>
                <w:rFonts w:ascii="Arial" w:hAnsi="Arial" w:cs="Arial"/>
                <w:b/>
                <w:bCs/>
                <w:sz w:val="24"/>
                <w:szCs w:val="24"/>
              </w:rPr>
            </w:pPr>
            <w:r w:rsidRPr="0087494A">
              <w:rPr>
                <w:rFonts w:ascii="Arial" w:hAnsi="Arial" w:cs="Arial"/>
                <w:b/>
                <w:bCs/>
                <w:sz w:val="24"/>
                <w:szCs w:val="24"/>
              </w:rPr>
              <w:t>9</w:t>
            </w:r>
          </w:p>
        </w:tc>
      </w:tr>
      <w:tr w:rsidR="0014145B" w:rsidRPr="0014145B" w14:paraId="297259F0" w14:textId="77777777" w:rsidTr="00743A56">
        <w:trPr>
          <w:trHeight w:val="553"/>
        </w:trPr>
        <w:tc>
          <w:tcPr>
            <w:tcW w:w="0" w:type="auto"/>
            <w:hideMark/>
          </w:tcPr>
          <w:p w14:paraId="11238E4B"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Table 2</w:t>
            </w:r>
          </w:p>
        </w:tc>
        <w:tc>
          <w:tcPr>
            <w:tcW w:w="0" w:type="auto"/>
            <w:hideMark/>
          </w:tcPr>
          <w:p w14:paraId="1C169ABB"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NHS England Source Systems</w:t>
            </w:r>
          </w:p>
        </w:tc>
        <w:tc>
          <w:tcPr>
            <w:tcW w:w="0" w:type="auto"/>
            <w:hideMark/>
          </w:tcPr>
          <w:p w14:paraId="2A3AB65A"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10</w:t>
            </w:r>
          </w:p>
        </w:tc>
      </w:tr>
      <w:tr w:rsidR="0014145B" w:rsidRPr="0014145B" w14:paraId="003DE98E" w14:textId="77777777" w:rsidTr="00743A56">
        <w:trPr>
          <w:trHeight w:val="569"/>
        </w:trPr>
        <w:tc>
          <w:tcPr>
            <w:tcW w:w="0" w:type="auto"/>
            <w:hideMark/>
          </w:tcPr>
          <w:p w14:paraId="22F10B5B"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Table 3</w:t>
            </w:r>
          </w:p>
        </w:tc>
        <w:tc>
          <w:tcPr>
            <w:tcW w:w="0" w:type="auto"/>
            <w:hideMark/>
          </w:tcPr>
          <w:p w14:paraId="144D5A42"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NHS England Data Marts and Their Purpose</w:t>
            </w:r>
          </w:p>
        </w:tc>
        <w:tc>
          <w:tcPr>
            <w:tcW w:w="0" w:type="auto"/>
            <w:hideMark/>
          </w:tcPr>
          <w:p w14:paraId="768C524A" w14:textId="6E5FD6A9"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1</w:t>
            </w:r>
            <w:r w:rsidR="00453D28" w:rsidRPr="0087494A">
              <w:rPr>
                <w:rFonts w:ascii="Arial" w:hAnsi="Arial" w:cs="Arial"/>
                <w:b/>
                <w:bCs/>
                <w:sz w:val="24"/>
                <w:szCs w:val="24"/>
              </w:rPr>
              <w:t>2</w:t>
            </w:r>
          </w:p>
        </w:tc>
      </w:tr>
      <w:tr w:rsidR="0014145B" w:rsidRPr="0014145B" w14:paraId="654FE386" w14:textId="77777777" w:rsidTr="00743A56">
        <w:trPr>
          <w:trHeight w:val="536"/>
        </w:trPr>
        <w:tc>
          <w:tcPr>
            <w:tcW w:w="0" w:type="auto"/>
            <w:hideMark/>
          </w:tcPr>
          <w:p w14:paraId="6235AC0C"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Table 4</w:t>
            </w:r>
          </w:p>
        </w:tc>
        <w:tc>
          <w:tcPr>
            <w:tcW w:w="0" w:type="auto"/>
            <w:hideMark/>
          </w:tcPr>
          <w:p w14:paraId="401642CB" w14:textId="77777777"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Data Quality Issues and Mitigation Strategies</w:t>
            </w:r>
          </w:p>
        </w:tc>
        <w:tc>
          <w:tcPr>
            <w:tcW w:w="0" w:type="auto"/>
            <w:hideMark/>
          </w:tcPr>
          <w:p w14:paraId="310D4654" w14:textId="39A80E79" w:rsidR="0014145B" w:rsidRPr="0087494A" w:rsidRDefault="0014145B" w:rsidP="0014145B">
            <w:pPr>
              <w:spacing w:after="200" w:line="276" w:lineRule="auto"/>
              <w:jc w:val="both"/>
              <w:rPr>
                <w:rFonts w:ascii="Arial" w:hAnsi="Arial" w:cs="Arial"/>
                <w:b/>
                <w:bCs/>
                <w:sz w:val="24"/>
                <w:szCs w:val="24"/>
              </w:rPr>
            </w:pPr>
            <w:r w:rsidRPr="0087494A">
              <w:rPr>
                <w:rFonts w:ascii="Arial" w:hAnsi="Arial" w:cs="Arial"/>
                <w:b/>
                <w:bCs/>
                <w:sz w:val="24"/>
                <w:szCs w:val="24"/>
              </w:rPr>
              <w:t>1</w:t>
            </w:r>
            <w:r w:rsidR="00453D28" w:rsidRPr="0087494A">
              <w:rPr>
                <w:rFonts w:ascii="Arial" w:hAnsi="Arial" w:cs="Arial"/>
                <w:b/>
                <w:bCs/>
                <w:sz w:val="24"/>
                <w:szCs w:val="24"/>
              </w:rPr>
              <w:t>7</w:t>
            </w:r>
          </w:p>
        </w:tc>
      </w:tr>
    </w:tbl>
    <w:p w14:paraId="18ECA7B3" w14:textId="77777777" w:rsidR="00CE3E97" w:rsidRDefault="00CE3E97" w:rsidP="00743A56">
      <w:pPr>
        <w:ind w:firstLine="720"/>
        <w:jc w:val="both"/>
        <w:rPr>
          <w:rFonts w:ascii="Arial" w:hAnsi="Arial" w:cs="Arial"/>
          <w:b/>
          <w:bCs/>
          <w:sz w:val="28"/>
          <w:szCs w:val="28"/>
          <w:lang w:val="en-GB"/>
        </w:rPr>
      </w:pPr>
    </w:p>
    <w:p w14:paraId="2F212377" w14:textId="77777777" w:rsidR="00743A56" w:rsidRDefault="00743A56" w:rsidP="00743A56">
      <w:pPr>
        <w:ind w:firstLine="720"/>
        <w:jc w:val="both"/>
        <w:rPr>
          <w:rFonts w:ascii="Arial" w:hAnsi="Arial" w:cs="Arial"/>
          <w:b/>
          <w:bCs/>
          <w:sz w:val="28"/>
          <w:szCs w:val="28"/>
          <w:lang w:val="en-GB"/>
        </w:rPr>
      </w:pPr>
    </w:p>
    <w:p w14:paraId="17557A5C" w14:textId="77777777" w:rsidR="00743A56" w:rsidRDefault="00743A56" w:rsidP="00743A56">
      <w:pPr>
        <w:ind w:firstLine="720"/>
        <w:jc w:val="both"/>
        <w:rPr>
          <w:rFonts w:ascii="Arial" w:hAnsi="Arial" w:cs="Arial"/>
          <w:b/>
          <w:bCs/>
          <w:sz w:val="28"/>
          <w:szCs w:val="28"/>
          <w:lang w:val="en-GB"/>
        </w:rPr>
      </w:pPr>
    </w:p>
    <w:p w14:paraId="1ABE2D1D" w14:textId="397231F9" w:rsidR="007F07B9" w:rsidRPr="00E954D6" w:rsidRDefault="007F07B9" w:rsidP="00D464E3">
      <w:pPr>
        <w:pStyle w:val="Heading1"/>
        <w:numPr>
          <w:ilvl w:val="0"/>
          <w:numId w:val="6"/>
        </w:numPr>
        <w:rPr>
          <w:lang w:val="en-GB"/>
        </w:rPr>
      </w:pPr>
      <w:r w:rsidRPr="00E954D6">
        <w:rPr>
          <w:lang w:val="en-GB"/>
        </w:rPr>
        <w:lastRenderedPageBreak/>
        <w:t>Introduction</w:t>
      </w:r>
    </w:p>
    <w:p w14:paraId="375B10BC" w14:textId="4FAD80B7" w:rsidR="00173FA9" w:rsidRPr="00E954D6" w:rsidRDefault="00173FA9" w:rsidP="00267CF5">
      <w:pPr>
        <w:pStyle w:val="NormalWeb"/>
        <w:jc w:val="both"/>
        <w:rPr>
          <w:rFonts w:ascii="Arial" w:hAnsi="Arial" w:cs="Arial"/>
          <w:lang w:val="en-GB"/>
        </w:rPr>
      </w:pPr>
      <w:r w:rsidRPr="00E954D6">
        <w:rPr>
          <w:rFonts w:ascii="Arial" w:hAnsi="Arial" w:cs="Arial"/>
          <w:lang w:val="en-GB"/>
        </w:rPr>
        <w:t xml:space="preserve">NHS England is </w:t>
      </w:r>
      <w:r w:rsidR="009F0533">
        <w:rPr>
          <w:rFonts w:ascii="Arial" w:hAnsi="Arial" w:cs="Arial"/>
          <w:lang w:val="en-GB"/>
        </w:rPr>
        <w:t xml:space="preserve">liable </w:t>
      </w:r>
      <w:r w:rsidRPr="00E954D6">
        <w:rPr>
          <w:rFonts w:ascii="Arial" w:hAnsi="Arial" w:cs="Arial"/>
          <w:lang w:val="en-GB"/>
        </w:rPr>
        <w:t xml:space="preserve">for </w:t>
      </w:r>
      <w:r w:rsidR="009F0533">
        <w:rPr>
          <w:rFonts w:ascii="Arial" w:hAnsi="Arial" w:cs="Arial"/>
          <w:lang w:val="en-GB"/>
        </w:rPr>
        <w:t>managing</w:t>
      </w:r>
      <w:r w:rsidRPr="00E954D6">
        <w:rPr>
          <w:rFonts w:ascii="Arial" w:hAnsi="Arial" w:cs="Arial"/>
          <w:lang w:val="en-GB"/>
        </w:rPr>
        <w:t xml:space="preserve"> the planning, delivery and performance of healthcare services across England. It works with Integrated Care Systems (ICSs), NHS Trusts and partner organisations to provide a wide range of services, including acute care, community healthcare, mental health services and specialist treatments. Due to the scale of its operations, NHS generates and manages </w:t>
      </w:r>
      <w:r w:rsidR="009F0533">
        <w:rPr>
          <w:rFonts w:ascii="Arial" w:hAnsi="Arial" w:cs="Arial"/>
          <w:lang w:val="en-GB"/>
        </w:rPr>
        <w:t>massive</w:t>
      </w:r>
      <w:r w:rsidRPr="00E954D6">
        <w:rPr>
          <w:rFonts w:ascii="Arial" w:hAnsi="Arial" w:cs="Arial"/>
          <w:lang w:val="en-GB"/>
        </w:rPr>
        <w:t xml:space="preserve"> volumes of patient, clinical, operational, workforce and financial data </w:t>
      </w:r>
      <w:r w:rsidR="00F84CE4">
        <w:rPr>
          <w:rFonts w:ascii="Arial" w:hAnsi="Arial" w:cs="Arial"/>
          <w:lang w:val="en-GB"/>
        </w:rPr>
        <w:t>daily</w:t>
      </w:r>
      <w:r w:rsidRPr="00E954D6">
        <w:rPr>
          <w:rFonts w:ascii="Arial" w:hAnsi="Arial" w:cs="Arial"/>
          <w:lang w:val="en-GB"/>
        </w:rPr>
        <w:t>.</w:t>
      </w:r>
    </w:p>
    <w:p w14:paraId="3B9DDFCD" w14:textId="77777777" w:rsidR="00173FA9" w:rsidRPr="00E954D6" w:rsidRDefault="00173FA9" w:rsidP="00267CF5">
      <w:pPr>
        <w:pStyle w:val="NormalWeb"/>
        <w:jc w:val="both"/>
        <w:rPr>
          <w:rFonts w:ascii="Arial" w:hAnsi="Arial" w:cs="Arial"/>
          <w:lang w:val="en-GB"/>
        </w:rPr>
      </w:pPr>
      <w:r w:rsidRPr="00E954D6">
        <w:rPr>
          <w:rFonts w:ascii="Arial" w:hAnsi="Arial" w:cs="Arial"/>
          <w:lang w:val="en-GB"/>
        </w:rPr>
        <w:t>Although valuable information is collected through systems such as Electronic Patient Records (EPR), Patient Administration Systems (PAS), workforce management platforms and financial systems, much of this data remains distributed across separate operational systems. As a result, decision-makers may face challenges in obtaining a unified view of healthcare performance, patient outcomes, resource utilisation and financial efficiency across different regions and services. This fragmented data landscape can limit the organisation's ability to make timely and evidence-based decisions.</w:t>
      </w:r>
    </w:p>
    <w:p w14:paraId="329F9DB4" w14:textId="4CA3CD42" w:rsidR="00173FA9" w:rsidRPr="00E954D6" w:rsidRDefault="00173FA9" w:rsidP="00267CF5">
      <w:pPr>
        <w:pStyle w:val="NormalWeb"/>
        <w:jc w:val="both"/>
        <w:rPr>
          <w:rFonts w:ascii="Arial" w:hAnsi="Arial" w:cs="Arial"/>
          <w:lang w:val="en-GB"/>
        </w:rPr>
      </w:pPr>
      <w:r w:rsidRPr="00E954D6">
        <w:rPr>
          <w:rFonts w:ascii="Arial" w:hAnsi="Arial" w:cs="Arial"/>
          <w:lang w:val="en-GB"/>
        </w:rPr>
        <w:t>A data warehouse</w:t>
      </w:r>
      <w:r w:rsidR="009F0533">
        <w:rPr>
          <w:rFonts w:ascii="Arial" w:hAnsi="Arial" w:cs="Arial"/>
          <w:lang w:val="en-GB"/>
        </w:rPr>
        <w:t xml:space="preserve"> gives</w:t>
      </w:r>
      <w:r w:rsidRPr="00E954D6">
        <w:rPr>
          <w:rFonts w:ascii="Arial" w:hAnsi="Arial" w:cs="Arial"/>
          <w:lang w:val="en-GB"/>
        </w:rPr>
        <w:t xml:space="preserve"> a potential solution by integrating data from multiple sources into a central repository designed for analysis and reporting. This report evaluates how a data warehousing solution could support NHS England by improving access to reliable information and enabling data-driven decision-making. The report discusses key data warehousing concepts, including OLTP systems, data warehouse architecture, ETL processes, data marts, dimensional modelling, star schema design, data quality and governance considerations within the NHS England context.</w:t>
      </w:r>
    </w:p>
    <w:p w14:paraId="339E7A2A" w14:textId="2D9F58B2" w:rsidR="00B70425" w:rsidRPr="00E954D6" w:rsidRDefault="002B4B13" w:rsidP="00B70425">
      <w:pPr>
        <w:pStyle w:val="NormalWeb"/>
        <w:jc w:val="both"/>
        <w:rPr>
          <w:rFonts w:ascii="Arial" w:hAnsi="Arial" w:cs="Arial"/>
          <w:lang w:val="en-GB"/>
        </w:rPr>
      </w:pPr>
      <w:r>
        <w:rPr>
          <w:rFonts w:ascii="Arial" w:hAnsi="Arial" w:cs="Arial"/>
          <w:lang w:val="en-GB"/>
        </w:rPr>
        <w:t>NHS</w:t>
      </w:r>
      <w:r w:rsidR="00B70425" w:rsidRPr="00E954D6">
        <w:rPr>
          <w:rFonts w:ascii="Arial" w:hAnsi="Arial" w:cs="Arial"/>
          <w:lang w:val="en-GB"/>
        </w:rPr>
        <w:t xml:space="preserve"> generate data continuously from a wide range of clinical and administrative activities. Patient consultations, diagnostic tests, prescriptions, emergency admissions, laboratory services, financial transactions and workforce operations all contribute to rapidly increasing volumes of structured data. As healthcare services continue to expand and become more digitally connected, effectively managing these large and diverse datasets has become essential for improving operational efficiency, maintaining service quality and supporting long-term healthcare planning.</w:t>
      </w:r>
    </w:p>
    <w:p w14:paraId="61C15EE5" w14:textId="5CDBD5EE" w:rsidR="00B70425" w:rsidRPr="00E954D6" w:rsidRDefault="00B70425" w:rsidP="00B70425">
      <w:pPr>
        <w:pStyle w:val="NormalWeb"/>
        <w:jc w:val="both"/>
        <w:rPr>
          <w:rFonts w:ascii="Arial" w:hAnsi="Arial" w:cs="Arial"/>
          <w:lang w:val="en-GB"/>
        </w:rPr>
      </w:pPr>
      <w:r w:rsidRPr="00E954D6">
        <w:rPr>
          <w:rFonts w:ascii="Arial" w:hAnsi="Arial" w:cs="Arial"/>
          <w:lang w:val="en-GB"/>
        </w:rPr>
        <w:t xml:space="preserve"> By consolidating information from multiple systems into a single analytical platform, healthcare organisations can monitor key performance indicators, identify trends, evaluate resource utilisation and support strategic policy development. For NHS England, implementing an enterprise data warehouse would enable healthcare managers and decision-makers to access reliable, integrated information that supports continuous service improvement and evidence-based decision-making across the organisation.</w:t>
      </w:r>
    </w:p>
    <w:p w14:paraId="1F6DD2AE" w14:textId="77777777" w:rsidR="00CE3E97" w:rsidRDefault="00CE3E97" w:rsidP="00CE3E97">
      <w:pPr>
        <w:rPr>
          <w:lang w:val="en-GB"/>
        </w:rPr>
      </w:pPr>
    </w:p>
    <w:p w14:paraId="7613348F" w14:textId="77777777" w:rsidR="00743A56" w:rsidRDefault="00743A56" w:rsidP="00CE3E97">
      <w:pPr>
        <w:rPr>
          <w:lang w:val="en-GB"/>
        </w:rPr>
      </w:pPr>
    </w:p>
    <w:p w14:paraId="41FE8CE0" w14:textId="77777777" w:rsidR="00743A56" w:rsidRDefault="00743A56" w:rsidP="00CE3E97">
      <w:pPr>
        <w:rPr>
          <w:lang w:val="en-GB"/>
        </w:rPr>
      </w:pPr>
    </w:p>
    <w:p w14:paraId="4D0B7B2B" w14:textId="77777777" w:rsidR="00EB5D4A" w:rsidRDefault="00EB5D4A" w:rsidP="00CE3E97">
      <w:pPr>
        <w:rPr>
          <w:lang w:val="en-GB"/>
        </w:rPr>
      </w:pPr>
    </w:p>
    <w:p w14:paraId="13073A18" w14:textId="77777777" w:rsidR="003C2FD0" w:rsidRPr="00CE3E97" w:rsidRDefault="003C2FD0" w:rsidP="00CE3E97">
      <w:pPr>
        <w:rPr>
          <w:lang w:val="en-GB"/>
        </w:rPr>
      </w:pPr>
    </w:p>
    <w:p w14:paraId="25C5480E" w14:textId="77777777" w:rsidR="00D66516" w:rsidRDefault="00D66516" w:rsidP="00D464E3">
      <w:pPr>
        <w:pStyle w:val="Heading1"/>
        <w:rPr>
          <w:lang w:val="en-GB"/>
        </w:rPr>
      </w:pPr>
    </w:p>
    <w:p w14:paraId="7525EC81" w14:textId="733A7C73" w:rsidR="007F07B9" w:rsidRPr="00E954D6" w:rsidRDefault="007F07B9" w:rsidP="00D464E3">
      <w:pPr>
        <w:pStyle w:val="Heading1"/>
        <w:rPr>
          <w:lang w:val="en-GB"/>
        </w:rPr>
      </w:pPr>
      <w:r w:rsidRPr="00E954D6">
        <w:rPr>
          <w:lang w:val="en-GB"/>
        </w:rPr>
        <w:t>2. Task 1: Data Warehousing Concepts for NHS England</w:t>
      </w:r>
    </w:p>
    <w:p w14:paraId="4AEF065A" w14:textId="77777777" w:rsidR="007F07B9" w:rsidRPr="00E954D6" w:rsidRDefault="007F07B9" w:rsidP="00267CF5">
      <w:pPr>
        <w:jc w:val="both"/>
        <w:rPr>
          <w:rFonts w:ascii="Arial" w:hAnsi="Arial" w:cs="Arial"/>
          <w:sz w:val="28"/>
          <w:szCs w:val="28"/>
          <w:lang w:val="en-GB"/>
        </w:rPr>
      </w:pPr>
    </w:p>
    <w:p w14:paraId="4ED37D57" w14:textId="77777777" w:rsidR="007F07B9" w:rsidRPr="00E954D6" w:rsidRDefault="007F07B9" w:rsidP="00550D42">
      <w:pPr>
        <w:pStyle w:val="Heading2"/>
        <w:jc w:val="both"/>
        <w:rPr>
          <w:lang w:val="en-GB"/>
        </w:rPr>
      </w:pPr>
      <w:r w:rsidRPr="00E954D6">
        <w:rPr>
          <w:lang w:val="en-GB"/>
        </w:rPr>
        <w:t>2.1 OLTP vs Data Warehouse</w:t>
      </w:r>
    </w:p>
    <w:p w14:paraId="4D4C9CBF" w14:textId="77777777" w:rsidR="00BA3569" w:rsidRPr="00E954D6" w:rsidRDefault="00BA3569" w:rsidP="00A43DF2">
      <w:pPr>
        <w:rPr>
          <w:lang w:val="en-GB"/>
        </w:rPr>
      </w:pPr>
    </w:p>
    <w:p w14:paraId="01FBB735" w14:textId="77777777" w:rsidR="00586BC4" w:rsidRPr="00E954D6" w:rsidRDefault="00586BC4" w:rsidP="00550D42">
      <w:pPr>
        <w:jc w:val="both"/>
        <w:rPr>
          <w:rFonts w:ascii="Arial" w:hAnsi="Arial" w:cs="Arial"/>
          <w:lang w:val="en-GB"/>
        </w:rPr>
      </w:pPr>
      <w:r w:rsidRPr="00E954D6">
        <w:rPr>
          <w:rFonts w:ascii="Arial" w:hAnsi="Arial" w:cs="Arial"/>
          <w:lang w:val="en-GB"/>
        </w:rPr>
        <w:t>Online Transaction Processing (OLTP) systems and data warehouses serve different purposes within an organisation. OLTP systems are designed to support day-to-day business operations by processing large numbers of transactions quickly and accurately. In the healthcare environment, systems such as Electronic Patient Records (EPR), Patient Administration Systems (PAS) and financial management applications are examples of OLTP systems. These platforms are primarily focused on recording, updating and retrieving current operational data required for clinical and administrative activities.</w:t>
      </w:r>
    </w:p>
    <w:p w14:paraId="30B02952" w14:textId="2F74085E" w:rsidR="00586BC4" w:rsidRPr="00E954D6" w:rsidRDefault="00586BC4" w:rsidP="00550D42">
      <w:pPr>
        <w:jc w:val="both"/>
        <w:rPr>
          <w:rFonts w:ascii="Arial" w:hAnsi="Arial" w:cs="Arial"/>
          <w:lang w:val="en-GB"/>
        </w:rPr>
      </w:pPr>
      <w:r w:rsidRPr="00E954D6">
        <w:rPr>
          <w:rFonts w:ascii="Arial" w:hAnsi="Arial" w:cs="Arial"/>
          <w:lang w:val="en-GB"/>
        </w:rPr>
        <w:t xml:space="preserve">In contrast, a data warehouse is designed to support analytical processing and strategic decision-making.  </w:t>
      </w:r>
      <w:r w:rsidR="007C167D">
        <w:rPr>
          <w:rFonts w:ascii="Arial" w:hAnsi="Arial" w:cs="Arial"/>
          <w:lang w:val="en-GB"/>
        </w:rPr>
        <w:t>Managing</w:t>
      </w:r>
      <w:r w:rsidRPr="00E954D6">
        <w:rPr>
          <w:rFonts w:ascii="Arial" w:hAnsi="Arial" w:cs="Arial"/>
          <w:lang w:val="en-GB"/>
        </w:rPr>
        <w:t xml:space="preserve"> individual transactions, it consolidates data from multiple operational systems into a central repository </w:t>
      </w:r>
      <w:r w:rsidR="00D66516">
        <w:rPr>
          <w:rFonts w:ascii="Arial" w:hAnsi="Arial" w:cs="Arial"/>
          <w:lang w:val="en-GB"/>
        </w:rPr>
        <w:t>for reporting, trend analysis,</w:t>
      </w:r>
      <w:r w:rsidRPr="00E954D6">
        <w:rPr>
          <w:rFonts w:ascii="Arial" w:hAnsi="Arial" w:cs="Arial"/>
          <w:lang w:val="en-GB"/>
        </w:rPr>
        <w:t xml:space="preserve"> and performance monitoring. Data stored in a warehouse is typically historical, integrated and structured to support complex queries.</w:t>
      </w:r>
    </w:p>
    <w:p w14:paraId="3016B5B0" w14:textId="2289826C" w:rsidR="00490FFC" w:rsidRPr="00E954D6" w:rsidRDefault="00490FFC" w:rsidP="0025625B">
      <w:pPr>
        <w:jc w:val="both"/>
        <w:rPr>
          <w:rFonts w:ascii="Arial" w:hAnsi="Arial" w:cs="Arial"/>
          <w:lang w:val="en-GB"/>
        </w:rPr>
      </w:pPr>
      <w:r w:rsidRPr="00E954D6">
        <w:rPr>
          <w:rFonts w:ascii="Arial" w:hAnsi="Arial" w:cs="Arial"/>
          <w:lang w:val="en-GB"/>
        </w:rPr>
        <w:t xml:space="preserve"> OLTP systems and data warehouses serve different purposes</w:t>
      </w:r>
      <w:r w:rsidR="002915AD">
        <w:rPr>
          <w:rFonts w:ascii="Arial" w:hAnsi="Arial" w:cs="Arial"/>
          <w:lang w:val="en-GB"/>
        </w:rPr>
        <w:t>;</w:t>
      </w:r>
      <w:r w:rsidRPr="00E954D6">
        <w:rPr>
          <w:rFonts w:ascii="Arial" w:hAnsi="Arial" w:cs="Arial"/>
          <w:lang w:val="en-GB"/>
        </w:rPr>
        <w:t xml:space="preserve"> they complement each other within the </w:t>
      </w:r>
      <w:r w:rsidR="00AC19E1" w:rsidRPr="00E954D6">
        <w:rPr>
          <w:rFonts w:ascii="Arial" w:hAnsi="Arial" w:cs="Arial"/>
          <w:lang w:val="en-GB"/>
        </w:rPr>
        <w:t>NHS information</w:t>
      </w:r>
      <w:r w:rsidRPr="00E954D6">
        <w:rPr>
          <w:rFonts w:ascii="Arial" w:hAnsi="Arial" w:cs="Arial"/>
          <w:lang w:val="en-GB"/>
        </w:rPr>
        <w:t xml:space="preserve"> ecosystem. Operational systems continue to capture real-time patient and administrative transactions, while the enterprise data warehouse periodically receives data through ETL processes for analytical use. This separation ensures that daily healthcare operations remain efficient while providing decision-makers with reliable historical information for performance evaluation, service planning and strategic policy development. Together, both environments create a balanced architecture that supports operational excellence and long-term organisational improvement.</w:t>
      </w:r>
    </w:p>
    <w:p w14:paraId="3D6055BF" w14:textId="2DDB04BF" w:rsidR="006A6F17" w:rsidRPr="00F16342" w:rsidRDefault="0025625B" w:rsidP="00F16342">
      <w:pPr>
        <w:rPr>
          <w:rFonts w:ascii="Arial" w:hAnsi="Arial" w:cs="Arial"/>
          <w:lang w:val="en-GB"/>
        </w:rPr>
      </w:pPr>
      <w:r w:rsidRPr="00E954D6">
        <w:rPr>
          <w:rFonts w:ascii="Arial" w:hAnsi="Arial" w:cs="Arial"/>
          <w:lang w:val="en-GB"/>
        </w:rPr>
        <w:br w:type="page"/>
      </w:r>
    </w:p>
    <w:p w14:paraId="41C275AC" w14:textId="22FF51E7" w:rsidR="007441F6" w:rsidRDefault="001D05BF" w:rsidP="0025625B">
      <w:pPr>
        <w:pStyle w:val="Heading2"/>
        <w:rPr>
          <w:lang w:val="en-GB"/>
        </w:rPr>
      </w:pPr>
      <w:r w:rsidRPr="00495FFE">
        <w:rPr>
          <w:noProof/>
          <w:lang w:val="en-GB"/>
        </w:rPr>
        <w:lastRenderedPageBreak/>
        <w:drawing>
          <wp:anchor distT="0" distB="0" distL="114300" distR="114300" simplePos="0" relativeHeight="251670528" behindDoc="0" locked="0" layoutInCell="1" allowOverlap="1" wp14:anchorId="03FD86A8" wp14:editId="27DEE655">
            <wp:simplePos x="0" y="0"/>
            <wp:positionH relativeFrom="column">
              <wp:posOffset>244764</wp:posOffset>
            </wp:positionH>
            <wp:positionV relativeFrom="paragraph">
              <wp:posOffset>75854</wp:posOffset>
            </wp:positionV>
            <wp:extent cx="6797040" cy="4029075"/>
            <wp:effectExtent l="76200" t="76200" r="137160" b="142875"/>
            <wp:wrapSquare wrapText="bothSides"/>
            <wp:docPr id="1212132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132830" name=""/>
                    <pic:cNvPicPr/>
                  </pic:nvPicPr>
                  <pic:blipFill>
                    <a:blip r:embed="rId10">
                      <a:extLst>
                        <a:ext uri="{28A0092B-C50C-407E-A947-70E740481C1C}">
                          <a14:useLocalDpi xmlns:a14="http://schemas.microsoft.com/office/drawing/2010/main" val="0"/>
                        </a:ext>
                      </a:extLst>
                    </a:blip>
                    <a:stretch>
                      <a:fillRect/>
                    </a:stretch>
                  </pic:blipFill>
                  <pic:spPr>
                    <a:xfrm>
                      <a:off x="0" y="0"/>
                      <a:ext cx="6797040" cy="4029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7F07B9" w:rsidRPr="00E954D6">
        <w:rPr>
          <w:lang w:val="en-GB"/>
        </w:rPr>
        <w:t>2.2 Data Warehouse Architecture and ETL</w:t>
      </w:r>
    </w:p>
    <w:p w14:paraId="4CE34535" w14:textId="2F6A7B0C" w:rsidR="007441F6" w:rsidRPr="00E954D6" w:rsidRDefault="007441F6" w:rsidP="0025625B">
      <w:pPr>
        <w:tabs>
          <w:tab w:val="left" w:pos="3276"/>
        </w:tabs>
        <w:jc w:val="center"/>
        <w:rPr>
          <w:lang w:val="en-GB"/>
        </w:rPr>
      </w:pPr>
    </w:p>
    <w:p w14:paraId="0C26C6D0" w14:textId="3C0EC700" w:rsidR="007F07B9" w:rsidRPr="00E954D6" w:rsidRDefault="006A6F17" w:rsidP="006A6F17">
      <w:pPr>
        <w:pStyle w:val="Heading2"/>
        <w:jc w:val="center"/>
        <w:rPr>
          <w:lang w:val="en-GB"/>
        </w:rPr>
      </w:pPr>
      <w:r w:rsidRPr="00E954D6">
        <w:rPr>
          <w:lang w:val="en-GB"/>
        </w:rPr>
        <w:t>Figure 1: Proposed NHS England Data Warehouse Architecture</w:t>
      </w:r>
    </w:p>
    <w:p w14:paraId="2C5F4EAC" w14:textId="77777777" w:rsidR="006A6F17" w:rsidRPr="00E954D6" w:rsidRDefault="006A6F17" w:rsidP="006A6F17">
      <w:pPr>
        <w:rPr>
          <w:lang w:val="en-GB"/>
        </w:rPr>
      </w:pPr>
    </w:p>
    <w:p w14:paraId="03A0B9C4" w14:textId="5FE56321" w:rsidR="006A6F17" w:rsidRPr="00E954D6" w:rsidRDefault="006A6F17" w:rsidP="008059D7">
      <w:pPr>
        <w:jc w:val="both"/>
        <w:rPr>
          <w:rFonts w:ascii="Arial" w:hAnsi="Arial" w:cs="Arial"/>
          <w:lang w:val="en-GB"/>
        </w:rPr>
      </w:pPr>
      <w:r w:rsidRPr="00E954D6">
        <w:rPr>
          <w:rFonts w:ascii="Arial" w:hAnsi="Arial" w:cs="Arial"/>
          <w:lang w:val="en-GB"/>
        </w:rPr>
        <w:t xml:space="preserve">  The architecture integrates data from multiple operational systems, including  (EPR) sys</w:t>
      </w:r>
      <w:r w:rsidR="00775A0F">
        <w:rPr>
          <w:rFonts w:ascii="Arial" w:hAnsi="Arial" w:cs="Arial"/>
          <w:lang w:val="en-GB"/>
        </w:rPr>
        <w:t>tem</w:t>
      </w:r>
      <w:r w:rsidRPr="00E954D6">
        <w:rPr>
          <w:rFonts w:ascii="Arial" w:hAnsi="Arial" w:cs="Arial"/>
          <w:lang w:val="en-GB"/>
        </w:rPr>
        <w:t>s, (PAS), workforce management systems and financial management systems. These systems generate large volumes of operational data that support day-to-day healthcare activities across the organisation.</w:t>
      </w:r>
    </w:p>
    <w:p w14:paraId="480357CA" w14:textId="77777777" w:rsidR="006A6F17" w:rsidRPr="00E954D6" w:rsidRDefault="006A6F17" w:rsidP="008059D7">
      <w:pPr>
        <w:jc w:val="both"/>
        <w:rPr>
          <w:rFonts w:ascii="Arial" w:hAnsi="Arial" w:cs="Arial"/>
          <w:lang w:val="en-GB"/>
        </w:rPr>
      </w:pPr>
      <w:r w:rsidRPr="00E954D6">
        <w:rPr>
          <w:rFonts w:ascii="Arial" w:hAnsi="Arial" w:cs="Arial"/>
          <w:lang w:val="en-GB"/>
        </w:rPr>
        <w:t>The ETL (Extract, Transform and Load) process acts as the foundation of the architecture. During the extraction stage, data is collected from the various source systems. The transformation stage involves cleansing, validating and standardising the data to ensure consistency and accuracy. Finally, the transformed data is loaded into the enterprise data warehouse, where it is stored in an integrated and structured format suitable for analysis and reporting.</w:t>
      </w:r>
    </w:p>
    <w:p w14:paraId="434BB414" w14:textId="77777777" w:rsidR="006A6F17" w:rsidRPr="00E954D6" w:rsidRDefault="006A6F17" w:rsidP="008059D7">
      <w:pPr>
        <w:jc w:val="both"/>
        <w:rPr>
          <w:rFonts w:ascii="Arial" w:hAnsi="Arial" w:cs="Arial"/>
          <w:lang w:val="en-GB"/>
        </w:rPr>
      </w:pPr>
      <w:r w:rsidRPr="00E954D6">
        <w:rPr>
          <w:rFonts w:ascii="Arial" w:hAnsi="Arial" w:cs="Arial"/>
          <w:lang w:val="en-GB"/>
        </w:rPr>
        <w:t>The enterprise data warehouse serves as a central repository that combines information from different departments and services. By storing historical and current data in a single location, it provides a consistent view of organisational performance. This enables NHS England to overcome data silos and improve access to reliable information for decision-making.</w:t>
      </w:r>
    </w:p>
    <w:p w14:paraId="07A2234D" w14:textId="7BFCA93D" w:rsidR="00C744B1" w:rsidRPr="00001D2C" w:rsidRDefault="006A6F17" w:rsidP="008059D7">
      <w:pPr>
        <w:jc w:val="both"/>
        <w:rPr>
          <w:rFonts w:ascii="Arial" w:hAnsi="Arial" w:cs="Arial"/>
          <w:lang w:val="en-GB"/>
        </w:rPr>
      </w:pPr>
      <w:r w:rsidRPr="00E954D6">
        <w:rPr>
          <w:rFonts w:ascii="Arial" w:hAnsi="Arial" w:cs="Arial"/>
          <w:lang w:val="en-GB"/>
        </w:rPr>
        <w:t>To support specific business functions, the warehouse feeds data into specialised data marts, including clinical, financial and workforce data marts. These data marts provide focused datasets for different user groups and support dashboards, performance reports and key performance indicator (KPI) monitoring. As a result, managers and healthcare leaders can make more informed decisions regarding patient care, resource allocation, workforce planning and financial performance.</w:t>
      </w:r>
    </w:p>
    <w:p w14:paraId="0490439E" w14:textId="14D5C8CE" w:rsidR="00A43DF2" w:rsidRPr="00E954D6" w:rsidRDefault="007F07B9" w:rsidP="00001D2C">
      <w:pPr>
        <w:pStyle w:val="Heading2"/>
        <w:jc w:val="both"/>
        <w:rPr>
          <w:lang w:val="en-GB"/>
        </w:rPr>
      </w:pPr>
      <w:r w:rsidRPr="00E954D6">
        <w:rPr>
          <w:lang w:val="en-GB"/>
        </w:rPr>
        <w:lastRenderedPageBreak/>
        <w:t>2.3 Data Marts for Management Decision-Making</w:t>
      </w:r>
    </w:p>
    <w:p w14:paraId="355844E6" w14:textId="7E0D167E" w:rsidR="008059D7" w:rsidRPr="00E954D6" w:rsidRDefault="008059D7" w:rsidP="008059D7">
      <w:pPr>
        <w:jc w:val="both"/>
        <w:rPr>
          <w:rFonts w:ascii="Arial" w:hAnsi="Arial" w:cs="Arial"/>
          <w:lang w:val="en-GB"/>
        </w:rPr>
      </w:pPr>
      <w:r w:rsidRPr="00E954D6">
        <w:rPr>
          <w:rFonts w:ascii="Arial" w:hAnsi="Arial" w:cs="Arial"/>
          <w:lang w:val="en-GB"/>
        </w:rPr>
        <w:t>Data marts are specialised subsets of a data warehouse that are designed to meet the information needs of specific departments or business functions. Unlike the enterprise data warehouse, which stores integrated data from across the organisation, data marts provide focused</w:t>
      </w:r>
      <w:r w:rsidR="00AF2E1C">
        <w:rPr>
          <w:rFonts w:ascii="Arial" w:hAnsi="Arial" w:cs="Arial"/>
          <w:lang w:val="en-GB"/>
        </w:rPr>
        <w:t>, relevant information for specific user groups</w:t>
      </w:r>
      <w:r w:rsidRPr="00E954D6">
        <w:rPr>
          <w:rFonts w:ascii="Arial" w:hAnsi="Arial" w:cs="Arial"/>
          <w:lang w:val="en-GB"/>
        </w:rPr>
        <w:t>. This approach improves query performance and enables faster access to information required for decision-making.</w:t>
      </w:r>
    </w:p>
    <w:p w14:paraId="1657F789" w14:textId="719D562E" w:rsidR="008059D7" w:rsidRPr="00E954D6" w:rsidRDefault="008059D7" w:rsidP="008059D7">
      <w:pPr>
        <w:jc w:val="both"/>
        <w:rPr>
          <w:rFonts w:ascii="Arial" w:hAnsi="Arial" w:cs="Arial"/>
          <w:lang w:val="en-GB"/>
        </w:rPr>
      </w:pPr>
      <w:r w:rsidRPr="00E954D6">
        <w:rPr>
          <w:rFonts w:ascii="Arial" w:hAnsi="Arial" w:cs="Arial"/>
          <w:lang w:val="en-GB"/>
        </w:rPr>
        <w:t xml:space="preserve">Within NHS England, different data marts can be developed to support clinical, financial and workforce management activities. A clinical data mart may contain information </w:t>
      </w:r>
      <w:r w:rsidR="00AF2E1C">
        <w:rPr>
          <w:rFonts w:ascii="Arial" w:hAnsi="Arial" w:cs="Arial"/>
          <w:lang w:val="en-GB"/>
        </w:rPr>
        <w:t>on patient outcomes, treatment effectiveness, waiting times,</w:t>
      </w:r>
      <w:r w:rsidR="00463B01">
        <w:rPr>
          <w:rFonts w:ascii="Arial" w:hAnsi="Arial" w:cs="Arial"/>
          <w:lang w:val="en-GB"/>
        </w:rPr>
        <w:t>+-</w:t>
      </w:r>
      <w:r w:rsidRPr="00E954D6">
        <w:rPr>
          <w:rFonts w:ascii="Arial" w:hAnsi="Arial" w:cs="Arial"/>
          <w:lang w:val="en-GB"/>
        </w:rPr>
        <w:t xml:space="preserve"> and quality indicators. Healthcare managers can use this information to monitor service performance, identify areas requiring improvement and support evidence-based patient care decisions.</w:t>
      </w:r>
    </w:p>
    <w:p w14:paraId="0C42DD97" w14:textId="61A75EF3" w:rsidR="001D05BF" w:rsidRDefault="008059D7" w:rsidP="001D05BF">
      <w:pPr>
        <w:jc w:val="both"/>
        <w:rPr>
          <w:rFonts w:ascii="Arial" w:hAnsi="Arial" w:cs="Arial"/>
          <w:lang w:val="en-GB"/>
        </w:rPr>
      </w:pPr>
      <w:r w:rsidRPr="00E954D6">
        <w:rPr>
          <w:rFonts w:ascii="Arial" w:hAnsi="Arial" w:cs="Arial"/>
          <w:lang w:val="en-GB"/>
        </w:rPr>
        <w:t>A financial data mart focuses on budgeting, expenditure, revenue and cost management. By analysing financial information through dedicated dashboards and reports, managers can monitor spending patterns, evaluate resource utilisation and ensure that healthcare services operate within budgetary constraints. This supports financial planning and improves accountability across NHS organisations</w:t>
      </w:r>
      <w:r w:rsidR="001D05BF">
        <w:rPr>
          <w:rFonts w:ascii="Arial" w:hAnsi="Arial" w:cs="Arial"/>
          <w:lang w:val="en-GB"/>
        </w:rPr>
        <w:t>.</w:t>
      </w:r>
    </w:p>
    <w:p w14:paraId="3D3814B4" w14:textId="38211C81" w:rsidR="001D05BF" w:rsidRDefault="00743A56" w:rsidP="001D05BF">
      <w:pPr>
        <w:jc w:val="both"/>
        <w:rPr>
          <w:rFonts w:ascii="Arial" w:hAnsi="Arial" w:cs="Arial"/>
          <w:lang w:val="en-GB"/>
        </w:rPr>
      </w:pPr>
      <w:r w:rsidRPr="00E954D6">
        <w:rPr>
          <w:rFonts w:ascii="Arial" w:hAnsi="Arial" w:cs="Arial"/>
          <w:noProof/>
          <w:lang w:val="en-GB"/>
        </w:rPr>
        <w:drawing>
          <wp:anchor distT="0" distB="0" distL="114300" distR="114300" simplePos="0" relativeHeight="251675648" behindDoc="0" locked="0" layoutInCell="1" allowOverlap="1" wp14:anchorId="6BA9D765" wp14:editId="07D107DE">
            <wp:simplePos x="0" y="0"/>
            <wp:positionH relativeFrom="margin">
              <wp:posOffset>66675</wp:posOffset>
            </wp:positionH>
            <wp:positionV relativeFrom="paragraph">
              <wp:posOffset>1177290</wp:posOffset>
            </wp:positionV>
            <wp:extent cx="6610350" cy="3219450"/>
            <wp:effectExtent l="0" t="0" r="0" b="0"/>
            <wp:wrapSquare wrapText="bothSides"/>
            <wp:docPr id="8488039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1D05BF" w:rsidRPr="00E954D6">
        <w:rPr>
          <w:rFonts w:ascii="Arial" w:hAnsi="Arial" w:cs="Arial"/>
          <w:lang w:val="en-GB"/>
        </w:rPr>
        <w:t>Similarly, a workforce data mart contains information related to staffing levels, employee attendance, training records and workforce utilisation. Access to this information enables managers to identify staffing shortages, monitor employee performance and plan future workforce requirements. As healthcare services depend heavily on skilled personnel, workforce analytics plays a significant role in maintaining service quality and operational efficiency</w:t>
      </w:r>
    </w:p>
    <w:p w14:paraId="6AAE203D" w14:textId="77B6BA97" w:rsidR="001D05BF" w:rsidRPr="001D05BF" w:rsidRDefault="001D05BF" w:rsidP="001D05BF">
      <w:pPr>
        <w:jc w:val="both"/>
        <w:rPr>
          <w:rFonts w:ascii="Arial" w:hAnsi="Arial" w:cs="Arial"/>
          <w:lang w:val="en-GB"/>
        </w:rPr>
      </w:pPr>
    </w:p>
    <w:p w14:paraId="3517C33D" w14:textId="77777777" w:rsidR="001D05BF" w:rsidRPr="00E954D6" w:rsidRDefault="001D05BF" w:rsidP="001D05BF">
      <w:pPr>
        <w:jc w:val="center"/>
        <w:rPr>
          <w:rFonts w:ascii="Arial" w:hAnsi="Arial" w:cs="Arial"/>
          <w:color w:val="0F4761" w:themeColor="accent1" w:themeShade="BF"/>
          <w:lang w:val="en-GB"/>
        </w:rPr>
      </w:pPr>
      <w:r w:rsidRPr="00E954D6">
        <w:rPr>
          <w:rFonts w:ascii="Arial" w:hAnsi="Arial" w:cs="Arial"/>
          <w:color w:val="0F4761" w:themeColor="accent1" w:themeShade="BF"/>
          <w:lang w:val="en-GB"/>
        </w:rPr>
        <w:t>Figure 1A: Distribution of NHS England Data Mart Usage by Business Function</w:t>
      </w:r>
    </w:p>
    <w:p w14:paraId="26439235" w14:textId="5D1B2975" w:rsidR="00E954D6" w:rsidRPr="00E954D6" w:rsidRDefault="00E954D6" w:rsidP="00BA3569">
      <w:pPr>
        <w:rPr>
          <w:rFonts w:ascii="Arial" w:hAnsi="Arial" w:cs="Arial"/>
          <w:color w:val="FFFFFF" w:themeColor="background1"/>
          <w:lang w:val="en-GB"/>
          <w14:textFill>
            <w14:noFill/>
          </w14:textFill>
        </w:rPr>
      </w:pPr>
      <w:r w:rsidRPr="00E954D6">
        <w:rPr>
          <w:rFonts w:ascii="Arial" w:hAnsi="Arial" w:cs="Arial"/>
          <w:color w:val="FFFFFF" w:themeColor="background1"/>
          <w:lang w:val="en-GB"/>
          <w14:textFill>
            <w14:noFill/>
          </w14:textFill>
        </w:rPr>
        <w:t>Mart Usage by Business Function</w:t>
      </w:r>
    </w:p>
    <w:p w14:paraId="4B5DA081" w14:textId="3D6CDF0F" w:rsidR="00E954D6" w:rsidRPr="00E954D6" w:rsidRDefault="00E954D6" w:rsidP="00E954D6">
      <w:pPr>
        <w:jc w:val="both"/>
        <w:rPr>
          <w:rFonts w:ascii="Arial" w:hAnsi="Arial" w:cs="Arial"/>
          <w:lang w:val="en-GB"/>
        </w:rPr>
      </w:pPr>
      <w:r w:rsidRPr="00E954D6">
        <w:rPr>
          <w:rFonts w:ascii="Arial" w:hAnsi="Arial" w:cs="Arial"/>
          <w:lang w:val="en-GB"/>
        </w:rPr>
        <w:t xml:space="preserve">The chart shows that the Clinical Data Mart accounts for the largest proportion of </w:t>
      </w:r>
      <w:r w:rsidRPr="00FA3824">
        <w:rPr>
          <w:rFonts w:ascii="Arial" w:hAnsi="Arial" w:cs="Arial"/>
          <w:color w:val="0070C0"/>
          <w:lang w:val="en-GB"/>
        </w:rPr>
        <w:t xml:space="preserve">data warehouse usage (45%), </w:t>
      </w:r>
      <w:r w:rsidRPr="00E954D6">
        <w:rPr>
          <w:rFonts w:ascii="Arial" w:hAnsi="Arial" w:cs="Arial"/>
          <w:lang w:val="en-GB"/>
        </w:rPr>
        <w:t xml:space="preserve">followed by the </w:t>
      </w:r>
      <w:r w:rsidRPr="00FA3824">
        <w:rPr>
          <w:rFonts w:ascii="Arial" w:hAnsi="Arial" w:cs="Arial"/>
          <w:color w:val="ED7D31"/>
          <w:lang w:val="en-GB"/>
        </w:rPr>
        <w:t xml:space="preserve">Financial Data Mart (30%) </w:t>
      </w:r>
      <w:r w:rsidRPr="00E954D6">
        <w:rPr>
          <w:rFonts w:ascii="Arial" w:hAnsi="Arial" w:cs="Arial"/>
          <w:lang w:val="en-GB"/>
        </w:rPr>
        <w:t xml:space="preserve">and </w:t>
      </w:r>
      <w:r w:rsidRPr="00FA3824">
        <w:rPr>
          <w:rFonts w:ascii="Arial" w:hAnsi="Arial" w:cs="Arial"/>
          <w:color w:val="00B050"/>
          <w:lang w:val="en-GB"/>
        </w:rPr>
        <w:t xml:space="preserve">Workforce Data Mart (25%), </w:t>
      </w:r>
      <w:r w:rsidRPr="00E954D6">
        <w:rPr>
          <w:rFonts w:ascii="Arial" w:hAnsi="Arial" w:cs="Arial"/>
          <w:lang w:val="en-GB"/>
        </w:rPr>
        <w:t>reflecting their relative importance in organisational reporting and decision-making.</w:t>
      </w:r>
    </w:p>
    <w:p w14:paraId="1C38F928" w14:textId="23C1581A" w:rsidR="00A43DF2" w:rsidRPr="00E954D6" w:rsidRDefault="008059D7" w:rsidP="00E954D6">
      <w:pPr>
        <w:jc w:val="both"/>
        <w:rPr>
          <w:rFonts w:ascii="Arial" w:hAnsi="Arial" w:cs="Arial"/>
          <w:lang w:val="en-GB"/>
        </w:rPr>
      </w:pPr>
      <w:r w:rsidRPr="00E954D6">
        <w:rPr>
          <w:rFonts w:ascii="Arial" w:hAnsi="Arial" w:cs="Arial"/>
          <w:lang w:val="en-GB"/>
        </w:rPr>
        <w:lastRenderedPageBreak/>
        <w:t>Overall, data marts enhance the decision-making capabilities of NHS England by providing targeted, relevant and easily accessible information. They reduce the complexity of analysing large volumes of enterprise-wide data and allow managers to focus on the specific performance indicators that are most relevant to their responsibilities. As a result, data marts contribute to improved operational efficiency, resource allocation and strategic planning across the organisation</w:t>
      </w:r>
    </w:p>
    <w:p w14:paraId="4117F814" w14:textId="77777777" w:rsidR="00D464E3" w:rsidRPr="00E954D6" w:rsidRDefault="00D464E3" w:rsidP="00D464E3">
      <w:pPr>
        <w:rPr>
          <w:lang w:val="en-GB"/>
        </w:rPr>
      </w:pPr>
    </w:p>
    <w:p w14:paraId="198F3ACD" w14:textId="0143AC63" w:rsidR="007F07B9" w:rsidRPr="00E954D6" w:rsidRDefault="007F07B9" w:rsidP="00267CF5">
      <w:pPr>
        <w:pStyle w:val="Heading2"/>
        <w:rPr>
          <w:lang w:val="en-GB"/>
        </w:rPr>
      </w:pPr>
      <w:r w:rsidRPr="00E954D6">
        <w:rPr>
          <w:lang w:val="en-GB"/>
        </w:rPr>
        <w:t>2.4 OLTP Normalisation vs Data Warehouse Dimensional Modelling</w:t>
      </w:r>
    </w:p>
    <w:p w14:paraId="6F0DD8D1" w14:textId="77777777" w:rsidR="00A43DF2" w:rsidRPr="00E954D6" w:rsidRDefault="00A43DF2" w:rsidP="00A43DF2">
      <w:pPr>
        <w:rPr>
          <w:lang w:val="en-GB"/>
        </w:rPr>
      </w:pPr>
    </w:p>
    <w:p w14:paraId="01DA16D3" w14:textId="77777777" w:rsidR="001A4D0A" w:rsidRDefault="00C12702" w:rsidP="00EB6EF0">
      <w:pPr>
        <w:jc w:val="both"/>
        <w:rPr>
          <w:rFonts w:ascii="Arial" w:hAnsi="Arial" w:cs="Arial"/>
          <w:lang w:val="en-GB"/>
        </w:rPr>
      </w:pPr>
      <w:r w:rsidRPr="00E954D6">
        <w:rPr>
          <w:rFonts w:ascii="Arial" w:hAnsi="Arial" w:cs="Arial"/>
          <w:lang w:val="en-GB"/>
        </w:rPr>
        <w:t xml:space="preserve">OLTP systems and data warehouses are designed for different purposes, which is reflected in their database structures. OLTP databases typically use highly normalised data models to reduce redundancy and maintain data integrity. Data is divided into multiple related tables, ensuring that updates, inserts and deletions can be performed efficiently while minimising inconsistencies. In NHS operational systems such </w:t>
      </w:r>
      <w:r w:rsidR="004915E4" w:rsidRPr="00E954D6">
        <w:rPr>
          <w:rFonts w:ascii="Arial" w:hAnsi="Arial" w:cs="Arial"/>
          <w:lang w:val="en-GB"/>
        </w:rPr>
        <w:t>as (</w:t>
      </w:r>
      <w:r w:rsidRPr="00E954D6">
        <w:rPr>
          <w:rFonts w:ascii="Arial" w:hAnsi="Arial" w:cs="Arial"/>
          <w:lang w:val="en-GB"/>
        </w:rPr>
        <w:t>EPR) and  (PAS), normalisation helps maintain accurate and up-to-date patient information.</w:t>
      </w:r>
    </w:p>
    <w:p w14:paraId="0A46130A" w14:textId="7E75A223" w:rsidR="00C12702" w:rsidRPr="00E954D6" w:rsidRDefault="00C12702" w:rsidP="00EB6EF0">
      <w:pPr>
        <w:jc w:val="both"/>
        <w:rPr>
          <w:rFonts w:ascii="Arial" w:hAnsi="Arial" w:cs="Arial"/>
          <w:lang w:val="en-GB"/>
        </w:rPr>
      </w:pPr>
      <w:r w:rsidRPr="00E954D6">
        <w:rPr>
          <w:rFonts w:ascii="Arial" w:hAnsi="Arial" w:cs="Arial"/>
          <w:lang w:val="en-GB"/>
        </w:rPr>
        <w:t xml:space="preserve"> </w:t>
      </w:r>
      <w:r w:rsidR="001A4D0A">
        <w:rPr>
          <w:rFonts w:ascii="Arial" w:hAnsi="Arial" w:cs="Arial"/>
          <w:lang w:val="en-GB"/>
        </w:rPr>
        <w:t>D</w:t>
      </w:r>
      <w:r w:rsidRPr="00E954D6">
        <w:rPr>
          <w:rFonts w:ascii="Arial" w:hAnsi="Arial" w:cs="Arial"/>
          <w:lang w:val="en-GB"/>
        </w:rPr>
        <w:t>ata warehouses use dimensional modelling techniques that are optimised for reporting and analytical processing. Instead of storing data across many related tables, dimensional models organise data into fact tables and dimension tables. Fact tables contain measurable business events, while dimension tables provide descriptive information that gives context to those events. This structure simplifies queries and improves reporting performance.</w:t>
      </w:r>
    </w:p>
    <w:p w14:paraId="3D550B59" w14:textId="41D203D0" w:rsidR="00C12702" w:rsidRPr="00E954D6" w:rsidRDefault="00C12702" w:rsidP="00EB6EF0">
      <w:pPr>
        <w:jc w:val="both"/>
        <w:rPr>
          <w:rFonts w:ascii="Arial" w:hAnsi="Arial" w:cs="Arial"/>
          <w:lang w:val="en-GB"/>
        </w:rPr>
      </w:pPr>
      <w:r w:rsidRPr="00E954D6">
        <w:rPr>
          <w:rFonts w:ascii="Arial" w:hAnsi="Arial" w:cs="Arial"/>
          <w:lang w:val="en-GB"/>
        </w:rPr>
        <w:t xml:space="preserve">A commonly used dimensional model is the star schema. In an NHS England data warehouse, a fact table may store information about patient admissions, appointments or financial transactions. Related dimension tables could include Patient, Time, Hospital, Department and Treatment dimensions. This design enables analysts to quickly examine trends and performance indicators </w:t>
      </w:r>
      <w:r w:rsidR="004915E4">
        <w:rPr>
          <w:rFonts w:ascii="Arial" w:hAnsi="Arial" w:cs="Arial"/>
          <w:lang w:val="en-GB"/>
        </w:rPr>
        <w:t xml:space="preserve">across </w:t>
      </w:r>
      <w:r w:rsidRPr="00E954D6">
        <w:rPr>
          <w:rFonts w:ascii="Arial" w:hAnsi="Arial" w:cs="Arial"/>
          <w:lang w:val="en-GB"/>
        </w:rPr>
        <w:t>multiple perspectives without the complexity of joining numerous normalised tables.</w:t>
      </w:r>
    </w:p>
    <w:p w14:paraId="4A69E330" w14:textId="0E8DD161" w:rsidR="00F16342" w:rsidRPr="001A4D0A" w:rsidRDefault="00C12702" w:rsidP="001A4D0A">
      <w:pPr>
        <w:jc w:val="both"/>
        <w:rPr>
          <w:rFonts w:ascii="Arial" w:hAnsi="Arial" w:cs="Arial"/>
          <w:color w:val="0F4761" w:themeColor="accent1" w:themeShade="BF"/>
          <w:lang w:val="en-GB"/>
        </w:rPr>
      </w:pPr>
      <w:r w:rsidRPr="00E954D6">
        <w:rPr>
          <w:rFonts w:ascii="Arial" w:hAnsi="Arial" w:cs="Arial"/>
          <w:lang w:val="en-GB"/>
        </w:rPr>
        <w:t>While normalisation is highly effective for transaction processing, it can make analytical queries slower and more complex. Dimensional modelling sacrifices some level of normalisation in favour of simplicity, faster query execution and easier reporting. Therefore, NHS England operational systems benefit from normalised structures, whereas the enterprise data warehouse benefits from dimensional modelling that supports strategic analysis and decision-making</w:t>
      </w:r>
    </w:p>
    <w:p w14:paraId="25B4990D" w14:textId="0910DEE8" w:rsidR="00C12702" w:rsidRPr="00E954D6" w:rsidRDefault="00C12702" w:rsidP="00C12702">
      <w:pPr>
        <w:jc w:val="center"/>
        <w:rPr>
          <w:rFonts w:ascii="Arial" w:hAnsi="Arial" w:cs="Arial"/>
          <w:b/>
          <w:bCs/>
          <w:color w:val="0F4761" w:themeColor="accent1" w:themeShade="BF"/>
          <w:lang w:val="en-GB"/>
        </w:rPr>
      </w:pPr>
      <w:r w:rsidRPr="00E954D6">
        <w:rPr>
          <w:rFonts w:ascii="Arial" w:hAnsi="Arial" w:cs="Arial"/>
          <w:b/>
          <w:bCs/>
          <w:color w:val="0F4761" w:themeColor="accent1" w:themeShade="BF"/>
          <w:lang w:val="en-GB"/>
        </w:rPr>
        <w:t>Table 1: Comparison of OLTP Normalisation and Dimensional Modelling</w:t>
      </w:r>
    </w:p>
    <w:p w14:paraId="5B28C199" w14:textId="77777777" w:rsidR="006C1F87" w:rsidRPr="00E954D6" w:rsidRDefault="006C1F87" w:rsidP="00C12702">
      <w:pPr>
        <w:jc w:val="center"/>
        <w:rPr>
          <w:rFonts w:ascii="Arial" w:hAnsi="Arial" w:cs="Arial"/>
          <w:b/>
          <w:bCs/>
          <w:color w:val="0F4761" w:themeColor="accent1" w:themeShade="BF"/>
          <w:lang w:val="en-GB"/>
        </w:rPr>
      </w:pPr>
    </w:p>
    <w:tbl>
      <w:tblPr>
        <w:tblStyle w:val="TableGrid"/>
        <w:tblW w:w="10697" w:type="dxa"/>
        <w:tblLook w:val="04A0" w:firstRow="1" w:lastRow="0" w:firstColumn="1" w:lastColumn="0" w:noHBand="0" w:noVBand="1"/>
      </w:tblPr>
      <w:tblGrid>
        <w:gridCol w:w="2634"/>
        <w:gridCol w:w="3376"/>
        <w:gridCol w:w="4687"/>
      </w:tblGrid>
      <w:tr w:rsidR="00C12702" w:rsidRPr="00E954D6" w14:paraId="52750484" w14:textId="77777777" w:rsidTr="0099694C">
        <w:trPr>
          <w:trHeight w:val="495"/>
        </w:trPr>
        <w:tc>
          <w:tcPr>
            <w:tcW w:w="2634" w:type="dxa"/>
            <w:hideMark/>
          </w:tcPr>
          <w:p w14:paraId="1C603E7F" w14:textId="77777777" w:rsidR="00C12702" w:rsidRPr="00E954D6" w:rsidRDefault="00C12702" w:rsidP="00C12702">
            <w:pPr>
              <w:spacing w:after="200" w:line="276" w:lineRule="auto"/>
              <w:rPr>
                <w:rFonts w:ascii="Arial" w:hAnsi="Arial" w:cs="Arial"/>
                <w:b/>
                <w:bCs/>
                <w:lang w:val="en-GB"/>
              </w:rPr>
            </w:pPr>
            <w:r w:rsidRPr="00E954D6">
              <w:rPr>
                <w:rFonts w:ascii="Arial" w:hAnsi="Arial" w:cs="Arial"/>
                <w:b/>
                <w:bCs/>
                <w:lang w:val="en-GB"/>
              </w:rPr>
              <w:t>Aspect</w:t>
            </w:r>
          </w:p>
        </w:tc>
        <w:tc>
          <w:tcPr>
            <w:tcW w:w="3376" w:type="dxa"/>
            <w:hideMark/>
          </w:tcPr>
          <w:p w14:paraId="334A5F83" w14:textId="77777777" w:rsidR="00C12702" w:rsidRPr="00E954D6" w:rsidRDefault="00C12702" w:rsidP="00C12702">
            <w:pPr>
              <w:spacing w:after="200" w:line="276" w:lineRule="auto"/>
              <w:rPr>
                <w:rFonts w:ascii="Arial" w:hAnsi="Arial" w:cs="Arial"/>
                <w:b/>
                <w:bCs/>
                <w:lang w:val="en-GB"/>
              </w:rPr>
            </w:pPr>
            <w:r w:rsidRPr="00E954D6">
              <w:rPr>
                <w:rFonts w:ascii="Arial" w:hAnsi="Arial" w:cs="Arial"/>
                <w:b/>
                <w:bCs/>
                <w:lang w:val="en-GB"/>
              </w:rPr>
              <w:t>OLTP Normalisation</w:t>
            </w:r>
          </w:p>
        </w:tc>
        <w:tc>
          <w:tcPr>
            <w:tcW w:w="0" w:type="auto"/>
            <w:hideMark/>
          </w:tcPr>
          <w:p w14:paraId="473EE21B" w14:textId="77777777" w:rsidR="00C12702" w:rsidRPr="00E954D6" w:rsidRDefault="00C12702" w:rsidP="00C12702">
            <w:pPr>
              <w:spacing w:after="200" w:line="276" w:lineRule="auto"/>
              <w:rPr>
                <w:rFonts w:ascii="Arial" w:hAnsi="Arial" w:cs="Arial"/>
                <w:b/>
                <w:bCs/>
                <w:lang w:val="en-GB"/>
              </w:rPr>
            </w:pPr>
            <w:r w:rsidRPr="00E954D6">
              <w:rPr>
                <w:rFonts w:ascii="Arial" w:hAnsi="Arial" w:cs="Arial"/>
                <w:b/>
                <w:bCs/>
                <w:lang w:val="en-GB"/>
              </w:rPr>
              <w:t>Dimensional Modelling</w:t>
            </w:r>
          </w:p>
        </w:tc>
      </w:tr>
      <w:tr w:rsidR="00C12702" w:rsidRPr="00E954D6" w14:paraId="0B513E07" w14:textId="77777777" w:rsidTr="0099694C">
        <w:trPr>
          <w:trHeight w:val="495"/>
        </w:trPr>
        <w:tc>
          <w:tcPr>
            <w:tcW w:w="2634" w:type="dxa"/>
            <w:hideMark/>
          </w:tcPr>
          <w:p w14:paraId="6E3B2C91"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Purpose</w:t>
            </w:r>
          </w:p>
        </w:tc>
        <w:tc>
          <w:tcPr>
            <w:tcW w:w="3376" w:type="dxa"/>
            <w:hideMark/>
          </w:tcPr>
          <w:p w14:paraId="6F29B71A"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Transaction processing</w:t>
            </w:r>
          </w:p>
        </w:tc>
        <w:tc>
          <w:tcPr>
            <w:tcW w:w="0" w:type="auto"/>
            <w:hideMark/>
          </w:tcPr>
          <w:p w14:paraId="2E62472C"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Analysis and reporting</w:t>
            </w:r>
          </w:p>
        </w:tc>
      </w:tr>
      <w:tr w:rsidR="00C12702" w:rsidRPr="00E954D6" w14:paraId="430D51DD" w14:textId="77777777" w:rsidTr="0099694C">
        <w:trPr>
          <w:trHeight w:val="495"/>
        </w:trPr>
        <w:tc>
          <w:tcPr>
            <w:tcW w:w="2634" w:type="dxa"/>
            <w:hideMark/>
          </w:tcPr>
          <w:p w14:paraId="46C53A41"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Structure</w:t>
            </w:r>
          </w:p>
        </w:tc>
        <w:tc>
          <w:tcPr>
            <w:tcW w:w="3376" w:type="dxa"/>
            <w:hideMark/>
          </w:tcPr>
          <w:p w14:paraId="1758B3CC"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Highly normalised tables</w:t>
            </w:r>
          </w:p>
        </w:tc>
        <w:tc>
          <w:tcPr>
            <w:tcW w:w="0" w:type="auto"/>
            <w:hideMark/>
          </w:tcPr>
          <w:p w14:paraId="40F646F7"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Fact and dimension tables</w:t>
            </w:r>
          </w:p>
        </w:tc>
      </w:tr>
      <w:tr w:rsidR="00C12702" w:rsidRPr="00E954D6" w14:paraId="4FA049C2" w14:textId="77777777" w:rsidTr="0099694C">
        <w:trPr>
          <w:trHeight w:val="495"/>
        </w:trPr>
        <w:tc>
          <w:tcPr>
            <w:tcW w:w="2634" w:type="dxa"/>
            <w:hideMark/>
          </w:tcPr>
          <w:p w14:paraId="710A66D8"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Data Redundancy</w:t>
            </w:r>
          </w:p>
        </w:tc>
        <w:tc>
          <w:tcPr>
            <w:tcW w:w="3376" w:type="dxa"/>
            <w:hideMark/>
          </w:tcPr>
          <w:p w14:paraId="37186B53"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Minimal</w:t>
            </w:r>
          </w:p>
        </w:tc>
        <w:tc>
          <w:tcPr>
            <w:tcW w:w="0" w:type="auto"/>
            <w:hideMark/>
          </w:tcPr>
          <w:p w14:paraId="3EDA168F"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Controlled redundancy</w:t>
            </w:r>
          </w:p>
        </w:tc>
      </w:tr>
      <w:tr w:rsidR="00C12702" w:rsidRPr="00E954D6" w14:paraId="0BCE252C" w14:textId="77777777" w:rsidTr="0099694C">
        <w:trPr>
          <w:trHeight w:val="495"/>
        </w:trPr>
        <w:tc>
          <w:tcPr>
            <w:tcW w:w="2634" w:type="dxa"/>
            <w:hideMark/>
          </w:tcPr>
          <w:p w14:paraId="533A8133"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Query Performance</w:t>
            </w:r>
          </w:p>
        </w:tc>
        <w:tc>
          <w:tcPr>
            <w:tcW w:w="3376" w:type="dxa"/>
            <w:hideMark/>
          </w:tcPr>
          <w:p w14:paraId="067B66AF"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Optimised for transactions</w:t>
            </w:r>
          </w:p>
        </w:tc>
        <w:tc>
          <w:tcPr>
            <w:tcW w:w="0" w:type="auto"/>
            <w:hideMark/>
          </w:tcPr>
          <w:p w14:paraId="471F034B"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Optimised for analytics</w:t>
            </w:r>
          </w:p>
        </w:tc>
      </w:tr>
      <w:tr w:rsidR="00C12702" w:rsidRPr="00E954D6" w14:paraId="01346B7E" w14:textId="77777777" w:rsidTr="0099694C">
        <w:trPr>
          <w:trHeight w:val="495"/>
        </w:trPr>
        <w:tc>
          <w:tcPr>
            <w:tcW w:w="2634" w:type="dxa"/>
            <w:hideMark/>
          </w:tcPr>
          <w:p w14:paraId="7E74C30D"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Complexity</w:t>
            </w:r>
          </w:p>
        </w:tc>
        <w:tc>
          <w:tcPr>
            <w:tcW w:w="3376" w:type="dxa"/>
            <w:hideMark/>
          </w:tcPr>
          <w:p w14:paraId="606BC128"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Multiple table joins</w:t>
            </w:r>
          </w:p>
        </w:tc>
        <w:tc>
          <w:tcPr>
            <w:tcW w:w="0" w:type="auto"/>
            <w:hideMark/>
          </w:tcPr>
          <w:p w14:paraId="20DE0A0D"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Simpler queries</w:t>
            </w:r>
          </w:p>
        </w:tc>
      </w:tr>
      <w:tr w:rsidR="00C12702" w:rsidRPr="00E954D6" w14:paraId="4093D058" w14:textId="77777777" w:rsidTr="0099694C">
        <w:trPr>
          <w:trHeight w:val="484"/>
        </w:trPr>
        <w:tc>
          <w:tcPr>
            <w:tcW w:w="2634" w:type="dxa"/>
            <w:hideMark/>
          </w:tcPr>
          <w:p w14:paraId="530C8149" w14:textId="6D4795D5" w:rsidR="00C12702" w:rsidRPr="00E954D6" w:rsidRDefault="00C12702" w:rsidP="00C12702">
            <w:pPr>
              <w:spacing w:after="200" w:line="276" w:lineRule="auto"/>
              <w:rPr>
                <w:rFonts w:ascii="Arial" w:hAnsi="Arial" w:cs="Arial"/>
                <w:lang w:val="en-GB"/>
              </w:rPr>
            </w:pPr>
            <w:r w:rsidRPr="00E954D6">
              <w:rPr>
                <w:rFonts w:ascii="Arial" w:hAnsi="Arial" w:cs="Arial"/>
                <w:lang w:val="en-GB"/>
              </w:rPr>
              <w:lastRenderedPageBreak/>
              <w:t xml:space="preserve">Example in </w:t>
            </w:r>
            <w:r w:rsidR="001A4D0A">
              <w:rPr>
                <w:rFonts w:ascii="Arial" w:hAnsi="Arial" w:cs="Arial"/>
                <w:lang w:val="en-GB"/>
              </w:rPr>
              <w:t xml:space="preserve">the </w:t>
            </w:r>
            <w:r w:rsidRPr="00E954D6">
              <w:rPr>
                <w:rFonts w:ascii="Arial" w:hAnsi="Arial" w:cs="Arial"/>
                <w:lang w:val="en-GB"/>
              </w:rPr>
              <w:t>NHS</w:t>
            </w:r>
          </w:p>
        </w:tc>
        <w:tc>
          <w:tcPr>
            <w:tcW w:w="3376" w:type="dxa"/>
            <w:hideMark/>
          </w:tcPr>
          <w:p w14:paraId="21C8B66C"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EPR, PAS systems</w:t>
            </w:r>
          </w:p>
        </w:tc>
        <w:tc>
          <w:tcPr>
            <w:tcW w:w="0" w:type="auto"/>
            <w:hideMark/>
          </w:tcPr>
          <w:p w14:paraId="2C0B1791" w14:textId="77777777" w:rsidR="00C12702" w:rsidRPr="00E954D6" w:rsidRDefault="00C12702" w:rsidP="00C12702">
            <w:pPr>
              <w:spacing w:after="200" w:line="276" w:lineRule="auto"/>
              <w:rPr>
                <w:rFonts w:ascii="Arial" w:hAnsi="Arial" w:cs="Arial"/>
                <w:lang w:val="en-GB"/>
              </w:rPr>
            </w:pPr>
            <w:r w:rsidRPr="00E954D6">
              <w:rPr>
                <w:rFonts w:ascii="Arial" w:hAnsi="Arial" w:cs="Arial"/>
                <w:lang w:val="en-GB"/>
              </w:rPr>
              <w:t>Enterprise Data Warehouse</w:t>
            </w:r>
          </w:p>
        </w:tc>
      </w:tr>
    </w:tbl>
    <w:p w14:paraId="677EE49C" w14:textId="77777777" w:rsidR="00D464E3" w:rsidRPr="00E954D6" w:rsidRDefault="00D464E3" w:rsidP="00267CF5">
      <w:pPr>
        <w:jc w:val="both"/>
        <w:rPr>
          <w:rFonts w:ascii="Arial" w:hAnsi="Arial" w:cs="Arial"/>
          <w:sz w:val="28"/>
          <w:szCs w:val="28"/>
          <w:lang w:val="en-GB"/>
        </w:rPr>
      </w:pPr>
    </w:p>
    <w:p w14:paraId="694DB5EE" w14:textId="77A07555" w:rsidR="007F07B9" w:rsidRPr="00E954D6" w:rsidRDefault="007F07B9" w:rsidP="009C31F3">
      <w:pPr>
        <w:pStyle w:val="Heading1"/>
        <w:jc w:val="both"/>
        <w:rPr>
          <w:lang w:val="en-GB"/>
        </w:rPr>
      </w:pPr>
      <w:r w:rsidRPr="00E954D6">
        <w:rPr>
          <w:lang w:val="en-GB"/>
        </w:rPr>
        <w:t>3. Task 2: NHS England Data Warehouse Design</w:t>
      </w:r>
    </w:p>
    <w:p w14:paraId="7918FACC" w14:textId="77777777" w:rsidR="009C31F3" w:rsidRPr="00E954D6" w:rsidRDefault="009C31F3" w:rsidP="009C31F3">
      <w:pPr>
        <w:rPr>
          <w:lang w:val="en-GB"/>
        </w:rPr>
      </w:pPr>
    </w:p>
    <w:p w14:paraId="65495170" w14:textId="77777777" w:rsidR="007F07B9" w:rsidRPr="00E954D6" w:rsidRDefault="007F07B9" w:rsidP="00267CF5">
      <w:pPr>
        <w:pStyle w:val="Heading2"/>
        <w:jc w:val="both"/>
        <w:rPr>
          <w:rFonts w:ascii="Arial" w:hAnsi="Arial" w:cs="Arial"/>
          <w:lang w:val="en-GB"/>
        </w:rPr>
      </w:pPr>
      <w:r w:rsidRPr="00E954D6">
        <w:rPr>
          <w:rFonts w:ascii="Arial" w:hAnsi="Arial" w:cs="Arial"/>
          <w:lang w:val="en-GB"/>
        </w:rPr>
        <w:t>3.1 Source System Identification</w:t>
      </w:r>
    </w:p>
    <w:p w14:paraId="36D17508" w14:textId="77777777" w:rsidR="00A43DF2" w:rsidRPr="00E954D6" w:rsidRDefault="00A43DF2" w:rsidP="00A43DF2">
      <w:pPr>
        <w:rPr>
          <w:lang w:val="en-GB"/>
        </w:rPr>
      </w:pPr>
    </w:p>
    <w:p w14:paraId="146BD618" w14:textId="77777777" w:rsidR="009C31F3" w:rsidRPr="00E954D6" w:rsidRDefault="009C31F3" w:rsidP="00EB6EF0">
      <w:pPr>
        <w:jc w:val="both"/>
        <w:rPr>
          <w:rFonts w:ascii="Arial" w:hAnsi="Arial" w:cs="Arial"/>
          <w:lang w:val="en-GB"/>
        </w:rPr>
      </w:pPr>
      <w:r w:rsidRPr="00E954D6">
        <w:rPr>
          <w:rFonts w:ascii="Arial" w:hAnsi="Arial" w:cs="Arial"/>
          <w:lang w:val="en-GB"/>
        </w:rPr>
        <w:t>The first step in designing a data warehouse for NHS England is identifying the operational systems that generate and store healthcare data. These source systems support daily healthcare activities and provide the raw data required for analysis, reporting and decision-making. Since information is often stored across different applications, data from these systems must be integrated into a central data warehouse.</w:t>
      </w:r>
    </w:p>
    <w:p w14:paraId="08010F85" w14:textId="7DFC8914" w:rsidR="009C31F3" w:rsidRPr="00E954D6" w:rsidRDefault="009C31F3" w:rsidP="00EB6EF0">
      <w:pPr>
        <w:jc w:val="both"/>
        <w:rPr>
          <w:rFonts w:ascii="Arial" w:hAnsi="Arial" w:cs="Arial"/>
          <w:lang w:val="en-GB"/>
        </w:rPr>
      </w:pPr>
      <w:r w:rsidRPr="00E954D6">
        <w:rPr>
          <w:rFonts w:ascii="Arial" w:hAnsi="Arial" w:cs="Arial"/>
          <w:lang w:val="en-GB"/>
        </w:rPr>
        <w:t xml:space="preserve"> </w:t>
      </w:r>
      <w:r w:rsidRPr="00E954D6">
        <w:rPr>
          <w:rFonts w:ascii="Arial" w:hAnsi="Arial" w:cs="Arial"/>
          <w:b/>
          <w:bCs/>
          <w:lang w:val="en-GB"/>
        </w:rPr>
        <w:t>Electronic Patient Record (EPR) system</w:t>
      </w:r>
      <w:r w:rsidRPr="00E954D6">
        <w:rPr>
          <w:rFonts w:ascii="Arial" w:hAnsi="Arial" w:cs="Arial"/>
          <w:lang w:val="en-GB"/>
        </w:rPr>
        <w:t>, which stores patient clinical information such as diagnoses, treatments, medications, laboratory results and clinical notes. EPR systems are essential for supporting patient care and provide valuable data for clinical performance analysis and healthcare outcome monitoring.</w:t>
      </w:r>
    </w:p>
    <w:p w14:paraId="2BBD08A8" w14:textId="177BEA20" w:rsidR="009C31F3" w:rsidRPr="00E954D6" w:rsidRDefault="009C31F3" w:rsidP="00EB6EF0">
      <w:pPr>
        <w:jc w:val="both"/>
        <w:rPr>
          <w:rFonts w:ascii="Arial" w:hAnsi="Arial" w:cs="Arial"/>
          <w:lang w:val="en-GB"/>
        </w:rPr>
      </w:pPr>
      <w:r w:rsidRPr="00E954D6">
        <w:rPr>
          <w:rFonts w:ascii="Arial" w:hAnsi="Arial" w:cs="Arial"/>
          <w:lang w:val="en-GB"/>
        </w:rPr>
        <w:t xml:space="preserve"> </w:t>
      </w:r>
      <w:r w:rsidRPr="00E954D6">
        <w:rPr>
          <w:rFonts w:ascii="Arial" w:hAnsi="Arial" w:cs="Arial"/>
          <w:b/>
          <w:bCs/>
          <w:lang w:val="en-GB"/>
        </w:rPr>
        <w:t>Patient Administration System (PAS)</w:t>
      </w:r>
      <w:r w:rsidR="00CE19BF">
        <w:rPr>
          <w:rFonts w:ascii="Arial" w:hAnsi="Arial" w:cs="Arial"/>
          <w:lang w:val="en-GB"/>
        </w:rPr>
        <w:t>, which</w:t>
      </w:r>
      <w:r w:rsidRPr="00E954D6">
        <w:rPr>
          <w:rFonts w:ascii="Arial" w:hAnsi="Arial" w:cs="Arial"/>
          <w:lang w:val="en-GB"/>
        </w:rPr>
        <w:t xml:space="preserve"> manages administrative activities including patient registration, appointment scheduling, admissions, discharges and referrals. The information stored within PAS helps NHS England monitor patient flow, waiting times and service utilisation across healthcare facilities.</w:t>
      </w:r>
    </w:p>
    <w:p w14:paraId="394D1837" w14:textId="5DA6CADF" w:rsidR="00EB5D4A" w:rsidRPr="00EB5D4A" w:rsidRDefault="009C31F3" w:rsidP="00EB5D4A">
      <w:pPr>
        <w:jc w:val="both"/>
        <w:rPr>
          <w:rFonts w:ascii="Arial" w:hAnsi="Arial" w:cs="Arial"/>
          <w:lang w:val="en-GB"/>
        </w:rPr>
      </w:pPr>
      <w:r w:rsidRPr="00E954D6">
        <w:rPr>
          <w:rFonts w:ascii="Arial" w:hAnsi="Arial" w:cs="Arial"/>
          <w:b/>
          <w:bCs/>
          <w:lang w:val="en-GB"/>
        </w:rPr>
        <w:t>Workforce management systems</w:t>
      </w:r>
      <w:r w:rsidRPr="00E954D6">
        <w:rPr>
          <w:rFonts w:ascii="Arial" w:hAnsi="Arial" w:cs="Arial"/>
          <w:lang w:val="en-GB"/>
        </w:rPr>
        <w:t xml:space="preserve"> provide information related to healthcare staff, including employee records, attendance, shift schedules, leave management and workforce utilisation. This data supports workforce planning, staffing analysis and resource allocation decisions</w:t>
      </w:r>
      <w:r w:rsidR="00EB5D4A">
        <w:rPr>
          <w:rFonts w:ascii="Arial" w:hAnsi="Arial" w:cs="Arial"/>
          <w:lang w:val="en-GB"/>
        </w:rPr>
        <w:t>.</w:t>
      </w:r>
    </w:p>
    <w:p w14:paraId="7789BCF8" w14:textId="5378770F" w:rsidR="009C31F3" w:rsidRPr="00E954D6" w:rsidRDefault="009C31F3" w:rsidP="00EB6EF0">
      <w:pPr>
        <w:jc w:val="both"/>
        <w:rPr>
          <w:rFonts w:ascii="Arial" w:hAnsi="Arial" w:cs="Arial"/>
          <w:lang w:val="en-GB"/>
        </w:rPr>
      </w:pPr>
      <w:r w:rsidRPr="00E954D6">
        <w:rPr>
          <w:rFonts w:ascii="Arial" w:hAnsi="Arial" w:cs="Arial"/>
          <w:lang w:val="en-GB"/>
        </w:rPr>
        <w:t xml:space="preserve"> </w:t>
      </w:r>
      <w:r w:rsidR="002915AD">
        <w:rPr>
          <w:rFonts w:ascii="Arial" w:hAnsi="Arial" w:cs="Arial"/>
          <w:b/>
          <w:bCs/>
          <w:lang w:val="en-GB"/>
        </w:rPr>
        <w:t>F</w:t>
      </w:r>
      <w:r w:rsidRPr="00E954D6">
        <w:rPr>
          <w:rFonts w:ascii="Arial" w:hAnsi="Arial" w:cs="Arial"/>
          <w:b/>
          <w:bCs/>
          <w:lang w:val="en-GB"/>
        </w:rPr>
        <w:t>inancial management systems</w:t>
      </w:r>
      <w:r w:rsidRPr="00E954D6">
        <w:rPr>
          <w:rFonts w:ascii="Arial" w:hAnsi="Arial" w:cs="Arial"/>
          <w:lang w:val="en-GB"/>
        </w:rPr>
        <w:t xml:space="preserve"> store data relating to budgets, expenditure, revenue, procurement activities and cost centres. Financial information is critical for monitoring organisational performance, controlling costs and supporting strategic financial planning.</w:t>
      </w:r>
    </w:p>
    <w:p w14:paraId="6BB0D2C9" w14:textId="0474AF05" w:rsidR="00212ED9" w:rsidRPr="003502BE" w:rsidRDefault="009C31F3" w:rsidP="003502BE">
      <w:pPr>
        <w:jc w:val="both"/>
        <w:rPr>
          <w:rFonts w:ascii="Arial" w:hAnsi="Arial" w:cs="Arial"/>
          <w:lang w:val="en-GB"/>
        </w:rPr>
      </w:pPr>
      <w:r w:rsidRPr="00E954D6">
        <w:rPr>
          <w:rFonts w:ascii="Arial" w:hAnsi="Arial" w:cs="Arial"/>
          <w:lang w:val="en-GB"/>
        </w:rPr>
        <w:t xml:space="preserve"> </w:t>
      </w:r>
      <w:r w:rsidR="002915AD">
        <w:rPr>
          <w:rFonts w:ascii="Arial" w:hAnsi="Arial" w:cs="Arial"/>
          <w:lang w:val="en-GB"/>
        </w:rPr>
        <w:t xml:space="preserve"> All t</w:t>
      </w:r>
      <w:r w:rsidRPr="00E954D6">
        <w:rPr>
          <w:rFonts w:ascii="Arial" w:hAnsi="Arial" w:cs="Arial"/>
          <w:lang w:val="en-GB"/>
        </w:rPr>
        <w:t>h</w:t>
      </w:r>
      <w:r w:rsidR="002915AD">
        <w:rPr>
          <w:rFonts w:ascii="Arial" w:hAnsi="Arial" w:cs="Arial"/>
          <w:lang w:val="en-GB"/>
        </w:rPr>
        <w:t>ese provide</w:t>
      </w:r>
      <w:r w:rsidRPr="00E954D6">
        <w:rPr>
          <w:rFonts w:ascii="Arial" w:hAnsi="Arial" w:cs="Arial"/>
          <w:lang w:val="en-GB"/>
        </w:rPr>
        <w:t xml:space="preserve"> decision-makers with a comprehensive view of organisational performance and </w:t>
      </w:r>
      <w:r w:rsidR="002915AD">
        <w:rPr>
          <w:rFonts w:ascii="Arial" w:hAnsi="Arial" w:cs="Arial"/>
          <w:lang w:val="en-GB"/>
        </w:rPr>
        <w:t>support</w:t>
      </w:r>
      <w:r w:rsidRPr="00E954D6">
        <w:rPr>
          <w:rFonts w:ascii="Arial" w:hAnsi="Arial" w:cs="Arial"/>
          <w:lang w:val="en-GB"/>
        </w:rPr>
        <w:t xml:space="preserve"> evidence-based healthcare management.</w:t>
      </w:r>
    </w:p>
    <w:p w14:paraId="257DD55F" w14:textId="77777777" w:rsidR="00212ED9" w:rsidRDefault="00212ED9" w:rsidP="009C31F3">
      <w:pPr>
        <w:jc w:val="center"/>
        <w:rPr>
          <w:rFonts w:ascii="Arial" w:hAnsi="Arial" w:cs="Arial"/>
          <w:b/>
          <w:bCs/>
          <w:color w:val="0F4761" w:themeColor="accent1" w:themeShade="BF"/>
          <w:lang w:val="en-GB"/>
        </w:rPr>
      </w:pPr>
    </w:p>
    <w:p w14:paraId="224CCEDE" w14:textId="79935DAE" w:rsidR="009C31F3" w:rsidRPr="00E954D6" w:rsidRDefault="009C31F3" w:rsidP="009C31F3">
      <w:pPr>
        <w:jc w:val="center"/>
        <w:rPr>
          <w:rFonts w:ascii="Arial" w:hAnsi="Arial" w:cs="Arial"/>
          <w:b/>
          <w:bCs/>
          <w:color w:val="0F4761" w:themeColor="accent1" w:themeShade="BF"/>
          <w:lang w:val="en-GB"/>
        </w:rPr>
      </w:pPr>
      <w:r w:rsidRPr="00E954D6">
        <w:rPr>
          <w:rFonts w:ascii="Arial" w:hAnsi="Arial" w:cs="Arial"/>
          <w:b/>
          <w:bCs/>
          <w:color w:val="0F4761" w:themeColor="accent1" w:themeShade="BF"/>
          <w:lang w:val="en-GB"/>
        </w:rPr>
        <w:t>Table 2: NHS England Source Systems</w:t>
      </w:r>
    </w:p>
    <w:tbl>
      <w:tblPr>
        <w:tblStyle w:val="TableGrid"/>
        <w:tblW w:w="11026" w:type="dxa"/>
        <w:tblLook w:val="04A0" w:firstRow="1" w:lastRow="0" w:firstColumn="1" w:lastColumn="0" w:noHBand="0" w:noVBand="1"/>
      </w:tblPr>
      <w:tblGrid>
        <w:gridCol w:w="3433"/>
        <w:gridCol w:w="4319"/>
        <w:gridCol w:w="3274"/>
      </w:tblGrid>
      <w:tr w:rsidR="00EB5D4A" w:rsidRPr="00E954D6" w14:paraId="72E8B946" w14:textId="77777777" w:rsidTr="00FB5EE2">
        <w:tc>
          <w:tcPr>
            <w:tcW w:w="3433" w:type="dxa"/>
            <w:hideMark/>
          </w:tcPr>
          <w:p w14:paraId="5EC62A4E" w14:textId="77777777" w:rsidR="00EB5D4A" w:rsidRPr="00E954D6" w:rsidRDefault="00EB5D4A" w:rsidP="00FB5EE2">
            <w:pPr>
              <w:spacing w:after="200" w:line="276" w:lineRule="auto"/>
              <w:rPr>
                <w:rFonts w:ascii="Arial" w:hAnsi="Arial" w:cs="Arial"/>
                <w:b/>
                <w:bCs/>
                <w:lang w:val="en-GB"/>
              </w:rPr>
            </w:pPr>
            <w:r w:rsidRPr="00E954D6">
              <w:rPr>
                <w:rFonts w:ascii="Arial" w:hAnsi="Arial" w:cs="Arial"/>
                <w:b/>
                <w:bCs/>
                <w:lang w:val="en-GB"/>
              </w:rPr>
              <w:t>Source System</w:t>
            </w:r>
          </w:p>
        </w:tc>
        <w:tc>
          <w:tcPr>
            <w:tcW w:w="0" w:type="auto"/>
            <w:hideMark/>
          </w:tcPr>
          <w:p w14:paraId="7351E37A" w14:textId="77777777" w:rsidR="00EB5D4A" w:rsidRPr="00E954D6" w:rsidRDefault="00EB5D4A" w:rsidP="00FB5EE2">
            <w:pPr>
              <w:spacing w:after="200" w:line="276" w:lineRule="auto"/>
              <w:rPr>
                <w:rFonts w:ascii="Arial" w:hAnsi="Arial" w:cs="Arial"/>
                <w:b/>
                <w:bCs/>
                <w:lang w:val="en-GB"/>
              </w:rPr>
            </w:pPr>
            <w:r w:rsidRPr="00E954D6">
              <w:rPr>
                <w:rFonts w:ascii="Arial" w:hAnsi="Arial" w:cs="Arial"/>
                <w:b/>
                <w:bCs/>
                <w:lang w:val="en-GB"/>
              </w:rPr>
              <w:t>Main Data Stored</w:t>
            </w:r>
          </w:p>
        </w:tc>
        <w:tc>
          <w:tcPr>
            <w:tcW w:w="0" w:type="auto"/>
            <w:hideMark/>
          </w:tcPr>
          <w:p w14:paraId="2790A3CD" w14:textId="77777777" w:rsidR="00EB5D4A" w:rsidRPr="00E954D6" w:rsidRDefault="00EB5D4A" w:rsidP="00FB5EE2">
            <w:pPr>
              <w:spacing w:after="200" w:line="276" w:lineRule="auto"/>
              <w:rPr>
                <w:rFonts w:ascii="Arial" w:hAnsi="Arial" w:cs="Arial"/>
                <w:b/>
                <w:bCs/>
                <w:lang w:val="en-GB"/>
              </w:rPr>
            </w:pPr>
            <w:r w:rsidRPr="00E954D6">
              <w:rPr>
                <w:rFonts w:ascii="Arial" w:hAnsi="Arial" w:cs="Arial"/>
                <w:b/>
                <w:bCs/>
                <w:lang w:val="en-GB"/>
              </w:rPr>
              <w:t>Business Purpose</w:t>
            </w:r>
          </w:p>
        </w:tc>
      </w:tr>
      <w:tr w:rsidR="00EB5D4A" w:rsidRPr="00E954D6" w14:paraId="60EBD032" w14:textId="77777777" w:rsidTr="00FB5EE2">
        <w:tc>
          <w:tcPr>
            <w:tcW w:w="3433" w:type="dxa"/>
            <w:hideMark/>
          </w:tcPr>
          <w:p w14:paraId="6518AF68" w14:textId="77777777" w:rsidR="00EB5D4A" w:rsidRPr="00E954D6" w:rsidRDefault="00EB5D4A" w:rsidP="00FB5EE2">
            <w:pPr>
              <w:spacing w:after="200" w:line="276" w:lineRule="auto"/>
              <w:rPr>
                <w:rFonts w:ascii="Arial" w:hAnsi="Arial" w:cs="Arial"/>
                <w:lang w:val="en-GB"/>
              </w:rPr>
            </w:pPr>
            <w:r w:rsidRPr="007B424D">
              <w:rPr>
                <w:rFonts w:ascii="Arial" w:hAnsi="Arial" w:cs="Arial"/>
                <w:color w:val="00B050"/>
                <w:lang w:val="en-GB"/>
              </w:rPr>
              <w:t>Electronic Patient Record (EPR)</w:t>
            </w:r>
          </w:p>
        </w:tc>
        <w:tc>
          <w:tcPr>
            <w:tcW w:w="0" w:type="auto"/>
            <w:hideMark/>
          </w:tcPr>
          <w:p w14:paraId="7F0E2815" w14:textId="2CB75460" w:rsidR="00EB5D4A" w:rsidRPr="00E954D6" w:rsidRDefault="00EB5D4A" w:rsidP="00FB5EE2">
            <w:pPr>
              <w:spacing w:after="200" w:line="276" w:lineRule="auto"/>
              <w:rPr>
                <w:rFonts w:ascii="Arial" w:hAnsi="Arial" w:cs="Arial"/>
                <w:lang w:val="en-GB"/>
              </w:rPr>
            </w:pPr>
            <w:r w:rsidRPr="00E954D6">
              <w:rPr>
                <w:rFonts w:ascii="Arial" w:hAnsi="Arial" w:cs="Arial"/>
                <w:lang w:val="en-GB"/>
              </w:rPr>
              <w:t>Diagnoses, treatments, medications,</w:t>
            </w:r>
            <w:r w:rsidR="00640FDD">
              <w:rPr>
                <w:rFonts w:ascii="Arial" w:hAnsi="Arial" w:cs="Arial"/>
                <w:lang w:val="en-GB"/>
              </w:rPr>
              <w:t xml:space="preserve"> and </w:t>
            </w:r>
            <w:r w:rsidRPr="00E954D6">
              <w:rPr>
                <w:rFonts w:ascii="Arial" w:hAnsi="Arial" w:cs="Arial"/>
                <w:lang w:val="en-GB"/>
              </w:rPr>
              <w:t>test results</w:t>
            </w:r>
          </w:p>
        </w:tc>
        <w:tc>
          <w:tcPr>
            <w:tcW w:w="0" w:type="auto"/>
            <w:hideMark/>
          </w:tcPr>
          <w:p w14:paraId="5D249EC5"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Clinical care and patient management</w:t>
            </w:r>
          </w:p>
        </w:tc>
      </w:tr>
      <w:tr w:rsidR="00EB5D4A" w:rsidRPr="00E954D6" w14:paraId="78B675BC" w14:textId="77777777" w:rsidTr="00FB5EE2">
        <w:tc>
          <w:tcPr>
            <w:tcW w:w="3433" w:type="dxa"/>
            <w:hideMark/>
          </w:tcPr>
          <w:p w14:paraId="519EE5D4" w14:textId="77777777" w:rsidR="00EB5D4A" w:rsidRPr="00E954D6" w:rsidRDefault="00EB5D4A" w:rsidP="00FB5EE2">
            <w:pPr>
              <w:spacing w:after="200" w:line="276" w:lineRule="auto"/>
              <w:rPr>
                <w:rFonts w:ascii="Arial" w:hAnsi="Arial" w:cs="Arial"/>
                <w:lang w:val="en-GB"/>
              </w:rPr>
            </w:pPr>
            <w:r w:rsidRPr="007B424D">
              <w:rPr>
                <w:rFonts w:ascii="Arial" w:hAnsi="Arial" w:cs="Arial"/>
                <w:color w:val="00B0F0"/>
                <w:lang w:val="en-GB"/>
              </w:rPr>
              <w:t>Patient Administration System (PAS)</w:t>
            </w:r>
          </w:p>
        </w:tc>
        <w:tc>
          <w:tcPr>
            <w:tcW w:w="0" w:type="auto"/>
            <w:hideMark/>
          </w:tcPr>
          <w:p w14:paraId="57E3E3C9"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Registrations, appointments, admissions, discharges</w:t>
            </w:r>
          </w:p>
        </w:tc>
        <w:tc>
          <w:tcPr>
            <w:tcW w:w="0" w:type="auto"/>
            <w:hideMark/>
          </w:tcPr>
          <w:p w14:paraId="5CA673D4"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Administrative operations</w:t>
            </w:r>
          </w:p>
        </w:tc>
      </w:tr>
      <w:tr w:rsidR="00EB5D4A" w:rsidRPr="00E954D6" w14:paraId="1AD7C180" w14:textId="77777777" w:rsidTr="00FB5EE2">
        <w:tc>
          <w:tcPr>
            <w:tcW w:w="3433" w:type="dxa"/>
            <w:hideMark/>
          </w:tcPr>
          <w:p w14:paraId="0ACFB8D1" w14:textId="77777777" w:rsidR="00EB5D4A" w:rsidRPr="00E954D6" w:rsidRDefault="00EB5D4A" w:rsidP="00FB5EE2">
            <w:pPr>
              <w:spacing w:after="200" w:line="276" w:lineRule="auto"/>
              <w:rPr>
                <w:rFonts w:ascii="Arial" w:hAnsi="Arial" w:cs="Arial"/>
                <w:lang w:val="en-GB"/>
              </w:rPr>
            </w:pPr>
            <w:r w:rsidRPr="007B424D">
              <w:rPr>
                <w:rFonts w:ascii="Arial" w:hAnsi="Arial" w:cs="Arial"/>
                <w:color w:val="E97132" w:themeColor="accent2"/>
                <w:lang w:val="en-GB"/>
              </w:rPr>
              <w:t>Workforce System</w:t>
            </w:r>
          </w:p>
        </w:tc>
        <w:tc>
          <w:tcPr>
            <w:tcW w:w="0" w:type="auto"/>
            <w:hideMark/>
          </w:tcPr>
          <w:p w14:paraId="5DF1E5CB"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Staff records, attendance, shifts, leave</w:t>
            </w:r>
          </w:p>
        </w:tc>
        <w:tc>
          <w:tcPr>
            <w:tcW w:w="0" w:type="auto"/>
            <w:hideMark/>
          </w:tcPr>
          <w:p w14:paraId="24097B9B"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Workforce planning and monitoring</w:t>
            </w:r>
          </w:p>
        </w:tc>
      </w:tr>
      <w:tr w:rsidR="00EB5D4A" w:rsidRPr="00E954D6" w14:paraId="4FEC689A" w14:textId="77777777" w:rsidTr="00FB5EE2">
        <w:tc>
          <w:tcPr>
            <w:tcW w:w="3433" w:type="dxa"/>
            <w:hideMark/>
          </w:tcPr>
          <w:p w14:paraId="62271D52" w14:textId="77777777" w:rsidR="00EB5D4A" w:rsidRPr="00E954D6" w:rsidRDefault="00EB5D4A" w:rsidP="00FB5EE2">
            <w:pPr>
              <w:spacing w:after="200" w:line="276" w:lineRule="auto"/>
              <w:rPr>
                <w:rFonts w:ascii="Arial" w:hAnsi="Arial" w:cs="Arial"/>
                <w:lang w:val="en-GB"/>
              </w:rPr>
            </w:pPr>
            <w:r w:rsidRPr="007B424D">
              <w:rPr>
                <w:rFonts w:ascii="Arial" w:hAnsi="Arial" w:cs="Arial"/>
                <w:color w:val="002060"/>
                <w:lang w:val="en-GB"/>
              </w:rPr>
              <w:lastRenderedPageBreak/>
              <w:t>Financial System</w:t>
            </w:r>
          </w:p>
        </w:tc>
        <w:tc>
          <w:tcPr>
            <w:tcW w:w="0" w:type="auto"/>
            <w:hideMark/>
          </w:tcPr>
          <w:p w14:paraId="119CBA1E"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Budgets, expenditure, revenue, cost centres</w:t>
            </w:r>
          </w:p>
        </w:tc>
        <w:tc>
          <w:tcPr>
            <w:tcW w:w="0" w:type="auto"/>
            <w:hideMark/>
          </w:tcPr>
          <w:p w14:paraId="449CD6E2" w14:textId="77777777" w:rsidR="00EB5D4A" w:rsidRPr="00E954D6" w:rsidRDefault="00EB5D4A" w:rsidP="00FB5EE2">
            <w:pPr>
              <w:spacing w:after="200" w:line="276" w:lineRule="auto"/>
              <w:rPr>
                <w:rFonts w:ascii="Arial" w:hAnsi="Arial" w:cs="Arial"/>
                <w:lang w:val="en-GB"/>
              </w:rPr>
            </w:pPr>
            <w:r w:rsidRPr="00E954D6">
              <w:rPr>
                <w:rFonts w:ascii="Arial" w:hAnsi="Arial" w:cs="Arial"/>
                <w:lang w:val="en-GB"/>
              </w:rPr>
              <w:t>Financial management and reporting</w:t>
            </w:r>
          </w:p>
        </w:tc>
      </w:tr>
    </w:tbl>
    <w:p w14:paraId="73CBD63C" w14:textId="1B58E2A4" w:rsidR="006C1F87" w:rsidRPr="00E954D6" w:rsidRDefault="006C1F87" w:rsidP="009C31F3">
      <w:pPr>
        <w:jc w:val="center"/>
        <w:rPr>
          <w:rFonts w:ascii="Arial" w:hAnsi="Arial" w:cs="Arial"/>
          <w:b/>
          <w:bCs/>
          <w:lang w:val="en-GB"/>
        </w:rPr>
      </w:pPr>
    </w:p>
    <w:p w14:paraId="48C62328" w14:textId="3CAE6D52" w:rsidR="007F07B9" w:rsidRDefault="00EB5D4A" w:rsidP="00267CF5">
      <w:pPr>
        <w:pStyle w:val="Heading2"/>
        <w:jc w:val="both"/>
      </w:pPr>
      <w:r>
        <w:rPr>
          <w:noProof/>
        </w:rPr>
        <w:drawing>
          <wp:anchor distT="0" distB="0" distL="114300" distR="114300" simplePos="0" relativeHeight="251664384" behindDoc="0" locked="0" layoutInCell="1" allowOverlap="1" wp14:anchorId="56617683" wp14:editId="440FAB7A">
            <wp:simplePos x="0" y="0"/>
            <wp:positionH relativeFrom="margin">
              <wp:posOffset>483870</wp:posOffset>
            </wp:positionH>
            <wp:positionV relativeFrom="paragraph">
              <wp:posOffset>192405</wp:posOffset>
            </wp:positionV>
            <wp:extent cx="5747385" cy="3493770"/>
            <wp:effectExtent l="0" t="0" r="5715" b="11430"/>
            <wp:wrapSquare wrapText="bothSides"/>
            <wp:docPr id="58329558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094A1088" w14:textId="330407DD" w:rsidR="00E954D6" w:rsidRDefault="00E954D6" w:rsidP="00E954D6"/>
    <w:p w14:paraId="4A26EC7F" w14:textId="363ED06D" w:rsidR="00E954D6" w:rsidRDefault="00E954D6" w:rsidP="00E954D6"/>
    <w:p w14:paraId="37FE6841" w14:textId="5551DC84" w:rsidR="00E954D6" w:rsidRDefault="00E954D6" w:rsidP="00E954D6"/>
    <w:p w14:paraId="2DA97DCC" w14:textId="77777777" w:rsidR="00E954D6" w:rsidRDefault="00E954D6" w:rsidP="00E954D6"/>
    <w:p w14:paraId="28FECDEB" w14:textId="77777777" w:rsidR="00E954D6" w:rsidRDefault="00E954D6" w:rsidP="00E954D6"/>
    <w:p w14:paraId="5C1D6672" w14:textId="77777777" w:rsidR="00E954D6" w:rsidRDefault="00E954D6" w:rsidP="00E954D6"/>
    <w:p w14:paraId="0AF85414" w14:textId="77777777" w:rsidR="00E954D6" w:rsidRDefault="00E954D6" w:rsidP="00E954D6"/>
    <w:p w14:paraId="62C86E62" w14:textId="77777777" w:rsidR="00E954D6" w:rsidRDefault="00E954D6" w:rsidP="00E954D6"/>
    <w:p w14:paraId="292AB422" w14:textId="77777777" w:rsidR="00E954D6" w:rsidRDefault="00E954D6" w:rsidP="00E954D6"/>
    <w:p w14:paraId="3CD14B6D" w14:textId="77777777" w:rsidR="00E954D6" w:rsidRDefault="00E954D6" w:rsidP="00E954D6"/>
    <w:p w14:paraId="028A1A31" w14:textId="77777777" w:rsidR="00E954D6" w:rsidRDefault="00E954D6" w:rsidP="00E954D6"/>
    <w:p w14:paraId="0DCDB217" w14:textId="77777777" w:rsidR="00E954D6" w:rsidRDefault="00E954D6" w:rsidP="00E954D6"/>
    <w:p w14:paraId="30C2A200" w14:textId="77777777" w:rsidR="002040DD" w:rsidRDefault="00EF64F1" w:rsidP="002040DD">
      <w:pPr>
        <w:jc w:val="center"/>
        <w:rPr>
          <w:b/>
          <w:bCs/>
          <w:color w:val="156082" w:themeColor="accent1"/>
        </w:rPr>
      </w:pPr>
      <w:r w:rsidRPr="00C87A5F">
        <w:rPr>
          <w:b/>
          <w:bCs/>
          <w:color w:val="156082" w:themeColor="accent1"/>
        </w:rPr>
        <w:t>Figure 2A: Estimated Data Volume Managed by NHS England Source Systems</w:t>
      </w:r>
    </w:p>
    <w:p w14:paraId="2FE64BDD" w14:textId="77777777" w:rsidR="002040DD" w:rsidRDefault="002040DD" w:rsidP="002040DD">
      <w:pPr>
        <w:jc w:val="center"/>
        <w:rPr>
          <w:b/>
          <w:bCs/>
          <w:color w:val="156082" w:themeColor="accent1"/>
        </w:rPr>
      </w:pPr>
    </w:p>
    <w:p w14:paraId="633A9E81" w14:textId="77777777" w:rsidR="002040DD" w:rsidRDefault="002040DD" w:rsidP="002040DD">
      <w:pPr>
        <w:jc w:val="center"/>
        <w:rPr>
          <w:b/>
          <w:bCs/>
          <w:color w:val="156082" w:themeColor="accent1"/>
        </w:rPr>
      </w:pPr>
    </w:p>
    <w:p w14:paraId="4F2D457E" w14:textId="77777777" w:rsidR="002040DD" w:rsidRDefault="002040DD" w:rsidP="002040DD">
      <w:pPr>
        <w:jc w:val="center"/>
        <w:rPr>
          <w:b/>
          <w:bCs/>
          <w:color w:val="156082" w:themeColor="accent1"/>
        </w:rPr>
      </w:pPr>
    </w:p>
    <w:p w14:paraId="3D22F21F" w14:textId="77777777" w:rsidR="002040DD" w:rsidRDefault="002040DD" w:rsidP="002040DD">
      <w:pPr>
        <w:jc w:val="center"/>
        <w:rPr>
          <w:b/>
          <w:bCs/>
          <w:color w:val="156082" w:themeColor="accent1"/>
        </w:rPr>
      </w:pPr>
    </w:p>
    <w:p w14:paraId="637426B8" w14:textId="77777777" w:rsidR="002040DD" w:rsidRDefault="002040DD" w:rsidP="002040DD">
      <w:pPr>
        <w:jc w:val="center"/>
        <w:rPr>
          <w:b/>
          <w:bCs/>
          <w:color w:val="156082" w:themeColor="accent1"/>
        </w:rPr>
      </w:pPr>
    </w:p>
    <w:p w14:paraId="2DB2F3F2" w14:textId="77777777" w:rsidR="002040DD" w:rsidRDefault="002040DD" w:rsidP="002040DD">
      <w:pPr>
        <w:jc w:val="center"/>
        <w:rPr>
          <w:b/>
          <w:bCs/>
          <w:color w:val="156082" w:themeColor="accent1"/>
        </w:rPr>
      </w:pPr>
    </w:p>
    <w:p w14:paraId="11F214E4" w14:textId="77777777" w:rsidR="002040DD" w:rsidRDefault="002040DD" w:rsidP="002040DD">
      <w:pPr>
        <w:jc w:val="center"/>
        <w:rPr>
          <w:b/>
          <w:bCs/>
          <w:color w:val="156082" w:themeColor="accent1"/>
        </w:rPr>
      </w:pPr>
    </w:p>
    <w:p w14:paraId="2F2A7681" w14:textId="77777777" w:rsidR="002040DD" w:rsidRDefault="002040DD" w:rsidP="002040DD">
      <w:pPr>
        <w:jc w:val="center"/>
        <w:rPr>
          <w:b/>
          <w:bCs/>
          <w:color w:val="156082" w:themeColor="accent1"/>
        </w:rPr>
      </w:pPr>
    </w:p>
    <w:p w14:paraId="272FB1ED" w14:textId="77777777" w:rsidR="002040DD" w:rsidRDefault="002040DD" w:rsidP="002040DD">
      <w:pPr>
        <w:jc w:val="center"/>
        <w:rPr>
          <w:b/>
          <w:bCs/>
          <w:color w:val="156082" w:themeColor="accent1"/>
        </w:rPr>
      </w:pPr>
    </w:p>
    <w:p w14:paraId="6091D675" w14:textId="77777777" w:rsidR="002040DD" w:rsidRDefault="002040DD" w:rsidP="002040DD">
      <w:pPr>
        <w:jc w:val="center"/>
        <w:rPr>
          <w:b/>
          <w:bCs/>
          <w:color w:val="156082" w:themeColor="accent1"/>
        </w:rPr>
      </w:pPr>
    </w:p>
    <w:p w14:paraId="1F512017" w14:textId="77777777" w:rsidR="002040DD" w:rsidRDefault="002040DD" w:rsidP="002040DD">
      <w:pPr>
        <w:jc w:val="center"/>
        <w:rPr>
          <w:b/>
          <w:bCs/>
          <w:color w:val="156082" w:themeColor="accent1"/>
        </w:rPr>
      </w:pPr>
    </w:p>
    <w:p w14:paraId="68E8D511" w14:textId="77777777" w:rsidR="002040DD" w:rsidRDefault="002040DD" w:rsidP="002040DD">
      <w:pPr>
        <w:tabs>
          <w:tab w:val="left" w:pos="4160"/>
          <w:tab w:val="center" w:pos="5400"/>
        </w:tabs>
        <w:rPr>
          <w:lang w:val="en-GB"/>
        </w:rPr>
      </w:pPr>
      <w:r>
        <w:rPr>
          <w:lang w:val="en-GB"/>
        </w:rPr>
        <w:tab/>
      </w:r>
    </w:p>
    <w:p w14:paraId="7E78D568" w14:textId="6AD0D784" w:rsidR="00355E76" w:rsidRPr="002040DD" w:rsidRDefault="007F07B9" w:rsidP="002040DD">
      <w:pPr>
        <w:tabs>
          <w:tab w:val="left" w:pos="4160"/>
          <w:tab w:val="center" w:pos="5400"/>
        </w:tabs>
        <w:rPr>
          <w:b/>
          <w:bCs/>
          <w:color w:val="156082" w:themeColor="accent1"/>
        </w:rPr>
      </w:pPr>
      <w:r w:rsidRPr="00E954D6">
        <w:rPr>
          <w:lang w:val="en-GB"/>
        </w:rPr>
        <w:lastRenderedPageBreak/>
        <w:t>3.2 Star Schema Design</w:t>
      </w:r>
    </w:p>
    <w:p w14:paraId="1D395C00" w14:textId="0827D15F" w:rsidR="00206C5E" w:rsidRPr="00355E76" w:rsidRDefault="00355E76" w:rsidP="00355E76">
      <w:pPr>
        <w:rPr>
          <w:lang w:val="en-GB"/>
        </w:rPr>
      </w:pPr>
      <w:r w:rsidRPr="00355E76">
        <w:rPr>
          <w:noProof/>
          <w:lang w:val="en-GB"/>
        </w:rPr>
        <w:drawing>
          <wp:anchor distT="0" distB="0" distL="114300" distR="114300" simplePos="0" relativeHeight="251669504" behindDoc="0" locked="0" layoutInCell="1" allowOverlap="1" wp14:anchorId="27F72CCE" wp14:editId="5668A8FD">
            <wp:simplePos x="0" y="0"/>
            <wp:positionH relativeFrom="column">
              <wp:posOffset>0</wp:posOffset>
            </wp:positionH>
            <wp:positionV relativeFrom="paragraph">
              <wp:posOffset>3175</wp:posOffset>
            </wp:positionV>
            <wp:extent cx="6858000" cy="3871595"/>
            <wp:effectExtent l="76200" t="76200" r="133350" b="128905"/>
            <wp:wrapSquare wrapText="bothSides"/>
            <wp:docPr id="213723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231906" name=""/>
                    <pic:cNvPicPr/>
                  </pic:nvPicPr>
                  <pic:blipFill>
                    <a:blip r:embed="rId13">
                      <a:extLst>
                        <a:ext uri="{28A0092B-C50C-407E-A947-70E740481C1C}">
                          <a14:useLocalDpi xmlns:a14="http://schemas.microsoft.com/office/drawing/2010/main" val="0"/>
                        </a:ext>
                      </a:extLst>
                    </a:blip>
                    <a:stretch>
                      <a:fillRect/>
                    </a:stretch>
                  </pic:blipFill>
                  <pic:spPr>
                    <a:xfrm>
                      <a:off x="0" y="0"/>
                      <a:ext cx="6858000" cy="3871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451D2520" w14:textId="6D4A1892" w:rsidR="00206C5E" w:rsidRPr="00E954D6" w:rsidRDefault="00D464E3" w:rsidP="00D464E3">
      <w:pPr>
        <w:jc w:val="center"/>
        <w:rPr>
          <w:rFonts w:ascii="Arial" w:hAnsi="Arial" w:cs="Arial"/>
          <w:color w:val="0F4761" w:themeColor="accent1" w:themeShade="BF"/>
          <w:sz w:val="24"/>
          <w:szCs w:val="24"/>
          <w:lang w:val="en-GB"/>
        </w:rPr>
      </w:pPr>
      <w:r w:rsidRPr="00E954D6">
        <w:rPr>
          <w:rFonts w:ascii="Arial" w:hAnsi="Arial" w:cs="Arial"/>
          <w:color w:val="0F4761" w:themeColor="accent1" w:themeShade="BF"/>
          <w:sz w:val="24"/>
          <w:szCs w:val="24"/>
          <w:lang w:val="en-GB"/>
        </w:rPr>
        <w:t>Figure 2: Proposed NHS England Star Schema Design</w:t>
      </w:r>
    </w:p>
    <w:p w14:paraId="6FD18093" w14:textId="77777777" w:rsidR="00206C5E" w:rsidRPr="00E954D6" w:rsidRDefault="00206C5E" w:rsidP="00B66049">
      <w:pPr>
        <w:jc w:val="both"/>
        <w:rPr>
          <w:rFonts w:ascii="Arial" w:hAnsi="Arial" w:cs="Arial"/>
          <w:lang w:val="en-GB"/>
        </w:rPr>
      </w:pPr>
    </w:p>
    <w:p w14:paraId="7B52E4BA" w14:textId="0A26066F" w:rsidR="00082722" w:rsidRPr="00E954D6" w:rsidRDefault="00082722" w:rsidP="00B66049">
      <w:pPr>
        <w:jc w:val="both"/>
        <w:rPr>
          <w:rFonts w:ascii="Arial" w:hAnsi="Arial" w:cs="Arial"/>
          <w:lang w:val="en-GB"/>
        </w:rPr>
      </w:pPr>
      <w:r w:rsidRPr="00E954D6">
        <w:rPr>
          <w:rFonts w:ascii="Arial" w:hAnsi="Arial" w:cs="Arial"/>
          <w:lang w:val="en-GB"/>
        </w:rPr>
        <w:t>A star schema is a dimensional modelling technique commonly used in data warehouses to support analytical processing and reporting. It consists of a central fact table connected to multiple dimension tables. This structure simplifies complex queries and improves reporting performance compared to highly normalised operational databases.</w:t>
      </w:r>
    </w:p>
    <w:p w14:paraId="361DB1FA" w14:textId="3CE62C41" w:rsidR="00082722" w:rsidRPr="00E954D6" w:rsidRDefault="00640FDD" w:rsidP="00B66049">
      <w:pPr>
        <w:jc w:val="both"/>
        <w:rPr>
          <w:rFonts w:ascii="Arial" w:hAnsi="Arial" w:cs="Arial"/>
          <w:lang w:val="en-GB"/>
        </w:rPr>
      </w:pPr>
      <w:r>
        <w:rPr>
          <w:rFonts w:ascii="Arial" w:hAnsi="Arial" w:cs="Arial"/>
          <w:lang w:val="en-GB"/>
        </w:rPr>
        <w:t xml:space="preserve">In a proposed </w:t>
      </w:r>
      <w:r w:rsidR="00082722" w:rsidRPr="00E954D6">
        <w:rPr>
          <w:rFonts w:ascii="Arial" w:hAnsi="Arial" w:cs="Arial"/>
          <w:lang w:val="en-GB"/>
        </w:rPr>
        <w:t xml:space="preserve">data warehouse, the </w:t>
      </w:r>
      <w:r w:rsidR="00C744B1" w:rsidRPr="00E954D6">
        <w:rPr>
          <w:rFonts w:ascii="Arial" w:hAnsi="Arial" w:cs="Arial"/>
          <w:b/>
          <w:bCs/>
          <w:lang w:val="en-GB"/>
        </w:rPr>
        <w:t>Fact Healthcare</w:t>
      </w:r>
      <w:r w:rsidR="00082722" w:rsidRPr="00E954D6">
        <w:rPr>
          <w:rFonts w:ascii="Arial" w:hAnsi="Arial" w:cs="Arial"/>
          <w:lang w:val="en-GB"/>
        </w:rPr>
        <w:t xml:space="preserve"> table stores measurable business events such as patient admissions, treatment costs and length of stay. The fact table contains foreign keys that link to related dimension tables, allowing data to be analysed from multiple perspectives.</w:t>
      </w:r>
    </w:p>
    <w:p w14:paraId="2C4187C8" w14:textId="77777777" w:rsidR="00082722" w:rsidRPr="00E954D6" w:rsidRDefault="00082722" w:rsidP="00B66049">
      <w:pPr>
        <w:jc w:val="both"/>
        <w:rPr>
          <w:rFonts w:ascii="Arial" w:hAnsi="Arial" w:cs="Arial"/>
          <w:lang w:val="en-GB"/>
        </w:rPr>
      </w:pPr>
      <w:r w:rsidRPr="00E954D6">
        <w:rPr>
          <w:rFonts w:ascii="Arial" w:hAnsi="Arial" w:cs="Arial"/>
          <w:lang w:val="en-GB"/>
        </w:rPr>
        <w:t xml:space="preserve">The </w:t>
      </w:r>
      <w:r w:rsidRPr="00E954D6">
        <w:rPr>
          <w:rFonts w:ascii="Arial" w:hAnsi="Arial" w:cs="Arial"/>
          <w:b/>
          <w:bCs/>
          <w:lang w:val="en-GB"/>
        </w:rPr>
        <w:t>Patient Dimension</w:t>
      </w:r>
      <w:r w:rsidRPr="00E954D6">
        <w:rPr>
          <w:rFonts w:ascii="Arial" w:hAnsi="Arial" w:cs="Arial"/>
          <w:lang w:val="en-GB"/>
        </w:rPr>
        <w:t xml:space="preserve"> provides demographic information such as age, gender and region. The </w:t>
      </w:r>
      <w:r w:rsidRPr="00E954D6">
        <w:rPr>
          <w:rFonts w:ascii="Arial" w:hAnsi="Arial" w:cs="Arial"/>
          <w:b/>
          <w:bCs/>
          <w:lang w:val="en-GB"/>
        </w:rPr>
        <w:t>Time Dimension</w:t>
      </w:r>
      <w:r w:rsidRPr="00E954D6">
        <w:rPr>
          <w:rFonts w:ascii="Arial" w:hAnsi="Arial" w:cs="Arial"/>
          <w:lang w:val="en-GB"/>
        </w:rPr>
        <w:t xml:space="preserve"> enables analysis by day, month and year, supporting trend analysis and performance monitoring. The </w:t>
      </w:r>
      <w:r w:rsidRPr="00E954D6">
        <w:rPr>
          <w:rFonts w:ascii="Arial" w:hAnsi="Arial" w:cs="Arial"/>
          <w:b/>
          <w:bCs/>
          <w:lang w:val="en-GB"/>
        </w:rPr>
        <w:t>Hospital Dimension</w:t>
      </w:r>
      <w:r w:rsidRPr="00E954D6">
        <w:rPr>
          <w:rFonts w:ascii="Arial" w:hAnsi="Arial" w:cs="Arial"/>
          <w:lang w:val="en-GB"/>
        </w:rPr>
        <w:t xml:space="preserve"> contains information about healthcare facilities, while the </w:t>
      </w:r>
      <w:r w:rsidRPr="00E954D6">
        <w:rPr>
          <w:rFonts w:ascii="Arial" w:hAnsi="Arial" w:cs="Arial"/>
          <w:b/>
          <w:bCs/>
          <w:lang w:val="en-GB"/>
        </w:rPr>
        <w:t>Treatment Dimension</w:t>
      </w:r>
      <w:r w:rsidRPr="00E954D6">
        <w:rPr>
          <w:rFonts w:ascii="Arial" w:hAnsi="Arial" w:cs="Arial"/>
          <w:lang w:val="en-GB"/>
        </w:rPr>
        <w:t xml:space="preserve"> stores details regarding treatments, departments and consultants.</w:t>
      </w:r>
    </w:p>
    <w:p w14:paraId="4796C839" w14:textId="1737061D" w:rsidR="007F07B9" w:rsidRDefault="00082722" w:rsidP="00595A43">
      <w:pPr>
        <w:jc w:val="both"/>
        <w:rPr>
          <w:rFonts w:ascii="Arial" w:hAnsi="Arial" w:cs="Arial"/>
          <w:lang w:val="en-GB"/>
        </w:rPr>
      </w:pPr>
      <w:r w:rsidRPr="00E954D6">
        <w:rPr>
          <w:rFonts w:ascii="Arial" w:hAnsi="Arial" w:cs="Arial"/>
          <w:lang w:val="en-GB"/>
        </w:rPr>
        <w:t>By organising data using a star schema,</w:t>
      </w:r>
      <w:r w:rsidR="00640FDD">
        <w:rPr>
          <w:rFonts w:ascii="Arial" w:hAnsi="Arial" w:cs="Arial"/>
          <w:lang w:val="en-GB"/>
        </w:rPr>
        <w:t xml:space="preserve"> </w:t>
      </w:r>
      <w:r w:rsidRPr="00E954D6">
        <w:rPr>
          <w:rFonts w:ascii="Arial" w:hAnsi="Arial" w:cs="Arial"/>
          <w:lang w:val="en-GB"/>
        </w:rPr>
        <w:t>analytical queries and generate reports more efficiently. Decision-makers can analyse healthcare performance across hospitals, patient groups, treatment categories and time periods without dealing with the complexity of operational databases.</w:t>
      </w:r>
    </w:p>
    <w:p w14:paraId="75B60D30" w14:textId="77777777" w:rsidR="00595A43" w:rsidRPr="00595A43" w:rsidRDefault="00595A43" w:rsidP="00595A43">
      <w:pPr>
        <w:jc w:val="both"/>
        <w:rPr>
          <w:rFonts w:ascii="Arial" w:hAnsi="Arial" w:cs="Arial"/>
          <w:lang w:val="en-GB"/>
        </w:rPr>
      </w:pPr>
    </w:p>
    <w:p w14:paraId="104987A8" w14:textId="77777777" w:rsidR="00640FDD" w:rsidRDefault="00640FDD" w:rsidP="00267CF5">
      <w:pPr>
        <w:pStyle w:val="Heading2"/>
        <w:jc w:val="both"/>
        <w:rPr>
          <w:lang w:val="en-GB"/>
        </w:rPr>
      </w:pPr>
    </w:p>
    <w:p w14:paraId="7E8C166F" w14:textId="4E899C99" w:rsidR="007F07B9" w:rsidRPr="00E954D6" w:rsidRDefault="007F07B9" w:rsidP="00267CF5">
      <w:pPr>
        <w:pStyle w:val="Heading2"/>
        <w:jc w:val="both"/>
        <w:rPr>
          <w:lang w:val="en-GB"/>
        </w:rPr>
      </w:pPr>
      <w:r w:rsidRPr="00E954D6">
        <w:rPr>
          <w:lang w:val="en-GB"/>
        </w:rPr>
        <w:t>3.3 Data Marts and Schema</w:t>
      </w:r>
    </w:p>
    <w:p w14:paraId="3CAC93CA" w14:textId="77777777" w:rsidR="00A43DF2" w:rsidRPr="00E954D6" w:rsidRDefault="00A43DF2" w:rsidP="00A43DF2">
      <w:pPr>
        <w:rPr>
          <w:lang w:val="en-GB"/>
        </w:rPr>
      </w:pPr>
    </w:p>
    <w:p w14:paraId="3D4986CB" w14:textId="618E9726" w:rsidR="00082722" w:rsidRPr="00E954D6" w:rsidRDefault="00082722" w:rsidP="00B66049">
      <w:pPr>
        <w:jc w:val="both"/>
        <w:rPr>
          <w:rFonts w:ascii="Arial" w:hAnsi="Arial" w:cs="Arial"/>
          <w:lang w:val="en-GB"/>
        </w:rPr>
      </w:pPr>
      <w:r w:rsidRPr="00E954D6">
        <w:rPr>
          <w:rFonts w:ascii="Arial" w:hAnsi="Arial" w:cs="Arial"/>
          <w:lang w:val="en-GB"/>
        </w:rPr>
        <w:t xml:space="preserve">Data marts are specialised subsets of the enterprise data warehouse that are designed to meet the reporting and analytical requirements of specific business areas. While the enterprise data warehouse stores integrated data from across NHS England, data marts provide focused access to information relevant to </w:t>
      </w:r>
      <w:r w:rsidR="00640FDD" w:rsidRPr="00E954D6">
        <w:rPr>
          <w:rFonts w:ascii="Arial" w:hAnsi="Arial" w:cs="Arial"/>
          <w:lang w:val="en-GB"/>
        </w:rPr>
        <w:t>departments</w:t>
      </w:r>
      <w:r w:rsidRPr="00E954D6">
        <w:rPr>
          <w:rFonts w:ascii="Arial" w:hAnsi="Arial" w:cs="Arial"/>
          <w:lang w:val="en-GB"/>
        </w:rPr>
        <w:t xml:space="preserve"> and management functions.</w:t>
      </w:r>
    </w:p>
    <w:p w14:paraId="48C4F622" w14:textId="6AABD297" w:rsidR="00082722" w:rsidRPr="00E954D6" w:rsidRDefault="00082722" w:rsidP="00B66049">
      <w:pPr>
        <w:jc w:val="both"/>
        <w:rPr>
          <w:rFonts w:ascii="Arial" w:hAnsi="Arial" w:cs="Arial"/>
          <w:lang w:val="en-GB"/>
        </w:rPr>
      </w:pPr>
      <w:r w:rsidRPr="00E954D6">
        <w:rPr>
          <w:rFonts w:ascii="Arial" w:hAnsi="Arial" w:cs="Arial"/>
          <w:lang w:val="en-GB"/>
        </w:rPr>
        <w:t xml:space="preserve">The proposed NHS England data warehouse includes three primary data marts: </w:t>
      </w:r>
    </w:p>
    <w:p w14:paraId="47234EC4" w14:textId="77777777" w:rsidR="00082722" w:rsidRPr="00E954D6" w:rsidRDefault="00082722" w:rsidP="00B66049">
      <w:pPr>
        <w:jc w:val="both"/>
        <w:rPr>
          <w:rFonts w:ascii="Arial" w:hAnsi="Arial" w:cs="Arial"/>
          <w:lang w:val="en-GB"/>
        </w:rPr>
      </w:pPr>
      <w:r w:rsidRPr="00E954D6">
        <w:rPr>
          <w:rFonts w:ascii="Arial" w:hAnsi="Arial" w:cs="Arial"/>
          <w:lang w:val="en-GB"/>
        </w:rPr>
        <w:t xml:space="preserve">The </w:t>
      </w:r>
      <w:r w:rsidRPr="00E954D6">
        <w:rPr>
          <w:rFonts w:ascii="Arial" w:hAnsi="Arial" w:cs="Arial"/>
          <w:b/>
          <w:bCs/>
          <w:lang w:val="en-GB"/>
        </w:rPr>
        <w:t>Clinical Data Mart</w:t>
      </w:r>
      <w:r w:rsidRPr="00E954D6">
        <w:rPr>
          <w:rFonts w:ascii="Arial" w:hAnsi="Arial" w:cs="Arial"/>
          <w:lang w:val="en-GB"/>
        </w:rPr>
        <w:t xml:space="preserve"> supports healthcare service analysis by storing information related to patient admissions, diagnoses, treatments, discharge outcomes and waiting times. This data mart enables healthcare managers to evaluate service quality, monitor patient outcomes and identify trends affecting clinical performance.</w:t>
      </w:r>
    </w:p>
    <w:p w14:paraId="30919BEE" w14:textId="77777777" w:rsidR="00082722" w:rsidRPr="00E954D6" w:rsidRDefault="00082722" w:rsidP="00B66049">
      <w:pPr>
        <w:jc w:val="both"/>
        <w:rPr>
          <w:rFonts w:ascii="Arial" w:hAnsi="Arial" w:cs="Arial"/>
          <w:lang w:val="en-GB"/>
        </w:rPr>
      </w:pPr>
      <w:r w:rsidRPr="00E954D6">
        <w:rPr>
          <w:rFonts w:ascii="Arial" w:hAnsi="Arial" w:cs="Arial"/>
          <w:lang w:val="en-GB"/>
        </w:rPr>
        <w:t xml:space="preserve">The </w:t>
      </w:r>
      <w:r w:rsidRPr="00E954D6">
        <w:rPr>
          <w:rFonts w:ascii="Arial" w:hAnsi="Arial" w:cs="Arial"/>
          <w:b/>
          <w:bCs/>
          <w:lang w:val="en-GB"/>
        </w:rPr>
        <w:t>Financial Data Mart</w:t>
      </w:r>
      <w:r w:rsidRPr="00E954D6">
        <w:rPr>
          <w:rFonts w:ascii="Arial" w:hAnsi="Arial" w:cs="Arial"/>
          <w:lang w:val="en-GB"/>
        </w:rPr>
        <w:t xml:space="preserve"> focuses on budgeting, expenditure, revenue and cost management. It provides managers with access to financial performance indicators and supports activities such as budget monitoring, expenditure analysis and resource allocation planning.</w:t>
      </w:r>
    </w:p>
    <w:p w14:paraId="5D17D46C" w14:textId="77777777" w:rsidR="00082722" w:rsidRPr="00E954D6" w:rsidRDefault="00082722" w:rsidP="00B66049">
      <w:pPr>
        <w:jc w:val="both"/>
        <w:rPr>
          <w:rFonts w:ascii="Arial" w:hAnsi="Arial" w:cs="Arial"/>
          <w:lang w:val="en-GB"/>
        </w:rPr>
      </w:pPr>
      <w:r w:rsidRPr="00E954D6">
        <w:rPr>
          <w:rFonts w:ascii="Arial" w:hAnsi="Arial" w:cs="Arial"/>
          <w:lang w:val="en-GB"/>
        </w:rPr>
        <w:t xml:space="preserve">The </w:t>
      </w:r>
      <w:r w:rsidRPr="00E954D6">
        <w:rPr>
          <w:rFonts w:ascii="Arial" w:hAnsi="Arial" w:cs="Arial"/>
          <w:b/>
          <w:bCs/>
          <w:lang w:val="en-GB"/>
        </w:rPr>
        <w:t>Workforce Data Mart</w:t>
      </w:r>
      <w:r w:rsidRPr="00E954D6">
        <w:rPr>
          <w:rFonts w:ascii="Arial" w:hAnsi="Arial" w:cs="Arial"/>
          <w:lang w:val="en-GB"/>
        </w:rPr>
        <w:t xml:space="preserve"> contains information related to staffing levels, employee attendance, shift utilisation, training records and workforce performance. The data mart assists managers in workforce planning, identifying staffing shortages and evaluating employee productivity.</w:t>
      </w:r>
    </w:p>
    <w:p w14:paraId="3948CB86" w14:textId="50FF3C16" w:rsidR="00CC327F" w:rsidRPr="00E954D6" w:rsidRDefault="00082722" w:rsidP="00B66049">
      <w:pPr>
        <w:jc w:val="both"/>
        <w:rPr>
          <w:rFonts w:ascii="Arial" w:hAnsi="Arial" w:cs="Arial"/>
          <w:lang w:val="en-GB"/>
        </w:rPr>
      </w:pPr>
      <w:r w:rsidRPr="00E954D6">
        <w:rPr>
          <w:rFonts w:ascii="Arial" w:hAnsi="Arial" w:cs="Arial"/>
          <w:lang w:val="en-GB"/>
        </w:rPr>
        <w:t>By separating information into specialised data marts, NHS England can improve reporting efficiency, reduce query complexity and provide users with faster access to relevant information. This approach ensures that decision-makers can obtain meaningful insights without accessing unnecessary enterprise-wide data.</w:t>
      </w:r>
    </w:p>
    <w:p w14:paraId="54140DFC" w14:textId="77777777" w:rsidR="006C1F87" w:rsidRPr="00E954D6" w:rsidRDefault="006C1F87" w:rsidP="00B66049">
      <w:pPr>
        <w:jc w:val="both"/>
        <w:rPr>
          <w:rFonts w:ascii="Arial" w:hAnsi="Arial" w:cs="Arial"/>
          <w:lang w:val="en-GB"/>
        </w:rPr>
      </w:pPr>
    </w:p>
    <w:p w14:paraId="730804C4" w14:textId="77777777" w:rsidR="00CC327F" w:rsidRPr="00E954D6" w:rsidRDefault="00CC327F" w:rsidP="00CC327F">
      <w:pPr>
        <w:jc w:val="center"/>
        <w:rPr>
          <w:rFonts w:ascii="Arial" w:hAnsi="Arial" w:cs="Arial"/>
          <w:color w:val="0F4761" w:themeColor="accent1" w:themeShade="BF"/>
          <w:lang w:val="en-GB"/>
        </w:rPr>
      </w:pPr>
      <w:r w:rsidRPr="00E954D6">
        <w:rPr>
          <w:rFonts w:ascii="Arial" w:hAnsi="Arial" w:cs="Arial"/>
          <w:b/>
          <w:bCs/>
          <w:color w:val="0F4761" w:themeColor="accent1" w:themeShade="BF"/>
          <w:lang w:val="en-GB"/>
        </w:rPr>
        <w:t>Table 3: NHS England Data Marts and Their Purpose</w:t>
      </w:r>
    </w:p>
    <w:tbl>
      <w:tblPr>
        <w:tblStyle w:val="TableGrid"/>
        <w:tblW w:w="11026" w:type="dxa"/>
        <w:tblLook w:val="04A0" w:firstRow="1" w:lastRow="0" w:firstColumn="1" w:lastColumn="0" w:noHBand="0" w:noVBand="1"/>
      </w:tblPr>
      <w:tblGrid>
        <w:gridCol w:w="1935"/>
        <w:gridCol w:w="3610"/>
        <w:gridCol w:w="2554"/>
        <w:gridCol w:w="2927"/>
      </w:tblGrid>
      <w:tr w:rsidR="00CC327F" w:rsidRPr="00E954D6" w14:paraId="75B8DD74" w14:textId="77777777" w:rsidTr="004571DE">
        <w:tc>
          <w:tcPr>
            <w:tcW w:w="1935" w:type="dxa"/>
            <w:hideMark/>
          </w:tcPr>
          <w:p w14:paraId="15ABC82B" w14:textId="77777777" w:rsidR="00CC327F" w:rsidRPr="00E954D6" w:rsidRDefault="00CC327F" w:rsidP="00CC327F">
            <w:pPr>
              <w:spacing w:after="200" w:line="276" w:lineRule="auto"/>
              <w:rPr>
                <w:rFonts w:ascii="Arial" w:hAnsi="Arial" w:cs="Arial"/>
                <w:b/>
                <w:bCs/>
                <w:lang w:val="en-GB"/>
              </w:rPr>
            </w:pPr>
            <w:r w:rsidRPr="00E954D6">
              <w:rPr>
                <w:rFonts w:ascii="Arial" w:hAnsi="Arial" w:cs="Arial"/>
                <w:b/>
                <w:bCs/>
                <w:lang w:val="en-GB"/>
              </w:rPr>
              <w:t>Data Mart</w:t>
            </w:r>
          </w:p>
        </w:tc>
        <w:tc>
          <w:tcPr>
            <w:tcW w:w="0" w:type="auto"/>
            <w:hideMark/>
          </w:tcPr>
          <w:p w14:paraId="7A2AE1EC" w14:textId="77777777" w:rsidR="00CC327F" w:rsidRPr="00E954D6" w:rsidRDefault="00CC327F" w:rsidP="00CC327F">
            <w:pPr>
              <w:spacing w:after="200" w:line="276" w:lineRule="auto"/>
              <w:rPr>
                <w:rFonts w:ascii="Arial" w:hAnsi="Arial" w:cs="Arial"/>
                <w:b/>
                <w:bCs/>
                <w:lang w:val="en-GB"/>
              </w:rPr>
            </w:pPr>
            <w:r w:rsidRPr="00E954D6">
              <w:rPr>
                <w:rFonts w:ascii="Arial" w:hAnsi="Arial" w:cs="Arial"/>
                <w:b/>
                <w:bCs/>
                <w:lang w:val="en-GB"/>
              </w:rPr>
              <w:t>Key Data Included</w:t>
            </w:r>
          </w:p>
        </w:tc>
        <w:tc>
          <w:tcPr>
            <w:tcW w:w="0" w:type="auto"/>
            <w:hideMark/>
          </w:tcPr>
          <w:p w14:paraId="5A2A25CD" w14:textId="77777777" w:rsidR="00CC327F" w:rsidRPr="00E954D6" w:rsidRDefault="00CC327F" w:rsidP="00CC327F">
            <w:pPr>
              <w:spacing w:after="200" w:line="276" w:lineRule="auto"/>
              <w:rPr>
                <w:rFonts w:ascii="Arial" w:hAnsi="Arial" w:cs="Arial"/>
                <w:b/>
                <w:bCs/>
                <w:lang w:val="en-GB"/>
              </w:rPr>
            </w:pPr>
            <w:r w:rsidRPr="00E954D6">
              <w:rPr>
                <w:rFonts w:ascii="Arial" w:hAnsi="Arial" w:cs="Arial"/>
                <w:b/>
                <w:bCs/>
                <w:lang w:val="en-GB"/>
              </w:rPr>
              <w:t>Primary Users</w:t>
            </w:r>
          </w:p>
        </w:tc>
        <w:tc>
          <w:tcPr>
            <w:tcW w:w="0" w:type="auto"/>
            <w:hideMark/>
          </w:tcPr>
          <w:p w14:paraId="1DF9081C" w14:textId="77777777" w:rsidR="00CC327F" w:rsidRPr="00E954D6" w:rsidRDefault="00CC327F" w:rsidP="00CC327F">
            <w:pPr>
              <w:spacing w:after="200" w:line="276" w:lineRule="auto"/>
              <w:rPr>
                <w:rFonts w:ascii="Arial" w:hAnsi="Arial" w:cs="Arial"/>
                <w:b/>
                <w:bCs/>
                <w:lang w:val="en-GB"/>
              </w:rPr>
            </w:pPr>
            <w:r w:rsidRPr="00E954D6">
              <w:rPr>
                <w:rFonts w:ascii="Arial" w:hAnsi="Arial" w:cs="Arial"/>
                <w:b/>
                <w:bCs/>
                <w:lang w:val="en-GB"/>
              </w:rPr>
              <w:t>Purpose</w:t>
            </w:r>
          </w:p>
        </w:tc>
      </w:tr>
      <w:tr w:rsidR="00CC327F" w:rsidRPr="00E954D6" w14:paraId="2CE1B526" w14:textId="77777777" w:rsidTr="004571DE">
        <w:tc>
          <w:tcPr>
            <w:tcW w:w="1935" w:type="dxa"/>
            <w:hideMark/>
          </w:tcPr>
          <w:p w14:paraId="5014AFB0" w14:textId="77777777" w:rsidR="00CC327F" w:rsidRPr="00E954D6" w:rsidRDefault="00CC327F" w:rsidP="00CC327F">
            <w:pPr>
              <w:spacing w:after="200" w:line="276" w:lineRule="auto"/>
              <w:rPr>
                <w:rFonts w:ascii="Arial" w:hAnsi="Arial" w:cs="Arial"/>
                <w:lang w:val="en-GB"/>
              </w:rPr>
            </w:pPr>
            <w:r w:rsidRPr="007B424D">
              <w:rPr>
                <w:rFonts w:ascii="Arial" w:hAnsi="Arial" w:cs="Arial"/>
                <w:color w:val="00B050"/>
                <w:lang w:val="en-GB"/>
              </w:rPr>
              <w:t>Clinical Data Mart</w:t>
            </w:r>
          </w:p>
        </w:tc>
        <w:tc>
          <w:tcPr>
            <w:tcW w:w="0" w:type="auto"/>
            <w:hideMark/>
          </w:tcPr>
          <w:p w14:paraId="44A4D937"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Admissions, treatments, diagnoses, outcomes, waiting times</w:t>
            </w:r>
          </w:p>
        </w:tc>
        <w:tc>
          <w:tcPr>
            <w:tcW w:w="0" w:type="auto"/>
            <w:hideMark/>
          </w:tcPr>
          <w:p w14:paraId="032DEA80"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Clinical Managers, Healthcare Leaders</w:t>
            </w:r>
          </w:p>
        </w:tc>
        <w:tc>
          <w:tcPr>
            <w:tcW w:w="0" w:type="auto"/>
            <w:hideMark/>
          </w:tcPr>
          <w:p w14:paraId="1389E9F9"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Monitor patient care and clinical performance</w:t>
            </w:r>
          </w:p>
        </w:tc>
      </w:tr>
      <w:tr w:rsidR="00CC327F" w:rsidRPr="00E954D6" w14:paraId="2FC5BE4D" w14:textId="77777777" w:rsidTr="004571DE">
        <w:tc>
          <w:tcPr>
            <w:tcW w:w="1935" w:type="dxa"/>
            <w:hideMark/>
          </w:tcPr>
          <w:p w14:paraId="69EF4C6B" w14:textId="77777777" w:rsidR="00CC327F" w:rsidRPr="00E954D6" w:rsidRDefault="00CC327F" w:rsidP="00CC327F">
            <w:pPr>
              <w:spacing w:after="200" w:line="276" w:lineRule="auto"/>
              <w:rPr>
                <w:rFonts w:ascii="Arial" w:hAnsi="Arial" w:cs="Arial"/>
                <w:lang w:val="en-GB"/>
              </w:rPr>
            </w:pPr>
            <w:r w:rsidRPr="007B424D">
              <w:rPr>
                <w:rFonts w:ascii="Arial" w:hAnsi="Arial" w:cs="Arial"/>
                <w:color w:val="002060"/>
                <w:lang w:val="en-GB"/>
              </w:rPr>
              <w:t>Financial Data Mart</w:t>
            </w:r>
          </w:p>
        </w:tc>
        <w:tc>
          <w:tcPr>
            <w:tcW w:w="0" w:type="auto"/>
            <w:hideMark/>
          </w:tcPr>
          <w:p w14:paraId="1C538801"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Budgets, expenditure, revenue, costs</w:t>
            </w:r>
          </w:p>
        </w:tc>
        <w:tc>
          <w:tcPr>
            <w:tcW w:w="0" w:type="auto"/>
            <w:hideMark/>
          </w:tcPr>
          <w:p w14:paraId="4B954DC1"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Finance Managers, Executives</w:t>
            </w:r>
          </w:p>
        </w:tc>
        <w:tc>
          <w:tcPr>
            <w:tcW w:w="0" w:type="auto"/>
            <w:hideMark/>
          </w:tcPr>
          <w:p w14:paraId="39D4B237"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Financial planning and cost control</w:t>
            </w:r>
          </w:p>
        </w:tc>
      </w:tr>
      <w:tr w:rsidR="00CC327F" w:rsidRPr="00E954D6" w14:paraId="15BC53D2" w14:textId="77777777" w:rsidTr="004571DE">
        <w:tc>
          <w:tcPr>
            <w:tcW w:w="1935" w:type="dxa"/>
            <w:hideMark/>
          </w:tcPr>
          <w:p w14:paraId="50224D0A" w14:textId="77777777" w:rsidR="00CC327F" w:rsidRPr="00E954D6" w:rsidRDefault="00CC327F" w:rsidP="00CC327F">
            <w:pPr>
              <w:spacing w:after="200" w:line="276" w:lineRule="auto"/>
              <w:rPr>
                <w:rFonts w:ascii="Arial" w:hAnsi="Arial" w:cs="Arial"/>
                <w:lang w:val="en-GB"/>
              </w:rPr>
            </w:pPr>
            <w:r w:rsidRPr="007B424D">
              <w:rPr>
                <w:rFonts w:ascii="Arial" w:hAnsi="Arial" w:cs="Arial"/>
                <w:color w:val="7030A0"/>
                <w:lang w:val="en-GB"/>
              </w:rPr>
              <w:t>Workforce Data Mart</w:t>
            </w:r>
          </w:p>
        </w:tc>
        <w:tc>
          <w:tcPr>
            <w:tcW w:w="0" w:type="auto"/>
            <w:hideMark/>
          </w:tcPr>
          <w:p w14:paraId="4EF253E5"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Staff records, attendance, shifts, utilisation</w:t>
            </w:r>
          </w:p>
        </w:tc>
        <w:tc>
          <w:tcPr>
            <w:tcW w:w="0" w:type="auto"/>
            <w:hideMark/>
          </w:tcPr>
          <w:p w14:paraId="41895B2C"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HR Managers, Workforce Planners</w:t>
            </w:r>
          </w:p>
        </w:tc>
        <w:tc>
          <w:tcPr>
            <w:tcW w:w="0" w:type="auto"/>
            <w:hideMark/>
          </w:tcPr>
          <w:p w14:paraId="4D7B7ECD" w14:textId="77777777" w:rsidR="00CC327F" w:rsidRPr="00E954D6" w:rsidRDefault="00CC327F" w:rsidP="00CC327F">
            <w:pPr>
              <w:spacing w:after="200" w:line="276" w:lineRule="auto"/>
              <w:rPr>
                <w:rFonts w:ascii="Arial" w:hAnsi="Arial" w:cs="Arial"/>
                <w:lang w:val="en-GB"/>
              </w:rPr>
            </w:pPr>
            <w:r w:rsidRPr="00E954D6">
              <w:rPr>
                <w:rFonts w:ascii="Arial" w:hAnsi="Arial" w:cs="Arial"/>
                <w:lang w:val="en-GB"/>
              </w:rPr>
              <w:t>Workforce planning and staffing analysis</w:t>
            </w:r>
          </w:p>
        </w:tc>
      </w:tr>
    </w:tbl>
    <w:p w14:paraId="06CD94DB" w14:textId="77777777" w:rsidR="00CC327F" w:rsidRPr="00E954D6" w:rsidRDefault="00CC327F" w:rsidP="00082722">
      <w:pPr>
        <w:rPr>
          <w:rFonts w:ascii="Arial" w:hAnsi="Arial" w:cs="Arial"/>
          <w:lang w:val="en-GB"/>
        </w:rPr>
      </w:pPr>
    </w:p>
    <w:p w14:paraId="5F459775" w14:textId="35A127CA" w:rsidR="007F07B9" w:rsidRPr="00E954D6" w:rsidRDefault="00A17465" w:rsidP="005558D5">
      <w:pPr>
        <w:rPr>
          <w:rFonts w:ascii="Arial" w:hAnsi="Arial" w:cs="Arial"/>
          <w:lang w:val="en-GB"/>
        </w:rPr>
      </w:pPr>
      <w:r w:rsidRPr="00E954D6">
        <w:rPr>
          <w:rFonts w:ascii="Arial" w:hAnsi="Arial" w:cs="Arial"/>
          <w:lang w:val="en-GB"/>
        </w:rPr>
        <w:t>Table 3 demonstrates how the enterprise data warehouse is divided into specialised data marts that support different organisational functions. This structure improves reporting performance and enables NHS England managers to focus on information that is most relevant to their responsibilities.</w:t>
      </w:r>
    </w:p>
    <w:p w14:paraId="1B4478A9" w14:textId="27C24431" w:rsidR="006C4FB8" w:rsidRDefault="006A3DED" w:rsidP="005558D5">
      <w:pPr>
        <w:rPr>
          <w:rFonts w:ascii="Arial" w:hAnsi="Arial" w:cs="Arial"/>
          <w:lang w:val="en-GB"/>
        </w:rPr>
      </w:pPr>
      <w:r>
        <w:rPr>
          <w:rFonts w:ascii="Arial" w:hAnsi="Arial" w:cs="Arial"/>
          <w:noProof/>
          <w:lang w:val="en-GB"/>
        </w:rPr>
        <w:lastRenderedPageBreak/>
        <w:drawing>
          <wp:anchor distT="0" distB="0" distL="114300" distR="114300" simplePos="0" relativeHeight="251665408" behindDoc="0" locked="0" layoutInCell="1" allowOverlap="1" wp14:anchorId="3077EAFD" wp14:editId="35A32828">
            <wp:simplePos x="0" y="0"/>
            <wp:positionH relativeFrom="column">
              <wp:posOffset>567266</wp:posOffset>
            </wp:positionH>
            <wp:positionV relativeFrom="paragraph">
              <wp:posOffset>4022</wp:posOffset>
            </wp:positionV>
            <wp:extent cx="5443855" cy="3022600"/>
            <wp:effectExtent l="0" t="0" r="4445" b="6350"/>
            <wp:wrapSquare wrapText="bothSides"/>
            <wp:docPr id="104892897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2175AAE" w14:textId="2E9F13AB" w:rsidR="00DB2687" w:rsidRDefault="00DB2687" w:rsidP="005558D5">
      <w:pPr>
        <w:rPr>
          <w:rFonts w:ascii="Arial" w:hAnsi="Arial" w:cs="Arial"/>
          <w:lang w:val="en-GB"/>
        </w:rPr>
      </w:pPr>
    </w:p>
    <w:p w14:paraId="074DE5B8" w14:textId="77777777" w:rsidR="00DB2687" w:rsidRDefault="00DB2687" w:rsidP="005558D5">
      <w:pPr>
        <w:rPr>
          <w:rFonts w:ascii="Arial" w:hAnsi="Arial" w:cs="Arial"/>
          <w:lang w:val="en-GB"/>
        </w:rPr>
      </w:pPr>
    </w:p>
    <w:p w14:paraId="09FF917E" w14:textId="77777777" w:rsidR="00DB2687" w:rsidRDefault="00DB2687" w:rsidP="005558D5">
      <w:pPr>
        <w:rPr>
          <w:rFonts w:ascii="Arial" w:hAnsi="Arial" w:cs="Arial"/>
          <w:lang w:val="en-GB"/>
        </w:rPr>
      </w:pPr>
    </w:p>
    <w:p w14:paraId="5EEA25D2" w14:textId="77777777" w:rsidR="00DB2687" w:rsidRDefault="00DB2687" w:rsidP="005558D5">
      <w:pPr>
        <w:rPr>
          <w:rFonts w:ascii="Arial" w:hAnsi="Arial" w:cs="Arial"/>
          <w:lang w:val="en-GB"/>
        </w:rPr>
      </w:pPr>
    </w:p>
    <w:p w14:paraId="1134047A" w14:textId="3EF703B8" w:rsidR="00DB2687" w:rsidRDefault="00DB2687" w:rsidP="005558D5">
      <w:pPr>
        <w:rPr>
          <w:rFonts w:ascii="Arial" w:hAnsi="Arial" w:cs="Arial"/>
          <w:lang w:val="en-GB"/>
        </w:rPr>
      </w:pPr>
    </w:p>
    <w:p w14:paraId="735A1833" w14:textId="3EA1D29D" w:rsidR="00DB2687" w:rsidRDefault="00DB2687" w:rsidP="005558D5">
      <w:pPr>
        <w:rPr>
          <w:rFonts w:ascii="Arial" w:hAnsi="Arial" w:cs="Arial"/>
          <w:lang w:val="en-GB"/>
        </w:rPr>
      </w:pPr>
    </w:p>
    <w:p w14:paraId="006F5882" w14:textId="5337FFA3" w:rsidR="00DB2687" w:rsidRDefault="00DB2687" w:rsidP="005558D5">
      <w:pPr>
        <w:rPr>
          <w:rFonts w:ascii="Arial" w:hAnsi="Arial" w:cs="Arial"/>
          <w:lang w:val="en-GB"/>
        </w:rPr>
      </w:pPr>
    </w:p>
    <w:p w14:paraId="701938AC" w14:textId="29E8ABFA" w:rsidR="00DB2687" w:rsidRPr="00E954D6" w:rsidRDefault="00DB2687" w:rsidP="005558D5">
      <w:pPr>
        <w:rPr>
          <w:rFonts w:ascii="Arial" w:hAnsi="Arial" w:cs="Arial"/>
          <w:lang w:val="en-GB"/>
        </w:rPr>
      </w:pPr>
    </w:p>
    <w:p w14:paraId="64A3C833" w14:textId="2B3D4196" w:rsidR="00446A49" w:rsidRDefault="00446A49" w:rsidP="006C4FB8">
      <w:pPr>
        <w:rPr>
          <w:rFonts w:ascii="Arial" w:hAnsi="Arial" w:cs="Arial"/>
          <w:lang w:val="en-GB"/>
        </w:rPr>
      </w:pPr>
    </w:p>
    <w:p w14:paraId="1131DF56" w14:textId="77777777" w:rsidR="003A5C71" w:rsidRDefault="003A5C71" w:rsidP="00446A49">
      <w:pPr>
        <w:tabs>
          <w:tab w:val="left" w:pos="4500"/>
        </w:tabs>
        <w:jc w:val="center"/>
        <w:rPr>
          <w:color w:val="002060"/>
        </w:rPr>
      </w:pPr>
    </w:p>
    <w:p w14:paraId="3BF27DF1" w14:textId="79CB8ECA" w:rsidR="006C4FB8" w:rsidRDefault="00446A49" w:rsidP="00446A49">
      <w:pPr>
        <w:tabs>
          <w:tab w:val="left" w:pos="4500"/>
        </w:tabs>
        <w:jc w:val="center"/>
        <w:rPr>
          <w:color w:val="002060"/>
        </w:rPr>
      </w:pPr>
      <w:r w:rsidRPr="00446A49">
        <w:rPr>
          <w:color w:val="002060"/>
        </w:rPr>
        <w:t>Figure 3A: Analytical Importance of NHS England Data Marts</w:t>
      </w:r>
    </w:p>
    <w:p w14:paraId="7D27DA9E" w14:textId="71FCBB91" w:rsidR="00025AB0" w:rsidRDefault="00025AB0" w:rsidP="00025AB0">
      <w:pPr>
        <w:tabs>
          <w:tab w:val="left" w:pos="4500"/>
        </w:tabs>
        <w:rPr>
          <w:lang w:val="en-GB"/>
        </w:rPr>
      </w:pPr>
      <w:r w:rsidRPr="00025AB0">
        <w:rPr>
          <w:noProof/>
          <w:lang w:val="en-GB"/>
        </w:rPr>
        <w:drawing>
          <wp:anchor distT="0" distB="0" distL="114300" distR="114300" simplePos="0" relativeHeight="251672576" behindDoc="0" locked="0" layoutInCell="1" allowOverlap="1" wp14:anchorId="4B4BFB83" wp14:editId="37AABFD4">
            <wp:simplePos x="0" y="0"/>
            <wp:positionH relativeFrom="margin">
              <wp:posOffset>480060</wp:posOffset>
            </wp:positionH>
            <wp:positionV relativeFrom="paragraph">
              <wp:posOffset>214630</wp:posOffset>
            </wp:positionV>
            <wp:extent cx="5930900" cy="3956050"/>
            <wp:effectExtent l="76200" t="76200" r="127000" b="139700"/>
            <wp:wrapSquare wrapText="bothSides"/>
            <wp:docPr id="114002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027263" name=""/>
                    <pic:cNvPicPr/>
                  </pic:nvPicPr>
                  <pic:blipFill>
                    <a:blip r:embed="rId15">
                      <a:extLst>
                        <a:ext uri="{28A0092B-C50C-407E-A947-70E740481C1C}">
                          <a14:useLocalDpi xmlns:a14="http://schemas.microsoft.com/office/drawing/2010/main" val="0"/>
                        </a:ext>
                      </a:extLst>
                    </a:blip>
                    <a:stretch>
                      <a:fillRect/>
                    </a:stretch>
                  </pic:blipFill>
                  <pic:spPr>
                    <a:xfrm>
                      <a:off x="0" y="0"/>
                      <a:ext cx="5930900" cy="3956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49D03E7" w14:textId="77777777" w:rsidR="00025AB0" w:rsidRPr="00025AB0" w:rsidRDefault="00025AB0" w:rsidP="00025AB0">
      <w:pPr>
        <w:rPr>
          <w:lang w:val="en-GB"/>
        </w:rPr>
      </w:pPr>
    </w:p>
    <w:p w14:paraId="2E9919C3" w14:textId="77777777" w:rsidR="00025AB0" w:rsidRPr="00025AB0" w:rsidRDefault="00025AB0" w:rsidP="00025AB0">
      <w:pPr>
        <w:rPr>
          <w:lang w:val="en-GB"/>
        </w:rPr>
      </w:pPr>
    </w:p>
    <w:p w14:paraId="7ADC65DD" w14:textId="77777777" w:rsidR="00025AB0" w:rsidRPr="00025AB0" w:rsidRDefault="00025AB0" w:rsidP="00025AB0">
      <w:pPr>
        <w:rPr>
          <w:lang w:val="en-GB"/>
        </w:rPr>
      </w:pPr>
    </w:p>
    <w:p w14:paraId="5D60AF9A" w14:textId="77777777" w:rsidR="00025AB0" w:rsidRPr="00025AB0" w:rsidRDefault="00025AB0" w:rsidP="00025AB0">
      <w:pPr>
        <w:rPr>
          <w:lang w:val="en-GB"/>
        </w:rPr>
      </w:pPr>
    </w:p>
    <w:p w14:paraId="11EF54C3" w14:textId="77777777" w:rsidR="00025AB0" w:rsidRPr="00025AB0" w:rsidRDefault="00025AB0" w:rsidP="00025AB0">
      <w:pPr>
        <w:rPr>
          <w:lang w:val="en-GB"/>
        </w:rPr>
      </w:pPr>
    </w:p>
    <w:p w14:paraId="230C7353" w14:textId="77777777" w:rsidR="00025AB0" w:rsidRPr="00025AB0" w:rsidRDefault="00025AB0" w:rsidP="00025AB0">
      <w:pPr>
        <w:rPr>
          <w:lang w:val="en-GB"/>
        </w:rPr>
      </w:pPr>
    </w:p>
    <w:p w14:paraId="35C63EE1" w14:textId="77777777" w:rsidR="00025AB0" w:rsidRPr="00025AB0" w:rsidRDefault="00025AB0" w:rsidP="00025AB0">
      <w:pPr>
        <w:rPr>
          <w:lang w:val="en-GB"/>
        </w:rPr>
      </w:pPr>
    </w:p>
    <w:p w14:paraId="3973AC49" w14:textId="77777777" w:rsidR="00025AB0" w:rsidRPr="00025AB0" w:rsidRDefault="00025AB0" w:rsidP="00025AB0">
      <w:pPr>
        <w:rPr>
          <w:lang w:val="en-GB"/>
        </w:rPr>
      </w:pPr>
    </w:p>
    <w:p w14:paraId="4F751582" w14:textId="77777777" w:rsidR="00025AB0" w:rsidRPr="00025AB0" w:rsidRDefault="00025AB0" w:rsidP="00025AB0">
      <w:pPr>
        <w:rPr>
          <w:lang w:val="en-GB"/>
        </w:rPr>
      </w:pPr>
    </w:p>
    <w:p w14:paraId="429567EE" w14:textId="77777777" w:rsidR="00025AB0" w:rsidRPr="00025AB0" w:rsidRDefault="00025AB0" w:rsidP="00025AB0">
      <w:pPr>
        <w:rPr>
          <w:lang w:val="en-GB"/>
        </w:rPr>
      </w:pPr>
    </w:p>
    <w:p w14:paraId="1F389129" w14:textId="77777777" w:rsidR="00025AB0" w:rsidRDefault="00025AB0" w:rsidP="00025AB0">
      <w:pPr>
        <w:rPr>
          <w:lang w:val="en-GB"/>
        </w:rPr>
      </w:pPr>
    </w:p>
    <w:p w14:paraId="355A3E14" w14:textId="77777777" w:rsidR="00025AB0" w:rsidRDefault="00025AB0" w:rsidP="00025AB0">
      <w:pPr>
        <w:rPr>
          <w:lang w:val="en-GB"/>
        </w:rPr>
      </w:pPr>
    </w:p>
    <w:p w14:paraId="0CB8425E" w14:textId="77777777" w:rsidR="00025AB0" w:rsidRPr="00025AB0" w:rsidRDefault="00025AB0" w:rsidP="00025AB0">
      <w:pPr>
        <w:rPr>
          <w:color w:val="156082" w:themeColor="accent1"/>
          <w:sz w:val="24"/>
          <w:szCs w:val="24"/>
          <w:lang w:val="en-GB"/>
        </w:rPr>
      </w:pPr>
    </w:p>
    <w:p w14:paraId="33A5643D" w14:textId="77777777" w:rsidR="006637A3" w:rsidRDefault="006637A3" w:rsidP="00025AB0">
      <w:pPr>
        <w:jc w:val="center"/>
        <w:rPr>
          <w:color w:val="156082" w:themeColor="accent1"/>
          <w:sz w:val="24"/>
          <w:szCs w:val="24"/>
          <w:lang w:val="en-GB"/>
        </w:rPr>
      </w:pPr>
    </w:p>
    <w:p w14:paraId="66A39630" w14:textId="290EB0E7" w:rsidR="006A3DED" w:rsidRPr="00025AB0" w:rsidRDefault="00025AB0" w:rsidP="00025AB0">
      <w:pPr>
        <w:jc w:val="center"/>
        <w:rPr>
          <w:color w:val="156082" w:themeColor="accent1"/>
          <w:sz w:val="24"/>
          <w:szCs w:val="24"/>
          <w:lang w:val="en-GB"/>
        </w:rPr>
      </w:pPr>
      <w:r w:rsidRPr="00025AB0">
        <w:rPr>
          <w:color w:val="156082" w:themeColor="accent1"/>
          <w:sz w:val="24"/>
          <w:szCs w:val="24"/>
          <w:lang w:val="en-GB"/>
        </w:rPr>
        <w:t>Figure 3: Proposed NHS England Data Mart Architecture</w:t>
      </w:r>
    </w:p>
    <w:p w14:paraId="1B482D7C" w14:textId="5B37680A" w:rsidR="006C4FB8" w:rsidRPr="003A5C71" w:rsidRDefault="006C4FB8" w:rsidP="00EB6EF0">
      <w:pPr>
        <w:jc w:val="both"/>
        <w:rPr>
          <w:rFonts w:ascii="Arial" w:hAnsi="Arial" w:cs="Arial"/>
          <w:color w:val="002060"/>
          <w:lang w:val="en-GB"/>
        </w:rPr>
      </w:pPr>
      <w:r w:rsidRPr="003A5C71">
        <w:rPr>
          <w:rFonts w:ascii="Arial" w:hAnsi="Arial" w:cs="Arial"/>
          <w:color w:val="002060"/>
          <w:lang w:val="en-GB"/>
        </w:rPr>
        <w:lastRenderedPageBreak/>
        <w:t>Figure 3 illustrates how the NHS England Enterprise Data Warehouse is divided into specialised data marts to support different organisational functions. The Clinical Data Mart provides information for patient care and clinical performance monitoring</w:t>
      </w:r>
      <w:r w:rsidR="00877B16">
        <w:rPr>
          <w:rFonts w:ascii="Arial" w:hAnsi="Arial" w:cs="Arial"/>
          <w:color w:val="002060"/>
          <w:lang w:val="en-GB"/>
        </w:rPr>
        <w:t>;</w:t>
      </w:r>
      <w:r w:rsidRPr="003A5C71">
        <w:rPr>
          <w:rFonts w:ascii="Arial" w:hAnsi="Arial" w:cs="Arial"/>
          <w:color w:val="002060"/>
          <w:lang w:val="en-GB"/>
        </w:rPr>
        <w:t xml:space="preserve"> the Financial Data Mart supports budgeting and cost analysis, while the Workforce Data Mart enables staffing and resource planning. By organising data into subject-specific data marts, NHS England can improve reporting performance, simplify analytical queries and provide decision-makers with timely, relevant information for evidence-based decision-making.</w:t>
      </w:r>
    </w:p>
    <w:p w14:paraId="3C7792DF" w14:textId="3C9C8F86" w:rsidR="003C52C4" w:rsidRDefault="006B472A" w:rsidP="00EB6EF0">
      <w:pPr>
        <w:jc w:val="both"/>
        <w:rPr>
          <w:rFonts w:ascii="Arial" w:hAnsi="Arial" w:cs="Arial"/>
          <w:lang w:val="en-GB"/>
        </w:rPr>
      </w:pPr>
      <w:r>
        <w:rPr>
          <w:rFonts w:ascii="Arial" w:hAnsi="Arial" w:cs="Arial"/>
          <w:noProof/>
          <w:lang w:val="en-GB"/>
        </w:rPr>
        <w:drawing>
          <wp:anchor distT="0" distB="0" distL="114300" distR="114300" simplePos="0" relativeHeight="251667456" behindDoc="0" locked="0" layoutInCell="1" allowOverlap="1" wp14:anchorId="3F034C7E" wp14:editId="1776149D">
            <wp:simplePos x="0" y="0"/>
            <wp:positionH relativeFrom="column">
              <wp:posOffset>495300</wp:posOffset>
            </wp:positionH>
            <wp:positionV relativeFrom="paragraph">
              <wp:posOffset>212090</wp:posOffset>
            </wp:positionV>
            <wp:extent cx="5486400" cy="3200400"/>
            <wp:effectExtent l="0" t="0" r="0" b="0"/>
            <wp:wrapSquare wrapText="bothSides"/>
            <wp:docPr id="11406305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08526C46" w14:textId="76BFF164" w:rsidR="003C52C4" w:rsidRDefault="003C52C4" w:rsidP="00EB6EF0">
      <w:pPr>
        <w:jc w:val="both"/>
        <w:rPr>
          <w:rFonts w:ascii="Arial" w:hAnsi="Arial" w:cs="Arial"/>
          <w:lang w:val="en-GB"/>
        </w:rPr>
      </w:pPr>
    </w:p>
    <w:p w14:paraId="30416EC9" w14:textId="77777777" w:rsidR="003E28D4" w:rsidRDefault="003E28D4" w:rsidP="008147CB">
      <w:pPr>
        <w:rPr>
          <w:lang w:val="en-GB"/>
        </w:rPr>
      </w:pPr>
    </w:p>
    <w:p w14:paraId="184CE7CD" w14:textId="77777777" w:rsidR="006B472A" w:rsidRDefault="006B472A" w:rsidP="008147CB">
      <w:pPr>
        <w:rPr>
          <w:lang w:val="en-GB"/>
        </w:rPr>
      </w:pPr>
    </w:p>
    <w:p w14:paraId="20A5AFDD" w14:textId="77777777" w:rsidR="006B472A" w:rsidRDefault="006B472A" w:rsidP="008147CB">
      <w:pPr>
        <w:rPr>
          <w:lang w:val="en-GB"/>
        </w:rPr>
      </w:pPr>
    </w:p>
    <w:p w14:paraId="509F3629" w14:textId="77777777" w:rsidR="006B472A" w:rsidRDefault="006B472A" w:rsidP="008147CB">
      <w:pPr>
        <w:rPr>
          <w:lang w:val="en-GB"/>
        </w:rPr>
      </w:pPr>
    </w:p>
    <w:p w14:paraId="675A4AAB" w14:textId="77777777" w:rsidR="006B472A" w:rsidRDefault="006B472A" w:rsidP="008147CB">
      <w:pPr>
        <w:rPr>
          <w:lang w:val="en-GB"/>
        </w:rPr>
      </w:pPr>
    </w:p>
    <w:p w14:paraId="385BFC58" w14:textId="77777777" w:rsidR="006B472A" w:rsidRDefault="006B472A" w:rsidP="008147CB">
      <w:pPr>
        <w:rPr>
          <w:lang w:val="en-GB"/>
        </w:rPr>
      </w:pPr>
    </w:p>
    <w:p w14:paraId="7AE35E68" w14:textId="77777777" w:rsidR="006B472A" w:rsidRDefault="006B472A" w:rsidP="008147CB">
      <w:pPr>
        <w:rPr>
          <w:lang w:val="en-GB"/>
        </w:rPr>
      </w:pPr>
    </w:p>
    <w:p w14:paraId="2D9D844C" w14:textId="77777777" w:rsidR="006B472A" w:rsidRDefault="006B472A" w:rsidP="008147CB">
      <w:pPr>
        <w:rPr>
          <w:lang w:val="en-GB"/>
        </w:rPr>
      </w:pPr>
    </w:p>
    <w:p w14:paraId="7EC134DF" w14:textId="77777777" w:rsidR="006B472A" w:rsidRDefault="006B472A" w:rsidP="008147CB">
      <w:pPr>
        <w:rPr>
          <w:lang w:val="en-GB"/>
        </w:rPr>
      </w:pPr>
    </w:p>
    <w:p w14:paraId="2887056D" w14:textId="77777777" w:rsidR="006B472A" w:rsidRPr="00517DF5" w:rsidRDefault="006B472A" w:rsidP="008147CB">
      <w:pPr>
        <w:rPr>
          <w:color w:val="156082" w:themeColor="accent1"/>
          <w:lang w:val="en-GB"/>
        </w:rPr>
      </w:pPr>
    </w:p>
    <w:p w14:paraId="7FFF0948" w14:textId="264783CB" w:rsidR="007B424D" w:rsidRDefault="006B472A" w:rsidP="007B424D">
      <w:pPr>
        <w:jc w:val="center"/>
        <w:rPr>
          <w:color w:val="156082" w:themeColor="accent1"/>
        </w:rPr>
      </w:pPr>
      <w:r w:rsidRPr="00517DF5">
        <w:rPr>
          <w:color w:val="156082" w:themeColor="accent1"/>
        </w:rPr>
        <w:t>Figure 3B: Performance Comparison of NHS England Data Marts</w:t>
      </w:r>
    </w:p>
    <w:p w14:paraId="798F3F59" w14:textId="511547AC" w:rsidR="007B424D" w:rsidRDefault="009069DB" w:rsidP="007B424D">
      <w:pPr>
        <w:rPr>
          <w:color w:val="156082" w:themeColor="accent1"/>
        </w:rPr>
      </w:pPr>
      <w:r w:rsidRPr="009069DB">
        <w:rPr>
          <w:color w:val="156082" w:themeColor="accent1"/>
        </w:rPr>
        <w:t>Figure 3B compares the analytical characteristics of the proposed Clinical, Financial and Workforce Data Marts across key performance dimensions, including data volume, query frequency, update frequency, reporting requirements and decision impact. The Clinical Data Mart records the highest scores in most categories because it supports patient care, diagnosis, treatment monitoring and clinical decision-making, which require frequent access to large volumes of data. The Financial Data Mart demonstrates moderate performance across all dimensions, reflecting its role in budgeting, expenditure analysis, revenue monitoring and financial reporting. The Workforce Data Mart shows comparatively lower data volume but maintains consistent performance in workforce planning, employee attendance, staffing analysis and resource allocation. Overall, the comparison highlights how each specialised data mart serves different organisational requirements while collectively improving reporting efficiency, analytical performance and evidence-based decision-making within the proposed NHS England Enterprise Data Warehouse.</w:t>
      </w:r>
    </w:p>
    <w:p w14:paraId="0DC8CD3F" w14:textId="77777777" w:rsidR="007B424D" w:rsidRDefault="007B424D" w:rsidP="007B424D">
      <w:pPr>
        <w:rPr>
          <w:color w:val="156082" w:themeColor="accent1"/>
        </w:rPr>
      </w:pPr>
    </w:p>
    <w:p w14:paraId="3F68F701" w14:textId="77777777" w:rsidR="007B424D" w:rsidRDefault="007B424D" w:rsidP="007B424D">
      <w:pPr>
        <w:rPr>
          <w:color w:val="156082" w:themeColor="accent1"/>
        </w:rPr>
      </w:pPr>
    </w:p>
    <w:p w14:paraId="6A2E729E" w14:textId="77777777" w:rsidR="007B424D" w:rsidRDefault="007B424D" w:rsidP="007B424D">
      <w:pPr>
        <w:rPr>
          <w:color w:val="156082" w:themeColor="accent1"/>
        </w:rPr>
      </w:pPr>
    </w:p>
    <w:p w14:paraId="7CEE26E4" w14:textId="77777777" w:rsidR="00001D2C" w:rsidRDefault="00001D2C" w:rsidP="007B424D">
      <w:pPr>
        <w:rPr>
          <w:color w:val="156082" w:themeColor="accent1"/>
        </w:rPr>
      </w:pPr>
    </w:p>
    <w:p w14:paraId="15C6100E" w14:textId="77777777" w:rsidR="007B424D" w:rsidRPr="00517DF5" w:rsidRDefault="007B424D" w:rsidP="007B424D">
      <w:pPr>
        <w:rPr>
          <w:color w:val="156082" w:themeColor="accent1"/>
          <w:lang w:val="en-GB"/>
        </w:rPr>
      </w:pPr>
    </w:p>
    <w:p w14:paraId="0BD05C84" w14:textId="2914ECE1" w:rsidR="007F07B9" w:rsidRPr="00E954D6" w:rsidRDefault="007F07B9" w:rsidP="00267CF5">
      <w:pPr>
        <w:pStyle w:val="Heading2"/>
        <w:jc w:val="both"/>
        <w:rPr>
          <w:lang w:val="en-GB"/>
        </w:rPr>
      </w:pPr>
      <w:r w:rsidRPr="00E954D6">
        <w:rPr>
          <w:lang w:val="en-GB"/>
        </w:rPr>
        <w:t>3.4 ETL Plan</w:t>
      </w:r>
    </w:p>
    <w:p w14:paraId="29B0F13D" w14:textId="77777777" w:rsidR="00A43DF2" w:rsidRPr="00E954D6" w:rsidRDefault="00A43DF2" w:rsidP="00A43DF2">
      <w:pPr>
        <w:rPr>
          <w:lang w:val="en-GB"/>
        </w:rPr>
      </w:pPr>
    </w:p>
    <w:p w14:paraId="59FB8D8C" w14:textId="059CF7D7" w:rsidR="00252A24" w:rsidRPr="00E954D6" w:rsidRDefault="00252A24" w:rsidP="00B66049">
      <w:pPr>
        <w:jc w:val="both"/>
        <w:rPr>
          <w:rFonts w:ascii="Arial" w:hAnsi="Arial" w:cs="Arial"/>
          <w:lang w:val="en-GB"/>
        </w:rPr>
      </w:pPr>
      <w:r w:rsidRPr="00E954D6">
        <w:rPr>
          <w:rFonts w:ascii="Arial" w:hAnsi="Arial" w:cs="Arial"/>
          <w:lang w:val="en-GB"/>
        </w:rPr>
        <w:t>The Extract, Transform and Load (ETL) process is a critical component of the proposed NHS data warehouse. The ETL process ensures that information collected from different healthcare systems is accurate, consistent and suitable for decision-making.</w:t>
      </w:r>
    </w:p>
    <w:p w14:paraId="22722501" w14:textId="3FEAD679" w:rsidR="00252A24" w:rsidRPr="00E954D6" w:rsidRDefault="00252A24" w:rsidP="00B66049">
      <w:pPr>
        <w:jc w:val="both"/>
        <w:rPr>
          <w:rFonts w:ascii="Arial" w:hAnsi="Arial" w:cs="Arial"/>
          <w:lang w:val="en-GB"/>
        </w:rPr>
      </w:pPr>
      <w:r w:rsidRPr="00E954D6">
        <w:rPr>
          <w:rFonts w:ascii="Arial" w:hAnsi="Arial" w:cs="Arial"/>
          <w:lang w:val="en-GB"/>
        </w:rPr>
        <w:t xml:space="preserve">During the </w:t>
      </w:r>
      <w:r w:rsidRPr="00E954D6">
        <w:rPr>
          <w:rFonts w:ascii="Arial" w:hAnsi="Arial" w:cs="Arial"/>
          <w:b/>
          <w:bCs/>
          <w:lang w:val="en-GB"/>
        </w:rPr>
        <w:t>Extract</w:t>
      </w:r>
      <w:r w:rsidRPr="00E954D6">
        <w:rPr>
          <w:rFonts w:ascii="Arial" w:hAnsi="Arial" w:cs="Arial"/>
          <w:lang w:val="en-GB"/>
        </w:rPr>
        <w:t xml:space="preserve"> phase, data is collected from source systems</w:t>
      </w:r>
      <w:r w:rsidR="00CE19BF">
        <w:rPr>
          <w:rFonts w:ascii="Arial" w:hAnsi="Arial" w:cs="Arial"/>
          <w:lang w:val="en-GB"/>
        </w:rPr>
        <w:t>,</w:t>
      </w:r>
      <w:r w:rsidRPr="00E954D6">
        <w:rPr>
          <w:rFonts w:ascii="Arial" w:hAnsi="Arial" w:cs="Arial"/>
          <w:lang w:val="en-GB"/>
        </w:rPr>
        <w:t xml:space="preserve"> including</w:t>
      </w:r>
      <w:r w:rsidR="00CE19BF">
        <w:rPr>
          <w:rFonts w:ascii="Arial" w:hAnsi="Arial" w:cs="Arial"/>
          <w:lang w:val="en-GB"/>
        </w:rPr>
        <w:t xml:space="preserve"> </w:t>
      </w:r>
      <w:r w:rsidRPr="00E954D6">
        <w:rPr>
          <w:rFonts w:ascii="Arial" w:hAnsi="Arial" w:cs="Arial"/>
          <w:lang w:val="en-GB"/>
        </w:rPr>
        <w:t>(EPR) systems, (PAS), workforce management applications and financial management systems. Data is extracted at scheduled intervals to ensure that the warehouse contains up-to-date information while minimising the impact on operational systems.</w:t>
      </w:r>
    </w:p>
    <w:p w14:paraId="1002557B" w14:textId="5B3DA8AD" w:rsidR="00252A24" w:rsidRPr="00E954D6" w:rsidRDefault="00252A24" w:rsidP="00B66049">
      <w:pPr>
        <w:jc w:val="both"/>
        <w:rPr>
          <w:rFonts w:ascii="Arial" w:hAnsi="Arial" w:cs="Arial"/>
          <w:lang w:val="en-GB"/>
        </w:rPr>
      </w:pPr>
      <w:r w:rsidRPr="00E954D6">
        <w:rPr>
          <w:rFonts w:ascii="Arial" w:hAnsi="Arial" w:cs="Arial"/>
          <w:lang w:val="en-GB"/>
        </w:rPr>
        <w:t xml:space="preserve">The </w:t>
      </w:r>
      <w:r w:rsidRPr="00E954D6">
        <w:rPr>
          <w:rFonts w:ascii="Arial" w:hAnsi="Arial" w:cs="Arial"/>
          <w:b/>
          <w:bCs/>
          <w:lang w:val="en-GB"/>
        </w:rPr>
        <w:t>Transform</w:t>
      </w:r>
      <w:r w:rsidRPr="00E954D6">
        <w:rPr>
          <w:rFonts w:ascii="Arial" w:hAnsi="Arial" w:cs="Arial"/>
          <w:lang w:val="en-GB"/>
        </w:rPr>
        <w:t xml:space="preserve"> phase focuses on data cleansing, validation and standardisation. Duplicate records are removed, missing values are addressed</w:t>
      </w:r>
      <w:r w:rsidR="00CE19BF">
        <w:rPr>
          <w:rFonts w:ascii="Arial" w:hAnsi="Arial" w:cs="Arial"/>
          <w:lang w:val="en-GB"/>
        </w:rPr>
        <w:t>,</w:t>
      </w:r>
      <w:r w:rsidRPr="00E954D6">
        <w:rPr>
          <w:rFonts w:ascii="Arial" w:hAnsi="Arial" w:cs="Arial"/>
          <w:lang w:val="en-GB"/>
        </w:rPr>
        <w:t xml:space="preserve"> and data formats are standardised across different systems. Business rules are applied to ensure consistency in patient identifiers, department names, treatment codes and financial categories. This stage improves data quality and ensures that information from multiple sources can be integrated effectively.</w:t>
      </w:r>
    </w:p>
    <w:p w14:paraId="4496196A" w14:textId="421420DD" w:rsidR="00252A24" w:rsidRPr="00E954D6" w:rsidRDefault="00252A24" w:rsidP="00B66049">
      <w:pPr>
        <w:jc w:val="both"/>
        <w:rPr>
          <w:rFonts w:ascii="Arial" w:hAnsi="Arial" w:cs="Arial"/>
          <w:lang w:val="en-GB"/>
        </w:rPr>
      </w:pPr>
      <w:r w:rsidRPr="00E954D6">
        <w:rPr>
          <w:rFonts w:ascii="Arial" w:hAnsi="Arial" w:cs="Arial"/>
          <w:lang w:val="en-GB"/>
        </w:rPr>
        <w:t xml:space="preserve">Following </w:t>
      </w:r>
      <w:r w:rsidR="00CE19BF">
        <w:rPr>
          <w:rFonts w:ascii="Arial" w:hAnsi="Arial" w:cs="Arial"/>
          <w:lang w:val="en-GB"/>
        </w:rPr>
        <w:t xml:space="preserve">the </w:t>
      </w:r>
      <w:r w:rsidRPr="00E954D6">
        <w:rPr>
          <w:rFonts w:ascii="Arial" w:hAnsi="Arial" w:cs="Arial"/>
          <w:lang w:val="en-GB"/>
        </w:rPr>
        <w:t xml:space="preserve">transformation, the </w:t>
      </w:r>
      <w:r w:rsidRPr="00E954D6">
        <w:rPr>
          <w:rFonts w:ascii="Arial" w:hAnsi="Arial" w:cs="Arial"/>
          <w:b/>
          <w:bCs/>
          <w:lang w:val="en-GB"/>
        </w:rPr>
        <w:t>Load</w:t>
      </w:r>
      <w:r w:rsidRPr="00E954D6">
        <w:rPr>
          <w:rFonts w:ascii="Arial" w:hAnsi="Arial" w:cs="Arial"/>
          <w:lang w:val="en-GB"/>
        </w:rPr>
        <w:t xml:space="preserve"> phase transfers the processed data into the enterprise data warehouse. Historical and current records are stored to support trend analysis and performance monitoring. Once loaded, the data becomes available for use within clinical, financial and workforce data marts.</w:t>
      </w:r>
    </w:p>
    <w:p w14:paraId="43B76F3B" w14:textId="6A4166D7" w:rsidR="00B66049" w:rsidRPr="00E954D6" w:rsidRDefault="00B66049" w:rsidP="00B66049">
      <w:pPr>
        <w:jc w:val="both"/>
        <w:rPr>
          <w:rFonts w:ascii="Arial" w:hAnsi="Arial" w:cs="Arial"/>
          <w:lang w:val="en-GB"/>
        </w:rPr>
      </w:pPr>
      <w:r w:rsidRPr="00E954D6">
        <w:rPr>
          <w:rFonts w:ascii="Arial" w:hAnsi="Arial" w:cs="Arial"/>
          <w:lang w:val="en-GB"/>
        </w:rPr>
        <w:t xml:space="preserve"> ETL process plays a significant role in maintaining data governance and compliance within NHS</w:t>
      </w:r>
      <w:r w:rsidR="00906CFA">
        <w:rPr>
          <w:rFonts w:ascii="Arial" w:hAnsi="Arial" w:cs="Arial"/>
          <w:lang w:val="en-GB"/>
        </w:rPr>
        <w:t xml:space="preserve"> England</w:t>
      </w:r>
      <w:r w:rsidRPr="00E954D6">
        <w:rPr>
          <w:rFonts w:ascii="Arial" w:hAnsi="Arial" w:cs="Arial"/>
          <w:lang w:val="en-GB"/>
        </w:rPr>
        <w:t>. Healthcare information is often generated from multiple hospitals, clinics and administrative departments, resulting in variations in data formats and coding standards. During transformation, these differences are resolved through standardisation rules and validation checks. This ensures that patient records, workforce information and financial data are represented consistently throughout the enterprise data warehouse. Consistent data improves reporting accuracy and supports regulatory and operational requirements.</w:t>
      </w:r>
    </w:p>
    <w:p w14:paraId="793B18E3" w14:textId="45E20781" w:rsidR="00001D2C" w:rsidRDefault="00001D2C" w:rsidP="00001D2C">
      <w:pPr>
        <w:pStyle w:val="Heading2"/>
        <w:jc w:val="both"/>
        <w:rPr>
          <w:lang w:val="en-GB"/>
        </w:rPr>
      </w:pPr>
      <w:r w:rsidRPr="00001D2C">
        <w:rPr>
          <w:noProof/>
          <w:lang w:val="en-GB"/>
        </w:rPr>
        <w:lastRenderedPageBreak/>
        <w:drawing>
          <wp:anchor distT="0" distB="0" distL="114300" distR="114300" simplePos="0" relativeHeight="251673600" behindDoc="0" locked="0" layoutInCell="1" allowOverlap="1" wp14:anchorId="4CC30D8B" wp14:editId="14442E27">
            <wp:simplePos x="0" y="0"/>
            <wp:positionH relativeFrom="column">
              <wp:posOffset>262255</wp:posOffset>
            </wp:positionH>
            <wp:positionV relativeFrom="paragraph">
              <wp:posOffset>143510</wp:posOffset>
            </wp:positionV>
            <wp:extent cx="6239510" cy="6137910"/>
            <wp:effectExtent l="76200" t="76200" r="142240" b="129540"/>
            <wp:wrapSquare wrapText="bothSides"/>
            <wp:docPr id="143453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3830" name=""/>
                    <pic:cNvPicPr/>
                  </pic:nvPicPr>
                  <pic:blipFill>
                    <a:blip r:embed="rId17">
                      <a:extLst>
                        <a:ext uri="{28A0092B-C50C-407E-A947-70E740481C1C}">
                          <a14:useLocalDpi xmlns:a14="http://schemas.microsoft.com/office/drawing/2010/main" val="0"/>
                        </a:ext>
                      </a:extLst>
                    </a:blip>
                    <a:stretch>
                      <a:fillRect/>
                    </a:stretch>
                  </pic:blipFill>
                  <pic:spPr>
                    <a:xfrm>
                      <a:off x="0" y="0"/>
                      <a:ext cx="6239510" cy="6137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476B802" w14:textId="1C97739D" w:rsidR="00B66049" w:rsidRPr="00E954D6" w:rsidRDefault="00B66049" w:rsidP="00B66049">
      <w:pPr>
        <w:pStyle w:val="Heading2"/>
        <w:jc w:val="center"/>
        <w:rPr>
          <w:lang w:val="en-GB"/>
        </w:rPr>
      </w:pPr>
      <w:r w:rsidRPr="00E954D6">
        <w:rPr>
          <w:lang w:val="en-GB"/>
        </w:rPr>
        <w:t>Figure 4: Proposed NHS England ETL Process Workflow</w:t>
      </w:r>
    </w:p>
    <w:p w14:paraId="225DEDC3" w14:textId="77777777" w:rsidR="00B66049" w:rsidRPr="00E954D6" w:rsidRDefault="00B66049" w:rsidP="00B66049">
      <w:pPr>
        <w:pStyle w:val="Heading2"/>
        <w:rPr>
          <w:lang w:val="en-GB"/>
        </w:rPr>
      </w:pPr>
    </w:p>
    <w:p w14:paraId="41AC6F70" w14:textId="77777777" w:rsidR="00AA2D10" w:rsidRPr="00E954D6" w:rsidRDefault="00AA2D10" w:rsidP="00FE100E">
      <w:pPr>
        <w:pStyle w:val="Heading2"/>
        <w:jc w:val="both"/>
        <w:rPr>
          <w:b w:val="0"/>
          <w:bCs w:val="0"/>
          <w:lang w:val="en-GB"/>
        </w:rPr>
      </w:pPr>
    </w:p>
    <w:p w14:paraId="3B498E9B" w14:textId="77777777" w:rsidR="00F16342" w:rsidRDefault="00AA2D10" w:rsidP="00FE100E">
      <w:pPr>
        <w:pStyle w:val="Heading2"/>
        <w:jc w:val="both"/>
      </w:pPr>
      <w:r w:rsidRPr="00E954D6">
        <w:rPr>
          <w:lang w:val="en-GB"/>
        </w:rPr>
        <w:br/>
      </w:r>
      <w:r w:rsidRPr="00E954D6">
        <w:rPr>
          <w:lang w:val="en-GB"/>
        </w:rPr>
        <w:br/>
      </w:r>
    </w:p>
    <w:p w14:paraId="751DCD54" w14:textId="77777777" w:rsidR="006637A3" w:rsidRDefault="006637A3" w:rsidP="00FE100E">
      <w:pPr>
        <w:pStyle w:val="Heading2"/>
        <w:jc w:val="both"/>
        <w:rPr>
          <w:lang w:val="en-GB"/>
        </w:rPr>
      </w:pPr>
    </w:p>
    <w:p w14:paraId="61B18A1D" w14:textId="6B033539" w:rsidR="00556847" w:rsidRPr="00F16342" w:rsidRDefault="00AA2D10" w:rsidP="00FE100E">
      <w:pPr>
        <w:pStyle w:val="Heading2"/>
        <w:jc w:val="both"/>
      </w:pPr>
      <w:r w:rsidRPr="00E954D6">
        <w:rPr>
          <w:lang w:val="en-GB"/>
        </w:rPr>
        <w:lastRenderedPageBreak/>
        <w:br/>
        <w:t>3.5 Data Quality and Governance</w:t>
      </w:r>
    </w:p>
    <w:p w14:paraId="1285DDA8" w14:textId="374886C8" w:rsidR="00352E02" w:rsidRPr="00E954D6" w:rsidRDefault="00352E02" w:rsidP="00C744B1">
      <w:pPr>
        <w:jc w:val="both"/>
        <w:rPr>
          <w:rFonts w:ascii="Arial" w:hAnsi="Arial" w:cs="Arial"/>
          <w:lang w:val="en-GB"/>
        </w:rPr>
      </w:pPr>
      <w:r w:rsidRPr="00E954D6">
        <w:rPr>
          <w:rFonts w:ascii="Arial" w:hAnsi="Arial" w:cs="Arial"/>
          <w:lang w:val="en-GB"/>
        </w:rPr>
        <w:t xml:space="preserve">Data governance provides the policies, standards and responsibilities required to manage data effectively. </w:t>
      </w:r>
      <w:r w:rsidR="001A4D0A" w:rsidRPr="00E954D6">
        <w:rPr>
          <w:rFonts w:ascii="Arial" w:hAnsi="Arial" w:cs="Arial"/>
          <w:lang w:val="en-GB"/>
        </w:rPr>
        <w:t>NHS should</w:t>
      </w:r>
      <w:r w:rsidRPr="00E954D6">
        <w:rPr>
          <w:rFonts w:ascii="Arial" w:hAnsi="Arial" w:cs="Arial"/>
          <w:lang w:val="en-GB"/>
        </w:rPr>
        <w:t xml:space="preserve"> establish clear governance procedures that define data ownership, access controls and quality standards. Data stewards and system administrators should be responsible for monitoring data quality, resolving issues and ensuring compliance with organisational policies and healthcare regulations.</w:t>
      </w:r>
    </w:p>
    <w:p w14:paraId="3495217E" w14:textId="77777777" w:rsidR="00352E02" w:rsidRPr="00E954D6" w:rsidRDefault="00352E02" w:rsidP="00C744B1">
      <w:pPr>
        <w:jc w:val="both"/>
        <w:rPr>
          <w:rFonts w:ascii="Arial" w:hAnsi="Arial" w:cs="Arial"/>
          <w:lang w:val="en-GB"/>
        </w:rPr>
      </w:pPr>
      <w:r w:rsidRPr="00E954D6">
        <w:rPr>
          <w:rFonts w:ascii="Arial" w:hAnsi="Arial" w:cs="Arial"/>
          <w:lang w:val="en-GB"/>
        </w:rPr>
        <w:t>Security and privacy are particularly important in healthcare environments due to the sensitive nature of patient information. Access to data should be controlled through role-based permissions, ensuring that users can only view information relevant to their responsibilities. Data encryption, audit trails and regular security reviews should be implemented to protect confidential information and maintain compliance with data protection regulations.</w:t>
      </w:r>
    </w:p>
    <w:p w14:paraId="61F0C806" w14:textId="2B0B4D34" w:rsidR="00FA3B0F" w:rsidRPr="00001D2C" w:rsidRDefault="00352E02" w:rsidP="00C744B1">
      <w:pPr>
        <w:jc w:val="both"/>
        <w:rPr>
          <w:rFonts w:ascii="Arial" w:hAnsi="Arial" w:cs="Arial"/>
        </w:rPr>
      </w:pPr>
      <w:r w:rsidRPr="00E954D6">
        <w:rPr>
          <w:rFonts w:ascii="Arial" w:hAnsi="Arial" w:cs="Arial"/>
          <w:lang w:val="en-GB"/>
        </w:rPr>
        <w:t>By combining strong data governance practices with effective data quality controls, NHS can ensure that its enterprise data warehouse remains a trusted source of information. High-quality data improves reporting accuracy, supports evidence-based decision-making and enhances organisational performance across clinical, financial and workforce management functions.</w:t>
      </w:r>
    </w:p>
    <w:p w14:paraId="64C91A36" w14:textId="77777777" w:rsidR="001A6E85" w:rsidRPr="00E954D6" w:rsidRDefault="001A6E85" w:rsidP="001A6E85">
      <w:pPr>
        <w:jc w:val="center"/>
        <w:rPr>
          <w:rFonts w:ascii="Arial" w:hAnsi="Arial" w:cs="Arial"/>
          <w:b/>
          <w:bCs/>
          <w:color w:val="0F4761" w:themeColor="accent1" w:themeShade="BF"/>
          <w:lang w:val="en-GB"/>
        </w:rPr>
      </w:pPr>
      <w:r w:rsidRPr="00E954D6">
        <w:rPr>
          <w:rFonts w:ascii="Arial" w:hAnsi="Arial" w:cs="Arial"/>
          <w:b/>
          <w:bCs/>
          <w:color w:val="0F4761" w:themeColor="accent1" w:themeShade="BF"/>
          <w:lang w:val="en-GB"/>
        </w:rPr>
        <w:t>Table 4: Data Quality Issues and Mitigation Strategies</w:t>
      </w:r>
    </w:p>
    <w:tbl>
      <w:tblPr>
        <w:tblStyle w:val="TableGrid"/>
        <w:tblW w:w="11026" w:type="dxa"/>
        <w:tblLook w:val="04A0" w:firstRow="1" w:lastRow="0" w:firstColumn="1" w:lastColumn="0" w:noHBand="0" w:noVBand="1"/>
      </w:tblPr>
      <w:tblGrid>
        <w:gridCol w:w="2170"/>
        <w:gridCol w:w="4912"/>
        <w:gridCol w:w="3944"/>
      </w:tblGrid>
      <w:tr w:rsidR="001A6E85" w:rsidRPr="00E954D6" w14:paraId="0E12C24F" w14:textId="77777777" w:rsidTr="004571DE">
        <w:tc>
          <w:tcPr>
            <w:tcW w:w="0" w:type="auto"/>
            <w:hideMark/>
          </w:tcPr>
          <w:p w14:paraId="11FF743E" w14:textId="77777777" w:rsidR="001A6E85" w:rsidRPr="00E954D6" w:rsidRDefault="001A6E85" w:rsidP="001A6E85">
            <w:pPr>
              <w:spacing w:after="200" w:line="276" w:lineRule="auto"/>
              <w:rPr>
                <w:rFonts w:ascii="Arial" w:hAnsi="Arial" w:cs="Arial"/>
                <w:b/>
                <w:bCs/>
                <w:lang w:val="en-GB"/>
              </w:rPr>
            </w:pPr>
            <w:r w:rsidRPr="00E954D6">
              <w:rPr>
                <w:rFonts w:ascii="Arial" w:hAnsi="Arial" w:cs="Arial"/>
                <w:b/>
                <w:bCs/>
                <w:lang w:val="en-GB"/>
              </w:rPr>
              <w:t>Data Quality Issue</w:t>
            </w:r>
          </w:p>
        </w:tc>
        <w:tc>
          <w:tcPr>
            <w:tcW w:w="4912" w:type="dxa"/>
            <w:hideMark/>
          </w:tcPr>
          <w:p w14:paraId="101B3436" w14:textId="77777777" w:rsidR="001A6E85" w:rsidRPr="00E954D6" w:rsidRDefault="001A6E85" w:rsidP="001A6E85">
            <w:pPr>
              <w:spacing w:after="200" w:line="276" w:lineRule="auto"/>
              <w:rPr>
                <w:rFonts w:ascii="Arial" w:hAnsi="Arial" w:cs="Arial"/>
                <w:b/>
                <w:bCs/>
                <w:lang w:val="en-GB"/>
              </w:rPr>
            </w:pPr>
            <w:r w:rsidRPr="00E954D6">
              <w:rPr>
                <w:rFonts w:ascii="Arial" w:hAnsi="Arial" w:cs="Arial"/>
                <w:b/>
                <w:bCs/>
                <w:lang w:val="en-GB"/>
              </w:rPr>
              <w:t>Description</w:t>
            </w:r>
          </w:p>
        </w:tc>
        <w:tc>
          <w:tcPr>
            <w:tcW w:w="0" w:type="auto"/>
            <w:hideMark/>
          </w:tcPr>
          <w:p w14:paraId="7EAEAC3E" w14:textId="77777777" w:rsidR="001A6E85" w:rsidRPr="00E954D6" w:rsidRDefault="001A6E85" w:rsidP="001A6E85">
            <w:pPr>
              <w:spacing w:after="200" w:line="276" w:lineRule="auto"/>
              <w:rPr>
                <w:rFonts w:ascii="Arial" w:hAnsi="Arial" w:cs="Arial"/>
                <w:b/>
                <w:bCs/>
                <w:lang w:val="en-GB"/>
              </w:rPr>
            </w:pPr>
            <w:r w:rsidRPr="00E954D6">
              <w:rPr>
                <w:rFonts w:ascii="Arial" w:hAnsi="Arial" w:cs="Arial"/>
                <w:b/>
                <w:bCs/>
                <w:lang w:val="en-GB"/>
              </w:rPr>
              <w:t>Mitigation Strategy</w:t>
            </w:r>
          </w:p>
        </w:tc>
      </w:tr>
      <w:tr w:rsidR="001A6E85" w:rsidRPr="00E954D6" w14:paraId="48CBCB3E" w14:textId="77777777" w:rsidTr="004571DE">
        <w:tc>
          <w:tcPr>
            <w:tcW w:w="0" w:type="auto"/>
            <w:hideMark/>
          </w:tcPr>
          <w:p w14:paraId="00B506E0"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Duplicate Records</w:t>
            </w:r>
          </w:p>
        </w:tc>
        <w:tc>
          <w:tcPr>
            <w:tcW w:w="4912" w:type="dxa"/>
            <w:hideMark/>
          </w:tcPr>
          <w:p w14:paraId="3BD57F5D"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Multiple entries for the same patient or staff member</w:t>
            </w:r>
          </w:p>
        </w:tc>
        <w:tc>
          <w:tcPr>
            <w:tcW w:w="0" w:type="auto"/>
            <w:hideMark/>
          </w:tcPr>
          <w:p w14:paraId="0883F146"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Data deduplication and validation rules</w:t>
            </w:r>
          </w:p>
        </w:tc>
      </w:tr>
      <w:tr w:rsidR="001A6E85" w:rsidRPr="00E954D6" w14:paraId="14E870CA" w14:textId="77777777" w:rsidTr="004571DE">
        <w:tc>
          <w:tcPr>
            <w:tcW w:w="0" w:type="auto"/>
            <w:hideMark/>
          </w:tcPr>
          <w:p w14:paraId="4D40E7EF"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Missing Values</w:t>
            </w:r>
          </w:p>
        </w:tc>
        <w:tc>
          <w:tcPr>
            <w:tcW w:w="4912" w:type="dxa"/>
            <w:hideMark/>
          </w:tcPr>
          <w:p w14:paraId="4E0E9091"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Incomplete patient, workforce or financial data</w:t>
            </w:r>
          </w:p>
        </w:tc>
        <w:tc>
          <w:tcPr>
            <w:tcW w:w="0" w:type="auto"/>
            <w:hideMark/>
          </w:tcPr>
          <w:p w14:paraId="1FCCF53A"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Mandatory field checks and data validation</w:t>
            </w:r>
          </w:p>
        </w:tc>
      </w:tr>
      <w:tr w:rsidR="001A6E85" w:rsidRPr="00E954D6" w14:paraId="2CA8BB7F" w14:textId="77777777" w:rsidTr="004571DE">
        <w:tc>
          <w:tcPr>
            <w:tcW w:w="0" w:type="auto"/>
            <w:hideMark/>
          </w:tcPr>
          <w:p w14:paraId="343BAA22"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Inconsistent Formats</w:t>
            </w:r>
          </w:p>
        </w:tc>
        <w:tc>
          <w:tcPr>
            <w:tcW w:w="4912" w:type="dxa"/>
            <w:hideMark/>
          </w:tcPr>
          <w:p w14:paraId="6FFAAF64"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Different date formats or coding standards</w:t>
            </w:r>
          </w:p>
        </w:tc>
        <w:tc>
          <w:tcPr>
            <w:tcW w:w="0" w:type="auto"/>
            <w:hideMark/>
          </w:tcPr>
          <w:p w14:paraId="7F2795BF"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Data standardisation during ETL</w:t>
            </w:r>
          </w:p>
        </w:tc>
      </w:tr>
      <w:tr w:rsidR="001A6E85" w:rsidRPr="00E954D6" w14:paraId="42896616" w14:textId="77777777" w:rsidTr="004571DE">
        <w:tc>
          <w:tcPr>
            <w:tcW w:w="0" w:type="auto"/>
            <w:hideMark/>
          </w:tcPr>
          <w:p w14:paraId="602DBB65"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Inaccurate Data</w:t>
            </w:r>
          </w:p>
        </w:tc>
        <w:tc>
          <w:tcPr>
            <w:tcW w:w="4912" w:type="dxa"/>
            <w:hideMark/>
          </w:tcPr>
          <w:p w14:paraId="557AFDBD"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Incorrect entries caused by human error</w:t>
            </w:r>
          </w:p>
        </w:tc>
        <w:tc>
          <w:tcPr>
            <w:tcW w:w="0" w:type="auto"/>
            <w:hideMark/>
          </w:tcPr>
          <w:p w14:paraId="6A6512A6"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Automated validation and quality audits</w:t>
            </w:r>
          </w:p>
        </w:tc>
      </w:tr>
      <w:tr w:rsidR="001A6E85" w:rsidRPr="00E954D6" w14:paraId="768CEE0F" w14:textId="77777777" w:rsidTr="004571DE">
        <w:tc>
          <w:tcPr>
            <w:tcW w:w="0" w:type="auto"/>
            <w:hideMark/>
          </w:tcPr>
          <w:p w14:paraId="2C1E3688"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Unauthorised Access</w:t>
            </w:r>
          </w:p>
        </w:tc>
        <w:tc>
          <w:tcPr>
            <w:tcW w:w="4912" w:type="dxa"/>
            <w:hideMark/>
          </w:tcPr>
          <w:p w14:paraId="1E1EBF66"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Access to sensitive healthcare information</w:t>
            </w:r>
          </w:p>
        </w:tc>
        <w:tc>
          <w:tcPr>
            <w:tcW w:w="0" w:type="auto"/>
            <w:hideMark/>
          </w:tcPr>
          <w:p w14:paraId="1CA1642E" w14:textId="77777777" w:rsidR="001A6E85" w:rsidRPr="00E954D6" w:rsidRDefault="001A6E85" w:rsidP="001A6E85">
            <w:pPr>
              <w:spacing w:after="200" w:line="276" w:lineRule="auto"/>
              <w:rPr>
                <w:rFonts w:ascii="Arial" w:hAnsi="Arial" w:cs="Arial"/>
                <w:lang w:val="en-GB"/>
              </w:rPr>
            </w:pPr>
            <w:r w:rsidRPr="00E954D6">
              <w:rPr>
                <w:rFonts w:ascii="Arial" w:hAnsi="Arial" w:cs="Arial"/>
                <w:lang w:val="en-GB"/>
              </w:rPr>
              <w:t>Role-based access control and encryption</w:t>
            </w:r>
          </w:p>
        </w:tc>
      </w:tr>
    </w:tbl>
    <w:p w14:paraId="1E49F49D" w14:textId="77777777" w:rsidR="00C744B1" w:rsidRPr="00E954D6" w:rsidRDefault="00C744B1" w:rsidP="00352E02">
      <w:pPr>
        <w:rPr>
          <w:rFonts w:ascii="Arial" w:hAnsi="Arial" w:cs="Arial"/>
          <w:lang w:val="en-GB"/>
        </w:rPr>
      </w:pPr>
    </w:p>
    <w:p w14:paraId="4CB582AB" w14:textId="06533F9C" w:rsidR="007F07B9" w:rsidRDefault="00C744B1" w:rsidP="00267CF5">
      <w:pPr>
        <w:jc w:val="both"/>
        <w:rPr>
          <w:rFonts w:ascii="Arial" w:hAnsi="Arial" w:cs="Arial"/>
          <w:lang w:val="en-GB"/>
        </w:rPr>
      </w:pPr>
      <w:r w:rsidRPr="00E954D6">
        <w:rPr>
          <w:rFonts w:ascii="Arial" w:hAnsi="Arial" w:cs="Arial"/>
          <w:lang w:val="en-GB"/>
        </w:rPr>
        <w:t>Table 4 highlights common data quality challenges that may affect NHS England's data warehouse environment. Implementing appropriate mitigation strategies improves data accuracy, consistency and security while reducing operational risks. Effective governance and quality management ensure that healthcare managers and decision-makers can rely on the information stored within the enterprise data warehouse for reporting, planning and performance monitoring.</w:t>
      </w:r>
    </w:p>
    <w:p w14:paraId="6FEB56DB" w14:textId="68EFBFFF" w:rsidR="00446A49" w:rsidRDefault="00446A49" w:rsidP="00267CF5">
      <w:pPr>
        <w:jc w:val="both"/>
        <w:rPr>
          <w:rFonts w:ascii="Arial" w:hAnsi="Arial" w:cs="Arial"/>
          <w:lang w:val="en-GB"/>
        </w:rPr>
      </w:pPr>
      <w:r>
        <w:rPr>
          <w:rFonts w:ascii="Arial" w:hAnsi="Arial" w:cs="Arial"/>
          <w:noProof/>
          <w:lang w:val="en-GB"/>
        </w:rPr>
        <w:lastRenderedPageBreak/>
        <mc:AlternateContent>
          <mc:Choice Requires="cx1">
            <w:drawing>
              <wp:anchor distT="0" distB="0" distL="114300" distR="114300" simplePos="0" relativeHeight="251668480" behindDoc="0" locked="0" layoutInCell="1" allowOverlap="1" wp14:anchorId="6E7FC1DF" wp14:editId="2D9A0FB0">
                <wp:simplePos x="0" y="0"/>
                <wp:positionH relativeFrom="margin">
                  <wp:align>right</wp:align>
                </wp:positionH>
                <wp:positionV relativeFrom="paragraph">
                  <wp:posOffset>186055</wp:posOffset>
                </wp:positionV>
                <wp:extent cx="6848475" cy="3200400"/>
                <wp:effectExtent l="0" t="0" r="9525" b="0"/>
                <wp:wrapSquare wrapText="bothSides"/>
                <wp:docPr id="981311506" name="Chart 2"/>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14:sizeRelH relativeFrom="margin">
                  <wp14:pctWidth>0</wp14:pctWidth>
                </wp14:sizeRelH>
              </wp:anchor>
            </w:drawing>
          </mc:Choice>
          <mc:Fallback>
            <w:drawing>
              <wp:anchor distT="0" distB="0" distL="114300" distR="114300" simplePos="0" relativeHeight="251668480" behindDoc="0" locked="0" layoutInCell="1" allowOverlap="1" wp14:anchorId="6E7FC1DF" wp14:editId="2D9A0FB0">
                <wp:simplePos x="0" y="0"/>
                <wp:positionH relativeFrom="margin">
                  <wp:align>right</wp:align>
                </wp:positionH>
                <wp:positionV relativeFrom="paragraph">
                  <wp:posOffset>186055</wp:posOffset>
                </wp:positionV>
                <wp:extent cx="6848475" cy="3200400"/>
                <wp:effectExtent l="0" t="0" r="9525" b="0"/>
                <wp:wrapSquare wrapText="bothSides"/>
                <wp:docPr id="981311506" name="Chart 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81311506" name="Chart 2"/>
                        <pic:cNvPicPr>
                          <a:picLocks noGrp="1" noRot="1" noChangeAspect="1" noMove="1" noResize="1" noEditPoints="1" noAdjustHandles="1" noChangeArrowheads="1" noChangeShapeType="1"/>
                        </pic:cNvPicPr>
                      </pic:nvPicPr>
                      <pic:blipFill>
                        <a:blip r:embed="rId19"/>
                        <a:stretch>
                          <a:fillRect/>
                        </a:stretch>
                      </pic:blipFill>
                      <pic:spPr>
                        <a:xfrm>
                          <a:off x="0" y="0"/>
                          <a:ext cx="6848475" cy="3200400"/>
                        </a:xfrm>
                        <a:prstGeom prst="rect">
                          <a:avLst/>
                        </a:prstGeom>
                      </pic:spPr>
                    </pic:pic>
                  </a:graphicData>
                </a:graphic>
                <wp14:sizeRelH relativeFrom="margin">
                  <wp14:pctWidth>0</wp14:pctWidth>
                </wp14:sizeRelH>
              </wp:anchor>
            </w:drawing>
          </mc:Fallback>
        </mc:AlternateContent>
      </w:r>
    </w:p>
    <w:p w14:paraId="0FDA406F" w14:textId="1C2C4214" w:rsidR="00446A49" w:rsidRPr="00446A49" w:rsidRDefault="00446A49" w:rsidP="00267CF5">
      <w:pPr>
        <w:jc w:val="both"/>
        <w:rPr>
          <w:rFonts w:ascii="Arial" w:hAnsi="Arial" w:cs="Arial"/>
          <w:b/>
          <w:bCs/>
          <w:lang w:val="en-GB"/>
        </w:rPr>
      </w:pPr>
    </w:p>
    <w:p w14:paraId="7BEAA116" w14:textId="77777777" w:rsidR="00B83467" w:rsidRPr="006B3C07" w:rsidRDefault="00446A49" w:rsidP="00B83467">
      <w:pPr>
        <w:jc w:val="center"/>
        <w:rPr>
          <w:rFonts w:ascii="Arial" w:hAnsi="Arial" w:cs="Arial"/>
          <w:b/>
          <w:bCs/>
          <w:color w:val="156082" w:themeColor="accent1"/>
        </w:rPr>
      </w:pPr>
      <w:r w:rsidRPr="006B3C07">
        <w:rPr>
          <w:rFonts w:ascii="Arial" w:hAnsi="Arial" w:cs="Arial"/>
          <w:b/>
          <w:bCs/>
          <w:color w:val="156082" w:themeColor="accent1"/>
        </w:rPr>
        <w:t>Figure 3C: Hierarchical Distribution of Information Within NHS England Data Marts</w:t>
      </w:r>
    </w:p>
    <w:p w14:paraId="003A7F72" w14:textId="77777777" w:rsidR="00B83467" w:rsidRPr="006B3C07" w:rsidRDefault="00B83467" w:rsidP="00B83467">
      <w:pPr>
        <w:jc w:val="both"/>
        <w:rPr>
          <w:rFonts w:ascii="Arial" w:hAnsi="Arial" w:cs="Arial"/>
          <w:b/>
          <w:bCs/>
          <w:color w:val="156082" w:themeColor="accent1"/>
        </w:rPr>
      </w:pPr>
    </w:p>
    <w:p w14:paraId="3A068F6C" w14:textId="3F816181" w:rsidR="00446A49" w:rsidRPr="009864F8" w:rsidRDefault="00B83467" w:rsidP="00B83467">
      <w:pPr>
        <w:jc w:val="both"/>
        <w:rPr>
          <w:rFonts w:ascii="Arial" w:hAnsi="Arial" w:cs="Arial"/>
          <w:color w:val="002060"/>
          <w:lang w:val="en-GB"/>
        </w:rPr>
      </w:pPr>
      <w:r w:rsidRPr="009864F8">
        <w:rPr>
          <w:color w:val="002060"/>
          <w:lang w:val="en-GB"/>
        </w:rPr>
        <w:t>Figure 3C presents a hierarchical view of the major information categories stored within the proposed NHS England Enterprise Data Warehouse. The treemap visually groups data into clinical, workforce and financial domains, with the relative size of each section representing its importance and contribution to organisational reporting and decision-making. Clinical information, including admissions, diagnoses, treatments and laboratory results, occupies the largest proportion because it forms the core of healthcare operations. Workforce information, such as staff records, attendance, shift scheduling and performance monitoring, supports resource planning and operational management, while financial information focuses on budgeting, revenue and cost analysis. The treemap provides an intuitive representation of how enterprise data is organised into logical subject areas, enabling decision-makers to quickly identify major business domains and understand the overall structure of the proposed data warehouse.</w:t>
      </w:r>
    </w:p>
    <w:p w14:paraId="7ECA33F2" w14:textId="77777777" w:rsidR="00B83467" w:rsidRDefault="00B83467" w:rsidP="00B1096B">
      <w:pPr>
        <w:pStyle w:val="Heading1"/>
        <w:jc w:val="both"/>
        <w:rPr>
          <w:lang w:val="en-GB"/>
        </w:rPr>
      </w:pPr>
    </w:p>
    <w:p w14:paraId="0520B814" w14:textId="77777777" w:rsidR="00001D2C" w:rsidRDefault="00001D2C" w:rsidP="00001D2C">
      <w:pPr>
        <w:rPr>
          <w:lang w:val="en-GB"/>
        </w:rPr>
      </w:pPr>
    </w:p>
    <w:p w14:paraId="3D60CF36" w14:textId="77777777" w:rsidR="00001D2C" w:rsidRDefault="00001D2C" w:rsidP="00001D2C">
      <w:pPr>
        <w:rPr>
          <w:lang w:val="en-GB"/>
        </w:rPr>
      </w:pPr>
    </w:p>
    <w:p w14:paraId="39045D4B" w14:textId="77777777" w:rsidR="00110BFD" w:rsidRPr="00001D2C" w:rsidRDefault="00110BFD" w:rsidP="00001D2C">
      <w:pPr>
        <w:rPr>
          <w:lang w:val="en-GB"/>
        </w:rPr>
      </w:pPr>
    </w:p>
    <w:p w14:paraId="49E9D5EB" w14:textId="77777777" w:rsidR="00AE13B3" w:rsidRDefault="00AE13B3" w:rsidP="00B1096B">
      <w:pPr>
        <w:pStyle w:val="Heading1"/>
        <w:jc w:val="both"/>
        <w:rPr>
          <w:lang w:val="en-GB"/>
        </w:rPr>
      </w:pPr>
    </w:p>
    <w:p w14:paraId="31D3AB58" w14:textId="77777777" w:rsidR="00AE13B3" w:rsidRDefault="00AE13B3" w:rsidP="00B1096B">
      <w:pPr>
        <w:pStyle w:val="Heading1"/>
        <w:jc w:val="both"/>
        <w:rPr>
          <w:lang w:val="en-GB"/>
        </w:rPr>
      </w:pPr>
    </w:p>
    <w:p w14:paraId="22DDA0ED" w14:textId="2AC06446" w:rsidR="00B1096B" w:rsidRDefault="007F07B9" w:rsidP="00B1096B">
      <w:pPr>
        <w:pStyle w:val="Heading1"/>
        <w:jc w:val="both"/>
      </w:pPr>
      <w:r w:rsidRPr="00E954D6">
        <w:rPr>
          <w:lang w:val="en-GB"/>
        </w:rPr>
        <w:t>4. Conclusio</w:t>
      </w:r>
      <w:r w:rsidR="00182F1D" w:rsidRPr="00E954D6">
        <w:rPr>
          <w:lang w:val="en-GB"/>
        </w:rPr>
        <w:t>n</w:t>
      </w:r>
    </w:p>
    <w:p w14:paraId="5D7D38C3" w14:textId="77777777" w:rsidR="00892702" w:rsidRPr="00892702" w:rsidRDefault="00892702" w:rsidP="00892702">
      <w:pPr>
        <w:rPr>
          <w:lang w:val="en-GB"/>
        </w:rPr>
      </w:pPr>
    </w:p>
    <w:p w14:paraId="016A5381" w14:textId="77777777" w:rsidR="00B1096B" w:rsidRPr="00E954D6" w:rsidRDefault="00B1096B" w:rsidP="00B1096B">
      <w:pPr>
        <w:jc w:val="both"/>
        <w:rPr>
          <w:rFonts w:ascii="Arial" w:hAnsi="Arial" w:cs="Arial"/>
          <w:lang w:val="en-GB"/>
        </w:rPr>
      </w:pPr>
      <w:r w:rsidRPr="00E954D6">
        <w:rPr>
          <w:rFonts w:ascii="Arial" w:hAnsi="Arial" w:cs="Arial"/>
          <w:lang w:val="en-GB"/>
        </w:rPr>
        <w:t>This report presented the design of a proposed data warehouse solution for NHS England to support strategic decision-making, performance monitoring and healthcare service improvement. The study examined the fundamental concepts of data warehousing, including enterprise data warehouse architecture, ETL processes, data marts and dimensional modelling. It also highlighted the differences between OLTP systems and data warehouse environments and demonstrated the importance of integrating data from multiple operational systems.</w:t>
      </w:r>
    </w:p>
    <w:p w14:paraId="671225F9" w14:textId="1DF73099" w:rsidR="00B1096B" w:rsidRPr="00E954D6" w:rsidRDefault="00B1096B" w:rsidP="00B1096B">
      <w:pPr>
        <w:jc w:val="both"/>
        <w:rPr>
          <w:rFonts w:ascii="Arial" w:hAnsi="Arial" w:cs="Arial"/>
          <w:lang w:val="en-GB"/>
        </w:rPr>
      </w:pPr>
      <w:r w:rsidRPr="00E954D6">
        <w:rPr>
          <w:rFonts w:ascii="Arial" w:hAnsi="Arial" w:cs="Arial"/>
          <w:lang w:val="en-GB"/>
        </w:rPr>
        <w:t>A star schema was developed to provide a scalable and efficient analytical structure for storing and analysing healthcare information. The proposed design incorporates data from  (EPR), (PAS), workforce management and financial management systems into a central enterprise data warehouse. Specialised clinical, financial and workforce data marts were also designed to support the reporting requirements of different user groups.</w:t>
      </w:r>
    </w:p>
    <w:p w14:paraId="3E479E72" w14:textId="77777777" w:rsidR="00B1096B" w:rsidRPr="00E954D6" w:rsidRDefault="00B1096B" w:rsidP="00B1096B">
      <w:pPr>
        <w:jc w:val="both"/>
        <w:rPr>
          <w:rFonts w:ascii="Arial" w:hAnsi="Arial" w:cs="Arial"/>
          <w:lang w:val="en-GB"/>
        </w:rPr>
      </w:pPr>
      <w:r w:rsidRPr="00E954D6">
        <w:rPr>
          <w:rFonts w:ascii="Arial" w:hAnsi="Arial" w:cs="Arial"/>
          <w:lang w:val="en-GB"/>
        </w:rPr>
        <w:t>The ETL plan and data governance framework ensure that data is extracted, transformed and loaded in a consistent, reliable and secure manner. By implementing appropriate data quality controls, validation procedures and governance policies, NHS England can improve the accuracy and trustworthiness of organisational data.</w:t>
      </w:r>
    </w:p>
    <w:p w14:paraId="5C964A50" w14:textId="67D41540" w:rsidR="00B1096B" w:rsidRPr="00E954D6" w:rsidRDefault="00B1096B" w:rsidP="00B1096B">
      <w:pPr>
        <w:jc w:val="both"/>
        <w:rPr>
          <w:rFonts w:ascii="Arial" w:hAnsi="Arial" w:cs="Arial"/>
          <w:lang w:val="en-GB"/>
        </w:rPr>
      </w:pPr>
      <w:r w:rsidRPr="00E954D6">
        <w:rPr>
          <w:rFonts w:ascii="Arial" w:hAnsi="Arial" w:cs="Arial"/>
          <w:lang w:val="en-GB"/>
        </w:rPr>
        <w:t>Overall, the proposed data warehouse provides an integrated platform for healthcare analytics, enabling faster reporting, improved operational visibility and evidence-based decision-making. The solution supports NHS objectives of enhancing patient care, improving resource utilisation and achieving greater organisational efficiency through effective use of data.</w:t>
      </w:r>
    </w:p>
    <w:p w14:paraId="5D0BAE48" w14:textId="77777777" w:rsidR="00B1096B" w:rsidRPr="00E954D6" w:rsidRDefault="00B1096B" w:rsidP="00B1096B">
      <w:pPr>
        <w:jc w:val="both"/>
        <w:rPr>
          <w:rFonts w:ascii="Arial" w:hAnsi="Arial" w:cs="Arial"/>
          <w:lang w:val="en-GB"/>
        </w:rPr>
      </w:pPr>
      <w:r w:rsidRPr="00E954D6">
        <w:rPr>
          <w:rFonts w:ascii="Arial" w:hAnsi="Arial" w:cs="Arial"/>
          <w:lang w:val="en-GB"/>
        </w:rPr>
        <w:t>Furthermore, the proposed solution provides a foundation for future healthcare analytics initiatives such as predictive modelling, population health analysis and resource forecasting. As data volumes continue to increase, a scalable enterprise data warehouse will enable NHS England to adapt to changing organisational requirements while maintaining high standards of data quality, governance and security.</w:t>
      </w:r>
    </w:p>
    <w:p w14:paraId="2429E3AA" w14:textId="77777777" w:rsidR="00B1096B" w:rsidRPr="00E954D6" w:rsidRDefault="00B1096B" w:rsidP="00B1096B">
      <w:pPr>
        <w:jc w:val="both"/>
        <w:rPr>
          <w:rFonts w:ascii="Arial" w:hAnsi="Arial" w:cs="Arial"/>
          <w:lang w:val="en-GB"/>
        </w:rPr>
      </w:pPr>
      <w:r w:rsidRPr="00E954D6">
        <w:rPr>
          <w:rFonts w:ascii="Arial" w:hAnsi="Arial" w:cs="Arial"/>
          <w:lang w:val="en-GB"/>
        </w:rPr>
        <w:t>The successful implementation of the proposed architecture would support continuous improvement across healthcare services by transforming operational data into actionable insights. This would ultimately contribute to better patient outcomes, improved efficiency and more effective management of healthcare resources.</w:t>
      </w:r>
    </w:p>
    <w:p w14:paraId="273A4DAC" w14:textId="77777777" w:rsidR="00B1096B" w:rsidRPr="00E954D6" w:rsidRDefault="00B1096B" w:rsidP="00B1096B">
      <w:pPr>
        <w:jc w:val="both"/>
        <w:rPr>
          <w:rFonts w:ascii="Arial" w:hAnsi="Arial" w:cs="Arial"/>
          <w:lang w:val="en-GB"/>
        </w:rPr>
      </w:pPr>
    </w:p>
    <w:p w14:paraId="56F5529E" w14:textId="77777777" w:rsidR="005B1C9C" w:rsidRPr="00E954D6" w:rsidRDefault="005B1C9C" w:rsidP="00B1096B">
      <w:pPr>
        <w:rPr>
          <w:lang w:val="en-GB"/>
        </w:rPr>
      </w:pPr>
    </w:p>
    <w:p w14:paraId="2B4788CA" w14:textId="77777777" w:rsidR="00B83467" w:rsidRDefault="00B83467" w:rsidP="00267CF5">
      <w:pPr>
        <w:pStyle w:val="Heading1"/>
        <w:jc w:val="both"/>
        <w:rPr>
          <w:lang w:val="en-GB"/>
        </w:rPr>
      </w:pPr>
    </w:p>
    <w:p w14:paraId="26AEF0E5" w14:textId="77777777" w:rsidR="00B83467" w:rsidRDefault="00B83467" w:rsidP="00267CF5">
      <w:pPr>
        <w:pStyle w:val="Heading1"/>
        <w:jc w:val="both"/>
        <w:rPr>
          <w:lang w:val="en-GB"/>
        </w:rPr>
      </w:pPr>
    </w:p>
    <w:p w14:paraId="0F8DB111" w14:textId="77777777" w:rsidR="00B83467" w:rsidRDefault="00B83467" w:rsidP="00B83467">
      <w:pPr>
        <w:rPr>
          <w:lang w:val="en-GB"/>
        </w:rPr>
      </w:pPr>
    </w:p>
    <w:p w14:paraId="256FCF8B" w14:textId="77777777" w:rsidR="00001D2C" w:rsidRDefault="00001D2C" w:rsidP="00B83467">
      <w:pPr>
        <w:rPr>
          <w:lang w:val="en-GB"/>
        </w:rPr>
      </w:pPr>
    </w:p>
    <w:p w14:paraId="56118592" w14:textId="77777777" w:rsidR="00001D2C" w:rsidRDefault="00001D2C" w:rsidP="00B83467">
      <w:pPr>
        <w:rPr>
          <w:lang w:val="en-GB"/>
        </w:rPr>
      </w:pPr>
    </w:p>
    <w:p w14:paraId="52F4ECA4" w14:textId="77777777" w:rsidR="00103AA6" w:rsidRPr="00B83467" w:rsidRDefault="00103AA6" w:rsidP="00B83467">
      <w:pPr>
        <w:rPr>
          <w:lang w:val="en-GB"/>
        </w:rPr>
      </w:pPr>
    </w:p>
    <w:p w14:paraId="513C0F24" w14:textId="04D62751" w:rsidR="00FD5D1C" w:rsidRPr="00E954D6" w:rsidRDefault="007F07B9" w:rsidP="00267CF5">
      <w:pPr>
        <w:pStyle w:val="Heading1"/>
        <w:jc w:val="both"/>
        <w:rPr>
          <w:lang w:val="en-GB"/>
        </w:rPr>
      </w:pPr>
      <w:r w:rsidRPr="00E954D6">
        <w:rPr>
          <w:lang w:val="en-GB"/>
        </w:rPr>
        <w:t>5. References</w:t>
      </w:r>
    </w:p>
    <w:p w14:paraId="71C26159" w14:textId="77777777" w:rsidR="009036CA" w:rsidRPr="00E954D6" w:rsidRDefault="009036CA" w:rsidP="00182F1D">
      <w:pPr>
        <w:rPr>
          <w:lang w:val="en-GB"/>
        </w:rPr>
      </w:pPr>
    </w:p>
    <w:p w14:paraId="03874923" w14:textId="198DD8C9" w:rsidR="009036CA" w:rsidRPr="00E954D6" w:rsidRDefault="009036CA" w:rsidP="00182F1D">
      <w:pPr>
        <w:spacing w:line="360" w:lineRule="auto"/>
        <w:jc w:val="both"/>
        <w:rPr>
          <w:lang w:val="en-GB"/>
        </w:rPr>
      </w:pPr>
      <w:r w:rsidRPr="00E954D6">
        <w:rPr>
          <w:lang w:val="en-GB"/>
        </w:rPr>
        <w:t xml:space="preserve">Amazon Web Services (AWS). (2025). What is a Data Warehouse? Available at: </w:t>
      </w:r>
      <w:hyperlink r:id="rId20" w:history="1">
        <w:r w:rsidRPr="00E954D6">
          <w:rPr>
            <w:rStyle w:val="Hyperlink"/>
            <w:lang w:val="en-GB"/>
          </w:rPr>
          <w:t>https://aws.amazon.com/data-warehouse/</w:t>
        </w:r>
      </w:hyperlink>
      <w:r w:rsidRPr="00E954D6">
        <w:rPr>
          <w:lang w:val="en-GB"/>
        </w:rPr>
        <w:t xml:space="preserve"> (Accessed: 24 June 2026).</w:t>
      </w:r>
    </w:p>
    <w:p w14:paraId="780D79F6" w14:textId="77777777" w:rsidR="009036CA" w:rsidRPr="00E954D6" w:rsidRDefault="009036CA" w:rsidP="00182F1D">
      <w:pPr>
        <w:spacing w:line="360" w:lineRule="auto"/>
        <w:jc w:val="both"/>
        <w:rPr>
          <w:lang w:val="en-GB"/>
        </w:rPr>
      </w:pPr>
      <w:r w:rsidRPr="00E954D6">
        <w:rPr>
          <w:lang w:val="en-GB"/>
        </w:rPr>
        <w:t xml:space="preserve">Health Education England. (2024). Data and Information Governance. Available at: </w:t>
      </w:r>
      <w:hyperlink r:id="rId21" w:history="1">
        <w:r w:rsidRPr="00E954D6">
          <w:rPr>
            <w:rStyle w:val="Hyperlink"/>
            <w:lang w:val="en-GB"/>
          </w:rPr>
          <w:t>https://www.hee.nhs.uk/our-work/data-information-governance</w:t>
        </w:r>
      </w:hyperlink>
      <w:r w:rsidRPr="00E954D6">
        <w:rPr>
          <w:lang w:val="en-GB"/>
        </w:rPr>
        <w:t xml:space="preserve"> (Accessed: 24 June 2026).</w:t>
      </w:r>
    </w:p>
    <w:p w14:paraId="380CBFB0" w14:textId="77777777" w:rsidR="009036CA" w:rsidRPr="00E954D6" w:rsidRDefault="009036CA" w:rsidP="00182F1D">
      <w:pPr>
        <w:spacing w:line="360" w:lineRule="auto"/>
        <w:jc w:val="both"/>
        <w:rPr>
          <w:lang w:val="en-GB"/>
        </w:rPr>
      </w:pPr>
      <w:r w:rsidRPr="00E954D6">
        <w:rPr>
          <w:lang w:val="en-GB"/>
        </w:rPr>
        <w:t xml:space="preserve">IBM. (2025). Data Warehouse Overview. Available at: </w:t>
      </w:r>
      <w:hyperlink r:id="rId22" w:history="1">
        <w:r w:rsidRPr="00E954D6">
          <w:rPr>
            <w:rStyle w:val="Hyperlink"/>
            <w:lang w:val="en-GB"/>
          </w:rPr>
          <w:t>https://www.ibm.com/topics/data-warehouse</w:t>
        </w:r>
      </w:hyperlink>
      <w:r w:rsidRPr="00E954D6">
        <w:rPr>
          <w:lang w:val="en-GB"/>
        </w:rPr>
        <w:t xml:space="preserve"> (Accessed: 24 June 2026).</w:t>
      </w:r>
    </w:p>
    <w:p w14:paraId="5C229D60" w14:textId="77777777" w:rsidR="009036CA" w:rsidRPr="00E954D6" w:rsidRDefault="009036CA" w:rsidP="00182F1D">
      <w:pPr>
        <w:spacing w:line="360" w:lineRule="auto"/>
        <w:jc w:val="both"/>
        <w:rPr>
          <w:lang w:val="en-GB"/>
        </w:rPr>
      </w:pPr>
      <w:r w:rsidRPr="00E954D6">
        <w:rPr>
          <w:lang w:val="en-GB"/>
        </w:rPr>
        <w:t xml:space="preserve">Informatica. (2025). What is ETL? Available at: </w:t>
      </w:r>
      <w:hyperlink r:id="rId23" w:history="1">
        <w:r w:rsidRPr="00E954D6">
          <w:rPr>
            <w:rStyle w:val="Hyperlink"/>
            <w:lang w:val="en-GB"/>
          </w:rPr>
          <w:t>https://www.informatica.com/resources/articles/what-is-etl.html</w:t>
        </w:r>
      </w:hyperlink>
      <w:r w:rsidRPr="00E954D6">
        <w:rPr>
          <w:lang w:val="en-GB"/>
        </w:rPr>
        <w:t xml:space="preserve"> (Accessed: 24 June 2026).</w:t>
      </w:r>
    </w:p>
    <w:p w14:paraId="36FC4EEE" w14:textId="77777777" w:rsidR="009036CA" w:rsidRPr="00E954D6" w:rsidRDefault="009036CA" w:rsidP="00182F1D">
      <w:pPr>
        <w:spacing w:line="360" w:lineRule="auto"/>
        <w:jc w:val="both"/>
        <w:rPr>
          <w:lang w:val="en-GB"/>
        </w:rPr>
      </w:pPr>
      <w:r w:rsidRPr="00E954D6">
        <w:rPr>
          <w:lang w:val="en-GB"/>
        </w:rPr>
        <w:t>Inmon, W.H. (2005). Building the Data Warehouse. 4th ed. Indianapolis: Wiley Publishing.</w:t>
      </w:r>
    </w:p>
    <w:p w14:paraId="086CDF40" w14:textId="77777777" w:rsidR="009036CA" w:rsidRPr="00E954D6" w:rsidRDefault="009036CA" w:rsidP="00182F1D">
      <w:pPr>
        <w:spacing w:line="360" w:lineRule="auto"/>
        <w:jc w:val="both"/>
        <w:rPr>
          <w:lang w:val="en-GB"/>
        </w:rPr>
      </w:pPr>
      <w:r w:rsidRPr="00E954D6">
        <w:rPr>
          <w:lang w:val="en-GB"/>
        </w:rPr>
        <w:t>Kimball, R. and Ross, M. (2013). The Data Warehouse Toolkit: The Definitive Guide to Dimensional Modeling. 3rd ed. Hoboken, NJ: John Wiley &amp; Sons.</w:t>
      </w:r>
    </w:p>
    <w:p w14:paraId="53BD451C" w14:textId="38190480" w:rsidR="009036CA" w:rsidRPr="00E954D6" w:rsidRDefault="009036CA" w:rsidP="00182F1D">
      <w:pPr>
        <w:spacing w:line="360" w:lineRule="auto"/>
        <w:jc w:val="both"/>
        <w:rPr>
          <w:lang w:val="en-GB"/>
        </w:rPr>
      </w:pPr>
      <w:r w:rsidRPr="00E954D6">
        <w:rPr>
          <w:lang w:val="en-GB"/>
        </w:rPr>
        <w:t xml:space="preserve">Microsoft. (2025). Data warehouse architecture. Available at: </w:t>
      </w:r>
      <w:hyperlink r:id="rId24" w:history="1">
        <w:r w:rsidR="00182F1D" w:rsidRPr="00E954D6">
          <w:rPr>
            <w:rStyle w:val="Hyperlink"/>
            <w:lang w:val="en-GB"/>
          </w:rPr>
          <w:t>https://learn.microsoft.com/en-us/azure/architecture/data-guide/relational-data/data-warehousing</w:t>
        </w:r>
      </w:hyperlink>
      <w:r w:rsidRPr="00E954D6">
        <w:rPr>
          <w:lang w:val="en-GB"/>
        </w:rPr>
        <w:t xml:space="preserve"> (Accessed: 24 June 2026).</w:t>
      </w:r>
    </w:p>
    <w:p w14:paraId="1F11191E" w14:textId="77777777" w:rsidR="009036CA" w:rsidRPr="00E954D6" w:rsidRDefault="009036CA" w:rsidP="00182F1D">
      <w:pPr>
        <w:spacing w:line="360" w:lineRule="auto"/>
        <w:jc w:val="both"/>
        <w:rPr>
          <w:lang w:val="en-GB"/>
        </w:rPr>
      </w:pPr>
      <w:r w:rsidRPr="00E954D6">
        <w:rPr>
          <w:lang w:val="en-GB"/>
        </w:rPr>
        <w:t xml:space="preserve">Microsoft. (2025). Dimensional Modeling in Data Warehousing. Available at: </w:t>
      </w:r>
      <w:hyperlink r:id="rId25" w:history="1">
        <w:r w:rsidRPr="00E954D6">
          <w:rPr>
            <w:rStyle w:val="Hyperlink"/>
            <w:lang w:val="en-GB"/>
          </w:rPr>
          <w:t>https://learn.microsoft.com/en-us/fabric/data-warehouse/dimensional-modeling-overview</w:t>
        </w:r>
      </w:hyperlink>
      <w:r w:rsidRPr="00E954D6">
        <w:rPr>
          <w:lang w:val="en-GB"/>
        </w:rPr>
        <w:t xml:space="preserve"> (Accessed: 24 June 2026).</w:t>
      </w:r>
    </w:p>
    <w:p w14:paraId="334294BC" w14:textId="50593025" w:rsidR="00C50FFA" w:rsidRPr="00E954D6" w:rsidRDefault="009036CA" w:rsidP="00182F1D">
      <w:pPr>
        <w:spacing w:line="360" w:lineRule="auto"/>
        <w:jc w:val="both"/>
        <w:rPr>
          <w:lang w:val="en-GB"/>
        </w:rPr>
      </w:pPr>
      <w:r w:rsidRPr="00E954D6">
        <w:rPr>
          <w:lang w:val="en-GB"/>
        </w:rPr>
        <w:t xml:space="preserve">NHS England. (2025). NHS England. Available at: </w:t>
      </w:r>
      <w:hyperlink r:id="rId26" w:history="1">
        <w:r w:rsidRPr="00E954D6">
          <w:rPr>
            <w:rStyle w:val="Hyperlink"/>
            <w:lang w:val="en-GB"/>
          </w:rPr>
          <w:t>https://www.england.nhs.uk/</w:t>
        </w:r>
      </w:hyperlink>
      <w:r w:rsidRPr="00E954D6">
        <w:rPr>
          <w:lang w:val="en-GB"/>
        </w:rPr>
        <w:t xml:space="preserve"> (Accessed: 24 June 2026).</w:t>
      </w:r>
    </w:p>
    <w:p w14:paraId="2A9F08EB" w14:textId="216B0BFB" w:rsidR="009036CA" w:rsidRPr="00E954D6" w:rsidRDefault="009036CA" w:rsidP="00182F1D">
      <w:pPr>
        <w:spacing w:line="360" w:lineRule="auto"/>
        <w:jc w:val="both"/>
        <w:rPr>
          <w:lang w:val="en-GB"/>
        </w:rPr>
      </w:pPr>
      <w:r w:rsidRPr="00E954D6">
        <w:rPr>
          <w:lang w:val="en-GB"/>
        </w:rPr>
        <w:t>Oracle</w:t>
      </w:r>
      <w:r w:rsidR="00C50FFA" w:rsidRPr="00E954D6">
        <w:rPr>
          <w:lang w:val="en-GB"/>
        </w:rPr>
        <w:t xml:space="preserve"> </w:t>
      </w:r>
      <w:r w:rsidRPr="00E954D6">
        <w:rPr>
          <w:lang w:val="en-GB"/>
        </w:rPr>
        <w:t>Corporation. (2025). Data Warehousing Guide. Available</w:t>
      </w:r>
      <w:r w:rsidR="00C50FFA" w:rsidRPr="00E954D6">
        <w:rPr>
          <w:lang w:val="en-GB"/>
        </w:rPr>
        <w:t xml:space="preserve"> </w:t>
      </w:r>
      <w:r w:rsidRPr="00E954D6">
        <w:rPr>
          <w:lang w:val="en-GB"/>
        </w:rPr>
        <w:t xml:space="preserve">at: </w:t>
      </w:r>
      <w:hyperlink r:id="rId27" w:history="1">
        <w:r w:rsidRPr="00E954D6">
          <w:rPr>
            <w:rStyle w:val="Hyperlink"/>
            <w:lang w:val="en-GB"/>
          </w:rPr>
          <w:t>https://docs.oracle.com/en/database/oracle/oracle-database/19/dwhsg/index.html</w:t>
        </w:r>
      </w:hyperlink>
      <w:r w:rsidRPr="00E954D6">
        <w:rPr>
          <w:lang w:val="en-GB"/>
        </w:rPr>
        <w:t xml:space="preserve"> (Accessed: 24 June 2026).</w:t>
      </w:r>
    </w:p>
    <w:p w14:paraId="3225DA31" w14:textId="6DCE8630" w:rsidR="009036CA" w:rsidRPr="00E954D6" w:rsidRDefault="009036CA" w:rsidP="00182F1D">
      <w:pPr>
        <w:spacing w:line="360" w:lineRule="auto"/>
        <w:jc w:val="both"/>
        <w:rPr>
          <w:lang w:val="en-GB"/>
        </w:rPr>
      </w:pPr>
      <w:r w:rsidRPr="00E954D6">
        <w:rPr>
          <w:lang w:val="en-GB"/>
        </w:rPr>
        <w:t>Talend. (2025). ETL (Extract</w:t>
      </w:r>
      <w:r w:rsidR="00C50FFA" w:rsidRPr="00E954D6">
        <w:rPr>
          <w:lang w:val="en-GB"/>
        </w:rPr>
        <w:t xml:space="preserve"> </w:t>
      </w:r>
      <w:r w:rsidRPr="00E954D6">
        <w:rPr>
          <w:lang w:val="en-GB"/>
        </w:rPr>
        <w:t>,Transform,</w:t>
      </w:r>
      <w:r w:rsidR="00C50FFA" w:rsidRPr="00E954D6">
        <w:rPr>
          <w:lang w:val="en-GB"/>
        </w:rPr>
        <w:t xml:space="preserve"> </w:t>
      </w:r>
      <w:r w:rsidRPr="00E954D6">
        <w:rPr>
          <w:lang w:val="en-GB"/>
        </w:rPr>
        <w:t xml:space="preserve">Load) Process Overview. Available at: </w:t>
      </w:r>
      <w:hyperlink r:id="rId28" w:history="1">
        <w:r w:rsidRPr="00E954D6">
          <w:rPr>
            <w:rStyle w:val="Hyperlink"/>
            <w:lang w:val="en-GB"/>
          </w:rPr>
          <w:t>https://www.talend.com/resources/what-is-etl/</w:t>
        </w:r>
      </w:hyperlink>
      <w:r w:rsidRPr="00E954D6">
        <w:rPr>
          <w:lang w:val="en-GB"/>
        </w:rPr>
        <w:t xml:space="preserve"> (Accessed: 24 June 2026).</w:t>
      </w:r>
    </w:p>
    <w:p w14:paraId="713053D4" w14:textId="77777777" w:rsidR="009036CA" w:rsidRPr="00E954D6" w:rsidRDefault="009036CA" w:rsidP="00182F1D">
      <w:pPr>
        <w:spacing w:line="360" w:lineRule="auto"/>
        <w:jc w:val="both"/>
        <w:rPr>
          <w:lang w:val="en-GB"/>
        </w:rPr>
      </w:pPr>
      <w:r w:rsidRPr="00E954D6">
        <w:rPr>
          <w:lang w:val="en-GB"/>
        </w:rPr>
        <w:t xml:space="preserve">The Data Governance Institute. (2025). Data Governance Framework. Available at: </w:t>
      </w:r>
      <w:hyperlink r:id="rId29" w:history="1">
        <w:r w:rsidRPr="00E954D6">
          <w:rPr>
            <w:rStyle w:val="Hyperlink"/>
            <w:lang w:val="en-GB"/>
          </w:rPr>
          <w:t>https://datagovernance.com/the-dgi-data-governance-framework/</w:t>
        </w:r>
      </w:hyperlink>
      <w:r w:rsidRPr="00E954D6">
        <w:rPr>
          <w:lang w:val="en-GB"/>
        </w:rPr>
        <w:t xml:space="preserve"> (Accessed: 24 June 2026).</w:t>
      </w:r>
    </w:p>
    <w:p w14:paraId="027F2681" w14:textId="77777777" w:rsidR="009036CA" w:rsidRPr="009036CA" w:rsidRDefault="009036CA" w:rsidP="00C50FFA">
      <w:pPr>
        <w:jc w:val="both"/>
      </w:pPr>
    </w:p>
    <w:sectPr w:rsidR="009036CA" w:rsidRPr="009036CA" w:rsidSect="00DA4BC8">
      <w:footerReference w:type="default" r:id="rId30"/>
      <w:pgSz w:w="12240" w:h="15840"/>
      <w:pgMar w:top="720" w:right="720" w:bottom="720" w:left="72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EE798" w14:textId="77777777" w:rsidR="00ED6E15" w:rsidRPr="00E954D6" w:rsidRDefault="00ED6E15" w:rsidP="00173FA9">
      <w:pPr>
        <w:spacing w:after="0" w:line="240" w:lineRule="auto"/>
        <w:rPr>
          <w:lang w:val="en-GB"/>
        </w:rPr>
      </w:pPr>
      <w:r w:rsidRPr="00E954D6">
        <w:rPr>
          <w:lang w:val="en-GB"/>
        </w:rPr>
        <w:separator/>
      </w:r>
    </w:p>
  </w:endnote>
  <w:endnote w:type="continuationSeparator" w:id="0">
    <w:p w14:paraId="7BED3E0F" w14:textId="77777777" w:rsidR="00ED6E15" w:rsidRPr="00E954D6" w:rsidRDefault="00ED6E15" w:rsidP="00173FA9">
      <w:pPr>
        <w:spacing w:after="0" w:line="240" w:lineRule="auto"/>
        <w:rPr>
          <w:lang w:val="en-GB"/>
        </w:rPr>
      </w:pPr>
      <w:r w:rsidRPr="00E954D6">
        <w:rPr>
          <w:lang w:val="en-GB"/>
        </w:rPr>
        <w:continuationSeparator/>
      </w:r>
    </w:p>
  </w:endnote>
  <w:endnote w:type="continuationNotice" w:id="1">
    <w:sdt>
      <w:sdtPr>
        <w:rPr>
          <w:lang w:val="en-GB"/>
        </w:rPr>
        <w:id w:val="-1236939156"/>
        <w:docPartObj>
          <w:docPartGallery w:val="Page Numbers (Bottom of Page)"/>
          <w:docPartUnique/>
        </w:docPartObj>
      </w:sdtPr>
      <w:sdtContent>
        <w:p w14:paraId="6860517C" w14:textId="77777777" w:rsidR="00ED6E15" w:rsidRPr="00E954D6" w:rsidRDefault="00ED6E15">
          <w:pPr>
            <w:pStyle w:val="Footer"/>
            <w:jc w:val="right"/>
            <w:rPr>
              <w:lang w:val="en-GB"/>
            </w:rPr>
          </w:pPr>
          <w:r w:rsidRPr="00E954D6">
            <w:rPr>
              <w:lang w:val="en-GB"/>
            </w:rPr>
            <w:fldChar w:fldCharType="begin"/>
          </w:r>
          <w:r w:rsidRPr="00E954D6">
            <w:rPr>
              <w:lang w:val="en-GB"/>
            </w:rPr>
            <w:instrText xml:space="preserve"> PAGE   \* MERGEFORMAT </w:instrText>
          </w:r>
          <w:r w:rsidRPr="00E954D6">
            <w:rPr>
              <w:lang w:val="en-GB"/>
            </w:rPr>
            <w:fldChar w:fldCharType="separate"/>
          </w:r>
          <w:r w:rsidRPr="00E954D6">
            <w:rPr>
              <w:lang w:val="en-GB"/>
            </w:rPr>
            <w:t>2</w:t>
          </w:r>
          <w:r w:rsidRPr="00E954D6">
            <w:rPr>
              <w:lang w:val="en-GB"/>
            </w:rPr>
            <w:fldChar w:fldCharType="end"/>
          </w:r>
        </w:p>
      </w:sdtContent>
    </w:sdt>
    <w:p w14:paraId="5222F8E2" w14:textId="77777777" w:rsidR="00ED6E15" w:rsidRPr="00E954D6" w:rsidRDefault="00ED6E15">
      <w:pPr>
        <w:pStyle w:val="Footer"/>
        <w:rPr>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52721"/>
      <w:docPartObj>
        <w:docPartGallery w:val="Page Numbers (Bottom of Page)"/>
        <w:docPartUnique/>
      </w:docPartObj>
    </w:sdtPr>
    <w:sdtEndPr>
      <w:rPr>
        <w:noProof/>
      </w:rPr>
    </w:sdtEndPr>
    <w:sdtContent>
      <w:p w14:paraId="500E2D4A" w14:textId="58C5D9EE" w:rsidR="00EB5D4A" w:rsidRDefault="00EB5D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2747E1" w14:textId="77777777" w:rsidR="00EB5D4A" w:rsidRDefault="00EB5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184A0" w14:textId="77777777" w:rsidR="00ED6E15" w:rsidRPr="00E954D6" w:rsidRDefault="00ED6E15" w:rsidP="00173FA9">
      <w:pPr>
        <w:spacing w:after="0" w:line="240" w:lineRule="auto"/>
        <w:rPr>
          <w:lang w:val="en-GB"/>
        </w:rPr>
      </w:pPr>
      <w:r w:rsidRPr="00E954D6">
        <w:rPr>
          <w:lang w:val="en-GB"/>
        </w:rPr>
        <w:separator/>
      </w:r>
    </w:p>
  </w:footnote>
  <w:footnote w:type="continuationSeparator" w:id="0">
    <w:p w14:paraId="47C598A5" w14:textId="77777777" w:rsidR="00ED6E15" w:rsidRPr="00E954D6" w:rsidRDefault="00ED6E15" w:rsidP="00173FA9">
      <w:pPr>
        <w:spacing w:after="0" w:line="240" w:lineRule="auto"/>
        <w:rPr>
          <w:lang w:val="en-GB"/>
        </w:rPr>
      </w:pPr>
      <w:r w:rsidRPr="00E954D6">
        <w:rPr>
          <w:lang w:val="en-GB"/>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22D3"/>
    <w:multiLevelType w:val="hybridMultilevel"/>
    <w:tmpl w:val="77CA0E22"/>
    <w:lvl w:ilvl="0" w:tplc="79B6BFFA">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F3C3EE9"/>
    <w:multiLevelType w:val="multilevel"/>
    <w:tmpl w:val="474825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8612A6"/>
    <w:multiLevelType w:val="hybridMultilevel"/>
    <w:tmpl w:val="78B4F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2760E"/>
    <w:multiLevelType w:val="hybridMultilevel"/>
    <w:tmpl w:val="8FCA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6B20F5"/>
    <w:multiLevelType w:val="hybridMultilevel"/>
    <w:tmpl w:val="559E1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6E60D6"/>
    <w:multiLevelType w:val="hybridMultilevel"/>
    <w:tmpl w:val="BA167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B80BF1"/>
    <w:multiLevelType w:val="hybridMultilevel"/>
    <w:tmpl w:val="FB407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272956">
    <w:abstractNumId w:val="0"/>
  </w:num>
  <w:num w:numId="2" w16cid:durableId="252782218">
    <w:abstractNumId w:val="3"/>
  </w:num>
  <w:num w:numId="3" w16cid:durableId="1954745608">
    <w:abstractNumId w:val="5"/>
  </w:num>
  <w:num w:numId="4" w16cid:durableId="2006592917">
    <w:abstractNumId w:val="2"/>
  </w:num>
  <w:num w:numId="5" w16cid:durableId="1516382138">
    <w:abstractNumId w:val="4"/>
  </w:num>
  <w:num w:numId="6" w16cid:durableId="2097969098">
    <w:abstractNumId w:val="6"/>
  </w:num>
  <w:num w:numId="7" w16cid:durableId="1638072925">
    <w:abstractNumId w:val="1"/>
  </w:num>
  <w:num w:numId="8" w16cid:durableId="1779985211">
    <w:abstractNumId w:val="1"/>
  </w:num>
  <w:num w:numId="9" w16cid:durableId="2035840807">
    <w:abstractNumId w:val="1"/>
  </w:num>
  <w:num w:numId="10" w16cid:durableId="1950770009">
    <w:abstractNumId w:val="1"/>
  </w:num>
  <w:num w:numId="11" w16cid:durableId="642732031">
    <w:abstractNumId w:val="1"/>
  </w:num>
  <w:num w:numId="12" w16cid:durableId="997657040">
    <w:abstractNumId w:val="1"/>
  </w:num>
  <w:num w:numId="13" w16cid:durableId="559680647">
    <w:abstractNumId w:val="1"/>
  </w:num>
  <w:num w:numId="14" w16cid:durableId="2113668196">
    <w:abstractNumId w:val="1"/>
  </w:num>
  <w:num w:numId="15" w16cid:durableId="321659367">
    <w:abstractNumId w:val="1"/>
  </w:num>
  <w:num w:numId="16" w16cid:durableId="424881283">
    <w:abstractNumId w:val="1"/>
  </w:num>
  <w:num w:numId="17" w16cid:durableId="76487176">
    <w:abstractNumId w:val="1"/>
  </w:num>
  <w:num w:numId="18" w16cid:durableId="1395273630">
    <w:abstractNumId w:val="1"/>
  </w:num>
  <w:num w:numId="19" w16cid:durableId="71247325">
    <w:abstractNumId w:val="1"/>
  </w:num>
  <w:num w:numId="20" w16cid:durableId="1731539186">
    <w:abstractNumId w:val="1"/>
  </w:num>
  <w:num w:numId="21" w16cid:durableId="1302999985">
    <w:abstractNumId w:val="1"/>
  </w:num>
  <w:num w:numId="22" w16cid:durableId="763263792">
    <w:abstractNumId w:val="1"/>
  </w:num>
  <w:num w:numId="23" w16cid:durableId="55401263">
    <w:abstractNumId w:val="1"/>
  </w:num>
  <w:num w:numId="24" w16cid:durableId="1686515138">
    <w:abstractNumId w:val="1"/>
  </w:num>
  <w:num w:numId="25" w16cid:durableId="2065907404">
    <w:abstractNumId w:val="1"/>
  </w:num>
  <w:num w:numId="26" w16cid:durableId="1222904466">
    <w:abstractNumId w:val="1"/>
  </w:num>
  <w:num w:numId="27" w16cid:durableId="187449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footnotePr>
    <w:footnote w:id="-1"/>
    <w:footnote w:id="0"/>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96"/>
    <w:rsid w:val="00001D2C"/>
    <w:rsid w:val="00025AB0"/>
    <w:rsid w:val="000457AF"/>
    <w:rsid w:val="00076202"/>
    <w:rsid w:val="00082722"/>
    <w:rsid w:val="000C1EC3"/>
    <w:rsid w:val="000D3250"/>
    <w:rsid w:val="000E5A90"/>
    <w:rsid w:val="00103AA6"/>
    <w:rsid w:val="00110BFD"/>
    <w:rsid w:val="0012273F"/>
    <w:rsid w:val="00140EAE"/>
    <w:rsid w:val="00140F76"/>
    <w:rsid w:val="0014145B"/>
    <w:rsid w:val="001521F5"/>
    <w:rsid w:val="00167C3E"/>
    <w:rsid w:val="00173FA9"/>
    <w:rsid w:val="00182F1D"/>
    <w:rsid w:val="00195F17"/>
    <w:rsid w:val="001A4D0A"/>
    <w:rsid w:val="001A6945"/>
    <w:rsid w:val="001A6E85"/>
    <w:rsid w:val="001D05BF"/>
    <w:rsid w:val="001E05F9"/>
    <w:rsid w:val="002040DD"/>
    <w:rsid w:val="00206C5E"/>
    <w:rsid w:val="00212ED9"/>
    <w:rsid w:val="00221E6F"/>
    <w:rsid w:val="0024550F"/>
    <w:rsid w:val="00252A24"/>
    <w:rsid w:val="0025625B"/>
    <w:rsid w:val="00260DAE"/>
    <w:rsid w:val="00267CF5"/>
    <w:rsid w:val="00284462"/>
    <w:rsid w:val="002915AD"/>
    <w:rsid w:val="00292FF2"/>
    <w:rsid w:val="002942A8"/>
    <w:rsid w:val="002B005A"/>
    <w:rsid w:val="002B4B13"/>
    <w:rsid w:val="003015FE"/>
    <w:rsid w:val="00301E09"/>
    <w:rsid w:val="003158D1"/>
    <w:rsid w:val="0034022F"/>
    <w:rsid w:val="003502BE"/>
    <w:rsid w:val="00352E02"/>
    <w:rsid w:val="00355E76"/>
    <w:rsid w:val="003671B6"/>
    <w:rsid w:val="00371950"/>
    <w:rsid w:val="00385567"/>
    <w:rsid w:val="003A5C71"/>
    <w:rsid w:val="003A5D3B"/>
    <w:rsid w:val="003C2FD0"/>
    <w:rsid w:val="003C52C4"/>
    <w:rsid w:val="003E1E1C"/>
    <w:rsid w:val="003E28D4"/>
    <w:rsid w:val="003F7A3E"/>
    <w:rsid w:val="00437CF1"/>
    <w:rsid w:val="00446A49"/>
    <w:rsid w:val="00453D28"/>
    <w:rsid w:val="004571DE"/>
    <w:rsid w:val="00463B01"/>
    <w:rsid w:val="0046602C"/>
    <w:rsid w:val="004908AF"/>
    <w:rsid w:val="00490FFC"/>
    <w:rsid w:val="004915E4"/>
    <w:rsid w:val="00495FFE"/>
    <w:rsid w:val="004A5F74"/>
    <w:rsid w:val="004A6F4E"/>
    <w:rsid w:val="004A7E92"/>
    <w:rsid w:val="004B45B2"/>
    <w:rsid w:val="004B5C20"/>
    <w:rsid w:val="004B606F"/>
    <w:rsid w:val="004C194D"/>
    <w:rsid w:val="004E0C50"/>
    <w:rsid w:val="004F29B2"/>
    <w:rsid w:val="005154B6"/>
    <w:rsid w:val="00517DF5"/>
    <w:rsid w:val="00525635"/>
    <w:rsid w:val="00527878"/>
    <w:rsid w:val="00531897"/>
    <w:rsid w:val="00550D42"/>
    <w:rsid w:val="005558D5"/>
    <w:rsid w:val="00556847"/>
    <w:rsid w:val="005670FC"/>
    <w:rsid w:val="00586BC4"/>
    <w:rsid w:val="00595A43"/>
    <w:rsid w:val="005B1C9C"/>
    <w:rsid w:val="005B56AB"/>
    <w:rsid w:val="00622FBF"/>
    <w:rsid w:val="00626C90"/>
    <w:rsid w:val="006369D6"/>
    <w:rsid w:val="00640FDD"/>
    <w:rsid w:val="00643446"/>
    <w:rsid w:val="0064609D"/>
    <w:rsid w:val="006600F9"/>
    <w:rsid w:val="006637A3"/>
    <w:rsid w:val="0066512A"/>
    <w:rsid w:val="00670367"/>
    <w:rsid w:val="00682213"/>
    <w:rsid w:val="0069519C"/>
    <w:rsid w:val="006A3DED"/>
    <w:rsid w:val="006A6F17"/>
    <w:rsid w:val="006B3C07"/>
    <w:rsid w:val="006B472A"/>
    <w:rsid w:val="006C1F87"/>
    <w:rsid w:val="006C4FB8"/>
    <w:rsid w:val="006D3BF1"/>
    <w:rsid w:val="006E2034"/>
    <w:rsid w:val="006E46DB"/>
    <w:rsid w:val="00715771"/>
    <w:rsid w:val="0072382A"/>
    <w:rsid w:val="00736A27"/>
    <w:rsid w:val="00743A56"/>
    <w:rsid w:val="00743E4F"/>
    <w:rsid w:val="007441F6"/>
    <w:rsid w:val="00745AA4"/>
    <w:rsid w:val="00775A0F"/>
    <w:rsid w:val="007A1C3E"/>
    <w:rsid w:val="007A22D9"/>
    <w:rsid w:val="007B424D"/>
    <w:rsid w:val="007C167D"/>
    <w:rsid w:val="007C7805"/>
    <w:rsid w:val="007D0B5D"/>
    <w:rsid w:val="007E0A9C"/>
    <w:rsid w:val="007F07B9"/>
    <w:rsid w:val="008059D7"/>
    <w:rsid w:val="0081173B"/>
    <w:rsid w:val="008147CB"/>
    <w:rsid w:val="00860853"/>
    <w:rsid w:val="0087494A"/>
    <w:rsid w:val="00877B16"/>
    <w:rsid w:val="008866A8"/>
    <w:rsid w:val="00892702"/>
    <w:rsid w:val="008A189E"/>
    <w:rsid w:val="008A28CC"/>
    <w:rsid w:val="008A3FB2"/>
    <w:rsid w:val="008B68F9"/>
    <w:rsid w:val="008D49D7"/>
    <w:rsid w:val="00902DE5"/>
    <w:rsid w:val="009036CA"/>
    <w:rsid w:val="009039A3"/>
    <w:rsid w:val="009069DB"/>
    <w:rsid w:val="00906CFA"/>
    <w:rsid w:val="00947EE4"/>
    <w:rsid w:val="00950484"/>
    <w:rsid w:val="00956FA7"/>
    <w:rsid w:val="009864F8"/>
    <w:rsid w:val="00987145"/>
    <w:rsid w:val="0099694C"/>
    <w:rsid w:val="0099708D"/>
    <w:rsid w:val="009C1DF3"/>
    <w:rsid w:val="009C31F3"/>
    <w:rsid w:val="009E435E"/>
    <w:rsid w:val="009F0533"/>
    <w:rsid w:val="009F628C"/>
    <w:rsid w:val="00A056EF"/>
    <w:rsid w:val="00A17465"/>
    <w:rsid w:val="00A2085D"/>
    <w:rsid w:val="00A2402B"/>
    <w:rsid w:val="00A41215"/>
    <w:rsid w:val="00A43DF2"/>
    <w:rsid w:val="00A64297"/>
    <w:rsid w:val="00A83EC5"/>
    <w:rsid w:val="00A97A04"/>
    <w:rsid w:val="00AA2D10"/>
    <w:rsid w:val="00AB4A58"/>
    <w:rsid w:val="00AC19E1"/>
    <w:rsid w:val="00AC5A88"/>
    <w:rsid w:val="00AE13B3"/>
    <w:rsid w:val="00AF2E1C"/>
    <w:rsid w:val="00B1096B"/>
    <w:rsid w:val="00B13785"/>
    <w:rsid w:val="00B14C96"/>
    <w:rsid w:val="00B547F2"/>
    <w:rsid w:val="00B66049"/>
    <w:rsid w:val="00B70425"/>
    <w:rsid w:val="00B76620"/>
    <w:rsid w:val="00B83467"/>
    <w:rsid w:val="00BA3569"/>
    <w:rsid w:val="00BB0EC7"/>
    <w:rsid w:val="00BB2939"/>
    <w:rsid w:val="00BD002D"/>
    <w:rsid w:val="00BD341C"/>
    <w:rsid w:val="00C11979"/>
    <w:rsid w:val="00C12702"/>
    <w:rsid w:val="00C50FFA"/>
    <w:rsid w:val="00C744B1"/>
    <w:rsid w:val="00C84260"/>
    <w:rsid w:val="00C85E3F"/>
    <w:rsid w:val="00C87A5F"/>
    <w:rsid w:val="00C91E4E"/>
    <w:rsid w:val="00C9659F"/>
    <w:rsid w:val="00CA3E77"/>
    <w:rsid w:val="00CC327F"/>
    <w:rsid w:val="00CD1732"/>
    <w:rsid w:val="00CE19BF"/>
    <w:rsid w:val="00CE3E97"/>
    <w:rsid w:val="00D14929"/>
    <w:rsid w:val="00D34D8D"/>
    <w:rsid w:val="00D464E3"/>
    <w:rsid w:val="00D62F87"/>
    <w:rsid w:val="00D66516"/>
    <w:rsid w:val="00D77A12"/>
    <w:rsid w:val="00DA4BC8"/>
    <w:rsid w:val="00DA75DC"/>
    <w:rsid w:val="00DB2499"/>
    <w:rsid w:val="00DB2687"/>
    <w:rsid w:val="00DB5AD8"/>
    <w:rsid w:val="00DD21FF"/>
    <w:rsid w:val="00DE2680"/>
    <w:rsid w:val="00DE7935"/>
    <w:rsid w:val="00E62193"/>
    <w:rsid w:val="00E66EAE"/>
    <w:rsid w:val="00E87B83"/>
    <w:rsid w:val="00E94F2D"/>
    <w:rsid w:val="00E954D6"/>
    <w:rsid w:val="00E97FC3"/>
    <w:rsid w:val="00EA26FE"/>
    <w:rsid w:val="00EB3E60"/>
    <w:rsid w:val="00EB5D4A"/>
    <w:rsid w:val="00EB6EF0"/>
    <w:rsid w:val="00ED6E15"/>
    <w:rsid w:val="00EE4670"/>
    <w:rsid w:val="00EE7DC5"/>
    <w:rsid w:val="00EF64F1"/>
    <w:rsid w:val="00F03098"/>
    <w:rsid w:val="00F06F5D"/>
    <w:rsid w:val="00F07659"/>
    <w:rsid w:val="00F16342"/>
    <w:rsid w:val="00F84CE4"/>
    <w:rsid w:val="00FA31FC"/>
    <w:rsid w:val="00FA3824"/>
    <w:rsid w:val="00FA3B0F"/>
    <w:rsid w:val="00FB204A"/>
    <w:rsid w:val="00FB2501"/>
    <w:rsid w:val="00FD5037"/>
    <w:rsid w:val="00FD5D1C"/>
    <w:rsid w:val="00FE100E"/>
    <w:rsid w:val="00FF5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7fbff"/>
    </o:shapedefaults>
    <o:shapelayout v:ext="edit">
      <o:idmap v:ext="edit" data="1"/>
    </o:shapelayout>
  </w:shapeDefaults>
  <w:decimalSymbol w:val="."/>
  <w:listSeparator w:val=","/>
  <w14:docId w14:val="4084CAF6"/>
  <w15:chartTrackingRefBased/>
  <w15:docId w15:val="{155E1849-E6C1-4132-83F8-5F6BA456E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42"/>
  </w:style>
  <w:style w:type="paragraph" w:styleId="Heading1">
    <w:name w:val="heading 1"/>
    <w:basedOn w:val="Normal"/>
    <w:next w:val="Normal"/>
    <w:link w:val="Heading1Char"/>
    <w:uiPriority w:val="9"/>
    <w:qFormat/>
    <w:rsid w:val="00F16342"/>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F16342"/>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F16342"/>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F16342"/>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F16342"/>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F16342"/>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F1634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16342"/>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F1634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342"/>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F16342"/>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F16342"/>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F16342"/>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F16342"/>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F16342"/>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F1634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16342"/>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F1634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F16342"/>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sz w:val="52"/>
      <w:szCs w:val="52"/>
    </w:rPr>
  </w:style>
  <w:style w:type="character" w:customStyle="1" w:styleId="TitleChar">
    <w:name w:val="Title Char"/>
    <w:basedOn w:val="DefaultParagraphFont"/>
    <w:link w:val="Title"/>
    <w:uiPriority w:val="10"/>
    <w:rsid w:val="00F16342"/>
    <w:rPr>
      <w:rFonts w:asciiTheme="majorHAnsi" w:eastAsiaTheme="majorEastAsia" w:hAnsiTheme="majorHAnsi" w:cstheme="majorBidi"/>
      <w:color w:val="0A1D30" w:themeColor="text2" w:themeShade="BF"/>
      <w:spacing w:val="5"/>
      <w:sz w:val="52"/>
      <w:szCs w:val="52"/>
    </w:rPr>
  </w:style>
  <w:style w:type="paragraph" w:styleId="Subtitle">
    <w:name w:val="Subtitle"/>
    <w:basedOn w:val="Normal"/>
    <w:next w:val="Normal"/>
    <w:link w:val="SubtitleChar"/>
    <w:uiPriority w:val="11"/>
    <w:qFormat/>
    <w:rsid w:val="00F16342"/>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F16342"/>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F16342"/>
    <w:rPr>
      <w:i/>
      <w:iCs/>
      <w:color w:val="000000" w:themeColor="text1"/>
    </w:rPr>
  </w:style>
  <w:style w:type="character" w:customStyle="1" w:styleId="QuoteChar">
    <w:name w:val="Quote Char"/>
    <w:basedOn w:val="DefaultParagraphFont"/>
    <w:link w:val="Quote"/>
    <w:uiPriority w:val="29"/>
    <w:rsid w:val="00F16342"/>
    <w:rPr>
      <w:i/>
      <w:iCs/>
      <w:color w:val="000000" w:themeColor="text1"/>
    </w:rPr>
  </w:style>
  <w:style w:type="paragraph" w:styleId="ListParagraph">
    <w:name w:val="List Paragraph"/>
    <w:basedOn w:val="Normal"/>
    <w:uiPriority w:val="34"/>
    <w:qFormat/>
    <w:rsid w:val="00B14C96"/>
    <w:pPr>
      <w:ind w:left="720"/>
      <w:contextualSpacing/>
    </w:pPr>
  </w:style>
  <w:style w:type="character" w:styleId="IntenseEmphasis">
    <w:name w:val="Intense Emphasis"/>
    <w:basedOn w:val="DefaultParagraphFont"/>
    <w:uiPriority w:val="21"/>
    <w:qFormat/>
    <w:rsid w:val="00F16342"/>
    <w:rPr>
      <w:b/>
      <w:bCs/>
      <w:i/>
      <w:iCs/>
      <w:color w:val="156082" w:themeColor="accent1"/>
    </w:rPr>
  </w:style>
  <w:style w:type="paragraph" w:styleId="IntenseQuote">
    <w:name w:val="Intense Quote"/>
    <w:basedOn w:val="Normal"/>
    <w:next w:val="Normal"/>
    <w:link w:val="IntenseQuoteChar"/>
    <w:uiPriority w:val="30"/>
    <w:qFormat/>
    <w:rsid w:val="00F16342"/>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F16342"/>
    <w:rPr>
      <w:b/>
      <w:bCs/>
      <w:i/>
      <w:iCs/>
      <w:color w:val="156082" w:themeColor="accent1"/>
    </w:rPr>
  </w:style>
  <w:style w:type="character" w:styleId="IntenseReference">
    <w:name w:val="Intense Reference"/>
    <w:basedOn w:val="DefaultParagraphFont"/>
    <w:uiPriority w:val="32"/>
    <w:qFormat/>
    <w:rsid w:val="00F16342"/>
    <w:rPr>
      <w:b/>
      <w:bCs/>
      <w:smallCaps/>
      <w:color w:val="E97132" w:themeColor="accent2"/>
      <w:spacing w:val="5"/>
      <w:u w:val="single"/>
    </w:rPr>
  </w:style>
  <w:style w:type="paragraph" w:styleId="TOCHeading">
    <w:name w:val="TOC Heading"/>
    <w:basedOn w:val="Heading1"/>
    <w:next w:val="Normal"/>
    <w:uiPriority w:val="39"/>
    <w:unhideWhenUsed/>
    <w:qFormat/>
    <w:rsid w:val="00F16342"/>
    <w:pPr>
      <w:outlineLvl w:val="9"/>
    </w:pPr>
  </w:style>
  <w:style w:type="paragraph" w:styleId="TOC1">
    <w:name w:val="toc 1"/>
    <w:basedOn w:val="Normal"/>
    <w:next w:val="Normal"/>
    <w:autoRedefine/>
    <w:uiPriority w:val="39"/>
    <w:unhideWhenUsed/>
    <w:rsid w:val="00173FA9"/>
    <w:pPr>
      <w:spacing w:after="100"/>
    </w:pPr>
  </w:style>
  <w:style w:type="paragraph" w:styleId="TOC2">
    <w:name w:val="toc 2"/>
    <w:basedOn w:val="Normal"/>
    <w:next w:val="Normal"/>
    <w:autoRedefine/>
    <w:uiPriority w:val="39"/>
    <w:unhideWhenUsed/>
    <w:rsid w:val="00173FA9"/>
    <w:pPr>
      <w:spacing w:after="100"/>
      <w:ind w:left="220"/>
    </w:pPr>
  </w:style>
  <w:style w:type="character" w:styleId="Hyperlink">
    <w:name w:val="Hyperlink"/>
    <w:basedOn w:val="DefaultParagraphFont"/>
    <w:uiPriority w:val="99"/>
    <w:unhideWhenUsed/>
    <w:rsid w:val="00173FA9"/>
    <w:rPr>
      <w:color w:val="467886" w:themeColor="hyperlink"/>
      <w:u w:val="single"/>
    </w:rPr>
  </w:style>
  <w:style w:type="paragraph" w:styleId="Header">
    <w:name w:val="header"/>
    <w:basedOn w:val="Normal"/>
    <w:link w:val="HeaderChar"/>
    <w:uiPriority w:val="99"/>
    <w:unhideWhenUsed/>
    <w:rsid w:val="00173F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FA9"/>
  </w:style>
  <w:style w:type="paragraph" w:styleId="Footer">
    <w:name w:val="footer"/>
    <w:basedOn w:val="Normal"/>
    <w:link w:val="FooterChar"/>
    <w:uiPriority w:val="99"/>
    <w:unhideWhenUsed/>
    <w:rsid w:val="00173F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FA9"/>
  </w:style>
  <w:style w:type="paragraph" w:styleId="NormalWeb">
    <w:name w:val="Normal (Web)"/>
    <w:basedOn w:val="Normal"/>
    <w:uiPriority w:val="99"/>
    <w:semiHidden/>
    <w:unhideWhenUsed/>
    <w:rsid w:val="00173FA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C12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36CA"/>
    <w:rPr>
      <w:color w:val="605E5C"/>
      <w:shd w:val="clear" w:color="auto" w:fill="E1DFDD"/>
    </w:rPr>
  </w:style>
  <w:style w:type="character" w:styleId="FollowedHyperlink">
    <w:name w:val="FollowedHyperlink"/>
    <w:basedOn w:val="DefaultParagraphFont"/>
    <w:uiPriority w:val="99"/>
    <w:semiHidden/>
    <w:unhideWhenUsed/>
    <w:rsid w:val="009036CA"/>
    <w:rPr>
      <w:color w:val="96607D" w:themeColor="followedHyperlink"/>
      <w:u w:val="single"/>
    </w:rPr>
  </w:style>
  <w:style w:type="paragraph" w:styleId="Caption">
    <w:name w:val="caption"/>
    <w:basedOn w:val="Normal"/>
    <w:next w:val="Normal"/>
    <w:uiPriority w:val="35"/>
    <w:semiHidden/>
    <w:unhideWhenUsed/>
    <w:qFormat/>
    <w:rsid w:val="00F16342"/>
    <w:pPr>
      <w:spacing w:line="240" w:lineRule="auto"/>
    </w:pPr>
    <w:rPr>
      <w:b/>
      <w:bCs/>
      <w:color w:val="156082" w:themeColor="accent1"/>
      <w:sz w:val="18"/>
      <w:szCs w:val="18"/>
    </w:rPr>
  </w:style>
  <w:style w:type="character" w:styleId="Strong">
    <w:name w:val="Strong"/>
    <w:basedOn w:val="DefaultParagraphFont"/>
    <w:uiPriority w:val="22"/>
    <w:qFormat/>
    <w:rsid w:val="00F16342"/>
    <w:rPr>
      <w:b/>
      <w:bCs/>
    </w:rPr>
  </w:style>
  <w:style w:type="character" w:styleId="Emphasis">
    <w:name w:val="Emphasis"/>
    <w:basedOn w:val="DefaultParagraphFont"/>
    <w:uiPriority w:val="20"/>
    <w:qFormat/>
    <w:rsid w:val="00F16342"/>
    <w:rPr>
      <w:i/>
      <w:iCs/>
    </w:rPr>
  </w:style>
  <w:style w:type="paragraph" w:styleId="NoSpacing">
    <w:name w:val="No Spacing"/>
    <w:link w:val="NoSpacingChar"/>
    <w:uiPriority w:val="1"/>
    <w:qFormat/>
    <w:rsid w:val="00F16342"/>
    <w:pPr>
      <w:spacing w:after="0" w:line="240" w:lineRule="auto"/>
    </w:pPr>
  </w:style>
  <w:style w:type="character" w:styleId="SubtleEmphasis">
    <w:name w:val="Subtle Emphasis"/>
    <w:basedOn w:val="DefaultParagraphFont"/>
    <w:uiPriority w:val="19"/>
    <w:qFormat/>
    <w:rsid w:val="00F16342"/>
    <w:rPr>
      <w:i/>
      <w:iCs/>
      <w:color w:val="808080" w:themeColor="text1" w:themeTint="7F"/>
    </w:rPr>
  </w:style>
  <w:style w:type="character" w:styleId="SubtleReference">
    <w:name w:val="Subtle Reference"/>
    <w:basedOn w:val="DefaultParagraphFont"/>
    <w:uiPriority w:val="31"/>
    <w:qFormat/>
    <w:rsid w:val="00F16342"/>
    <w:rPr>
      <w:smallCaps/>
      <w:color w:val="E97132" w:themeColor="accent2"/>
      <w:u w:val="single"/>
    </w:rPr>
  </w:style>
  <w:style w:type="character" w:styleId="BookTitle">
    <w:name w:val="Book Title"/>
    <w:basedOn w:val="DefaultParagraphFont"/>
    <w:uiPriority w:val="33"/>
    <w:qFormat/>
    <w:rsid w:val="00F16342"/>
    <w:rPr>
      <w:b/>
      <w:bCs/>
      <w:smallCaps/>
      <w:spacing w:val="5"/>
    </w:rPr>
  </w:style>
  <w:style w:type="character" w:customStyle="1" w:styleId="NoSpacingChar">
    <w:name w:val="No Spacing Char"/>
    <w:basedOn w:val="DefaultParagraphFont"/>
    <w:link w:val="NoSpacing"/>
    <w:uiPriority w:val="1"/>
    <w:rsid w:val="00141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microsoft.com/office/2014/relationships/chartEx" Target="charts/chartEx1.xml"/><Relationship Id="rId26" Type="http://schemas.openxmlformats.org/officeDocument/2006/relationships/hyperlink" Target="https://www.england.nhs.uk/" TargetMode="External"/><Relationship Id="rId3" Type="http://schemas.openxmlformats.org/officeDocument/2006/relationships/numbering" Target="numbering.xml"/><Relationship Id="rId21" Type="http://schemas.openxmlformats.org/officeDocument/2006/relationships/hyperlink" Target="https://www.hee.nhs.uk/our-work/data-information-governance" TargetMode="Externa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hyperlink" Target="https://learn.microsoft.com/en-us/fabric/data-warehouse/dimensional-modeling-overview" TargetMode="Externa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hyperlink" Target="https://aws.amazon.com/data-warehouse/" TargetMode="External"/><Relationship Id="rId29" Type="http://schemas.openxmlformats.org/officeDocument/2006/relationships/hyperlink" Target="https://datagovernance.com/the-dgi-data-governance-framewor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24" Type="http://schemas.openxmlformats.org/officeDocument/2006/relationships/hyperlink" Target="https://learn.microsoft.com/en-us/azure/architecture/data-guide/relational-data/data-warehousing" TargetMode="External"/><Relationship Id="rId32" Type="http://schemas.openxmlformats.org/officeDocument/2006/relationships/theme" Target="theme/theme1.xml"/><Relationship Id="rId5" Type="http://schemas.openxmlformats.org/officeDocument/2006/relationships/image" Target="media/image1.gif"/><Relationship Id="rId15" Type="http://schemas.openxmlformats.org/officeDocument/2006/relationships/image" Target="media/image4.png"/><Relationship Id="rId23" Type="http://schemas.openxmlformats.org/officeDocument/2006/relationships/hyperlink" Target="https://www.informatica.com/resources/articles/what-is-etl.html" TargetMode="External"/><Relationship Id="rId28" Type="http://schemas.openxmlformats.org/officeDocument/2006/relationships/hyperlink" Target="https://www.talend.com/resources/what-is-etl/" TargetMode="External"/><Relationship Id="rId10" Type="http://schemas.openxmlformats.org/officeDocument/2006/relationships/image" Target="media/image2.png"/><Relationship Id="rId19" Type="http://schemas.openxmlformats.org/officeDocument/2006/relationships/image" Target="media/image5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hyperlink" Target="https://www.ibm.com/topics/data-warehouse" TargetMode="External"/><Relationship Id="rId27" Type="http://schemas.openxmlformats.org/officeDocument/2006/relationships/hyperlink" Target="https://docs.oracle.com/en/database/oracle/oracle-database/19/dwhsg/index.html"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5765539092349268"/>
          <c:y val="3.6004737212726463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Distribution of NHS England Data Mart Usage</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1E8D-4038-8658-F67409AB9966}"/>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1E8D-4038-8658-F67409AB9966}"/>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1E8D-4038-8658-F67409AB996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Sheet1!$A$2:$A$4</c:f>
              <c:strCache>
                <c:ptCount val="3"/>
                <c:pt idx="0">
                  <c:v>Clinical Data Mart</c:v>
                </c:pt>
                <c:pt idx="1">
                  <c:v>Financial Data Mart</c:v>
                </c:pt>
                <c:pt idx="2">
                  <c:v>Workforce Data Mart</c:v>
                </c:pt>
              </c:strCache>
            </c:strRef>
          </c:cat>
          <c:val>
            <c:numRef>
              <c:f>Sheet1!$B$2:$B$4</c:f>
              <c:numCache>
                <c:formatCode>General</c:formatCode>
                <c:ptCount val="3"/>
                <c:pt idx="0">
                  <c:v>45</c:v>
                </c:pt>
                <c:pt idx="1">
                  <c:v>30</c:v>
                </c:pt>
                <c:pt idx="2">
                  <c:v>25</c:v>
                </c:pt>
              </c:numCache>
            </c:numRef>
          </c:val>
          <c:extLst>
            <c:ext xmlns:c16="http://schemas.microsoft.com/office/drawing/2014/chart" uri="{C3380CC4-5D6E-409C-BE32-E72D297353CC}">
              <c16:uniqueId val="{00000006-1E8D-4038-8658-F67409AB996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Estimated NHS Source System Records (Millions)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391914552347627E-2"/>
          <c:y val="0.18716285464316959"/>
          <c:w val="0.88714512248468946"/>
          <c:h val="0.57982408448943878"/>
        </c:manualLayout>
      </c:layout>
      <c:barChart>
        <c:barDir val="col"/>
        <c:grouping val="clustered"/>
        <c:varyColors val="0"/>
        <c:ser>
          <c:idx val="0"/>
          <c:order val="0"/>
          <c:tx>
            <c:strRef>
              <c:f>Sheet1!$B$1</c:f>
              <c:strCache>
                <c:ptCount val="1"/>
                <c:pt idx="0">
                  <c:v>Estimated Records Managed by NHS Source Systems (Millions)</c:v>
                </c:pt>
              </c:strCache>
            </c:strRef>
          </c:tx>
          <c:spPr>
            <a:solidFill>
              <a:schemeClr val="accent1"/>
            </a:solidFill>
            <a:ln>
              <a:noFill/>
            </a:ln>
            <a:effectLst/>
          </c:spPr>
          <c:invertIfNegative val="0"/>
          <c:dPt>
            <c:idx val="1"/>
            <c:invertIfNegative val="0"/>
            <c:bubble3D val="0"/>
            <c:spPr>
              <a:solidFill>
                <a:srgbClr val="00B050"/>
              </a:solidFill>
              <a:ln>
                <a:noFill/>
              </a:ln>
              <a:effectLst/>
            </c:spPr>
            <c:extLst>
              <c:ext xmlns:c16="http://schemas.microsoft.com/office/drawing/2014/chart" uri="{C3380CC4-5D6E-409C-BE32-E72D297353CC}">
                <c16:uniqueId val="{00000000-DD5B-43EB-94EF-06A9368BFB7A}"/>
              </c:ext>
            </c:extLst>
          </c:dPt>
          <c:dPt>
            <c:idx val="2"/>
            <c:invertIfNegative val="0"/>
            <c:bubble3D val="0"/>
            <c:spPr>
              <a:solidFill>
                <a:srgbClr val="00B0F0"/>
              </a:solidFill>
              <a:ln>
                <a:noFill/>
              </a:ln>
              <a:effectLst/>
            </c:spPr>
            <c:extLst>
              <c:ext xmlns:c16="http://schemas.microsoft.com/office/drawing/2014/chart" uri="{C3380CC4-5D6E-409C-BE32-E72D297353CC}">
                <c16:uniqueId val="{00000001-DD5B-43EB-94EF-06A9368BFB7A}"/>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2-DD5B-43EB-94EF-06A9368BFB7A}"/>
              </c:ext>
            </c:extLst>
          </c:dPt>
          <c:dPt>
            <c:idx val="4"/>
            <c:invertIfNegative val="0"/>
            <c:bubble3D val="0"/>
            <c:spPr>
              <a:solidFill>
                <a:srgbClr val="002060"/>
              </a:solidFill>
              <a:ln>
                <a:noFill/>
              </a:ln>
              <a:effectLst/>
            </c:spPr>
            <c:extLst>
              <c:ext xmlns:c16="http://schemas.microsoft.com/office/drawing/2014/chart" uri="{C3380CC4-5D6E-409C-BE32-E72D297353CC}">
                <c16:uniqueId val="{00000003-DD5B-43EB-94EF-06A9368BFB7A}"/>
              </c:ext>
            </c:extLst>
          </c:dPt>
          <c:cat>
            <c:strRef>
              <c:f>Sheet1!$A$2:$A$6</c:f>
              <c:strCache>
                <c:ptCount val="5"/>
                <c:pt idx="1">
                  <c:v>Electronic Patient Record (EPR)</c:v>
                </c:pt>
                <c:pt idx="2">
                  <c:v>Patient Administration System (PAS)</c:v>
                </c:pt>
                <c:pt idx="3">
                  <c:v>Workforce Management</c:v>
                </c:pt>
                <c:pt idx="4">
                  <c:v>Financial Management</c:v>
                </c:pt>
              </c:strCache>
            </c:strRef>
          </c:cat>
          <c:val>
            <c:numRef>
              <c:f>Sheet1!$B$2:$B$6</c:f>
              <c:numCache>
                <c:formatCode>General</c:formatCode>
                <c:ptCount val="5"/>
                <c:pt idx="0">
                  <c:v>0</c:v>
                </c:pt>
                <c:pt idx="1">
                  <c:v>50</c:v>
                </c:pt>
                <c:pt idx="2">
                  <c:v>40</c:v>
                </c:pt>
                <c:pt idx="3">
                  <c:v>20</c:v>
                </c:pt>
                <c:pt idx="4">
                  <c:v>15</c:v>
                </c:pt>
              </c:numCache>
            </c:numRef>
          </c:val>
          <c:extLst>
            <c:ext xmlns:c16="http://schemas.microsoft.com/office/drawing/2014/chart" uri="{C3380CC4-5D6E-409C-BE32-E72D297353CC}">
              <c16:uniqueId val="{00000000-2572-4E37-904C-BFB4927C0BEB}"/>
            </c:ext>
          </c:extLst>
        </c:ser>
        <c:dLbls>
          <c:showLegendKey val="0"/>
          <c:showVal val="0"/>
          <c:showCatName val="0"/>
          <c:showSerName val="0"/>
          <c:showPercent val="0"/>
          <c:showBubbleSize val="0"/>
        </c:dLbls>
        <c:gapWidth val="219"/>
        <c:overlap val="-27"/>
        <c:axId val="760047456"/>
        <c:axId val="760046736"/>
      </c:barChart>
      <c:catAx>
        <c:axId val="760047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046736"/>
        <c:crosses val="autoZero"/>
        <c:auto val="1"/>
        <c:lblAlgn val="ctr"/>
        <c:lblOffset val="100"/>
        <c:noMultiLvlLbl val="0"/>
      </c:catAx>
      <c:valAx>
        <c:axId val="760046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0474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Estimated Data Mart Processing Time (Minutes)</c:v>
                </c:pt>
              </c:strCache>
            </c:strRef>
          </c:tx>
          <c:spPr>
            <a:solidFill>
              <a:schemeClr val="accent1"/>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2-25B9-4B0E-B9C1-095161331155}"/>
              </c:ext>
            </c:extLst>
          </c:dPt>
          <c:dPt>
            <c:idx val="1"/>
            <c:invertIfNegative val="0"/>
            <c:bubble3D val="0"/>
            <c:spPr>
              <a:solidFill>
                <a:srgbClr val="002060"/>
              </a:solidFill>
              <a:ln>
                <a:noFill/>
              </a:ln>
              <a:effectLst/>
            </c:spPr>
            <c:extLst>
              <c:ext xmlns:c16="http://schemas.microsoft.com/office/drawing/2014/chart" uri="{C3380CC4-5D6E-409C-BE32-E72D297353CC}">
                <c16:uniqueId val="{00000001-25B9-4B0E-B9C1-095161331155}"/>
              </c:ext>
            </c:extLst>
          </c:dPt>
          <c:dPt>
            <c:idx val="2"/>
            <c:invertIfNegative val="0"/>
            <c:bubble3D val="0"/>
            <c:spPr>
              <a:solidFill>
                <a:srgbClr val="7030A0"/>
              </a:solidFill>
              <a:ln>
                <a:noFill/>
              </a:ln>
              <a:effectLst/>
            </c:spPr>
            <c:extLst>
              <c:ext xmlns:c16="http://schemas.microsoft.com/office/drawing/2014/chart" uri="{C3380CC4-5D6E-409C-BE32-E72D297353CC}">
                <c16:uniqueId val="{00000000-25B9-4B0E-B9C1-095161331155}"/>
              </c:ext>
            </c:extLst>
          </c:dPt>
          <c:cat>
            <c:strRef>
              <c:f>Sheet1!$A$2:$A$4</c:f>
              <c:strCache>
                <c:ptCount val="3"/>
                <c:pt idx="0">
                  <c:v>Clinical Data Mart</c:v>
                </c:pt>
                <c:pt idx="1">
                  <c:v>Financial Data Mart</c:v>
                </c:pt>
                <c:pt idx="2">
                  <c:v>Workforce Data Mart</c:v>
                </c:pt>
              </c:strCache>
            </c:strRef>
          </c:cat>
          <c:val>
            <c:numRef>
              <c:f>Sheet1!$B$2:$B$4</c:f>
              <c:numCache>
                <c:formatCode>General</c:formatCode>
                <c:ptCount val="3"/>
                <c:pt idx="0">
                  <c:v>95</c:v>
                </c:pt>
                <c:pt idx="1">
                  <c:v>70</c:v>
                </c:pt>
                <c:pt idx="2">
                  <c:v>50</c:v>
                </c:pt>
              </c:numCache>
            </c:numRef>
          </c:val>
          <c:extLst>
            <c:ext xmlns:c16="http://schemas.microsoft.com/office/drawing/2014/chart" uri="{C3380CC4-5D6E-409C-BE32-E72D297353CC}">
              <c16:uniqueId val="{00000000-7544-423A-8B20-44D7B49B8E8B}"/>
            </c:ext>
          </c:extLst>
        </c:ser>
        <c:dLbls>
          <c:showLegendKey val="0"/>
          <c:showVal val="0"/>
          <c:showCatName val="0"/>
          <c:showSerName val="0"/>
          <c:showPercent val="0"/>
          <c:showBubbleSize val="0"/>
        </c:dLbls>
        <c:gapWidth val="150"/>
        <c:overlap val="100"/>
        <c:axId val="761970792"/>
        <c:axId val="761971152"/>
      </c:barChart>
      <c:catAx>
        <c:axId val="761970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971152"/>
        <c:crosses val="autoZero"/>
        <c:auto val="1"/>
        <c:lblAlgn val="ctr"/>
        <c:lblOffset val="100"/>
        <c:noMultiLvlLbl val="0"/>
      </c:catAx>
      <c:valAx>
        <c:axId val="761971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9707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Performance Comparison of NHS Data Marts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radarChart>
        <c:radarStyle val="marker"/>
        <c:varyColors val="0"/>
        <c:ser>
          <c:idx val="0"/>
          <c:order val="0"/>
          <c:tx>
            <c:strRef>
              <c:f>Sheet1!$B$1</c:f>
              <c:strCache>
                <c:ptCount val="1"/>
                <c:pt idx="0">
                  <c:v>Clinical Data Mart</c:v>
                </c:pt>
              </c:strCache>
            </c:strRef>
          </c:tx>
          <c:spPr>
            <a:ln w="31750" cap="rnd">
              <a:solidFill>
                <a:schemeClr val="accent1"/>
              </a:solidFill>
              <a:round/>
            </a:ln>
            <a:effectLst>
              <a:outerShdw blurRad="40000" dist="23000" dir="5400000" rotWithShape="0">
                <a:srgbClr val="000000">
                  <a:alpha val="35000"/>
                </a:srgbClr>
              </a:outerShdw>
            </a:effectLst>
          </c:spPr>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12700">
                <a:solidFill>
                  <a:schemeClr val="lt2"/>
                </a:solidFill>
                <a:round/>
              </a:ln>
              <a:effectLst>
                <a:outerShdw blurRad="40000" dist="23000" dir="5400000" rotWithShape="0">
                  <a:srgbClr val="000000">
                    <a:alpha val="35000"/>
                  </a:srgbClr>
                </a:outerShdw>
              </a:effectLst>
            </c:spPr>
          </c:marker>
          <c:cat>
            <c:strRef>
              <c:f>Sheet1!$A$2:$A$6</c:f>
              <c:strCache>
                <c:ptCount val="5"/>
                <c:pt idx="0">
                  <c:v>Data Volume</c:v>
                </c:pt>
                <c:pt idx="1">
                  <c:v>Query Frequency</c:v>
                </c:pt>
                <c:pt idx="2">
                  <c:v>Update Frequency</c:v>
                </c:pt>
                <c:pt idx="3">
                  <c:v>Reporting Need</c:v>
                </c:pt>
                <c:pt idx="4">
                  <c:v>Decision Impact</c:v>
                </c:pt>
              </c:strCache>
            </c:strRef>
          </c:cat>
          <c:val>
            <c:numRef>
              <c:f>Sheet1!$B$2:$B$6</c:f>
              <c:numCache>
                <c:formatCode>General</c:formatCode>
                <c:ptCount val="5"/>
                <c:pt idx="0">
                  <c:v>95</c:v>
                </c:pt>
                <c:pt idx="1">
                  <c:v>90</c:v>
                </c:pt>
                <c:pt idx="2">
                  <c:v>80</c:v>
                </c:pt>
                <c:pt idx="3">
                  <c:v>95</c:v>
                </c:pt>
                <c:pt idx="4">
                  <c:v>100</c:v>
                </c:pt>
              </c:numCache>
            </c:numRef>
          </c:val>
          <c:extLst>
            <c:ext xmlns:c16="http://schemas.microsoft.com/office/drawing/2014/chart" uri="{C3380CC4-5D6E-409C-BE32-E72D297353CC}">
              <c16:uniqueId val="{00000000-2253-40EA-BF60-2B01B41D70ED}"/>
            </c:ext>
          </c:extLst>
        </c:ser>
        <c:ser>
          <c:idx val="1"/>
          <c:order val="1"/>
          <c:tx>
            <c:strRef>
              <c:f>Sheet1!$C$1</c:f>
              <c:strCache>
                <c:ptCount val="1"/>
                <c:pt idx="0">
                  <c:v>Financial Data Mart</c:v>
                </c:pt>
              </c:strCache>
            </c:strRef>
          </c:tx>
          <c:spPr>
            <a:ln w="31750" cap="rnd">
              <a:solidFill>
                <a:schemeClr val="accent2"/>
              </a:solidFill>
              <a:round/>
            </a:ln>
            <a:effectLst>
              <a:outerShdw blurRad="40000" dist="23000" dir="5400000" rotWithShape="0">
                <a:srgbClr val="000000">
                  <a:alpha val="35000"/>
                </a:srgbClr>
              </a:outerShdw>
            </a:effectLst>
          </c:spPr>
          <c:marker>
            <c:symbol val="circle"/>
            <c:size val="6"/>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12700">
                <a:solidFill>
                  <a:schemeClr val="lt2"/>
                </a:solidFill>
                <a:round/>
              </a:ln>
              <a:effectLst>
                <a:outerShdw blurRad="40000" dist="23000" dir="5400000" rotWithShape="0">
                  <a:srgbClr val="000000">
                    <a:alpha val="35000"/>
                  </a:srgbClr>
                </a:outerShdw>
              </a:effectLst>
            </c:spPr>
          </c:marker>
          <c:cat>
            <c:strRef>
              <c:f>Sheet1!$A$2:$A$6</c:f>
              <c:strCache>
                <c:ptCount val="5"/>
                <c:pt idx="0">
                  <c:v>Data Volume</c:v>
                </c:pt>
                <c:pt idx="1">
                  <c:v>Query Frequency</c:v>
                </c:pt>
                <c:pt idx="2">
                  <c:v>Update Frequency</c:v>
                </c:pt>
                <c:pt idx="3">
                  <c:v>Reporting Need</c:v>
                </c:pt>
                <c:pt idx="4">
                  <c:v>Decision Impact</c:v>
                </c:pt>
              </c:strCache>
            </c:strRef>
          </c:cat>
          <c:val>
            <c:numRef>
              <c:f>Sheet1!$C$2:$C$6</c:f>
              <c:numCache>
                <c:formatCode>General</c:formatCode>
                <c:ptCount val="5"/>
                <c:pt idx="0">
                  <c:v>65</c:v>
                </c:pt>
                <c:pt idx="1">
                  <c:v>60</c:v>
                </c:pt>
                <c:pt idx="2">
                  <c:v>55</c:v>
                </c:pt>
                <c:pt idx="3">
                  <c:v>85</c:v>
                </c:pt>
                <c:pt idx="4">
                  <c:v>75</c:v>
                </c:pt>
              </c:numCache>
            </c:numRef>
          </c:val>
          <c:extLst>
            <c:ext xmlns:c16="http://schemas.microsoft.com/office/drawing/2014/chart" uri="{C3380CC4-5D6E-409C-BE32-E72D297353CC}">
              <c16:uniqueId val="{00000001-2253-40EA-BF60-2B01B41D70ED}"/>
            </c:ext>
          </c:extLst>
        </c:ser>
        <c:ser>
          <c:idx val="2"/>
          <c:order val="2"/>
          <c:tx>
            <c:strRef>
              <c:f>Sheet1!$D$1</c:f>
              <c:strCache>
                <c:ptCount val="1"/>
                <c:pt idx="0">
                  <c:v>Workforce Data Mart</c:v>
                </c:pt>
              </c:strCache>
            </c:strRef>
          </c:tx>
          <c:spPr>
            <a:ln w="31750" cap="rnd">
              <a:solidFill>
                <a:schemeClr val="accent3"/>
              </a:solidFill>
              <a:round/>
            </a:ln>
            <a:effectLst>
              <a:outerShdw blurRad="40000" dist="23000" dir="5400000" rotWithShape="0">
                <a:srgbClr val="000000">
                  <a:alpha val="35000"/>
                </a:srgbClr>
              </a:outerShdw>
            </a:effectLst>
          </c:spPr>
          <c:marker>
            <c:symbol val="circle"/>
            <c:size val="6"/>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12700">
                <a:solidFill>
                  <a:schemeClr val="lt2"/>
                </a:solidFill>
                <a:round/>
              </a:ln>
              <a:effectLst>
                <a:outerShdw blurRad="40000" dist="23000" dir="5400000" rotWithShape="0">
                  <a:srgbClr val="000000">
                    <a:alpha val="35000"/>
                  </a:srgbClr>
                </a:outerShdw>
              </a:effectLst>
            </c:spPr>
          </c:marker>
          <c:cat>
            <c:strRef>
              <c:f>Sheet1!$A$2:$A$6</c:f>
              <c:strCache>
                <c:ptCount val="5"/>
                <c:pt idx="0">
                  <c:v>Data Volume</c:v>
                </c:pt>
                <c:pt idx="1">
                  <c:v>Query Frequency</c:v>
                </c:pt>
                <c:pt idx="2">
                  <c:v>Update Frequency</c:v>
                </c:pt>
                <c:pt idx="3">
                  <c:v>Reporting Need</c:v>
                </c:pt>
                <c:pt idx="4">
                  <c:v>Decision Impact</c:v>
                </c:pt>
              </c:strCache>
            </c:strRef>
          </c:cat>
          <c:val>
            <c:numRef>
              <c:f>Sheet1!$D$2:$D$6</c:f>
              <c:numCache>
                <c:formatCode>General</c:formatCode>
                <c:ptCount val="5"/>
                <c:pt idx="0">
                  <c:v>45</c:v>
                </c:pt>
                <c:pt idx="1">
                  <c:v>50</c:v>
                </c:pt>
                <c:pt idx="2">
                  <c:v>75</c:v>
                </c:pt>
                <c:pt idx="3">
                  <c:v>60</c:v>
                </c:pt>
                <c:pt idx="4">
                  <c:v>70</c:v>
                </c:pt>
              </c:numCache>
            </c:numRef>
          </c:val>
          <c:extLst>
            <c:ext xmlns:c16="http://schemas.microsoft.com/office/drawing/2014/chart" uri="{C3380CC4-5D6E-409C-BE32-E72D297353CC}">
              <c16:uniqueId val="{00000002-2253-40EA-BF60-2B01B41D70ED}"/>
            </c:ext>
          </c:extLst>
        </c:ser>
        <c:dLbls>
          <c:showLegendKey val="0"/>
          <c:showVal val="0"/>
          <c:showCatName val="0"/>
          <c:showSerName val="0"/>
          <c:showPercent val="0"/>
          <c:showBubbleSize val="0"/>
        </c:dLbls>
        <c:axId val="400488448"/>
        <c:axId val="400485928"/>
      </c:radarChart>
      <c:catAx>
        <c:axId val="40048844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0485928"/>
        <c:crosses val="autoZero"/>
        <c:auto val="1"/>
        <c:lblAlgn val="ctr"/>
        <c:lblOffset val="100"/>
        <c:noMultiLvlLbl val="0"/>
      </c:catAx>
      <c:valAx>
        <c:axId val="4004859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0048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Sheet1!$A$2:$C$12</cx:f>
        <cx:lvl ptCount="11">
          <cx:pt idx="0">Admissions</cx:pt>
          <cx:pt idx="1">Diagnosis</cx:pt>
          <cx:pt idx="2">Treatments</cx:pt>
          <cx:pt idx="3">Laboratory Results</cx:pt>
          <cx:pt idx="4">Budget Management</cx:pt>
          <cx:pt idx="5">Revenue</cx:pt>
          <cx:pt idx="6">Cost Analysis</cx:pt>
          <cx:pt idx="7">Staff Records</cx:pt>
          <cx:pt idx="8">Attendance</cx:pt>
          <cx:pt idx="9">Shift Scheduling</cx:pt>
          <cx:pt idx="10">Performance Monitoring</cx:pt>
        </cx:lvl>
        <cx:lvl ptCount="11">
          <cx:pt idx="0">Clinical Data Mart</cx:pt>
          <cx:pt idx="1">Clinical Data Mart</cx:pt>
          <cx:pt idx="2">Clinical Data Mart</cx:pt>
          <cx:pt idx="3">Clinical Data Mart</cx:pt>
          <cx:pt idx="4">Financial Data Mart</cx:pt>
          <cx:pt idx="5">Financial Data Mart</cx:pt>
          <cx:pt idx="6">Financial Data Mart</cx:pt>
          <cx:pt idx="7">Workforce Data Mart</cx:pt>
          <cx:pt idx="8">Workforce Data Mart</cx:pt>
          <cx:pt idx="9">Workforce Data Mart</cx:pt>
          <cx:pt idx="10">Workforce Data Mart</cx:pt>
        </cx:lvl>
        <cx:lvl ptCount="11">
          <cx:pt idx="0">NHS Enterprise Data Warehouse</cx:pt>
          <cx:pt idx="1">NHS Enterprise Data Warehouse</cx:pt>
          <cx:pt idx="2">NHS Enterprise Data Warehouse</cx:pt>
          <cx:pt idx="3">NHS Enterprise Data Warehouse</cx:pt>
          <cx:pt idx="4">NHS Enterprise Data Warehouse</cx:pt>
          <cx:pt idx="5">NHS Enterprise Data Warehouse</cx:pt>
          <cx:pt idx="6">NHS Enterprise Data Warehouse</cx:pt>
          <cx:pt idx="7">NHS Enterprise Data Warehouse</cx:pt>
          <cx:pt idx="8">NHS Enterprise Data Warehouse</cx:pt>
          <cx:pt idx="9">NHS Enterprise Data Warehouse</cx:pt>
          <cx:pt idx="10">NHS Enterprise Data Warehouse</cx:pt>
        </cx:lvl>
      </cx:strDim>
      <cx:numDim type="size">
        <cx:f>Sheet1!$D$2:$D$12</cx:f>
        <cx:lvl ptCount="11" formatCode="General">
          <cx:pt idx="0">30</cx:pt>
          <cx:pt idx="1">25</cx:pt>
          <cx:pt idx="2">20</cx:pt>
          <cx:pt idx="3">20</cx:pt>
          <cx:pt idx="4">18</cx:pt>
          <cx:pt idx="5">15</cx:pt>
          <cx:pt idx="6">22</cx:pt>
          <cx:pt idx="7">16</cx:pt>
          <cx:pt idx="8">14</cx:pt>
          <cx:pt idx="9">12</cx:pt>
          <cx:pt idx="10">18</cx:pt>
        </cx:lvl>
      </cx:numDim>
    </cx:data>
  </cx:chartData>
  <cx:chart>
    <cx:title pos="t" align="ctr" overlay="0">
      <cx:tx>
        <cx:rich>
          <a:bodyPr spcFirstLastPara="1" vertOverflow="ellipsis" horzOverflow="overflow" wrap="square" lIns="0" tIns="0" rIns="0" bIns="0" anchor="ctr" anchorCtr="1"/>
          <a:lstStyle/>
          <a:p>
            <a:pPr algn="ctr" rtl="0">
              <a:defRPr/>
            </a:pPr>
            <a:r>
              <a:rPr lang="en-US"/>
              <a:t>NHS Data Warehouse Information Hierarchy</a:t>
            </a:r>
            <a:endParaRPr lang="en-US" sz="1400" b="0" i="0" u="none" strike="noStrike" baseline="0">
              <a:solidFill>
                <a:sysClr val="windowText" lastClr="000000">
                  <a:lumMod val="65000"/>
                  <a:lumOff val="35000"/>
                </a:sysClr>
              </a:solidFill>
              <a:latin typeface="Trebuchet MS" panose="020B0603020202020204"/>
            </a:endParaRPr>
          </a:p>
        </cx:rich>
      </cx:tx>
    </cx:title>
    <cx:plotArea>
      <cx:plotAreaRegion>
        <cx:series layoutId="treemap" uniqueId="{48BDE4A3-E5F3-4923-B635-F908A85291C6}">
          <cx:tx>
            <cx:txData>
              <cx:f>Sheet1!$D$1</cx:f>
              <cx:v>Column D</cx:v>
            </cx:txData>
          </cx:tx>
          <cx:dataPt idx="7">
            <cx:spPr>
              <a:solidFill>
                <a:srgbClr val="E97132"/>
              </a:solidFill>
            </cx:spPr>
          </cx:dataPt>
          <cx:dataPt idx="8">
            <cx:spPr>
              <a:solidFill>
                <a:srgbClr val="E97132"/>
              </a:solidFill>
            </cx:spPr>
          </cx:dataPt>
          <cx:dataPt idx="9">
            <cx:spPr>
              <a:solidFill>
                <a:srgbClr val="E97132"/>
              </a:solidFill>
            </cx:spPr>
          </cx:dataPt>
          <cx:dataPt idx="11">
            <cx:spPr>
              <a:solidFill>
                <a:srgbClr val="00B050"/>
              </a:solidFill>
            </cx:spPr>
          </cx:dataPt>
          <cx:dataPt idx="12">
            <cx:spPr>
              <a:solidFill>
                <a:srgbClr val="00B050"/>
              </a:solidFill>
            </cx:spPr>
          </cx:dataPt>
          <cx:dataPt idx="13">
            <cx:spPr>
              <a:solidFill>
                <a:srgbClr val="00B050"/>
              </a:solidFill>
            </cx:spPr>
          </cx:dataPt>
          <cx:dataPt idx="14">
            <cx:spPr>
              <a:solidFill>
                <a:srgbClr val="00B050"/>
              </a:solidFill>
            </cx:spPr>
          </cx:dataPt>
          <cx:dataLabels pos="inEnd">
            <cx:visibility seriesName="0" categoryName="1" value="0"/>
          </cx:dataLabels>
          <cx:dataId val="0"/>
          <cx:layoutPr>
            <cx:parentLabelLayout val="overlapping"/>
          </cx:layoutPr>
        </cx:series>
      </cx:plotAreaRegion>
    </cx:plotArea>
    <cx:legend pos="t" align="ctr" overlay="0"/>
  </cx:chart>
  <cx:spPr>
    <a:ln>
      <a:solidFill>
        <a:schemeClr val="accent1"/>
      </a:solidFill>
    </a:ln>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Berlin">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Date</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35F17B-E487-4F36-8C2D-41ED77EE3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5103</Words>
  <Characters>29091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DATA WAREHOUSING REPORT FOR NHS ENGLAND</vt:lpstr>
    </vt:vector>
  </TitlesOfParts>
  <Company/>
  <LinksUpToDate>false</LinksUpToDate>
  <CharactersWithSpaces>34126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REPORT FOR NHS ENGLAND</dc:title>
  <dc:subject>Module: ACCA6026 Data Warehousing &amp; Data Mining</dc:subject>
  <dc:creator>Student name</dc:creator>
  <cp:keywords/>
  <dc:description/>
  <cp:lastModifiedBy>Hafsa Gul (2323803)</cp:lastModifiedBy>
  <cp:revision>4</cp:revision>
  <dcterms:created xsi:type="dcterms:W3CDTF">2026-07-09T16:57:00Z</dcterms:created>
  <dcterms:modified xsi:type="dcterms:W3CDTF">2026-07-09T17:21:00Z</dcterms:modified>
  <cp:category>BSc Applied Computing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2df26f08-bc15-423b-931f-ec499ec5fc2d</vt:lpwstr>
  </property>
</Properties>
</file>