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E0AB1" w:rsidRDefault="008E0AB1" w:rsidP="008E0AB1">
      <w:pPr>
        <w:pStyle w:val="Header"/>
        <w:tabs>
          <w:tab w:val="clear" w:pos="4153"/>
          <w:tab w:val="clear" w:pos="8306"/>
        </w:tabs>
      </w:pPr>
      <w:r>
        <w:rPr>
          <w:noProof/>
        </w:rPr>
        <mc:AlternateContent>
          <mc:Choice Requires="wps">
            <w:drawing>
              <wp:anchor distT="0" distB="0" distL="114300" distR="114300" simplePos="0" relativeHeight="251659264" behindDoc="0" locked="0" layoutInCell="1" allowOverlap="1" wp14:anchorId="7A5CE72E" wp14:editId="591DC413">
                <wp:simplePos x="0" y="0"/>
                <wp:positionH relativeFrom="column">
                  <wp:posOffset>5173980</wp:posOffset>
                </wp:positionH>
                <wp:positionV relativeFrom="paragraph">
                  <wp:posOffset>-233680</wp:posOffset>
                </wp:positionV>
                <wp:extent cx="1591945" cy="914400"/>
                <wp:effectExtent l="19050" t="19050" r="27305" b="19050"/>
                <wp:wrapNone/>
                <wp:docPr id="9"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8E0AB1" w:rsidRDefault="008E0AB1" w:rsidP="008E0AB1">
                            <w:pPr>
                              <w:pStyle w:val="Heading6"/>
                              <w:pBdr>
                                <w:top w:val="none" w:sz="0" w:space="0" w:color="auto"/>
                                <w:left w:val="none" w:sz="0" w:space="0" w:color="auto"/>
                                <w:bottom w:val="none" w:sz="0" w:space="0" w:color="auto"/>
                                <w:right w:val="none" w:sz="0" w:space="0" w:color="auto"/>
                              </w:pBdr>
                              <w:shd w:val="clear" w:color="auto" w:fill="E0E0E0"/>
                            </w:pPr>
                          </w:p>
                          <w:p w:rsidR="008E0AB1" w:rsidRDefault="008E0AB1" w:rsidP="008E0AB1">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6371E4A3" wp14:editId="235D2AB7">
                                  <wp:extent cx="636905" cy="44005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A5CE72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LbUDKQIAAFIEAAAOAAAAZHJzL2Uyb0RvYy54bWysVNtu2zAMfR+wfxD0vtgOkrUx4hRdug4D&#13;&#10;ugvQ7gNkWY6FyaJGKbGzrx8lp1m2vRWzAUEyqcPDQ9Lrm7E37KDQa7AVL2Y5Z8pKaLTdVfzb0/2b&#13;&#10;a858ELYRBqyq+FF5frN5/Wo9uFLNoQPTKGQEYn05uIp3Ibgyy7zsVC/8DJyyZGwBexHoiLusQTEQ&#13;&#10;em+yeZ6/zQbAxiFI5T19vZuMfJPw21bJ8KVtvQrMVJy4hbRiWuu4Zpu1KHcoXKfliYZ4AYteaEtB&#13;&#10;z1B3Igi2R/0PVK8lgoc2zCT0GbStlirlQNkU+V/ZPHbCqZQLiePdWSb//2Dl58NXZLqp+IozK3oq&#13;&#10;0ZMaA3sHIyuKKM/gfElej478wkjfqcwpVe8eQH73zMK2E3anbhFh6JRoiF66mV1cnXB8BKmHT9BQ&#13;&#10;HLEPkIDGFvuoHanBCJ3KdDyXJnKRMeRyVawWS84k2VbFYpGn2mWifL7t0IcPCnoWNxVHKn1CF4cH&#13;&#10;HygPcn12icE8GN3ca2PSAXf11iA7CGqTbR7fmDpd+cPNWDZUfH69vFpOCrwAo9eBGt7ovuLXeXym&#13;&#10;Foy6vbdNascgtJn2RMBY4hGFjNpNKoaxHk+FqaE5kqQIU2PTINKmA/zJ2UBNXXH/Yy9QcWY+WipL&#13;&#10;Eo6mIB0Wy6s5aY2XlvrSIqwkqIoHzqbtNkyTs3eodx1FmhrBwi2VstVJ5Uh1YnXiTY2blDwNWZyM&#13;&#10;y3Py+v0r2PwCAAD//wMAUEsDBBQABgAIAAAAIQDehTWB4QAAABEBAAAPAAAAZHJzL2Rvd25yZXYu&#13;&#10;eG1sTI9PT8MwDMXvSHyHyEjctnSDdlXXdOL/zgzE2WtCW5E4VZN1hU+Pe4KL9Szbz79X7iZnxWiG&#13;&#10;0HlSsFomIAzVXnfUKHh/e17kIEJE0mg9GQXfJsCuurwosdD+TK9mPMRGsAmFAhW0MfaFlKFujcOw&#13;&#10;9L0hnn36wWHkdmikHvDM5s7KdZJk0mFH/KHF3jy0pv46nJyCvbwPH/WLSzEfnyzuf8ZmQ1Kp66vp&#13;&#10;ccvlbgsimin+XcCcgfmhYrCjP5EOwirIV7fMHxUsbjIW80aSpSmI46w2a5BVKf8nqX4BAAD//wMA&#13;&#10;UEsBAi0AFAAGAAgAAAAhALaDOJL+AAAA4QEAABMAAAAAAAAAAAAAAAAAAAAAAFtDb250ZW50X1R5&#13;&#10;cGVzXS54bWxQSwECLQAUAAYACAAAACEAOP0h/9YAAACUAQAACwAAAAAAAAAAAAAAAAAvAQAAX3Jl&#13;&#10;bHMvLnJlbHNQSwECLQAUAAYACAAAACEA0i21AykCAABSBAAADgAAAAAAAAAAAAAAAAAuAgAAZHJz&#13;&#10;L2Uyb0RvYy54bWxQSwECLQAUAAYACAAAACEA3oU1geEAAAARAQAADwAAAAAAAAAAAAAAAACDBAAA&#13;&#10;ZHJzL2Rvd25yZXYueG1sUEsFBgAAAAAEAAQA8wAAAJEFAAAAAA==&#13;&#10;" fillcolor="silver" strokecolor="silver" strokeweight="2.25pt">
                <v:textbox>
                  <w:txbxContent>
                    <w:p w:rsidR="008E0AB1" w:rsidRDefault="008E0AB1" w:rsidP="008E0AB1">
                      <w:pPr>
                        <w:pStyle w:val="Heading6"/>
                        <w:pBdr>
                          <w:top w:val="none" w:sz="0" w:space="0" w:color="auto"/>
                          <w:left w:val="none" w:sz="0" w:space="0" w:color="auto"/>
                          <w:bottom w:val="none" w:sz="0" w:space="0" w:color="auto"/>
                          <w:right w:val="none" w:sz="0" w:space="0" w:color="auto"/>
                        </w:pBdr>
                        <w:shd w:val="clear" w:color="auto" w:fill="E0E0E0"/>
                      </w:pPr>
                    </w:p>
                    <w:p w:rsidR="008E0AB1" w:rsidRDefault="008E0AB1" w:rsidP="008E0AB1">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6371E4A3" wp14:editId="235D2AB7">
                            <wp:extent cx="636905" cy="44005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rPr>
        <w:drawing>
          <wp:inline distT="0" distB="0" distL="0" distR="0" wp14:anchorId="65F7EA30" wp14:editId="72E012BE">
            <wp:extent cx="1809750" cy="723900"/>
            <wp:effectExtent l="0" t="0" r="0" b="0"/>
            <wp:docPr id="10" name="Picture 1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8E0AB1" w:rsidRDefault="008E0AB1" w:rsidP="008E0AB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0"/>
      </w:tblGrid>
      <w:tr w:rsidR="008E0AB1" w:rsidRPr="00C1361B" w:rsidTr="000B5356">
        <w:tc>
          <w:tcPr>
            <w:tcW w:w="10670" w:type="dxa"/>
            <w:shd w:val="clear" w:color="auto" w:fill="C0C0C0"/>
          </w:tcPr>
          <w:p w:rsidR="008E0AB1" w:rsidRPr="00BA6B2C" w:rsidRDefault="008E0AB1" w:rsidP="000B5356">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rsidR="008E0AB1" w:rsidRPr="009F5CB2" w:rsidRDefault="008E0AB1" w:rsidP="000B5356">
            <w:pPr>
              <w:jc w:val="center"/>
              <w:rPr>
                <w:rFonts w:ascii="Arial" w:hAnsi="Arial" w:cs="Arial"/>
              </w:rPr>
            </w:pPr>
            <w:r w:rsidRPr="009F5CB2">
              <w:rPr>
                <w:rFonts w:ascii="Arial" w:hAnsi="Arial" w:cs="Arial"/>
                <w:b/>
                <w:noProof/>
              </w:rPr>
              <w:t>S</w:t>
            </w:r>
            <w:r>
              <w:rPr>
                <w:rFonts w:ascii="Arial" w:hAnsi="Arial" w:cs="Arial"/>
                <w:b/>
                <w:noProof/>
              </w:rPr>
              <w:t>OUTH WEST WALES CENTRE FOR TEACHER EDUCATION</w:t>
            </w:r>
          </w:p>
        </w:tc>
      </w:tr>
    </w:tbl>
    <w:p w:rsidR="008E0AB1" w:rsidRPr="00BA6B2C" w:rsidRDefault="008E0AB1" w:rsidP="008E0AB1">
      <w:pPr>
        <w:jc w:val="center"/>
        <w:rPr>
          <w:b/>
          <w:i/>
          <w:sz w:val="16"/>
          <w:szCs w:val="16"/>
        </w:rPr>
      </w:pPr>
      <w:r>
        <w:rPr>
          <w:b/>
          <w:i/>
          <w:sz w:val="16"/>
          <w:szCs w:val="16"/>
        </w:rPr>
        <w:t>Sections marked with * should be completed by module lead</w:t>
      </w:r>
    </w:p>
    <w:tbl>
      <w:tblPr>
        <w:tblW w:w="9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79"/>
        <w:gridCol w:w="3214"/>
        <w:gridCol w:w="2221"/>
        <w:gridCol w:w="1796"/>
      </w:tblGrid>
      <w:tr w:rsidR="008E0AB1" w:rsidRPr="00C1361B" w:rsidTr="008E0AB1">
        <w:trPr>
          <w:trHeight w:val="486"/>
        </w:trPr>
        <w:tc>
          <w:tcPr>
            <w:tcW w:w="1779" w:type="dxa"/>
            <w:shd w:val="pct15" w:color="auto" w:fill="auto"/>
          </w:tcPr>
          <w:p w:rsidR="008E0AB1" w:rsidRPr="00C1361B" w:rsidRDefault="008E0AB1" w:rsidP="000B5356">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214" w:type="dxa"/>
          </w:tcPr>
          <w:p w:rsidR="008E0AB1" w:rsidRPr="00C1361B" w:rsidRDefault="00686AE5" w:rsidP="000B5356">
            <w:pPr>
              <w:spacing w:before="120" w:after="120"/>
              <w:jc w:val="both"/>
              <w:rPr>
                <w:rFonts w:ascii="Calibri" w:hAnsi="Calibri" w:cs="Arial"/>
                <w:b/>
                <w:sz w:val="22"/>
                <w:szCs w:val="22"/>
              </w:rPr>
            </w:pPr>
            <w:r>
              <w:rPr>
                <w:rFonts w:ascii="Calibri" w:hAnsi="Calibri" w:cs="Arial"/>
                <w:b/>
                <w:sz w:val="22"/>
                <w:szCs w:val="22"/>
              </w:rPr>
              <w:t xml:space="preserve">Stephen Thomas </w:t>
            </w:r>
          </w:p>
        </w:tc>
        <w:tc>
          <w:tcPr>
            <w:tcW w:w="2221" w:type="dxa"/>
            <w:shd w:val="clear" w:color="auto" w:fill="D9D9D9"/>
          </w:tcPr>
          <w:p w:rsidR="008E0AB1" w:rsidRPr="00C1361B" w:rsidRDefault="008E0AB1" w:rsidP="000B5356">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1794" w:type="dxa"/>
          </w:tcPr>
          <w:p w:rsidR="008E0AB1" w:rsidRPr="00C1361B" w:rsidRDefault="00686AE5" w:rsidP="000B5356">
            <w:pPr>
              <w:spacing w:before="120" w:after="120"/>
              <w:jc w:val="both"/>
              <w:rPr>
                <w:rFonts w:ascii="Calibri" w:hAnsi="Calibri" w:cs="Arial"/>
                <w:b/>
                <w:sz w:val="22"/>
                <w:szCs w:val="22"/>
              </w:rPr>
            </w:pPr>
            <w:r>
              <w:rPr>
                <w:rFonts w:ascii="Calibri" w:hAnsi="Calibri" w:cs="Arial"/>
                <w:b/>
                <w:sz w:val="22"/>
                <w:szCs w:val="22"/>
              </w:rPr>
              <w:t>1706718</w:t>
            </w:r>
          </w:p>
        </w:tc>
      </w:tr>
      <w:tr w:rsidR="008E0AB1" w:rsidRPr="00C1361B" w:rsidTr="008E0AB1">
        <w:trPr>
          <w:trHeight w:val="486"/>
        </w:trPr>
        <w:tc>
          <w:tcPr>
            <w:tcW w:w="1779" w:type="dxa"/>
            <w:shd w:val="pct15" w:color="auto" w:fill="auto"/>
          </w:tcPr>
          <w:p w:rsidR="008E0AB1" w:rsidRPr="00C1361B" w:rsidRDefault="008E0AB1" w:rsidP="000B5356">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7231" w:type="dxa"/>
            <w:gridSpan w:val="3"/>
          </w:tcPr>
          <w:p w:rsidR="008E0AB1" w:rsidRPr="008566E5" w:rsidRDefault="008E0AB1" w:rsidP="000B5356">
            <w:pPr>
              <w:spacing w:before="120" w:after="120"/>
              <w:jc w:val="both"/>
              <w:rPr>
                <w:rFonts w:ascii="Calibri" w:hAnsi="Calibri" w:cs="Arial"/>
                <w:b/>
                <w:sz w:val="22"/>
                <w:szCs w:val="22"/>
              </w:rPr>
            </w:pPr>
            <w:r>
              <w:rPr>
                <w:rFonts w:ascii="Calibri" w:hAnsi="Calibri" w:cs="Arial"/>
                <w:b/>
                <w:sz w:val="22"/>
                <w:szCs w:val="22"/>
              </w:rPr>
              <w:t>Secondary Post Graduate Certificate in Education</w:t>
            </w:r>
          </w:p>
        </w:tc>
      </w:tr>
      <w:tr w:rsidR="008E0AB1" w:rsidRPr="00C1361B" w:rsidTr="008E0AB1">
        <w:trPr>
          <w:trHeight w:val="754"/>
        </w:trPr>
        <w:tc>
          <w:tcPr>
            <w:tcW w:w="1779" w:type="dxa"/>
            <w:shd w:val="pct15" w:color="auto" w:fill="auto"/>
          </w:tcPr>
          <w:p w:rsidR="008E0AB1" w:rsidRPr="00C1361B" w:rsidRDefault="008E0AB1" w:rsidP="000B5356">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214" w:type="dxa"/>
            <w:shd w:val="clear" w:color="auto" w:fill="auto"/>
          </w:tcPr>
          <w:p w:rsidR="008E0AB1" w:rsidRPr="00C1361B" w:rsidRDefault="008E0AB1" w:rsidP="000B5356">
            <w:pPr>
              <w:spacing w:before="120" w:after="120"/>
              <w:rPr>
                <w:rFonts w:ascii="Calibri" w:hAnsi="Calibri" w:cs="Arial"/>
                <w:b/>
                <w:sz w:val="22"/>
                <w:szCs w:val="22"/>
              </w:rPr>
            </w:pPr>
            <w:r>
              <w:rPr>
                <w:rFonts w:ascii="Arial" w:hAnsi="Arial" w:cs="Arial"/>
                <w:b/>
                <w:szCs w:val="32"/>
              </w:rPr>
              <w:t>Curriculum Development and Enhancement</w:t>
            </w:r>
          </w:p>
        </w:tc>
        <w:tc>
          <w:tcPr>
            <w:tcW w:w="2221" w:type="dxa"/>
            <w:shd w:val="clear" w:color="auto" w:fill="D9D9D9"/>
          </w:tcPr>
          <w:p w:rsidR="008E0AB1" w:rsidRPr="00C1361B" w:rsidRDefault="008E0AB1" w:rsidP="000B5356">
            <w:pPr>
              <w:spacing w:before="120" w:after="120"/>
              <w:jc w:val="both"/>
              <w:rPr>
                <w:rFonts w:ascii="Calibri" w:hAnsi="Calibri" w:cs="Arial"/>
                <w:b/>
                <w:sz w:val="22"/>
                <w:szCs w:val="22"/>
              </w:rPr>
            </w:pPr>
            <w:r>
              <w:rPr>
                <w:rFonts w:ascii="Calibri" w:hAnsi="Calibri" w:cs="Arial"/>
                <w:b/>
                <w:sz w:val="22"/>
                <w:szCs w:val="22"/>
              </w:rPr>
              <w:t>Module Level (</w:t>
            </w:r>
            <w:r w:rsidRPr="00C1361B">
              <w:rPr>
                <w:rFonts w:ascii="Calibri" w:hAnsi="Calibri" w:cs="Arial"/>
                <w:b/>
                <w:sz w:val="22"/>
                <w:szCs w:val="22"/>
              </w:rPr>
              <w:t>6</w:t>
            </w:r>
            <w:r>
              <w:rPr>
                <w:rFonts w:ascii="Calibri" w:hAnsi="Calibri" w:cs="Arial"/>
                <w:b/>
                <w:sz w:val="22"/>
                <w:szCs w:val="22"/>
              </w:rPr>
              <w:t xml:space="preserve"> or 7</w:t>
            </w:r>
            <w:r w:rsidRPr="00C1361B">
              <w:rPr>
                <w:rFonts w:ascii="Calibri" w:hAnsi="Calibri" w:cs="Arial"/>
                <w:b/>
                <w:sz w:val="22"/>
                <w:szCs w:val="22"/>
              </w:rPr>
              <w:t>):</w:t>
            </w:r>
            <w:r>
              <w:rPr>
                <w:rFonts w:ascii="Calibri" w:hAnsi="Calibri" w:cs="Arial"/>
                <w:b/>
                <w:sz w:val="22"/>
                <w:szCs w:val="22"/>
              </w:rPr>
              <w:t xml:space="preserve"> </w:t>
            </w:r>
          </w:p>
        </w:tc>
        <w:tc>
          <w:tcPr>
            <w:tcW w:w="1794" w:type="dxa"/>
            <w:shd w:val="clear" w:color="auto" w:fill="auto"/>
          </w:tcPr>
          <w:p w:rsidR="008E0AB1" w:rsidRPr="00C1361B" w:rsidRDefault="008E0AB1" w:rsidP="000B5356">
            <w:pPr>
              <w:spacing w:before="120" w:after="120"/>
              <w:jc w:val="both"/>
              <w:rPr>
                <w:rFonts w:ascii="Calibri" w:hAnsi="Calibri" w:cs="Arial"/>
                <w:b/>
                <w:sz w:val="22"/>
                <w:szCs w:val="22"/>
              </w:rPr>
            </w:pPr>
            <w:r>
              <w:rPr>
                <w:rFonts w:ascii="Calibri" w:hAnsi="Calibri" w:cs="Arial"/>
                <w:b/>
                <w:sz w:val="22"/>
                <w:szCs w:val="22"/>
              </w:rPr>
              <w:t>Level 7</w:t>
            </w:r>
          </w:p>
        </w:tc>
      </w:tr>
      <w:tr w:rsidR="008E0AB1" w:rsidRPr="00C1361B" w:rsidTr="008E0AB1">
        <w:trPr>
          <w:trHeight w:val="766"/>
        </w:trPr>
        <w:tc>
          <w:tcPr>
            <w:tcW w:w="1779" w:type="dxa"/>
            <w:shd w:val="pct15" w:color="auto" w:fill="auto"/>
          </w:tcPr>
          <w:p w:rsidR="008E0AB1" w:rsidRPr="00C1361B" w:rsidRDefault="008E0AB1" w:rsidP="000B5356">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214" w:type="dxa"/>
          </w:tcPr>
          <w:p w:rsidR="008E0AB1" w:rsidRPr="00C1361B" w:rsidRDefault="008E0AB1" w:rsidP="000B5356">
            <w:pPr>
              <w:spacing w:before="120" w:after="120"/>
              <w:jc w:val="both"/>
              <w:rPr>
                <w:rFonts w:ascii="Calibri" w:hAnsi="Calibri" w:cs="Arial"/>
                <w:b/>
                <w:sz w:val="22"/>
                <w:szCs w:val="22"/>
              </w:rPr>
            </w:pPr>
            <w:r w:rsidRPr="00E3293C">
              <w:rPr>
                <w:rFonts w:ascii="Calibri" w:hAnsi="Calibri" w:cs="Arial"/>
                <w:b/>
                <w:sz w:val="22"/>
                <w:szCs w:val="22"/>
              </w:rPr>
              <w:t>ECSP7002</w:t>
            </w:r>
          </w:p>
        </w:tc>
        <w:tc>
          <w:tcPr>
            <w:tcW w:w="2221" w:type="dxa"/>
            <w:shd w:val="clear" w:color="auto" w:fill="D9D9D9"/>
          </w:tcPr>
          <w:p w:rsidR="008E0AB1" w:rsidRPr="00C1361B" w:rsidRDefault="008E0AB1" w:rsidP="000B5356">
            <w:pPr>
              <w:pStyle w:val="Heading2"/>
              <w:rPr>
                <w:rFonts w:ascii="Calibri" w:hAnsi="Calibri" w:cs="Arial"/>
                <w:sz w:val="22"/>
                <w:szCs w:val="22"/>
              </w:rPr>
            </w:pPr>
            <w:r w:rsidRPr="00C1361B">
              <w:rPr>
                <w:rFonts w:ascii="Calibri" w:hAnsi="Calibri" w:cs="Arial"/>
                <w:sz w:val="22"/>
                <w:szCs w:val="22"/>
              </w:rPr>
              <w:t xml:space="preserve">Contribution to Overall </w:t>
            </w:r>
          </w:p>
          <w:p w:rsidR="008E0AB1" w:rsidRPr="00C1361B" w:rsidRDefault="008E0AB1" w:rsidP="000B5356">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1794" w:type="dxa"/>
          </w:tcPr>
          <w:p w:rsidR="008E0AB1" w:rsidRPr="00C1361B" w:rsidRDefault="008E0AB1" w:rsidP="000B5356">
            <w:pPr>
              <w:spacing w:before="120" w:after="120"/>
              <w:jc w:val="both"/>
              <w:rPr>
                <w:rFonts w:ascii="Calibri" w:hAnsi="Calibri" w:cs="Arial"/>
                <w:b/>
                <w:sz w:val="22"/>
                <w:szCs w:val="22"/>
              </w:rPr>
            </w:pPr>
            <w:r>
              <w:rPr>
                <w:rFonts w:ascii="Calibri" w:hAnsi="Calibri" w:cs="Arial"/>
                <w:b/>
                <w:sz w:val="22"/>
                <w:szCs w:val="22"/>
              </w:rPr>
              <w:t>100</w:t>
            </w:r>
          </w:p>
        </w:tc>
      </w:tr>
      <w:tr w:rsidR="008E0AB1" w:rsidRPr="00C1361B" w:rsidTr="008E0AB1">
        <w:trPr>
          <w:trHeight w:val="486"/>
        </w:trPr>
        <w:tc>
          <w:tcPr>
            <w:tcW w:w="1779" w:type="dxa"/>
            <w:shd w:val="pct15" w:color="auto" w:fill="auto"/>
          </w:tcPr>
          <w:p w:rsidR="008E0AB1" w:rsidRPr="00C1361B" w:rsidRDefault="008E0AB1" w:rsidP="000B5356">
            <w:pPr>
              <w:spacing w:before="120" w:after="120"/>
              <w:jc w:val="both"/>
              <w:rPr>
                <w:rFonts w:ascii="Calibri" w:hAnsi="Calibri" w:cs="Arial"/>
                <w:b/>
                <w:sz w:val="22"/>
                <w:szCs w:val="22"/>
              </w:rPr>
            </w:pPr>
            <w:r>
              <w:rPr>
                <w:rFonts w:ascii="Calibri" w:hAnsi="Calibri" w:cs="Arial"/>
                <w:b/>
                <w:sz w:val="22"/>
                <w:szCs w:val="22"/>
              </w:rPr>
              <w:t xml:space="preserve">Module </w:t>
            </w:r>
            <w:proofErr w:type="gramStart"/>
            <w:r>
              <w:rPr>
                <w:rFonts w:ascii="Calibri" w:hAnsi="Calibri" w:cs="Arial"/>
                <w:b/>
                <w:sz w:val="22"/>
                <w:szCs w:val="22"/>
              </w:rPr>
              <w:t>Lead</w:t>
            </w:r>
            <w:r w:rsidRPr="00C1361B">
              <w:rPr>
                <w:rFonts w:ascii="Calibri" w:hAnsi="Calibri" w:cs="Arial"/>
                <w:b/>
                <w:sz w:val="22"/>
                <w:szCs w:val="22"/>
              </w:rPr>
              <w:t>:</w:t>
            </w:r>
            <w:r>
              <w:rPr>
                <w:rFonts w:ascii="Calibri" w:hAnsi="Calibri" w:cs="Arial"/>
                <w:b/>
                <w:sz w:val="22"/>
                <w:szCs w:val="22"/>
              </w:rPr>
              <w:t>*</w:t>
            </w:r>
            <w:proofErr w:type="gramEnd"/>
          </w:p>
        </w:tc>
        <w:tc>
          <w:tcPr>
            <w:tcW w:w="7231" w:type="dxa"/>
            <w:gridSpan w:val="3"/>
            <w:shd w:val="clear" w:color="auto" w:fill="FFFFFF" w:themeFill="background1"/>
          </w:tcPr>
          <w:p w:rsidR="008E0AB1" w:rsidRPr="00C1361B" w:rsidRDefault="008E0AB1" w:rsidP="000B5356">
            <w:pPr>
              <w:spacing w:before="120" w:after="120"/>
              <w:jc w:val="both"/>
              <w:rPr>
                <w:rFonts w:ascii="Calibri" w:hAnsi="Calibri" w:cs="Arial"/>
                <w:b/>
                <w:sz w:val="22"/>
                <w:szCs w:val="22"/>
              </w:rPr>
            </w:pPr>
            <w:r>
              <w:rPr>
                <w:rFonts w:ascii="Calibri" w:hAnsi="Calibri" w:cs="Arial"/>
                <w:b/>
                <w:sz w:val="22"/>
                <w:szCs w:val="22"/>
              </w:rPr>
              <w:t>Jan Barnes</w:t>
            </w:r>
          </w:p>
        </w:tc>
      </w:tr>
      <w:tr w:rsidR="008E0AB1" w:rsidRPr="00C1361B" w:rsidTr="008E0AB1">
        <w:trPr>
          <w:trHeight w:val="754"/>
        </w:trPr>
        <w:tc>
          <w:tcPr>
            <w:tcW w:w="1779" w:type="dxa"/>
            <w:shd w:val="pct15" w:color="auto" w:fill="auto"/>
          </w:tcPr>
          <w:p w:rsidR="008E0AB1" w:rsidRPr="00C1361B" w:rsidRDefault="008E0AB1" w:rsidP="000B5356">
            <w:pPr>
              <w:spacing w:before="120" w:after="120"/>
              <w:jc w:val="both"/>
              <w:rPr>
                <w:rFonts w:ascii="Calibri" w:hAnsi="Calibri" w:cs="Arial"/>
                <w:b/>
                <w:sz w:val="22"/>
                <w:szCs w:val="22"/>
              </w:rPr>
            </w:pPr>
            <w:r w:rsidRPr="00C1361B">
              <w:rPr>
                <w:rFonts w:ascii="Calibri" w:hAnsi="Calibri" w:cs="Arial"/>
                <w:b/>
                <w:sz w:val="22"/>
                <w:szCs w:val="22"/>
              </w:rPr>
              <w:t xml:space="preserve">Assignment </w:t>
            </w:r>
            <w:proofErr w:type="gramStart"/>
            <w:r w:rsidRPr="00C1361B">
              <w:rPr>
                <w:rFonts w:ascii="Calibri" w:hAnsi="Calibri" w:cs="Arial"/>
                <w:b/>
                <w:sz w:val="22"/>
                <w:szCs w:val="22"/>
              </w:rPr>
              <w:t>Title:</w:t>
            </w:r>
            <w:r>
              <w:rPr>
                <w:rFonts w:ascii="Calibri" w:hAnsi="Calibri" w:cs="Arial"/>
                <w:b/>
                <w:sz w:val="22"/>
                <w:szCs w:val="22"/>
              </w:rPr>
              <w:t>*</w:t>
            </w:r>
            <w:proofErr w:type="gramEnd"/>
          </w:p>
        </w:tc>
        <w:tc>
          <w:tcPr>
            <w:tcW w:w="3214" w:type="dxa"/>
          </w:tcPr>
          <w:p w:rsidR="008E0AB1" w:rsidRPr="00F67644" w:rsidRDefault="008E0AB1" w:rsidP="000B5356">
            <w:pPr>
              <w:spacing w:before="120" w:after="120"/>
              <w:rPr>
                <w:rFonts w:ascii="Calibri" w:hAnsi="Calibri" w:cs="Arial"/>
                <w:b/>
                <w:sz w:val="22"/>
                <w:szCs w:val="22"/>
              </w:rPr>
            </w:pPr>
            <w:r>
              <w:rPr>
                <w:rFonts w:ascii="Arial" w:hAnsi="Arial" w:cs="Arial"/>
                <w:b/>
                <w:szCs w:val="32"/>
              </w:rPr>
              <w:t>Reflections on Teaching and Learning</w:t>
            </w:r>
          </w:p>
        </w:tc>
        <w:tc>
          <w:tcPr>
            <w:tcW w:w="2221" w:type="dxa"/>
            <w:shd w:val="pct15" w:color="auto" w:fill="auto"/>
          </w:tcPr>
          <w:p w:rsidR="008E0AB1" w:rsidRPr="00C1361B" w:rsidRDefault="008E0AB1" w:rsidP="000B5356">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1794" w:type="dxa"/>
          </w:tcPr>
          <w:p w:rsidR="008E0AB1" w:rsidRPr="00C1361B" w:rsidRDefault="008E0AB1" w:rsidP="000B5356">
            <w:pPr>
              <w:spacing w:before="120" w:after="120"/>
              <w:jc w:val="both"/>
              <w:rPr>
                <w:rFonts w:ascii="Calibri" w:hAnsi="Calibri" w:cs="Arial"/>
                <w:b/>
                <w:sz w:val="22"/>
                <w:szCs w:val="22"/>
              </w:rPr>
            </w:pPr>
            <w:r>
              <w:rPr>
                <w:rFonts w:ascii="Calibri" w:hAnsi="Calibri" w:cs="Arial"/>
                <w:b/>
                <w:sz w:val="22"/>
                <w:szCs w:val="22"/>
              </w:rPr>
              <w:t>1</w:t>
            </w:r>
          </w:p>
        </w:tc>
      </w:tr>
      <w:tr w:rsidR="008E0AB1" w:rsidRPr="00C1361B" w:rsidTr="008E0AB1">
        <w:trPr>
          <w:trHeight w:val="741"/>
        </w:trPr>
        <w:tc>
          <w:tcPr>
            <w:tcW w:w="1779" w:type="dxa"/>
            <w:shd w:val="pct15" w:color="auto" w:fill="auto"/>
          </w:tcPr>
          <w:p w:rsidR="008E0AB1" w:rsidRPr="00C1361B" w:rsidRDefault="008E0AB1" w:rsidP="000B5356">
            <w:pPr>
              <w:spacing w:before="120" w:after="120"/>
              <w:jc w:val="both"/>
              <w:rPr>
                <w:rFonts w:ascii="Calibri" w:hAnsi="Calibri" w:cs="Arial"/>
                <w:b/>
                <w:sz w:val="22"/>
                <w:szCs w:val="22"/>
              </w:rPr>
            </w:pPr>
            <w:r>
              <w:rPr>
                <w:rFonts w:ascii="Calibri" w:hAnsi="Calibri" w:cs="Arial"/>
                <w:b/>
                <w:sz w:val="22"/>
                <w:szCs w:val="22"/>
              </w:rPr>
              <w:t xml:space="preserve">Start </w:t>
            </w:r>
            <w:proofErr w:type="gramStart"/>
            <w:r>
              <w:rPr>
                <w:rFonts w:ascii="Calibri" w:hAnsi="Calibri" w:cs="Arial"/>
                <w:b/>
                <w:sz w:val="22"/>
                <w:szCs w:val="22"/>
              </w:rPr>
              <w:t>date</w:t>
            </w:r>
            <w:r w:rsidRPr="00C1361B">
              <w:rPr>
                <w:rFonts w:ascii="Calibri" w:hAnsi="Calibri" w:cs="Arial"/>
                <w:b/>
                <w:sz w:val="22"/>
                <w:szCs w:val="22"/>
              </w:rPr>
              <w:t>:</w:t>
            </w:r>
            <w:r>
              <w:rPr>
                <w:rFonts w:ascii="Calibri" w:hAnsi="Calibri" w:cs="Arial"/>
                <w:b/>
                <w:sz w:val="22"/>
                <w:szCs w:val="22"/>
              </w:rPr>
              <w:t>*</w:t>
            </w:r>
            <w:proofErr w:type="gramEnd"/>
          </w:p>
        </w:tc>
        <w:tc>
          <w:tcPr>
            <w:tcW w:w="3214" w:type="dxa"/>
            <w:shd w:val="clear" w:color="auto" w:fill="auto"/>
          </w:tcPr>
          <w:p w:rsidR="008E0AB1" w:rsidRPr="00C1361B" w:rsidRDefault="00321D91" w:rsidP="000B5356">
            <w:pPr>
              <w:spacing w:before="120" w:after="120"/>
              <w:jc w:val="both"/>
              <w:rPr>
                <w:rFonts w:ascii="Calibri" w:hAnsi="Calibri" w:cs="Arial"/>
                <w:b/>
                <w:sz w:val="22"/>
                <w:szCs w:val="22"/>
              </w:rPr>
            </w:pPr>
            <w:r>
              <w:rPr>
                <w:rFonts w:ascii="Calibri" w:hAnsi="Calibri" w:cs="Arial"/>
                <w:b/>
                <w:sz w:val="22"/>
                <w:szCs w:val="22"/>
              </w:rPr>
              <w:t>01</w:t>
            </w:r>
            <w:r w:rsidRPr="00321D91">
              <w:rPr>
                <w:rFonts w:ascii="Calibri" w:hAnsi="Calibri" w:cs="Arial"/>
                <w:b/>
                <w:sz w:val="22"/>
                <w:szCs w:val="22"/>
                <w:vertAlign w:val="superscript"/>
              </w:rPr>
              <w:t>st</w:t>
            </w:r>
            <w:r>
              <w:rPr>
                <w:rFonts w:ascii="Calibri" w:hAnsi="Calibri" w:cs="Arial"/>
                <w:b/>
                <w:sz w:val="22"/>
                <w:szCs w:val="22"/>
              </w:rPr>
              <w:t xml:space="preserve"> April 2018 </w:t>
            </w:r>
          </w:p>
        </w:tc>
        <w:tc>
          <w:tcPr>
            <w:tcW w:w="2221" w:type="dxa"/>
            <w:shd w:val="pct15" w:color="auto" w:fill="auto"/>
          </w:tcPr>
          <w:p w:rsidR="008E0AB1" w:rsidRPr="00C1361B" w:rsidRDefault="008E0AB1" w:rsidP="000B5356">
            <w:pPr>
              <w:spacing w:before="120" w:after="120"/>
              <w:jc w:val="both"/>
              <w:rPr>
                <w:rFonts w:ascii="Calibri" w:hAnsi="Calibri" w:cs="Arial"/>
                <w:b/>
                <w:sz w:val="22"/>
                <w:szCs w:val="22"/>
              </w:rPr>
            </w:pPr>
            <w:r w:rsidRPr="00C1361B">
              <w:rPr>
                <w:rFonts w:ascii="Calibri" w:hAnsi="Calibri" w:cs="Arial"/>
                <w:b/>
                <w:sz w:val="22"/>
                <w:szCs w:val="22"/>
              </w:rPr>
              <w:t xml:space="preserve">Submission </w:t>
            </w:r>
            <w:proofErr w:type="gramStart"/>
            <w:r w:rsidRPr="00C1361B">
              <w:rPr>
                <w:rFonts w:ascii="Calibri" w:hAnsi="Calibri" w:cs="Arial"/>
                <w:b/>
                <w:sz w:val="22"/>
                <w:szCs w:val="22"/>
              </w:rPr>
              <w:t>deadline:</w:t>
            </w:r>
            <w:r>
              <w:rPr>
                <w:rFonts w:ascii="Calibri" w:hAnsi="Calibri" w:cs="Arial"/>
                <w:b/>
                <w:sz w:val="22"/>
                <w:szCs w:val="22"/>
              </w:rPr>
              <w:t>*</w:t>
            </w:r>
            <w:proofErr w:type="gramEnd"/>
          </w:p>
        </w:tc>
        <w:tc>
          <w:tcPr>
            <w:tcW w:w="1794" w:type="dxa"/>
          </w:tcPr>
          <w:p w:rsidR="008E0AB1" w:rsidRPr="00C1361B" w:rsidRDefault="008E0AB1" w:rsidP="000B5356">
            <w:pPr>
              <w:spacing w:before="120" w:after="120"/>
              <w:jc w:val="both"/>
              <w:rPr>
                <w:rFonts w:ascii="Calibri" w:hAnsi="Calibri" w:cs="Arial"/>
                <w:b/>
                <w:sz w:val="22"/>
                <w:szCs w:val="22"/>
              </w:rPr>
            </w:pPr>
            <w:r>
              <w:rPr>
                <w:rFonts w:ascii="Calibri" w:hAnsi="Calibri" w:cs="Arial"/>
                <w:b/>
                <w:sz w:val="22"/>
                <w:szCs w:val="22"/>
              </w:rPr>
              <w:t>14</w:t>
            </w:r>
            <w:r w:rsidRPr="007866E5">
              <w:rPr>
                <w:rFonts w:ascii="Calibri" w:hAnsi="Calibri" w:cs="Arial"/>
                <w:b/>
                <w:sz w:val="22"/>
                <w:szCs w:val="22"/>
                <w:vertAlign w:val="superscript"/>
              </w:rPr>
              <w:t>th</w:t>
            </w:r>
            <w:r>
              <w:rPr>
                <w:rFonts w:ascii="Calibri" w:hAnsi="Calibri" w:cs="Arial"/>
                <w:b/>
                <w:sz w:val="22"/>
                <w:szCs w:val="22"/>
              </w:rPr>
              <w:t xml:space="preserve"> May 2018 –full submission</w:t>
            </w:r>
          </w:p>
        </w:tc>
      </w:tr>
      <w:tr w:rsidR="008E0AB1" w:rsidRPr="00C1361B" w:rsidTr="008E0AB1">
        <w:trPr>
          <w:trHeight w:val="996"/>
        </w:trPr>
        <w:tc>
          <w:tcPr>
            <w:tcW w:w="1779" w:type="dxa"/>
            <w:shd w:val="pct15" w:color="auto" w:fill="auto"/>
          </w:tcPr>
          <w:p w:rsidR="008E0AB1" w:rsidRPr="00C1361B" w:rsidRDefault="008E0AB1" w:rsidP="000B5356">
            <w:pPr>
              <w:spacing w:before="120" w:after="120"/>
              <w:jc w:val="both"/>
              <w:rPr>
                <w:rFonts w:ascii="Calibri" w:hAnsi="Calibri" w:cs="Arial"/>
                <w:b/>
                <w:sz w:val="22"/>
                <w:szCs w:val="22"/>
              </w:rPr>
            </w:pPr>
            <w:r>
              <w:rPr>
                <w:rFonts w:ascii="Calibri" w:hAnsi="Calibri" w:cs="Arial"/>
                <w:b/>
                <w:sz w:val="22"/>
                <w:szCs w:val="22"/>
              </w:rPr>
              <w:t xml:space="preserve">Return date of provisional marks &amp; written </w:t>
            </w:r>
            <w:proofErr w:type="gramStart"/>
            <w:r>
              <w:rPr>
                <w:rFonts w:ascii="Calibri" w:hAnsi="Calibri" w:cs="Arial"/>
                <w:b/>
                <w:sz w:val="22"/>
                <w:szCs w:val="22"/>
              </w:rPr>
              <w:t>feedback:*</w:t>
            </w:r>
            <w:proofErr w:type="gramEnd"/>
          </w:p>
        </w:tc>
        <w:tc>
          <w:tcPr>
            <w:tcW w:w="7231" w:type="dxa"/>
            <w:gridSpan w:val="3"/>
            <w:shd w:val="clear" w:color="auto" w:fill="auto"/>
          </w:tcPr>
          <w:p w:rsidR="008E0AB1" w:rsidRPr="00C1361B" w:rsidRDefault="008E0AB1" w:rsidP="000B5356">
            <w:pPr>
              <w:spacing w:before="120" w:after="120"/>
              <w:jc w:val="both"/>
              <w:rPr>
                <w:rFonts w:ascii="Calibri" w:hAnsi="Calibri" w:cs="Arial"/>
                <w:b/>
                <w:sz w:val="22"/>
                <w:szCs w:val="22"/>
              </w:rPr>
            </w:pPr>
            <w:r>
              <w:rPr>
                <w:rFonts w:ascii="Calibri" w:hAnsi="Calibri" w:cs="Arial"/>
                <w:b/>
                <w:sz w:val="22"/>
                <w:szCs w:val="22"/>
              </w:rPr>
              <w:t>11</w:t>
            </w:r>
            <w:r w:rsidRPr="00BC0EEA">
              <w:rPr>
                <w:rFonts w:ascii="Calibri" w:hAnsi="Calibri" w:cs="Arial"/>
                <w:b/>
                <w:sz w:val="22"/>
                <w:szCs w:val="22"/>
                <w:vertAlign w:val="superscript"/>
              </w:rPr>
              <w:t>th</w:t>
            </w:r>
            <w:r>
              <w:rPr>
                <w:rFonts w:ascii="Calibri" w:hAnsi="Calibri" w:cs="Arial"/>
                <w:b/>
                <w:sz w:val="22"/>
                <w:szCs w:val="22"/>
              </w:rPr>
              <w:t xml:space="preserve"> June 2018</w:t>
            </w:r>
          </w:p>
        </w:tc>
      </w:tr>
    </w:tbl>
    <w:p w:rsidR="008E0AB1" w:rsidRPr="00C315AF" w:rsidRDefault="008E0AB1" w:rsidP="008E0AB1">
      <w:pPr>
        <w:rPr>
          <w:vanish/>
        </w:rPr>
      </w:pPr>
    </w:p>
    <w:tbl>
      <w:tblPr>
        <w:tblpPr w:leftFromText="180" w:rightFromText="180" w:vertAnchor="text" w:horzAnchor="margin" w:tblpY="248"/>
        <w:tblW w:w="900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537"/>
        <w:gridCol w:w="5543"/>
        <w:gridCol w:w="963"/>
        <w:gridCol w:w="964"/>
      </w:tblGrid>
      <w:tr w:rsidR="008E0AB1" w:rsidRPr="00C1361B" w:rsidTr="008E0AB1">
        <w:trPr>
          <w:trHeight w:val="395"/>
        </w:trPr>
        <w:tc>
          <w:tcPr>
            <w:tcW w:w="1537" w:type="dxa"/>
            <w:tcBorders>
              <w:top w:val="single" w:sz="6" w:space="0" w:color="auto"/>
            </w:tcBorders>
            <w:shd w:val="clear" w:color="auto" w:fill="D9D9D9"/>
          </w:tcPr>
          <w:p w:rsidR="008E0AB1" w:rsidRPr="00C1361B" w:rsidRDefault="008E0AB1" w:rsidP="000B5356">
            <w:pPr>
              <w:rPr>
                <w:rFonts w:ascii="Calibri" w:hAnsi="Calibri" w:cs="Arial"/>
                <w:b/>
                <w:sz w:val="22"/>
                <w:szCs w:val="22"/>
              </w:rPr>
            </w:pPr>
            <w:r w:rsidRPr="00C1361B">
              <w:rPr>
                <w:rFonts w:ascii="Calibri" w:hAnsi="Calibri" w:cs="Arial"/>
                <w:b/>
                <w:sz w:val="22"/>
                <w:szCs w:val="22"/>
              </w:rPr>
              <w:t>Referencing:</w:t>
            </w:r>
          </w:p>
        </w:tc>
        <w:tc>
          <w:tcPr>
            <w:tcW w:w="7470" w:type="dxa"/>
            <w:gridSpan w:val="3"/>
            <w:tcBorders>
              <w:top w:val="single" w:sz="6" w:space="0" w:color="auto"/>
            </w:tcBorders>
          </w:tcPr>
          <w:p w:rsidR="008E0AB1" w:rsidRPr="008F78C2" w:rsidRDefault="008E0AB1" w:rsidP="000B5356">
            <w:pPr>
              <w:pStyle w:val="BodyText2"/>
              <w:rPr>
                <w:rFonts w:ascii="Calibri" w:hAnsi="Calibri" w:cs="Arial"/>
                <w:sz w:val="18"/>
                <w:szCs w:val="18"/>
              </w:rPr>
            </w:pPr>
            <w:r w:rsidRPr="008F78C2">
              <w:rPr>
                <w:rFonts w:ascii="Calibri" w:hAnsi="Calibri" w:cs="Arial"/>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proofErr w:type="gramStart"/>
            <w:r w:rsidRPr="008F78C2">
              <w:rPr>
                <w:rFonts w:ascii="Calibri" w:hAnsi="Calibri" w:cs="Arial"/>
                <w:sz w:val="18"/>
                <w:szCs w:val="18"/>
              </w:rPr>
              <w:t>initials,  year</w:t>
            </w:r>
            <w:proofErr w:type="gramEnd"/>
            <w:r w:rsidRPr="008F78C2">
              <w:rPr>
                <w:rFonts w:ascii="Calibri" w:hAnsi="Calibri" w:cs="Arial"/>
                <w:sz w:val="18"/>
                <w:szCs w:val="18"/>
              </w:rPr>
              <w:t xml:space="preserve">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8E0AB1" w:rsidRPr="00C1361B" w:rsidTr="008E0AB1">
        <w:trPr>
          <w:trHeight w:val="626"/>
        </w:trPr>
        <w:tc>
          <w:tcPr>
            <w:tcW w:w="1537" w:type="dxa"/>
            <w:tcBorders>
              <w:top w:val="single" w:sz="6" w:space="0" w:color="auto"/>
            </w:tcBorders>
            <w:shd w:val="clear" w:color="auto" w:fill="D9D9D9"/>
          </w:tcPr>
          <w:p w:rsidR="008E0AB1" w:rsidRPr="00C1361B" w:rsidRDefault="008E0AB1" w:rsidP="000B5356">
            <w:pPr>
              <w:rPr>
                <w:rFonts w:ascii="Calibri" w:hAnsi="Calibri" w:cs="Arial"/>
                <w:b/>
                <w:sz w:val="22"/>
                <w:szCs w:val="22"/>
              </w:rPr>
            </w:pPr>
            <w:r>
              <w:rPr>
                <w:rFonts w:ascii="Calibri" w:hAnsi="Calibri" w:cs="Arial"/>
                <w:b/>
                <w:sz w:val="22"/>
                <w:szCs w:val="22"/>
              </w:rPr>
              <w:t>Submission:</w:t>
            </w:r>
          </w:p>
        </w:tc>
        <w:tc>
          <w:tcPr>
            <w:tcW w:w="5543" w:type="dxa"/>
            <w:tcBorders>
              <w:top w:val="single" w:sz="6" w:space="0" w:color="auto"/>
            </w:tcBorders>
          </w:tcPr>
          <w:p w:rsidR="008E0AB1" w:rsidRPr="00152E9D" w:rsidRDefault="008E0AB1" w:rsidP="000B5356">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w:t>
            </w:r>
            <w:proofErr w:type="spellStart"/>
            <w:r w:rsidRPr="00152E9D">
              <w:rPr>
                <w:rFonts w:ascii="Calibri" w:hAnsi="Calibri" w:cs="Arial"/>
                <w:b/>
                <w:sz w:val="22"/>
                <w:szCs w:val="22"/>
              </w:rPr>
              <w:t>Turnitin</w:t>
            </w:r>
            <w:proofErr w:type="spellEnd"/>
            <w:r w:rsidRPr="00152E9D">
              <w:rPr>
                <w:rFonts w:ascii="Calibri" w:hAnsi="Calibri" w:cs="Arial"/>
                <w:b/>
                <w:sz w:val="22"/>
                <w:szCs w:val="22"/>
              </w:rPr>
              <w:t xml:space="preserve"> unless otherwise instructed by the Lecturer. </w:t>
            </w:r>
          </w:p>
          <w:p w:rsidR="008E0AB1" w:rsidRPr="0022746E" w:rsidRDefault="008E0AB1" w:rsidP="000B5356">
            <w:pPr>
              <w:spacing w:before="120" w:after="120"/>
              <w:jc w:val="both"/>
              <w:rPr>
                <w:rFonts w:ascii="Calibri" w:hAnsi="Calibri" w:cs="Arial"/>
                <w:sz w:val="18"/>
                <w:szCs w:val="18"/>
              </w:rPr>
            </w:pPr>
            <w:r w:rsidRPr="00152E9D">
              <w:rPr>
                <w:rFonts w:ascii="Calibri" w:hAnsi="Calibri" w:cs="Arial"/>
                <w:b/>
                <w:sz w:val="22"/>
                <w:szCs w:val="22"/>
              </w:rPr>
              <w:t>Note</w:t>
            </w:r>
            <w:r w:rsidRPr="00152E9D">
              <w:rPr>
                <w:rFonts w:ascii="Calibri" w:hAnsi="Calibri" w:cs="Arial"/>
                <w:sz w:val="22"/>
                <w:szCs w:val="22"/>
              </w:rPr>
              <w:t xml:space="preserve">: the </w:t>
            </w:r>
            <w:proofErr w:type="spellStart"/>
            <w:r w:rsidRPr="00152E9D">
              <w:rPr>
                <w:rFonts w:ascii="Calibri" w:hAnsi="Calibri" w:cs="Arial"/>
                <w:sz w:val="22"/>
                <w:szCs w:val="22"/>
              </w:rPr>
              <w:t>Turnitin</w:t>
            </w:r>
            <w:proofErr w:type="spellEnd"/>
            <w:r w:rsidRPr="00152E9D">
              <w:rPr>
                <w:rFonts w:ascii="Calibri" w:hAnsi="Calibri" w:cs="Arial"/>
                <w:sz w:val="22"/>
                <w:szCs w:val="22"/>
              </w:rPr>
              <w:t xml:space="preserve"> version is the primary submission and acts as a receipt for the student.  </w:t>
            </w:r>
            <w:r w:rsidRPr="00152E9D">
              <w:rPr>
                <w:rFonts w:ascii="Calibri" w:hAnsi="Calibri" w:cs="Arial"/>
                <w:b/>
                <w:sz w:val="22"/>
                <w:szCs w:val="22"/>
              </w:rPr>
              <w:t>Late submission of the electronic version of the assignment wi</w:t>
            </w:r>
            <w:r>
              <w:rPr>
                <w:rFonts w:ascii="Calibri" w:hAnsi="Calibri" w:cs="Arial"/>
                <w:b/>
                <w:sz w:val="22"/>
                <w:szCs w:val="22"/>
              </w:rPr>
              <w:t>ll result in a late penalty</w:t>
            </w:r>
            <w:r w:rsidRPr="00152E9D">
              <w:rPr>
                <w:rFonts w:ascii="Calibri" w:hAnsi="Calibri" w:cs="Arial"/>
                <w:b/>
                <w:sz w:val="22"/>
                <w:szCs w:val="22"/>
              </w:rPr>
              <w:t xml:space="preserve">.  </w:t>
            </w:r>
            <w:r w:rsidRPr="00152E9D">
              <w:rPr>
                <w:rFonts w:ascii="Calibri" w:hAnsi="Calibri" w:cs="Arial"/>
                <w:sz w:val="22"/>
                <w:szCs w:val="22"/>
              </w:rPr>
              <w:t>Penalties for l</w:t>
            </w:r>
            <w:r>
              <w:rPr>
                <w:rFonts w:ascii="Calibri" w:hAnsi="Calibri" w:cs="Arial"/>
                <w:sz w:val="22"/>
                <w:szCs w:val="22"/>
              </w:rPr>
              <w:t>ate submission: Up to one week late, maximum grade D.</w:t>
            </w:r>
            <w:r w:rsidRPr="00152E9D">
              <w:rPr>
                <w:rFonts w:ascii="Calibri" w:hAnsi="Calibri" w:cs="Arial"/>
                <w:sz w:val="22"/>
                <w:szCs w:val="22"/>
              </w:rPr>
              <w:t xml:space="preserve">  Over one week late, Refer.  Only the Extenuating Circumstances Panel may grant an extension.</w:t>
            </w:r>
          </w:p>
        </w:tc>
        <w:tc>
          <w:tcPr>
            <w:tcW w:w="963" w:type="dxa"/>
            <w:tcBorders>
              <w:top w:val="single" w:sz="6" w:space="0" w:color="auto"/>
            </w:tcBorders>
            <w:shd w:val="clear" w:color="auto" w:fill="D9D9D9"/>
          </w:tcPr>
          <w:p w:rsidR="008E0AB1" w:rsidRPr="00C1361B" w:rsidRDefault="008E0AB1" w:rsidP="000B5356">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963" w:type="dxa"/>
            <w:tcBorders>
              <w:top w:val="single" w:sz="6" w:space="0" w:color="auto"/>
            </w:tcBorders>
          </w:tcPr>
          <w:p w:rsidR="008E0AB1" w:rsidRPr="00C1361B" w:rsidRDefault="00321D91" w:rsidP="000B5356">
            <w:pPr>
              <w:rPr>
                <w:rFonts w:ascii="Calibri" w:hAnsi="Calibri" w:cs="Arial"/>
                <w:b/>
              </w:rPr>
            </w:pPr>
            <w:r>
              <w:rPr>
                <w:rFonts w:ascii="Calibri" w:hAnsi="Calibri" w:cs="Arial"/>
                <w:b/>
              </w:rPr>
              <w:t>13/05/18</w:t>
            </w:r>
          </w:p>
        </w:tc>
      </w:tr>
    </w:tbl>
    <w:p w:rsidR="008E0AB1" w:rsidRPr="00C315AF" w:rsidRDefault="008E0AB1" w:rsidP="008E0AB1">
      <w:pPr>
        <w:rPr>
          <w:vanish/>
        </w:rPr>
      </w:pPr>
    </w:p>
    <w:tbl>
      <w:tblPr>
        <w:tblW w:w="899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034"/>
        <w:gridCol w:w="608"/>
        <w:gridCol w:w="354"/>
      </w:tblGrid>
      <w:tr w:rsidR="008E0AB1" w:rsidRPr="00BF30FF" w:rsidTr="008E0AB1">
        <w:trPr>
          <w:trHeight w:val="330"/>
        </w:trPr>
        <w:tc>
          <w:tcPr>
            <w:tcW w:w="8034" w:type="dxa"/>
            <w:vMerge w:val="restart"/>
            <w:shd w:val="pct15" w:color="auto" w:fill="auto"/>
          </w:tcPr>
          <w:p w:rsidR="008E0AB1" w:rsidRPr="00BA1176" w:rsidRDefault="008E0AB1" w:rsidP="000B5356">
            <w:pPr>
              <w:spacing w:before="120" w:after="120"/>
              <w:jc w:val="both"/>
              <w:rPr>
                <w:rFonts w:ascii="Calibri" w:hAnsi="Calibri" w:cs="Calibri"/>
                <w:b/>
                <w:sz w:val="18"/>
                <w:szCs w:val="18"/>
              </w:rPr>
            </w:pPr>
            <w:r>
              <w:rPr>
                <w:rFonts w:ascii="Calibri" w:hAnsi="Calibri" w:cs="Arial"/>
                <w:sz w:val="18"/>
                <w:szCs w:val="18"/>
              </w:rPr>
              <w:t>Module lead</w:t>
            </w:r>
            <w:r w:rsidRPr="00BA1176">
              <w:rPr>
                <w:rFonts w:ascii="Calibri" w:hAnsi="Calibri" w:cs="Arial"/>
                <w:sz w:val="18"/>
                <w:szCs w:val="18"/>
              </w:rPr>
              <w:t xml:space="preserve"> to</w:t>
            </w:r>
            <w:r>
              <w:rPr>
                <w:rFonts w:ascii="Calibri" w:hAnsi="Calibri" w:cs="Arial"/>
                <w:sz w:val="18"/>
                <w:szCs w:val="18"/>
              </w:rPr>
              <w:t xml:space="preserve"> </w:t>
            </w:r>
            <w:r w:rsidRPr="00BA1176">
              <w:rPr>
                <w:rFonts w:ascii="Calibri" w:hAnsi="Calibri" w:cs="Arial"/>
                <w:sz w:val="18"/>
                <w:szCs w:val="18"/>
              </w:rPr>
              <w:t>t</w:t>
            </w:r>
            <w:r>
              <w:rPr>
                <w:rFonts w:ascii="Calibri" w:hAnsi="Calibri" w:cs="Arial"/>
                <w:sz w:val="18"/>
                <w:szCs w:val="18"/>
              </w:rPr>
              <w:t>ick to indicate if a hard copy</w:t>
            </w:r>
            <w:r w:rsidRPr="00BA1176">
              <w:rPr>
                <w:rFonts w:ascii="Calibri" w:hAnsi="Calibri" w:cs="Arial"/>
                <w:sz w:val="18"/>
                <w:szCs w:val="18"/>
              </w:rPr>
              <w:t xml:space="preserve"> version of the assignment must be</w:t>
            </w:r>
            <w:r>
              <w:rPr>
                <w:rFonts w:ascii="Calibri" w:hAnsi="Calibri" w:cs="Arial"/>
                <w:sz w:val="18"/>
                <w:szCs w:val="18"/>
              </w:rPr>
              <w:t xml:space="preserve"> </w:t>
            </w:r>
            <w:proofErr w:type="gramStart"/>
            <w:r>
              <w:rPr>
                <w:rFonts w:ascii="Calibri" w:hAnsi="Calibri" w:cs="Arial"/>
                <w:sz w:val="18"/>
                <w:szCs w:val="18"/>
              </w:rPr>
              <w:t>submitted.*</w:t>
            </w:r>
            <w:proofErr w:type="gramEnd"/>
          </w:p>
        </w:tc>
        <w:tc>
          <w:tcPr>
            <w:tcW w:w="608" w:type="dxa"/>
            <w:shd w:val="pct15" w:color="auto" w:fill="auto"/>
          </w:tcPr>
          <w:p w:rsidR="008E0AB1" w:rsidRPr="00BF30FF" w:rsidRDefault="008E0AB1" w:rsidP="000B5356">
            <w:pPr>
              <w:spacing w:before="120" w:after="120"/>
              <w:jc w:val="both"/>
              <w:rPr>
                <w:rFonts w:ascii="Calibri" w:hAnsi="Calibri" w:cs="Calibri"/>
                <w:b/>
              </w:rPr>
            </w:pPr>
            <w:r w:rsidRPr="00BF30FF">
              <w:rPr>
                <w:rFonts w:ascii="Calibri" w:hAnsi="Calibri" w:cs="Calibri"/>
                <w:b/>
              </w:rPr>
              <w:t>YES</w:t>
            </w:r>
          </w:p>
        </w:tc>
        <w:tc>
          <w:tcPr>
            <w:tcW w:w="354" w:type="dxa"/>
          </w:tcPr>
          <w:p w:rsidR="008E0AB1" w:rsidRPr="00BF30FF" w:rsidRDefault="008E0AB1" w:rsidP="000B5356">
            <w:pPr>
              <w:spacing w:before="120" w:after="120"/>
              <w:jc w:val="both"/>
              <w:rPr>
                <w:rFonts w:ascii="Calibri" w:hAnsi="Calibri" w:cs="Calibri"/>
                <w:b/>
              </w:rPr>
            </w:pPr>
          </w:p>
        </w:tc>
      </w:tr>
      <w:tr w:rsidR="008E0AB1" w:rsidRPr="00BF30FF" w:rsidTr="008E0AB1">
        <w:trPr>
          <w:trHeight w:val="349"/>
        </w:trPr>
        <w:tc>
          <w:tcPr>
            <w:tcW w:w="8034" w:type="dxa"/>
            <w:vMerge/>
            <w:shd w:val="pct15" w:color="auto" w:fill="auto"/>
          </w:tcPr>
          <w:p w:rsidR="008E0AB1" w:rsidRPr="00BF30FF" w:rsidRDefault="008E0AB1" w:rsidP="000B5356">
            <w:pPr>
              <w:spacing w:before="120" w:after="120"/>
              <w:jc w:val="both"/>
              <w:rPr>
                <w:rFonts w:ascii="Calibri" w:hAnsi="Calibri" w:cs="Calibri"/>
                <w:b/>
              </w:rPr>
            </w:pPr>
          </w:p>
        </w:tc>
        <w:tc>
          <w:tcPr>
            <w:tcW w:w="608" w:type="dxa"/>
            <w:shd w:val="pct15" w:color="auto" w:fill="auto"/>
          </w:tcPr>
          <w:p w:rsidR="008E0AB1" w:rsidRPr="00BF30FF" w:rsidRDefault="008E0AB1" w:rsidP="000B5356">
            <w:pPr>
              <w:spacing w:before="120" w:after="120"/>
              <w:jc w:val="both"/>
              <w:rPr>
                <w:rFonts w:ascii="Calibri" w:hAnsi="Calibri" w:cs="Calibri"/>
                <w:b/>
              </w:rPr>
            </w:pPr>
            <w:r w:rsidRPr="00BF30FF">
              <w:rPr>
                <w:rFonts w:ascii="Calibri" w:hAnsi="Calibri" w:cs="Calibri"/>
                <w:b/>
              </w:rPr>
              <w:t>NO</w:t>
            </w:r>
          </w:p>
        </w:tc>
        <w:tc>
          <w:tcPr>
            <w:tcW w:w="354" w:type="dxa"/>
          </w:tcPr>
          <w:p w:rsidR="008E0AB1" w:rsidRPr="00BF30FF" w:rsidRDefault="008E0AB1" w:rsidP="000B5356">
            <w:pPr>
              <w:spacing w:before="120" w:after="120"/>
              <w:jc w:val="both"/>
              <w:rPr>
                <w:rFonts w:ascii="Calibri" w:hAnsi="Calibri" w:cs="Calibri"/>
                <w:b/>
              </w:rPr>
            </w:pPr>
            <w:r>
              <w:rPr>
                <w:rFonts w:ascii="Calibri" w:hAnsi="Calibri" w:cs="Calibri"/>
                <w:b/>
              </w:rPr>
              <w:t>√</w:t>
            </w:r>
          </w:p>
        </w:tc>
      </w:tr>
    </w:tbl>
    <w:p w:rsidR="008E0AB1" w:rsidRDefault="008E0AB1" w:rsidP="008E0AB1">
      <w:pPr>
        <w:rPr>
          <w:sz w:val="32"/>
        </w:rPr>
      </w:pPr>
    </w:p>
    <w:p w:rsidR="003E497F" w:rsidRPr="00545EAD" w:rsidRDefault="00AE0C77">
      <w:pPr>
        <w:rPr>
          <w:rFonts w:cstheme="minorHAnsi"/>
          <w:sz w:val="40"/>
          <w:szCs w:val="40"/>
          <w:u w:val="single"/>
        </w:rPr>
      </w:pPr>
      <w:r w:rsidRPr="00545EAD">
        <w:rPr>
          <w:rFonts w:cstheme="minorHAnsi"/>
          <w:sz w:val="40"/>
          <w:szCs w:val="40"/>
          <w:u w:val="single"/>
        </w:rPr>
        <w:lastRenderedPageBreak/>
        <w:t>Investigating the effectiveness of a teacher lead approach in comparison with a</w:t>
      </w:r>
      <w:r w:rsidR="00B10927">
        <w:rPr>
          <w:rFonts w:cstheme="minorHAnsi"/>
          <w:sz w:val="40"/>
          <w:szCs w:val="40"/>
          <w:u w:val="single"/>
        </w:rPr>
        <w:t>n independent learning approach</w:t>
      </w:r>
    </w:p>
    <w:p w:rsidR="00AE0C77" w:rsidRPr="00545EAD" w:rsidRDefault="00AE0C77">
      <w:pPr>
        <w:rPr>
          <w:rFonts w:cstheme="minorHAnsi"/>
        </w:rPr>
      </w:pPr>
    </w:p>
    <w:p w:rsidR="007B7EFC" w:rsidRPr="00545EAD" w:rsidRDefault="007B7EFC" w:rsidP="007B7EFC">
      <w:pPr>
        <w:rPr>
          <w:rFonts w:eastAsia="Times New Roman" w:cstheme="minorHAnsi"/>
          <w:lang w:eastAsia="en-GB"/>
        </w:rPr>
      </w:pPr>
      <w:r w:rsidRPr="007B7EFC">
        <w:rPr>
          <w:rFonts w:eastAsia="Times New Roman" w:cstheme="minorHAnsi"/>
          <w:b/>
          <w:sz w:val="32"/>
          <w:szCs w:val="32"/>
          <w:u w:val="single"/>
          <w:lang w:eastAsia="en-GB"/>
        </w:rPr>
        <w:t>Introduction</w:t>
      </w:r>
    </w:p>
    <w:p w:rsidR="00F9438E" w:rsidRDefault="00F9438E" w:rsidP="007B7EFC">
      <w:pPr>
        <w:rPr>
          <w:rFonts w:eastAsia="Times New Roman" w:cstheme="minorHAnsi"/>
          <w:lang w:eastAsia="en-GB"/>
        </w:rPr>
      </w:pPr>
      <w:r>
        <w:rPr>
          <w:rFonts w:eastAsia="Times New Roman" w:cstheme="minorHAnsi"/>
          <w:lang w:eastAsia="en-GB"/>
        </w:rPr>
        <w:t>The school in which thi</w:t>
      </w:r>
      <w:r w:rsidR="00BF3C34">
        <w:rPr>
          <w:rFonts w:eastAsia="Times New Roman" w:cstheme="minorHAnsi"/>
          <w:lang w:eastAsia="en-GB"/>
        </w:rPr>
        <w:t xml:space="preserve">s research has taken place contains 1063 students and is categorised as a green-support school by the welsh consortium, Education through Regional Working (ERW). The number of pupils who receive free school meals is 12.7%, which is below the national average of 17.1%. The school has approximately 33% of pupils on the special educational needs register, and 4.8% of pupils have a statement of special educational needs, which are both higher than the national averages of 25.1% and 2.4% respectively.  </w:t>
      </w:r>
    </w:p>
    <w:p w:rsidR="002D0333" w:rsidRDefault="00BF3C34" w:rsidP="007B7EFC">
      <w:pPr>
        <w:rPr>
          <w:rFonts w:eastAsia="Times New Roman" w:cstheme="minorHAnsi"/>
          <w:lang w:eastAsia="en-GB"/>
        </w:rPr>
      </w:pPr>
      <w:r>
        <w:rPr>
          <w:rFonts w:eastAsia="Times New Roman" w:cstheme="minorHAnsi"/>
          <w:lang w:eastAsia="en-GB"/>
        </w:rPr>
        <w:t xml:space="preserve">The investigation was undertaken </w:t>
      </w:r>
      <w:r w:rsidR="002D0333">
        <w:rPr>
          <w:rFonts w:eastAsia="Times New Roman" w:cstheme="minorHAnsi"/>
          <w:lang w:eastAsia="en-GB"/>
        </w:rPr>
        <w:t>with three classes of year 9, key stage 3 (KS3) pupils. The three classes were previously set in Band A, Band B and Band C, whereby the banding reflected the current attainment of pupils. The range was such that Band A has the highest current attainment, and Band B the lowest current attainment. The banding was undertaken prior to this investigation.</w:t>
      </w:r>
    </w:p>
    <w:p w:rsidR="00BF3C34" w:rsidRDefault="002D0333" w:rsidP="007B7EFC">
      <w:pPr>
        <w:rPr>
          <w:rFonts w:eastAsia="Times New Roman" w:cstheme="minorHAnsi"/>
          <w:lang w:eastAsia="en-GB"/>
        </w:rPr>
      </w:pPr>
      <w:r>
        <w:rPr>
          <w:rFonts w:eastAsia="Times New Roman" w:cstheme="minorHAnsi"/>
          <w:lang w:eastAsia="en-GB"/>
        </w:rPr>
        <w:t>The research undertaken was influenced directly from academic research carried out on pedagogical practice and addressing the topic of how learners learn. There was also particular motivation for this research topic due to the current shift in attitudes towards pupil-led approach</w:t>
      </w:r>
      <w:r w:rsidR="00843BA5">
        <w:rPr>
          <w:rFonts w:eastAsia="Times New Roman" w:cstheme="minorHAnsi"/>
          <w:lang w:eastAsia="en-GB"/>
        </w:rPr>
        <w:t>es</w:t>
      </w:r>
      <w:r>
        <w:rPr>
          <w:rFonts w:eastAsia="Times New Roman" w:cstheme="minorHAnsi"/>
          <w:lang w:eastAsia="en-GB"/>
        </w:rPr>
        <w:t xml:space="preserve"> to learning within the science department of school X</w:t>
      </w:r>
      <w:r w:rsidR="008E061E">
        <w:rPr>
          <w:rFonts w:eastAsia="Times New Roman" w:cstheme="minorHAnsi"/>
          <w:lang w:eastAsia="en-GB"/>
        </w:rPr>
        <w:t xml:space="preserve">. This positive shift in attitude is due to the external pressure to incorporate skills in to science lessons and has led to investment in digital resources to allow for more pupil-led learning within the school. </w:t>
      </w:r>
    </w:p>
    <w:p w:rsidR="000E1B83" w:rsidRPr="00B97A4A" w:rsidRDefault="008E061E" w:rsidP="007B7EFC">
      <w:pPr>
        <w:rPr>
          <w:rFonts w:eastAsia="Times New Roman" w:cstheme="minorHAnsi"/>
          <w:lang w:eastAsia="en-GB"/>
        </w:rPr>
      </w:pPr>
      <w:r>
        <w:rPr>
          <w:rFonts w:eastAsia="Times New Roman" w:cstheme="minorHAnsi"/>
          <w:lang w:eastAsia="en-GB"/>
        </w:rPr>
        <w:t>With the on-going debate as to whether pupil-led approaches to learning are as effective as teacher-led approaches to learning, this investigation aims to establish which approach is more e</w:t>
      </w:r>
      <w:r w:rsidR="0009406A">
        <w:rPr>
          <w:rFonts w:eastAsia="Times New Roman" w:cstheme="minorHAnsi"/>
          <w:lang w:eastAsia="en-GB"/>
        </w:rPr>
        <w:t xml:space="preserve">ffective in preparing students for exams. </w:t>
      </w:r>
    </w:p>
    <w:p w:rsidR="00D70CFF" w:rsidRDefault="00D70CFF" w:rsidP="007B7EFC">
      <w:pPr>
        <w:rPr>
          <w:rFonts w:eastAsia="Times New Roman" w:cstheme="minorHAnsi"/>
          <w:b/>
          <w:u w:val="single"/>
          <w:lang w:eastAsia="en-GB"/>
        </w:rPr>
      </w:pPr>
    </w:p>
    <w:p w:rsidR="00545EAD" w:rsidRPr="0043155F" w:rsidRDefault="007B7EFC" w:rsidP="007B7EFC">
      <w:pPr>
        <w:rPr>
          <w:rFonts w:eastAsia="Times New Roman" w:cstheme="minorHAnsi"/>
          <w:sz w:val="32"/>
          <w:szCs w:val="32"/>
          <w:lang w:eastAsia="en-GB"/>
        </w:rPr>
      </w:pPr>
      <w:r w:rsidRPr="0043155F">
        <w:rPr>
          <w:rFonts w:eastAsia="Times New Roman" w:cstheme="minorHAnsi"/>
          <w:b/>
          <w:sz w:val="32"/>
          <w:szCs w:val="32"/>
          <w:u w:val="single"/>
          <w:lang w:eastAsia="en-GB"/>
        </w:rPr>
        <w:t>Literature Review</w:t>
      </w:r>
      <w:r w:rsidRPr="0043155F">
        <w:rPr>
          <w:rFonts w:eastAsia="Times New Roman" w:cstheme="minorHAnsi"/>
          <w:sz w:val="32"/>
          <w:szCs w:val="32"/>
          <w:lang w:eastAsia="en-GB"/>
        </w:rPr>
        <w:t xml:space="preserve"> </w:t>
      </w:r>
    </w:p>
    <w:p w:rsidR="000E1B83" w:rsidRDefault="000E1B83" w:rsidP="007B7EFC">
      <w:pPr>
        <w:rPr>
          <w:rFonts w:eastAsia="Times New Roman" w:cstheme="minorHAnsi"/>
          <w:lang w:eastAsia="en-GB"/>
        </w:rPr>
      </w:pPr>
      <w:r>
        <w:rPr>
          <w:rFonts w:eastAsia="Times New Roman" w:cstheme="minorHAnsi"/>
          <w:lang w:eastAsia="en-GB"/>
        </w:rPr>
        <w:t>Research in to how students learn has been a focus of psychologists since the 1920’</w:t>
      </w:r>
      <w:r w:rsidR="0033559E">
        <w:rPr>
          <w:rFonts w:eastAsia="Times New Roman" w:cstheme="minorHAnsi"/>
          <w:lang w:eastAsia="en-GB"/>
        </w:rPr>
        <w:t>s</w:t>
      </w:r>
      <w:r>
        <w:rPr>
          <w:rFonts w:eastAsia="Times New Roman" w:cstheme="minorHAnsi"/>
          <w:lang w:eastAsia="en-GB"/>
        </w:rPr>
        <w:t xml:space="preserve"> and has yielded much discussion surrounding </w:t>
      </w:r>
      <w:r w:rsidR="0033559E">
        <w:rPr>
          <w:rFonts w:eastAsia="Times New Roman" w:cstheme="minorHAnsi"/>
          <w:lang w:eastAsia="en-GB"/>
        </w:rPr>
        <w:t xml:space="preserve">the application different learning theories within the classroom. The literature reviewed below provides a background in to the well-established learning theories and how they have been debated and applied within secondary education. The literature also provides the underpinning concepts that were the motivation for this research, along with the justification of the research activities undertaken. </w:t>
      </w:r>
    </w:p>
    <w:p w:rsidR="0033559E" w:rsidRDefault="0033559E" w:rsidP="007B7EFC">
      <w:pPr>
        <w:rPr>
          <w:rFonts w:eastAsia="Times New Roman" w:cstheme="minorHAnsi"/>
          <w:lang w:eastAsia="en-GB"/>
        </w:rPr>
      </w:pPr>
    </w:p>
    <w:p w:rsidR="0033559E" w:rsidRDefault="0033660D" w:rsidP="007B7EFC">
      <w:pPr>
        <w:rPr>
          <w:rFonts w:eastAsia="Times New Roman" w:cstheme="minorHAnsi"/>
          <w:lang w:eastAsia="en-GB"/>
        </w:rPr>
      </w:pPr>
      <w:r>
        <w:rPr>
          <w:rFonts w:eastAsia="Times New Roman" w:cstheme="minorHAnsi"/>
          <w:lang w:eastAsia="en-GB"/>
        </w:rPr>
        <w:t xml:space="preserve">The earliest example of a learning theory came as a result from research carried out by </w:t>
      </w:r>
      <w:r w:rsidR="00321D91">
        <w:rPr>
          <w:rFonts w:eastAsia="Times New Roman" w:cstheme="minorHAnsi"/>
          <w:lang w:eastAsia="en-GB"/>
        </w:rPr>
        <w:t xml:space="preserve">(Pavlov </w:t>
      </w:r>
      <w:r>
        <w:rPr>
          <w:rFonts w:eastAsia="Times New Roman" w:cstheme="minorHAnsi"/>
          <w:lang w:eastAsia="en-GB"/>
        </w:rPr>
        <w:t>1897)</w:t>
      </w:r>
      <w:r w:rsidR="00785BED">
        <w:rPr>
          <w:rFonts w:eastAsia="Times New Roman" w:cstheme="minorHAnsi"/>
          <w:lang w:eastAsia="en-GB"/>
        </w:rPr>
        <w:t xml:space="preserve">. The research that was carried out using a dog as a subject yielded that learning occurs in response to external stimulus. This idea resulted in the ‘behaviourist’ learning theory. This theory was later </w:t>
      </w:r>
      <w:r w:rsidR="00321D91">
        <w:rPr>
          <w:rFonts w:eastAsia="Times New Roman" w:cstheme="minorHAnsi"/>
          <w:lang w:eastAsia="en-GB"/>
        </w:rPr>
        <w:t>validated by Watson and (</w:t>
      </w:r>
      <w:proofErr w:type="spellStart"/>
      <w:r w:rsidR="00321D91">
        <w:rPr>
          <w:rFonts w:eastAsia="Times New Roman" w:cstheme="minorHAnsi"/>
          <w:lang w:eastAsia="en-GB"/>
        </w:rPr>
        <w:t>Raynor</w:t>
      </w:r>
      <w:proofErr w:type="spellEnd"/>
      <w:r w:rsidR="00321D91">
        <w:rPr>
          <w:rFonts w:eastAsia="Times New Roman" w:cstheme="minorHAnsi"/>
          <w:lang w:eastAsia="en-GB"/>
        </w:rPr>
        <w:t xml:space="preserve"> </w:t>
      </w:r>
      <w:r w:rsidR="00785BED">
        <w:rPr>
          <w:rFonts w:eastAsia="Times New Roman" w:cstheme="minorHAnsi"/>
          <w:lang w:eastAsia="en-GB"/>
        </w:rPr>
        <w:t xml:space="preserve">1920) who applied Pavlov’s research in the context of a child and found that a fear response could be associated with an external stimulus (classical conditioning). The first approach to the application of behaviourist learning theory for education was proposed by </w:t>
      </w:r>
      <w:r w:rsidR="00321D91">
        <w:rPr>
          <w:rFonts w:eastAsia="Times New Roman" w:cstheme="minorHAnsi"/>
          <w:lang w:eastAsia="en-GB"/>
        </w:rPr>
        <w:t xml:space="preserve">(Skinner </w:t>
      </w:r>
      <w:r w:rsidR="00785BED">
        <w:rPr>
          <w:rFonts w:eastAsia="Times New Roman" w:cstheme="minorHAnsi"/>
          <w:lang w:eastAsia="en-GB"/>
        </w:rPr>
        <w:t xml:space="preserve">1938), </w:t>
      </w:r>
      <w:r w:rsidR="00785BED">
        <w:rPr>
          <w:rFonts w:eastAsia="Times New Roman" w:cstheme="minorHAnsi"/>
          <w:lang w:eastAsia="en-GB"/>
        </w:rPr>
        <w:lastRenderedPageBreak/>
        <w:t xml:space="preserve">who suggested that learning could be as a result of learners being susceptible to positive reinforcement in order to take them through specific steps towards knowledge. </w:t>
      </w:r>
    </w:p>
    <w:p w:rsidR="00A67E17" w:rsidRDefault="00A67E17" w:rsidP="007B7EFC">
      <w:pPr>
        <w:rPr>
          <w:rFonts w:eastAsia="Times New Roman" w:cstheme="minorHAnsi"/>
          <w:lang w:eastAsia="en-GB"/>
        </w:rPr>
      </w:pPr>
    </w:p>
    <w:p w:rsidR="00A67E17" w:rsidRDefault="00A67E17" w:rsidP="007B7EFC">
      <w:pPr>
        <w:rPr>
          <w:rFonts w:eastAsia="Times New Roman" w:cstheme="minorHAnsi"/>
          <w:lang w:eastAsia="en-GB"/>
        </w:rPr>
      </w:pPr>
      <w:r>
        <w:rPr>
          <w:rFonts w:eastAsia="Times New Roman" w:cstheme="minorHAnsi"/>
          <w:lang w:eastAsia="en-GB"/>
        </w:rPr>
        <w:t xml:space="preserve">It is however argued by </w:t>
      </w:r>
      <w:r w:rsidR="00321D91">
        <w:rPr>
          <w:rFonts w:eastAsia="Times New Roman" w:cstheme="minorHAnsi"/>
          <w:lang w:eastAsia="en-GB"/>
        </w:rPr>
        <w:t>(</w:t>
      </w:r>
      <w:proofErr w:type="spellStart"/>
      <w:r>
        <w:rPr>
          <w:rFonts w:eastAsia="Times New Roman" w:cstheme="minorHAnsi"/>
          <w:lang w:eastAsia="en-GB"/>
        </w:rPr>
        <w:t>Mergel</w:t>
      </w:r>
      <w:proofErr w:type="spellEnd"/>
      <w:r>
        <w:rPr>
          <w:rFonts w:eastAsia="Times New Roman" w:cstheme="minorHAnsi"/>
          <w:lang w:eastAsia="en-GB"/>
        </w:rPr>
        <w:t xml:space="preserve"> 1998) that the concept of thought process occurring within the mind of learners is ignored when applying the behaviourist approach within the classroom. The concerns of </w:t>
      </w:r>
      <w:proofErr w:type="spellStart"/>
      <w:r>
        <w:rPr>
          <w:rFonts w:eastAsia="Times New Roman" w:cstheme="minorHAnsi"/>
          <w:lang w:eastAsia="en-GB"/>
        </w:rPr>
        <w:t>Mergel</w:t>
      </w:r>
      <w:proofErr w:type="spellEnd"/>
      <w:r>
        <w:rPr>
          <w:rFonts w:eastAsia="Times New Roman" w:cstheme="minorHAnsi"/>
          <w:lang w:eastAsia="en-GB"/>
        </w:rPr>
        <w:t xml:space="preserve"> are </w:t>
      </w:r>
      <w:r w:rsidR="00AE5BC9">
        <w:rPr>
          <w:rFonts w:eastAsia="Times New Roman" w:cstheme="minorHAnsi"/>
          <w:lang w:eastAsia="en-GB"/>
        </w:rPr>
        <w:t xml:space="preserve">furthered by </w:t>
      </w:r>
      <w:r w:rsidR="00321D91">
        <w:rPr>
          <w:rFonts w:eastAsia="Times New Roman" w:cstheme="minorHAnsi"/>
          <w:lang w:eastAsia="en-GB"/>
        </w:rPr>
        <w:t xml:space="preserve">(Prichard </w:t>
      </w:r>
      <w:r w:rsidR="00AE5BC9">
        <w:rPr>
          <w:rFonts w:eastAsia="Times New Roman" w:cstheme="minorHAnsi"/>
          <w:lang w:eastAsia="en-GB"/>
        </w:rPr>
        <w:t xml:space="preserve">2009) who suggests that the building blocks of prior knowledge within learners’ minds is necessary for the learning process to take place. Prichard continues to express that </w:t>
      </w:r>
      <w:r w:rsidR="00B00642">
        <w:rPr>
          <w:rFonts w:eastAsia="Times New Roman" w:cstheme="minorHAnsi"/>
          <w:lang w:eastAsia="en-GB"/>
        </w:rPr>
        <w:t>this approach does not required the ‘giving’ of knowledge by teachers. The learning approach suggested by Prichard is well-kn</w:t>
      </w:r>
      <w:r w:rsidR="000F0DC6">
        <w:rPr>
          <w:rFonts w:eastAsia="Times New Roman" w:cstheme="minorHAnsi"/>
          <w:lang w:eastAsia="en-GB"/>
        </w:rPr>
        <w:t>own as a constructivist theory, which wa</w:t>
      </w:r>
      <w:r w:rsidR="007D4165">
        <w:rPr>
          <w:rFonts w:eastAsia="Times New Roman" w:cstheme="minorHAnsi"/>
          <w:lang w:eastAsia="en-GB"/>
        </w:rPr>
        <w:t xml:space="preserve">s first suggested by </w:t>
      </w:r>
      <w:r w:rsidR="00321D91">
        <w:rPr>
          <w:rFonts w:eastAsia="Times New Roman" w:cstheme="minorHAnsi"/>
          <w:lang w:eastAsia="en-GB"/>
        </w:rPr>
        <w:t xml:space="preserve">(Piaget </w:t>
      </w:r>
      <w:r w:rsidR="007D4165">
        <w:rPr>
          <w:rFonts w:eastAsia="Times New Roman" w:cstheme="minorHAnsi"/>
          <w:lang w:eastAsia="en-GB"/>
        </w:rPr>
        <w:t>195</w:t>
      </w:r>
      <w:r w:rsidR="000F0DC6">
        <w:rPr>
          <w:rFonts w:eastAsia="Times New Roman" w:cstheme="minorHAnsi"/>
          <w:lang w:eastAsia="en-GB"/>
        </w:rPr>
        <w:t xml:space="preserve">9). </w:t>
      </w:r>
      <w:r w:rsidR="00B066C5">
        <w:rPr>
          <w:rFonts w:eastAsia="Times New Roman" w:cstheme="minorHAnsi"/>
          <w:lang w:eastAsia="en-GB"/>
        </w:rPr>
        <w:t xml:space="preserve">How this is applied within the </w:t>
      </w:r>
      <w:r w:rsidR="00552C5B">
        <w:rPr>
          <w:rFonts w:eastAsia="Times New Roman" w:cstheme="minorHAnsi"/>
          <w:lang w:eastAsia="en-GB"/>
        </w:rPr>
        <w:t xml:space="preserve">constraints of a national curriculum were discussed by </w:t>
      </w:r>
      <w:r w:rsidR="00321D91">
        <w:rPr>
          <w:rFonts w:eastAsia="Times New Roman" w:cstheme="minorHAnsi"/>
          <w:lang w:eastAsia="en-GB"/>
        </w:rPr>
        <w:t>(</w:t>
      </w:r>
      <w:proofErr w:type="spellStart"/>
      <w:r w:rsidR="00552C5B">
        <w:rPr>
          <w:rFonts w:eastAsia="Times New Roman" w:cstheme="minorHAnsi"/>
          <w:lang w:eastAsia="en-GB"/>
        </w:rPr>
        <w:t>Steffe</w:t>
      </w:r>
      <w:proofErr w:type="spellEnd"/>
      <w:r w:rsidR="00321D91">
        <w:rPr>
          <w:rFonts w:eastAsia="Times New Roman" w:cstheme="minorHAnsi"/>
          <w:lang w:eastAsia="en-GB"/>
        </w:rPr>
        <w:t xml:space="preserve"> and Wood </w:t>
      </w:r>
      <w:r w:rsidR="00552C5B">
        <w:rPr>
          <w:rFonts w:eastAsia="Times New Roman" w:cstheme="minorHAnsi"/>
          <w:lang w:eastAsia="en-GB"/>
        </w:rPr>
        <w:t xml:space="preserve">1991), who suggested that teachers should assist in the learning process while asking learners to act on curriculum material provided. This agrees with the idea proposed by Pritchard that the teacher should no-longer be a ‘giver’ of knowledge, but a facilitator to learning. </w:t>
      </w:r>
    </w:p>
    <w:p w:rsidR="00AA73D3" w:rsidRDefault="00AA73D3" w:rsidP="007B7EFC">
      <w:pPr>
        <w:rPr>
          <w:rFonts w:eastAsia="Times New Roman" w:cstheme="minorHAnsi"/>
          <w:lang w:eastAsia="en-GB"/>
        </w:rPr>
      </w:pPr>
    </w:p>
    <w:p w:rsidR="005D4247" w:rsidRDefault="000111EB" w:rsidP="007B7EFC">
      <w:pPr>
        <w:rPr>
          <w:rFonts w:eastAsia="Times New Roman" w:cstheme="minorHAnsi"/>
          <w:lang w:eastAsia="en-GB"/>
        </w:rPr>
      </w:pPr>
      <w:r>
        <w:rPr>
          <w:rFonts w:eastAsia="Times New Roman" w:cstheme="minorHAnsi"/>
          <w:lang w:eastAsia="en-GB"/>
        </w:rPr>
        <w:t xml:space="preserve">A third learning theory that is widely discussed throughout the educational community is the social-constructivist approach to learning that was developed through research by </w:t>
      </w:r>
      <w:r w:rsidR="00321D91">
        <w:rPr>
          <w:rFonts w:eastAsia="Times New Roman" w:cstheme="minorHAnsi"/>
          <w:lang w:eastAsia="en-GB"/>
        </w:rPr>
        <w:t>(</w:t>
      </w:r>
      <w:r>
        <w:rPr>
          <w:rFonts w:eastAsia="Times New Roman" w:cstheme="minorHAnsi"/>
          <w:lang w:eastAsia="en-GB"/>
        </w:rPr>
        <w:t>Vygotsky</w:t>
      </w:r>
      <w:r w:rsidR="009C635D">
        <w:rPr>
          <w:rFonts w:eastAsia="Times New Roman" w:cstheme="minorHAnsi"/>
          <w:lang w:eastAsia="en-GB"/>
        </w:rPr>
        <w:t xml:space="preserve"> 1978). This theory was developed from the constructivist ideas first proposed by Piaget, although disagrees with the concept that learners </w:t>
      </w:r>
      <w:r w:rsidR="00ED5F2B">
        <w:rPr>
          <w:rFonts w:eastAsia="Times New Roman" w:cstheme="minorHAnsi"/>
          <w:lang w:eastAsia="en-GB"/>
        </w:rPr>
        <w:t>facilitate their own learning from pre-existing knowledge. Instead, it is argued that interaction with peers and the co</w:t>
      </w:r>
      <w:r w:rsidR="00A779E9">
        <w:rPr>
          <w:rFonts w:eastAsia="Times New Roman" w:cstheme="minorHAnsi"/>
          <w:lang w:eastAsia="en-GB"/>
        </w:rPr>
        <w:t>nsequent sharing of knowledge is</w:t>
      </w:r>
      <w:r w:rsidR="00ED5F2B">
        <w:rPr>
          <w:rFonts w:eastAsia="Times New Roman" w:cstheme="minorHAnsi"/>
          <w:lang w:eastAsia="en-GB"/>
        </w:rPr>
        <w:t xml:space="preserve"> what best facilitates the learning process, </w:t>
      </w:r>
      <w:r w:rsidR="00321D91">
        <w:rPr>
          <w:rFonts w:eastAsia="Times New Roman" w:cstheme="minorHAnsi"/>
          <w:lang w:eastAsia="en-GB"/>
        </w:rPr>
        <w:t>(</w:t>
      </w:r>
      <w:r w:rsidR="00ED5F2B">
        <w:rPr>
          <w:rFonts w:eastAsia="Times New Roman" w:cstheme="minorHAnsi"/>
          <w:lang w:eastAsia="en-GB"/>
        </w:rPr>
        <w:t xml:space="preserve">Ernest 1999). </w:t>
      </w:r>
      <w:r w:rsidR="00C5790B">
        <w:rPr>
          <w:rFonts w:eastAsia="Times New Roman" w:cstheme="minorHAnsi"/>
          <w:lang w:eastAsia="en-GB"/>
        </w:rPr>
        <w:t xml:space="preserve">Despite the subtle differences between the constructivist and social constructivist views, they both agree that learning is not as a direct result of external stimulus, such as a teacher, but is however as a result of engaging with learning materials, </w:t>
      </w:r>
      <w:r w:rsidR="00321D91">
        <w:rPr>
          <w:rFonts w:eastAsia="Times New Roman" w:cstheme="minorHAnsi"/>
          <w:lang w:eastAsia="en-GB"/>
        </w:rPr>
        <w:t>(</w:t>
      </w:r>
      <w:r w:rsidR="00C5790B">
        <w:rPr>
          <w:rFonts w:eastAsia="Times New Roman" w:cstheme="minorHAnsi"/>
          <w:lang w:eastAsia="en-GB"/>
        </w:rPr>
        <w:t xml:space="preserve">Derry 1999). </w:t>
      </w:r>
    </w:p>
    <w:p w:rsidR="001A1B01" w:rsidRDefault="001A1B01" w:rsidP="007B7EFC">
      <w:pPr>
        <w:rPr>
          <w:rFonts w:eastAsia="Times New Roman" w:cstheme="minorHAnsi"/>
          <w:lang w:eastAsia="en-GB"/>
        </w:rPr>
      </w:pPr>
    </w:p>
    <w:p w:rsidR="00255E2E" w:rsidRDefault="00CD0129" w:rsidP="007B7EFC">
      <w:pPr>
        <w:rPr>
          <w:rFonts w:eastAsia="Times New Roman" w:cstheme="minorHAnsi"/>
          <w:lang w:eastAsia="en-GB"/>
        </w:rPr>
      </w:pPr>
      <w:r>
        <w:rPr>
          <w:rFonts w:eastAsia="Times New Roman" w:cstheme="minorHAnsi"/>
          <w:lang w:eastAsia="en-GB"/>
        </w:rPr>
        <w:t>The learning theories introduced above significantly vary in their approach toward learning. It is commonly accepted within the educational community that the application of a range of learning theories can</w:t>
      </w:r>
      <w:r w:rsidR="002555E4">
        <w:rPr>
          <w:rFonts w:eastAsia="Times New Roman" w:cstheme="minorHAnsi"/>
          <w:lang w:eastAsia="en-GB"/>
        </w:rPr>
        <w:t xml:space="preserve"> results in quality learning within the classroom. This is argued by </w:t>
      </w:r>
      <w:r w:rsidR="00321D91">
        <w:rPr>
          <w:rFonts w:eastAsia="Times New Roman" w:cstheme="minorHAnsi"/>
          <w:lang w:eastAsia="en-GB"/>
        </w:rPr>
        <w:t>(</w:t>
      </w:r>
      <w:r w:rsidR="002555E4">
        <w:rPr>
          <w:rFonts w:eastAsia="Times New Roman" w:cstheme="minorHAnsi"/>
          <w:lang w:eastAsia="en-GB"/>
        </w:rPr>
        <w:t xml:space="preserve">Powel and </w:t>
      </w:r>
      <w:proofErr w:type="spellStart"/>
      <w:r w:rsidR="002555E4">
        <w:rPr>
          <w:rFonts w:eastAsia="Times New Roman" w:cstheme="minorHAnsi"/>
          <w:lang w:eastAsia="en-GB"/>
        </w:rPr>
        <w:t>Kalina</w:t>
      </w:r>
      <w:proofErr w:type="spellEnd"/>
      <w:r w:rsidR="002555E4">
        <w:rPr>
          <w:rFonts w:eastAsia="Times New Roman" w:cstheme="minorHAnsi"/>
          <w:lang w:eastAsia="en-GB"/>
        </w:rPr>
        <w:t xml:space="preserve"> 2009) who suggest that both constructivist and social-constructivist approached are fundamental to efficient communication between teachers and pupils. </w:t>
      </w:r>
      <w:r w:rsidR="00321D91">
        <w:rPr>
          <w:rFonts w:eastAsia="Times New Roman" w:cstheme="minorHAnsi"/>
          <w:lang w:eastAsia="en-GB"/>
        </w:rPr>
        <w:t xml:space="preserve">(Pass </w:t>
      </w:r>
      <w:r w:rsidR="002555E4">
        <w:rPr>
          <w:rFonts w:eastAsia="Times New Roman" w:cstheme="minorHAnsi"/>
          <w:lang w:eastAsia="en-GB"/>
        </w:rPr>
        <w:t xml:space="preserve">2004) is in agreement and suggests that successful implementation of Piaget’s and Vygotsky’s work is resulting in quality teaching and learning across many countries in the world. </w:t>
      </w:r>
      <w:r w:rsidR="00E0370C">
        <w:rPr>
          <w:rFonts w:eastAsia="Times New Roman" w:cstheme="minorHAnsi"/>
          <w:lang w:eastAsia="en-GB"/>
        </w:rPr>
        <w:t xml:space="preserve">This may be due to the successful implementation of Bruner’s theory of cognitive development, as </w:t>
      </w:r>
      <w:r w:rsidR="00321D91">
        <w:rPr>
          <w:rFonts w:eastAsia="Times New Roman" w:cstheme="minorHAnsi"/>
          <w:lang w:eastAsia="en-GB"/>
        </w:rPr>
        <w:t xml:space="preserve">(Plus </w:t>
      </w:r>
      <w:r w:rsidR="00E0370C">
        <w:rPr>
          <w:rFonts w:eastAsia="Times New Roman" w:cstheme="minorHAnsi"/>
          <w:lang w:eastAsia="en-GB"/>
        </w:rPr>
        <w:t>2017) explains; Bruner’s theory of cognitive development is an extension to Piaget’s and Vygotsky’s thinking, whereby learning is a result of combining the external input from a more knowledgeable other with the knowledge already obtained by the learner.</w:t>
      </w:r>
    </w:p>
    <w:p w:rsidR="00B639E2" w:rsidRDefault="00B639E2" w:rsidP="007B7EFC">
      <w:pPr>
        <w:rPr>
          <w:rFonts w:eastAsia="Times New Roman" w:cstheme="minorHAnsi"/>
          <w:lang w:eastAsia="en-GB"/>
        </w:rPr>
      </w:pPr>
    </w:p>
    <w:p w:rsidR="0038212E" w:rsidRDefault="0038212E" w:rsidP="0038212E">
      <w:pPr>
        <w:rPr>
          <w:rFonts w:ascii="Times New Roman" w:eastAsia="Times New Roman" w:hAnsi="Times New Roman" w:cs="Times New Roman"/>
          <w:lang w:eastAsia="en-GB"/>
        </w:rPr>
      </w:pPr>
      <w:r>
        <w:rPr>
          <w:rFonts w:eastAsia="Times New Roman" w:cstheme="minorHAnsi"/>
          <w:lang w:eastAsia="en-GB"/>
        </w:rPr>
        <w:t xml:space="preserve">Although the learning theories are largely debated, throughout academic literature there is a widespread agreement among educational practitioners that the Zone of Proximal Development (ZPD), as introduced by Vygotsky (1978), is fundamental to all learners making progress within lessons. The definition of the ZPD is </w:t>
      </w:r>
      <w:r w:rsidRPr="0038212E">
        <w:rPr>
          <w:rFonts w:ascii="Times New Roman" w:eastAsia="Times New Roman" w:hAnsi="Times New Roman" w:cs="Times New Roman"/>
          <w:lang w:eastAsia="en-GB"/>
        </w:rPr>
        <w:t xml:space="preserve">“the distance between the actual development level as determined by independent problem solving and the level of potential development as determined through problem solving under adult guidance, or in collaboration with more capable </w:t>
      </w:r>
      <w:r w:rsidR="00631D23" w:rsidRPr="0038212E">
        <w:rPr>
          <w:rFonts w:ascii="Times New Roman" w:eastAsia="Times New Roman" w:hAnsi="Times New Roman" w:cs="Times New Roman"/>
          <w:lang w:eastAsia="en-GB"/>
        </w:rPr>
        <w:t>peers”</w:t>
      </w:r>
      <w:r w:rsidR="00631D23">
        <w:rPr>
          <w:rFonts w:ascii="Times New Roman" w:eastAsia="Times New Roman" w:hAnsi="Times New Roman" w:cs="Times New Roman"/>
          <w:lang w:eastAsia="en-GB"/>
        </w:rPr>
        <w:t xml:space="preserve"> </w:t>
      </w:r>
      <w:r w:rsidR="00321D91">
        <w:rPr>
          <w:rFonts w:ascii="Times New Roman" w:eastAsia="Times New Roman" w:hAnsi="Times New Roman" w:cs="Times New Roman"/>
          <w:lang w:eastAsia="en-GB"/>
        </w:rPr>
        <w:t>(</w:t>
      </w:r>
      <w:r w:rsidR="00631D23" w:rsidRPr="0038212E">
        <w:rPr>
          <w:rFonts w:ascii="Times New Roman" w:eastAsia="Times New Roman" w:hAnsi="Times New Roman" w:cs="Times New Roman"/>
          <w:lang w:eastAsia="en-GB"/>
        </w:rPr>
        <w:t>Vygotsky</w:t>
      </w:r>
      <w:r w:rsidR="00321D91">
        <w:rPr>
          <w:rFonts w:ascii="Times New Roman" w:eastAsia="Times New Roman" w:hAnsi="Times New Roman" w:cs="Times New Roman"/>
          <w:lang w:eastAsia="en-GB"/>
        </w:rPr>
        <w:t xml:space="preserve"> </w:t>
      </w:r>
      <w:r w:rsidRPr="0038212E">
        <w:rPr>
          <w:rFonts w:ascii="Times New Roman" w:eastAsia="Times New Roman" w:hAnsi="Times New Roman" w:cs="Times New Roman"/>
          <w:lang w:eastAsia="en-GB"/>
        </w:rPr>
        <w:t xml:space="preserve">1978, p.86). </w:t>
      </w:r>
    </w:p>
    <w:p w:rsidR="00631D23" w:rsidRDefault="00631D23" w:rsidP="0038212E">
      <w:pPr>
        <w:rPr>
          <w:rFonts w:ascii="Times New Roman" w:eastAsia="Times New Roman" w:hAnsi="Times New Roman" w:cs="Times New Roman"/>
          <w:lang w:eastAsia="en-GB"/>
        </w:rPr>
      </w:pPr>
    </w:p>
    <w:p w:rsidR="00631D23" w:rsidRDefault="00631D23" w:rsidP="0038212E">
      <w:pPr>
        <w:rPr>
          <w:rFonts w:ascii="Times New Roman" w:eastAsia="Times New Roman" w:hAnsi="Times New Roman" w:cs="Times New Roman"/>
          <w:lang w:eastAsia="en-GB"/>
        </w:rPr>
      </w:pPr>
      <w:r>
        <w:rPr>
          <w:rFonts w:ascii="Times New Roman" w:eastAsia="Times New Roman" w:hAnsi="Times New Roman" w:cs="Times New Roman"/>
          <w:lang w:eastAsia="en-GB"/>
        </w:rPr>
        <w:lastRenderedPageBreak/>
        <w:t xml:space="preserve">To ensure the progression of all learners, it is expected that each individual learner must access their ZPD during the lesson. In order to do this, scaffolding learners is required throughout each lesson, whereby a learned person can assist the learner in attaining knowledge that they seek from within their ZPD, </w:t>
      </w:r>
      <w:r w:rsidR="00321D91">
        <w:rPr>
          <w:rFonts w:ascii="Times New Roman" w:eastAsia="Times New Roman" w:hAnsi="Times New Roman" w:cs="Times New Roman"/>
          <w:lang w:eastAsia="en-GB"/>
        </w:rPr>
        <w:t>(</w:t>
      </w:r>
      <w:proofErr w:type="spellStart"/>
      <w:r w:rsidR="00321D91">
        <w:rPr>
          <w:rFonts w:ascii="Times New Roman" w:eastAsia="Times New Roman" w:hAnsi="Times New Roman" w:cs="Times New Roman"/>
          <w:lang w:eastAsia="en-GB"/>
        </w:rPr>
        <w:t>Maybin</w:t>
      </w:r>
      <w:proofErr w:type="spellEnd"/>
      <w:r w:rsidR="00321D91">
        <w:rPr>
          <w:rFonts w:ascii="Times New Roman" w:eastAsia="Times New Roman" w:hAnsi="Times New Roman" w:cs="Times New Roman"/>
          <w:lang w:eastAsia="en-GB"/>
        </w:rPr>
        <w:t xml:space="preserve"> et al </w:t>
      </w:r>
      <w:r>
        <w:rPr>
          <w:rFonts w:ascii="Times New Roman" w:eastAsia="Times New Roman" w:hAnsi="Times New Roman" w:cs="Times New Roman"/>
          <w:lang w:eastAsia="en-GB"/>
        </w:rPr>
        <w:t xml:space="preserve">1992). </w:t>
      </w:r>
    </w:p>
    <w:p w:rsidR="006A11A3" w:rsidRPr="0038212E" w:rsidRDefault="006A11A3" w:rsidP="0038212E">
      <w:pPr>
        <w:rPr>
          <w:rFonts w:ascii="Times New Roman" w:eastAsia="Times New Roman" w:hAnsi="Times New Roman" w:cs="Times New Roman"/>
          <w:lang w:eastAsia="en-GB"/>
        </w:rPr>
      </w:pPr>
      <w:r>
        <w:rPr>
          <w:rFonts w:ascii="Times New Roman" w:eastAsia="Times New Roman" w:hAnsi="Times New Roman" w:cs="Times New Roman"/>
          <w:lang w:eastAsia="en-GB"/>
        </w:rPr>
        <w:t>Throughout the investigation it will therefore be expected that regardless of the approach to teaching, all learning will need to be accessing their ZPD and making progress. This ensure the investigation can incorp</w:t>
      </w:r>
      <w:r w:rsidR="00321D91">
        <w:rPr>
          <w:rFonts w:ascii="Times New Roman" w:eastAsia="Times New Roman" w:hAnsi="Times New Roman" w:cs="Times New Roman"/>
          <w:lang w:eastAsia="en-GB"/>
        </w:rPr>
        <w:t>orate learners of all abilities</w:t>
      </w:r>
      <w:r>
        <w:rPr>
          <w:rFonts w:ascii="Times New Roman" w:eastAsia="Times New Roman" w:hAnsi="Times New Roman" w:cs="Times New Roman"/>
          <w:lang w:eastAsia="en-GB"/>
        </w:rPr>
        <w:t xml:space="preserve"> and does not neglect the primary aims of pedagogical practice. </w:t>
      </w:r>
    </w:p>
    <w:p w:rsidR="00267870" w:rsidRDefault="00267870" w:rsidP="007B7EFC">
      <w:pPr>
        <w:rPr>
          <w:rFonts w:eastAsia="Times New Roman" w:cstheme="minorHAnsi"/>
          <w:lang w:eastAsia="en-GB"/>
        </w:rPr>
      </w:pPr>
    </w:p>
    <w:p w:rsidR="002043A2" w:rsidRDefault="00E0370C" w:rsidP="007B7EFC">
      <w:pPr>
        <w:rPr>
          <w:rFonts w:eastAsia="Times New Roman" w:cstheme="minorHAnsi"/>
          <w:lang w:eastAsia="en-GB"/>
        </w:rPr>
      </w:pPr>
      <w:r>
        <w:rPr>
          <w:rFonts w:eastAsia="Times New Roman" w:cstheme="minorHAnsi"/>
          <w:lang w:eastAsia="en-GB"/>
        </w:rPr>
        <w:t xml:space="preserve">From the opinions of Pass, Powel and </w:t>
      </w:r>
      <w:proofErr w:type="spellStart"/>
      <w:r>
        <w:rPr>
          <w:rFonts w:eastAsia="Times New Roman" w:cstheme="minorHAnsi"/>
          <w:lang w:eastAsia="en-GB"/>
        </w:rPr>
        <w:t>Kalina</w:t>
      </w:r>
      <w:proofErr w:type="spellEnd"/>
      <w:r>
        <w:rPr>
          <w:rFonts w:eastAsia="Times New Roman" w:cstheme="minorHAnsi"/>
          <w:lang w:eastAsia="en-GB"/>
        </w:rPr>
        <w:t xml:space="preserve"> above, there has clearly been great success in the implementation of a range of learning theories. How this is undertaken by a teacher and subsequently the role of the teacher </w:t>
      </w:r>
      <w:r w:rsidR="00D729C8">
        <w:rPr>
          <w:rFonts w:eastAsia="Times New Roman" w:cstheme="minorHAnsi"/>
          <w:lang w:eastAsia="en-GB"/>
        </w:rPr>
        <w:t xml:space="preserve">to ensure quality learning within the classroom </w:t>
      </w:r>
      <w:r>
        <w:rPr>
          <w:rFonts w:eastAsia="Times New Roman" w:cstheme="minorHAnsi"/>
          <w:lang w:eastAsia="en-GB"/>
        </w:rPr>
        <w:t>is largely debated</w:t>
      </w:r>
      <w:r w:rsidR="00423E2A">
        <w:rPr>
          <w:rFonts w:eastAsia="Times New Roman" w:cstheme="minorHAnsi"/>
          <w:lang w:eastAsia="en-GB"/>
        </w:rPr>
        <w:t>. There are arguments put forward by</w:t>
      </w:r>
      <w:r w:rsidR="00583B2B">
        <w:rPr>
          <w:rFonts w:eastAsia="Times New Roman" w:cstheme="minorHAnsi"/>
          <w:lang w:eastAsia="en-GB"/>
        </w:rPr>
        <w:t xml:space="preserve"> </w:t>
      </w:r>
      <w:r w:rsidR="00321D91">
        <w:rPr>
          <w:rFonts w:eastAsia="Times New Roman" w:cstheme="minorHAnsi"/>
          <w:lang w:eastAsia="en-GB"/>
        </w:rPr>
        <w:t>(</w:t>
      </w:r>
      <w:proofErr w:type="spellStart"/>
      <w:r w:rsidR="00321D91">
        <w:rPr>
          <w:rFonts w:eastAsia="Times New Roman" w:cstheme="minorHAnsi"/>
          <w:lang w:eastAsia="en-GB"/>
        </w:rPr>
        <w:t>Steffe</w:t>
      </w:r>
      <w:proofErr w:type="spellEnd"/>
      <w:r w:rsidR="00321D91">
        <w:rPr>
          <w:rFonts w:eastAsia="Times New Roman" w:cstheme="minorHAnsi"/>
          <w:lang w:eastAsia="en-GB"/>
        </w:rPr>
        <w:t xml:space="preserve"> and Wood </w:t>
      </w:r>
      <w:r w:rsidR="00583B2B">
        <w:rPr>
          <w:rFonts w:eastAsia="Times New Roman" w:cstheme="minorHAnsi"/>
          <w:lang w:eastAsia="en-GB"/>
        </w:rPr>
        <w:t>1991)</w:t>
      </w:r>
      <w:r w:rsidR="00423E2A">
        <w:rPr>
          <w:rFonts w:eastAsia="Times New Roman" w:cstheme="minorHAnsi"/>
          <w:lang w:eastAsia="en-GB"/>
        </w:rPr>
        <w:t xml:space="preserve"> </w:t>
      </w:r>
      <w:r w:rsidR="00583B2B">
        <w:rPr>
          <w:rFonts w:eastAsia="Times New Roman" w:cstheme="minorHAnsi"/>
          <w:lang w:eastAsia="en-GB"/>
        </w:rPr>
        <w:t>t</w:t>
      </w:r>
      <w:r w:rsidR="00423E2A">
        <w:rPr>
          <w:rFonts w:eastAsia="Times New Roman" w:cstheme="minorHAnsi"/>
          <w:lang w:eastAsia="en-GB"/>
        </w:rPr>
        <w:t xml:space="preserve">hat teaching should take the role of a facilitator towards learning, however, </w:t>
      </w:r>
      <w:r w:rsidR="00321D91">
        <w:rPr>
          <w:rFonts w:eastAsia="Times New Roman" w:cstheme="minorHAnsi"/>
          <w:lang w:eastAsia="en-GB"/>
        </w:rPr>
        <w:t>(</w:t>
      </w:r>
      <w:proofErr w:type="spellStart"/>
      <w:r w:rsidR="00321D91">
        <w:rPr>
          <w:rFonts w:eastAsia="Times New Roman" w:cstheme="minorHAnsi"/>
          <w:lang w:eastAsia="en-GB"/>
        </w:rPr>
        <w:t>Biesta</w:t>
      </w:r>
      <w:proofErr w:type="spellEnd"/>
      <w:r w:rsidR="00321D91">
        <w:rPr>
          <w:rFonts w:eastAsia="Times New Roman" w:cstheme="minorHAnsi"/>
          <w:lang w:eastAsia="en-GB"/>
        </w:rPr>
        <w:t xml:space="preserve"> </w:t>
      </w:r>
      <w:r w:rsidR="00423E2A">
        <w:rPr>
          <w:rFonts w:eastAsia="Times New Roman" w:cstheme="minorHAnsi"/>
          <w:lang w:eastAsia="en-GB"/>
        </w:rPr>
        <w:t xml:space="preserve">2012) expresses concerns that this approach is not </w:t>
      </w:r>
      <w:r w:rsidR="00583B2B">
        <w:rPr>
          <w:rFonts w:eastAsia="Times New Roman" w:cstheme="minorHAnsi"/>
          <w:lang w:eastAsia="en-GB"/>
        </w:rPr>
        <w:t xml:space="preserve">positive in terms of </w:t>
      </w:r>
      <w:r w:rsidR="009553E3">
        <w:rPr>
          <w:rFonts w:eastAsia="Times New Roman" w:cstheme="minorHAnsi"/>
          <w:lang w:eastAsia="en-GB"/>
        </w:rPr>
        <w:t xml:space="preserve">pupil </w:t>
      </w:r>
      <w:r w:rsidR="00583B2B">
        <w:rPr>
          <w:rFonts w:eastAsia="Times New Roman" w:cstheme="minorHAnsi"/>
          <w:lang w:eastAsia="en-GB"/>
        </w:rPr>
        <w:t>learning. Th</w:t>
      </w:r>
      <w:r w:rsidR="003A27E1">
        <w:rPr>
          <w:rFonts w:eastAsia="Times New Roman" w:cstheme="minorHAnsi"/>
          <w:lang w:eastAsia="en-GB"/>
        </w:rPr>
        <w:t>is debate has led to two common</w:t>
      </w:r>
      <w:r w:rsidR="00583B2B">
        <w:rPr>
          <w:rFonts w:eastAsia="Times New Roman" w:cstheme="minorHAnsi"/>
          <w:lang w:eastAsia="en-GB"/>
        </w:rPr>
        <w:t xml:space="preserve"> well researched approaches</w:t>
      </w:r>
      <w:r w:rsidR="003A27E1">
        <w:rPr>
          <w:rFonts w:eastAsia="Times New Roman" w:cstheme="minorHAnsi"/>
          <w:lang w:eastAsia="en-GB"/>
        </w:rPr>
        <w:t>;</w:t>
      </w:r>
      <w:r w:rsidR="00471426">
        <w:rPr>
          <w:rFonts w:eastAsia="Times New Roman" w:cstheme="minorHAnsi"/>
          <w:lang w:eastAsia="en-GB"/>
        </w:rPr>
        <w:t xml:space="preserve"> the teacher-led approach and the pupil-led approach. </w:t>
      </w:r>
      <w:r w:rsidR="00321D91">
        <w:rPr>
          <w:rFonts w:eastAsia="Times New Roman" w:cstheme="minorHAnsi"/>
          <w:lang w:eastAsia="en-GB"/>
        </w:rPr>
        <w:t>(</w:t>
      </w:r>
      <w:proofErr w:type="spellStart"/>
      <w:r w:rsidR="00321D91">
        <w:rPr>
          <w:rFonts w:eastAsia="Times New Roman" w:cstheme="minorHAnsi"/>
          <w:lang w:eastAsia="en-GB"/>
        </w:rPr>
        <w:t>Ormrod</w:t>
      </w:r>
      <w:proofErr w:type="spellEnd"/>
      <w:r w:rsidR="00321D91">
        <w:rPr>
          <w:rFonts w:eastAsia="Times New Roman" w:cstheme="minorHAnsi"/>
          <w:lang w:eastAsia="en-GB"/>
        </w:rPr>
        <w:t xml:space="preserve"> </w:t>
      </w:r>
      <w:r w:rsidR="00F35856">
        <w:rPr>
          <w:rFonts w:eastAsia="Times New Roman" w:cstheme="minorHAnsi"/>
          <w:lang w:eastAsia="en-GB"/>
        </w:rPr>
        <w:t xml:space="preserve">2015) suggests that teacher-led instruction requires the teacher to be in control of the content and course of the lesson, whereas pupil-led instruction allows learners to have considerable control over the issues they address within the lesson and how to address them. </w:t>
      </w:r>
    </w:p>
    <w:p w:rsidR="00DF1829" w:rsidRDefault="00DF1829" w:rsidP="007B7EFC">
      <w:pPr>
        <w:rPr>
          <w:rFonts w:eastAsia="Times New Roman" w:cstheme="minorHAnsi"/>
          <w:lang w:eastAsia="en-GB"/>
        </w:rPr>
      </w:pPr>
    </w:p>
    <w:p w:rsidR="006D4A75" w:rsidRDefault="006D4A75" w:rsidP="007B7EFC">
      <w:pPr>
        <w:rPr>
          <w:rFonts w:eastAsia="Times New Roman" w:cstheme="minorHAnsi"/>
          <w:lang w:eastAsia="en-GB"/>
        </w:rPr>
      </w:pPr>
      <w:r>
        <w:rPr>
          <w:rFonts w:eastAsia="Times New Roman" w:cstheme="minorHAnsi"/>
          <w:lang w:eastAsia="en-GB"/>
        </w:rPr>
        <w:t xml:space="preserve">The student-led approach has become increasingly popular around the world, with large quantities of studies carried out to investigate the effectiveness of this teaching method. A number of these studies have yielded qualitative data alone. </w:t>
      </w:r>
      <w:r w:rsidR="00321D91">
        <w:rPr>
          <w:rFonts w:eastAsia="Times New Roman" w:cstheme="minorHAnsi"/>
          <w:lang w:eastAsia="en-GB"/>
        </w:rPr>
        <w:t>(</w:t>
      </w:r>
      <w:r>
        <w:rPr>
          <w:rFonts w:eastAsia="Times New Roman" w:cstheme="minorHAnsi"/>
          <w:lang w:eastAsia="en-GB"/>
        </w:rPr>
        <w:t xml:space="preserve">Wilkinson, </w:t>
      </w:r>
      <w:proofErr w:type="spellStart"/>
      <w:r>
        <w:rPr>
          <w:rFonts w:eastAsia="Times New Roman" w:cstheme="minorHAnsi"/>
          <w:lang w:eastAsia="en-GB"/>
        </w:rPr>
        <w:t>Tragust</w:t>
      </w:r>
      <w:proofErr w:type="spellEnd"/>
      <w:r>
        <w:rPr>
          <w:rFonts w:eastAsia="Times New Roman" w:cstheme="minorHAnsi"/>
          <w:lang w:eastAsia="en-GB"/>
        </w:rPr>
        <w:t xml:space="preserve">, Leggett &amp; Glasson 1988) is an example of one such study. They allowed students to use prepared worksheets to take responsibility for their own learning. The students were expected to construct new learning from information provided and previous knowledge. The major outcome from this study, based upon questioning of students was that self-esteem of the students was increased, which could potentially imply that their </w:t>
      </w:r>
      <w:r w:rsidR="00A64430">
        <w:rPr>
          <w:rFonts w:eastAsia="Times New Roman" w:cstheme="minorHAnsi"/>
          <w:lang w:eastAsia="en-GB"/>
        </w:rPr>
        <w:t xml:space="preserve">capacity to engage with the learning could be increased. </w:t>
      </w:r>
      <w:r w:rsidR="00C735ED">
        <w:rPr>
          <w:rFonts w:eastAsia="Times New Roman" w:cstheme="minorHAnsi"/>
          <w:lang w:eastAsia="en-GB"/>
        </w:rPr>
        <w:t xml:space="preserve">However, in a similar study which took place in 2 secondary Biology classes by </w:t>
      </w:r>
      <w:r w:rsidR="00321D91">
        <w:rPr>
          <w:rFonts w:eastAsia="Times New Roman" w:cstheme="minorHAnsi"/>
          <w:lang w:eastAsia="en-GB"/>
        </w:rPr>
        <w:t>(</w:t>
      </w:r>
      <w:r w:rsidR="00C735ED">
        <w:rPr>
          <w:rFonts w:eastAsia="Times New Roman" w:cstheme="minorHAnsi"/>
          <w:lang w:eastAsia="en-GB"/>
        </w:rPr>
        <w:t>Akers 1999), the outcomes were not as positive. The study involved students working in groups to develop their understanding of scientific theory. It was concluded that due to a number of reasons, which included standards</w:t>
      </w:r>
      <w:r w:rsidR="00C4081E">
        <w:rPr>
          <w:rFonts w:eastAsia="Times New Roman" w:cstheme="minorHAnsi"/>
          <w:lang w:eastAsia="en-GB"/>
        </w:rPr>
        <w:t xml:space="preserve"> of learning, that the student-</w:t>
      </w:r>
      <w:r w:rsidR="00C735ED">
        <w:rPr>
          <w:rFonts w:eastAsia="Times New Roman" w:cstheme="minorHAnsi"/>
          <w:lang w:eastAsia="en-GB"/>
        </w:rPr>
        <w:t>centred approach was to be stopped, and classes were to return to a more traditional teacher centred approach.</w:t>
      </w:r>
      <w:r w:rsidR="00C4081E">
        <w:rPr>
          <w:rFonts w:eastAsia="Times New Roman" w:cstheme="minorHAnsi"/>
          <w:lang w:eastAsia="en-GB"/>
        </w:rPr>
        <w:t xml:space="preserve"> This does appear however to be an isolated case within this study, as </w:t>
      </w:r>
      <w:r w:rsidR="00321D91">
        <w:rPr>
          <w:rFonts w:eastAsia="Times New Roman" w:cstheme="minorHAnsi"/>
          <w:lang w:eastAsia="en-GB"/>
        </w:rPr>
        <w:t>(</w:t>
      </w:r>
      <w:proofErr w:type="spellStart"/>
      <w:r w:rsidR="00C4081E">
        <w:rPr>
          <w:rFonts w:eastAsia="Times New Roman" w:cstheme="minorHAnsi"/>
          <w:lang w:eastAsia="en-GB"/>
        </w:rPr>
        <w:t>Njoroge</w:t>
      </w:r>
      <w:proofErr w:type="spellEnd"/>
      <w:r w:rsidR="00C4081E">
        <w:rPr>
          <w:rFonts w:eastAsia="Times New Roman" w:cstheme="minorHAnsi"/>
          <w:lang w:eastAsia="en-GB"/>
        </w:rPr>
        <w:t xml:space="preserve"> 1998) found that when using student-led approaches, students were actively participating more within their own learning, and </w:t>
      </w:r>
      <w:r w:rsidR="00321D91">
        <w:rPr>
          <w:rFonts w:eastAsia="Times New Roman" w:cstheme="minorHAnsi"/>
          <w:lang w:eastAsia="en-GB"/>
        </w:rPr>
        <w:t>(</w:t>
      </w:r>
      <w:r w:rsidR="00C4081E">
        <w:rPr>
          <w:rFonts w:eastAsia="Times New Roman" w:cstheme="minorHAnsi"/>
          <w:lang w:eastAsia="en-GB"/>
        </w:rPr>
        <w:t>Rada 1975) also concluded that 100% of students agreed with the statement that they were more interested in their learning when classes were student-led.</w:t>
      </w:r>
      <w:r w:rsidR="000D7AA0">
        <w:rPr>
          <w:rFonts w:eastAsia="Times New Roman" w:cstheme="minorHAnsi"/>
          <w:lang w:eastAsia="en-GB"/>
        </w:rPr>
        <w:t xml:space="preserve"> This is likely to cause a positive effect on learning over time, as increased interest within subjects has been linked to reduced numbers of students becoming disengaged with school, </w:t>
      </w:r>
      <w:r w:rsidR="00321D91">
        <w:rPr>
          <w:rFonts w:eastAsia="Times New Roman" w:cstheme="minorHAnsi"/>
          <w:lang w:eastAsia="en-GB"/>
        </w:rPr>
        <w:t>(</w:t>
      </w:r>
      <w:proofErr w:type="spellStart"/>
      <w:r w:rsidR="00321D91">
        <w:rPr>
          <w:rFonts w:eastAsia="Times New Roman" w:cstheme="minorHAnsi"/>
          <w:lang w:eastAsia="en-GB"/>
        </w:rPr>
        <w:t>Peetsma</w:t>
      </w:r>
      <w:proofErr w:type="spellEnd"/>
      <w:r w:rsidR="00321D91">
        <w:rPr>
          <w:rFonts w:eastAsia="Times New Roman" w:cstheme="minorHAnsi"/>
          <w:lang w:eastAsia="en-GB"/>
        </w:rPr>
        <w:t xml:space="preserve"> and Van der Veen </w:t>
      </w:r>
      <w:r w:rsidR="000D7AA0">
        <w:rPr>
          <w:rFonts w:eastAsia="Times New Roman" w:cstheme="minorHAnsi"/>
          <w:lang w:eastAsia="en-GB"/>
        </w:rPr>
        <w:t xml:space="preserve">2008). </w:t>
      </w:r>
      <w:r w:rsidR="00C4081E">
        <w:rPr>
          <w:rFonts w:eastAsia="Times New Roman" w:cstheme="minorHAnsi"/>
          <w:lang w:eastAsia="en-GB"/>
        </w:rPr>
        <w:t xml:space="preserve"> </w:t>
      </w:r>
      <w:r w:rsidR="00C735ED">
        <w:rPr>
          <w:rFonts w:eastAsia="Times New Roman" w:cstheme="minorHAnsi"/>
          <w:lang w:eastAsia="en-GB"/>
        </w:rPr>
        <w:t xml:space="preserve"> </w:t>
      </w:r>
    </w:p>
    <w:p w:rsidR="00161B04" w:rsidRDefault="00161B04" w:rsidP="007B7EFC">
      <w:pPr>
        <w:rPr>
          <w:rFonts w:eastAsia="Times New Roman" w:cstheme="minorHAnsi"/>
          <w:lang w:eastAsia="en-GB"/>
        </w:rPr>
      </w:pPr>
    </w:p>
    <w:p w:rsidR="00C4081E" w:rsidRDefault="006F6F1B" w:rsidP="007B7EFC">
      <w:pPr>
        <w:rPr>
          <w:rFonts w:eastAsia="Times New Roman" w:cstheme="minorHAnsi"/>
          <w:lang w:eastAsia="en-GB"/>
        </w:rPr>
      </w:pPr>
      <w:r>
        <w:rPr>
          <w:rFonts w:eastAsia="Times New Roman" w:cstheme="minorHAnsi"/>
          <w:lang w:eastAsia="en-GB"/>
        </w:rPr>
        <w:t>There is significant evidence to show that students often prefer student-led instruction, however there is some doubt as to the quantitative value on learning experienced wh</w:t>
      </w:r>
      <w:r w:rsidR="000D7AA0">
        <w:rPr>
          <w:rFonts w:eastAsia="Times New Roman" w:cstheme="minorHAnsi"/>
          <w:lang w:eastAsia="en-GB"/>
        </w:rPr>
        <w:t xml:space="preserve">en such lessons are undertaken. </w:t>
      </w:r>
      <w:r w:rsidR="00321D91">
        <w:rPr>
          <w:rFonts w:eastAsia="Times New Roman" w:cstheme="minorHAnsi"/>
          <w:lang w:eastAsia="en-GB"/>
        </w:rPr>
        <w:t>(</w:t>
      </w:r>
      <w:proofErr w:type="spellStart"/>
      <w:r w:rsidR="000D7AA0">
        <w:rPr>
          <w:rFonts w:eastAsia="Times New Roman" w:cstheme="minorHAnsi"/>
          <w:lang w:eastAsia="en-GB"/>
        </w:rPr>
        <w:t>Seidenstrickers</w:t>
      </w:r>
      <w:proofErr w:type="spellEnd"/>
      <w:r w:rsidR="000D7AA0">
        <w:rPr>
          <w:rFonts w:eastAsia="Times New Roman" w:cstheme="minorHAnsi"/>
          <w:lang w:eastAsia="en-GB"/>
        </w:rPr>
        <w:t xml:space="preserve"> 1999) investigation compared student-led and teacher-led discussions, which ultimately </w:t>
      </w:r>
      <w:r w:rsidR="008C5ED3">
        <w:rPr>
          <w:rFonts w:eastAsia="Times New Roman" w:cstheme="minorHAnsi"/>
          <w:lang w:eastAsia="en-GB"/>
        </w:rPr>
        <w:t xml:space="preserve">concluded with students comprehending topics at a far higher level when directed by the teacher. </w:t>
      </w:r>
      <w:r w:rsidR="006E0633">
        <w:rPr>
          <w:rFonts w:eastAsia="Times New Roman" w:cstheme="minorHAnsi"/>
          <w:lang w:eastAsia="en-GB"/>
        </w:rPr>
        <w:t xml:space="preserve">Despite these concerns, teacher-led instruction has dominated the profession of teaching for decades, with supporters of this </w:t>
      </w:r>
      <w:r w:rsidR="006E0633">
        <w:rPr>
          <w:rFonts w:eastAsia="Times New Roman" w:cstheme="minorHAnsi"/>
          <w:lang w:eastAsia="en-GB"/>
        </w:rPr>
        <w:lastRenderedPageBreak/>
        <w:t>method of teaching still prevalent today. One such supporter is the Schools Minister</w:t>
      </w:r>
      <w:r w:rsidR="006A0104">
        <w:rPr>
          <w:rFonts w:eastAsia="Times New Roman" w:cstheme="minorHAnsi"/>
          <w:lang w:eastAsia="en-GB"/>
        </w:rPr>
        <w:t xml:space="preserve">, Nick Gibb, who recently published an article titled “the evidence in favour of teacher-led instruction” (Department for </w:t>
      </w:r>
      <w:proofErr w:type="spellStart"/>
      <w:r w:rsidR="006A0104">
        <w:rPr>
          <w:rFonts w:eastAsia="Times New Roman" w:cstheme="minorHAnsi"/>
          <w:lang w:eastAsia="en-GB"/>
        </w:rPr>
        <w:t>Eduation</w:t>
      </w:r>
      <w:proofErr w:type="spellEnd"/>
      <w:r w:rsidR="00321D91">
        <w:rPr>
          <w:rFonts w:eastAsia="Times New Roman" w:cstheme="minorHAnsi"/>
          <w:lang w:eastAsia="en-GB"/>
        </w:rPr>
        <w:t xml:space="preserve"> 2017)</w:t>
      </w:r>
      <w:r w:rsidR="006A0104">
        <w:rPr>
          <w:rFonts w:eastAsia="Times New Roman" w:cstheme="minorHAnsi"/>
          <w:lang w:eastAsia="en-GB"/>
        </w:rPr>
        <w:t xml:space="preserve">. Nick Gibb argues that we should assess what evidence is available regarding the efficacy of knowledge-rich curricula and teacher-led methods of teaching. </w:t>
      </w:r>
    </w:p>
    <w:p w:rsidR="009F47B3" w:rsidRDefault="009F47B3" w:rsidP="007B7EFC">
      <w:pPr>
        <w:rPr>
          <w:rFonts w:eastAsia="Times New Roman" w:cstheme="minorHAnsi"/>
          <w:lang w:eastAsia="en-GB"/>
        </w:rPr>
      </w:pPr>
    </w:p>
    <w:p w:rsidR="00F56F19" w:rsidRDefault="003C321F" w:rsidP="007B7EFC">
      <w:pPr>
        <w:rPr>
          <w:rFonts w:eastAsia="Times New Roman" w:cstheme="minorHAnsi"/>
          <w:lang w:eastAsia="en-GB"/>
        </w:rPr>
      </w:pPr>
      <w:r>
        <w:rPr>
          <w:rFonts w:eastAsia="Times New Roman" w:cstheme="minorHAnsi"/>
          <w:lang w:eastAsia="en-GB"/>
        </w:rPr>
        <w:t>Although there is strong support for teacher-led instruction, there is increased demand for producing independen</w:t>
      </w:r>
      <w:r w:rsidR="00321D91">
        <w:rPr>
          <w:rFonts w:eastAsia="Times New Roman" w:cstheme="minorHAnsi"/>
          <w:lang w:eastAsia="en-GB"/>
        </w:rPr>
        <w:t>t learners, as stated by (</w:t>
      </w:r>
      <w:r>
        <w:rPr>
          <w:rFonts w:eastAsia="Times New Roman" w:cstheme="minorHAnsi"/>
          <w:lang w:eastAsia="en-GB"/>
        </w:rPr>
        <w:t>Donaldson</w:t>
      </w:r>
      <w:r w:rsidR="00321D91">
        <w:rPr>
          <w:rFonts w:eastAsia="Times New Roman" w:cstheme="minorHAnsi"/>
          <w:lang w:eastAsia="en-GB"/>
        </w:rPr>
        <w:t xml:space="preserve"> 2015)</w:t>
      </w:r>
      <w:r>
        <w:rPr>
          <w:rFonts w:eastAsia="Times New Roman" w:cstheme="minorHAnsi"/>
          <w:lang w:eastAsia="en-GB"/>
        </w:rPr>
        <w:t xml:space="preserve">, in his </w:t>
      </w:r>
      <w:r w:rsidR="00321D91">
        <w:rPr>
          <w:rFonts w:eastAsia="Times New Roman" w:cstheme="minorHAnsi"/>
          <w:lang w:eastAsia="en-GB"/>
        </w:rPr>
        <w:t>report successful futures</w:t>
      </w:r>
      <w:r>
        <w:rPr>
          <w:rFonts w:eastAsia="Times New Roman" w:cstheme="minorHAnsi"/>
          <w:lang w:eastAsia="en-GB"/>
        </w:rPr>
        <w:t xml:space="preserve">. </w:t>
      </w:r>
      <w:r w:rsidR="00853A82">
        <w:rPr>
          <w:rFonts w:eastAsia="Times New Roman" w:cstheme="minorHAnsi"/>
          <w:lang w:eastAsia="en-GB"/>
        </w:rPr>
        <w:t>This is emulated in the new welsh curriculum that is to be finalised and implemented within school by Ja</w:t>
      </w:r>
      <w:r w:rsidR="0043155F">
        <w:rPr>
          <w:rFonts w:eastAsia="Times New Roman" w:cstheme="minorHAnsi"/>
          <w:lang w:eastAsia="en-GB"/>
        </w:rPr>
        <w:t>nuary 2022 (</w:t>
      </w:r>
      <w:proofErr w:type="spellStart"/>
      <w:r w:rsidR="0043155F">
        <w:rPr>
          <w:rFonts w:eastAsia="Times New Roman" w:cstheme="minorHAnsi"/>
          <w:lang w:eastAsia="en-GB"/>
        </w:rPr>
        <w:t>Gov.Wales</w:t>
      </w:r>
      <w:proofErr w:type="spellEnd"/>
      <w:r w:rsidR="00853A82">
        <w:rPr>
          <w:rFonts w:eastAsia="Times New Roman" w:cstheme="minorHAnsi"/>
          <w:lang w:eastAsia="en-GB"/>
        </w:rPr>
        <w:t xml:space="preserve"> 2018). As part of the new welsh curriculum, the aim of the welsh government is to make learning more experience-based, which may imply the ever-growing importance of more student-led classrooms in wales. It is also encouraged that teachers will be required to develop more creative ways in which to deliver lessons to suit all learners, which again may suggest the shift from teacher-led to student-led learning. </w:t>
      </w:r>
    </w:p>
    <w:p w:rsidR="00D8003C" w:rsidRDefault="00D8003C" w:rsidP="007B7EFC">
      <w:pPr>
        <w:rPr>
          <w:rFonts w:eastAsia="Times New Roman" w:cstheme="minorHAnsi"/>
          <w:lang w:eastAsia="en-GB"/>
        </w:rPr>
      </w:pPr>
    </w:p>
    <w:p w:rsidR="00D8003C" w:rsidRDefault="00A66EC1" w:rsidP="00D8003C">
      <w:pPr>
        <w:rPr>
          <w:rFonts w:eastAsia="Times New Roman" w:cstheme="minorHAnsi"/>
          <w:lang w:eastAsia="en-GB"/>
        </w:rPr>
      </w:pPr>
      <w:r>
        <w:rPr>
          <w:rFonts w:eastAsia="Times New Roman" w:cstheme="minorHAnsi"/>
          <w:lang w:eastAsia="en-GB"/>
        </w:rPr>
        <w:t xml:space="preserve">It is with this divide in </w:t>
      </w:r>
      <w:r w:rsidR="00D8003C">
        <w:rPr>
          <w:rFonts w:eastAsia="Times New Roman" w:cstheme="minorHAnsi"/>
          <w:lang w:eastAsia="en-GB"/>
        </w:rPr>
        <w:t>opinion</w:t>
      </w:r>
      <w:r>
        <w:rPr>
          <w:rFonts w:eastAsia="Times New Roman" w:cstheme="minorHAnsi"/>
          <w:lang w:eastAsia="en-GB"/>
        </w:rPr>
        <w:t xml:space="preserve"> between both academics, teachers and politicians </w:t>
      </w:r>
      <w:r w:rsidR="00D8003C">
        <w:rPr>
          <w:rFonts w:eastAsia="Times New Roman" w:cstheme="minorHAnsi"/>
          <w:lang w:eastAsia="en-GB"/>
        </w:rPr>
        <w:t>that the motivation for investigating the effectiveness of both methods becomes clear. Having established that there is great need to investigate the effectiveness of teacher-led practice against pupil-led practice, the question remains as to how the effectiveness o</w:t>
      </w:r>
      <w:r w:rsidR="001A3286">
        <w:rPr>
          <w:rFonts w:eastAsia="Times New Roman" w:cstheme="minorHAnsi"/>
          <w:lang w:eastAsia="en-GB"/>
        </w:rPr>
        <w:t>f each method should be tested.</w:t>
      </w:r>
    </w:p>
    <w:p w:rsidR="001A3286" w:rsidRDefault="001A3286" w:rsidP="00D8003C">
      <w:pPr>
        <w:rPr>
          <w:rFonts w:eastAsia="Times New Roman" w:cstheme="minorHAnsi"/>
          <w:lang w:eastAsia="en-GB"/>
        </w:rPr>
      </w:pPr>
    </w:p>
    <w:p w:rsidR="00556914" w:rsidRDefault="001A3286" w:rsidP="00D8003C">
      <w:pPr>
        <w:rPr>
          <w:rFonts w:eastAsia="Times New Roman" w:cstheme="minorHAnsi"/>
          <w:lang w:eastAsia="en-GB"/>
        </w:rPr>
      </w:pPr>
      <w:r>
        <w:rPr>
          <w:rFonts w:eastAsia="Times New Roman" w:cstheme="minorHAnsi"/>
          <w:lang w:eastAsia="en-GB"/>
        </w:rPr>
        <w:t>Currently in Wales the major indicators of success are GCSE</w:t>
      </w:r>
      <w:r w:rsidR="00375280">
        <w:rPr>
          <w:rFonts w:eastAsia="Times New Roman" w:cstheme="minorHAnsi"/>
          <w:lang w:eastAsia="en-GB"/>
        </w:rPr>
        <w:t xml:space="preserve"> and PISA results, both of which are tested through individual question papers with an allocated time that students should complete the question </w:t>
      </w:r>
      <w:r w:rsidR="00556914">
        <w:rPr>
          <w:rFonts w:eastAsia="Times New Roman" w:cstheme="minorHAnsi"/>
          <w:lang w:eastAsia="en-GB"/>
        </w:rPr>
        <w:t>paper in. School success in wales is measured using h</w:t>
      </w:r>
      <w:r w:rsidR="0043155F">
        <w:rPr>
          <w:rFonts w:eastAsia="Times New Roman" w:cstheme="minorHAnsi"/>
          <w:lang w:eastAsia="en-GB"/>
        </w:rPr>
        <w:t>eadline performance measures (</w:t>
      </w:r>
      <w:proofErr w:type="spellStart"/>
      <w:r w:rsidR="0043155F">
        <w:rPr>
          <w:rFonts w:eastAsia="Times New Roman" w:cstheme="minorHAnsi"/>
          <w:lang w:eastAsia="en-GB"/>
        </w:rPr>
        <w:t>Gov.Wales</w:t>
      </w:r>
      <w:proofErr w:type="spellEnd"/>
      <w:r w:rsidR="0043155F">
        <w:rPr>
          <w:rFonts w:eastAsia="Times New Roman" w:cstheme="minorHAnsi"/>
          <w:lang w:eastAsia="en-GB"/>
        </w:rPr>
        <w:t xml:space="preserve"> 2018)</w:t>
      </w:r>
      <w:r w:rsidR="00556914">
        <w:rPr>
          <w:rFonts w:eastAsia="Times New Roman" w:cstheme="minorHAnsi"/>
          <w:lang w:eastAsia="en-GB"/>
        </w:rPr>
        <w:t xml:space="preserve">. All performance indicators are dependent on results obtained at KS4 GCSE exams. This is one of the main considerations of school X in influencing this research activity. The major concern within school X is the affect that student-led learning may have on the results obtained at KS4. With varied conclusions drawn within research, this is a justified concern. </w:t>
      </w:r>
    </w:p>
    <w:p w:rsidR="00556914" w:rsidRDefault="00556914" w:rsidP="00D8003C">
      <w:pPr>
        <w:rPr>
          <w:rFonts w:eastAsia="Times New Roman" w:cstheme="minorHAnsi"/>
          <w:lang w:eastAsia="en-GB"/>
        </w:rPr>
      </w:pPr>
    </w:p>
    <w:p w:rsidR="00E35A26" w:rsidRDefault="00556914" w:rsidP="00D8003C">
      <w:pPr>
        <w:rPr>
          <w:rFonts w:eastAsia="Times New Roman" w:cstheme="minorHAnsi"/>
          <w:lang w:eastAsia="en-GB"/>
        </w:rPr>
      </w:pPr>
      <w:r>
        <w:rPr>
          <w:rFonts w:eastAsia="Times New Roman" w:cstheme="minorHAnsi"/>
          <w:lang w:eastAsia="en-GB"/>
        </w:rPr>
        <w:t xml:space="preserve">In order to produce </w:t>
      </w:r>
      <w:r w:rsidR="00FD62AF">
        <w:rPr>
          <w:rFonts w:eastAsia="Times New Roman" w:cstheme="minorHAnsi"/>
          <w:lang w:eastAsia="en-GB"/>
        </w:rPr>
        <w:t xml:space="preserve">results that could potentially influence the teaching strategies within school X, it was therefore clear that any assessment of learning carried out for the teacher-led and student-led lessons would need to follow a comparable </w:t>
      </w:r>
      <w:r w:rsidR="00936F7F">
        <w:rPr>
          <w:rFonts w:eastAsia="Times New Roman" w:cstheme="minorHAnsi"/>
          <w:lang w:eastAsia="en-GB"/>
        </w:rPr>
        <w:t xml:space="preserve">approach to that of the GCSE’s carried out within wales. </w:t>
      </w:r>
      <w:r w:rsidR="00922E38">
        <w:rPr>
          <w:rFonts w:eastAsia="Times New Roman" w:cstheme="minorHAnsi"/>
          <w:lang w:eastAsia="en-GB"/>
        </w:rPr>
        <w:t xml:space="preserve">The exam board that is operating and regulated by the Welsh Government within all schools in wales is the Welsh Joint Education Committee (WJEC). </w:t>
      </w:r>
      <w:r w:rsidR="00FC2C5C">
        <w:rPr>
          <w:rFonts w:eastAsia="Times New Roman" w:cstheme="minorHAnsi"/>
          <w:lang w:eastAsia="en-GB"/>
        </w:rPr>
        <w:t xml:space="preserve">Through </w:t>
      </w:r>
      <w:r w:rsidR="00814548">
        <w:rPr>
          <w:rFonts w:eastAsia="Times New Roman" w:cstheme="minorHAnsi"/>
          <w:lang w:eastAsia="en-GB"/>
        </w:rPr>
        <w:t>scrutiny</w:t>
      </w:r>
      <w:r w:rsidR="00FC2C5C">
        <w:rPr>
          <w:rFonts w:eastAsia="Times New Roman" w:cstheme="minorHAnsi"/>
          <w:lang w:eastAsia="en-GB"/>
        </w:rPr>
        <w:t xml:space="preserve"> of a multitude of physics past papers published by the WJEC, the systems in place for testing each unit of GCSE was a combination of knowledge recall, and</w:t>
      </w:r>
      <w:r w:rsidR="00157894">
        <w:rPr>
          <w:rFonts w:eastAsia="Times New Roman" w:cstheme="minorHAnsi"/>
          <w:lang w:eastAsia="en-GB"/>
        </w:rPr>
        <w:t xml:space="preserve"> skills-</w:t>
      </w:r>
      <w:r w:rsidR="00FC2C5C">
        <w:rPr>
          <w:rFonts w:eastAsia="Times New Roman" w:cstheme="minorHAnsi"/>
          <w:lang w:eastAsia="en-GB"/>
        </w:rPr>
        <w:t xml:space="preserve">based questions. </w:t>
      </w:r>
      <w:r w:rsidR="00157894">
        <w:rPr>
          <w:rFonts w:eastAsia="Times New Roman" w:cstheme="minorHAnsi"/>
          <w:lang w:eastAsia="en-GB"/>
        </w:rPr>
        <w:t>It was therefore necessary to ensure within the test paper written for this inve</w:t>
      </w:r>
      <w:r w:rsidR="00CD5632">
        <w:rPr>
          <w:rFonts w:eastAsia="Times New Roman" w:cstheme="minorHAnsi"/>
          <w:lang w:eastAsia="en-GB"/>
        </w:rPr>
        <w:t>stigation</w:t>
      </w:r>
      <w:r w:rsidR="00694D10">
        <w:rPr>
          <w:rFonts w:eastAsia="Times New Roman" w:cstheme="minorHAnsi"/>
          <w:lang w:eastAsia="en-GB"/>
        </w:rPr>
        <w:t xml:space="preserve"> that</w:t>
      </w:r>
      <w:r w:rsidR="00CD5632">
        <w:rPr>
          <w:rFonts w:eastAsia="Times New Roman" w:cstheme="minorHAnsi"/>
          <w:lang w:eastAsia="en-GB"/>
        </w:rPr>
        <w:t xml:space="preserve"> it would be required</w:t>
      </w:r>
      <w:r w:rsidR="00157894">
        <w:rPr>
          <w:rFonts w:eastAsia="Times New Roman" w:cstheme="minorHAnsi"/>
          <w:lang w:eastAsia="en-GB"/>
        </w:rPr>
        <w:t xml:space="preserve"> to include such questions. </w:t>
      </w:r>
    </w:p>
    <w:p w:rsidR="00B40C0F" w:rsidRDefault="00B40C0F" w:rsidP="007B7EFC">
      <w:pPr>
        <w:rPr>
          <w:rFonts w:eastAsia="Times New Roman" w:cstheme="minorHAnsi"/>
          <w:lang w:eastAsia="en-GB"/>
        </w:rPr>
      </w:pPr>
    </w:p>
    <w:p w:rsidR="00694D10" w:rsidRDefault="00694D10" w:rsidP="007B7EFC">
      <w:pPr>
        <w:rPr>
          <w:rFonts w:eastAsia="Times New Roman" w:cstheme="minorHAnsi"/>
          <w:lang w:eastAsia="en-GB"/>
        </w:rPr>
      </w:pPr>
      <w:r>
        <w:rPr>
          <w:rFonts w:eastAsia="Times New Roman" w:cstheme="minorHAnsi"/>
          <w:lang w:eastAsia="en-GB"/>
        </w:rPr>
        <w:t xml:space="preserve">Given that this investigation was to be carried out in order to facilitate decisions within the science department of school X, it was necessary to investigate the effectiveness of both approaches to classes that span a range of abilities. The decision was also made that year 9 was to be an appropriate level to take part in the investigation due to their current situation within their development. The pupils in year 9 should already have developed the skills required to learn independently throughout their first two years of secondary school and </w:t>
      </w:r>
      <w:r>
        <w:rPr>
          <w:rFonts w:eastAsia="Times New Roman" w:cstheme="minorHAnsi"/>
          <w:lang w:eastAsia="en-GB"/>
        </w:rPr>
        <w:lastRenderedPageBreak/>
        <w:t xml:space="preserve">would contribute to removing any bias towards the results of the investigation. Three sets of year 9 classes could therefore be involved, which include Band A, Band B and Band C classes.   </w:t>
      </w:r>
    </w:p>
    <w:p w:rsidR="00E35A26" w:rsidRPr="00B639E2" w:rsidRDefault="00E35A26" w:rsidP="007B7EFC">
      <w:pPr>
        <w:rPr>
          <w:rFonts w:eastAsia="Times New Roman" w:cstheme="minorHAnsi"/>
          <w:lang w:eastAsia="en-GB"/>
        </w:rPr>
      </w:pPr>
    </w:p>
    <w:p w:rsidR="0043155F" w:rsidRPr="00267870" w:rsidRDefault="0043155F" w:rsidP="007B7EFC">
      <w:pPr>
        <w:rPr>
          <w:rFonts w:eastAsia="Times New Roman" w:cstheme="minorHAnsi"/>
          <w:b/>
          <w:u w:val="single"/>
          <w:lang w:eastAsia="en-GB"/>
        </w:rPr>
      </w:pPr>
      <w:r>
        <w:rPr>
          <w:rFonts w:eastAsia="Times New Roman" w:cstheme="minorHAnsi"/>
          <w:b/>
          <w:u w:val="single"/>
          <w:lang w:eastAsia="en-GB"/>
        </w:rPr>
        <w:t xml:space="preserve">Literature Review Summary </w:t>
      </w:r>
    </w:p>
    <w:p w:rsidR="00C70041" w:rsidRDefault="00267870" w:rsidP="007B7EFC">
      <w:pPr>
        <w:rPr>
          <w:rFonts w:eastAsia="Times New Roman" w:cstheme="minorHAnsi"/>
          <w:lang w:eastAsia="en-GB"/>
        </w:rPr>
      </w:pPr>
      <w:r>
        <w:rPr>
          <w:rFonts w:eastAsia="Times New Roman" w:cstheme="minorHAnsi"/>
          <w:lang w:eastAsia="en-GB"/>
        </w:rPr>
        <w:t xml:space="preserve">The research carried out in this literature review directly influenced the investigation that was undertaken. The learning theories established underpinned the pedagogical methods undertaken. It was clear from reviewing the literature, that a combination of behaviourist, constructivist and social-constructivist approached were required within the investigation. </w:t>
      </w:r>
    </w:p>
    <w:p w:rsidR="00267870" w:rsidRDefault="00267870" w:rsidP="007B7EFC">
      <w:pPr>
        <w:rPr>
          <w:rFonts w:eastAsia="Times New Roman" w:cstheme="minorHAnsi"/>
          <w:lang w:eastAsia="en-GB"/>
        </w:rPr>
      </w:pPr>
      <w:r>
        <w:rPr>
          <w:rFonts w:eastAsia="Times New Roman" w:cstheme="minorHAnsi"/>
          <w:lang w:eastAsia="en-GB"/>
        </w:rPr>
        <w:t xml:space="preserve">The way in which these were applied were determined by the research on the role of the teacher, and the application of student-led and teacher-led approaches. </w:t>
      </w:r>
      <w:r w:rsidR="00733AB9">
        <w:rPr>
          <w:rFonts w:eastAsia="Times New Roman" w:cstheme="minorHAnsi"/>
          <w:lang w:eastAsia="en-GB"/>
        </w:rPr>
        <w:t xml:space="preserve">The research showed large debate and disagreement towards what is the best approach to learning, with large institutions opting for more student-led teaching, whilst Nick Gibb, the Schools Minister provided evidence in favour of teacher-led instruction. This provided excellent motivation for the investigation in to the effectiveness of these two approaches when preparing learners for exams. </w:t>
      </w:r>
    </w:p>
    <w:p w:rsidR="00733AB9" w:rsidRDefault="00733AB9" w:rsidP="007B7EFC">
      <w:pPr>
        <w:rPr>
          <w:rFonts w:eastAsia="Times New Roman" w:cstheme="minorHAnsi"/>
          <w:lang w:eastAsia="en-GB"/>
        </w:rPr>
      </w:pPr>
      <w:r>
        <w:rPr>
          <w:rFonts w:eastAsia="Times New Roman" w:cstheme="minorHAnsi"/>
          <w:lang w:eastAsia="en-GB"/>
        </w:rPr>
        <w:t xml:space="preserve">How the investigation was to take place was also underpinned with accurate and relevant research that suggested that assessment in terms of testing could provide directly comparable results, whilst also mimicking the strategies used to test KS4 pupils for their GCSE’s. </w:t>
      </w:r>
    </w:p>
    <w:p w:rsidR="00961057" w:rsidRDefault="00733AB9" w:rsidP="007B7EFC">
      <w:pPr>
        <w:rPr>
          <w:rFonts w:eastAsia="Times New Roman" w:cstheme="minorHAnsi"/>
          <w:lang w:eastAsia="en-GB"/>
        </w:rPr>
      </w:pPr>
      <w:r>
        <w:rPr>
          <w:rFonts w:eastAsia="Times New Roman" w:cstheme="minorHAnsi"/>
          <w:lang w:eastAsia="en-GB"/>
        </w:rPr>
        <w:t xml:space="preserve">The literature revealed that there is debate to the effectiveness of different learning techniques when applied to different ability learners. This </w:t>
      </w:r>
      <w:r w:rsidR="005A44D4">
        <w:rPr>
          <w:rFonts w:eastAsia="Times New Roman" w:cstheme="minorHAnsi"/>
          <w:lang w:eastAsia="en-GB"/>
        </w:rPr>
        <w:t xml:space="preserve">influenced the decision to carry out this investigation on learners ranging from Band A to Band C, with classes containing MAT pupils and pupils with ALN. </w:t>
      </w:r>
    </w:p>
    <w:p w:rsidR="00B97A4A" w:rsidRDefault="00B97A4A" w:rsidP="007B7EFC">
      <w:pPr>
        <w:rPr>
          <w:rFonts w:eastAsia="Times New Roman" w:cstheme="minorHAnsi"/>
          <w:b/>
          <w:u w:val="single"/>
          <w:lang w:eastAsia="en-GB"/>
        </w:rPr>
      </w:pPr>
    </w:p>
    <w:p w:rsidR="0043155F" w:rsidRPr="0043155F" w:rsidRDefault="007B7EFC" w:rsidP="007B7EFC">
      <w:pPr>
        <w:rPr>
          <w:rFonts w:eastAsia="Times New Roman" w:cstheme="minorHAnsi"/>
          <w:b/>
          <w:sz w:val="32"/>
          <w:szCs w:val="32"/>
          <w:u w:val="single"/>
          <w:lang w:eastAsia="en-GB"/>
        </w:rPr>
      </w:pPr>
      <w:r w:rsidRPr="0043155F">
        <w:rPr>
          <w:rFonts w:eastAsia="Times New Roman" w:cstheme="minorHAnsi"/>
          <w:b/>
          <w:sz w:val="32"/>
          <w:szCs w:val="32"/>
          <w:u w:val="single"/>
          <w:lang w:eastAsia="en-GB"/>
        </w:rPr>
        <w:t xml:space="preserve">School Policy and Practice </w:t>
      </w:r>
    </w:p>
    <w:p w:rsidR="00555509" w:rsidRDefault="00555509" w:rsidP="007B7EFC">
      <w:pPr>
        <w:rPr>
          <w:rFonts w:eastAsia="Times New Roman" w:cstheme="minorHAnsi"/>
          <w:lang w:eastAsia="en-GB"/>
        </w:rPr>
      </w:pPr>
      <w:r>
        <w:rPr>
          <w:rFonts w:eastAsia="Times New Roman" w:cstheme="minorHAnsi"/>
          <w:lang w:eastAsia="en-GB"/>
        </w:rPr>
        <w:t xml:space="preserve">Within this section there is a </w:t>
      </w:r>
      <w:r w:rsidR="0043155F">
        <w:rPr>
          <w:rFonts w:eastAsia="Times New Roman" w:cstheme="minorHAnsi"/>
          <w:lang w:eastAsia="en-GB"/>
        </w:rPr>
        <w:t xml:space="preserve">review of the current school policies in place within school X. There is also a review of the current requirements of school X that have influenced this investigation. </w:t>
      </w:r>
    </w:p>
    <w:p w:rsidR="00555509" w:rsidRDefault="00555509" w:rsidP="007B7EFC">
      <w:pPr>
        <w:rPr>
          <w:rFonts w:eastAsia="Times New Roman" w:cstheme="minorHAnsi"/>
          <w:lang w:eastAsia="en-GB"/>
        </w:rPr>
      </w:pPr>
    </w:p>
    <w:p w:rsidR="00625863" w:rsidRDefault="00BC69E7" w:rsidP="007B7EFC">
      <w:pPr>
        <w:rPr>
          <w:rFonts w:eastAsia="Times New Roman" w:cstheme="minorHAnsi"/>
          <w:lang w:eastAsia="en-GB"/>
        </w:rPr>
      </w:pPr>
      <w:r>
        <w:rPr>
          <w:rFonts w:eastAsia="Times New Roman" w:cstheme="minorHAnsi"/>
          <w:lang w:eastAsia="en-GB"/>
        </w:rPr>
        <w:t>School X is in the midst of re-evaluating its current school policy regarding their approaches to learning within the classroom. This is coming as a shift in the welsh curriculum is promoting the development of skills wit</w:t>
      </w:r>
      <w:r w:rsidR="00DB03BC">
        <w:rPr>
          <w:rFonts w:eastAsia="Times New Roman" w:cstheme="minorHAnsi"/>
          <w:lang w:eastAsia="en-GB"/>
        </w:rPr>
        <w:t>hin normal pedagogical practice</w:t>
      </w:r>
      <w:r>
        <w:rPr>
          <w:rFonts w:eastAsia="Times New Roman" w:cstheme="minorHAnsi"/>
          <w:lang w:eastAsia="en-GB"/>
        </w:rPr>
        <w:t xml:space="preserve"> and reducing </w:t>
      </w:r>
      <w:r w:rsidR="00DB03BC">
        <w:rPr>
          <w:rFonts w:eastAsia="Times New Roman" w:cstheme="minorHAnsi"/>
          <w:lang w:eastAsia="en-GB"/>
        </w:rPr>
        <w:t>the focus on</w:t>
      </w:r>
      <w:r w:rsidR="00555509">
        <w:rPr>
          <w:rFonts w:eastAsia="Times New Roman" w:cstheme="minorHAnsi"/>
          <w:lang w:eastAsia="en-GB"/>
        </w:rPr>
        <w:t xml:space="preserve"> content knowledge alone. </w:t>
      </w:r>
      <w:r w:rsidR="00A10C57">
        <w:rPr>
          <w:rFonts w:eastAsia="Times New Roman" w:cstheme="minorHAnsi"/>
          <w:lang w:eastAsia="en-GB"/>
        </w:rPr>
        <w:t>Due to this ever-changing approach to teaching and learning, there is no current official policy available to all teachers within school X, however it is expected that each teacher is applying an approach to</w:t>
      </w:r>
      <w:r w:rsidR="0067236B">
        <w:rPr>
          <w:rFonts w:eastAsia="Times New Roman" w:cstheme="minorHAnsi"/>
          <w:lang w:eastAsia="en-GB"/>
        </w:rPr>
        <w:t xml:space="preserve"> teaching and learning that embraces</w:t>
      </w:r>
      <w:r w:rsidR="00ED0EE3">
        <w:rPr>
          <w:rFonts w:eastAsia="Times New Roman" w:cstheme="minorHAnsi"/>
          <w:lang w:eastAsia="en-GB"/>
        </w:rPr>
        <w:t xml:space="preserve"> the new w</w:t>
      </w:r>
      <w:r w:rsidR="00A10C57">
        <w:rPr>
          <w:rFonts w:eastAsia="Times New Roman" w:cstheme="minorHAnsi"/>
          <w:lang w:eastAsia="en-GB"/>
        </w:rPr>
        <w:t>elsh curriculum and is backed up with academic reading.</w:t>
      </w:r>
      <w:r w:rsidR="0067236B">
        <w:rPr>
          <w:rFonts w:eastAsia="Times New Roman" w:cstheme="minorHAnsi"/>
          <w:lang w:eastAsia="en-GB"/>
        </w:rPr>
        <w:t xml:space="preserve"> This is managed by each individual department which collates the input of all teachers within the department to prepare schemes of work that are in keeping with the current research on pedagogical practice. </w:t>
      </w:r>
      <w:r w:rsidR="00A10C57">
        <w:rPr>
          <w:rFonts w:eastAsia="Times New Roman" w:cstheme="minorHAnsi"/>
          <w:lang w:eastAsia="en-GB"/>
        </w:rPr>
        <w:t xml:space="preserve"> </w:t>
      </w:r>
    </w:p>
    <w:p w:rsidR="00A10C57" w:rsidRDefault="00A10C57" w:rsidP="007B7EFC">
      <w:pPr>
        <w:rPr>
          <w:rFonts w:eastAsia="Times New Roman" w:cstheme="minorHAnsi"/>
          <w:lang w:eastAsia="en-GB"/>
        </w:rPr>
      </w:pPr>
    </w:p>
    <w:p w:rsidR="00B52645" w:rsidRDefault="00A10C57" w:rsidP="007B7EFC">
      <w:pPr>
        <w:rPr>
          <w:rFonts w:eastAsia="Times New Roman" w:cstheme="minorHAnsi"/>
          <w:lang w:eastAsia="en-GB"/>
        </w:rPr>
      </w:pPr>
      <w:r>
        <w:rPr>
          <w:rFonts w:eastAsia="Times New Roman" w:cstheme="minorHAnsi"/>
          <w:lang w:eastAsia="en-GB"/>
        </w:rPr>
        <w:t xml:space="preserve">In preparation for this research project </w:t>
      </w:r>
      <w:r w:rsidR="008E4BB8">
        <w:rPr>
          <w:rFonts w:eastAsia="Times New Roman" w:cstheme="minorHAnsi"/>
          <w:lang w:eastAsia="en-GB"/>
        </w:rPr>
        <w:t>there was in-</w:t>
      </w:r>
      <w:r>
        <w:rPr>
          <w:rFonts w:eastAsia="Times New Roman" w:cstheme="minorHAnsi"/>
          <w:lang w:eastAsia="en-GB"/>
        </w:rPr>
        <w:t>depth engagement with the schemes of work within the science department of school X in order to further understand the approach that the department was taking as a whole. This reading further provided evidence of the depa</w:t>
      </w:r>
      <w:r w:rsidR="0067236B">
        <w:rPr>
          <w:rFonts w:eastAsia="Times New Roman" w:cstheme="minorHAnsi"/>
          <w:lang w:eastAsia="en-GB"/>
        </w:rPr>
        <w:t>rtment engaging in many student-</w:t>
      </w:r>
      <w:r>
        <w:rPr>
          <w:rFonts w:eastAsia="Times New Roman" w:cstheme="minorHAnsi"/>
          <w:lang w:eastAsia="en-GB"/>
        </w:rPr>
        <w:t xml:space="preserve">led activities </w:t>
      </w:r>
      <w:r w:rsidR="005333C9">
        <w:rPr>
          <w:rFonts w:eastAsia="Times New Roman" w:cstheme="minorHAnsi"/>
          <w:lang w:eastAsia="en-GB"/>
        </w:rPr>
        <w:t>thr</w:t>
      </w:r>
      <w:r w:rsidR="0067236B">
        <w:rPr>
          <w:rFonts w:eastAsia="Times New Roman" w:cstheme="minorHAnsi"/>
          <w:lang w:eastAsia="en-GB"/>
        </w:rPr>
        <w:t>oughout their schemes of work.</w:t>
      </w:r>
      <w:r w:rsidR="00B52645">
        <w:rPr>
          <w:rFonts w:eastAsia="Times New Roman" w:cstheme="minorHAnsi"/>
          <w:lang w:eastAsia="en-GB"/>
        </w:rPr>
        <w:t xml:space="preserve"> This had come following a summer term of re-writing the schemes of work and lesson plans for </w:t>
      </w:r>
      <w:r w:rsidR="00B52645">
        <w:rPr>
          <w:rFonts w:eastAsia="Times New Roman" w:cstheme="minorHAnsi"/>
          <w:lang w:eastAsia="en-GB"/>
        </w:rPr>
        <w:lastRenderedPageBreak/>
        <w:t xml:space="preserve">science for the academic year 2018/19. From this it was clear that the science department was focussed on delivering lessons utilising student-led approaches. </w:t>
      </w:r>
    </w:p>
    <w:p w:rsidR="00B52645" w:rsidRDefault="00B52645" w:rsidP="007B7EFC">
      <w:pPr>
        <w:rPr>
          <w:rFonts w:eastAsia="Times New Roman" w:cstheme="minorHAnsi"/>
          <w:lang w:eastAsia="en-GB"/>
        </w:rPr>
      </w:pPr>
    </w:p>
    <w:p w:rsidR="00A10C57" w:rsidRDefault="0067236B" w:rsidP="007B7EFC">
      <w:pPr>
        <w:rPr>
          <w:rFonts w:eastAsia="Times New Roman" w:cstheme="minorHAnsi"/>
          <w:lang w:eastAsia="en-GB"/>
        </w:rPr>
      </w:pPr>
      <w:r>
        <w:rPr>
          <w:rFonts w:eastAsia="Times New Roman" w:cstheme="minorHAnsi"/>
          <w:lang w:eastAsia="en-GB"/>
        </w:rPr>
        <w:t xml:space="preserve">In particular, there seemed to be many examples of utilising digital resources to promote independent learning of scientific principles and theories. </w:t>
      </w:r>
      <w:r w:rsidR="00B52645">
        <w:rPr>
          <w:rFonts w:eastAsia="Times New Roman" w:cstheme="minorHAnsi"/>
          <w:lang w:eastAsia="en-GB"/>
        </w:rPr>
        <w:t xml:space="preserve">In specific lesson plans there was large emphasis on allowing students freedom to research topics such as the electromagnetic spectrum. This was combined with an ‘expectations’ worksheet which outlined the required knowledge by the end of the lesson. There were also examples of work booklets for year 8 that were written in such a way that teachers were facilitators of learning and were not expected to teach the subjects within the booklets. This allowed the students freedom to teach themselves the concepts, whilst the teacher circulated and discussed any common misconceptions that evolved as part of the students learning. </w:t>
      </w:r>
    </w:p>
    <w:p w:rsidR="00687D88" w:rsidRDefault="00687D88" w:rsidP="007B7EFC">
      <w:pPr>
        <w:rPr>
          <w:rFonts w:eastAsia="Times New Roman" w:cstheme="minorHAnsi"/>
          <w:lang w:eastAsia="en-GB"/>
        </w:rPr>
      </w:pPr>
    </w:p>
    <w:p w:rsidR="00687D88" w:rsidRDefault="00687D88" w:rsidP="007B7EFC">
      <w:pPr>
        <w:rPr>
          <w:rFonts w:eastAsia="Times New Roman" w:cstheme="minorHAnsi"/>
          <w:lang w:eastAsia="en-GB"/>
        </w:rPr>
      </w:pPr>
      <w:r>
        <w:rPr>
          <w:rFonts w:eastAsia="Times New Roman" w:cstheme="minorHAnsi"/>
          <w:lang w:eastAsia="en-GB"/>
        </w:rPr>
        <w:t xml:space="preserve">Having observed the student-led lessons I observed the enjoyment and positive attitudes the students were taking towards learning. However, there was a concern throughout these observations that not all learners were making progress within the lesson, which is a fundamental requirement within teaching. This concern was shared within a discussion with the science department, who felt that research in to the effectiveness of the student-led approach would be hugely beneficial to the department, particularly at this time of change within the way in which lessons are being taught. It was decided an excellent measure of success within the student-led lessons would be to compare results from a teacher-led perspective. This would allow a direct comparison between two types of lesson, and any recommendations following this research would inform the teaching practice within the department in the near future. </w:t>
      </w:r>
    </w:p>
    <w:p w:rsidR="00BC69E7" w:rsidRDefault="00BC69E7" w:rsidP="007B7EFC">
      <w:pPr>
        <w:rPr>
          <w:rFonts w:eastAsia="Times New Roman" w:cstheme="minorHAnsi"/>
          <w:lang w:eastAsia="en-GB"/>
        </w:rPr>
      </w:pPr>
    </w:p>
    <w:p w:rsidR="007B7EFC" w:rsidRDefault="007B7EFC" w:rsidP="007B7EFC">
      <w:pPr>
        <w:rPr>
          <w:rFonts w:eastAsia="Times New Roman" w:cstheme="minorHAnsi"/>
          <w:b/>
          <w:sz w:val="32"/>
          <w:szCs w:val="32"/>
          <w:u w:val="single"/>
          <w:lang w:eastAsia="en-GB"/>
        </w:rPr>
      </w:pPr>
      <w:r w:rsidRPr="0043155F">
        <w:rPr>
          <w:rFonts w:eastAsia="Times New Roman" w:cstheme="minorHAnsi"/>
          <w:b/>
          <w:sz w:val="32"/>
          <w:szCs w:val="32"/>
          <w:u w:val="single"/>
          <w:lang w:eastAsia="en-GB"/>
        </w:rPr>
        <w:t xml:space="preserve">Methodology &amp; Ethics </w:t>
      </w:r>
    </w:p>
    <w:p w:rsidR="0043155F" w:rsidRPr="0043155F" w:rsidRDefault="0043155F" w:rsidP="007B7EFC">
      <w:pPr>
        <w:rPr>
          <w:rFonts w:eastAsia="Times New Roman" w:cstheme="minorHAnsi"/>
          <w:b/>
          <w:sz w:val="32"/>
          <w:szCs w:val="32"/>
          <w:u w:val="single"/>
          <w:lang w:eastAsia="en-GB"/>
        </w:rPr>
      </w:pPr>
    </w:p>
    <w:p w:rsidR="00801DF4" w:rsidRPr="005E0212" w:rsidRDefault="005E0212" w:rsidP="007B7EFC">
      <w:pPr>
        <w:rPr>
          <w:rFonts w:eastAsia="Times New Roman" w:cstheme="minorHAnsi"/>
          <w:b/>
          <w:u w:val="single"/>
          <w:lang w:eastAsia="en-GB"/>
        </w:rPr>
      </w:pPr>
      <w:r w:rsidRPr="005E0212">
        <w:rPr>
          <w:rFonts w:eastAsia="Times New Roman" w:cstheme="minorHAnsi"/>
          <w:b/>
          <w:u w:val="single"/>
          <w:lang w:eastAsia="en-GB"/>
        </w:rPr>
        <w:t>Ethics and Experimental Planning</w:t>
      </w:r>
    </w:p>
    <w:p w:rsidR="0085369D" w:rsidRDefault="007B7EFC" w:rsidP="007B7EFC">
      <w:pPr>
        <w:rPr>
          <w:rFonts w:eastAsia="Times New Roman" w:cstheme="minorHAnsi"/>
          <w:lang w:eastAsia="en-GB"/>
        </w:rPr>
      </w:pPr>
      <w:r w:rsidRPr="0085369D">
        <w:rPr>
          <w:rFonts w:eastAsia="Times New Roman" w:cstheme="minorHAnsi"/>
          <w:color w:val="FF0000"/>
          <w:lang w:eastAsia="en-GB"/>
        </w:rPr>
        <w:t xml:space="preserve"> </w:t>
      </w:r>
      <w:r w:rsidR="0085369D">
        <w:rPr>
          <w:rFonts w:eastAsia="Times New Roman" w:cstheme="minorHAnsi"/>
          <w:lang w:eastAsia="en-GB"/>
        </w:rPr>
        <w:t>The methodology for this investigation has been formed from sound research in to literature, and with ethical full ethical approval prior to engaging with the research project within school X. The ethical literature is discussed below and following this the complete method is outlined. To conclude this section there is a short outline of the benefits and limitations of this investigation.</w:t>
      </w:r>
    </w:p>
    <w:p w:rsidR="00B97A4A" w:rsidRDefault="00B97A4A" w:rsidP="007B7EFC">
      <w:pPr>
        <w:rPr>
          <w:rFonts w:eastAsia="Times New Roman" w:cstheme="minorHAnsi"/>
          <w:lang w:eastAsia="en-GB"/>
        </w:rPr>
      </w:pPr>
    </w:p>
    <w:p w:rsidR="0085369D" w:rsidRDefault="00A854BF" w:rsidP="007B7EFC">
      <w:pPr>
        <w:rPr>
          <w:rFonts w:eastAsia="Times New Roman" w:cstheme="minorHAnsi"/>
          <w:lang w:eastAsia="en-GB"/>
        </w:rPr>
      </w:pPr>
      <w:r>
        <w:rPr>
          <w:rFonts w:eastAsia="Times New Roman" w:cstheme="minorHAnsi"/>
          <w:lang w:eastAsia="en-GB"/>
        </w:rPr>
        <w:t>Firstly, the particip</w:t>
      </w:r>
      <w:r w:rsidR="009028A8">
        <w:rPr>
          <w:rFonts w:eastAsia="Times New Roman" w:cstheme="minorHAnsi"/>
          <w:lang w:eastAsia="en-GB"/>
        </w:rPr>
        <w:t xml:space="preserve">ants of this investigation had previously engaged in an informed consent process, whereby the investigation outlines were explained in full. This is an important part of carrying out the ethically informed investigation, as </w:t>
      </w:r>
      <w:r w:rsidR="00321D91">
        <w:rPr>
          <w:rFonts w:eastAsia="Times New Roman" w:cstheme="minorHAnsi"/>
          <w:lang w:eastAsia="en-GB"/>
        </w:rPr>
        <w:t>(</w:t>
      </w:r>
      <w:proofErr w:type="spellStart"/>
      <w:r w:rsidR="00321D91">
        <w:rPr>
          <w:rFonts w:eastAsia="Times New Roman" w:cstheme="minorHAnsi"/>
          <w:lang w:eastAsia="en-GB"/>
        </w:rPr>
        <w:t>Diener</w:t>
      </w:r>
      <w:proofErr w:type="spellEnd"/>
      <w:r w:rsidR="00321D91">
        <w:rPr>
          <w:rFonts w:eastAsia="Times New Roman" w:cstheme="minorHAnsi"/>
          <w:lang w:eastAsia="en-GB"/>
        </w:rPr>
        <w:t xml:space="preserve"> and Crandall </w:t>
      </w:r>
      <w:r w:rsidR="009028A8">
        <w:rPr>
          <w:rFonts w:eastAsia="Times New Roman" w:cstheme="minorHAnsi"/>
          <w:lang w:eastAsia="en-GB"/>
        </w:rPr>
        <w:t xml:space="preserve">1978) defines informed consent as the procedures in which individuals choose whether to take part in an investigation after being informed of the fact that may influence their decision. </w:t>
      </w:r>
    </w:p>
    <w:p w:rsidR="009028A8" w:rsidRDefault="009028A8" w:rsidP="007B7EFC">
      <w:pPr>
        <w:rPr>
          <w:rFonts w:eastAsia="Times New Roman" w:cstheme="minorHAnsi"/>
          <w:lang w:eastAsia="en-GB"/>
        </w:rPr>
      </w:pPr>
    </w:p>
    <w:p w:rsidR="009028A8" w:rsidRDefault="009028A8" w:rsidP="007B7EFC">
      <w:pPr>
        <w:rPr>
          <w:rFonts w:eastAsia="Times New Roman" w:cstheme="minorHAnsi"/>
          <w:lang w:eastAsia="en-GB"/>
        </w:rPr>
      </w:pPr>
      <w:r>
        <w:rPr>
          <w:rFonts w:eastAsia="Times New Roman" w:cstheme="minorHAnsi"/>
          <w:lang w:eastAsia="en-GB"/>
        </w:rPr>
        <w:t xml:space="preserve">All learners were also deemed competent, to ensure they had the capacity to make the right choice whether to take part in the investigation on hearing the full details of the investigation taking place. </w:t>
      </w:r>
      <w:r w:rsidR="00152225">
        <w:rPr>
          <w:rFonts w:eastAsia="Times New Roman" w:cstheme="minorHAnsi"/>
          <w:lang w:eastAsia="en-GB"/>
        </w:rPr>
        <w:t xml:space="preserve">It was also fully explained that taking part was on a volunteer basis only, and withdrawal from the investigation was permitted at any point. The full information, which included handling of data and the intended statistical analysis was provided to students to ensure their choice was fully informed. </w:t>
      </w:r>
      <w:r w:rsidR="00D378CF">
        <w:rPr>
          <w:rFonts w:eastAsia="Times New Roman" w:cstheme="minorHAnsi"/>
          <w:lang w:eastAsia="en-GB"/>
        </w:rPr>
        <w:t xml:space="preserve">During the informed consent </w:t>
      </w:r>
      <w:r w:rsidR="00D378CF">
        <w:rPr>
          <w:rFonts w:eastAsia="Times New Roman" w:cstheme="minorHAnsi"/>
          <w:lang w:eastAsia="en-GB"/>
        </w:rPr>
        <w:lastRenderedPageBreak/>
        <w:t xml:space="preserve">phase of the investigation, the explanations were undertaken sensitively with reference to Fine and </w:t>
      </w:r>
      <w:r w:rsidR="00321D91">
        <w:rPr>
          <w:rFonts w:eastAsia="Times New Roman" w:cstheme="minorHAnsi"/>
          <w:lang w:eastAsia="en-GB"/>
        </w:rPr>
        <w:t>(</w:t>
      </w:r>
      <w:proofErr w:type="spellStart"/>
      <w:r w:rsidR="00321D91">
        <w:rPr>
          <w:rFonts w:eastAsia="Times New Roman" w:cstheme="minorHAnsi"/>
          <w:lang w:eastAsia="en-GB"/>
        </w:rPr>
        <w:t>Sandstom’s</w:t>
      </w:r>
      <w:proofErr w:type="spellEnd"/>
      <w:r w:rsidR="00321D91">
        <w:rPr>
          <w:rFonts w:eastAsia="Times New Roman" w:cstheme="minorHAnsi"/>
          <w:lang w:eastAsia="en-GB"/>
        </w:rPr>
        <w:t xml:space="preserve"> </w:t>
      </w:r>
      <w:r w:rsidR="00D378CF">
        <w:rPr>
          <w:rFonts w:eastAsia="Times New Roman" w:cstheme="minorHAnsi"/>
          <w:lang w:eastAsia="en-GB"/>
        </w:rPr>
        <w:t xml:space="preserve">1988) studies that investigate obtaining informed consent from students when there is a teacher and student power differential inherent within the classroom. Again, this was handled sensitively with constant enforcement of the fact that participating was voluntary and not expected. </w:t>
      </w:r>
    </w:p>
    <w:p w:rsidR="00D378CF" w:rsidRDefault="00D378CF" w:rsidP="007B7EFC">
      <w:pPr>
        <w:rPr>
          <w:rFonts w:eastAsia="Times New Roman" w:cstheme="minorHAnsi"/>
          <w:lang w:eastAsia="en-GB"/>
        </w:rPr>
      </w:pPr>
    </w:p>
    <w:p w:rsidR="00D378CF" w:rsidRDefault="00456B20" w:rsidP="007B7EFC">
      <w:pPr>
        <w:rPr>
          <w:rFonts w:eastAsia="Times New Roman" w:cstheme="minorHAnsi"/>
          <w:lang w:eastAsia="en-GB"/>
        </w:rPr>
      </w:pPr>
      <w:r>
        <w:rPr>
          <w:rFonts w:eastAsia="Times New Roman" w:cstheme="minorHAnsi"/>
          <w:lang w:eastAsia="en-GB"/>
        </w:rPr>
        <w:t xml:space="preserve">The sample size of this investigation was limited due to the confines of day-to-day teaching practice. However, the sample was to </w:t>
      </w:r>
      <w:r w:rsidR="00C866DB">
        <w:rPr>
          <w:rFonts w:eastAsia="Times New Roman" w:cstheme="minorHAnsi"/>
          <w:lang w:eastAsia="en-GB"/>
        </w:rPr>
        <w:t>represent approximately 90 year-</w:t>
      </w:r>
      <w:r>
        <w:rPr>
          <w:rFonts w:eastAsia="Times New Roman" w:cstheme="minorHAnsi"/>
          <w:lang w:eastAsia="en-GB"/>
        </w:rPr>
        <w:t>9 students, who made up approximately 70</w:t>
      </w:r>
      <w:r w:rsidR="00545ACB">
        <w:rPr>
          <w:rFonts w:eastAsia="Times New Roman" w:cstheme="minorHAnsi"/>
          <w:lang w:eastAsia="en-GB"/>
        </w:rPr>
        <w:t xml:space="preserve">% of year 9 pupils at school X, and with a split of approximately 50% girls and 50% boys. </w:t>
      </w:r>
      <w:r w:rsidR="00321D91">
        <w:rPr>
          <w:rFonts w:eastAsia="Times New Roman" w:cstheme="minorHAnsi"/>
          <w:lang w:eastAsia="en-GB"/>
        </w:rPr>
        <w:t>(</w:t>
      </w:r>
      <w:proofErr w:type="spellStart"/>
      <w:r w:rsidR="000B3FAE">
        <w:rPr>
          <w:rFonts w:eastAsia="Times New Roman" w:cstheme="minorHAnsi"/>
          <w:lang w:eastAsia="en-GB"/>
        </w:rPr>
        <w:t>Krejcie</w:t>
      </w:r>
      <w:proofErr w:type="spellEnd"/>
      <w:r w:rsidR="000B3FAE">
        <w:rPr>
          <w:rFonts w:eastAsia="Times New Roman" w:cstheme="minorHAnsi"/>
          <w:lang w:eastAsia="en-GB"/>
        </w:rPr>
        <w:t xml:space="preserve"> and Morgan 1970) suggest that the relationship between population and sample size varies based upon population size. Guidelines discussed within this publication suggest that for a population of 100 students, 80% of students should be involved in the sample in order to represent the population. Whereas for a population size of 1200, only 25% may be sufficient to represent the sample within investigations. Following these </w:t>
      </w:r>
      <w:r w:rsidR="003E009D">
        <w:rPr>
          <w:rFonts w:eastAsia="Times New Roman" w:cstheme="minorHAnsi"/>
          <w:lang w:eastAsia="en-GB"/>
        </w:rPr>
        <w:t>guidelines,</w:t>
      </w:r>
      <w:r w:rsidR="000B3FAE">
        <w:rPr>
          <w:rFonts w:eastAsia="Times New Roman" w:cstheme="minorHAnsi"/>
          <w:lang w:eastAsia="en-GB"/>
        </w:rPr>
        <w:t xml:space="preserve"> the sample size within this investigation</w:t>
      </w:r>
      <w:r>
        <w:rPr>
          <w:rFonts w:eastAsia="Times New Roman" w:cstheme="minorHAnsi"/>
          <w:lang w:eastAsia="en-GB"/>
        </w:rPr>
        <w:t xml:space="preserve"> represents a sufficiently large sample size to potentially draw conclusion that may accurately represent the year as a whole. </w:t>
      </w:r>
    </w:p>
    <w:p w:rsidR="00A93D28" w:rsidRDefault="00A93D28" w:rsidP="007B7EFC">
      <w:pPr>
        <w:rPr>
          <w:rFonts w:eastAsia="Times New Roman" w:cstheme="minorHAnsi"/>
          <w:lang w:eastAsia="en-GB"/>
        </w:rPr>
      </w:pPr>
    </w:p>
    <w:p w:rsidR="003D678D" w:rsidRDefault="00E150AB" w:rsidP="007B7EFC">
      <w:pPr>
        <w:rPr>
          <w:rFonts w:eastAsia="Times New Roman" w:cstheme="minorHAnsi"/>
          <w:lang w:eastAsia="en-GB"/>
        </w:rPr>
      </w:pPr>
      <w:r>
        <w:rPr>
          <w:rFonts w:eastAsia="Times New Roman" w:cstheme="minorHAnsi"/>
          <w:lang w:eastAsia="en-GB"/>
        </w:rPr>
        <w:t xml:space="preserve">Having established a need for quantitative data, it was required to be sensitive to the variables that may affect the validity and reliability of the data. </w:t>
      </w:r>
      <w:r w:rsidR="007F69C8">
        <w:rPr>
          <w:rFonts w:eastAsia="Times New Roman" w:cstheme="minorHAnsi"/>
          <w:lang w:eastAsia="en-GB"/>
        </w:rPr>
        <w:t xml:space="preserve">It is suggested within </w:t>
      </w:r>
      <w:r w:rsidR="00321D91">
        <w:rPr>
          <w:rFonts w:eastAsia="Times New Roman" w:cstheme="minorHAnsi"/>
          <w:lang w:eastAsia="en-GB"/>
        </w:rPr>
        <w:t>(</w:t>
      </w:r>
      <w:proofErr w:type="spellStart"/>
      <w:r w:rsidR="00321D91">
        <w:rPr>
          <w:rFonts w:eastAsia="Times New Roman" w:cstheme="minorHAnsi"/>
          <w:lang w:eastAsia="en-GB"/>
        </w:rPr>
        <w:t>Feldt</w:t>
      </w:r>
      <w:proofErr w:type="spellEnd"/>
      <w:r w:rsidR="00321D91">
        <w:rPr>
          <w:rFonts w:eastAsia="Times New Roman" w:cstheme="minorHAnsi"/>
          <w:lang w:eastAsia="en-GB"/>
        </w:rPr>
        <w:t xml:space="preserve"> and Brennan </w:t>
      </w:r>
      <w:r w:rsidR="007F69C8">
        <w:rPr>
          <w:rFonts w:eastAsia="Times New Roman" w:cstheme="minorHAnsi"/>
          <w:lang w:eastAsia="en-GB"/>
        </w:rPr>
        <w:t xml:space="preserve">1993) that there are a multitude of threats to reliability in testing data. The first of which is the individuals sitting the test with regards to their motivation, concentration, health etc. The second is situational factors that include the </w:t>
      </w:r>
      <w:r w:rsidR="003D678D">
        <w:rPr>
          <w:rFonts w:eastAsia="Times New Roman" w:cstheme="minorHAnsi"/>
          <w:lang w:eastAsia="en-GB"/>
        </w:rPr>
        <w:t xml:space="preserve">conditions for the test. To combat both of these potential issues the tests were to be carried out in the same room, on the same day, ensuring any errors would be consistent throughout both tests. </w:t>
      </w:r>
    </w:p>
    <w:p w:rsidR="003D678D" w:rsidRDefault="00321D91" w:rsidP="007B7EFC">
      <w:pPr>
        <w:rPr>
          <w:rFonts w:eastAsia="Times New Roman" w:cstheme="minorHAnsi"/>
          <w:lang w:eastAsia="en-GB"/>
        </w:rPr>
      </w:pPr>
      <w:r>
        <w:rPr>
          <w:rFonts w:eastAsia="Times New Roman" w:cstheme="minorHAnsi"/>
          <w:lang w:eastAsia="en-GB"/>
        </w:rPr>
        <w:t xml:space="preserve">(Wolf </w:t>
      </w:r>
      <w:r w:rsidR="003D678D">
        <w:rPr>
          <w:rFonts w:eastAsia="Times New Roman" w:cstheme="minorHAnsi"/>
          <w:lang w:eastAsia="en-GB"/>
        </w:rPr>
        <w:t>1994) suggests that the length of a test can introduce inaccuracies and reduce the validity of data, with longer testing time resulting in greater inaccuracies. To ensure this is not prevalent within this investigation, 2 short 7</w:t>
      </w:r>
      <w:r w:rsidR="00AC5F57">
        <w:rPr>
          <w:rFonts w:eastAsia="Times New Roman" w:cstheme="minorHAnsi"/>
          <w:lang w:eastAsia="en-GB"/>
        </w:rPr>
        <w:t>-</w:t>
      </w:r>
      <w:r w:rsidR="003D678D">
        <w:rPr>
          <w:rFonts w:eastAsia="Times New Roman" w:cstheme="minorHAnsi"/>
          <w:lang w:eastAsia="en-GB"/>
        </w:rPr>
        <w:t xml:space="preserve">minute tests were prepared, with strict time limits for both test set.  </w:t>
      </w:r>
    </w:p>
    <w:p w:rsidR="004B1ABA" w:rsidRDefault="004B1ABA" w:rsidP="007B7EFC">
      <w:pPr>
        <w:rPr>
          <w:rFonts w:eastAsia="Times New Roman" w:cstheme="minorHAnsi"/>
          <w:lang w:eastAsia="en-GB"/>
        </w:rPr>
      </w:pPr>
    </w:p>
    <w:p w:rsidR="004B1ABA" w:rsidRDefault="004B1ABA" w:rsidP="007B7EFC">
      <w:pPr>
        <w:rPr>
          <w:rFonts w:eastAsia="Times New Roman" w:cstheme="minorHAnsi"/>
          <w:lang w:eastAsia="en-GB"/>
        </w:rPr>
      </w:pPr>
    </w:p>
    <w:p w:rsidR="0085369D" w:rsidRPr="00AC5F57" w:rsidRDefault="00AC5F57" w:rsidP="007B7EFC">
      <w:pPr>
        <w:rPr>
          <w:rFonts w:eastAsia="Times New Roman" w:cstheme="minorHAnsi"/>
          <w:b/>
          <w:u w:val="single"/>
          <w:lang w:eastAsia="en-GB"/>
        </w:rPr>
      </w:pPr>
      <w:r>
        <w:rPr>
          <w:rFonts w:eastAsia="Times New Roman" w:cstheme="minorHAnsi"/>
          <w:b/>
          <w:u w:val="single"/>
          <w:lang w:eastAsia="en-GB"/>
        </w:rPr>
        <w:t xml:space="preserve">Methodology </w:t>
      </w:r>
    </w:p>
    <w:p w:rsidR="00B835A0" w:rsidRDefault="00AC5F57" w:rsidP="007B7EFC">
      <w:pPr>
        <w:rPr>
          <w:rFonts w:eastAsia="Times New Roman" w:cstheme="minorHAnsi"/>
          <w:lang w:eastAsia="en-GB"/>
        </w:rPr>
      </w:pPr>
      <w:r>
        <w:rPr>
          <w:rFonts w:eastAsia="Times New Roman" w:cstheme="minorHAnsi"/>
          <w:lang w:eastAsia="en-GB"/>
        </w:rPr>
        <w:t>With consideration of the research above</w:t>
      </w:r>
      <w:r w:rsidR="003578FC">
        <w:rPr>
          <w:rFonts w:eastAsia="Times New Roman" w:cstheme="minorHAnsi"/>
          <w:lang w:eastAsia="en-GB"/>
        </w:rPr>
        <w:t>, the investigation will involve the participation of 3 classes of year 9 students. The classes were previously set in terms of their ability</w:t>
      </w:r>
      <w:r w:rsidR="00B835A0">
        <w:rPr>
          <w:rFonts w:eastAsia="Times New Roman" w:cstheme="minorHAnsi"/>
          <w:lang w:eastAsia="en-GB"/>
        </w:rPr>
        <w:t xml:space="preserve"> in such a way that Band A are the highest current attainment pupils, and Band C are the lowest current attainment pupils. This was strictly not done as part of the investigation; however, the different classes were utilised to investigate the effect of both teacher and student led approach on a range of abilities. </w:t>
      </w:r>
    </w:p>
    <w:p w:rsidR="00145340" w:rsidRDefault="00145340" w:rsidP="007B7EFC">
      <w:pPr>
        <w:rPr>
          <w:rFonts w:eastAsia="Times New Roman" w:cstheme="minorHAnsi"/>
          <w:lang w:eastAsia="en-GB"/>
        </w:rPr>
      </w:pPr>
    </w:p>
    <w:p w:rsidR="00145340" w:rsidRDefault="00145340" w:rsidP="007B7EFC">
      <w:pPr>
        <w:rPr>
          <w:rFonts w:eastAsia="Times New Roman" w:cstheme="minorHAnsi"/>
          <w:lang w:eastAsia="en-GB"/>
        </w:rPr>
      </w:pPr>
      <w:r>
        <w:rPr>
          <w:rFonts w:eastAsia="Times New Roman" w:cstheme="minorHAnsi"/>
          <w:lang w:eastAsia="en-GB"/>
        </w:rPr>
        <w:t xml:space="preserve">The breakdown of the different elements of the investigation are as follows. </w:t>
      </w:r>
    </w:p>
    <w:p w:rsidR="00145340" w:rsidRDefault="00145340" w:rsidP="007B7EFC">
      <w:pPr>
        <w:rPr>
          <w:rFonts w:eastAsia="Times New Roman" w:cstheme="minorHAnsi"/>
          <w:lang w:eastAsia="en-GB"/>
        </w:rPr>
      </w:pPr>
      <w:r>
        <w:rPr>
          <w:rFonts w:eastAsia="Times New Roman" w:cstheme="minorHAnsi"/>
          <w:lang w:eastAsia="en-GB"/>
        </w:rPr>
        <w:t xml:space="preserve">Each class will receive a lesson on introducing the topic of </w:t>
      </w:r>
      <w:r w:rsidR="0083345F">
        <w:rPr>
          <w:rFonts w:eastAsia="Times New Roman" w:cstheme="minorHAnsi"/>
          <w:lang w:eastAsia="en-GB"/>
        </w:rPr>
        <w:t xml:space="preserve">waves in preparation to learn about </w:t>
      </w:r>
      <w:r>
        <w:rPr>
          <w:rFonts w:eastAsia="Times New Roman" w:cstheme="minorHAnsi"/>
          <w:lang w:eastAsia="en-GB"/>
        </w:rPr>
        <w:t xml:space="preserve">the electromagnetic spectrum. This will provide the learners with a background knowledge prior to the start of the investigation. </w:t>
      </w:r>
    </w:p>
    <w:p w:rsidR="00145340" w:rsidRDefault="00145340" w:rsidP="007B7EFC">
      <w:pPr>
        <w:rPr>
          <w:rFonts w:eastAsia="Times New Roman" w:cstheme="minorHAnsi"/>
          <w:lang w:eastAsia="en-GB"/>
        </w:rPr>
      </w:pPr>
    </w:p>
    <w:p w:rsidR="00145340" w:rsidRDefault="00145340" w:rsidP="007B7EFC">
      <w:pPr>
        <w:rPr>
          <w:rFonts w:eastAsia="Times New Roman" w:cstheme="minorHAnsi"/>
          <w:lang w:eastAsia="en-GB"/>
        </w:rPr>
      </w:pPr>
      <w:r>
        <w:rPr>
          <w:rFonts w:eastAsia="Times New Roman" w:cstheme="minorHAnsi"/>
          <w:lang w:eastAsia="en-GB"/>
        </w:rPr>
        <w:t xml:space="preserve">The second lesson will be the teacher-led element of the investigation, that required the students to partake in a fully prescribed lesson with a provided PowerPoint presentation, </w:t>
      </w:r>
      <w:r>
        <w:rPr>
          <w:rFonts w:eastAsia="Times New Roman" w:cstheme="minorHAnsi"/>
          <w:lang w:eastAsia="en-GB"/>
        </w:rPr>
        <w:lastRenderedPageBreak/>
        <w:t xml:space="preserve">teacher led discussion and set tasks. This lesson was to cover the first half of the electromagnetic spectrum. The learning objectives were to understand the nature of each wave, and how to organise the spectrum in terms of wavelength and frequency, and to understand one practical use for each type of radiation. </w:t>
      </w:r>
    </w:p>
    <w:p w:rsidR="00145340" w:rsidRDefault="00145340" w:rsidP="007B7EFC">
      <w:pPr>
        <w:rPr>
          <w:rFonts w:eastAsia="Times New Roman" w:cstheme="minorHAnsi"/>
          <w:lang w:eastAsia="en-GB"/>
        </w:rPr>
      </w:pPr>
    </w:p>
    <w:p w:rsidR="00145340" w:rsidRDefault="00145340" w:rsidP="007B7EFC">
      <w:pPr>
        <w:rPr>
          <w:rFonts w:eastAsia="Times New Roman" w:cstheme="minorHAnsi"/>
          <w:lang w:eastAsia="en-GB"/>
        </w:rPr>
      </w:pPr>
      <w:r>
        <w:rPr>
          <w:rFonts w:eastAsia="Times New Roman" w:cstheme="minorHAnsi"/>
          <w:lang w:eastAsia="en-GB"/>
        </w:rPr>
        <w:t>The third lesson was the incorporation of the student-led approach to learning. The learners were given a hand out with a list of expectations and required knowledge that was needed by the end of the lesson. There was an in-depth introduction to the task, to ensure all students understood the requirement of the lesson. The knowledge that was to be independently researched was the second half of the electromagnetic spectrum. The learning objectives were to understand the nature of each wave, and how to organise the spectrum in terms of wavelength and frequency, and to understand one practical use for each type of radiation, exactly as in lesson</w:t>
      </w:r>
      <w:r w:rsidR="000407F7">
        <w:rPr>
          <w:rFonts w:eastAsia="Times New Roman" w:cstheme="minorHAnsi"/>
          <w:lang w:eastAsia="en-GB"/>
        </w:rPr>
        <w:t xml:space="preserve"> 2, although now with a different set of waves. </w:t>
      </w:r>
    </w:p>
    <w:p w:rsidR="000407F7" w:rsidRDefault="000407F7" w:rsidP="007B7EFC">
      <w:pPr>
        <w:rPr>
          <w:rFonts w:eastAsia="Times New Roman" w:cstheme="minorHAnsi"/>
          <w:lang w:eastAsia="en-GB"/>
        </w:rPr>
      </w:pPr>
    </w:p>
    <w:p w:rsidR="000407F7" w:rsidRDefault="000407F7" w:rsidP="007B7EFC">
      <w:pPr>
        <w:rPr>
          <w:rFonts w:eastAsia="Times New Roman" w:cstheme="minorHAnsi"/>
          <w:lang w:eastAsia="en-GB"/>
        </w:rPr>
      </w:pPr>
      <w:r>
        <w:rPr>
          <w:rFonts w:eastAsia="Times New Roman" w:cstheme="minorHAnsi"/>
          <w:lang w:eastAsia="en-GB"/>
        </w:rPr>
        <w:t xml:space="preserve">The fourth lesson was then the assessment of learning from within lessons 2 and 3. This assessment process was 2 simple 7-mark, 7-minute question sheet that assessed the learners understanding and knowledge gained. There was a combination of questions ranging from knowledge-recall and to application of understanding, such as with GCSE questions. </w:t>
      </w:r>
    </w:p>
    <w:p w:rsidR="0085369D" w:rsidRDefault="0085369D" w:rsidP="007B7EFC">
      <w:pPr>
        <w:rPr>
          <w:rFonts w:eastAsia="Times New Roman" w:cstheme="minorHAnsi"/>
          <w:lang w:eastAsia="en-GB"/>
        </w:rPr>
      </w:pPr>
    </w:p>
    <w:p w:rsidR="007B7EFC" w:rsidRPr="0043155F" w:rsidRDefault="007B7EFC" w:rsidP="007B7EFC">
      <w:pPr>
        <w:rPr>
          <w:rFonts w:eastAsia="Times New Roman" w:cstheme="minorHAnsi"/>
          <w:sz w:val="32"/>
          <w:szCs w:val="32"/>
          <w:lang w:eastAsia="en-GB"/>
        </w:rPr>
      </w:pPr>
      <w:r w:rsidRPr="0043155F">
        <w:rPr>
          <w:rFonts w:eastAsia="Times New Roman" w:cstheme="minorHAnsi"/>
          <w:b/>
          <w:sz w:val="32"/>
          <w:szCs w:val="32"/>
          <w:u w:val="single"/>
          <w:lang w:eastAsia="en-GB"/>
        </w:rPr>
        <w:t xml:space="preserve">Evaluation </w:t>
      </w:r>
    </w:p>
    <w:p w:rsidR="008D738B" w:rsidRDefault="008D738B" w:rsidP="007B7EFC">
      <w:pPr>
        <w:rPr>
          <w:rFonts w:eastAsia="Times New Roman" w:cstheme="minorHAnsi"/>
          <w:lang w:eastAsia="en-GB"/>
        </w:rPr>
      </w:pPr>
      <w:r>
        <w:rPr>
          <w:rFonts w:eastAsia="Times New Roman" w:cstheme="minorHAnsi"/>
          <w:lang w:eastAsia="en-GB"/>
        </w:rPr>
        <w:t xml:space="preserve">This evaluation </w:t>
      </w:r>
      <w:r w:rsidR="004352D8">
        <w:rPr>
          <w:rFonts w:eastAsia="Times New Roman" w:cstheme="minorHAnsi"/>
          <w:lang w:eastAsia="en-GB"/>
        </w:rPr>
        <w:t>explores</w:t>
      </w:r>
      <w:r>
        <w:rPr>
          <w:rFonts w:eastAsia="Times New Roman" w:cstheme="minorHAnsi"/>
          <w:lang w:eastAsia="en-GB"/>
        </w:rPr>
        <w:t xml:space="preserve"> the sequence of lessons</w:t>
      </w:r>
      <w:r w:rsidR="004352D8">
        <w:rPr>
          <w:rFonts w:eastAsia="Times New Roman" w:cstheme="minorHAnsi"/>
          <w:lang w:eastAsia="en-GB"/>
        </w:rPr>
        <w:t xml:space="preserve"> and discusses the positive and negative occurrences throughout. The evaluation is split to allow for lengthy discussion for each individual band of class that partook in the investigation. The final section will then display the results and draw comparisons between all three bands of classes. </w:t>
      </w:r>
    </w:p>
    <w:p w:rsidR="00E829E2" w:rsidRDefault="00E829E2" w:rsidP="007B7EFC">
      <w:pPr>
        <w:rPr>
          <w:rFonts w:eastAsia="Times New Roman" w:cstheme="minorHAnsi"/>
          <w:lang w:eastAsia="en-GB"/>
        </w:rPr>
      </w:pPr>
    </w:p>
    <w:p w:rsidR="006674E7" w:rsidRDefault="006674E7" w:rsidP="007B7EFC">
      <w:pPr>
        <w:rPr>
          <w:rFonts w:eastAsia="Times New Roman" w:cstheme="minorHAnsi"/>
          <w:lang w:eastAsia="en-GB"/>
        </w:rPr>
      </w:pPr>
      <w:r>
        <w:rPr>
          <w:rFonts w:eastAsia="Times New Roman" w:cstheme="minorHAnsi"/>
          <w:lang w:eastAsia="en-GB"/>
        </w:rPr>
        <w:t xml:space="preserve">The </w:t>
      </w:r>
      <w:r w:rsidR="0083345F">
        <w:rPr>
          <w:rFonts w:eastAsia="Times New Roman" w:cstheme="minorHAnsi"/>
          <w:lang w:eastAsia="en-GB"/>
        </w:rPr>
        <w:t xml:space="preserve">investigation as carried out accurately and efficiently following the outlined method. The introductory lesson was well received by all three classes. Within this lesson there was a fundamental need for accurate scaffolding, particularly in the band C class. This was required to ensure all learners were able to access the background information on waves, that would form part of the prior knowledge required for the understanding of the electromagnetic spectrum. The assessment of learning for this element was through questioning. All learners were comfortable </w:t>
      </w:r>
      <w:r w:rsidR="00F51E9D">
        <w:rPr>
          <w:rFonts w:eastAsia="Times New Roman" w:cstheme="minorHAnsi"/>
          <w:lang w:eastAsia="en-GB"/>
        </w:rPr>
        <w:t>with the theory from the lesson</w:t>
      </w:r>
      <w:r w:rsidR="0083345F">
        <w:rPr>
          <w:rFonts w:eastAsia="Times New Roman" w:cstheme="minorHAnsi"/>
          <w:lang w:eastAsia="en-GB"/>
        </w:rPr>
        <w:t xml:space="preserve"> and were prepared for the following two lessons on the electromagnetic spectrum. </w:t>
      </w:r>
    </w:p>
    <w:p w:rsidR="0083345F" w:rsidRDefault="0083345F" w:rsidP="007B7EFC">
      <w:pPr>
        <w:rPr>
          <w:rFonts w:eastAsia="Times New Roman" w:cstheme="minorHAnsi"/>
          <w:lang w:eastAsia="en-GB"/>
        </w:rPr>
      </w:pPr>
    </w:p>
    <w:p w:rsidR="0083345F" w:rsidRDefault="00F51E9D" w:rsidP="007B7EFC">
      <w:pPr>
        <w:rPr>
          <w:rFonts w:eastAsia="Times New Roman" w:cstheme="minorHAnsi"/>
          <w:lang w:eastAsia="en-GB"/>
        </w:rPr>
      </w:pPr>
      <w:r>
        <w:rPr>
          <w:rFonts w:eastAsia="Times New Roman" w:cstheme="minorHAnsi"/>
          <w:lang w:eastAsia="en-GB"/>
        </w:rPr>
        <w:t xml:space="preserve">The teacher-led lesson </w:t>
      </w:r>
      <w:r w:rsidR="00AE44A1">
        <w:rPr>
          <w:rFonts w:eastAsia="Times New Roman" w:cstheme="minorHAnsi"/>
          <w:lang w:eastAsia="en-GB"/>
        </w:rPr>
        <w:t xml:space="preserve">was undertaken and was extremely successful with all three classes. This may have been due to the familiarity of teacher-led learning within the school. There was minimal disruption throughout the lessons, and all learners were involved and enthusiastic about the topic being taught in the lesson. The teacher-led approach allowed me to vary the pace of the lesson depending on understanding of individual sections. The learners within the band C class generally required longer to </w:t>
      </w:r>
      <w:r w:rsidR="005426E1">
        <w:rPr>
          <w:rFonts w:eastAsia="Times New Roman" w:cstheme="minorHAnsi"/>
          <w:lang w:eastAsia="en-GB"/>
        </w:rPr>
        <w:t xml:space="preserve">fully understand the concepts, as expected. </w:t>
      </w:r>
      <w:r w:rsidR="007B6AA4">
        <w:rPr>
          <w:rFonts w:eastAsia="Times New Roman" w:cstheme="minorHAnsi"/>
          <w:lang w:eastAsia="en-GB"/>
        </w:rPr>
        <w:t xml:space="preserve">There was questioning throughout the lesson and assessment via circulation. It was clear that the learners were fully understanding the theory and gaining knowledge throughout the lesson. </w:t>
      </w:r>
    </w:p>
    <w:p w:rsidR="007B6AA4" w:rsidRDefault="007B6AA4" w:rsidP="007B7EFC">
      <w:pPr>
        <w:rPr>
          <w:rFonts w:eastAsia="Times New Roman" w:cstheme="minorHAnsi"/>
          <w:lang w:eastAsia="en-GB"/>
        </w:rPr>
      </w:pPr>
    </w:p>
    <w:p w:rsidR="00CB65FD" w:rsidRDefault="007B6AA4" w:rsidP="007B7EFC">
      <w:pPr>
        <w:rPr>
          <w:rFonts w:eastAsia="Times New Roman" w:cstheme="minorHAnsi"/>
          <w:lang w:eastAsia="en-GB"/>
        </w:rPr>
      </w:pPr>
      <w:r>
        <w:rPr>
          <w:rFonts w:eastAsia="Times New Roman" w:cstheme="minorHAnsi"/>
          <w:lang w:eastAsia="en-GB"/>
        </w:rPr>
        <w:t xml:space="preserve">The </w:t>
      </w:r>
      <w:r w:rsidR="0012053A">
        <w:rPr>
          <w:rFonts w:eastAsia="Times New Roman" w:cstheme="minorHAnsi"/>
          <w:lang w:eastAsia="en-GB"/>
        </w:rPr>
        <w:t xml:space="preserve">student-led lesson generated a mixed response from the classes. </w:t>
      </w:r>
      <w:r w:rsidR="006A7EAD">
        <w:rPr>
          <w:rFonts w:eastAsia="Times New Roman" w:cstheme="minorHAnsi"/>
          <w:lang w:eastAsia="en-GB"/>
        </w:rPr>
        <w:t xml:space="preserve">The band A and B classes </w:t>
      </w:r>
      <w:r w:rsidR="00D02169">
        <w:rPr>
          <w:rFonts w:eastAsia="Times New Roman" w:cstheme="minorHAnsi"/>
          <w:lang w:eastAsia="en-GB"/>
        </w:rPr>
        <w:t xml:space="preserve">throughout the lesson were far more focussed in their research and often discussed </w:t>
      </w:r>
      <w:r w:rsidR="00D02169">
        <w:rPr>
          <w:rFonts w:eastAsia="Times New Roman" w:cstheme="minorHAnsi"/>
          <w:lang w:eastAsia="en-GB"/>
        </w:rPr>
        <w:lastRenderedPageBreak/>
        <w:t xml:space="preserve">interesting facts discovered throughout their research. However, the majority consensus from these classes was that they preferred a teacher-led lesson, as they felt the work was more focussed and limited the potential for inaccurate research. However, the Band C class were far more distracted from the research task throughout the lesson. Prompts were required throughout to remain on task. This may have been due to their assumption that during research lessons the expectations were not as high. Despite the behaviour management requirements within the band C class, the pupils were </w:t>
      </w:r>
      <w:r w:rsidR="00CB65FD">
        <w:rPr>
          <w:rFonts w:eastAsia="Times New Roman" w:cstheme="minorHAnsi"/>
          <w:lang w:eastAsia="en-GB"/>
        </w:rPr>
        <w:t xml:space="preserve">more engaged with the lesson and showed more interest. </w:t>
      </w:r>
      <w:r w:rsidR="00CA12A3">
        <w:rPr>
          <w:rFonts w:eastAsia="Times New Roman" w:cstheme="minorHAnsi"/>
          <w:lang w:eastAsia="en-GB"/>
        </w:rPr>
        <w:t xml:space="preserve">By circulating during the student-led lesson, this allowed me to cater for the range of learners within the classroom. The more able and talented pupils could be pushed further utilising questioning and more in-depth research. However, it also enabled the learners with additional learning needs to be </w:t>
      </w:r>
      <w:proofErr w:type="spellStart"/>
      <w:r w:rsidR="00CA12A3">
        <w:rPr>
          <w:rFonts w:eastAsia="Times New Roman" w:cstheme="minorHAnsi"/>
          <w:lang w:eastAsia="en-GB"/>
        </w:rPr>
        <w:t>scaffolded</w:t>
      </w:r>
      <w:proofErr w:type="spellEnd"/>
      <w:r w:rsidR="00CA12A3">
        <w:rPr>
          <w:rFonts w:eastAsia="Times New Roman" w:cstheme="minorHAnsi"/>
          <w:lang w:eastAsia="en-GB"/>
        </w:rPr>
        <w:t xml:space="preserve"> via questioning, or specific help with their research. </w:t>
      </w:r>
    </w:p>
    <w:p w:rsidR="00CB65FD" w:rsidRDefault="00CB65FD" w:rsidP="007B7EFC">
      <w:pPr>
        <w:rPr>
          <w:rFonts w:eastAsia="Times New Roman" w:cstheme="minorHAnsi"/>
          <w:lang w:eastAsia="en-GB"/>
        </w:rPr>
      </w:pPr>
    </w:p>
    <w:p w:rsidR="006674E7" w:rsidRPr="00293E24" w:rsidRDefault="00850B4F" w:rsidP="007B7EFC">
      <w:pPr>
        <w:rPr>
          <w:rFonts w:eastAsia="Times New Roman" w:cstheme="minorHAnsi"/>
          <w:lang w:eastAsia="en-GB"/>
        </w:rPr>
      </w:pPr>
      <w:r>
        <w:rPr>
          <w:rFonts w:eastAsia="Times New Roman" w:cstheme="minorHAnsi"/>
          <w:lang w:eastAsia="en-GB"/>
        </w:rPr>
        <w:t xml:space="preserve">The tests for each class were undertaken in the same room to ensure any inaccuracies due to environment were constant throughout each test. The room used was the teaching classroom, although pupils were sat individually and were not allowed to confer. The pupils were handed both papers at the same time and allowed to pick which question paper to answer first and second. </w:t>
      </w:r>
      <w:r w:rsidR="00293E24">
        <w:rPr>
          <w:rFonts w:eastAsia="Times New Roman" w:cstheme="minorHAnsi"/>
          <w:lang w:eastAsia="en-GB"/>
        </w:rPr>
        <w:t xml:space="preserve">The results and subsequent discussion are in the following 3 sections. </w:t>
      </w:r>
      <w:r>
        <w:rPr>
          <w:rFonts w:eastAsia="Times New Roman" w:cstheme="minorHAnsi"/>
          <w:lang w:eastAsia="en-GB"/>
        </w:rPr>
        <w:t xml:space="preserve"> </w:t>
      </w:r>
      <w:r w:rsidR="00D02169">
        <w:rPr>
          <w:rFonts w:eastAsia="Times New Roman" w:cstheme="minorHAnsi"/>
          <w:lang w:eastAsia="en-GB"/>
        </w:rPr>
        <w:t xml:space="preserve"> </w:t>
      </w:r>
    </w:p>
    <w:p w:rsidR="006674E7" w:rsidRDefault="006674E7" w:rsidP="007B7EFC">
      <w:pPr>
        <w:rPr>
          <w:rFonts w:eastAsia="Times New Roman" w:cstheme="minorHAnsi"/>
          <w:b/>
          <w:u w:val="single"/>
          <w:lang w:eastAsia="en-GB"/>
        </w:rPr>
      </w:pPr>
    </w:p>
    <w:p w:rsidR="00E829E2" w:rsidRDefault="00E829E2" w:rsidP="007B7EFC">
      <w:pPr>
        <w:rPr>
          <w:rFonts w:eastAsia="Times New Roman" w:cstheme="minorHAnsi"/>
          <w:b/>
          <w:u w:val="single"/>
          <w:lang w:eastAsia="en-GB"/>
        </w:rPr>
      </w:pPr>
      <w:r>
        <w:rPr>
          <w:rFonts w:eastAsia="Times New Roman" w:cstheme="minorHAnsi"/>
          <w:b/>
          <w:u w:val="single"/>
          <w:lang w:eastAsia="en-GB"/>
        </w:rPr>
        <w:t>Band A</w:t>
      </w:r>
      <w:r w:rsidR="00B67981">
        <w:rPr>
          <w:rFonts w:eastAsia="Times New Roman" w:cstheme="minorHAnsi"/>
          <w:b/>
          <w:u w:val="single"/>
          <w:lang w:eastAsia="en-GB"/>
        </w:rPr>
        <w:t xml:space="preserve"> Results and Discussion</w:t>
      </w:r>
    </w:p>
    <w:p w:rsidR="00250E2A" w:rsidRDefault="00250E2A" w:rsidP="00B67981">
      <w:pPr>
        <w:rPr>
          <w:rFonts w:eastAsia="Times New Roman" w:cstheme="minorHAnsi"/>
          <w:lang w:eastAsia="en-GB"/>
        </w:rPr>
      </w:pPr>
    </w:p>
    <w:p w:rsidR="00321D91" w:rsidRDefault="002F210A" w:rsidP="00321D91">
      <w:pPr>
        <w:keepNext/>
        <w:jc w:val="center"/>
      </w:pPr>
      <w:r>
        <w:rPr>
          <w:noProof/>
        </w:rPr>
        <w:drawing>
          <wp:inline distT="0" distB="0" distL="0" distR="0" wp14:anchorId="5533E928" wp14:editId="6CDDF46A">
            <wp:extent cx="5544820" cy="4376632"/>
            <wp:effectExtent l="0" t="0" r="17780" b="17780"/>
            <wp:docPr id="1" name="Chart 1">
              <a:extLst xmlns:a="http://schemas.openxmlformats.org/drawingml/2006/main">
                <a:ext uri="{FF2B5EF4-FFF2-40B4-BE49-F238E27FC236}">
                  <a16:creationId xmlns:a16="http://schemas.microsoft.com/office/drawing/2014/main" id="{503F0312-2D1E-B24D-8BE9-5FCE753A682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785F9C" w:rsidRDefault="00321D91" w:rsidP="00321D91">
      <w:pPr>
        <w:pStyle w:val="Caption"/>
        <w:jc w:val="center"/>
        <w:rPr>
          <w:rFonts w:eastAsia="Times New Roman" w:cstheme="minorHAnsi"/>
          <w:lang w:eastAsia="en-GB"/>
        </w:rPr>
      </w:pPr>
      <w:r>
        <w:t xml:space="preserve">Figure </w:t>
      </w:r>
      <w:r>
        <w:fldChar w:fldCharType="begin"/>
      </w:r>
      <w:r>
        <w:instrText xml:space="preserve"> SEQ Figure \* ARABIC </w:instrText>
      </w:r>
      <w:r>
        <w:fldChar w:fldCharType="separate"/>
      </w:r>
      <w:r>
        <w:rPr>
          <w:noProof/>
        </w:rPr>
        <w:t>1</w:t>
      </w:r>
      <w:r>
        <w:fldChar w:fldCharType="end"/>
      </w:r>
      <w:r>
        <w:t>: A graph showing results for the teacher-led and student-led elements of the research for band a</w:t>
      </w:r>
    </w:p>
    <w:p w:rsidR="00785F9C" w:rsidRDefault="00785F9C" w:rsidP="007B7EFC">
      <w:pPr>
        <w:rPr>
          <w:rFonts w:eastAsia="Times New Roman" w:cstheme="minorHAnsi"/>
          <w:lang w:eastAsia="en-GB"/>
        </w:rPr>
      </w:pPr>
    </w:p>
    <w:p w:rsidR="00293E24" w:rsidRDefault="00321D91" w:rsidP="007B7EFC">
      <w:pPr>
        <w:rPr>
          <w:rFonts w:eastAsia="Times New Roman" w:cstheme="minorHAnsi"/>
          <w:lang w:eastAsia="en-GB"/>
        </w:rPr>
      </w:pPr>
      <w:r>
        <w:rPr>
          <w:rFonts w:eastAsia="Times New Roman" w:cstheme="minorHAnsi"/>
          <w:lang w:eastAsia="en-GB"/>
        </w:rPr>
        <w:t>Figure</w:t>
      </w:r>
      <w:r w:rsidR="00293E24">
        <w:rPr>
          <w:rFonts w:eastAsia="Times New Roman" w:cstheme="minorHAnsi"/>
          <w:lang w:eastAsia="en-GB"/>
        </w:rPr>
        <w:t xml:space="preserve"> 1 is displaying the percentage test marks for band A students for both the teacher-led and student-led elements of the research. The data shows that the average results for teacher the teacher-led element is 93% and for student-led is 95%. The number of pupils who achieved higher results in the teacher-led lesson was 4, and the number of pupils who achieved higher results in the student-led element were 5 and the number of students who did remained consistent was 12. </w:t>
      </w:r>
    </w:p>
    <w:p w:rsidR="00293E24" w:rsidRDefault="00293E24" w:rsidP="007B7EFC">
      <w:pPr>
        <w:rPr>
          <w:rFonts w:eastAsia="Times New Roman" w:cstheme="minorHAnsi"/>
          <w:lang w:eastAsia="en-GB"/>
        </w:rPr>
      </w:pPr>
    </w:p>
    <w:p w:rsidR="00A4720A" w:rsidRPr="005F34AE" w:rsidRDefault="00EC59A4" w:rsidP="007B7EFC">
      <w:pPr>
        <w:rPr>
          <w:rFonts w:eastAsia="Times New Roman" w:cstheme="minorHAnsi"/>
          <w:lang w:eastAsia="en-GB"/>
        </w:rPr>
      </w:pPr>
      <w:r>
        <w:rPr>
          <w:rFonts w:eastAsia="Times New Roman" w:cstheme="minorHAnsi"/>
          <w:lang w:eastAsia="en-GB"/>
        </w:rPr>
        <w:t xml:space="preserve">The data shows that the band A class showed little difference in average performance between pupil-led and teacher-led instruction. This may have been due to the inherent ability and skill set that the pupils in band A poses. Their ability is reflected in the extremely high average mark for both tests. This seems to suggest that band A pupils in general can engage in excellent learning for both teaching strategies. </w:t>
      </w:r>
      <w:r w:rsidR="005F5D26">
        <w:rPr>
          <w:rFonts w:eastAsia="Times New Roman" w:cstheme="minorHAnsi"/>
          <w:lang w:eastAsia="en-GB"/>
        </w:rPr>
        <w:t>This is consistent</w:t>
      </w:r>
      <w:r w:rsidR="00CE4B4E">
        <w:rPr>
          <w:rFonts w:eastAsia="Times New Roman" w:cstheme="minorHAnsi"/>
          <w:lang w:eastAsia="en-GB"/>
        </w:rPr>
        <w:t xml:space="preserve"> when comparing </w:t>
      </w:r>
      <w:r w:rsidR="005F5D26">
        <w:rPr>
          <w:rFonts w:eastAsia="Times New Roman" w:cstheme="minorHAnsi"/>
          <w:lang w:eastAsia="en-GB"/>
        </w:rPr>
        <w:t xml:space="preserve">the number of pupils who performed better </w:t>
      </w:r>
      <w:r w:rsidR="00CE4B4E">
        <w:rPr>
          <w:rFonts w:eastAsia="Times New Roman" w:cstheme="minorHAnsi"/>
          <w:lang w:eastAsia="en-GB"/>
        </w:rPr>
        <w:t xml:space="preserve">in the teacher-led element (19%) to those who performed better in the student-led element (24%). This may suggest that in fact there is a larger percentage of pupils within high ability classes that could benefit from more pupil-led lessons. Although the overriding statistic from analysis the data from the band A tests is that 57% of pupils showed no preference in each teaching strategy, and 52% of students scored 100% in both tests.  Again, this may suggest that the higher ability students can utilise their skills to undertake excellent learning with both teaching strategies. </w:t>
      </w:r>
      <w:r w:rsidR="00126B69">
        <w:rPr>
          <w:rFonts w:eastAsia="Times New Roman" w:cstheme="minorHAnsi"/>
          <w:lang w:eastAsia="en-GB"/>
        </w:rPr>
        <w:t xml:space="preserve">This was despite the band A class suggesting that they preferred teacher-led instruction. </w:t>
      </w:r>
    </w:p>
    <w:p w:rsidR="00CE4B4E" w:rsidRDefault="00CE4B4E" w:rsidP="007B7EFC">
      <w:pPr>
        <w:rPr>
          <w:rFonts w:eastAsia="Times New Roman" w:cstheme="minorHAnsi"/>
          <w:lang w:eastAsia="en-GB"/>
        </w:rPr>
      </w:pPr>
      <w:r>
        <w:rPr>
          <w:rFonts w:eastAsia="Times New Roman" w:cstheme="minorHAnsi"/>
          <w:lang w:eastAsia="en-GB"/>
        </w:rPr>
        <w:t xml:space="preserve">In contract to the band A results, the band B results displayed below show a larger spread of results from both tests. </w:t>
      </w:r>
    </w:p>
    <w:p w:rsidR="00CE4B4E" w:rsidRDefault="00CE4B4E" w:rsidP="007B7EFC">
      <w:pPr>
        <w:rPr>
          <w:rFonts w:eastAsia="Times New Roman" w:cstheme="minorHAnsi"/>
          <w:lang w:eastAsia="en-GB"/>
        </w:rPr>
      </w:pPr>
    </w:p>
    <w:p w:rsidR="00B67981" w:rsidRDefault="00B67981" w:rsidP="007B7EFC">
      <w:pPr>
        <w:rPr>
          <w:rFonts w:eastAsia="Times New Roman" w:cstheme="minorHAnsi"/>
          <w:b/>
          <w:u w:val="single"/>
          <w:lang w:eastAsia="en-GB"/>
        </w:rPr>
      </w:pPr>
      <w:r>
        <w:rPr>
          <w:rFonts w:eastAsia="Times New Roman" w:cstheme="minorHAnsi"/>
          <w:b/>
          <w:u w:val="single"/>
          <w:lang w:eastAsia="en-GB"/>
        </w:rPr>
        <w:t xml:space="preserve">Band B Results and Discussion </w:t>
      </w:r>
    </w:p>
    <w:p w:rsidR="00B67981" w:rsidRPr="00B67981" w:rsidRDefault="00B67981" w:rsidP="007B7EFC">
      <w:pPr>
        <w:rPr>
          <w:rFonts w:eastAsia="Times New Roman" w:cstheme="minorHAnsi"/>
          <w:b/>
          <w:u w:val="single"/>
          <w:lang w:eastAsia="en-GB"/>
        </w:rPr>
      </w:pPr>
    </w:p>
    <w:p w:rsidR="00321D91" w:rsidRDefault="002F210A" w:rsidP="00321D91">
      <w:pPr>
        <w:keepNext/>
        <w:jc w:val="center"/>
      </w:pPr>
      <w:r>
        <w:rPr>
          <w:noProof/>
        </w:rPr>
        <w:drawing>
          <wp:inline distT="0" distB="0" distL="0" distR="0" wp14:anchorId="0D2B6F7A" wp14:editId="49E3A0F3">
            <wp:extent cx="5401733" cy="3606800"/>
            <wp:effectExtent l="0" t="0" r="8890" b="12700"/>
            <wp:docPr id="2" name="Chart 2">
              <a:extLst xmlns:a="http://schemas.openxmlformats.org/drawingml/2006/main">
                <a:ext uri="{FF2B5EF4-FFF2-40B4-BE49-F238E27FC236}">
                  <a16:creationId xmlns:a16="http://schemas.microsoft.com/office/drawing/2014/main" id="{24112B4D-D93F-8F42-A5C2-C501D0396AB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9C2A23" w:rsidRDefault="00321D91" w:rsidP="00321D91">
      <w:pPr>
        <w:pStyle w:val="Caption"/>
        <w:jc w:val="center"/>
        <w:rPr>
          <w:rFonts w:eastAsia="Times New Roman" w:cstheme="minorHAnsi"/>
          <w:lang w:eastAsia="en-GB"/>
        </w:rPr>
      </w:pPr>
      <w:r>
        <w:t xml:space="preserve">Figure </w:t>
      </w:r>
      <w:r>
        <w:fldChar w:fldCharType="begin"/>
      </w:r>
      <w:r>
        <w:instrText xml:space="preserve"> SEQ Figure \* ARABIC </w:instrText>
      </w:r>
      <w:r>
        <w:fldChar w:fldCharType="separate"/>
      </w:r>
      <w:r>
        <w:rPr>
          <w:noProof/>
        </w:rPr>
        <w:t>2</w:t>
      </w:r>
      <w:r>
        <w:fldChar w:fldCharType="end"/>
      </w:r>
      <w:r>
        <w:t>: A graph showing results for teacher-led and student-led elements of the research for band b</w:t>
      </w:r>
    </w:p>
    <w:p w:rsidR="009C2A23" w:rsidRDefault="009C2A23" w:rsidP="007B7EFC">
      <w:pPr>
        <w:rPr>
          <w:rFonts w:eastAsia="Times New Roman" w:cstheme="minorHAnsi"/>
          <w:lang w:eastAsia="en-GB"/>
        </w:rPr>
      </w:pPr>
    </w:p>
    <w:p w:rsidR="00C26FC6" w:rsidRDefault="00321D91" w:rsidP="007B7EFC">
      <w:pPr>
        <w:rPr>
          <w:rFonts w:eastAsia="Times New Roman" w:cstheme="minorHAnsi"/>
          <w:lang w:eastAsia="en-GB"/>
        </w:rPr>
      </w:pPr>
      <w:r>
        <w:rPr>
          <w:rFonts w:eastAsia="Times New Roman" w:cstheme="minorHAnsi"/>
          <w:lang w:eastAsia="en-GB"/>
        </w:rPr>
        <w:t>Figure</w:t>
      </w:r>
      <w:r w:rsidR="00C26FC6">
        <w:rPr>
          <w:rFonts w:eastAsia="Times New Roman" w:cstheme="minorHAnsi"/>
          <w:lang w:eastAsia="en-GB"/>
        </w:rPr>
        <w:t xml:space="preserve"> 2 displays data for the band B class. The data displayed is the percentage test marks for both teacher and pupil-led elements of the research. The average mark for the teacher-led element was 86%, whereas for the pupil-led element the average mark was 71%. The number of students who achieved higher marks in the teacher-led element was 15. The number of students who achieved higher marks in the student-led element was 5 and the number of students who remained consisted was 3. </w:t>
      </w:r>
    </w:p>
    <w:p w:rsidR="00C26FC6" w:rsidRDefault="00C26FC6" w:rsidP="007B7EFC">
      <w:pPr>
        <w:rPr>
          <w:rFonts w:eastAsia="Times New Roman" w:cstheme="minorHAnsi"/>
          <w:lang w:eastAsia="en-GB"/>
        </w:rPr>
      </w:pPr>
    </w:p>
    <w:p w:rsidR="00C26FC6" w:rsidRDefault="00061103" w:rsidP="007B7EFC">
      <w:pPr>
        <w:rPr>
          <w:rFonts w:eastAsia="Times New Roman" w:cstheme="minorHAnsi"/>
          <w:lang w:eastAsia="en-GB"/>
        </w:rPr>
      </w:pPr>
      <w:r>
        <w:rPr>
          <w:rFonts w:eastAsia="Times New Roman" w:cstheme="minorHAnsi"/>
          <w:lang w:eastAsia="en-GB"/>
        </w:rPr>
        <w:t xml:space="preserve">The data showed that </w:t>
      </w:r>
      <w:r w:rsidR="00126B69">
        <w:rPr>
          <w:rFonts w:eastAsia="Times New Roman" w:cstheme="minorHAnsi"/>
          <w:lang w:eastAsia="en-GB"/>
        </w:rPr>
        <w:t xml:space="preserve">there was a far higher average percentage for the teacher-led element in comparison with the student-led element. This seems to suggest that learners within the middle band are far more susceptible the teacher-led instruction when learning. This is also suggested when comparing the number of learners who performed better in the teacher-led element, with 65% of the learners within the classroom showing greater understanding. This was consistent with the consensus within the class that teacher-led instruction is far more desirable. </w:t>
      </w:r>
      <w:r w:rsidR="002B7437">
        <w:rPr>
          <w:rFonts w:eastAsia="Times New Roman" w:cstheme="minorHAnsi"/>
          <w:lang w:eastAsia="en-GB"/>
        </w:rPr>
        <w:t xml:space="preserve">This difference in achievement is potentially caused by the skill level of the pupils when engaging with research. The results seem to suggest that learners are achieving a great </w:t>
      </w:r>
      <w:r w:rsidR="00B652BD">
        <w:rPr>
          <w:rFonts w:eastAsia="Times New Roman" w:cstheme="minorHAnsi"/>
          <w:lang w:eastAsia="en-GB"/>
        </w:rPr>
        <w:t>retention of fact</w:t>
      </w:r>
      <w:r w:rsidR="00017996">
        <w:rPr>
          <w:rFonts w:eastAsia="Times New Roman" w:cstheme="minorHAnsi"/>
          <w:lang w:eastAsia="en-GB"/>
        </w:rPr>
        <w:t xml:space="preserve"> and understanding when taught as opposed to</w:t>
      </w:r>
      <w:r w:rsidR="004316FD">
        <w:rPr>
          <w:rFonts w:eastAsia="Times New Roman" w:cstheme="minorHAnsi"/>
          <w:lang w:eastAsia="en-GB"/>
        </w:rPr>
        <w:t xml:space="preserve"> engaging in their own research.</w:t>
      </w:r>
    </w:p>
    <w:p w:rsidR="0036195E" w:rsidRDefault="0036195E" w:rsidP="007B7EFC">
      <w:pPr>
        <w:rPr>
          <w:rFonts w:eastAsia="Times New Roman" w:cstheme="minorHAnsi"/>
          <w:lang w:eastAsia="en-GB"/>
        </w:rPr>
      </w:pPr>
      <w:r>
        <w:rPr>
          <w:rFonts w:eastAsia="Times New Roman" w:cstheme="minorHAnsi"/>
          <w:lang w:eastAsia="en-GB"/>
        </w:rPr>
        <w:t>The number of pupils did however decrease significantly from</w:t>
      </w:r>
      <w:r w:rsidR="00BD5E17">
        <w:rPr>
          <w:rFonts w:eastAsia="Times New Roman" w:cstheme="minorHAnsi"/>
          <w:lang w:eastAsia="en-GB"/>
        </w:rPr>
        <w:t xml:space="preserve"> the data in band A, with only 9% of</w:t>
      </w:r>
      <w:r>
        <w:rPr>
          <w:rFonts w:eastAsia="Times New Roman" w:cstheme="minorHAnsi"/>
          <w:lang w:eastAsia="en-GB"/>
        </w:rPr>
        <w:t xml:space="preserve"> students achieving 100% in both tests in comparison with </w:t>
      </w:r>
      <w:r w:rsidR="00BD5E17">
        <w:rPr>
          <w:rFonts w:eastAsia="Times New Roman" w:cstheme="minorHAnsi"/>
          <w:lang w:eastAsia="en-GB"/>
        </w:rPr>
        <w:t xml:space="preserve">52% of students from band A. This also may suggest that where the general attainment of pupils is lower, their dependence on teacher-led instruction is increased. </w:t>
      </w:r>
    </w:p>
    <w:p w:rsidR="00A4720A" w:rsidRDefault="00A4720A" w:rsidP="007B7EFC">
      <w:pPr>
        <w:rPr>
          <w:rFonts w:eastAsia="Times New Roman" w:cstheme="minorHAnsi"/>
          <w:b/>
          <w:u w:val="single"/>
          <w:lang w:eastAsia="en-GB"/>
        </w:rPr>
      </w:pPr>
    </w:p>
    <w:p w:rsidR="00A4720A" w:rsidRDefault="00B67981" w:rsidP="007B7EFC">
      <w:pPr>
        <w:rPr>
          <w:rFonts w:eastAsia="Times New Roman" w:cstheme="minorHAnsi"/>
          <w:b/>
          <w:u w:val="single"/>
          <w:lang w:eastAsia="en-GB"/>
        </w:rPr>
      </w:pPr>
      <w:r>
        <w:rPr>
          <w:rFonts w:eastAsia="Times New Roman" w:cstheme="minorHAnsi"/>
          <w:b/>
          <w:u w:val="single"/>
          <w:lang w:eastAsia="en-GB"/>
        </w:rPr>
        <w:t xml:space="preserve">Band C Results and Discussion </w:t>
      </w:r>
    </w:p>
    <w:p w:rsidR="00B67981" w:rsidRPr="00B67981" w:rsidRDefault="00B67981" w:rsidP="007B7EFC">
      <w:pPr>
        <w:rPr>
          <w:rFonts w:eastAsia="Times New Roman" w:cstheme="minorHAnsi"/>
          <w:b/>
          <w:u w:val="single"/>
          <w:lang w:eastAsia="en-GB"/>
        </w:rPr>
      </w:pPr>
    </w:p>
    <w:p w:rsidR="00321D91" w:rsidRDefault="008C15D5" w:rsidP="00321D91">
      <w:pPr>
        <w:keepNext/>
        <w:jc w:val="center"/>
      </w:pPr>
      <w:r>
        <w:rPr>
          <w:noProof/>
        </w:rPr>
        <w:drawing>
          <wp:inline distT="0" distB="0" distL="0" distR="0" wp14:anchorId="740B67F5" wp14:editId="3C5333C3">
            <wp:extent cx="5689600" cy="3359150"/>
            <wp:effectExtent l="0" t="0" r="12700" b="6350"/>
            <wp:docPr id="3" name="Chart 3">
              <a:extLst xmlns:a="http://schemas.openxmlformats.org/drawingml/2006/main">
                <a:ext uri="{FF2B5EF4-FFF2-40B4-BE49-F238E27FC236}">
                  <a16:creationId xmlns:a16="http://schemas.microsoft.com/office/drawing/2014/main" id="{AD03A91C-AE94-7949-A962-DD487EEC51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A4720A" w:rsidRDefault="00321D91" w:rsidP="00321D91">
      <w:pPr>
        <w:pStyle w:val="Caption"/>
        <w:jc w:val="center"/>
        <w:rPr>
          <w:rFonts w:eastAsia="Times New Roman" w:cstheme="minorHAnsi"/>
          <w:b/>
          <w:u w:val="single"/>
          <w:lang w:eastAsia="en-GB"/>
        </w:rPr>
      </w:pPr>
      <w:r>
        <w:t xml:space="preserve">Figure </w:t>
      </w:r>
      <w:r>
        <w:fldChar w:fldCharType="begin"/>
      </w:r>
      <w:r>
        <w:instrText xml:space="preserve"> SEQ Figure \* ARABIC </w:instrText>
      </w:r>
      <w:r>
        <w:fldChar w:fldCharType="separate"/>
      </w:r>
      <w:r>
        <w:rPr>
          <w:noProof/>
        </w:rPr>
        <w:t>3</w:t>
      </w:r>
      <w:r>
        <w:fldChar w:fldCharType="end"/>
      </w:r>
      <w:r>
        <w:t>: A graph showing results for the teacher-led and student-led element of the research or band c</w:t>
      </w:r>
    </w:p>
    <w:p w:rsidR="00A4720A" w:rsidRDefault="00A4720A" w:rsidP="007B7EFC">
      <w:pPr>
        <w:rPr>
          <w:rFonts w:eastAsia="Times New Roman" w:cstheme="minorHAnsi"/>
          <w:b/>
          <w:u w:val="single"/>
          <w:lang w:eastAsia="en-GB"/>
        </w:rPr>
      </w:pPr>
    </w:p>
    <w:p w:rsidR="00A4720A" w:rsidRPr="00AC6668" w:rsidRDefault="00321D91" w:rsidP="007B7EFC">
      <w:pPr>
        <w:rPr>
          <w:rFonts w:eastAsia="Times New Roman" w:cstheme="minorHAnsi"/>
          <w:lang w:eastAsia="en-GB"/>
        </w:rPr>
      </w:pPr>
      <w:r>
        <w:rPr>
          <w:rFonts w:eastAsia="Times New Roman" w:cstheme="minorHAnsi"/>
          <w:lang w:eastAsia="en-GB"/>
        </w:rPr>
        <w:t>Figure</w:t>
      </w:r>
      <w:r w:rsidR="00AC6668">
        <w:rPr>
          <w:rFonts w:eastAsia="Times New Roman" w:cstheme="minorHAnsi"/>
          <w:lang w:eastAsia="en-GB"/>
        </w:rPr>
        <w:t xml:space="preserve"> 3 displays tests data from the teacher-led and pupil-led elements</w:t>
      </w:r>
      <w:r w:rsidR="004726D5">
        <w:rPr>
          <w:rFonts w:eastAsia="Times New Roman" w:cstheme="minorHAnsi"/>
          <w:lang w:eastAsia="en-GB"/>
        </w:rPr>
        <w:t xml:space="preserve"> for band c. The average percentage test score for the teacher-led element was 67%, whereas for the </w:t>
      </w:r>
      <w:r w:rsidR="004726D5">
        <w:rPr>
          <w:rFonts w:eastAsia="Times New Roman" w:cstheme="minorHAnsi"/>
          <w:lang w:eastAsia="en-GB"/>
        </w:rPr>
        <w:lastRenderedPageBreak/>
        <w:t xml:space="preserve">student-led element the average percentage was 61%. </w:t>
      </w:r>
      <w:r w:rsidR="003A02C7">
        <w:rPr>
          <w:rFonts w:eastAsia="Times New Roman" w:cstheme="minorHAnsi"/>
          <w:lang w:eastAsia="en-GB"/>
        </w:rPr>
        <w:t xml:space="preserve">The number of pupils who achieved higher results in the teacher-led element was 5, whereas the number of students who achieved higher results in the student-led element was 7, and the number of students who remained consistent throughout both tests was 2. </w:t>
      </w:r>
    </w:p>
    <w:p w:rsidR="00A4720A" w:rsidRDefault="00A4720A" w:rsidP="007B7EFC">
      <w:pPr>
        <w:rPr>
          <w:rFonts w:eastAsia="Times New Roman" w:cstheme="minorHAnsi"/>
          <w:b/>
          <w:u w:val="single"/>
          <w:lang w:eastAsia="en-GB"/>
        </w:rPr>
      </w:pPr>
    </w:p>
    <w:p w:rsidR="00744B08" w:rsidRDefault="0036195E" w:rsidP="007B7EFC">
      <w:pPr>
        <w:rPr>
          <w:rFonts w:eastAsia="Times New Roman" w:cstheme="minorHAnsi"/>
          <w:lang w:eastAsia="en-GB"/>
        </w:rPr>
      </w:pPr>
      <w:r>
        <w:rPr>
          <w:rFonts w:eastAsia="Times New Roman" w:cstheme="minorHAnsi"/>
          <w:lang w:eastAsia="en-GB"/>
        </w:rPr>
        <w:t xml:space="preserve">The band C </w:t>
      </w:r>
      <w:r w:rsidR="00BD5E17">
        <w:rPr>
          <w:rFonts w:eastAsia="Times New Roman" w:cstheme="minorHAnsi"/>
          <w:lang w:eastAsia="en-GB"/>
        </w:rPr>
        <w:t>also displays a larger higher percentage test score during the teacher-led instruction. However</w:t>
      </w:r>
      <w:r w:rsidR="005F34AE">
        <w:rPr>
          <w:rFonts w:eastAsia="Times New Roman" w:cstheme="minorHAnsi"/>
          <w:lang w:eastAsia="en-GB"/>
        </w:rPr>
        <w:t>,</w:t>
      </w:r>
      <w:r w:rsidR="00BD5E17">
        <w:rPr>
          <w:rFonts w:eastAsia="Times New Roman" w:cstheme="minorHAnsi"/>
          <w:lang w:eastAsia="en-GB"/>
        </w:rPr>
        <w:t xml:space="preserve"> there are 50% of students who scored higher in the student-led element, and only 36% scored higher in the teacher-led instruction. This may be due to the range of abilities within the classroom engaging within the task. Those students who scored higher in the teacher-led element improved significantly more than those pupils who scored higher in the student-led element. </w:t>
      </w:r>
    </w:p>
    <w:p w:rsidR="00BD5E17" w:rsidRDefault="00BD5E17" w:rsidP="007B7EFC">
      <w:pPr>
        <w:rPr>
          <w:rFonts w:eastAsia="Times New Roman" w:cstheme="minorHAnsi"/>
          <w:lang w:eastAsia="en-GB"/>
        </w:rPr>
      </w:pPr>
    </w:p>
    <w:p w:rsidR="00A4720A" w:rsidRPr="00320623" w:rsidRDefault="00BD5E17" w:rsidP="007B7EFC">
      <w:pPr>
        <w:rPr>
          <w:rFonts w:eastAsia="Times New Roman" w:cstheme="minorHAnsi"/>
          <w:lang w:eastAsia="en-GB"/>
        </w:rPr>
      </w:pPr>
      <w:r>
        <w:rPr>
          <w:rFonts w:eastAsia="Times New Roman" w:cstheme="minorHAnsi"/>
          <w:lang w:eastAsia="en-GB"/>
        </w:rPr>
        <w:t>There appears to be no correlation within the data to suggest which teaching method is more effective when preparing band c classes for tests. However, it is suggested within the data that there is a spread of individual pupils who may benefit from pupil-led method. However, there are also pupils within the class who may find pupil-led teaching detrimental to learning.</w:t>
      </w:r>
    </w:p>
    <w:p w:rsidR="006070FE" w:rsidRDefault="006070FE" w:rsidP="007B7EFC">
      <w:pPr>
        <w:rPr>
          <w:rFonts w:eastAsia="Times New Roman" w:cstheme="minorHAnsi"/>
          <w:b/>
          <w:u w:val="single"/>
          <w:lang w:eastAsia="en-GB"/>
        </w:rPr>
      </w:pPr>
    </w:p>
    <w:p w:rsidR="00D02379" w:rsidRDefault="005F34AE" w:rsidP="007B7EFC">
      <w:pPr>
        <w:rPr>
          <w:rFonts w:eastAsia="Times New Roman" w:cstheme="minorHAnsi"/>
          <w:lang w:eastAsia="en-GB"/>
        </w:rPr>
      </w:pPr>
      <w:r>
        <w:rPr>
          <w:rFonts w:eastAsia="Times New Roman" w:cstheme="minorHAnsi"/>
          <w:lang w:eastAsia="en-GB"/>
        </w:rPr>
        <w:t>The</w:t>
      </w:r>
      <w:r w:rsidR="00D02379">
        <w:rPr>
          <w:rFonts w:eastAsia="Times New Roman" w:cstheme="minorHAnsi"/>
          <w:lang w:eastAsia="en-GB"/>
        </w:rPr>
        <w:t xml:space="preserve"> </w:t>
      </w:r>
      <w:r>
        <w:rPr>
          <w:rFonts w:eastAsia="Times New Roman" w:cstheme="minorHAnsi"/>
          <w:lang w:eastAsia="en-GB"/>
        </w:rPr>
        <w:t xml:space="preserve">following </w:t>
      </w:r>
      <w:r w:rsidR="00D02379">
        <w:rPr>
          <w:rFonts w:eastAsia="Times New Roman" w:cstheme="minorHAnsi"/>
          <w:lang w:eastAsia="en-GB"/>
        </w:rPr>
        <w:t xml:space="preserve">section of the analysis investigates the entire sample size without considering banding of classes A, B and C. </w:t>
      </w:r>
    </w:p>
    <w:p w:rsidR="0068087B" w:rsidRDefault="00D02379" w:rsidP="007B7EFC">
      <w:pPr>
        <w:rPr>
          <w:rFonts w:eastAsia="Times New Roman" w:cstheme="minorHAnsi"/>
          <w:lang w:eastAsia="en-GB"/>
        </w:rPr>
      </w:pPr>
      <w:r>
        <w:rPr>
          <w:rFonts w:eastAsia="Times New Roman" w:cstheme="minorHAnsi"/>
          <w:lang w:eastAsia="en-GB"/>
        </w:rPr>
        <w:t>The total sample size of participants within this investigation was 56. Out of the total 56 participants 43 percent of participants showed a higher overall attainment when learning was undertaken through a teacher-led approach.</w:t>
      </w:r>
      <w:r w:rsidR="0068087B">
        <w:rPr>
          <w:rFonts w:eastAsia="Times New Roman" w:cstheme="minorHAnsi"/>
          <w:lang w:eastAsia="en-GB"/>
        </w:rPr>
        <w:t xml:space="preserve"> However only 30% of students scored higher in the student-led element of the investigation. </w:t>
      </w:r>
    </w:p>
    <w:p w:rsidR="0068087B" w:rsidRDefault="0068087B" w:rsidP="007B7EFC">
      <w:pPr>
        <w:rPr>
          <w:rFonts w:eastAsia="Times New Roman" w:cstheme="minorHAnsi"/>
          <w:lang w:eastAsia="en-GB"/>
        </w:rPr>
      </w:pPr>
    </w:p>
    <w:p w:rsidR="00B67981" w:rsidRDefault="00B67981" w:rsidP="007B7EFC">
      <w:pPr>
        <w:rPr>
          <w:rFonts w:eastAsia="Times New Roman" w:cstheme="minorHAnsi"/>
          <w:b/>
          <w:u w:val="single"/>
          <w:lang w:eastAsia="en-GB"/>
        </w:rPr>
      </w:pPr>
      <w:r>
        <w:rPr>
          <w:rFonts w:eastAsia="Times New Roman" w:cstheme="minorHAnsi"/>
          <w:b/>
          <w:u w:val="single"/>
          <w:lang w:eastAsia="en-GB"/>
        </w:rPr>
        <w:t xml:space="preserve">Entire Sample Discussion </w:t>
      </w:r>
    </w:p>
    <w:p w:rsidR="00B67981" w:rsidRPr="00B67981" w:rsidRDefault="00B67981" w:rsidP="007B7EFC">
      <w:pPr>
        <w:rPr>
          <w:rFonts w:eastAsia="Times New Roman" w:cstheme="minorHAnsi"/>
          <w:b/>
          <w:u w:val="single"/>
          <w:lang w:eastAsia="en-GB"/>
        </w:rPr>
      </w:pPr>
    </w:p>
    <w:p w:rsidR="0068087B" w:rsidRDefault="0068087B" w:rsidP="007B7EFC">
      <w:pPr>
        <w:rPr>
          <w:rFonts w:eastAsia="Times New Roman" w:cstheme="minorHAnsi"/>
          <w:lang w:eastAsia="en-GB"/>
        </w:rPr>
      </w:pPr>
      <w:r>
        <w:rPr>
          <w:rFonts w:eastAsia="Times New Roman" w:cstheme="minorHAnsi"/>
          <w:lang w:eastAsia="en-GB"/>
        </w:rPr>
        <w:t xml:space="preserve">This seems to suggest that students across all current attainment levels are favouring teacher-led approaches to learning. There is however significant evidence from within this investigation to show that there are learners who may benefit from student-led learning. </w:t>
      </w:r>
    </w:p>
    <w:p w:rsidR="006070FE" w:rsidRDefault="006070FE" w:rsidP="007B7EFC">
      <w:pPr>
        <w:rPr>
          <w:rFonts w:eastAsia="Times New Roman" w:cstheme="minorHAnsi"/>
          <w:lang w:eastAsia="en-GB"/>
        </w:rPr>
      </w:pPr>
    </w:p>
    <w:p w:rsidR="0031753F" w:rsidRDefault="006F1059" w:rsidP="007B7EFC">
      <w:pPr>
        <w:rPr>
          <w:rFonts w:eastAsia="Times New Roman" w:cstheme="minorHAnsi"/>
          <w:lang w:eastAsia="en-GB"/>
        </w:rPr>
      </w:pPr>
      <w:r>
        <w:rPr>
          <w:rFonts w:eastAsia="Times New Roman" w:cstheme="minorHAnsi"/>
          <w:lang w:eastAsia="en-GB"/>
        </w:rPr>
        <w:t xml:space="preserve">The results favouring teacher-led learning may be due to the current teaching methods employed within school X. The introduction to student-led approaches is new, and due to this the students may not fully understand the expectations within these lessons. </w:t>
      </w:r>
      <w:r w:rsidR="00F13A3A">
        <w:rPr>
          <w:rFonts w:eastAsia="Times New Roman" w:cstheme="minorHAnsi"/>
          <w:lang w:eastAsia="en-GB"/>
        </w:rPr>
        <w:t xml:space="preserve">This was particularly prevalent with the behaviour during the band c research lesson. However, it was also clear during discussion with pupils that students generally prefer teacher-led instruction when learning and preparing for tests. This could have potentially caused a slight bias towards higher achievement in the teacher-led test due to the increased enjoyment within the lesson, and not due to the ability and success of each lesson. </w:t>
      </w:r>
    </w:p>
    <w:p w:rsidR="00B13B75" w:rsidRDefault="00B13B75" w:rsidP="007B7EFC">
      <w:pPr>
        <w:rPr>
          <w:rFonts w:eastAsia="Times New Roman" w:cstheme="minorHAnsi"/>
          <w:lang w:eastAsia="en-GB"/>
        </w:rPr>
      </w:pPr>
    </w:p>
    <w:p w:rsidR="00B13B75" w:rsidRDefault="004053C1" w:rsidP="007B7EFC">
      <w:pPr>
        <w:rPr>
          <w:rFonts w:eastAsia="Times New Roman" w:cstheme="minorHAnsi"/>
          <w:lang w:eastAsia="en-GB"/>
        </w:rPr>
      </w:pPr>
      <w:r>
        <w:rPr>
          <w:rFonts w:eastAsia="Times New Roman" w:cstheme="minorHAnsi"/>
          <w:lang w:eastAsia="en-GB"/>
        </w:rPr>
        <w:t xml:space="preserve">Having used research as the main tool for the independent learning strategy, on reflection this may have produced results that didn’t accurately reflect the effectiveness of independent learning and may have been limited by the research skills already possessed by the learners. In the future it may be a requirement that research skills are developed within the learners prior to using this as an independent learning task. As school X is in the midst of developing a new scheme of work within KS3, it may be reasonable to suggest that research skills would be a fundamental part of that scheme of work.  </w:t>
      </w:r>
    </w:p>
    <w:p w:rsidR="00097BE8" w:rsidRDefault="00097BE8" w:rsidP="007B7EFC">
      <w:pPr>
        <w:rPr>
          <w:rFonts w:eastAsia="Times New Roman" w:cstheme="minorHAnsi"/>
          <w:lang w:eastAsia="en-GB"/>
        </w:rPr>
      </w:pPr>
    </w:p>
    <w:p w:rsidR="00097BE8" w:rsidRDefault="00097BE8" w:rsidP="007B7EFC">
      <w:pPr>
        <w:rPr>
          <w:rFonts w:eastAsia="Times New Roman" w:cstheme="minorHAnsi"/>
          <w:lang w:eastAsia="en-GB"/>
        </w:rPr>
      </w:pPr>
      <w:r>
        <w:rPr>
          <w:rFonts w:eastAsia="Times New Roman" w:cstheme="minorHAnsi"/>
          <w:lang w:eastAsia="en-GB"/>
        </w:rPr>
        <w:t xml:space="preserve">This has influenced my personal teaching practice, as I am now aware of the requirement to develop skills within the lesson, and more fully understand the necessity of implementing frameworks such as the Digital Competency Framework (DCF) and the Literacy and Numeracy Framework (LNF). On reflection, had I utilised a lesson on a research DCF strand prior to undertaking this investigation, it may have produced more accurate results based on independent learning alone, and not limited by research skills. </w:t>
      </w:r>
    </w:p>
    <w:p w:rsidR="00B54C7B" w:rsidRDefault="00B54C7B" w:rsidP="007B7EFC">
      <w:pPr>
        <w:rPr>
          <w:rFonts w:eastAsia="Times New Roman" w:cstheme="minorHAnsi"/>
          <w:lang w:eastAsia="en-GB"/>
        </w:rPr>
      </w:pPr>
    </w:p>
    <w:p w:rsidR="00B54C7B" w:rsidRPr="00C52213" w:rsidRDefault="00B54C7B" w:rsidP="007B7EFC">
      <w:pPr>
        <w:rPr>
          <w:rFonts w:eastAsia="Times New Roman" w:cstheme="minorHAnsi"/>
          <w:lang w:eastAsia="en-GB"/>
        </w:rPr>
      </w:pPr>
      <w:r>
        <w:rPr>
          <w:rFonts w:eastAsia="Times New Roman" w:cstheme="minorHAnsi"/>
          <w:lang w:eastAsia="en-GB"/>
        </w:rPr>
        <w:t xml:space="preserve">From the results shown within the investigation it is clear that a combination of both teaching methods would have the greatest effect on the learning within the school. This is due to the large differing percentage in students who favoured each type of learning strategy. </w:t>
      </w:r>
    </w:p>
    <w:p w:rsidR="006070FE" w:rsidRDefault="006070FE" w:rsidP="007B7EFC">
      <w:pPr>
        <w:rPr>
          <w:rFonts w:eastAsia="Times New Roman" w:cstheme="minorHAnsi"/>
          <w:b/>
          <w:u w:val="single"/>
          <w:lang w:eastAsia="en-GB"/>
        </w:rPr>
      </w:pPr>
    </w:p>
    <w:p w:rsidR="00B67981" w:rsidRPr="00B67981" w:rsidRDefault="007B7EFC" w:rsidP="007B7EFC">
      <w:pPr>
        <w:rPr>
          <w:rFonts w:eastAsia="Times New Roman" w:cstheme="minorHAnsi"/>
          <w:b/>
          <w:sz w:val="32"/>
          <w:szCs w:val="32"/>
          <w:u w:val="single"/>
          <w:lang w:eastAsia="en-GB"/>
        </w:rPr>
      </w:pPr>
      <w:r w:rsidRPr="00B67981">
        <w:rPr>
          <w:rFonts w:eastAsia="Times New Roman" w:cstheme="minorHAnsi"/>
          <w:b/>
          <w:sz w:val="32"/>
          <w:szCs w:val="32"/>
          <w:u w:val="single"/>
          <w:lang w:eastAsia="en-GB"/>
        </w:rPr>
        <w:t xml:space="preserve">Conclusions </w:t>
      </w:r>
    </w:p>
    <w:p w:rsidR="00B54C7B" w:rsidRDefault="00494EEE" w:rsidP="007B7EFC">
      <w:pPr>
        <w:rPr>
          <w:rFonts w:eastAsia="Times New Roman" w:cstheme="minorHAnsi"/>
          <w:lang w:eastAsia="en-GB"/>
        </w:rPr>
      </w:pPr>
      <w:r>
        <w:rPr>
          <w:rFonts w:eastAsia="Times New Roman" w:cstheme="minorHAnsi"/>
          <w:lang w:eastAsia="en-GB"/>
        </w:rPr>
        <w:t>The investigation</w:t>
      </w:r>
      <w:r w:rsidR="005717D7">
        <w:rPr>
          <w:rFonts w:eastAsia="Times New Roman" w:cstheme="minorHAnsi"/>
          <w:lang w:eastAsia="en-GB"/>
        </w:rPr>
        <w:t xml:space="preserve"> as a whole was carried out in direct response to the in-depth literature review in to teaching methodologies, and in response to the requirement of school X which is forming part of my second placement. The investigation has been a success in achieving the aim of assessing the effectiveness of a teacher-led approach and a student-led approach to learning. </w:t>
      </w:r>
    </w:p>
    <w:p w:rsidR="00673986" w:rsidRDefault="00673986" w:rsidP="007B7EFC">
      <w:pPr>
        <w:rPr>
          <w:rFonts w:eastAsia="Times New Roman" w:cstheme="minorHAnsi"/>
          <w:lang w:eastAsia="en-GB"/>
        </w:rPr>
      </w:pPr>
    </w:p>
    <w:p w:rsidR="00673986" w:rsidRDefault="00673986" w:rsidP="007B7EFC">
      <w:pPr>
        <w:rPr>
          <w:rFonts w:eastAsia="Times New Roman" w:cstheme="minorHAnsi"/>
          <w:lang w:eastAsia="en-GB"/>
        </w:rPr>
      </w:pPr>
      <w:r>
        <w:rPr>
          <w:rFonts w:eastAsia="Times New Roman" w:cstheme="minorHAnsi"/>
          <w:lang w:eastAsia="en-GB"/>
        </w:rPr>
        <w:t xml:space="preserve">Ethically the investigation was well researched and delivered in accordance with the ethical approval obtained. The </w:t>
      </w:r>
      <w:r w:rsidR="00A6712C">
        <w:rPr>
          <w:rFonts w:eastAsia="Times New Roman" w:cstheme="minorHAnsi"/>
          <w:lang w:eastAsia="en-GB"/>
        </w:rPr>
        <w:t xml:space="preserve">learners were fully aware of the voluntary nature of the research, and as such the sample size of participants was 56, where are approximately 90 students were present and took part in the lessons in which the research occurred. </w:t>
      </w:r>
    </w:p>
    <w:p w:rsidR="005717D7" w:rsidRDefault="005717D7" w:rsidP="007B7EFC">
      <w:pPr>
        <w:rPr>
          <w:rFonts w:eastAsia="Times New Roman" w:cstheme="minorHAnsi"/>
          <w:lang w:eastAsia="en-GB"/>
        </w:rPr>
      </w:pPr>
    </w:p>
    <w:p w:rsidR="005717D7" w:rsidRDefault="005717D7" w:rsidP="007B7EFC">
      <w:pPr>
        <w:rPr>
          <w:rFonts w:eastAsia="Times New Roman" w:cstheme="minorHAnsi"/>
          <w:lang w:eastAsia="en-GB"/>
        </w:rPr>
      </w:pPr>
      <w:r>
        <w:rPr>
          <w:rFonts w:eastAsia="Times New Roman" w:cstheme="minorHAnsi"/>
          <w:lang w:eastAsia="en-GB"/>
        </w:rPr>
        <w:t>The methodology was effe</w:t>
      </w:r>
      <w:r w:rsidR="007A20E0">
        <w:rPr>
          <w:rFonts w:eastAsia="Times New Roman" w:cstheme="minorHAnsi"/>
          <w:lang w:eastAsia="en-GB"/>
        </w:rPr>
        <w:t>ctive throughout</w:t>
      </w:r>
      <w:r>
        <w:rPr>
          <w:rFonts w:eastAsia="Times New Roman" w:cstheme="minorHAnsi"/>
          <w:lang w:eastAsia="en-GB"/>
        </w:rPr>
        <w:t xml:space="preserve"> and led to a scheme of work involving three lessons that were delivered successfully to 3 different year 9 classes. </w:t>
      </w:r>
      <w:r w:rsidR="00B13B75">
        <w:rPr>
          <w:rFonts w:eastAsia="Times New Roman" w:cstheme="minorHAnsi"/>
          <w:lang w:eastAsia="en-GB"/>
        </w:rPr>
        <w:t>Having utilised digital research for the independent learning approach i</w:t>
      </w:r>
      <w:r w:rsidR="00770F00">
        <w:rPr>
          <w:rFonts w:eastAsia="Times New Roman" w:cstheme="minorHAnsi"/>
          <w:lang w:eastAsia="en-GB"/>
        </w:rPr>
        <w:t xml:space="preserve">n future it may be necessary to </w:t>
      </w:r>
      <w:r w:rsidR="00B13B75">
        <w:rPr>
          <w:rFonts w:eastAsia="Times New Roman" w:cstheme="minorHAnsi"/>
          <w:lang w:eastAsia="en-GB"/>
        </w:rPr>
        <w:t xml:space="preserve">include an element of research skills prior to undertaking the research. This would ensure that learners are not disadvantaged due to limited research skills. </w:t>
      </w:r>
    </w:p>
    <w:p w:rsidR="005717D7" w:rsidRDefault="005717D7" w:rsidP="007B7EFC">
      <w:pPr>
        <w:rPr>
          <w:rFonts w:eastAsia="Times New Roman" w:cstheme="minorHAnsi"/>
          <w:lang w:eastAsia="en-GB"/>
        </w:rPr>
      </w:pPr>
    </w:p>
    <w:p w:rsidR="007A20E0" w:rsidRDefault="005717D7" w:rsidP="007B7EFC">
      <w:pPr>
        <w:rPr>
          <w:rFonts w:eastAsia="Times New Roman" w:cstheme="minorHAnsi"/>
          <w:lang w:eastAsia="en-GB"/>
        </w:rPr>
      </w:pPr>
      <w:r>
        <w:rPr>
          <w:rFonts w:eastAsia="Times New Roman" w:cstheme="minorHAnsi"/>
          <w:lang w:eastAsia="en-GB"/>
        </w:rPr>
        <w:t xml:space="preserve">The higher current ability band a class overall felt that they preferred a teacher-led environment, although their ability to achieve excellent results was displayed in both teacher and student-led approaches to learning. </w:t>
      </w:r>
      <w:r w:rsidR="007A20E0">
        <w:rPr>
          <w:rFonts w:eastAsia="Times New Roman" w:cstheme="minorHAnsi"/>
          <w:lang w:eastAsia="en-GB"/>
        </w:rPr>
        <w:t>This may suggest that the higher current ability students possess the skills required for independent learning.</w:t>
      </w:r>
      <w:r w:rsidR="004C3AD8">
        <w:rPr>
          <w:rFonts w:eastAsia="Times New Roman" w:cstheme="minorHAnsi"/>
          <w:lang w:eastAsia="en-GB"/>
        </w:rPr>
        <w:t xml:space="preserve"> There were however a small number of students within the class who performed better within their student-led subject test. </w:t>
      </w:r>
    </w:p>
    <w:p w:rsidR="007A20E0" w:rsidRDefault="007A20E0" w:rsidP="007B7EFC">
      <w:pPr>
        <w:rPr>
          <w:rFonts w:eastAsia="Times New Roman" w:cstheme="minorHAnsi"/>
          <w:lang w:eastAsia="en-GB"/>
        </w:rPr>
      </w:pPr>
    </w:p>
    <w:p w:rsidR="004C3AD8" w:rsidRDefault="007A20E0" w:rsidP="007B7EFC">
      <w:pPr>
        <w:rPr>
          <w:rFonts w:eastAsia="Times New Roman" w:cstheme="minorHAnsi"/>
          <w:lang w:eastAsia="en-GB"/>
        </w:rPr>
      </w:pPr>
      <w:r>
        <w:rPr>
          <w:rFonts w:eastAsia="Times New Roman" w:cstheme="minorHAnsi"/>
          <w:lang w:eastAsia="en-GB"/>
        </w:rPr>
        <w:t xml:space="preserve">The intermediate current ability class also expressed their favouritism towards a teacher-led approach to learning. The quantitative data from the tests also revealed that as a whole the class performed far better in the teacher-led test. There were also far more individuals who </w:t>
      </w:r>
      <w:r w:rsidR="004C3AD8">
        <w:rPr>
          <w:rFonts w:eastAsia="Times New Roman" w:cstheme="minorHAnsi"/>
          <w:lang w:eastAsia="en-GB"/>
        </w:rPr>
        <w:t xml:space="preserve">were more susceptible to learning when teacher-led. However, there were student within the class who performed far better when allowed to lead their own learning in preparation for the test. </w:t>
      </w:r>
    </w:p>
    <w:p w:rsidR="004C3AD8" w:rsidRDefault="004C3AD8" w:rsidP="007B7EFC">
      <w:pPr>
        <w:rPr>
          <w:rFonts w:eastAsia="Times New Roman" w:cstheme="minorHAnsi"/>
          <w:lang w:eastAsia="en-GB"/>
        </w:rPr>
      </w:pPr>
    </w:p>
    <w:p w:rsidR="004C3AD8" w:rsidRDefault="004C3AD8" w:rsidP="007B7EFC">
      <w:pPr>
        <w:rPr>
          <w:rFonts w:eastAsia="Times New Roman" w:cstheme="minorHAnsi"/>
          <w:lang w:eastAsia="en-GB"/>
        </w:rPr>
      </w:pPr>
      <w:r>
        <w:rPr>
          <w:rFonts w:eastAsia="Times New Roman" w:cstheme="minorHAnsi"/>
          <w:lang w:eastAsia="en-GB"/>
        </w:rPr>
        <w:t xml:space="preserve">The lower current attainment class (band c) displayed varied data, whereby there was no correlation for the class as to a preferred learning style. There average percentage for the </w:t>
      </w:r>
      <w:r>
        <w:rPr>
          <w:rFonts w:eastAsia="Times New Roman" w:cstheme="minorHAnsi"/>
          <w:lang w:eastAsia="en-GB"/>
        </w:rPr>
        <w:lastRenderedPageBreak/>
        <w:t xml:space="preserve">class displayed a deeper understanding when teacher-led, however there were more students who outperformed their teacher-led assessments with their student-led assessments. </w:t>
      </w:r>
    </w:p>
    <w:p w:rsidR="00845B0E" w:rsidRDefault="00845B0E" w:rsidP="007B7EFC">
      <w:pPr>
        <w:rPr>
          <w:rFonts w:eastAsia="Times New Roman" w:cstheme="minorHAnsi"/>
          <w:lang w:eastAsia="en-GB"/>
        </w:rPr>
      </w:pPr>
    </w:p>
    <w:p w:rsidR="009251BF" w:rsidRDefault="00845B0E" w:rsidP="007B7EFC">
      <w:pPr>
        <w:rPr>
          <w:rFonts w:eastAsia="Times New Roman" w:cstheme="minorHAnsi"/>
          <w:lang w:eastAsia="en-GB"/>
        </w:rPr>
      </w:pPr>
      <w:r>
        <w:rPr>
          <w:rFonts w:eastAsia="Times New Roman" w:cstheme="minorHAnsi"/>
          <w:lang w:eastAsia="en-GB"/>
        </w:rPr>
        <w:t xml:space="preserve">Collectively the sample provided quantitative data that displayed that there is a varied response to both student and teacher-led learning styles. </w:t>
      </w:r>
      <w:r w:rsidR="003F01F4">
        <w:rPr>
          <w:rFonts w:eastAsia="Times New Roman" w:cstheme="minorHAnsi"/>
          <w:lang w:eastAsia="en-GB"/>
        </w:rPr>
        <w:t>This is correlated with the research carried out in the literature review, in which it was established that a range of learners require a range of different learning techniqu</w:t>
      </w:r>
      <w:r w:rsidR="00673986">
        <w:rPr>
          <w:rFonts w:eastAsia="Times New Roman" w:cstheme="minorHAnsi"/>
          <w:lang w:eastAsia="en-GB"/>
        </w:rPr>
        <w:t>es</w:t>
      </w:r>
      <w:r w:rsidR="003F01F4">
        <w:rPr>
          <w:rFonts w:eastAsia="Times New Roman" w:cstheme="minorHAnsi"/>
          <w:lang w:eastAsia="en-GB"/>
        </w:rPr>
        <w:t xml:space="preserve">. </w:t>
      </w:r>
      <w:r w:rsidR="002F558C">
        <w:rPr>
          <w:rFonts w:eastAsia="Times New Roman" w:cstheme="minorHAnsi"/>
          <w:lang w:eastAsia="en-GB"/>
        </w:rPr>
        <w:t xml:space="preserve">This does however show that </w:t>
      </w:r>
      <w:r w:rsidR="009251BF">
        <w:rPr>
          <w:rFonts w:eastAsia="Times New Roman" w:cstheme="minorHAnsi"/>
          <w:lang w:eastAsia="en-GB"/>
        </w:rPr>
        <w:t>introducing student-lead approaches to learning will be an effective way to ensure that all learners can make progress within lessons.</w:t>
      </w:r>
      <w:r w:rsidR="00673986">
        <w:rPr>
          <w:rFonts w:eastAsia="Times New Roman" w:cstheme="minorHAnsi"/>
          <w:lang w:eastAsia="en-GB"/>
        </w:rPr>
        <w:t xml:space="preserve"> </w:t>
      </w:r>
      <w:r w:rsidR="009251BF">
        <w:rPr>
          <w:rFonts w:eastAsia="Times New Roman" w:cstheme="minorHAnsi"/>
          <w:lang w:eastAsia="en-GB"/>
        </w:rPr>
        <w:t xml:space="preserve"> </w:t>
      </w:r>
    </w:p>
    <w:p w:rsidR="000A7447" w:rsidRDefault="000A7447" w:rsidP="007B7EFC">
      <w:pPr>
        <w:rPr>
          <w:rFonts w:eastAsia="Times New Roman" w:cstheme="minorHAnsi"/>
          <w:lang w:eastAsia="en-GB"/>
        </w:rPr>
      </w:pPr>
    </w:p>
    <w:p w:rsidR="00E51AD4" w:rsidRDefault="000A7447" w:rsidP="007B7EFC">
      <w:pPr>
        <w:rPr>
          <w:rFonts w:eastAsia="Times New Roman" w:cstheme="minorHAnsi"/>
          <w:lang w:eastAsia="en-GB"/>
        </w:rPr>
      </w:pPr>
      <w:r>
        <w:rPr>
          <w:rFonts w:eastAsia="Times New Roman" w:cstheme="minorHAnsi"/>
          <w:lang w:eastAsia="en-GB"/>
        </w:rPr>
        <w:t>In terms of my personal pedagogical practice, I have learned the importance of including a range of teaching and learning techniques. The learned throughout the sample size had various preferences to how they prefer to learn, and it is fundamental that this is taken in to consideration in my lesson planning. For some students, independent learning was a difficult task, and they needed much input and perhaps the security of being told what was right and wrong before making notes, however, other students were confident in their ability to research and find accurate scientific theory. Consid</w:t>
      </w:r>
      <w:r w:rsidR="000C15B8">
        <w:rPr>
          <w:rFonts w:eastAsia="Times New Roman" w:cstheme="minorHAnsi"/>
          <w:lang w:eastAsia="en-GB"/>
        </w:rPr>
        <w:t xml:space="preserve">ering the preferences of students has allowed me to consider a range of learning needs, which is required for obtaining qualified teaching status (QTS). Part of this standard is meeting requirements of more able and talented students as well as students with additional learning needs. The independent learning allowed me to circulate and ensure ALN students were </w:t>
      </w:r>
      <w:proofErr w:type="spellStart"/>
      <w:r w:rsidR="000C15B8">
        <w:rPr>
          <w:rFonts w:eastAsia="Times New Roman" w:cstheme="minorHAnsi"/>
          <w:lang w:eastAsia="en-GB"/>
        </w:rPr>
        <w:t>scaffolded</w:t>
      </w:r>
      <w:proofErr w:type="spellEnd"/>
      <w:r w:rsidR="000C15B8">
        <w:rPr>
          <w:rFonts w:eastAsia="Times New Roman" w:cstheme="minorHAnsi"/>
          <w:lang w:eastAsia="en-GB"/>
        </w:rPr>
        <w:t xml:space="preserve"> to allow them to make progress. Alternatively, during circulation of the student-led lesson, I was able to challenge the MAT pupils, particularly by prompting more in-depth research. </w:t>
      </w:r>
    </w:p>
    <w:p w:rsidR="009251BF" w:rsidRPr="002124F5" w:rsidRDefault="009251BF" w:rsidP="007B7EFC">
      <w:pPr>
        <w:rPr>
          <w:rFonts w:eastAsia="Times New Roman" w:cstheme="minorHAnsi"/>
          <w:lang w:eastAsia="en-GB"/>
        </w:rPr>
      </w:pPr>
    </w:p>
    <w:p w:rsidR="005717D7" w:rsidRDefault="009251BF" w:rsidP="007B7EFC">
      <w:pPr>
        <w:rPr>
          <w:rFonts w:eastAsia="Times New Roman" w:cstheme="minorHAnsi"/>
          <w:lang w:eastAsia="en-GB"/>
        </w:rPr>
      </w:pPr>
      <w:r>
        <w:rPr>
          <w:rFonts w:eastAsia="Times New Roman" w:cstheme="minorHAnsi"/>
          <w:lang w:eastAsia="en-GB"/>
        </w:rPr>
        <w:t xml:space="preserve">This investigation can potentially inform the pedagogical approached within the science department of school X, however there are significant limitation within this experiment that should be taken in to consideration. These limitation and suggestions for future developments are outlined in the section below. </w:t>
      </w:r>
      <w:r w:rsidR="007A20E0">
        <w:rPr>
          <w:rFonts w:eastAsia="Times New Roman" w:cstheme="minorHAnsi"/>
          <w:lang w:eastAsia="en-GB"/>
        </w:rPr>
        <w:t xml:space="preserve">    </w:t>
      </w:r>
    </w:p>
    <w:p w:rsidR="00B54C7B" w:rsidRDefault="00B54C7B" w:rsidP="007B7EFC">
      <w:pPr>
        <w:rPr>
          <w:rFonts w:eastAsia="Times New Roman" w:cstheme="minorHAnsi"/>
          <w:lang w:eastAsia="en-GB"/>
        </w:rPr>
      </w:pPr>
    </w:p>
    <w:p w:rsidR="00B54C7B" w:rsidRPr="00545EAD" w:rsidRDefault="00B54C7B" w:rsidP="007B7EFC">
      <w:pPr>
        <w:rPr>
          <w:rFonts w:eastAsia="Times New Roman" w:cstheme="minorHAnsi"/>
          <w:lang w:eastAsia="en-GB"/>
        </w:rPr>
      </w:pPr>
    </w:p>
    <w:p w:rsidR="007B7EFC" w:rsidRPr="00B67981" w:rsidRDefault="007B7EFC" w:rsidP="007B7EFC">
      <w:pPr>
        <w:rPr>
          <w:rFonts w:eastAsia="Times New Roman" w:cstheme="minorHAnsi"/>
          <w:sz w:val="32"/>
          <w:szCs w:val="32"/>
          <w:lang w:eastAsia="en-GB"/>
        </w:rPr>
      </w:pPr>
      <w:r w:rsidRPr="00B67981">
        <w:rPr>
          <w:rFonts w:eastAsia="Times New Roman" w:cstheme="minorHAnsi"/>
          <w:b/>
          <w:sz w:val="32"/>
          <w:szCs w:val="32"/>
          <w:u w:val="single"/>
          <w:lang w:eastAsia="en-GB"/>
        </w:rPr>
        <w:t xml:space="preserve">Limitations and future development </w:t>
      </w:r>
    </w:p>
    <w:p w:rsidR="007B7EFC" w:rsidRPr="007B7EFC" w:rsidRDefault="007B7EFC" w:rsidP="007B7EFC">
      <w:pPr>
        <w:rPr>
          <w:rFonts w:eastAsia="Times New Roman" w:cstheme="minorHAnsi"/>
          <w:lang w:eastAsia="en-GB"/>
        </w:rPr>
      </w:pPr>
      <w:r w:rsidRPr="007B7EFC">
        <w:rPr>
          <w:rFonts w:eastAsia="Times New Roman" w:cstheme="minorHAnsi"/>
          <w:lang w:eastAsia="en-GB"/>
        </w:rPr>
        <w:t>Identify the limitations of the study paying particular attention to areas of future classroom enquiry which will support your professional and personal development.</w:t>
      </w:r>
    </w:p>
    <w:p w:rsidR="00AE0C77" w:rsidRDefault="00AE0C77"/>
    <w:p w:rsidR="003453B1" w:rsidRDefault="00673986">
      <w:r>
        <w:t xml:space="preserve">There were a multitude of limitation within this investigation. Primarily </w:t>
      </w:r>
      <w:r w:rsidR="00E51AD4">
        <w:t xml:space="preserve">the sample size. From research carried out it was expected that a sample size required for accurate results </w:t>
      </w:r>
      <w:r w:rsidR="00FF50CC">
        <w:t>would have been approximately 80</w:t>
      </w:r>
      <w:r w:rsidR="00E51AD4">
        <w:t xml:space="preserve">% of the population. In this case the population size of year 9 in school X is approximately </w:t>
      </w:r>
      <w:r w:rsidR="00FF50CC">
        <w:t>130, so for data that fully represented the population, the sample size should have been at least 104 learners. Due to the timetabling within normal school practice, and schemes of work that are adhered to, it was only possible to undertake the research within 3 classes of year 9’</w:t>
      </w:r>
      <w:r w:rsidR="00E515BF">
        <w:t>s. This gave a sample size of approximately 90 students. However, due to the voluntary nature of the investigation, only 56 students were willing to participate within the study. In order to develop this for future practice,</w:t>
      </w:r>
      <w:r w:rsidR="003453B1">
        <w:t xml:space="preserve"> it would be beneficial to the study and to the results obtained to increase the sample size of the investigation. </w:t>
      </w:r>
    </w:p>
    <w:p w:rsidR="003453B1" w:rsidRDefault="003453B1"/>
    <w:p w:rsidR="00984F5C" w:rsidRDefault="003453B1">
      <w:r>
        <w:lastRenderedPageBreak/>
        <w:t xml:space="preserve">The second major limitation for the investigation was time. The </w:t>
      </w:r>
      <w:r w:rsidR="001043B7">
        <w:t xml:space="preserve">prescribed scheme of work for year 9 was full and formed part of the preparation of pupils ready for year 10. For this reason, it was accepted that this research task should only take a maximum of four lessons, which allowed one lesson for background theory, the second lesson for teacher-led instruction, the third lesson for student-led instruction and the final lesson for a test. In future, I would highly suggest taking a minimum of five lessons to carry out this research. This would allow time for specific skills to be developed prior to undertaking the tasks. </w:t>
      </w:r>
      <w:r w:rsidR="00AF5562">
        <w:t xml:space="preserve">In order to achieve greater </w:t>
      </w:r>
      <w:r w:rsidR="00984F5C">
        <w:t>time,</w:t>
      </w:r>
      <w:r w:rsidR="00AF5562">
        <w:t xml:space="preserve"> I would recommend ensuring your research is using topics from the syllabus, and thus would </w:t>
      </w:r>
      <w:r w:rsidR="00D33E25">
        <w:t xml:space="preserve">continue normal teaching practice and investigation simultaneously. </w:t>
      </w:r>
    </w:p>
    <w:p w:rsidR="00984F5C" w:rsidRDefault="00984F5C"/>
    <w:p w:rsidR="00673986" w:rsidRDefault="00984F5C">
      <w:r>
        <w:t xml:space="preserve">The third limitation was the underestimation of the skills required in the student-led approach. During this investigation only 1 method was utilised for the student-led lesson. In order to limit inaccuracies due to skills level of students, and focus on the results from learning approaches, I would suggest giving the students freedom to choose their method of independent learning. This would negate the chance of learners undertaking tasks, such as research that they are not comfortable with. Instead, learners could choose to study through a textbook for example. </w:t>
      </w:r>
      <w:r w:rsidR="00E515BF">
        <w:t xml:space="preserve"> </w:t>
      </w:r>
    </w:p>
    <w:p w:rsidR="00027AE0" w:rsidRDefault="00027AE0"/>
    <w:p w:rsidR="00027AE0" w:rsidRDefault="00027AE0">
      <w:r>
        <w:t>The fourth limitation was the type of data recorded within the investigation. From carrying out the investigation it became clear within the lessons that learners had a varied attitude towards different styles of learning. It would have been hugely beneficial to have recorded qualitative data, based upon students</w:t>
      </w:r>
      <w:r w:rsidR="005B7F99">
        <w:t>’</w:t>
      </w:r>
      <w:r>
        <w:t xml:space="preserve"> opinions towards the lessons as well as quantitative data to discuss which approach worked better for preparation for tests. </w:t>
      </w:r>
      <w:r w:rsidR="00CC1D50">
        <w:t>This</w:t>
      </w:r>
      <w:r w:rsidR="005B7F99">
        <w:t xml:space="preserve"> could have formed discussions and comparisons between the enjoyment of each learning approach and the subsequent percentage scores within tests. This may also work to better inform school practice, as pupil opinion is regarded as important as results. </w:t>
      </w:r>
    </w:p>
    <w:p w:rsidR="00673986" w:rsidRDefault="00673986"/>
    <w:p w:rsidR="00673986" w:rsidRDefault="00673986"/>
    <w:p w:rsidR="009553E3" w:rsidRDefault="009553E3"/>
    <w:p w:rsidR="00B67981" w:rsidRDefault="00B67981"/>
    <w:p w:rsidR="00B67981" w:rsidRDefault="00B67981"/>
    <w:p w:rsidR="00B67981" w:rsidRDefault="00B67981"/>
    <w:p w:rsidR="00B67981" w:rsidRDefault="00B67981"/>
    <w:p w:rsidR="00B67981" w:rsidRDefault="00B67981"/>
    <w:p w:rsidR="00B67981" w:rsidRDefault="00B67981"/>
    <w:p w:rsidR="00B67981" w:rsidRDefault="00B67981"/>
    <w:p w:rsidR="00B67981" w:rsidRDefault="00B67981"/>
    <w:p w:rsidR="00B67981" w:rsidRDefault="00B67981"/>
    <w:p w:rsidR="00B67981" w:rsidRDefault="00B67981"/>
    <w:p w:rsidR="00B67981" w:rsidRDefault="00B67981"/>
    <w:p w:rsidR="00B67981" w:rsidRDefault="00B67981"/>
    <w:p w:rsidR="00B67981" w:rsidRDefault="00B67981"/>
    <w:p w:rsidR="00B67981" w:rsidRDefault="00B67981"/>
    <w:p w:rsidR="00B67981" w:rsidRDefault="00B67981"/>
    <w:p w:rsidR="00B67981" w:rsidRDefault="00B67981"/>
    <w:p w:rsidR="00B67981" w:rsidRDefault="00B67981"/>
    <w:p w:rsidR="00A05A6A" w:rsidRPr="00B67981" w:rsidRDefault="00A05A6A">
      <w:pPr>
        <w:rPr>
          <w:b/>
          <w:sz w:val="32"/>
          <w:szCs w:val="32"/>
          <w:u w:val="single"/>
        </w:rPr>
      </w:pPr>
      <w:r w:rsidRPr="00B67981">
        <w:rPr>
          <w:b/>
          <w:sz w:val="32"/>
          <w:szCs w:val="32"/>
          <w:u w:val="single"/>
        </w:rPr>
        <w:lastRenderedPageBreak/>
        <w:t xml:space="preserve">References </w:t>
      </w:r>
    </w:p>
    <w:p w:rsidR="00A05A6A" w:rsidRDefault="00A05A6A">
      <w:pPr>
        <w:rPr>
          <w:b/>
          <w:u w:val="single"/>
        </w:rPr>
      </w:pPr>
    </w:p>
    <w:p w:rsidR="00F65353" w:rsidRPr="006642A4" w:rsidRDefault="00F65353" w:rsidP="00F65353">
      <w:pPr>
        <w:rPr>
          <w:rFonts w:eastAsia="Times New Roman" w:cs="Times New Roman"/>
          <w:sz w:val="20"/>
          <w:szCs w:val="20"/>
          <w:lang w:eastAsia="en-GB"/>
        </w:rPr>
      </w:pPr>
      <w:r w:rsidRPr="006642A4">
        <w:rPr>
          <w:rFonts w:eastAsia="Times New Roman" w:cs="Times New Roman"/>
          <w:sz w:val="20"/>
          <w:szCs w:val="20"/>
          <w:lang w:eastAsia="en-GB"/>
        </w:rPr>
        <w:t xml:space="preserve">Akers, J. B. (1999). Confronting the realities of implementing contextual learning ideas in a biology classroom. (Doctoral dissertation, Virginia Polytechnic Institute and State University, 1999). Dissertation Abstracts International, 65, 09A, 3260. </w:t>
      </w:r>
    </w:p>
    <w:p w:rsidR="00B67981" w:rsidRPr="006642A4" w:rsidRDefault="00B67981" w:rsidP="00F65353">
      <w:pPr>
        <w:rPr>
          <w:rFonts w:eastAsia="Times New Roman" w:cs="Times New Roman"/>
          <w:sz w:val="20"/>
          <w:szCs w:val="20"/>
          <w:lang w:eastAsia="en-GB"/>
        </w:rPr>
      </w:pPr>
    </w:p>
    <w:p w:rsidR="00F65353" w:rsidRPr="006642A4" w:rsidRDefault="00F65353" w:rsidP="00F65353">
      <w:pPr>
        <w:rPr>
          <w:rFonts w:eastAsia="Times New Roman" w:cs="Times New Roman"/>
          <w:sz w:val="20"/>
          <w:szCs w:val="20"/>
          <w:lang w:eastAsia="en-GB"/>
        </w:rPr>
      </w:pPr>
      <w:proofErr w:type="spellStart"/>
      <w:r w:rsidRPr="006642A4">
        <w:rPr>
          <w:rFonts w:eastAsia="Times New Roman" w:cs="Times New Roman"/>
          <w:sz w:val="20"/>
          <w:szCs w:val="20"/>
          <w:lang w:eastAsia="en-GB"/>
        </w:rPr>
        <w:t>Biesta</w:t>
      </w:r>
      <w:proofErr w:type="spellEnd"/>
      <w:r w:rsidRPr="006642A4">
        <w:rPr>
          <w:rFonts w:eastAsia="Times New Roman" w:cs="Times New Roman"/>
          <w:sz w:val="20"/>
          <w:szCs w:val="20"/>
          <w:lang w:eastAsia="en-GB"/>
        </w:rPr>
        <w:t xml:space="preserve">, G. (2012). “Giving Teaching Back to </w:t>
      </w:r>
      <w:proofErr w:type="gramStart"/>
      <w:r w:rsidRPr="006642A4">
        <w:rPr>
          <w:rFonts w:eastAsia="Times New Roman" w:cs="Times New Roman"/>
          <w:sz w:val="20"/>
          <w:szCs w:val="20"/>
          <w:lang w:eastAsia="en-GB"/>
        </w:rPr>
        <w:t>Education :</w:t>
      </w:r>
      <w:proofErr w:type="gramEnd"/>
      <w:r w:rsidRPr="006642A4">
        <w:rPr>
          <w:rFonts w:eastAsia="Times New Roman" w:cs="Times New Roman"/>
          <w:sz w:val="20"/>
          <w:szCs w:val="20"/>
          <w:lang w:eastAsia="en-GB"/>
        </w:rPr>
        <w:t xml:space="preserve"> Responding to the Disappearance of the Teacher”. Phenomenology &amp; Practice, Volume 6 (2012).</w:t>
      </w:r>
    </w:p>
    <w:p w:rsidR="00F65353" w:rsidRPr="006642A4" w:rsidRDefault="00F65353" w:rsidP="006137E0">
      <w:pPr>
        <w:rPr>
          <w:rFonts w:eastAsia="Times New Roman" w:cs="Times New Roman"/>
          <w:sz w:val="20"/>
          <w:szCs w:val="20"/>
          <w:lang w:eastAsia="en-GB"/>
        </w:rPr>
      </w:pPr>
    </w:p>
    <w:p w:rsidR="006137E0" w:rsidRPr="006642A4" w:rsidRDefault="006137E0" w:rsidP="006137E0">
      <w:pPr>
        <w:rPr>
          <w:rFonts w:eastAsia="Times New Roman" w:cs="Times New Roman"/>
          <w:sz w:val="20"/>
          <w:szCs w:val="20"/>
          <w:lang w:eastAsia="en-GB"/>
        </w:rPr>
      </w:pPr>
      <w:r w:rsidRPr="006642A4">
        <w:rPr>
          <w:rFonts w:eastAsia="Times New Roman" w:cs="Times New Roman"/>
          <w:sz w:val="20"/>
          <w:szCs w:val="20"/>
          <w:lang w:eastAsia="en-GB"/>
        </w:rPr>
        <w:t>Derry, J. (1999). “A Fish called peer learning: Searching for common themes. In A. M. O'Donnell &amp; A. King (Eds.), Cognitive perspectives on peer learning” (pp. 197-211). Mahwah, NJ: Lawrence Erlbaum</w:t>
      </w:r>
    </w:p>
    <w:p w:rsidR="006137E0" w:rsidRPr="006642A4" w:rsidRDefault="006137E0" w:rsidP="006137E0">
      <w:pPr>
        <w:rPr>
          <w:rFonts w:eastAsia="Times New Roman" w:cs="Times New Roman"/>
          <w:sz w:val="20"/>
          <w:szCs w:val="20"/>
          <w:lang w:eastAsia="en-GB"/>
        </w:rPr>
      </w:pPr>
    </w:p>
    <w:p w:rsidR="00211A01" w:rsidRPr="006642A4" w:rsidRDefault="00211A01" w:rsidP="00211A01">
      <w:pPr>
        <w:rPr>
          <w:sz w:val="20"/>
          <w:szCs w:val="20"/>
        </w:rPr>
      </w:pPr>
      <w:proofErr w:type="spellStart"/>
      <w:r w:rsidRPr="006642A4">
        <w:rPr>
          <w:sz w:val="20"/>
          <w:szCs w:val="20"/>
        </w:rPr>
        <w:t>Diener</w:t>
      </w:r>
      <w:proofErr w:type="spellEnd"/>
      <w:r w:rsidRPr="006642A4">
        <w:rPr>
          <w:sz w:val="20"/>
          <w:szCs w:val="20"/>
        </w:rPr>
        <w:t xml:space="preserve">, E. and Crandall, R. (1978) Ethics in Social and Behavioural Research. Chicago, IL: University of Chicago Press. </w:t>
      </w:r>
    </w:p>
    <w:p w:rsidR="00211A01" w:rsidRPr="006642A4" w:rsidRDefault="00211A01" w:rsidP="006137E0">
      <w:pPr>
        <w:rPr>
          <w:rFonts w:eastAsia="Times New Roman" w:cs="Times New Roman"/>
          <w:sz w:val="20"/>
          <w:szCs w:val="20"/>
          <w:lang w:eastAsia="en-GB"/>
        </w:rPr>
      </w:pPr>
    </w:p>
    <w:p w:rsidR="00211A01" w:rsidRPr="006642A4" w:rsidRDefault="00211A01" w:rsidP="006137E0">
      <w:pPr>
        <w:rPr>
          <w:sz w:val="20"/>
          <w:szCs w:val="20"/>
        </w:rPr>
      </w:pPr>
      <w:r w:rsidRPr="006642A4">
        <w:rPr>
          <w:sz w:val="20"/>
          <w:szCs w:val="20"/>
        </w:rPr>
        <w:t xml:space="preserve">Fine, G. A. and </w:t>
      </w:r>
      <w:proofErr w:type="spellStart"/>
      <w:r w:rsidRPr="006642A4">
        <w:rPr>
          <w:sz w:val="20"/>
          <w:szCs w:val="20"/>
        </w:rPr>
        <w:t>Sandstrom</w:t>
      </w:r>
      <w:proofErr w:type="spellEnd"/>
      <w:r w:rsidRPr="006642A4">
        <w:rPr>
          <w:sz w:val="20"/>
          <w:szCs w:val="20"/>
        </w:rPr>
        <w:t xml:space="preserve">, K. L. (1988) Knowing Children: Participant Observation with Minors. Qualitative Research Methods Series 15. Beverly Hills, CA: Sage. </w:t>
      </w:r>
    </w:p>
    <w:p w:rsidR="00211A01" w:rsidRPr="006642A4" w:rsidRDefault="00211A01" w:rsidP="006137E0">
      <w:pPr>
        <w:rPr>
          <w:rFonts w:eastAsia="Times New Roman" w:cs="Times New Roman"/>
          <w:sz w:val="20"/>
          <w:szCs w:val="20"/>
          <w:lang w:eastAsia="en-GB"/>
        </w:rPr>
      </w:pPr>
    </w:p>
    <w:p w:rsidR="00F65353" w:rsidRPr="006642A4" w:rsidRDefault="00F65353" w:rsidP="00F65353">
      <w:pPr>
        <w:rPr>
          <w:sz w:val="20"/>
          <w:szCs w:val="20"/>
        </w:rPr>
      </w:pPr>
      <w:r w:rsidRPr="006642A4">
        <w:rPr>
          <w:sz w:val="20"/>
          <w:szCs w:val="20"/>
        </w:rPr>
        <w:t xml:space="preserve">Donaldson, G. (2015) “Successful </w:t>
      </w:r>
      <w:proofErr w:type="gramStart"/>
      <w:r w:rsidRPr="006642A4">
        <w:rPr>
          <w:sz w:val="20"/>
          <w:szCs w:val="20"/>
        </w:rPr>
        <w:t>Futures :</w:t>
      </w:r>
      <w:proofErr w:type="gramEnd"/>
      <w:r w:rsidRPr="006642A4">
        <w:rPr>
          <w:sz w:val="20"/>
          <w:szCs w:val="20"/>
        </w:rPr>
        <w:t xml:space="preserve"> Independent Review of Curriculum and </w:t>
      </w:r>
      <w:proofErr w:type="spellStart"/>
      <w:r w:rsidRPr="006642A4">
        <w:rPr>
          <w:sz w:val="20"/>
          <w:szCs w:val="20"/>
        </w:rPr>
        <w:t>Asessment</w:t>
      </w:r>
      <w:proofErr w:type="spellEnd"/>
      <w:r w:rsidRPr="006642A4">
        <w:rPr>
          <w:sz w:val="20"/>
          <w:szCs w:val="20"/>
        </w:rPr>
        <w:t xml:space="preserve"> Arrangements in Wales”</w:t>
      </w:r>
    </w:p>
    <w:p w:rsidR="006137E0" w:rsidRPr="006642A4" w:rsidRDefault="006137E0" w:rsidP="006137E0">
      <w:pPr>
        <w:rPr>
          <w:rFonts w:eastAsia="Times New Roman" w:cs="Times New Roman"/>
          <w:sz w:val="20"/>
          <w:szCs w:val="20"/>
          <w:lang w:eastAsia="en-GB"/>
        </w:rPr>
      </w:pPr>
    </w:p>
    <w:p w:rsidR="006137E0" w:rsidRPr="006642A4" w:rsidRDefault="006137E0" w:rsidP="006137E0">
      <w:pPr>
        <w:rPr>
          <w:rFonts w:eastAsia="Times New Roman" w:cs="Times New Roman"/>
          <w:sz w:val="20"/>
          <w:szCs w:val="20"/>
          <w:lang w:eastAsia="en-GB"/>
        </w:rPr>
      </w:pPr>
      <w:r w:rsidRPr="006642A4">
        <w:rPr>
          <w:rFonts w:eastAsia="Times New Roman" w:cs="Times New Roman"/>
          <w:sz w:val="20"/>
          <w:szCs w:val="20"/>
          <w:lang w:eastAsia="en-GB"/>
        </w:rPr>
        <w:t>Ernest, P. (1999). “Social Constructivism as a Philosophy of Mathematics</w:t>
      </w:r>
      <w:proofErr w:type="gramStart"/>
      <w:r w:rsidRPr="006642A4">
        <w:rPr>
          <w:rFonts w:eastAsia="Times New Roman" w:cs="Times New Roman"/>
          <w:sz w:val="20"/>
          <w:szCs w:val="20"/>
          <w:lang w:eastAsia="en-GB"/>
        </w:rPr>
        <w:t>” :</w:t>
      </w:r>
      <w:proofErr w:type="gramEnd"/>
      <w:r w:rsidRPr="006642A4">
        <w:rPr>
          <w:rFonts w:eastAsia="Times New Roman" w:cs="Times New Roman"/>
          <w:sz w:val="20"/>
          <w:szCs w:val="20"/>
          <w:lang w:eastAsia="en-GB"/>
        </w:rPr>
        <w:t xml:space="preserve"> Radical Constructivism</w:t>
      </w:r>
    </w:p>
    <w:p w:rsidR="006137E0" w:rsidRPr="006642A4" w:rsidRDefault="006137E0" w:rsidP="006137E0">
      <w:pPr>
        <w:rPr>
          <w:rFonts w:eastAsia="Times New Roman" w:cs="Times New Roman"/>
          <w:sz w:val="20"/>
          <w:szCs w:val="20"/>
          <w:lang w:eastAsia="en-GB"/>
        </w:rPr>
      </w:pPr>
    </w:p>
    <w:p w:rsidR="00211A01" w:rsidRPr="006642A4" w:rsidRDefault="00211A01" w:rsidP="00211A01">
      <w:pPr>
        <w:rPr>
          <w:rFonts w:cstheme="minorHAnsi"/>
          <w:sz w:val="20"/>
          <w:szCs w:val="20"/>
        </w:rPr>
      </w:pPr>
      <w:proofErr w:type="spellStart"/>
      <w:r w:rsidRPr="006642A4">
        <w:rPr>
          <w:rFonts w:cstheme="minorHAnsi"/>
          <w:sz w:val="20"/>
          <w:szCs w:val="20"/>
        </w:rPr>
        <w:t>Feldt</w:t>
      </w:r>
      <w:proofErr w:type="spellEnd"/>
      <w:r w:rsidRPr="006642A4">
        <w:rPr>
          <w:rFonts w:cstheme="minorHAnsi"/>
          <w:sz w:val="20"/>
          <w:szCs w:val="20"/>
        </w:rPr>
        <w:t xml:space="preserve">, L.S. and Brennan, R.L. (1993) Reliability. In R. Linn (ed.) Educational Measurement. New York: Macmillan, 105-46. </w:t>
      </w:r>
    </w:p>
    <w:p w:rsidR="00211A01" w:rsidRPr="006642A4" w:rsidRDefault="00211A01" w:rsidP="006137E0">
      <w:pPr>
        <w:rPr>
          <w:rFonts w:eastAsia="Times New Roman" w:cs="Times New Roman"/>
          <w:sz w:val="20"/>
          <w:szCs w:val="20"/>
          <w:lang w:eastAsia="en-GB"/>
        </w:rPr>
      </w:pPr>
    </w:p>
    <w:p w:rsidR="00211A01" w:rsidRPr="006642A4" w:rsidRDefault="00211A01" w:rsidP="00211A01">
      <w:pPr>
        <w:rPr>
          <w:color w:val="000000" w:themeColor="text1"/>
          <w:sz w:val="20"/>
          <w:szCs w:val="20"/>
        </w:rPr>
      </w:pPr>
      <w:proofErr w:type="spellStart"/>
      <w:r w:rsidRPr="006642A4">
        <w:rPr>
          <w:sz w:val="20"/>
          <w:szCs w:val="20"/>
        </w:rPr>
        <w:t>Gov.Wales</w:t>
      </w:r>
      <w:proofErr w:type="spellEnd"/>
      <w:r w:rsidRPr="006642A4">
        <w:rPr>
          <w:sz w:val="20"/>
          <w:szCs w:val="20"/>
        </w:rPr>
        <w:t xml:space="preserve"> (2018) “The New School Curriculum”. Available online: </w:t>
      </w:r>
      <w:hyperlink r:id="rId10" w:history="1">
        <w:r w:rsidRPr="006642A4">
          <w:rPr>
            <w:rStyle w:val="Hyperlink"/>
            <w:sz w:val="20"/>
            <w:szCs w:val="20"/>
          </w:rPr>
          <w:t>https://gov.wales/topics/educationandskills/schoolshome/curriculuminwales/curriculum-for-wales-curriculum-for-life/?lang=en</w:t>
        </w:r>
      </w:hyperlink>
      <w:r w:rsidRPr="006642A4">
        <w:rPr>
          <w:rStyle w:val="Hyperlink"/>
          <w:color w:val="000000" w:themeColor="text1"/>
          <w:sz w:val="20"/>
          <w:szCs w:val="20"/>
          <w:u w:val="none"/>
        </w:rPr>
        <w:t xml:space="preserve"> [Last accessed 01/05/18]. </w:t>
      </w:r>
    </w:p>
    <w:p w:rsidR="00211A01" w:rsidRPr="006642A4" w:rsidRDefault="00211A01" w:rsidP="006137E0">
      <w:pPr>
        <w:rPr>
          <w:rFonts w:eastAsia="Times New Roman" w:cs="Times New Roman"/>
          <w:sz w:val="20"/>
          <w:szCs w:val="20"/>
          <w:lang w:eastAsia="en-GB"/>
        </w:rPr>
      </w:pPr>
    </w:p>
    <w:p w:rsidR="00F65353" w:rsidRPr="006642A4" w:rsidRDefault="00F65353" w:rsidP="00F65353">
      <w:pPr>
        <w:rPr>
          <w:rStyle w:val="Hyperlink"/>
          <w:color w:val="000000" w:themeColor="text1"/>
          <w:sz w:val="20"/>
          <w:szCs w:val="20"/>
          <w:u w:val="none"/>
        </w:rPr>
      </w:pPr>
      <w:r w:rsidRPr="006642A4">
        <w:rPr>
          <w:sz w:val="20"/>
          <w:szCs w:val="20"/>
        </w:rPr>
        <w:t xml:space="preserve">Gibb, N. (2017). “the evidence in favour of teacher-led instruction”. Available online: </w:t>
      </w:r>
      <w:hyperlink r:id="rId11" w:history="1">
        <w:r w:rsidRPr="006642A4">
          <w:rPr>
            <w:rStyle w:val="Hyperlink"/>
            <w:sz w:val="20"/>
            <w:szCs w:val="20"/>
          </w:rPr>
          <w:t>https://www.gov.uk/government/speeches/nick-gibb-the-evidence-in-favour-of-teacher-led-instruction</w:t>
        </w:r>
      </w:hyperlink>
      <w:r w:rsidRPr="006642A4">
        <w:rPr>
          <w:rStyle w:val="Hyperlink"/>
          <w:sz w:val="20"/>
          <w:szCs w:val="20"/>
        </w:rPr>
        <w:t>.</w:t>
      </w:r>
      <w:r w:rsidRPr="006642A4">
        <w:rPr>
          <w:rStyle w:val="Hyperlink"/>
          <w:color w:val="000000" w:themeColor="text1"/>
          <w:sz w:val="20"/>
          <w:szCs w:val="20"/>
          <w:u w:val="none"/>
        </w:rPr>
        <w:t xml:space="preserve"> [Last accessed: 09/05/18]</w:t>
      </w:r>
    </w:p>
    <w:p w:rsidR="006137E0" w:rsidRPr="006642A4" w:rsidRDefault="006137E0" w:rsidP="006137E0">
      <w:pPr>
        <w:rPr>
          <w:rFonts w:eastAsia="Times New Roman" w:cs="Times New Roman"/>
          <w:sz w:val="20"/>
          <w:szCs w:val="20"/>
          <w:lang w:eastAsia="en-GB"/>
        </w:rPr>
      </w:pPr>
    </w:p>
    <w:p w:rsidR="00211A01" w:rsidRPr="006642A4" w:rsidRDefault="00211A01" w:rsidP="00211A01">
      <w:pPr>
        <w:rPr>
          <w:rFonts w:cstheme="minorHAnsi"/>
          <w:sz w:val="20"/>
          <w:szCs w:val="20"/>
        </w:rPr>
      </w:pPr>
      <w:proofErr w:type="spellStart"/>
      <w:r w:rsidRPr="006642A4">
        <w:rPr>
          <w:rFonts w:cstheme="minorHAnsi"/>
          <w:sz w:val="20"/>
          <w:szCs w:val="20"/>
        </w:rPr>
        <w:t>Krejcie</w:t>
      </w:r>
      <w:proofErr w:type="spellEnd"/>
      <w:r w:rsidRPr="006642A4">
        <w:rPr>
          <w:rFonts w:cstheme="minorHAnsi"/>
          <w:sz w:val="20"/>
          <w:szCs w:val="20"/>
        </w:rPr>
        <w:t>, R. V. and Morgan, D. W. (1970) Determining sample size for research activities. Educational and Psychological Measurement, 30,607-10</w:t>
      </w:r>
    </w:p>
    <w:p w:rsidR="00F65353" w:rsidRPr="006642A4" w:rsidRDefault="00F65353" w:rsidP="006137E0">
      <w:pPr>
        <w:rPr>
          <w:rFonts w:eastAsia="Times New Roman" w:cs="Times New Roman"/>
          <w:sz w:val="20"/>
          <w:szCs w:val="20"/>
          <w:lang w:eastAsia="en-GB"/>
        </w:rPr>
      </w:pPr>
    </w:p>
    <w:p w:rsidR="006137E0" w:rsidRPr="006642A4" w:rsidRDefault="006137E0" w:rsidP="006137E0">
      <w:pPr>
        <w:rPr>
          <w:rFonts w:eastAsia="Times New Roman" w:cs="Times New Roman"/>
          <w:sz w:val="20"/>
          <w:szCs w:val="20"/>
          <w:lang w:eastAsia="en-GB"/>
        </w:rPr>
      </w:pPr>
      <w:proofErr w:type="spellStart"/>
      <w:r w:rsidRPr="006642A4">
        <w:rPr>
          <w:rFonts w:eastAsia="Times New Roman" w:cs="Times New Roman"/>
          <w:sz w:val="20"/>
          <w:szCs w:val="20"/>
          <w:lang w:eastAsia="en-GB"/>
        </w:rPr>
        <w:t>Maybin</w:t>
      </w:r>
      <w:proofErr w:type="spellEnd"/>
      <w:r w:rsidRPr="006642A4">
        <w:rPr>
          <w:rFonts w:eastAsia="Times New Roman" w:cs="Times New Roman"/>
          <w:sz w:val="20"/>
          <w:szCs w:val="20"/>
          <w:lang w:eastAsia="en-GB"/>
        </w:rPr>
        <w:t xml:space="preserve">, J. Mercer, N. </w:t>
      </w:r>
      <w:proofErr w:type="spellStart"/>
      <w:r w:rsidRPr="006642A4">
        <w:rPr>
          <w:rFonts w:eastAsia="Times New Roman" w:cs="Times New Roman"/>
          <w:sz w:val="20"/>
          <w:szCs w:val="20"/>
          <w:lang w:eastAsia="en-GB"/>
        </w:rPr>
        <w:t>Stierer</w:t>
      </w:r>
      <w:proofErr w:type="spellEnd"/>
      <w:r w:rsidRPr="006642A4">
        <w:rPr>
          <w:rFonts w:eastAsia="Times New Roman" w:cs="Times New Roman"/>
          <w:sz w:val="20"/>
          <w:szCs w:val="20"/>
          <w:lang w:eastAsia="en-GB"/>
        </w:rPr>
        <w:t xml:space="preserve">, B. (1992). “’Scaffolding’: Learning in the classroom”. The work of the National </w:t>
      </w:r>
      <w:proofErr w:type="spellStart"/>
      <w:r w:rsidRPr="006642A4">
        <w:rPr>
          <w:rFonts w:eastAsia="Times New Roman" w:cs="Times New Roman"/>
          <w:sz w:val="20"/>
          <w:szCs w:val="20"/>
          <w:lang w:eastAsia="en-GB"/>
        </w:rPr>
        <w:t>Oracy</w:t>
      </w:r>
      <w:proofErr w:type="spellEnd"/>
      <w:r w:rsidRPr="006642A4">
        <w:rPr>
          <w:rFonts w:eastAsia="Times New Roman" w:cs="Times New Roman"/>
          <w:sz w:val="20"/>
          <w:szCs w:val="20"/>
          <w:lang w:eastAsia="en-GB"/>
        </w:rPr>
        <w:t xml:space="preserve"> Project. London: Hodder Arnold H&amp;S, pp. 186–195.</w:t>
      </w:r>
    </w:p>
    <w:p w:rsidR="006137E0" w:rsidRPr="006642A4" w:rsidRDefault="006137E0" w:rsidP="006137E0">
      <w:pPr>
        <w:rPr>
          <w:rFonts w:eastAsia="Times New Roman" w:cs="Times New Roman"/>
          <w:color w:val="424242"/>
          <w:sz w:val="20"/>
          <w:szCs w:val="20"/>
          <w:shd w:val="clear" w:color="auto" w:fill="FFFFFF"/>
          <w:lang w:eastAsia="en-GB"/>
        </w:rPr>
      </w:pPr>
    </w:p>
    <w:p w:rsidR="006137E0" w:rsidRPr="006642A4" w:rsidRDefault="006137E0" w:rsidP="006137E0">
      <w:pPr>
        <w:rPr>
          <w:rFonts w:eastAsia="Times New Roman" w:cs="Times New Roman"/>
          <w:color w:val="424242"/>
          <w:sz w:val="20"/>
          <w:szCs w:val="20"/>
          <w:shd w:val="clear" w:color="auto" w:fill="FFFFFF"/>
          <w:lang w:eastAsia="en-GB"/>
        </w:rPr>
      </w:pPr>
      <w:proofErr w:type="spellStart"/>
      <w:r w:rsidRPr="006642A4">
        <w:rPr>
          <w:rFonts w:eastAsia="Times New Roman" w:cs="Times New Roman"/>
          <w:sz w:val="20"/>
          <w:szCs w:val="20"/>
          <w:lang w:eastAsia="en-GB"/>
        </w:rPr>
        <w:t>Mergel</w:t>
      </w:r>
      <w:proofErr w:type="spellEnd"/>
      <w:r w:rsidRPr="006642A4">
        <w:rPr>
          <w:rFonts w:eastAsia="Times New Roman" w:cs="Times New Roman"/>
          <w:sz w:val="20"/>
          <w:szCs w:val="20"/>
          <w:lang w:eastAsia="en-GB"/>
        </w:rPr>
        <w:t>, B. (1998). “Instructional Design &amp; Learning Theory”. University of Saskatchewan.</w:t>
      </w:r>
    </w:p>
    <w:p w:rsidR="006137E0" w:rsidRPr="006642A4" w:rsidRDefault="006137E0" w:rsidP="006137E0">
      <w:pPr>
        <w:rPr>
          <w:rFonts w:eastAsia="Times New Roman" w:cs="Times New Roman"/>
          <w:color w:val="424242"/>
          <w:sz w:val="20"/>
          <w:szCs w:val="20"/>
          <w:shd w:val="clear" w:color="auto" w:fill="FFFFFF"/>
          <w:lang w:eastAsia="en-GB"/>
        </w:rPr>
      </w:pPr>
    </w:p>
    <w:p w:rsidR="006137E0" w:rsidRPr="00321D91" w:rsidRDefault="006137E0" w:rsidP="006137E0">
      <w:pPr>
        <w:rPr>
          <w:rFonts w:eastAsia="Times New Roman" w:cs="Times New Roman"/>
          <w:sz w:val="20"/>
          <w:szCs w:val="20"/>
          <w:lang w:eastAsia="en-GB"/>
        </w:rPr>
      </w:pPr>
      <w:proofErr w:type="spellStart"/>
      <w:r w:rsidRPr="00321D91">
        <w:rPr>
          <w:rFonts w:eastAsia="Times New Roman" w:cs="Times New Roman"/>
          <w:sz w:val="20"/>
          <w:szCs w:val="20"/>
          <w:lang w:eastAsia="en-GB"/>
        </w:rPr>
        <w:t>Ormrod</w:t>
      </w:r>
      <w:proofErr w:type="spellEnd"/>
      <w:r w:rsidRPr="00321D91">
        <w:rPr>
          <w:rFonts w:eastAsia="Times New Roman" w:cs="Times New Roman"/>
          <w:sz w:val="20"/>
          <w:szCs w:val="20"/>
          <w:lang w:eastAsia="en-GB"/>
        </w:rPr>
        <w:t>, J. E. (2015). Essentials of Education Psychology. In Cognitive Development (pp. 283-313). New Jersey: Pearson Education.</w:t>
      </w:r>
      <w:bookmarkStart w:id="0" w:name="_GoBack"/>
      <w:bookmarkEnd w:id="0"/>
    </w:p>
    <w:p w:rsidR="00B67981" w:rsidRPr="006642A4" w:rsidRDefault="00B67981" w:rsidP="00F65353">
      <w:pPr>
        <w:rPr>
          <w:sz w:val="20"/>
          <w:szCs w:val="20"/>
          <w:u w:val="single"/>
        </w:rPr>
      </w:pPr>
    </w:p>
    <w:p w:rsidR="00F65353" w:rsidRPr="006642A4" w:rsidRDefault="00F65353" w:rsidP="00F65353">
      <w:pPr>
        <w:rPr>
          <w:rFonts w:eastAsia="Times New Roman" w:cs="Times New Roman"/>
          <w:sz w:val="20"/>
          <w:szCs w:val="20"/>
          <w:lang w:eastAsia="en-GB"/>
        </w:rPr>
      </w:pPr>
      <w:proofErr w:type="spellStart"/>
      <w:r w:rsidRPr="006642A4">
        <w:rPr>
          <w:rFonts w:eastAsia="Times New Roman" w:cs="Times New Roman"/>
          <w:sz w:val="20"/>
          <w:szCs w:val="20"/>
          <w:lang w:eastAsia="en-GB"/>
        </w:rPr>
        <w:t>Njoroge</w:t>
      </w:r>
      <w:proofErr w:type="spellEnd"/>
      <w:r w:rsidRPr="006642A4">
        <w:rPr>
          <w:rFonts w:eastAsia="Times New Roman" w:cs="Times New Roman"/>
          <w:sz w:val="20"/>
          <w:szCs w:val="20"/>
          <w:lang w:eastAsia="en-GB"/>
        </w:rPr>
        <w:t>, F. K. R. (1998). Using student-</w:t>
      </w:r>
      <w:proofErr w:type="spellStart"/>
      <w:r w:rsidRPr="006642A4">
        <w:rPr>
          <w:rFonts w:eastAsia="Times New Roman" w:cs="Times New Roman"/>
          <w:sz w:val="20"/>
          <w:szCs w:val="20"/>
          <w:lang w:eastAsia="en-GB"/>
        </w:rPr>
        <w:t>centered</w:t>
      </w:r>
      <w:proofErr w:type="spellEnd"/>
      <w:r w:rsidRPr="006642A4">
        <w:rPr>
          <w:rFonts w:eastAsia="Times New Roman" w:cs="Times New Roman"/>
          <w:sz w:val="20"/>
          <w:szCs w:val="20"/>
          <w:lang w:eastAsia="en-GB"/>
        </w:rPr>
        <w:t xml:space="preserve"> theory and pedagogy to teach basic writing at a community college. (Doctoral dissertation, Washington University, 1998). Dissertation Abstracts International, 60, 02A, 0318. </w:t>
      </w:r>
    </w:p>
    <w:p w:rsidR="00F65353" w:rsidRPr="006642A4" w:rsidRDefault="00F65353" w:rsidP="006137E0">
      <w:pPr>
        <w:rPr>
          <w:sz w:val="20"/>
          <w:szCs w:val="20"/>
          <w:u w:val="single"/>
        </w:rPr>
      </w:pPr>
    </w:p>
    <w:p w:rsidR="006137E0" w:rsidRPr="006642A4" w:rsidRDefault="006137E0" w:rsidP="006137E0">
      <w:pPr>
        <w:rPr>
          <w:rFonts w:eastAsia="Times New Roman" w:cs="Times New Roman"/>
          <w:sz w:val="20"/>
          <w:szCs w:val="20"/>
          <w:lang w:eastAsia="en-GB"/>
        </w:rPr>
      </w:pPr>
      <w:r w:rsidRPr="006642A4">
        <w:rPr>
          <w:rFonts w:eastAsia="Times New Roman" w:cs="Times New Roman"/>
          <w:sz w:val="20"/>
          <w:szCs w:val="20"/>
          <w:lang w:eastAsia="en-GB"/>
        </w:rPr>
        <w:t>Pavlov, I. P. (1897). The work of the digestive glands. London: Griffin.</w:t>
      </w:r>
    </w:p>
    <w:p w:rsidR="006137E0" w:rsidRPr="006642A4" w:rsidRDefault="006137E0" w:rsidP="006137E0">
      <w:pPr>
        <w:rPr>
          <w:sz w:val="20"/>
          <w:szCs w:val="20"/>
          <w:u w:val="single"/>
        </w:rPr>
      </w:pPr>
    </w:p>
    <w:p w:rsidR="0051223C" w:rsidRPr="006642A4" w:rsidRDefault="0051223C" w:rsidP="0051223C">
      <w:pPr>
        <w:rPr>
          <w:rFonts w:eastAsia="Times New Roman" w:cs="Times New Roman"/>
          <w:sz w:val="20"/>
          <w:szCs w:val="20"/>
          <w:lang w:eastAsia="en-GB"/>
        </w:rPr>
      </w:pPr>
      <w:r w:rsidRPr="006642A4">
        <w:rPr>
          <w:rFonts w:eastAsia="Times New Roman" w:cs="Times New Roman"/>
          <w:sz w:val="20"/>
          <w:szCs w:val="20"/>
          <w:lang w:eastAsia="en-GB"/>
        </w:rPr>
        <w:t xml:space="preserve">Pass, S. (2004). “Parallel paths to </w:t>
      </w:r>
      <w:proofErr w:type="gramStart"/>
      <w:r w:rsidRPr="006642A4">
        <w:rPr>
          <w:rFonts w:eastAsia="Times New Roman" w:cs="Times New Roman"/>
          <w:sz w:val="20"/>
          <w:szCs w:val="20"/>
          <w:lang w:eastAsia="en-GB"/>
        </w:rPr>
        <w:t>constructivism :</w:t>
      </w:r>
      <w:proofErr w:type="gramEnd"/>
      <w:r w:rsidRPr="006642A4">
        <w:rPr>
          <w:rFonts w:eastAsia="Times New Roman" w:cs="Times New Roman"/>
          <w:sz w:val="20"/>
          <w:szCs w:val="20"/>
          <w:lang w:eastAsia="en-GB"/>
        </w:rPr>
        <w:t xml:space="preserve"> Jean Piaget and Lev Vygotsky”. Information Age Publishing Inc. </w:t>
      </w:r>
    </w:p>
    <w:p w:rsidR="0051223C" w:rsidRPr="006642A4" w:rsidRDefault="0051223C" w:rsidP="006137E0">
      <w:pPr>
        <w:rPr>
          <w:sz w:val="20"/>
          <w:szCs w:val="20"/>
          <w:u w:val="single"/>
        </w:rPr>
      </w:pPr>
    </w:p>
    <w:p w:rsidR="00F65353" w:rsidRPr="006642A4" w:rsidRDefault="00F65353" w:rsidP="00F65353">
      <w:pPr>
        <w:rPr>
          <w:sz w:val="20"/>
          <w:szCs w:val="20"/>
        </w:rPr>
      </w:pPr>
      <w:proofErr w:type="spellStart"/>
      <w:r w:rsidRPr="006642A4">
        <w:rPr>
          <w:sz w:val="20"/>
          <w:szCs w:val="20"/>
        </w:rPr>
        <w:lastRenderedPageBreak/>
        <w:t>Peetsma</w:t>
      </w:r>
      <w:proofErr w:type="spellEnd"/>
      <w:r w:rsidRPr="006642A4">
        <w:rPr>
          <w:sz w:val="20"/>
          <w:szCs w:val="20"/>
        </w:rPr>
        <w:t>, T.T.D., &amp; van der Veen, I. (2008). A 2nd research study on influencing students’ motivation in the lowest level of secondary education, Paper presented at the 11th International Conference on Motivation, EARLI SIG Motivation and Emotion, Turku, Finland.</w:t>
      </w:r>
    </w:p>
    <w:p w:rsidR="0051223C" w:rsidRPr="006642A4" w:rsidRDefault="0051223C" w:rsidP="006137E0">
      <w:pPr>
        <w:rPr>
          <w:sz w:val="20"/>
          <w:szCs w:val="20"/>
          <w:u w:val="single"/>
        </w:rPr>
      </w:pPr>
    </w:p>
    <w:p w:rsidR="006137E0" w:rsidRPr="006642A4" w:rsidRDefault="006137E0" w:rsidP="006137E0">
      <w:pPr>
        <w:rPr>
          <w:rFonts w:eastAsia="Times New Roman" w:cs="Times New Roman"/>
          <w:sz w:val="20"/>
          <w:szCs w:val="20"/>
          <w:lang w:eastAsia="en-GB"/>
        </w:rPr>
      </w:pPr>
      <w:r w:rsidRPr="006642A4">
        <w:rPr>
          <w:rFonts w:eastAsia="Times New Roman" w:cs="Times New Roman"/>
          <w:sz w:val="20"/>
          <w:szCs w:val="20"/>
          <w:lang w:eastAsia="en-GB"/>
        </w:rPr>
        <w:t>Piaget, J. (1959). The language and thought of the child (Vol. 5). Psychology Press. Chicago</w:t>
      </w:r>
    </w:p>
    <w:p w:rsidR="00F65353" w:rsidRPr="006642A4" w:rsidRDefault="00F65353" w:rsidP="00F65353">
      <w:pPr>
        <w:rPr>
          <w:rFonts w:eastAsia="Times New Roman" w:cs="Times New Roman"/>
          <w:sz w:val="20"/>
          <w:szCs w:val="20"/>
          <w:lang w:eastAsia="en-GB"/>
        </w:rPr>
      </w:pPr>
    </w:p>
    <w:p w:rsidR="00F65353" w:rsidRPr="006642A4" w:rsidRDefault="00F65353" w:rsidP="00F65353">
      <w:pPr>
        <w:rPr>
          <w:rFonts w:eastAsia="Times New Roman" w:cs="Times New Roman"/>
          <w:sz w:val="20"/>
          <w:szCs w:val="20"/>
          <w:lang w:eastAsia="en-GB"/>
        </w:rPr>
      </w:pPr>
      <w:r w:rsidRPr="006642A4">
        <w:rPr>
          <w:rFonts w:eastAsia="Times New Roman" w:cs="Times New Roman"/>
          <w:sz w:val="20"/>
          <w:szCs w:val="20"/>
          <w:lang w:eastAsia="en-GB"/>
        </w:rPr>
        <w:t>Plus, O. (2017). Bruner's Theory on Constructivism. [online] Teach-nology.com. Available at: http://www.teach-nology.com/currenttrends/constructivism/bruner/ [Accessed 26 Nov. 2017].</w:t>
      </w:r>
    </w:p>
    <w:p w:rsidR="00F65353" w:rsidRPr="006642A4" w:rsidRDefault="00F65353" w:rsidP="006137E0">
      <w:pPr>
        <w:rPr>
          <w:sz w:val="20"/>
          <w:szCs w:val="20"/>
          <w:u w:val="single"/>
        </w:rPr>
      </w:pPr>
    </w:p>
    <w:p w:rsidR="0051223C" w:rsidRPr="006642A4" w:rsidRDefault="0051223C" w:rsidP="0051223C">
      <w:pPr>
        <w:rPr>
          <w:rFonts w:eastAsia="Times New Roman" w:cs="Times New Roman"/>
          <w:sz w:val="20"/>
          <w:szCs w:val="20"/>
          <w:lang w:eastAsia="en-GB"/>
        </w:rPr>
      </w:pPr>
      <w:r w:rsidRPr="006642A4">
        <w:rPr>
          <w:rFonts w:eastAsia="Times New Roman" w:cs="Times New Roman"/>
          <w:sz w:val="20"/>
          <w:szCs w:val="20"/>
          <w:lang w:eastAsia="en-GB"/>
        </w:rPr>
        <w:t xml:space="preserve">Powel, K. </w:t>
      </w:r>
      <w:proofErr w:type="spellStart"/>
      <w:r w:rsidRPr="006642A4">
        <w:rPr>
          <w:rFonts w:eastAsia="Times New Roman" w:cs="Times New Roman"/>
          <w:sz w:val="20"/>
          <w:szCs w:val="20"/>
          <w:lang w:eastAsia="en-GB"/>
        </w:rPr>
        <w:t>Kalina</w:t>
      </w:r>
      <w:proofErr w:type="spellEnd"/>
      <w:r w:rsidRPr="006642A4">
        <w:rPr>
          <w:rFonts w:eastAsia="Times New Roman" w:cs="Times New Roman"/>
          <w:sz w:val="20"/>
          <w:szCs w:val="20"/>
          <w:lang w:eastAsia="en-GB"/>
        </w:rPr>
        <w:t xml:space="preserve">, C. (2009). “Cognitive and social constructivism: developing tools for an effective classroom”. Education, Vol, no. 2,2009. </w:t>
      </w:r>
    </w:p>
    <w:p w:rsidR="0051223C" w:rsidRPr="006642A4" w:rsidRDefault="0051223C" w:rsidP="006137E0">
      <w:pPr>
        <w:rPr>
          <w:sz w:val="20"/>
          <w:szCs w:val="20"/>
          <w:u w:val="single"/>
        </w:rPr>
      </w:pPr>
    </w:p>
    <w:p w:rsidR="006137E0" w:rsidRPr="006642A4" w:rsidRDefault="006137E0" w:rsidP="006137E0">
      <w:pPr>
        <w:rPr>
          <w:rFonts w:eastAsia="Times New Roman" w:cs="Times New Roman"/>
          <w:sz w:val="20"/>
          <w:szCs w:val="20"/>
          <w:lang w:eastAsia="en-GB"/>
        </w:rPr>
      </w:pPr>
      <w:r w:rsidRPr="006642A4">
        <w:rPr>
          <w:rFonts w:eastAsia="Times New Roman" w:cs="Times New Roman"/>
          <w:sz w:val="20"/>
          <w:szCs w:val="20"/>
          <w:lang w:eastAsia="en-GB"/>
        </w:rPr>
        <w:t xml:space="preserve">Pritchard, </w:t>
      </w:r>
      <w:proofErr w:type="gramStart"/>
      <w:r w:rsidRPr="006642A4">
        <w:rPr>
          <w:rFonts w:eastAsia="Times New Roman" w:cs="Times New Roman"/>
          <w:sz w:val="20"/>
          <w:szCs w:val="20"/>
          <w:lang w:eastAsia="en-GB"/>
        </w:rPr>
        <w:t>A.(</w:t>
      </w:r>
      <w:proofErr w:type="gramEnd"/>
      <w:r w:rsidRPr="006642A4">
        <w:rPr>
          <w:rFonts w:eastAsia="Times New Roman" w:cs="Times New Roman"/>
          <w:sz w:val="20"/>
          <w:szCs w:val="20"/>
          <w:lang w:eastAsia="en-GB"/>
        </w:rPr>
        <w:t>2009) Ways of learning : learning theories and learning styles in the classroom. Abingdon, Oxon: Routledge. ISBN 9780415466080</w:t>
      </w:r>
    </w:p>
    <w:p w:rsidR="006137E0" w:rsidRPr="006642A4" w:rsidRDefault="006137E0">
      <w:pPr>
        <w:rPr>
          <w:sz w:val="20"/>
          <w:szCs w:val="20"/>
          <w:u w:val="single"/>
        </w:rPr>
      </w:pPr>
    </w:p>
    <w:p w:rsidR="00F65353" w:rsidRPr="006642A4" w:rsidRDefault="00F65353" w:rsidP="00F65353">
      <w:pPr>
        <w:rPr>
          <w:rFonts w:eastAsia="Times New Roman" w:cs="Times New Roman"/>
          <w:sz w:val="20"/>
          <w:szCs w:val="20"/>
          <w:lang w:eastAsia="en-GB"/>
        </w:rPr>
      </w:pPr>
      <w:r w:rsidRPr="006642A4">
        <w:rPr>
          <w:rFonts w:eastAsia="Times New Roman" w:cs="Times New Roman"/>
          <w:sz w:val="20"/>
          <w:szCs w:val="20"/>
          <w:lang w:eastAsia="en-GB"/>
        </w:rPr>
        <w:t xml:space="preserve">Rada, R. B. (1975). Utilizing the group process in community college health instruction. (ERIC Document Reproduction Service No. ED124267). </w:t>
      </w:r>
    </w:p>
    <w:p w:rsidR="00F65353" w:rsidRPr="006642A4" w:rsidRDefault="00F65353">
      <w:pPr>
        <w:rPr>
          <w:sz w:val="20"/>
          <w:szCs w:val="20"/>
          <w:u w:val="single"/>
        </w:rPr>
      </w:pPr>
    </w:p>
    <w:p w:rsidR="006137E0" w:rsidRPr="006642A4" w:rsidRDefault="006137E0" w:rsidP="006137E0">
      <w:pPr>
        <w:rPr>
          <w:rFonts w:eastAsia="Times New Roman" w:cs="Times New Roman"/>
          <w:sz w:val="20"/>
          <w:szCs w:val="20"/>
          <w:lang w:eastAsia="en-GB"/>
        </w:rPr>
      </w:pPr>
      <w:r w:rsidRPr="006642A4">
        <w:rPr>
          <w:rFonts w:eastAsia="Times New Roman" w:cs="Times New Roman"/>
          <w:sz w:val="20"/>
          <w:szCs w:val="20"/>
          <w:lang w:eastAsia="en-GB"/>
        </w:rPr>
        <w:t xml:space="preserve">Skinner, B. F. (1938). The </w:t>
      </w:r>
      <w:proofErr w:type="spellStart"/>
      <w:r w:rsidRPr="006642A4">
        <w:rPr>
          <w:rFonts w:eastAsia="Times New Roman" w:cs="Times New Roman"/>
          <w:sz w:val="20"/>
          <w:szCs w:val="20"/>
          <w:lang w:eastAsia="en-GB"/>
        </w:rPr>
        <w:t>Behavior</w:t>
      </w:r>
      <w:proofErr w:type="spellEnd"/>
      <w:r w:rsidRPr="006642A4">
        <w:rPr>
          <w:rFonts w:eastAsia="Times New Roman" w:cs="Times New Roman"/>
          <w:sz w:val="20"/>
          <w:szCs w:val="20"/>
          <w:lang w:eastAsia="en-GB"/>
        </w:rPr>
        <w:t xml:space="preserve"> of organisms: An experimental analysis. New York: Appleton-Century.</w:t>
      </w:r>
    </w:p>
    <w:p w:rsidR="006137E0" w:rsidRPr="006642A4" w:rsidRDefault="006137E0">
      <w:pPr>
        <w:rPr>
          <w:sz w:val="20"/>
          <w:szCs w:val="20"/>
          <w:u w:val="single"/>
        </w:rPr>
      </w:pPr>
    </w:p>
    <w:p w:rsidR="00F65353" w:rsidRPr="006642A4" w:rsidRDefault="00F65353" w:rsidP="00F65353">
      <w:pPr>
        <w:rPr>
          <w:sz w:val="20"/>
          <w:szCs w:val="20"/>
        </w:rPr>
      </w:pPr>
      <w:proofErr w:type="spellStart"/>
      <w:r w:rsidRPr="006642A4">
        <w:rPr>
          <w:sz w:val="20"/>
          <w:szCs w:val="20"/>
        </w:rPr>
        <w:t>Seidenstricker</w:t>
      </w:r>
      <w:proofErr w:type="spellEnd"/>
      <w:r w:rsidRPr="006642A4">
        <w:rPr>
          <w:sz w:val="20"/>
          <w:szCs w:val="20"/>
        </w:rPr>
        <w:t xml:space="preserve">, L. S. (1999). The comparative effects of small group peer-led discussion and large group teacher-led discussion on the strategic reading comprehension, literary interpretation, and engagement of seventh-grade readers. (Doctoral FENG S. DIN AND F. WAYNE WHEATLEY 1 7 dissertation, University of Maryland College Park, 1999). Dissertation Abstracts International, 60, 12A, 4367. </w:t>
      </w:r>
    </w:p>
    <w:p w:rsidR="00F65353" w:rsidRPr="006642A4" w:rsidRDefault="00F65353">
      <w:pPr>
        <w:rPr>
          <w:sz w:val="20"/>
          <w:szCs w:val="20"/>
          <w:u w:val="single"/>
        </w:rPr>
      </w:pPr>
    </w:p>
    <w:p w:rsidR="006137E0" w:rsidRPr="006642A4" w:rsidRDefault="006137E0" w:rsidP="006137E0">
      <w:pPr>
        <w:rPr>
          <w:rFonts w:eastAsia="Times New Roman" w:cs="Times New Roman"/>
          <w:sz w:val="20"/>
          <w:szCs w:val="20"/>
          <w:lang w:eastAsia="en-GB"/>
        </w:rPr>
      </w:pPr>
      <w:proofErr w:type="spellStart"/>
      <w:r w:rsidRPr="006642A4">
        <w:rPr>
          <w:rFonts w:eastAsia="Times New Roman" w:cs="Times New Roman"/>
          <w:sz w:val="20"/>
          <w:szCs w:val="20"/>
          <w:lang w:eastAsia="en-GB"/>
        </w:rPr>
        <w:t>Steffe</w:t>
      </w:r>
      <w:proofErr w:type="spellEnd"/>
      <w:r w:rsidRPr="006642A4">
        <w:rPr>
          <w:rFonts w:eastAsia="Times New Roman" w:cs="Times New Roman"/>
          <w:sz w:val="20"/>
          <w:szCs w:val="20"/>
          <w:lang w:eastAsia="en-GB"/>
        </w:rPr>
        <w:t>, L. Wood, T. (1991). “Constructivism in the Classroom”. Journal for Research in Mathematics Education, Vol. 22, No. 5 (Nov., 1991), pp. 422-428</w:t>
      </w:r>
    </w:p>
    <w:p w:rsidR="006137E0" w:rsidRPr="006642A4" w:rsidRDefault="006137E0">
      <w:pPr>
        <w:rPr>
          <w:sz w:val="20"/>
          <w:szCs w:val="20"/>
          <w:u w:val="single"/>
        </w:rPr>
      </w:pPr>
    </w:p>
    <w:p w:rsidR="006137E0" w:rsidRPr="006642A4" w:rsidRDefault="006137E0" w:rsidP="006137E0">
      <w:pPr>
        <w:rPr>
          <w:rFonts w:eastAsia="Times New Roman" w:cs="Times New Roman"/>
          <w:sz w:val="20"/>
          <w:szCs w:val="20"/>
          <w:lang w:eastAsia="en-GB"/>
        </w:rPr>
      </w:pPr>
      <w:r w:rsidRPr="006642A4">
        <w:rPr>
          <w:rFonts w:eastAsia="Times New Roman" w:cs="Times New Roman"/>
          <w:sz w:val="20"/>
          <w:szCs w:val="20"/>
          <w:lang w:eastAsia="en-GB"/>
        </w:rPr>
        <w:t>Vygotsky, L. S. (1978). Mind in society: The development of higher psychological processes. Cambridge, MA: Harvard University Press.</w:t>
      </w:r>
    </w:p>
    <w:p w:rsidR="006137E0" w:rsidRPr="006642A4" w:rsidRDefault="006137E0">
      <w:pPr>
        <w:rPr>
          <w:sz w:val="20"/>
          <w:szCs w:val="20"/>
          <w:u w:val="single"/>
        </w:rPr>
      </w:pPr>
    </w:p>
    <w:p w:rsidR="006137E0" w:rsidRPr="006642A4" w:rsidRDefault="006137E0" w:rsidP="006137E0">
      <w:pPr>
        <w:rPr>
          <w:rFonts w:eastAsia="Times New Roman" w:cs="Times New Roman"/>
          <w:sz w:val="20"/>
          <w:szCs w:val="20"/>
          <w:lang w:eastAsia="en-GB"/>
        </w:rPr>
      </w:pPr>
      <w:r w:rsidRPr="006642A4">
        <w:rPr>
          <w:rFonts w:eastAsia="Times New Roman" w:cs="Times New Roman"/>
          <w:sz w:val="20"/>
          <w:szCs w:val="20"/>
          <w:lang w:eastAsia="en-GB"/>
        </w:rPr>
        <w:t xml:space="preserve">Watson, J. R </w:t>
      </w:r>
      <w:proofErr w:type="spellStart"/>
      <w:r w:rsidRPr="006642A4">
        <w:rPr>
          <w:rFonts w:eastAsia="Times New Roman" w:cs="Times New Roman"/>
          <w:sz w:val="20"/>
          <w:szCs w:val="20"/>
          <w:lang w:eastAsia="en-GB"/>
        </w:rPr>
        <w:t>Raynor</w:t>
      </w:r>
      <w:proofErr w:type="spellEnd"/>
      <w:r w:rsidRPr="006642A4">
        <w:rPr>
          <w:rFonts w:eastAsia="Times New Roman" w:cs="Times New Roman"/>
          <w:sz w:val="20"/>
          <w:szCs w:val="20"/>
          <w:lang w:eastAsia="en-GB"/>
        </w:rPr>
        <w:t xml:space="preserve">, R. (1920). “Conditioned Emotional Reactions”. Journal of Experimental Psychology, 3(1), 1.14. </w:t>
      </w:r>
    </w:p>
    <w:p w:rsidR="006137E0" w:rsidRPr="006642A4" w:rsidRDefault="006137E0">
      <w:pPr>
        <w:rPr>
          <w:sz w:val="20"/>
          <w:szCs w:val="20"/>
          <w:u w:val="single"/>
        </w:rPr>
      </w:pPr>
    </w:p>
    <w:p w:rsidR="00F65353" w:rsidRPr="006642A4" w:rsidRDefault="00F65353" w:rsidP="00F65353">
      <w:pPr>
        <w:rPr>
          <w:rFonts w:eastAsia="Times New Roman" w:cs="Times New Roman"/>
          <w:sz w:val="20"/>
          <w:szCs w:val="20"/>
          <w:lang w:eastAsia="en-GB"/>
        </w:rPr>
      </w:pPr>
      <w:r w:rsidRPr="006642A4">
        <w:rPr>
          <w:rFonts w:eastAsia="Times New Roman" w:cs="Times New Roman"/>
          <w:sz w:val="20"/>
          <w:szCs w:val="20"/>
          <w:lang w:eastAsia="en-GB"/>
        </w:rPr>
        <w:t xml:space="preserve">Wilkinson, W. J., </w:t>
      </w:r>
      <w:proofErr w:type="spellStart"/>
      <w:r w:rsidRPr="006642A4">
        <w:rPr>
          <w:rFonts w:eastAsia="Times New Roman" w:cs="Times New Roman"/>
          <w:sz w:val="20"/>
          <w:szCs w:val="20"/>
          <w:lang w:eastAsia="en-GB"/>
        </w:rPr>
        <w:t>Treagust</w:t>
      </w:r>
      <w:proofErr w:type="spellEnd"/>
      <w:r w:rsidRPr="006642A4">
        <w:rPr>
          <w:rFonts w:eastAsia="Times New Roman" w:cs="Times New Roman"/>
          <w:sz w:val="20"/>
          <w:szCs w:val="20"/>
          <w:lang w:eastAsia="en-GB"/>
        </w:rPr>
        <w:t xml:space="preserve">, D. F., Leggett, M., &amp; Glasson, P. (1988). The </w:t>
      </w:r>
      <w:proofErr w:type="spellStart"/>
      <w:r w:rsidRPr="006642A4">
        <w:rPr>
          <w:rFonts w:eastAsia="Times New Roman" w:cs="Times New Roman"/>
          <w:sz w:val="20"/>
          <w:szCs w:val="20"/>
          <w:lang w:eastAsia="en-GB"/>
        </w:rPr>
        <w:t>teachinglearning</w:t>
      </w:r>
      <w:proofErr w:type="spellEnd"/>
      <w:r w:rsidRPr="006642A4">
        <w:rPr>
          <w:rFonts w:eastAsia="Times New Roman" w:cs="Times New Roman"/>
          <w:sz w:val="20"/>
          <w:szCs w:val="20"/>
          <w:lang w:eastAsia="en-GB"/>
        </w:rPr>
        <w:t xml:space="preserve"> in a student-</w:t>
      </w:r>
      <w:proofErr w:type="spellStart"/>
      <w:r w:rsidRPr="006642A4">
        <w:rPr>
          <w:rFonts w:eastAsia="Times New Roman" w:cs="Times New Roman"/>
          <w:sz w:val="20"/>
          <w:szCs w:val="20"/>
          <w:lang w:eastAsia="en-GB"/>
        </w:rPr>
        <w:t>centered</w:t>
      </w:r>
      <w:proofErr w:type="spellEnd"/>
      <w:r w:rsidRPr="006642A4">
        <w:rPr>
          <w:rFonts w:eastAsia="Times New Roman" w:cs="Times New Roman"/>
          <w:sz w:val="20"/>
          <w:szCs w:val="20"/>
          <w:lang w:eastAsia="en-GB"/>
        </w:rPr>
        <w:t xml:space="preserve"> physics classroom. (ERIC Document Reproduction Service No. ED292619).</w:t>
      </w:r>
    </w:p>
    <w:p w:rsidR="00F65353" w:rsidRPr="006642A4" w:rsidRDefault="00F65353">
      <w:pPr>
        <w:rPr>
          <w:sz w:val="20"/>
          <w:szCs w:val="20"/>
          <w:u w:val="single"/>
        </w:rPr>
      </w:pPr>
    </w:p>
    <w:p w:rsidR="00211A01" w:rsidRPr="006642A4" w:rsidRDefault="00211A01" w:rsidP="00211A01">
      <w:pPr>
        <w:rPr>
          <w:sz w:val="20"/>
          <w:szCs w:val="20"/>
        </w:rPr>
      </w:pPr>
      <w:r w:rsidRPr="006642A4">
        <w:rPr>
          <w:sz w:val="20"/>
          <w:szCs w:val="20"/>
        </w:rPr>
        <w:t xml:space="preserve">Wolf, R. M. (1994) The validity and reliability of outcome measure. In A. C. </w:t>
      </w:r>
      <w:proofErr w:type="spellStart"/>
      <w:r w:rsidRPr="006642A4">
        <w:rPr>
          <w:sz w:val="20"/>
          <w:szCs w:val="20"/>
        </w:rPr>
        <w:t>Tuijnman</w:t>
      </w:r>
      <w:proofErr w:type="spellEnd"/>
      <w:r w:rsidRPr="006642A4">
        <w:rPr>
          <w:sz w:val="20"/>
          <w:szCs w:val="20"/>
        </w:rPr>
        <w:t xml:space="preserve"> and T. N. </w:t>
      </w:r>
      <w:proofErr w:type="spellStart"/>
      <w:r w:rsidRPr="006642A4">
        <w:rPr>
          <w:sz w:val="20"/>
          <w:szCs w:val="20"/>
        </w:rPr>
        <w:t>Postlethwaite</w:t>
      </w:r>
      <w:proofErr w:type="spellEnd"/>
      <w:r w:rsidRPr="006642A4">
        <w:rPr>
          <w:sz w:val="20"/>
          <w:szCs w:val="20"/>
        </w:rPr>
        <w:t xml:space="preserve"> (</w:t>
      </w:r>
      <w:proofErr w:type="spellStart"/>
      <w:r w:rsidRPr="006642A4">
        <w:rPr>
          <w:sz w:val="20"/>
          <w:szCs w:val="20"/>
        </w:rPr>
        <w:t>eds</w:t>
      </w:r>
      <w:proofErr w:type="spellEnd"/>
      <w:r w:rsidRPr="006642A4">
        <w:rPr>
          <w:sz w:val="20"/>
          <w:szCs w:val="20"/>
        </w:rPr>
        <w:t xml:space="preserve">) Monitoring the Standards of Education. Oxford: </w:t>
      </w:r>
      <w:proofErr w:type="spellStart"/>
      <w:r w:rsidRPr="006642A4">
        <w:rPr>
          <w:sz w:val="20"/>
          <w:szCs w:val="20"/>
        </w:rPr>
        <w:t>Pergamon</w:t>
      </w:r>
      <w:proofErr w:type="spellEnd"/>
      <w:r w:rsidRPr="006642A4">
        <w:rPr>
          <w:sz w:val="20"/>
          <w:szCs w:val="20"/>
        </w:rPr>
        <w:t xml:space="preserve">, 121-32. </w:t>
      </w:r>
    </w:p>
    <w:p w:rsidR="00211A01" w:rsidRPr="00A05A6A" w:rsidRDefault="00211A01">
      <w:pPr>
        <w:rPr>
          <w:b/>
          <w:u w:val="single"/>
        </w:rPr>
      </w:pPr>
    </w:p>
    <w:sectPr w:rsidR="00211A01" w:rsidRPr="00A05A6A" w:rsidSect="00C92FF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0C77"/>
    <w:rsid w:val="00003E0A"/>
    <w:rsid w:val="000111EB"/>
    <w:rsid w:val="00017996"/>
    <w:rsid w:val="00027AE0"/>
    <w:rsid w:val="00035C34"/>
    <w:rsid w:val="000407F7"/>
    <w:rsid w:val="00050160"/>
    <w:rsid w:val="00061103"/>
    <w:rsid w:val="00062E97"/>
    <w:rsid w:val="0009406A"/>
    <w:rsid w:val="00097BE8"/>
    <w:rsid w:val="000A7447"/>
    <w:rsid w:val="000B3FAE"/>
    <w:rsid w:val="000C15B8"/>
    <w:rsid w:val="000C1C44"/>
    <w:rsid w:val="000D7AA0"/>
    <w:rsid w:val="000E05DF"/>
    <w:rsid w:val="000E1B83"/>
    <w:rsid w:val="000E273C"/>
    <w:rsid w:val="000F0DC6"/>
    <w:rsid w:val="001043B7"/>
    <w:rsid w:val="0010608C"/>
    <w:rsid w:val="0012053A"/>
    <w:rsid w:val="00123E1C"/>
    <w:rsid w:val="00126B69"/>
    <w:rsid w:val="001412A9"/>
    <w:rsid w:val="00145340"/>
    <w:rsid w:val="00152225"/>
    <w:rsid w:val="00157894"/>
    <w:rsid w:val="00161B04"/>
    <w:rsid w:val="00170B50"/>
    <w:rsid w:val="001761A9"/>
    <w:rsid w:val="0019047E"/>
    <w:rsid w:val="001A1B01"/>
    <w:rsid w:val="001A3286"/>
    <w:rsid w:val="001D6D09"/>
    <w:rsid w:val="002043A2"/>
    <w:rsid w:val="00211A01"/>
    <w:rsid w:val="002124F5"/>
    <w:rsid w:val="0023023A"/>
    <w:rsid w:val="00246B59"/>
    <w:rsid w:val="00250E2A"/>
    <w:rsid w:val="002555E4"/>
    <w:rsid w:val="00255E2E"/>
    <w:rsid w:val="00266A3B"/>
    <w:rsid w:val="00267870"/>
    <w:rsid w:val="002816E1"/>
    <w:rsid w:val="00283899"/>
    <w:rsid w:val="00293E24"/>
    <w:rsid w:val="002B236F"/>
    <w:rsid w:val="002B7437"/>
    <w:rsid w:val="002D0333"/>
    <w:rsid w:val="002E2569"/>
    <w:rsid w:val="002F210A"/>
    <w:rsid w:val="002F558C"/>
    <w:rsid w:val="0031753F"/>
    <w:rsid w:val="00320623"/>
    <w:rsid w:val="00321D91"/>
    <w:rsid w:val="003227CC"/>
    <w:rsid w:val="00330892"/>
    <w:rsid w:val="00334CDB"/>
    <w:rsid w:val="0033559E"/>
    <w:rsid w:val="0033660D"/>
    <w:rsid w:val="003453B1"/>
    <w:rsid w:val="003476F1"/>
    <w:rsid w:val="003578FC"/>
    <w:rsid w:val="0036195E"/>
    <w:rsid w:val="00362378"/>
    <w:rsid w:val="00375280"/>
    <w:rsid w:val="0038212E"/>
    <w:rsid w:val="003A01FA"/>
    <w:rsid w:val="003A02C7"/>
    <w:rsid w:val="003A27E1"/>
    <w:rsid w:val="003C321F"/>
    <w:rsid w:val="003D678D"/>
    <w:rsid w:val="003E009D"/>
    <w:rsid w:val="003F01F4"/>
    <w:rsid w:val="004053C1"/>
    <w:rsid w:val="00405F57"/>
    <w:rsid w:val="00423E2A"/>
    <w:rsid w:val="0043155F"/>
    <w:rsid w:val="004316FD"/>
    <w:rsid w:val="004352D8"/>
    <w:rsid w:val="00447D02"/>
    <w:rsid w:val="00456B20"/>
    <w:rsid w:val="00471426"/>
    <w:rsid w:val="004726D5"/>
    <w:rsid w:val="00494EEE"/>
    <w:rsid w:val="00497F96"/>
    <w:rsid w:val="004A25E1"/>
    <w:rsid w:val="004B1ABA"/>
    <w:rsid w:val="004B6E5C"/>
    <w:rsid w:val="004C3AD8"/>
    <w:rsid w:val="004D6185"/>
    <w:rsid w:val="0051223C"/>
    <w:rsid w:val="005159A1"/>
    <w:rsid w:val="00532830"/>
    <w:rsid w:val="005333C9"/>
    <w:rsid w:val="005426E1"/>
    <w:rsid w:val="00545ACB"/>
    <w:rsid w:val="00545EAD"/>
    <w:rsid w:val="005477C5"/>
    <w:rsid w:val="00550D03"/>
    <w:rsid w:val="00552C5B"/>
    <w:rsid w:val="00555509"/>
    <w:rsid w:val="00556914"/>
    <w:rsid w:val="005717D7"/>
    <w:rsid w:val="00582938"/>
    <w:rsid w:val="00583B2B"/>
    <w:rsid w:val="0059122C"/>
    <w:rsid w:val="005A44D4"/>
    <w:rsid w:val="005B7F99"/>
    <w:rsid w:val="005D4247"/>
    <w:rsid w:val="005E0212"/>
    <w:rsid w:val="005F34AE"/>
    <w:rsid w:val="005F5D26"/>
    <w:rsid w:val="006070FE"/>
    <w:rsid w:val="006137E0"/>
    <w:rsid w:val="00625863"/>
    <w:rsid w:val="00631D23"/>
    <w:rsid w:val="00635189"/>
    <w:rsid w:val="00657204"/>
    <w:rsid w:val="00660E02"/>
    <w:rsid w:val="00661727"/>
    <w:rsid w:val="006622B8"/>
    <w:rsid w:val="006642A4"/>
    <w:rsid w:val="006674E7"/>
    <w:rsid w:val="0067236B"/>
    <w:rsid w:val="00673986"/>
    <w:rsid w:val="0068087B"/>
    <w:rsid w:val="0068568F"/>
    <w:rsid w:val="00686AE5"/>
    <w:rsid w:val="00687D88"/>
    <w:rsid w:val="00694D10"/>
    <w:rsid w:val="00695532"/>
    <w:rsid w:val="006A0104"/>
    <w:rsid w:val="006A11A3"/>
    <w:rsid w:val="006A7EAD"/>
    <w:rsid w:val="006B5014"/>
    <w:rsid w:val="006D4A75"/>
    <w:rsid w:val="006E0633"/>
    <w:rsid w:val="006E6309"/>
    <w:rsid w:val="006F1059"/>
    <w:rsid w:val="006F6F1B"/>
    <w:rsid w:val="0070679E"/>
    <w:rsid w:val="007217E2"/>
    <w:rsid w:val="00722D22"/>
    <w:rsid w:val="00733AB9"/>
    <w:rsid w:val="00744B08"/>
    <w:rsid w:val="00770F00"/>
    <w:rsid w:val="00781F65"/>
    <w:rsid w:val="00784B5C"/>
    <w:rsid w:val="00785BED"/>
    <w:rsid w:val="00785F9C"/>
    <w:rsid w:val="007A20E0"/>
    <w:rsid w:val="007B5A4C"/>
    <w:rsid w:val="007B6AA4"/>
    <w:rsid w:val="007B7EFC"/>
    <w:rsid w:val="007C2C3A"/>
    <w:rsid w:val="007C6E1A"/>
    <w:rsid w:val="007D4165"/>
    <w:rsid w:val="007D488E"/>
    <w:rsid w:val="007F69C8"/>
    <w:rsid w:val="00801DF4"/>
    <w:rsid w:val="00803A76"/>
    <w:rsid w:val="00814548"/>
    <w:rsid w:val="008158CA"/>
    <w:rsid w:val="00817EC3"/>
    <w:rsid w:val="008249C8"/>
    <w:rsid w:val="0083345F"/>
    <w:rsid w:val="00840EAC"/>
    <w:rsid w:val="00843BA5"/>
    <w:rsid w:val="00845B0E"/>
    <w:rsid w:val="00850B4F"/>
    <w:rsid w:val="0085369D"/>
    <w:rsid w:val="00853A82"/>
    <w:rsid w:val="008753C8"/>
    <w:rsid w:val="008C15D5"/>
    <w:rsid w:val="008C5ED3"/>
    <w:rsid w:val="008C5F51"/>
    <w:rsid w:val="008C6DC0"/>
    <w:rsid w:val="008D738B"/>
    <w:rsid w:val="008E061E"/>
    <w:rsid w:val="008E0AB1"/>
    <w:rsid w:val="008E3633"/>
    <w:rsid w:val="008E4923"/>
    <w:rsid w:val="008E4BB8"/>
    <w:rsid w:val="008F26AB"/>
    <w:rsid w:val="009028A8"/>
    <w:rsid w:val="00915456"/>
    <w:rsid w:val="00922E38"/>
    <w:rsid w:val="009251BF"/>
    <w:rsid w:val="00935CC9"/>
    <w:rsid w:val="00936F7F"/>
    <w:rsid w:val="009553E3"/>
    <w:rsid w:val="00961057"/>
    <w:rsid w:val="00975524"/>
    <w:rsid w:val="00984F5C"/>
    <w:rsid w:val="00987351"/>
    <w:rsid w:val="009942C3"/>
    <w:rsid w:val="009A5CB7"/>
    <w:rsid w:val="009B02A6"/>
    <w:rsid w:val="009C2A23"/>
    <w:rsid w:val="009C635D"/>
    <w:rsid w:val="009D61AA"/>
    <w:rsid w:val="009F47B3"/>
    <w:rsid w:val="009F693C"/>
    <w:rsid w:val="00A05A6A"/>
    <w:rsid w:val="00A10C57"/>
    <w:rsid w:val="00A22007"/>
    <w:rsid w:val="00A22030"/>
    <w:rsid w:val="00A4720A"/>
    <w:rsid w:val="00A521AA"/>
    <w:rsid w:val="00A56721"/>
    <w:rsid w:val="00A64430"/>
    <w:rsid w:val="00A6699E"/>
    <w:rsid w:val="00A66EC1"/>
    <w:rsid w:val="00A6712C"/>
    <w:rsid w:val="00A67DE4"/>
    <w:rsid w:val="00A67E17"/>
    <w:rsid w:val="00A779E9"/>
    <w:rsid w:val="00A80653"/>
    <w:rsid w:val="00A854BF"/>
    <w:rsid w:val="00A93D28"/>
    <w:rsid w:val="00AA3E85"/>
    <w:rsid w:val="00AA73D3"/>
    <w:rsid w:val="00AC1DE7"/>
    <w:rsid w:val="00AC33A0"/>
    <w:rsid w:val="00AC5F57"/>
    <w:rsid w:val="00AC6668"/>
    <w:rsid w:val="00AE0C77"/>
    <w:rsid w:val="00AE44A1"/>
    <w:rsid w:val="00AE5BC9"/>
    <w:rsid w:val="00AF5562"/>
    <w:rsid w:val="00B00642"/>
    <w:rsid w:val="00B033FC"/>
    <w:rsid w:val="00B066C5"/>
    <w:rsid w:val="00B10927"/>
    <w:rsid w:val="00B13B75"/>
    <w:rsid w:val="00B22E47"/>
    <w:rsid w:val="00B25636"/>
    <w:rsid w:val="00B25AC7"/>
    <w:rsid w:val="00B32B9D"/>
    <w:rsid w:val="00B40C0F"/>
    <w:rsid w:val="00B414A6"/>
    <w:rsid w:val="00B50EA5"/>
    <w:rsid w:val="00B52645"/>
    <w:rsid w:val="00B54C7B"/>
    <w:rsid w:val="00B639E2"/>
    <w:rsid w:val="00B652BD"/>
    <w:rsid w:val="00B67981"/>
    <w:rsid w:val="00B80868"/>
    <w:rsid w:val="00B835A0"/>
    <w:rsid w:val="00B97A4A"/>
    <w:rsid w:val="00BC69E7"/>
    <w:rsid w:val="00BC6D6D"/>
    <w:rsid w:val="00BD5E17"/>
    <w:rsid w:val="00BF3C34"/>
    <w:rsid w:val="00BF59A2"/>
    <w:rsid w:val="00C24C4E"/>
    <w:rsid w:val="00C25CEF"/>
    <w:rsid w:val="00C26FC6"/>
    <w:rsid w:val="00C4081E"/>
    <w:rsid w:val="00C52213"/>
    <w:rsid w:val="00C5790B"/>
    <w:rsid w:val="00C70041"/>
    <w:rsid w:val="00C735ED"/>
    <w:rsid w:val="00C80612"/>
    <w:rsid w:val="00C80ABC"/>
    <w:rsid w:val="00C866DB"/>
    <w:rsid w:val="00C92FF3"/>
    <w:rsid w:val="00CA12A3"/>
    <w:rsid w:val="00CB4EA8"/>
    <w:rsid w:val="00CB65FD"/>
    <w:rsid w:val="00CC1D50"/>
    <w:rsid w:val="00CC30A9"/>
    <w:rsid w:val="00CD0129"/>
    <w:rsid w:val="00CD03BF"/>
    <w:rsid w:val="00CD5632"/>
    <w:rsid w:val="00CE4B4E"/>
    <w:rsid w:val="00D02169"/>
    <w:rsid w:val="00D02379"/>
    <w:rsid w:val="00D12E7F"/>
    <w:rsid w:val="00D33E25"/>
    <w:rsid w:val="00D378CF"/>
    <w:rsid w:val="00D41C76"/>
    <w:rsid w:val="00D434FC"/>
    <w:rsid w:val="00D652C2"/>
    <w:rsid w:val="00D70CFF"/>
    <w:rsid w:val="00D70EBD"/>
    <w:rsid w:val="00D729C8"/>
    <w:rsid w:val="00D8003C"/>
    <w:rsid w:val="00D816F3"/>
    <w:rsid w:val="00D81CF2"/>
    <w:rsid w:val="00D91BF8"/>
    <w:rsid w:val="00DA39E0"/>
    <w:rsid w:val="00DA4052"/>
    <w:rsid w:val="00DB03BC"/>
    <w:rsid w:val="00DB124C"/>
    <w:rsid w:val="00DF1829"/>
    <w:rsid w:val="00E0370C"/>
    <w:rsid w:val="00E113FE"/>
    <w:rsid w:val="00E150AB"/>
    <w:rsid w:val="00E20185"/>
    <w:rsid w:val="00E35A26"/>
    <w:rsid w:val="00E515BF"/>
    <w:rsid w:val="00E51AD4"/>
    <w:rsid w:val="00E829E2"/>
    <w:rsid w:val="00E9172F"/>
    <w:rsid w:val="00EC5087"/>
    <w:rsid w:val="00EC59A4"/>
    <w:rsid w:val="00EC6AD0"/>
    <w:rsid w:val="00ED0EE3"/>
    <w:rsid w:val="00ED5F2B"/>
    <w:rsid w:val="00ED6159"/>
    <w:rsid w:val="00EF11EA"/>
    <w:rsid w:val="00EF246B"/>
    <w:rsid w:val="00F13A3A"/>
    <w:rsid w:val="00F230E0"/>
    <w:rsid w:val="00F35856"/>
    <w:rsid w:val="00F36D04"/>
    <w:rsid w:val="00F37D8D"/>
    <w:rsid w:val="00F43F06"/>
    <w:rsid w:val="00F51E9D"/>
    <w:rsid w:val="00F56F19"/>
    <w:rsid w:val="00F65353"/>
    <w:rsid w:val="00F76DAD"/>
    <w:rsid w:val="00F934E2"/>
    <w:rsid w:val="00F9438E"/>
    <w:rsid w:val="00F94EAF"/>
    <w:rsid w:val="00FB5436"/>
    <w:rsid w:val="00FC2C5C"/>
    <w:rsid w:val="00FD62AF"/>
    <w:rsid w:val="00FF50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9941F"/>
  <w15:chartTrackingRefBased/>
  <w15:docId w15:val="{BA9D2361-0BE2-7F45-A5CC-9E114D5762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8E0AB1"/>
    <w:pPr>
      <w:keepNext/>
      <w:jc w:val="both"/>
      <w:outlineLvl w:val="1"/>
    </w:pPr>
    <w:rPr>
      <w:rFonts w:ascii="Times New Roman" w:eastAsia="Times New Roman" w:hAnsi="Times New Roman" w:cs="Times New Roman"/>
      <w:b/>
      <w:szCs w:val="20"/>
      <w:lang w:eastAsia="en-GB"/>
    </w:rPr>
  </w:style>
  <w:style w:type="paragraph" w:styleId="Heading6">
    <w:name w:val="heading 6"/>
    <w:basedOn w:val="Normal"/>
    <w:next w:val="Normal"/>
    <w:link w:val="Heading6Char"/>
    <w:qFormat/>
    <w:rsid w:val="008E0AB1"/>
    <w:pPr>
      <w:keepNext/>
      <w:pBdr>
        <w:top w:val="single" w:sz="18" w:space="1" w:color="auto"/>
        <w:left w:val="single" w:sz="18" w:space="4" w:color="auto"/>
        <w:bottom w:val="single" w:sz="18" w:space="1" w:color="auto"/>
        <w:right w:val="single" w:sz="18" w:space="4" w:color="auto"/>
      </w:pBdr>
      <w:outlineLvl w:val="5"/>
    </w:pPr>
    <w:rPr>
      <w:rFonts w:ascii="Arial" w:eastAsia="Times New Roman" w:hAnsi="Arial" w:cs="Arial"/>
      <w:b/>
      <w:bCs/>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65353"/>
    <w:rPr>
      <w:color w:val="0563C1" w:themeColor="hyperlink"/>
      <w:u w:val="single"/>
    </w:rPr>
  </w:style>
  <w:style w:type="character" w:customStyle="1" w:styleId="Heading2Char">
    <w:name w:val="Heading 2 Char"/>
    <w:basedOn w:val="DefaultParagraphFont"/>
    <w:link w:val="Heading2"/>
    <w:rsid w:val="008E0AB1"/>
    <w:rPr>
      <w:rFonts w:ascii="Times New Roman" w:eastAsia="Times New Roman" w:hAnsi="Times New Roman" w:cs="Times New Roman"/>
      <w:b/>
      <w:szCs w:val="20"/>
      <w:lang w:eastAsia="en-GB"/>
    </w:rPr>
  </w:style>
  <w:style w:type="character" w:customStyle="1" w:styleId="Heading6Char">
    <w:name w:val="Heading 6 Char"/>
    <w:basedOn w:val="DefaultParagraphFont"/>
    <w:link w:val="Heading6"/>
    <w:rsid w:val="008E0AB1"/>
    <w:rPr>
      <w:rFonts w:ascii="Arial" w:eastAsia="Times New Roman" w:hAnsi="Arial" w:cs="Arial"/>
      <w:b/>
      <w:bCs/>
      <w:szCs w:val="20"/>
    </w:rPr>
  </w:style>
  <w:style w:type="paragraph" w:styleId="Header">
    <w:name w:val="header"/>
    <w:basedOn w:val="Normal"/>
    <w:link w:val="HeaderChar"/>
    <w:rsid w:val="008E0AB1"/>
    <w:pPr>
      <w:tabs>
        <w:tab w:val="center" w:pos="4153"/>
        <w:tab w:val="right" w:pos="8306"/>
      </w:tabs>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8E0AB1"/>
    <w:rPr>
      <w:rFonts w:ascii="Times New Roman" w:eastAsia="Times New Roman" w:hAnsi="Times New Roman" w:cs="Times New Roman"/>
      <w:sz w:val="20"/>
      <w:szCs w:val="20"/>
      <w:lang w:eastAsia="en-GB"/>
    </w:rPr>
  </w:style>
  <w:style w:type="paragraph" w:styleId="BodyText2">
    <w:name w:val="Body Text 2"/>
    <w:basedOn w:val="Normal"/>
    <w:link w:val="BodyText2Char"/>
    <w:rsid w:val="008E0AB1"/>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8E0AB1"/>
    <w:rPr>
      <w:rFonts w:ascii="Times New Roman" w:eastAsia="Times New Roman" w:hAnsi="Times New Roman" w:cs="Times New Roman"/>
      <w:sz w:val="16"/>
      <w:szCs w:val="20"/>
    </w:rPr>
  </w:style>
  <w:style w:type="paragraph" w:styleId="Caption">
    <w:name w:val="caption"/>
    <w:basedOn w:val="Normal"/>
    <w:next w:val="Normal"/>
    <w:uiPriority w:val="35"/>
    <w:unhideWhenUsed/>
    <w:qFormat/>
    <w:rsid w:val="00321D91"/>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1983295">
      <w:bodyDiv w:val="1"/>
      <w:marLeft w:val="0"/>
      <w:marRight w:val="0"/>
      <w:marTop w:val="0"/>
      <w:marBottom w:val="0"/>
      <w:divBdr>
        <w:top w:val="none" w:sz="0" w:space="0" w:color="auto"/>
        <w:left w:val="none" w:sz="0" w:space="0" w:color="auto"/>
        <w:bottom w:val="none" w:sz="0" w:space="0" w:color="auto"/>
        <w:right w:val="none" w:sz="0" w:space="0" w:color="auto"/>
      </w:divBdr>
    </w:div>
    <w:div w:id="653098382">
      <w:bodyDiv w:val="1"/>
      <w:marLeft w:val="0"/>
      <w:marRight w:val="0"/>
      <w:marTop w:val="0"/>
      <w:marBottom w:val="0"/>
      <w:divBdr>
        <w:top w:val="none" w:sz="0" w:space="0" w:color="auto"/>
        <w:left w:val="none" w:sz="0" w:space="0" w:color="auto"/>
        <w:bottom w:val="none" w:sz="0" w:space="0" w:color="auto"/>
        <w:right w:val="none" w:sz="0" w:space="0" w:color="auto"/>
      </w:divBdr>
    </w:div>
    <w:div w:id="1023364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chart" Target="charts/chart1.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cid:image001.png@01D0EA4A.2BD679A0" TargetMode="External"/><Relationship Id="rId11" Type="http://schemas.openxmlformats.org/officeDocument/2006/relationships/hyperlink" Target="https://www.gov.uk/government/speeches/nick-gibb-the-evidence-in-favour-of-teacher-led-instruction" TargetMode="External"/><Relationship Id="rId5" Type="http://schemas.openxmlformats.org/officeDocument/2006/relationships/image" Target="media/image2.png"/><Relationship Id="rId10" Type="http://schemas.openxmlformats.org/officeDocument/2006/relationships/hyperlink" Target="https://gov.wales/topics/educationandskills/schoolshome/curriculuminwales/curriculum-for-wales-curriculum-for-life/?lang=en" TargetMode="External"/><Relationship Id="rId4" Type="http://schemas.openxmlformats.org/officeDocument/2006/relationships/image" Target="media/image1.emf"/><Relationship Id="rId9"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oleObject" Target="file:////Volumes/STHOMAS/pgce/Professional%20Teachin%20Experience%20with%20QTS/Research%20Project/Research%20Task%20Test%20Results%20.xlsx"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_rels/chart2.xml.rels><?xml version="1.0" encoding="UTF-8" standalone="yes"?>
<Relationships xmlns="http://schemas.openxmlformats.org/package/2006/relationships"><Relationship Id="rId3" Type="http://schemas.openxmlformats.org/officeDocument/2006/relationships/oleObject" Target="file:////Volumes/STHOMAS/pgce/Professional%20Teachin%20Experience%20with%20QTS/Research%20Project/Research%20Task%20Test%20Results%20.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Volumes/STHOMAS/pgce/Professional%20Teachin%20Experience%20with%20QTS/Research%20Project/Research%20Task%20Test%20Results%20.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0403385502144344"/>
          <c:y val="3.1037240484231402E-2"/>
          <c:w val="0.82683605402983162"/>
          <c:h val="0.88361338278661117"/>
        </c:manualLayout>
      </c:layout>
      <c:barChart>
        <c:barDir val="col"/>
        <c:grouping val="clustered"/>
        <c:varyColors val="0"/>
        <c:ser>
          <c:idx val="0"/>
          <c:order val="0"/>
          <c:tx>
            <c:v>Teacher-Led</c:v>
          </c:tx>
          <c:spPr>
            <a:solidFill>
              <a:schemeClr val="accent1"/>
            </a:solidFill>
            <a:ln>
              <a:noFill/>
            </a:ln>
            <a:effectLst/>
          </c:spPr>
          <c:invertIfNegative val="0"/>
          <c:trendline>
            <c:spPr>
              <a:ln w="19050" cap="rnd">
                <a:solidFill>
                  <a:schemeClr val="accent1"/>
                </a:solidFill>
                <a:prstDash val="sysDot"/>
              </a:ln>
              <a:effectLst/>
            </c:spPr>
            <c:trendlineType val="movingAvg"/>
            <c:period val="2"/>
            <c:dispRSqr val="0"/>
            <c:dispEq val="0"/>
          </c:trendline>
          <c:cat>
            <c:strRef>
              <c:f>'9W - Band A '!$C$6:$C$27</c:f>
              <c:strCache>
                <c:ptCount val="22"/>
                <c:pt idx="0">
                  <c:v>A1</c:v>
                </c:pt>
                <c:pt idx="1">
                  <c:v>A2</c:v>
                </c:pt>
                <c:pt idx="2">
                  <c:v>A3</c:v>
                </c:pt>
                <c:pt idx="3">
                  <c:v>A4</c:v>
                </c:pt>
                <c:pt idx="4">
                  <c:v>A5</c:v>
                </c:pt>
                <c:pt idx="5">
                  <c:v>A6</c:v>
                </c:pt>
                <c:pt idx="6">
                  <c:v>A7</c:v>
                </c:pt>
                <c:pt idx="7">
                  <c:v>A8</c:v>
                </c:pt>
                <c:pt idx="8">
                  <c:v>A9</c:v>
                </c:pt>
                <c:pt idx="9">
                  <c:v>A10</c:v>
                </c:pt>
                <c:pt idx="10">
                  <c:v>A11</c:v>
                </c:pt>
                <c:pt idx="11">
                  <c:v>A12</c:v>
                </c:pt>
                <c:pt idx="12">
                  <c:v>A13</c:v>
                </c:pt>
                <c:pt idx="13">
                  <c:v>A14</c:v>
                </c:pt>
                <c:pt idx="14">
                  <c:v>A15</c:v>
                </c:pt>
                <c:pt idx="15">
                  <c:v>A16</c:v>
                </c:pt>
                <c:pt idx="16">
                  <c:v>A17</c:v>
                </c:pt>
                <c:pt idx="17">
                  <c:v>A18</c:v>
                </c:pt>
                <c:pt idx="18">
                  <c:v>A19</c:v>
                </c:pt>
                <c:pt idx="19">
                  <c:v>A20</c:v>
                </c:pt>
                <c:pt idx="20">
                  <c:v>A21</c:v>
                </c:pt>
                <c:pt idx="21">
                  <c:v>A22</c:v>
                </c:pt>
              </c:strCache>
            </c:strRef>
          </c:cat>
          <c:val>
            <c:numRef>
              <c:f>'9W - Band A '!$E$6:$E$27</c:f>
              <c:numCache>
                <c:formatCode>General</c:formatCode>
                <c:ptCount val="22"/>
                <c:pt idx="0">
                  <c:v>100</c:v>
                </c:pt>
                <c:pt idx="1">
                  <c:v>67</c:v>
                </c:pt>
                <c:pt idx="2">
                  <c:v>100</c:v>
                </c:pt>
                <c:pt idx="3">
                  <c:v>56</c:v>
                </c:pt>
                <c:pt idx="4">
                  <c:v>100</c:v>
                </c:pt>
                <c:pt idx="5">
                  <c:v>89</c:v>
                </c:pt>
                <c:pt idx="6">
                  <c:v>100</c:v>
                </c:pt>
                <c:pt idx="7">
                  <c:v>100</c:v>
                </c:pt>
                <c:pt idx="8">
                  <c:v>100</c:v>
                </c:pt>
                <c:pt idx="9">
                  <c:v>100</c:v>
                </c:pt>
                <c:pt idx="10">
                  <c:v>100</c:v>
                </c:pt>
                <c:pt idx="11">
                  <c:v>100</c:v>
                </c:pt>
                <c:pt idx="12">
                  <c:v>78</c:v>
                </c:pt>
                <c:pt idx="13">
                  <c:v>78</c:v>
                </c:pt>
                <c:pt idx="14">
                  <c:v>89</c:v>
                </c:pt>
                <c:pt idx="15">
                  <c:v>100</c:v>
                </c:pt>
                <c:pt idx="16">
                  <c:v>100</c:v>
                </c:pt>
                <c:pt idx="17">
                  <c:v>100</c:v>
                </c:pt>
                <c:pt idx="18">
                  <c:v>100</c:v>
                </c:pt>
                <c:pt idx="19">
                  <c:v>89</c:v>
                </c:pt>
                <c:pt idx="20">
                  <c:v>100</c:v>
                </c:pt>
                <c:pt idx="21">
                  <c:v>100</c:v>
                </c:pt>
              </c:numCache>
            </c:numRef>
          </c:val>
          <c:extLst>
            <c:ext xmlns:c16="http://schemas.microsoft.com/office/drawing/2014/chart" uri="{C3380CC4-5D6E-409C-BE32-E72D297353CC}">
              <c16:uniqueId val="{00000001-81A3-0249-8F85-41C9F5B2D9E0}"/>
            </c:ext>
          </c:extLst>
        </c:ser>
        <c:ser>
          <c:idx val="1"/>
          <c:order val="1"/>
          <c:tx>
            <c:v>Pupil-Led</c:v>
          </c:tx>
          <c:spPr>
            <a:solidFill>
              <a:schemeClr val="accent3"/>
            </a:solidFill>
            <a:ln>
              <a:noFill/>
            </a:ln>
            <a:effectLst/>
          </c:spPr>
          <c:invertIfNegative val="0"/>
          <c:trendline>
            <c:spPr>
              <a:ln w="19050" cap="rnd">
                <a:solidFill>
                  <a:schemeClr val="accent3"/>
                </a:solidFill>
                <a:prstDash val="sysDot"/>
              </a:ln>
              <a:effectLst/>
            </c:spPr>
            <c:trendlineType val="movingAvg"/>
            <c:period val="2"/>
            <c:dispRSqr val="0"/>
            <c:dispEq val="0"/>
          </c:trendline>
          <c:cat>
            <c:strRef>
              <c:f>'9W - Band A '!$C$6:$C$27</c:f>
              <c:strCache>
                <c:ptCount val="22"/>
                <c:pt idx="0">
                  <c:v>A1</c:v>
                </c:pt>
                <c:pt idx="1">
                  <c:v>A2</c:v>
                </c:pt>
                <c:pt idx="2">
                  <c:v>A3</c:v>
                </c:pt>
                <c:pt idx="3">
                  <c:v>A4</c:v>
                </c:pt>
                <c:pt idx="4">
                  <c:v>A5</c:v>
                </c:pt>
                <c:pt idx="5">
                  <c:v>A6</c:v>
                </c:pt>
                <c:pt idx="6">
                  <c:v>A7</c:v>
                </c:pt>
                <c:pt idx="7">
                  <c:v>A8</c:v>
                </c:pt>
                <c:pt idx="8">
                  <c:v>A9</c:v>
                </c:pt>
                <c:pt idx="9">
                  <c:v>A10</c:v>
                </c:pt>
                <c:pt idx="10">
                  <c:v>A11</c:v>
                </c:pt>
                <c:pt idx="11">
                  <c:v>A12</c:v>
                </c:pt>
                <c:pt idx="12">
                  <c:v>A13</c:v>
                </c:pt>
                <c:pt idx="13">
                  <c:v>A14</c:v>
                </c:pt>
                <c:pt idx="14">
                  <c:v>A15</c:v>
                </c:pt>
                <c:pt idx="15">
                  <c:v>A16</c:v>
                </c:pt>
                <c:pt idx="16">
                  <c:v>A17</c:v>
                </c:pt>
                <c:pt idx="17">
                  <c:v>A18</c:v>
                </c:pt>
                <c:pt idx="18">
                  <c:v>A19</c:v>
                </c:pt>
                <c:pt idx="19">
                  <c:v>A20</c:v>
                </c:pt>
                <c:pt idx="20">
                  <c:v>A21</c:v>
                </c:pt>
                <c:pt idx="21">
                  <c:v>A22</c:v>
                </c:pt>
              </c:strCache>
            </c:strRef>
          </c:cat>
          <c:val>
            <c:numRef>
              <c:f>'9W - Band A '!$F$6:$F$27</c:f>
              <c:numCache>
                <c:formatCode>General</c:formatCode>
                <c:ptCount val="22"/>
                <c:pt idx="0">
                  <c:v>100</c:v>
                </c:pt>
                <c:pt idx="1">
                  <c:v>89</c:v>
                </c:pt>
                <c:pt idx="2">
                  <c:v>100</c:v>
                </c:pt>
                <c:pt idx="3">
                  <c:v>100</c:v>
                </c:pt>
                <c:pt idx="4">
                  <c:v>89</c:v>
                </c:pt>
                <c:pt idx="5">
                  <c:v>100</c:v>
                </c:pt>
                <c:pt idx="6">
                  <c:v>89</c:v>
                </c:pt>
                <c:pt idx="7">
                  <c:v>100</c:v>
                </c:pt>
                <c:pt idx="8">
                  <c:v>100</c:v>
                </c:pt>
                <c:pt idx="9">
                  <c:v>100</c:v>
                </c:pt>
                <c:pt idx="10">
                  <c:v>100</c:v>
                </c:pt>
                <c:pt idx="11">
                  <c:v>100</c:v>
                </c:pt>
                <c:pt idx="12">
                  <c:v>67</c:v>
                </c:pt>
                <c:pt idx="13">
                  <c:v>100</c:v>
                </c:pt>
                <c:pt idx="14">
                  <c:v>89</c:v>
                </c:pt>
                <c:pt idx="15">
                  <c:v>100</c:v>
                </c:pt>
                <c:pt idx="16">
                  <c:v>100</c:v>
                </c:pt>
                <c:pt idx="17">
                  <c:v>100</c:v>
                </c:pt>
                <c:pt idx="18">
                  <c:v>78</c:v>
                </c:pt>
                <c:pt idx="19">
                  <c:v>100</c:v>
                </c:pt>
                <c:pt idx="20">
                  <c:v>100</c:v>
                </c:pt>
                <c:pt idx="21">
                  <c:v>89</c:v>
                </c:pt>
              </c:numCache>
            </c:numRef>
          </c:val>
          <c:extLst>
            <c:ext xmlns:c16="http://schemas.microsoft.com/office/drawing/2014/chart" uri="{C3380CC4-5D6E-409C-BE32-E72D297353CC}">
              <c16:uniqueId val="{00000003-81A3-0249-8F85-41C9F5B2D9E0}"/>
            </c:ext>
          </c:extLst>
        </c:ser>
        <c:dLbls>
          <c:showLegendKey val="0"/>
          <c:showVal val="0"/>
          <c:showCatName val="0"/>
          <c:showSerName val="0"/>
          <c:showPercent val="0"/>
          <c:showBubbleSize val="0"/>
        </c:dLbls>
        <c:gapWidth val="150"/>
        <c:axId val="559369055"/>
        <c:axId val="555507295"/>
      </c:barChart>
      <c:catAx>
        <c:axId val="559369055"/>
        <c:scaling>
          <c:orientation val="minMax"/>
        </c:scaling>
        <c:delete val="0"/>
        <c:axPos val="b"/>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dk1"/>
                    </a:solidFill>
                    <a:latin typeface="+mn-lt"/>
                    <a:ea typeface="+mn-ea"/>
                    <a:cs typeface="+mn-cs"/>
                  </a:defRPr>
                </a:pPr>
                <a:r>
                  <a:rPr lang="en-GB"/>
                  <a:t>Participants</a:t>
                </a:r>
              </a:p>
            </c:rich>
          </c:tx>
          <c:layout>
            <c:manualLayout>
              <c:xMode val="edge"/>
              <c:yMode val="edge"/>
              <c:x val="0.45390660364345659"/>
              <c:y val="0.95115631426251612"/>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dk1"/>
                  </a:solidFill>
                  <a:latin typeface="+mn-lt"/>
                  <a:ea typeface="+mn-ea"/>
                  <a:cs typeface="+mn-cs"/>
                </a:defRPr>
              </a:pPr>
              <a:endParaRPr lang="en-US"/>
            </a:p>
          </c:txPr>
        </c:title>
        <c:numFmt formatCode="General" sourceLinked="1"/>
        <c:majorTickMark val="none"/>
        <c:minorTickMark val="none"/>
        <c:tickLblPos val="nextTo"/>
        <c:spPr>
          <a:noFill/>
          <a:ln w="6350" cap="flat" cmpd="sng" algn="ctr">
            <a:solidFill>
              <a:schemeClr val="dk1"/>
            </a:solidFill>
            <a:prstDash val="solid"/>
            <a:miter lim="800000"/>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555507295"/>
        <c:crosses val="autoZero"/>
        <c:auto val="1"/>
        <c:lblAlgn val="ctr"/>
        <c:lblOffset val="100"/>
        <c:noMultiLvlLbl val="0"/>
      </c:catAx>
      <c:valAx>
        <c:axId val="555507295"/>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200" b="0" i="0" u="none" strike="noStrike" kern="1200" baseline="0">
                    <a:solidFill>
                      <a:schemeClr val="dk1"/>
                    </a:solidFill>
                    <a:latin typeface="+mn-lt"/>
                    <a:ea typeface="+mn-ea"/>
                    <a:cs typeface="+mn-cs"/>
                  </a:defRPr>
                </a:pPr>
                <a:r>
                  <a:rPr lang="en-US" sz="1200"/>
                  <a:t>Percentage</a:t>
                </a:r>
                <a:r>
                  <a:rPr lang="en-US" sz="1200" baseline="0"/>
                  <a:t> Test Scores</a:t>
                </a:r>
                <a:endParaRPr lang="en-US" sz="1200"/>
              </a:p>
            </c:rich>
          </c:tx>
          <c:overlay val="0"/>
          <c:spPr>
            <a:noFill/>
            <a:ln>
              <a:noFill/>
            </a:ln>
            <a:effectLst/>
          </c:spPr>
          <c:txPr>
            <a:bodyPr rot="-5400000" spcFirstLastPara="1" vertOverflow="ellipsis" vert="horz" wrap="square" anchor="ctr" anchorCtr="1"/>
            <a:lstStyle/>
            <a:p>
              <a:pPr>
                <a:defRPr sz="1200" b="0" i="0" u="none" strike="noStrike" kern="1200" baseline="0">
                  <a:solidFill>
                    <a:schemeClr val="dk1"/>
                  </a:solidFill>
                  <a:latin typeface="+mn-lt"/>
                  <a:ea typeface="+mn-ea"/>
                  <a:cs typeface="+mn-cs"/>
                </a:defRPr>
              </a:pPr>
              <a:endParaRPr lang="en-US"/>
            </a:p>
          </c:txPr>
        </c:title>
        <c:numFmt formatCode="General" sourceLinked="1"/>
        <c:majorTickMark val="none"/>
        <c:minorTickMark val="none"/>
        <c:tickLblPos val="nextTo"/>
        <c:spPr>
          <a:noFill/>
          <a:ln w="6350" cap="flat" cmpd="sng" algn="ctr">
            <a:solidFill>
              <a:schemeClr val="dk1"/>
            </a:solidFill>
            <a:prstDash val="solid"/>
            <a:miter lim="800000"/>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559369055"/>
        <c:crosses val="autoZero"/>
        <c:crossBetween val="between"/>
      </c:valAx>
      <c:spPr>
        <a:noFill/>
        <a:ln>
          <a:noFill/>
        </a:ln>
        <a:effectLst/>
      </c:spPr>
    </c:plotArea>
    <c:legend>
      <c:legendPos val="t"/>
      <c:layout>
        <c:manualLayout>
          <c:xMode val="edge"/>
          <c:yMode val="edge"/>
          <c:x val="0.13491637239802193"/>
          <c:y val="2.9019152640742889E-2"/>
          <c:w val="0.83094600005049757"/>
          <c:h val="0.11464621768477432"/>
        </c:manualLayout>
      </c:layout>
      <c:overlay val="0"/>
      <c:spPr>
        <a:noFill/>
        <a:ln>
          <a:noFill/>
        </a:ln>
        <a:effectLst/>
      </c:spPr>
      <c:txPr>
        <a:bodyPr rot="0" spcFirstLastPara="1" vertOverflow="ellipsis" vert="horz" wrap="square" anchor="ctr" anchorCtr="1"/>
        <a:lstStyle/>
        <a:p>
          <a:pPr>
            <a:defRPr sz="1200" b="0" i="0" u="none" strike="noStrike" kern="1200" baseline="0">
              <a:solidFill>
                <a:schemeClr val="dk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12700" cap="flat" cmpd="sng" algn="ctr">
      <a:solidFill>
        <a:schemeClr val="dk1"/>
      </a:solidFill>
      <a:prstDash val="solid"/>
      <a:miter lim="800000"/>
    </a:ln>
    <a:effectLst/>
  </c:spPr>
  <c:txPr>
    <a:bodyPr/>
    <a:lstStyle/>
    <a:p>
      <a:pPr>
        <a:defRPr>
          <a:solidFill>
            <a:schemeClr val="dk1"/>
          </a:solidFill>
          <a:latin typeface="+mn-lt"/>
          <a:ea typeface="+mn-ea"/>
          <a:cs typeface="+mn-cs"/>
        </a:defRPr>
      </a:pPr>
      <a:endParaRPr lang="en-US"/>
    </a:p>
  </c:txPr>
  <c:externalData r:id="rId3">
    <c:autoUpdate val="0"/>
  </c:externalData>
  <c:userShapes r:id="rId4"/>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v>Teacher-Led</c:v>
          </c:tx>
          <c:spPr>
            <a:solidFill>
              <a:schemeClr val="accent1"/>
            </a:solidFill>
            <a:ln>
              <a:noFill/>
            </a:ln>
            <a:effectLst/>
          </c:spPr>
          <c:invertIfNegative val="0"/>
          <c:trendline>
            <c:spPr>
              <a:ln w="19050" cap="rnd">
                <a:solidFill>
                  <a:schemeClr val="accent1"/>
                </a:solidFill>
                <a:prstDash val="sysDot"/>
              </a:ln>
              <a:effectLst/>
            </c:spPr>
            <c:trendlineType val="movingAvg"/>
            <c:period val="2"/>
            <c:dispRSqr val="0"/>
            <c:dispEq val="0"/>
          </c:trendline>
          <c:cat>
            <c:strRef>
              <c:f>'9R - Band B '!$C$7:$C$29</c:f>
              <c:strCache>
                <c:ptCount val="23"/>
                <c:pt idx="0">
                  <c:v>B1</c:v>
                </c:pt>
                <c:pt idx="1">
                  <c:v>B2</c:v>
                </c:pt>
                <c:pt idx="2">
                  <c:v>B3</c:v>
                </c:pt>
                <c:pt idx="3">
                  <c:v>B4</c:v>
                </c:pt>
                <c:pt idx="4">
                  <c:v>B5</c:v>
                </c:pt>
                <c:pt idx="5">
                  <c:v>B6</c:v>
                </c:pt>
                <c:pt idx="6">
                  <c:v>B7</c:v>
                </c:pt>
                <c:pt idx="7">
                  <c:v>B8</c:v>
                </c:pt>
                <c:pt idx="8">
                  <c:v>B9</c:v>
                </c:pt>
                <c:pt idx="9">
                  <c:v>B10</c:v>
                </c:pt>
                <c:pt idx="10">
                  <c:v>B11</c:v>
                </c:pt>
                <c:pt idx="11">
                  <c:v>B12</c:v>
                </c:pt>
                <c:pt idx="12">
                  <c:v>B13</c:v>
                </c:pt>
                <c:pt idx="13">
                  <c:v>B14</c:v>
                </c:pt>
                <c:pt idx="14">
                  <c:v>B15</c:v>
                </c:pt>
                <c:pt idx="15">
                  <c:v>B16</c:v>
                </c:pt>
                <c:pt idx="16">
                  <c:v>B17</c:v>
                </c:pt>
                <c:pt idx="17">
                  <c:v>B18</c:v>
                </c:pt>
                <c:pt idx="18">
                  <c:v>B19</c:v>
                </c:pt>
                <c:pt idx="19">
                  <c:v>B20</c:v>
                </c:pt>
                <c:pt idx="20">
                  <c:v>B21</c:v>
                </c:pt>
                <c:pt idx="21">
                  <c:v>B22</c:v>
                </c:pt>
                <c:pt idx="22">
                  <c:v>B23</c:v>
                </c:pt>
              </c:strCache>
            </c:strRef>
          </c:cat>
          <c:val>
            <c:numRef>
              <c:f>'9R - Band B '!$E$7:$E$29</c:f>
              <c:numCache>
                <c:formatCode>General</c:formatCode>
                <c:ptCount val="23"/>
                <c:pt idx="0">
                  <c:v>100</c:v>
                </c:pt>
                <c:pt idx="1">
                  <c:v>100</c:v>
                </c:pt>
                <c:pt idx="2">
                  <c:v>78</c:v>
                </c:pt>
                <c:pt idx="3">
                  <c:v>44</c:v>
                </c:pt>
                <c:pt idx="4">
                  <c:v>78</c:v>
                </c:pt>
                <c:pt idx="5">
                  <c:v>100</c:v>
                </c:pt>
                <c:pt idx="6">
                  <c:v>100</c:v>
                </c:pt>
                <c:pt idx="7">
                  <c:v>100</c:v>
                </c:pt>
                <c:pt idx="8">
                  <c:v>56</c:v>
                </c:pt>
                <c:pt idx="9">
                  <c:v>78</c:v>
                </c:pt>
                <c:pt idx="10">
                  <c:v>100</c:v>
                </c:pt>
                <c:pt idx="11">
                  <c:v>100</c:v>
                </c:pt>
                <c:pt idx="12">
                  <c:v>78</c:v>
                </c:pt>
                <c:pt idx="13">
                  <c:v>100</c:v>
                </c:pt>
                <c:pt idx="14">
                  <c:v>78</c:v>
                </c:pt>
                <c:pt idx="15">
                  <c:v>78</c:v>
                </c:pt>
                <c:pt idx="16">
                  <c:v>100</c:v>
                </c:pt>
                <c:pt idx="17">
                  <c:v>78</c:v>
                </c:pt>
                <c:pt idx="18">
                  <c:v>89</c:v>
                </c:pt>
                <c:pt idx="19">
                  <c:v>78</c:v>
                </c:pt>
                <c:pt idx="20">
                  <c:v>78</c:v>
                </c:pt>
                <c:pt idx="21">
                  <c:v>100</c:v>
                </c:pt>
                <c:pt idx="22">
                  <c:v>89</c:v>
                </c:pt>
              </c:numCache>
            </c:numRef>
          </c:val>
          <c:extLst>
            <c:ext xmlns:c16="http://schemas.microsoft.com/office/drawing/2014/chart" uri="{C3380CC4-5D6E-409C-BE32-E72D297353CC}">
              <c16:uniqueId val="{00000001-435B-EF48-8B59-E4FB271ADBC8}"/>
            </c:ext>
          </c:extLst>
        </c:ser>
        <c:ser>
          <c:idx val="1"/>
          <c:order val="1"/>
          <c:tx>
            <c:v>Pupil-Led</c:v>
          </c:tx>
          <c:spPr>
            <a:solidFill>
              <a:schemeClr val="accent3"/>
            </a:solidFill>
            <a:ln>
              <a:noFill/>
            </a:ln>
            <a:effectLst/>
          </c:spPr>
          <c:invertIfNegative val="0"/>
          <c:trendline>
            <c:spPr>
              <a:ln w="19050" cap="rnd">
                <a:solidFill>
                  <a:schemeClr val="accent3"/>
                </a:solidFill>
                <a:prstDash val="sysDot"/>
              </a:ln>
              <a:effectLst/>
            </c:spPr>
            <c:trendlineType val="movingAvg"/>
            <c:period val="2"/>
            <c:dispRSqr val="0"/>
            <c:dispEq val="0"/>
          </c:trendline>
          <c:cat>
            <c:strRef>
              <c:f>'9R - Band B '!$C$7:$C$29</c:f>
              <c:strCache>
                <c:ptCount val="23"/>
                <c:pt idx="0">
                  <c:v>B1</c:v>
                </c:pt>
                <c:pt idx="1">
                  <c:v>B2</c:v>
                </c:pt>
                <c:pt idx="2">
                  <c:v>B3</c:v>
                </c:pt>
                <c:pt idx="3">
                  <c:v>B4</c:v>
                </c:pt>
                <c:pt idx="4">
                  <c:v>B5</c:v>
                </c:pt>
                <c:pt idx="5">
                  <c:v>B6</c:v>
                </c:pt>
                <c:pt idx="6">
                  <c:v>B7</c:v>
                </c:pt>
                <c:pt idx="7">
                  <c:v>B8</c:v>
                </c:pt>
                <c:pt idx="8">
                  <c:v>B9</c:v>
                </c:pt>
                <c:pt idx="9">
                  <c:v>B10</c:v>
                </c:pt>
                <c:pt idx="10">
                  <c:v>B11</c:v>
                </c:pt>
                <c:pt idx="11">
                  <c:v>B12</c:v>
                </c:pt>
                <c:pt idx="12">
                  <c:v>B13</c:v>
                </c:pt>
                <c:pt idx="13">
                  <c:v>B14</c:v>
                </c:pt>
                <c:pt idx="14">
                  <c:v>B15</c:v>
                </c:pt>
                <c:pt idx="15">
                  <c:v>B16</c:v>
                </c:pt>
                <c:pt idx="16">
                  <c:v>B17</c:v>
                </c:pt>
                <c:pt idx="17">
                  <c:v>B18</c:v>
                </c:pt>
                <c:pt idx="18">
                  <c:v>B19</c:v>
                </c:pt>
                <c:pt idx="19">
                  <c:v>B20</c:v>
                </c:pt>
                <c:pt idx="20">
                  <c:v>B21</c:v>
                </c:pt>
                <c:pt idx="21">
                  <c:v>B22</c:v>
                </c:pt>
                <c:pt idx="22">
                  <c:v>B23</c:v>
                </c:pt>
              </c:strCache>
            </c:strRef>
          </c:cat>
          <c:val>
            <c:numRef>
              <c:f>'9R - Band B '!$F$7:$F$29</c:f>
              <c:numCache>
                <c:formatCode>General</c:formatCode>
                <c:ptCount val="23"/>
                <c:pt idx="0">
                  <c:v>67</c:v>
                </c:pt>
                <c:pt idx="1">
                  <c:v>100</c:v>
                </c:pt>
                <c:pt idx="2">
                  <c:v>22</c:v>
                </c:pt>
                <c:pt idx="3">
                  <c:v>44</c:v>
                </c:pt>
                <c:pt idx="4">
                  <c:v>89</c:v>
                </c:pt>
                <c:pt idx="5">
                  <c:v>78</c:v>
                </c:pt>
                <c:pt idx="6">
                  <c:v>78</c:v>
                </c:pt>
                <c:pt idx="7">
                  <c:v>89</c:v>
                </c:pt>
                <c:pt idx="8">
                  <c:v>89</c:v>
                </c:pt>
                <c:pt idx="9">
                  <c:v>56</c:v>
                </c:pt>
                <c:pt idx="10">
                  <c:v>89</c:v>
                </c:pt>
                <c:pt idx="11">
                  <c:v>67</c:v>
                </c:pt>
                <c:pt idx="12">
                  <c:v>56</c:v>
                </c:pt>
                <c:pt idx="13">
                  <c:v>89</c:v>
                </c:pt>
                <c:pt idx="14">
                  <c:v>89</c:v>
                </c:pt>
                <c:pt idx="15">
                  <c:v>89</c:v>
                </c:pt>
                <c:pt idx="16">
                  <c:v>100</c:v>
                </c:pt>
                <c:pt idx="17">
                  <c:v>33</c:v>
                </c:pt>
                <c:pt idx="18">
                  <c:v>67</c:v>
                </c:pt>
                <c:pt idx="19">
                  <c:v>89</c:v>
                </c:pt>
                <c:pt idx="20">
                  <c:v>33</c:v>
                </c:pt>
                <c:pt idx="21">
                  <c:v>67</c:v>
                </c:pt>
                <c:pt idx="22">
                  <c:v>67</c:v>
                </c:pt>
              </c:numCache>
            </c:numRef>
          </c:val>
          <c:extLst>
            <c:ext xmlns:c16="http://schemas.microsoft.com/office/drawing/2014/chart" uri="{C3380CC4-5D6E-409C-BE32-E72D297353CC}">
              <c16:uniqueId val="{00000003-435B-EF48-8B59-E4FB271ADBC8}"/>
            </c:ext>
          </c:extLst>
        </c:ser>
        <c:dLbls>
          <c:showLegendKey val="0"/>
          <c:showVal val="0"/>
          <c:showCatName val="0"/>
          <c:showSerName val="0"/>
          <c:showPercent val="0"/>
          <c:showBubbleSize val="0"/>
        </c:dLbls>
        <c:gapWidth val="219"/>
        <c:overlap val="-27"/>
        <c:axId val="552642991"/>
        <c:axId val="552773967"/>
      </c:barChart>
      <c:catAx>
        <c:axId val="55264299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Participants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2773967"/>
        <c:crosses val="autoZero"/>
        <c:auto val="1"/>
        <c:lblAlgn val="ctr"/>
        <c:lblOffset val="100"/>
        <c:noMultiLvlLbl val="0"/>
      </c:catAx>
      <c:valAx>
        <c:axId val="55277396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Percentage</a:t>
                </a:r>
                <a:r>
                  <a:rPr lang="en-US" baseline="0"/>
                  <a:t> Test Scores</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2642991"/>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v>Teacher-Led</c:v>
          </c:tx>
          <c:spPr>
            <a:solidFill>
              <a:schemeClr val="accent1"/>
            </a:solidFill>
            <a:ln>
              <a:noFill/>
            </a:ln>
            <a:effectLst/>
          </c:spPr>
          <c:invertIfNegative val="0"/>
          <c:trendline>
            <c:spPr>
              <a:ln w="19050" cap="rnd">
                <a:solidFill>
                  <a:schemeClr val="accent1"/>
                </a:solidFill>
                <a:prstDash val="sysDot"/>
              </a:ln>
              <a:effectLst/>
            </c:spPr>
            <c:trendlineType val="movingAvg"/>
            <c:period val="2"/>
            <c:dispRSqr val="0"/>
            <c:dispEq val="0"/>
          </c:trendline>
          <c:cat>
            <c:strRef>
              <c:f>'9N - Band C '!$B$6:$B$21</c:f>
              <c:strCache>
                <c:ptCount val="16"/>
                <c:pt idx="0">
                  <c:v>C1</c:v>
                </c:pt>
                <c:pt idx="1">
                  <c:v>C2</c:v>
                </c:pt>
                <c:pt idx="2">
                  <c:v>C3</c:v>
                </c:pt>
                <c:pt idx="3">
                  <c:v>C4</c:v>
                </c:pt>
                <c:pt idx="4">
                  <c:v>C5</c:v>
                </c:pt>
                <c:pt idx="5">
                  <c:v>C6</c:v>
                </c:pt>
                <c:pt idx="6">
                  <c:v>C7</c:v>
                </c:pt>
                <c:pt idx="7">
                  <c:v>C8</c:v>
                </c:pt>
                <c:pt idx="8">
                  <c:v>C9</c:v>
                </c:pt>
                <c:pt idx="9">
                  <c:v>C10</c:v>
                </c:pt>
                <c:pt idx="10">
                  <c:v>C11</c:v>
                </c:pt>
                <c:pt idx="11">
                  <c:v>C12</c:v>
                </c:pt>
                <c:pt idx="12">
                  <c:v>C13</c:v>
                </c:pt>
                <c:pt idx="13">
                  <c:v>C14</c:v>
                </c:pt>
                <c:pt idx="14">
                  <c:v>C15</c:v>
                </c:pt>
                <c:pt idx="15">
                  <c:v>C16</c:v>
                </c:pt>
              </c:strCache>
            </c:strRef>
          </c:cat>
          <c:val>
            <c:numRef>
              <c:f>'9N - Band C '!$D$6:$D$21</c:f>
              <c:numCache>
                <c:formatCode>General</c:formatCode>
                <c:ptCount val="16"/>
                <c:pt idx="0">
                  <c:v>11</c:v>
                </c:pt>
                <c:pt idx="1">
                  <c:v>44</c:v>
                </c:pt>
                <c:pt idx="2">
                  <c:v>44</c:v>
                </c:pt>
                <c:pt idx="3">
                  <c:v>67</c:v>
                </c:pt>
                <c:pt idx="4">
                  <c:v>67</c:v>
                </c:pt>
                <c:pt idx="5">
                  <c:v>78</c:v>
                </c:pt>
                <c:pt idx="6">
                  <c:v>89</c:v>
                </c:pt>
                <c:pt idx="7">
                  <c:v>78</c:v>
                </c:pt>
                <c:pt idx="8">
                  <c:v>100</c:v>
                </c:pt>
                <c:pt idx="9">
                  <c:v>100</c:v>
                </c:pt>
                <c:pt idx="10">
                  <c:v>100</c:v>
                </c:pt>
                <c:pt idx="11">
                  <c:v>22</c:v>
                </c:pt>
                <c:pt idx="12">
                  <c:v>67</c:v>
                </c:pt>
                <c:pt idx="13">
                  <c:v>78</c:v>
                </c:pt>
                <c:pt idx="14">
                  <c:v>33</c:v>
                </c:pt>
                <c:pt idx="15">
                  <c:v>100</c:v>
                </c:pt>
              </c:numCache>
            </c:numRef>
          </c:val>
          <c:extLst>
            <c:ext xmlns:c16="http://schemas.microsoft.com/office/drawing/2014/chart" uri="{C3380CC4-5D6E-409C-BE32-E72D297353CC}">
              <c16:uniqueId val="{00000001-1A76-D74B-B81E-190FE0B6CB11}"/>
            </c:ext>
          </c:extLst>
        </c:ser>
        <c:ser>
          <c:idx val="1"/>
          <c:order val="1"/>
          <c:tx>
            <c:v>Pupil-Led</c:v>
          </c:tx>
          <c:spPr>
            <a:solidFill>
              <a:schemeClr val="accent3"/>
            </a:solidFill>
            <a:ln>
              <a:noFill/>
            </a:ln>
            <a:effectLst/>
          </c:spPr>
          <c:invertIfNegative val="0"/>
          <c:trendline>
            <c:spPr>
              <a:ln w="19050" cap="rnd">
                <a:solidFill>
                  <a:schemeClr val="accent3"/>
                </a:solidFill>
                <a:prstDash val="sysDot"/>
              </a:ln>
              <a:effectLst/>
            </c:spPr>
            <c:trendlineType val="movingAvg"/>
            <c:period val="2"/>
            <c:dispRSqr val="0"/>
            <c:dispEq val="0"/>
          </c:trendline>
          <c:cat>
            <c:strRef>
              <c:f>'9N - Band C '!$B$6:$B$21</c:f>
              <c:strCache>
                <c:ptCount val="16"/>
                <c:pt idx="0">
                  <c:v>C1</c:v>
                </c:pt>
                <c:pt idx="1">
                  <c:v>C2</c:v>
                </c:pt>
                <c:pt idx="2">
                  <c:v>C3</c:v>
                </c:pt>
                <c:pt idx="3">
                  <c:v>C4</c:v>
                </c:pt>
                <c:pt idx="4">
                  <c:v>C5</c:v>
                </c:pt>
                <c:pt idx="5">
                  <c:v>C6</c:v>
                </c:pt>
                <c:pt idx="6">
                  <c:v>C7</c:v>
                </c:pt>
                <c:pt idx="7">
                  <c:v>C8</c:v>
                </c:pt>
                <c:pt idx="8">
                  <c:v>C9</c:v>
                </c:pt>
                <c:pt idx="9">
                  <c:v>C10</c:v>
                </c:pt>
                <c:pt idx="10">
                  <c:v>C11</c:v>
                </c:pt>
                <c:pt idx="11">
                  <c:v>C12</c:v>
                </c:pt>
                <c:pt idx="12">
                  <c:v>C13</c:v>
                </c:pt>
                <c:pt idx="13">
                  <c:v>C14</c:v>
                </c:pt>
                <c:pt idx="14">
                  <c:v>C15</c:v>
                </c:pt>
                <c:pt idx="15">
                  <c:v>C16</c:v>
                </c:pt>
              </c:strCache>
            </c:strRef>
          </c:cat>
          <c:val>
            <c:numRef>
              <c:f>'9N - Band C '!$E$6:$E$21</c:f>
              <c:numCache>
                <c:formatCode>General</c:formatCode>
                <c:ptCount val="16"/>
                <c:pt idx="0">
                  <c:v>44</c:v>
                </c:pt>
                <c:pt idx="1">
                  <c:v>100</c:v>
                </c:pt>
                <c:pt idx="2">
                  <c:v>56</c:v>
                </c:pt>
                <c:pt idx="3">
                  <c:v>33</c:v>
                </c:pt>
                <c:pt idx="4">
                  <c:v>89</c:v>
                </c:pt>
                <c:pt idx="5">
                  <c:v>56</c:v>
                </c:pt>
                <c:pt idx="6">
                  <c:v>44</c:v>
                </c:pt>
                <c:pt idx="7">
                  <c:v>56</c:v>
                </c:pt>
                <c:pt idx="8">
                  <c:v>100</c:v>
                </c:pt>
                <c:pt idx="9">
                  <c:v>56</c:v>
                </c:pt>
                <c:pt idx="10">
                  <c:v>100</c:v>
                </c:pt>
                <c:pt idx="11">
                  <c:v>33</c:v>
                </c:pt>
                <c:pt idx="12">
                  <c:v>100</c:v>
                </c:pt>
                <c:pt idx="13">
                  <c:v>100</c:v>
                </c:pt>
                <c:pt idx="14">
                  <c:v>0</c:v>
                </c:pt>
                <c:pt idx="15">
                  <c:v>22</c:v>
                </c:pt>
              </c:numCache>
            </c:numRef>
          </c:val>
          <c:extLst>
            <c:ext xmlns:c16="http://schemas.microsoft.com/office/drawing/2014/chart" uri="{C3380CC4-5D6E-409C-BE32-E72D297353CC}">
              <c16:uniqueId val="{00000003-1A76-D74B-B81E-190FE0B6CB11}"/>
            </c:ext>
          </c:extLst>
        </c:ser>
        <c:dLbls>
          <c:showLegendKey val="0"/>
          <c:showVal val="0"/>
          <c:showCatName val="0"/>
          <c:showSerName val="0"/>
          <c:showPercent val="0"/>
          <c:showBubbleSize val="0"/>
        </c:dLbls>
        <c:gapWidth val="219"/>
        <c:overlap val="-27"/>
        <c:axId val="572136271"/>
        <c:axId val="575946431"/>
      </c:barChart>
      <c:catAx>
        <c:axId val="57213627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Participants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5946431"/>
        <c:crosses val="autoZero"/>
        <c:auto val="1"/>
        <c:lblAlgn val="ctr"/>
        <c:lblOffset val="100"/>
        <c:noMultiLvlLbl val="0"/>
      </c:catAx>
      <c:valAx>
        <c:axId val="57594643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Percentage</a:t>
                </a:r>
                <a:r>
                  <a:rPr lang="en-US" baseline="0"/>
                  <a:t> Test Scores</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2136271"/>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0.50569</cdr:x>
      <cdr:y>0.42278</cdr:y>
    </cdr:from>
    <cdr:to>
      <cdr:x>0.62276</cdr:x>
      <cdr:y>0.56178</cdr:y>
    </cdr:to>
    <cdr:sp macro="" textlink="">
      <cdr:nvSpPr>
        <cdr:cNvPr id="2" name="TextBox 1">
          <a:extLst xmlns:a="http://schemas.openxmlformats.org/drawingml/2006/main">
            <a:ext uri="{FF2B5EF4-FFF2-40B4-BE49-F238E27FC236}">
              <a16:creationId xmlns:a16="http://schemas.microsoft.com/office/drawing/2014/main" id="{F124F868-7AE3-BE40-80B9-60013D79BD3B}"/>
            </a:ext>
          </a:extLst>
        </cdr:cNvPr>
        <cdr:cNvSpPr txBox="1"/>
      </cdr:nvSpPr>
      <cdr:spPr>
        <a:xfrm xmlns:a="http://schemas.openxmlformats.org/drawingml/2006/main">
          <a:off x="3949700" y="2781300"/>
          <a:ext cx="914400" cy="914400"/>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endParaRPr lang="en-US" sz="1100"/>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18</Pages>
  <Words>7602</Words>
  <Characters>43333</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Thomas (1706718)</dc:creator>
  <cp:keywords/>
  <dc:description/>
  <cp:lastModifiedBy>Stephen Thomas (1706718)</cp:lastModifiedBy>
  <cp:revision>2</cp:revision>
  <dcterms:created xsi:type="dcterms:W3CDTF">2018-05-13T09:17:00Z</dcterms:created>
  <dcterms:modified xsi:type="dcterms:W3CDTF">2018-05-13T09:17:00Z</dcterms:modified>
</cp:coreProperties>
</file>