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7C9" w:rsidRDefault="000B47C9" w:rsidP="005300A1">
      <w:pPr>
        <w:spacing w:line="480" w:lineRule="auto"/>
        <w:rPr>
          <w:u w:val="single"/>
        </w:rPr>
      </w:pPr>
      <w:r>
        <w:rPr>
          <w:u w:val="single"/>
        </w:rPr>
        <w:t>Introduction</w:t>
      </w:r>
    </w:p>
    <w:p w:rsidR="004D7072" w:rsidRDefault="000B47C9" w:rsidP="005300A1">
      <w:pPr>
        <w:spacing w:line="480" w:lineRule="auto"/>
      </w:pPr>
      <w:r>
        <w:t xml:space="preserve">School X is situated in the outskirts of Swansea, South Wales, with the total number of </w:t>
      </w:r>
      <w:r w:rsidR="00B517DE">
        <w:t>1780 pupils enrolled at present. Founded in September 1682, the school was branded a “green school”, putting it in the highest tier of school rankings by the Welsh Government in February 2018 (</w:t>
      </w:r>
      <w:proofErr w:type="spellStart"/>
      <w:r w:rsidR="00B60A37">
        <w:t>Wightwick</w:t>
      </w:r>
      <w:proofErr w:type="spellEnd"/>
      <w:r w:rsidR="00B517DE">
        <w:t xml:space="preserve">, 2018.) </w:t>
      </w:r>
      <w:r w:rsidR="00D94A49">
        <w:t xml:space="preserve">According to the school's most recent ESTYN report, the school currently has </w:t>
      </w:r>
      <w:proofErr w:type="gramStart"/>
      <w:r w:rsidR="00D94A49">
        <w:t>a</w:t>
      </w:r>
      <w:proofErr w:type="gramEnd"/>
      <w:r w:rsidR="00D94A49">
        <w:t xml:space="preserve"> FSM percentage than the national average, with 38% of the school living in the 20% most deprived areas in Wales. Around 23% have some sort of special education needs, 4% of these having a statement. </w:t>
      </w:r>
      <w:r w:rsidR="00B517DE">
        <w:t>The class taking part in this intervention is a Year 9 class that was already a part of my teaching timetable</w:t>
      </w:r>
      <w:r w:rsidR="006369CE">
        <w:t>; s</w:t>
      </w:r>
      <w:r w:rsidR="00B517DE">
        <w:t xml:space="preserve">tanding at 33 pupils in total, the class is relatively large, and is one of the three highest attaining classes in its year group. Most of the class stands at an overall “B” according to the school’s marking criteria, with a proportion of “A”’ and a handful of more able and talented students. There are currently only two students who are </w:t>
      </w:r>
      <w:r w:rsidR="00B60A37">
        <w:t>considered to have additional learning needs,</w:t>
      </w:r>
      <w:r w:rsidR="00B517DE">
        <w:t xml:space="preserve"> both of which that need help regarding social, emotional and behavioural problems.</w:t>
      </w:r>
      <w:r w:rsidR="00B60A37">
        <w:t xml:space="preserve"> On average, the class is consisten</w:t>
      </w:r>
      <w:r w:rsidR="00E45E6B">
        <w:t xml:space="preserve">tly achieving </w:t>
      </w:r>
      <w:r w:rsidR="0013378F">
        <w:t>level and</w:t>
      </w:r>
      <w:r w:rsidR="00E45E6B">
        <w:t xml:space="preserve"> 6 </w:t>
      </w:r>
      <w:r w:rsidR="00B60A37">
        <w:t>throughout all literacy strands.</w:t>
      </w:r>
      <w:r w:rsidR="00B517DE">
        <w:t xml:space="preserve"> </w:t>
      </w:r>
      <w:r w:rsidR="00B60A37">
        <w:t xml:space="preserve">However, the class in general have shown evidence throughout their schooling (according to their regular class teacher) of having some anxiety about the oracy strand, which has meant that their results have been lower in general when compared to assessments from other literacy strands, for example particularly in the </w:t>
      </w:r>
      <w:r w:rsidR="007E4C04">
        <w:t xml:space="preserve">“Writing across the Curriculum” strand (Welsh Assembly Government, 2013), (See appendix 1.) </w:t>
      </w:r>
      <w:r w:rsidR="00B60A37">
        <w:t xml:space="preserve"> </w:t>
      </w:r>
      <w:r w:rsidR="00DB360D">
        <w:t xml:space="preserve">Particularly when it came to their group oracy </w:t>
      </w:r>
      <w:r w:rsidR="006369CE">
        <w:t xml:space="preserve">assessment, the students came across as very static, almost as if reading of a script, and were afraid to branch off and speak naturally about any ideas they had, outside of what had already been discussed in lessons, directly from the teacher involved. I have chosen to explore this </w:t>
      </w:r>
      <w:r w:rsidR="00064D57">
        <w:t>research</w:t>
      </w:r>
      <w:r w:rsidR="006369CE">
        <w:t xml:space="preserve"> question because, as stated by Robert Fisher, Philosophy for Children “invites children to move beyond routine thinking” (2003, p.20) and my theory is that this will help students actively interrogate and question the topic involved, leading to an increase in marks regarding their group oracy assessment. </w:t>
      </w:r>
    </w:p>
    <w:p w:rsidR="004D7072" w:rsidRDefault="004D7072" w:rsidP="005300A1">
      <w:pPr>
        <w:spacing w:line="480" w:lineRule="auto"/>
        <w:rPr>
          <w:u w:val="single"/>
        </w:rPr>
      </w:pPr>
      <w:r>
        <w:rPr>
          <w:u w:val="single"/>
        </w:rPr>
        <w:lastRenderedPageBreak/>
        <w:t xml:space="preserve">Literature Review </w:t>
      </w:r>
    </w:p>
    <w:p w:rsidR="00C82B97" w:rsidRPr="00251EE0" w:rsidRDefault="0078680B" w:rsidP="005300A1">
      <w:pPr>
        <w:spacing w:line="480" w:lineRule="auto"/>
      </w:pPr>
      <w:r>
        <w:t xml:space="preserve">Though the name </w:t>
      </w:r>
      <w:r w:rsidR="00104647">
        <w:t>may suggest otherwise, rather than being a tool to actively teach children philosophy, P</w:t>
      </w:r>
      <w:r w:rsidR="00064D57">
        <w:t>hilosophy for Children</w:t>
      </w:r>
      <w:r w:rsidR="00104647">
        <w:t xml:space="preserve"> is a pedagogical approach to teaching and learning. Developed by former philosophy professor Matthew Lipton in the 1970’s, P</w:t>
      </w:r>
      <w:r w:rsidR="00064D57">
        <w:t>hilosophy for Children</w:t>
      </w:r>
      <w:r w:rsidR="00104647">
        <w:t xml:space="preserve"> is primarily concerned with the teaching of thinking skills, the teaching of effective communication and </w:t>
      </w:r>
      <w:r w:rsidR="00E45E6B">
        <w:t xml:space="preserve">the ability to </w:t>
      </w:r>
      <w:r w:rsidR="0013378F">
        <w:t>reason with</w:t>
      </w:r>
      <w:r w:rsidR="00E45E6B">
        <w:t xml:space="preserve"> and </w:t>
      </w:r>
      <w:r w:rsidR="00FC41EF">
        <w:t>question fact</w:t>
      </w:r>
      <w:r w:rsidR="00104647">
        <w:t xml:space="preserve"> and opinion. The approach is based on creating a student-led “Community of Enquiry”</w:t>
      </w:r>
      <w:r w:rsidR="004D7072">
        <w:t xml:space="preserve"> (Fisher,</w:t>
      </w:r>
      <w:r w:rsidR="000B0625">
        <w:t xml:space="preserve"> 2003, </w:t>
      </w:r>
      <w:r w:rsidR="004D7072">
        <w:t>p.54) where</w:t>
      </w:r>
      <w:r w:rsidR="00104647">
        <w:t xml:space="preserve"> they generate any questions on anything they may find to be controversial, interesting or bewildering. The approach can be used in any subject- it is largely used in arts and </w:t>
      </w:r>
      <w:r w:rsidR="004D7072">
        <w:t>humanities classrooms but</w:t>
      </w:r>
      <w:r w:rsidR="00104647">
        <w:t xml:space="preserve"> can be used also in many other areas of learning. </w:t>
      </w:r>
      <w:r w:rsidR="004D7072">
        <w:br/>
      </w:r>
      <w:r w:rsidR="004D7072">
        <w:tab/>
        <w:t xml:space="preserve">In his book “Teaching Thinking” (2003), Fisher states that </w:t>
      </w:r>
      <w:r w:rsidR="00064D57">
        <w:t>thought is intrinsically an</w:t>
      </w:r>
      <w:r w:rsidR="00E45E6B">
        <w:t>d critically linked to language</w:t>
      </w:r>
      <w:r w:rsidR="00064D57">
        <w:t xml:space="preserve"> and the ability to use language. Fisher calls upon Vygotsky’s theory that oral communication is the “primary vehicle for thinking and learning”, stating that the ability to use communication to reason, question, interrogate and debate is at the forefront of what makes human beings a unique species</w:t>
      </w:r>
      <w:r w:rsidR="00E45E6B">
        <w:t xml:space="preserve"> (Fisher,</w:t>
      </w:r>
      <w:r w:rsidR="000B0625">
        <w:t xml:space="preserve"> 2003,</w:t>
      </w:r>
      <w:r w:rsidR="00E45E6B">
        <w:t xml:space="preserve"> p.12)</w:t>
      </w:r>
      <w:r w:rsidR="00064D57">
        <w:t xml:space="preserve">. </w:t>
      </w:r>
      <w:r w:rsidR="00793E69">
        <w:t>He also argues that Vygotsky was the first to discover that a mix of reflection on learning and what Fisher calls “deliberate mastery” of a subject, is essential to any permanent and meaningful learning in schools</w:t>
      </w:r>
      <w:r w:rsidR="00FC0813">
        <w:t xml:space="preserve">, stating that if we were to bring this process to a conscious level, if would help students to effectively organise and master the organisation of their own learning. This, it is argued, is a focal point of Philosophy for Children; the ability to gift students with the tools needed to investigate themselves and their own learning experiences. There is research to suggest that this changes over time and experience; for example, Flavell (1985) has stated that this conscious state of reflection, questioning and deep learning are tools that come with age. Calling it “metacognitive ability,” Flavell states that older children are inherently more successful learners due to a larger culmination of learning over time. Donaldson (1978) however, agrees with Fisher, in that Donaldson believes that these metacognitive abilities can be developed with experience, by intervening at an early age and continuing to develop these </w:t>
      </w:r>
      <w:r w:rsidR="00FC0813">
        <w:lastRenderedPageBreak/>
        <w:t xml:space="preserve">abilities throughout their schooling experience. </w:t>
      </w:r>
      <w:r w:rsidR="004E2CC5">
        <w:t>However, Fisher does argue that metacognitive strategies themselves are not enough to encourage a different type of learning,</w:t>
      </w:r>
      <w:r w:rsidR="00C07C0E">
        <w:t xml:space="preserve"> such as Philosophy for Childre</w:t>
      </w:r>
      <w:r w:rsidR="00961B12">
        <w:t xml:space="preserve">n. </w:t>
      </w:r>
      <w:r w:rsidR="00C07C0E">
        <w:t>It is argued</w:t>
      </w:r>
      <w:r w:rsidR="004E2CC5">
        <w:t xml:space="preserve"> that learning depends on “conversations”; be these internal communications or external communications with other students, that encourage personal meanings to different topics and therefore, a greater relevance and engagement with a topic (</w:t>
      </w:r>
      <w:r w:rsidR="00801372">
        <w:t xml:space="preserve">Fisher, </w:t>
      </w:r>
      <w:r w:rsidR="004E2CC5">
        <w:t>2003, p.15).</w:t>
      </w:r>
      <w:r w:rsidR="004E2CC5">
        <w:br/>
      </w:r>
      <w:r w:rsidR="004E2CC5">
        <w:tab/>
        <w:t xml:space="preserve">This is particularly relevant to my motivation behind my research question; my theory upon creating this was that oracy results in this class are </w:t>
      </w:r>
      <w:r w:rsidR="000F209E">
        <w:t>weaker than demonstrated in other Literacy strands</w:t>
      </w:r>
      <w:r w:rsidR="004E2CC5">
        <w:t xml:space="preserve"> as, being a higher attaining class, they are prone to doing exactly as they are told, following instructions to the last detail. While this is useful when teaching the class in general, it impeded their previous results as they felt a pressure to not stray from the guidelines given to them; the children found themselves less inclined to naturally question any arguments</w:t>
      </w:r>
      <w:r w:rsidR="00621C90">
        <w:t xml:space="preserve"> made</w:t>
      </w:r>
      <w:r w:rsidR="004E2CC5">
        <w:t>. This usually resulted i</w:t>
      </w:r>
      <w:r w:rsidR="00801372">
        <w:t xml:space="preserve">n the groups looking as follows: </w:t>
      </w:r>
      <w:r w:rsidR="004E2CC5">
        <w:t xml:space="preserve"> a group of four, for example, could be doing an oracy exam on keeping exotic animals as pets. Two pupils would be very strongly against the concept, while the other two pupils in the group would be strongly for the concept. As the students had put themselves in roles, the topic of conversation became very scripted, as they knew exactly what they had to say to show two sides of an argument. </w:t>
      </w:r>
      <w:r w:rsidR="0019041E">
        <w:t xml:space="preserve">Fisher argues that a person will very rarely investigate or question a topic unless they have been explicitly educated to do that (2003, p.15); I believe that this is precisely why this </w:t>
      </w:r>
      <w:r w:rsidR="00EE40EB">
        <w:t>class</w:t>
      </w:r>
      <w:r w:rsidR="0019041E">
        <w:t xml:space="preserve"> group oracy results have not reached their full potential. As they have only been taught in one way throughout school- traditionally, to follow </w:t>
      </w:r>
      <w:r w:rsidR="00EE40EB">
        <w:t>a success criterion</w:t>
      </w:r>
      <w:r w:rsidR="0019041E">
        <w:t xml:space="preserve"> for oracy- their conversations, and ability to feel comfortable enough to question and investigate a </w:t>
      </w:r>
      <w:r w:rsidR="00EE40EB">
        <w:t>topic</w:t>
      </w:r>
      <w:r w:rsidR="0019041E">
        <w:t xml:space="preserve"> has not been developed</w:t>
      </w:r>
      <w:r w:rsidR="00EE40EB">
        <w:t xml:space="preserve">. Due to this, their conversations only scratch the surface of the topic at hand, the conversations become robotic and often unclear, leading to lower marks. </w:t>
      </w:r>
      <w:r w:rsidR="00EE40EB">
        <w:br/>
      </w:r>
      <w:r w:rsidR="00EE40EB">
        <w:tab/>
        <w:t xml:space="preserve">However, while there is much in the way of research- particularly the work of Fisher- that looks at its impact on the individual, it is unclear on whether this will have a significant impact on a group of teenagers; particularly a Year 9 class. Philosophy for Children relies heavily on the active </w:t>
      </w:r>
      <w:r w:rsidR="00EE40EB">
        <w:lastRenderedPageBreak/>
        <w:t xml:space="preserve">participation of at least </w:t>
      </w:r>
      <w:r w:rsidR="006D4B9D">
        <w:t>most</w:t>
      </w:r>
      <w:r w:rsidR="00EE40EB">
        <w:t xml:space="preserve"> of the group in question; there must be engagement </w:t>
      </w:r>
      <w:r w:rsidR="00815DEC">
        <w:t xml:space="preserve">and willingness to form a “Community of Enquiry” (2003, p.56), and to work together to solve problems and question the topic at hand. Particularly for a Year 9 class, afraid of looking “uncool” or unordinary, this can be a difficult task. This relates to Vygotsky’s “socio-cultural theory” (1978, p.57), which disregards individual when part of a collective. Vygotsky emphasises here, that </w:t>
      </w:r>
      <w:r w:rsidR="006D4B9D">
        <w:t>the individual mind is not separate from the group, and that “knowledge” depends on the group and situation you fi</w:t>
      </w:r>
      <w:r w:rsidR="00C84E8D">
        <w:t>nd yourself in. This has led Liu</w:t>
      </w:r>
      <w:r w:rsidR="006D4B9D">
        <w:t xml:space="preserve"> and Matthews (2005, p.392) to argue that individuals cannot rise above the social normalities and structure of a group based on their capacity to vocalise personal understanding. </w:t>
      </w:r>
      <w:r w:rsidR="00723FE4">
        <w:t xml:space="preserve">This </w:t>
      </w:r>
      <w:r w:rsidR="00D20C28">
        <w:t>could, in theory, negatively impact the effect of Philosophy for Children as the students close themselves off to the intervention for fear of looking like an outsider to their peers.</w:t>
      </w:r>
      <w:r w:rsidR="00D20C28">
        <w:br/>
      </w:r>
      <w:r w:rsidR="00D20C28">
        <w:tab/>
        <w:t xml:space="preserve">Graham Nuthall, in his book “The Hidden Lives of Learners” (2007), also argued that the culture of a classroom has more of an effect on learning in general, which would reinforce Luis and Matthew’s point that the fear of being outside of your groups social norms would hinder the ability to express personal opinion. Nuthall states that “social relationships determine learning” (p.37), which contrasts Flavell and Donaldson’s research stated previously. Nuthall argues that the relationships that students have with their peers, and the “peer culture” that exists inside of classrooms, inherently means that the opinions and judgements of their friends mean much more to pupils than the judgements of their teachers; that their sole focus is the attention of their peers. Learning- be it the act of learning or the teacher themselves- comes second. If the peer culture perpetuates the idea that doing what the teacher instructs is demeaning or conservative, taking part in something as unusual as a Philosophy for Children lesson structure may be detrimental to results, as no work or discussion would be able to take place.  </w:t>
      </w:r>
      <w:r w:rsidR="00FD6F7A">
        <w:br/>
      </w:r>
      <w:r w:rsidR="00FD6F7A">
        <w:tab/>
        <w:t xml:space="preserve">Despite this, Nuthall also argues that </w:t>
      </w:r>
      <w:r w:rsidR="000F74C7">
        <w:t xml:space="preserve">the most effective lessons are built around answering the “big questions” (p.37), and that if a teacher can work with and build around the peer culture of a classroom, creating a new and alternative peer culture, then learning is at it’s most effective. Fisher states that creating a community of enquiry within a classroom is doing exactly that; Fisher argues </w:t>
      </w:r>
      <w:r w:rsidR="000F74C7">
        <w:lastRenderedPageBreak/>
        <w:t xml:space="preserve">that six strategies (“a community setting, such as a circle; a shared setting to think about, such as a story; an invitation to question; a group or whole class discussion; </w:t>
      </w:r>
      <w:r w:rsidR="00801372">
        <w:t xml:space="preserve">an activity to extend thinking”, </w:t>
      </w:r>
      <w:r w:rsidR="000F74C7">
        <w:t xml:space="preserve">p.62) </w:t>
      </w:r>
      <w:r w:rsidR="00224805">
        <w:t xml:space="preserve">and a definitive set of rules for conversation changes the culture of the classroom to one where pupils are openly invited to talk and question each other. </w:t>
      </w:r>
      <w:r w:rsidR="000C0C21">
        <w:t xml:space="preserve">Nuthall’s view also reinforces this; that the new existing peer culture must be built on mutual respect and co-operation, where it is made clear that everyone has the potential to succeed (2007, p.37)- a principle that is at the core of Philosophy for Children. </w:t>
      </w:r>
      <w:r w:rsidR="004960A7">
        <w:br/>
      </w:r>
      <w:r w:rsidR="004960A7">
        <w:tab/>
      </w:r>
      <w:r w:rsidR="00DD13BD">
        <w:t>Philosophy for Children also has the potential to help students access other areas of the National Li</w:t>
      </w:r>
      <w:r w:rsidR="00396064">
        <w:t xml:space="preserve">teracy Framework with more ease. </w:t>
      </w:r>
      <w:r w:rsidR="004960A7">
        <w:t xml:space="preserve"> In his article "</w:t>
      </w:r>
      <w:r w:rsidR="004960A7">
        <w:rPr>
          <w:i/>
        </w:rPr>
        <w:t xml:space="preserve">Some Active Alternatives to Reading in Philosophy for Children", </w:t>
      </w:r>
      <w:r w:rsidR="004960A7">
        <w:t xml:space="preserve">David A. Shapiro (2000) has remarked that the </w:t>
      </w:r>
      <w:r w:rsidR="0013378F">
        <w:t>clear majority</w:t>
      </w:r>
      <w:r w:rsidR="004960A7">
        <w:t xml:space="preserve"> of classroom activity is </w:t>
      </w:r>
      <w:r w:rsidR="00B26AED">
        <w:t xml:space="preserve">centred around </w:t>
      </w:r>
      <w:r w:rsidR="00DD13BD">
        <w:t>textual materials;</w:t>
      </w:r>
      <w:r w:rsidR="00B26AED">
        <w:t xml:space="preserve"> the fact that rea</w:t>
      </w:r>
      <w:r w:rsidR="00DD13BD">
        <w:t xml:space="preserve">ding is largely seen as boring or "uncool" is one issue that Shapiro wanted to combat while using Philosophy for Children. </w:t>
      </w:r>
      <w:r w:rsidR="00396064">
        <w:t xml:space="preserve">It can also be argued that this traditional way of accessing and reading written material is not suitable for all children, specifically those with additional learning needs, as he states that this constant organising of schemes of work surrounding textual material means some students are left behind, be it through choice or other factors associated with differentiation and levels of learning. It would make sense, in this case that Philosophy for Children and community learning could have a positive effect on the reading and writing strands, too. On the other hand, </w:t>
      </w:r>
      <w:proofErr w:type="gramStart"/>
      <w:r w:rsidR="00396064">
        <w:t>referring back</w:t>
      </w:r>
      <w:proofErr w:type="gramEnd"/>
      <w:r w:rsidR="00396064">
        <w:t xml:space="preserve"> to previous research, Nuthall's theory that peer culture and the anxiety of appearing different from your peers could still have </w:t>
      </w:r>
      <w:r w:rsidR="0013378F">
        <w:t>a</w:t>
      </w:r>
      <w:r w:rsidR="00396064">
        <w:t xml:space="preserve"> profound effect on this; if peer culture dictates that any activity set by the teacher is degrading to students, it would not matter if this activity was suitably </w:t>
      </w:r>
      <w:r w:rsidR="004956C8">
        <w:t xml:space="preserve">progressive or different </w:t>
      </w:r>
      <w:r w:rsidR="0013378F">
        <w:t>from any</w:t>
      </w:r>
      <w:r w:rsidR="00396064">
        <w:t xml:space="preserve"> traditional activity. The students, should they see fit, could still choose not to engage with the materials at all at which point the framework for Philosophy for Children would not be effective.</w:t>
      </w:r>
      <w:r w:rsidR="00396064">
        <w:br/>
      </w:r>
      <w:r w:rsidR="00396064">
        <w:tab/>
      </w:r>
      <w:r w:rsidR="00DD13BD">
        <w:t xml:space="preserve">Shapiro </w:t>
      </w:r>
      <w:r w:rsidR="004956C8">
        <w:t xml:space="preserve">also </w:t>
      </w:r>
      <w:r w:rsidR="00DD13BD">
        <w:t xml:space="preserve">states that many teachers see the appeal of Philosophy for Children as, even if they are at first sceptical about the use of "philosophy" in the classroom, they understood the value of giving their students additional opportunities to read, and </w:t>
      </w:r>
      <w:r w:rsidR="00F63EFE">
        <w:t>e</w:t>
      </w:r>
      <w:r w:rsidR="00396064">
        <w:t xml:space="preserve">xplore texts in way that is more </w:t>
      </w:r>
      <w:r w:rsidR="00396064">
        <w:lastRenderedPageBreak/>
        <w:t xml:space="preserve">accessible to them as a class. This approach could </w:t>
      </w:r>
      <w:r w:rsidR="0013378F">
        <w:t>be</w:t>
      </w:r>
      <w:r w:rsidR="00396064">
        <w:t xml:space="preserve"> a form of "progressive education" (Kohn, 2015), which is something that has become more popular amongst teachers in Wales through the growth of the "Successful Futures" movement and curriculum design (2015.) However, as Alfie Kohn states in his 2015 article, "</w:t>
      </w:r>
      <w:r w:rsidR="00396064">
        <w:rPr>
          <w:i/>
        </w:rPr>
        <w:t xml:space="preserve">Progressive Education: Why It's Hard to Beat, But Also Hard </w:t>
      </w:r>
      <w:proofErr w:type="gramStart"/>
      <w:r w:rsidR="00396064">
        <w:rPr>
          <w:i/>
        </w:rPr>
        <w:t>To</w:t>
      </w:r>
      <w:proofErr w:type="gramEnd"/>
      <w:r w:rsidR="00396064">
        <w:rPr>
          <w:i/>
        </w:rPr>
        <w:t xml:space="preserve"> Find", </w:t>
      </w:r>
      <w:r w:rsidR="004956C8">
        <w:t>culturally progressive</w:t>
      </w:r>
      <w:r w:rsidR="00396064">
        <w:t xml:space="preserve"> education does not always </w:t>
      </w:r>
      <w:r w:rsidR="007548E1">
        <w:t xml:space="preserve">cultivate </w:t>
      </w:r>
      <w:r w:rsidR="004956C8">
        <w:t>effective progressive</w:t>
      </w:r>
      <w:r w:rsidR="007548E1">
        <w:t xml:space="preserve"> education</w:t>
      </w:r>
      <w:r w:rsidR="00396064">
        <w:t>. Kohn's research in this paper shows that more progressive activities, such as Philosophy for Children, have a track record from the 1990's and beyond for raising attainment, engagement, encouraging intrinsic motivation and promoting deeper understanding than traditional activities, for example an activity based around worksheets.</w:t>
      </w:r>
      <w:r w:rsidR="004956C8">
        <w:t xml:space="preserve"> However, a progressive classroom- as needed for Philosophy for Children- could still be inherently traditional in it's pedagogy and hinder active participation in community learning. This is not to say that there is anything wrong with traditional schooling or traditional classrooms; interesting and engaging moral questions are at the very heart of classroom teaching (especially when teaching a subject like English where literature forces you to query and question), however, as both Fisher (2003) and Kohn (2015) would agree, what makes progressive education and particularly Philosophy for Children different, is that students construct their own understanding of ideas. A more traditional pedagogy, masquerading as progressive pedagogy, could </w:t>
      </w:r>
      <w:r w:rsidR="0013378F">
        <w:t>affect</w:t>
      </w:r>
      <w:r w:rsidR="004956C8">
        <w:t xml:space="preserve"> the value of the activity and, in turn, effect the outcome of marks. </w:t>
      </w:r>
      <w:r w:rsidR="00434C19">
        <w:br/>
      </w:r>
      <w:r w:rsidR="00434C19">
        <w:tab/>
      </w:r>
      <w:r w:rsidR="00396064">
        <w:t xml:space="preserve">Kohn also states that progressive activities, and in fact progressive education </w:t>
      </w:r>
      <w:r w:rsidR="0013378F">
        <w:t>in general, bares</w:t>
      </w:r>
      <w:r w:rsidR="004956C8">
        <w:t xml:space="preserve"> a reputation for being </w:t>
      </w:r>
      <w:r w:rsidR="00434C19">
        <w:t xml:space="preserve">steeped in "lefty-politics" (Kohn, 2015, p.5), and Philosophy for Children could arguably be a part of this misconception. Without further </w:t>
      </w:r>
      <w:r w:rsidR="0013378F">
        <w:t>research, Philosophy</w:t>
      </w:r>
      <w:r w:rsidR="00434C19">
        <w:t xml:space="preserve"> for Children </w:t>
      </w:r>
      <w:proofErr w:type="gramStart"/>
      <w:r w:rsidR="00434C19">
        <w:t>can be seen as</w:t>
      </w:r>
      <w:proofErr w:type="gramEnd"/>
      <w:r w:rsidR="00434C19">
        <w:t xml:space="preserve"> a piece of a curriculum where students </w:t>
      </w:r>
      <w:r w:rsidR="0013378F">
        <w:t>can</w:t>
      </w:r>
      <w:r w:rsidR="00434C19">
        <w:t xml:space="preserve"> do whatever they like, consisting only of activities that are deemed "fun" and not anything that is necessarily meaningful. There can be a tendency to paint progressive activities as less purposeful and more idealistic; Kohn interprets this</w:t>
      </w:r>
      <w:r w:rsidR="006E07C6">
        <w:t xml:space="preserve"> interpretation</w:t>
      </w:r>
      <w:r w:rsidR="00434C19">
        <w:t xml:space="preserve"> as an almost cartoon scenario where teachers stand back, gleefully watching as their engaged and obedient class come to their own learning strategies and ways of thinking. Of course, as Nuthall's research has previously stated, classrooms are a culture of their own, and this scenario </w:t>
      </w:r>
      <w:r w:rsidR="0013378F">
        <w:lastRenderedPageBreak/>
        <w:t>because of</w:t>
      </w:r>
      <w:r w:rsidR="00434C19">
        <w:t xml:space="preserve"> that is hardly realistic</w:t>
      </w:r>
      <w:r w:rsidR="006E07C6">
        <w:t xml:space="preserve"> or, indeed, believable</w:t>
      </w:r>
      <w:r w:rsidR="00434C19">
        <w:t xml:space="preserve">. However, Fisher and Kohn's research </w:t>
      </w:r>
      <w:r w:rsidR="0013378F">
        <w:t>is</w:t>
      </w:r>
      <w:r w:rsidR="00434C19">
        <w:t xml:space="preserve"> extremely passionate about the positive outcomes of progressive education and Philosophy for Children, and it is difficult to </w:t>
      </w:r>
      <w:r w:rsidR="006E07C6">
        <w:t>identify</w:t>
      </w:r>
      <w:r w:rsidR="00434C19">
        <w:t xml:space="preserve"> research where these theories </w:t>
      </w:r>
      <w:r w:rsidR="0013378F">
        <w:t>are effectively</w:t>
      </w:r>
      <w:r w:rsidR="00434C19">
        <w:t xml:space="preserve"> underpinned </w:t>
      </w:r>
      <w:r w:rsidR="0013378F">
        <w:t>as wholly</w:t>
      </w:r>
      <w:r w:rsidR="00434C19">
        <w:t xml:space="preserve"> unsuccessful practises; this leads us to the question, that if Philosophy for Children</w:t>
      </w:r>
      <w:r w:rsidR="006E07C6">
        <w:t xml:space="preserve"> and</w:t>
      </w:r>
      <w:r w:rsidR="00434C19">
        <w:t xml:space="preserve"> progressive education </w:t>
      </w:r>
      <w:proofErr w:type="gramStart"/>
      <w:r w:rsidR="00434C19">
        <w:t>as a whole is</w:t>
      </w:r>
      <w:proofErr w:type="gramEnd"/>
      <w:r w:rsidR="00434C19">
        <w:t xml:space="preserve"> so beneficial for both students and teachers, why aren't more schools</w:t>
      </w:r>
      <w:r w:rsidR="006E07C6">
        <w:t xml:space="preserve"> (a</w:t>
      </w:r>
      <w:r w:rsidR="00434C19">
        <w:t>nd more classrooms</w:t>
      </w:r>
      <w:r w:rsidR="006E07C6">
        <w:t>)</w:t>
      </w:r>
      <w:r w:rsidR="00434C19">
        <w:t xml:space="preserve"> taking part in </w:t>
      </w:r>
      <w:r w:rsidR="006E07C6">
        <w:t>it</w:t>
      </w:r>
      <w:r w:rsidR="00434C19">
        <w:t xml:space="preserve">? </w:t>
      </w:r>
      <w:r w:rsidR="006E07C6">
        <w:t xml:space="preserve">Progressive education has been largely fruitless in it's efforts to ascertain itself over time, as it is seen by some for being too demanding on teachers. It was argued by David Cohen in 1993 that teachers </w:t>
      </w:r>
      <w:r w:rsidR="0013378F">
        <w:t>must</w:t>
      </w:r>
      <w:r w:rsidR="006E07C6">
        <w:t xml:space="preserve"> be more than experts in their knowledge, able to talk about various strands of their subject in an incredibly in-depth manner </w:t>
      </w:r>
      <w:r w:rsidR="0013378F">
        <w:t>to</w:t>
      </w:r>
      <w:r w:rsidR="006E07C6">
        <w:t xml:space="preserve"> "make sense of biology or literature" (</w:t>
      </w:r>
      <w:r w:rsidR="00AE732C">
        <w:t>as cited in Kohn, 2015</w:t>
      </w:r>
      <w:r w:rsidR="006E07C6">
        <w:t xml:space="preserve">) rather than just memorizing facts and figures through rote learning.  Especially given the current climate of learning in Wales, this is particularly interesting. As the Donaldson (2015) curriculum makes moves to integrate itself across the nation, it's "Four Purposes" (p.31) could </w:t>
      </w:r>
      <w:r w:rsidR="0013378F">
        <w:t>be</w:t>
      </w:r>
      <w:r w:rsidR="006E07C6">
        <w:t xml:space="preserve"> a move towards progressive education, however there have been many concerns raised by teachers at conferences, school development meetings and beyond about how this creates more pressure on teachers to be a jack-of-all-trades, rather than an expert in their own subject, which would seem to contrast with Cohen's interpretation of progressive education. Nevertheless, as Kohn and Fisher have both argued, Philosophy for Children would perhaps be an exception to this case; as students are the leaders of their own questions and the key to their own understanding of ideas, it could be argued that this pressure to be either a subject genius or a multi-faceted educator could be significantly lessened. In this case, Fisher has argued that the teacher simply provides a framework and a guide for community learning, which lets the children take the lead on their own ideas, leaving the students themselves to become the experts. </w:t>
      </w:r>
      <w:r w:rsidR="00DF43B2">
        <w:br/>
      </w:r>
      <w:r w:rsidR="00DF43B2">
        <w:tab/>
      </w:r>
      <w:r w:rsidR="0013378F">
        <w:t>Philosophy</w:t>
      </w:r>
      <w:r w:rsidR="009C1293">
        <w:t xml:space="preserve"> for Children coincides with Nuthall's theory that deep understanding and effective learning can only take place when it is explicitly about just that; the learning of the student. Nuthall argues in both "</w:t>
      </w:r>
      <w:r w:rsidR="009C1293">
        <w:rPr>
          <w:i/>
        </w:rPr>
        <w:t xml:space="preserve">The Hidden Lives of Learners" </w:t>
      </w:r>
      <w:r w:rsidR="009C1293" w:rsidRPr="009C1293">
        <w:t>(2007)</w:t>
      </w:r>
      <w:r w:rsidR="009C1293">
        <w:rPr>
          <w:i/>
        </w:rPr>
        <w:t xml:space="preserve"> </w:t>
      </w:r>
      <w:r w:rsidR="009C1293">
        <w:t>and "</w:t>
      </w:r>
      <w:r w:rsidR="009C1293">
        <w:rPr>
          <w:i/>
        </w:rPr>
        <w:t xml:space="preserve">The Cultural Myths and Realities of Classroom Teaching and Learning: A Personal Journey" </w:t>
      </w:r>
      <w:r w:rsidR="009C1293">
        <w:t xml:space="preserve">(2005) that too often, classrooms become </w:t>
      </w:r>
      <w:r w:rsidR="009C1293">
        <w:lastRenderedPageBreak/>
        <w:t xml:space="preserve">more about the teacher and the performance of teaching than what the learners understand. </w:t>
      </w:r>
      <w:r w:rsidR="00251EE0">
        <w:t>In his book "</w:t>
      </w:r>
      <w:r w:rsidR="00251EE0">
        <w:rPr>
          <w:i/>
        </w:rPr>
        <w:t xml:space="preserve">Teach Now: Becoming a Great English Teacher", </w:t>
      </w:r>
      <w:r w:rsidR="00251EE0">
        <w:t xml:space="preserve">Alex Quigley tends to agree with this, stating that there is no definitive teaching method; there is a need sometimes for collaborative learning, and a need also for traditional teacher led learning. However, the minute that this becomes more about the teaching than the learning, or the teacher rather than the students, engagement inevitably begins to falter and inevitably, so does deep understanding. This brings us back to Fisher's (2003) research on Philosophy for </w:t>
      </w:r>
      <w:r w:rsidR="0013378F">
        <w:t>Children and</w:t>
      </w:r>
      <w:r w:rsidR="00251EE0">
        <w:t xml:space="preserve"> is at the core of understanding the purpose behind this teaching and learning tool; when students feel responsible for their own learning, and are feel free to develop their own ideas, they are inherently more engaged and ultimately learn more. Nuthall and Kohn also find common ground in this issue; at the core of progressive education and collaborate learning is the intention that when students can take ownership of the construction of their own ideas, they ultimately learn more effectively. </w:t>
      </w:r>
      <w:r w:rsidR="004E4EA7">
        <w:t xml:space="preserve">However, </w:t>
      </w:r>
      <w:proofErr w:type="spellStart"/>
      <w:r w:rsidR="004E4EA7">
        <w:t>Murris</w:t>
      </w:r>
      <w:proofErr w:type="spellEnd"/>
      <w:r w:rsidR="004E4EA7">
        <w:t xml:space="preserve"> (2000) has argued that this approach can indeed be hindered by a teenager’s lack of world experience. This would suggest that a student has not developed enough experience in independent thinking to be able to fully take part in Philosophy for Children. </w:t>
      </w:r>
    </w:p>
    <w:p w:rsidR="00B60A37" w:rsidRDefault="00B60A37" w:rsidP="005300A1">
      <w:pPr>
        <w:spacing w:line="480" w:lineRule="auto"/>
      </w:pPr>
    </w:p>
    <w:p w:rsidR="00B60A37" w:rsidRDefault="00EB20B3" w:rsidP="005300A1">
      <w:pPr>
        <w:spacing w:line="480" w:lineRule="auto"/>
        <w:rPr>
          <w:u w:val="single"/>
        </w:rPr>
      </w:pPr>
      <w:r>
        <w:rPr>
          <w:u w:val="single"/>
        </w:rPr>
        <w:t>School Policy and Practise.</w:t>
      </w:r>
    </w:p>
    <w:p w:rsidR="00EB20B3" w:rsidRDefault="00EB20B3" w:rsidP="005300A1">
      <w:pPr>
        <w:spacing w:line="480" w:lineRule="auto"/>
      </w:pPr>
      <w:r>
        <w:t xml:space="preserve">At the end of the last school year, School X's English department met to review strategies for the upcoming year (appendix 1.) The plan was to cover from September 2017 to 2018, with the first objective being to "improve the quality of teaching and learning in English". The proposal for this was that staff would attend and demonstrate workshops on planning and creating resources, as well as a workshop on the engagement of pupils in lessons. There was also </w:t>
      </w:r>
      <w:r w:rsidR="0013378F">
        <w:t>referencing</w:t>
      </w:r>
      <w:r>
        <w:t xml:space="preserve"> to scrutinising and evaluating group work, as well as holding peer lesson observations. What is immediately interesting here is the link between improving teaching and learning,</w:t>
      </w:r>
      <w:r w:rsidR="00466F46">
        <w:t xml:space="preserve"> specifically looking at planning and </w:t>
      </w:r>
      <w:r w:rsidR="0013378F">
        <w:t>engagement, and</w:t>
      </w:r>
      <w:r>
        <w:t xml:space="preserve"> scrutinising group work. This suggests</w:t>
      </w:r>
      <w:r w:rsidR="00466F46">
        <w:t xml:space="preserve"> that there is a want to </w:t>
      </w:r>
      <w:r w:rsidR="0013378F">
        <w:t>focus more</w:t>
      </w:r>
      <w:r>
        <w:t xml:space="preserve"> on </w:t>
      </w:r>
      <w:r>
        <w:lastRenderedPageBreak/>
        <w:t xml:space="preserve">community learning in the classroom, </w:t>
      </w:r>
      <w:r w:rsidR="00466F46">
        <w:t xml:space="preserve">however, the development plan does not specify exactly what it means to do when looking at group work. However, there is a specification that leads them to reflect on the quality of tasks that are set, and the learning that takes place during the group work.  This could link back to Kohn's (2015) and Nuthall's (2007) papers, coinciding with an emphasis on teaching and learning pedagogy that concerns itself with the learning of its students, and not the teaching itself. Yet, as the plan is not specific, it is difficult to truly pin down the department's intentions for group work and community learning. </w:t>
      </w:r>
      <w:r w:rsidR="00466F46">
        <w:br/>
      </w:r>
      <w:r w:rsidR="00466F46">
        <w:tab/>
        <w:t xml:space="preserve">A separate objective in the development plan states that the English department have set out to sustain </w:t>
      </w:r>
      <w:r w:rsidR="00570373">
        <w:t xml:space="preserve">the levels of students achieving level 5-7 in Key Stage 3. Although the maintenance of grades </w:t>
      </w:r>
      <w:r w:rsidR="0013378F">
        <w:t>is</w:t>
      </w:r>
      <w:r w:rsidR="00570373">
        <w:t xml:space="preserve"> not a focal point of my research, it will be interesting to see if there is a significant change to marks or levels </w:t>
      </w:r>
      <w:r w:rsidR="0013378F">
        <w:t>because of</w:t>
      </w:r>
      <w:r w:rsidR="00570373">
        <w:t xml:space="preserve"> </w:t>
      </w:r>
      <w:r w:rsidR="000E47E1">
        <w:t xml:space="preserve">the </w:t>
      </w:r>
      <w:r w:rsidR="0013378F">
        <w:t>intervention, particularly</w:t>
      </w:r>
      <w:r w:rsidR="000E47E1">
        <w:t xml:space="preserve"> if they are positive. </w:t>
      </w:r>
      <w:r w:rsidR="00570373">
        <w:t xml:space="preserve">This would reflect Kohn's (2015) past research on the rise and maintenance of grades in progressive classrooms since the </w:t>
      </w:r>
      <w:r w:rsidR="0013378F">
        <w:t>1990’s and</w:t>
      </w:r>
      <w:r w:rsidR="00570373">
        <w:t xml:space="preserve"> would certainly then serve to reinforce Fisher's (2003) argument about student's engagement when taking control of their own learning. However, the result of this </w:t>
      </w:r>
      <w:r w:rsidR="000E47E1">
        <w:t xml:space="preserve">intervention </w:t>
      </w:r>
      <w:r w:rsidR="00570373">
        <w:t xml:space="preserve">will only reflect oracy levels; as a result, it is uncertain whether this intervention would have any effect on this objective at all. </w:t>
      </w:r>
      <w:r w:rsidR="00570373">
        <w:br/>
      </w:r>
      <w:r w:rsidR="00570373">
        <w:tab/>
        <w:t>There are no distinct links between my research and other objectives in the developmental plan. The second objective serves to try to bridge the gender gap between results in Key Stage 3; my research, and the research I have collected in this p</w:t>
      </w:r>
      <w:r w:rsidR="000E47E1">
        <w:t xml:space="preserve">aper, does not serve to bridge the </w:t>
      </w:r>
      <w:r w:rsidR="00570373">
        <w:t>gender gap, rather than it is to explore w</w:t>
      </w:r>
      <w:r w:rsidR="00DC5D03">
        <w:t xml:space="preserve">hether Philosophy for Children and open discussion can improve the content of group oracy work, and more importantly the confidence of the pupils. The effect of this lesson would be </w:t>
      </w:r>
      <w:r w:rsidR="0013378F">
        <w:t>investigated</w:t>
      </w:r>
      <w:r w:rsidR="00DC5D03">
        <w:t xml:space="preserve"> </w:t>
      </w:r>
      <w:r w:rsidR="0013378F">
        <w:t>class</w:t>
      </w:r>
      <w:r w:rsidR="00DC5D03">
        <w:t xml:space="preserve"> result, rather than looking at the effects on the children dependant on gender.  The two </w:t>
      </w:r>
      <w:r w:rsidR="000E47E1">
        <w:t xml:space="preserve">final </w:t>
      </w:r>
      <w:r w:rsidR="00DC5D03">
        <w:t xml:space="preserve">objectives in this plan serve to raise and maintain grades at GCSE level; it would be interesting to see if the research I have collated also pertained to GCSE and post-16 learners, and I predict that it would have the same effect, however this </w:t>
      </w:r>
      <w:r w:rsidR="0013378F">
        <w:t>intervention</w:t>
      </w:r>
      <w:r w:rsidR="00DC5D03">
        <w:t xml:space="preserve"> is aimed at </w:t>
      </w:r>
      <w:r w:rsidR="0013378F">
        <w:t>a Key Stage 3 class.</w:t>
      </w:r>
      <w:r w:rsidR="00DC5D03">
        <w:t xml:space="preserve"> </w:t>
      </w:r>
    </w:p>
    <w:p w:rsidR="00D06B8B" w:rsidRDefault="00D06B8B" w:rsidP="005300A1">
      <w:pPr>
        <w:spacing w:line="480" w:lineRule="auto"/>
        <w:rPr>
          <w:u w:val="single"/>
        </w:rPr>
      </w:pPr>
      <w:r>
        <w:rPr>
          <w:u w:val="single"/>
        </w:rPr>
        <w:lastRenderedPageBreak/>
        <w:t>Methodology and Ethics</w:t>
      </w:r>
    </w:p>
    <w:p w:rsidR="00E23A83" w:rsidRDefault="00D5347B" w:rsidP="005300A1">
      <w:pPr>
        <w:spacing w:line="480" w:lineRule="auto"/>
      </w:pPr>
      <w:r>
        <w:t>I investigated many potential research methods w</w:t>
      </w:r>
      <w:r w:rsidR="00E02F52">
        <w:t>h</w:t>
      </w:r>
      <w:r>
        <w:t xml:space="preserve">en beginning to plan my intervention; a reoccurring theme in research methodology literature is the importance of “constructing meaningful variables” (Vanderstoep &amp; Johnston, 2008, p.47) and the correct measurement of those variables, so I felt it was of vital importance to explore as many options as I could. My research </w:t>
      </w:r>
      <w:r w:rsidR="00E02F52">
        <w:t>primarily concerned itself with three different issues that commonly resulted in poor grades during oracy assessments. The first, was whether open discussion would improve the student’s confidence in the content of their work, which is closely linked to the second issue of whether</w:t>
      </w:r>
      <w:r w:rsidR="0024096F">
        <w:t xml:space="preserve"> the improvement in their confidence would result in the class’ speech becoming more</w:t>
      </w:r>
      <w:r w:rsidR="00E02F52">
        <w:t xml:space="preserve"> natural during the assessment. Students are regularly given lesser marks</w:t>
      </w:r>
      <w:r w:rsidR="00987363">
        <w:t xml:space="preserve">, according to the English Department Key Stage </w:t>
      </w:r>
      <w:proofErr w:type="gramStart"/>
      <w:r w:rsidR="00987363">
        <w:t>3 mark</w:t>
      </w:r>
      <w:proofErr w:type="gramEnd"/>
      <w:r w:rsidR="00987363">
        <w:t xml:space="preserve"> scheme, </w:t>
      </w:r>
      <w:r w:rsidR="00E02F52">
        <w:t xml:space="preserve">when it seems they are reading from a script because their speech often comes out as robotic and unnatural, meaning they cannot effectively communicate a point. Often, this is because students do not feel confident enough in their chosen topic and write themselves a detailed script or speech to follow. Following Nuthall’s research that students learn more when they </w:t>
      </w:r>
      <w:r w:rsidR="00341923">
        <w:t>can</w:t>
      </w:r>
      <w:r w:rsidR="00E02F52">
        <w:t xml:space="preserve"> take control of their own learning (2007), I felt that Philosophy for Children could combat </w:t>
      </w:r>
      <w:r w:rsidR="00987363">
        <w:t xml:space="preserve">the potential </w:t>
      </w:r>
      <w:r w:rsidR="00E02F52">
        <w:t xml:space="preserve">lack of confidence in the </w:t>
      </w:r>
      <w:r w:rsidR="00341923">
        <w:t>topic and</w:t>
      </w:r>
      <w:r w:rsidR="00E02F52">
        <w:t xml:space="preserve"> </w:t>
      </w:r>
      <w:r w:rsidR="00341923">
        <w:t xml:space="preserve">would then ultimately result in more naturalistic speech. This then lead to a third issue; would a more progressive approach to teaching, as stated in Kohl’s (2015) and Shapiro’s (2000) research, lead to an increase in marks? My theory here was that with increased confidence, the class would attain higher results. </w:t>
      </w:r>
      <w:r w:rsidR="00341923">
        <w:br/>
      </w:r>
      <w:r w:rsidR="00341923">
        <w:tab/>
        <w:t xml:space="preserve">Ultimately, following research by Cohen et al (2013) I decided that the most effective way to gather data for this intervention was through a placement, or “pre-test” that would enable me to determine the levels and abilities of the students before the intervention took place. This </w:t>
      </w:r>
      <w:r w:rsidR="000176DF">
        <w:t>research</w:t>
      </w:r>
      <w:r w:rsidR="00341923">
        <w:t xml:space="preserve"> method is designed to “measure achievement” </w:t>
      </w:r>
      <w:r w:rsidR="000176DF">
        <w:t xml:space="preserve">(p.41) </w:t>
      </w:r>
      <w:r w:rsidR="00341923">
        <w:t xml:space="preserve">by collecting </w:t>
      </w:r>
      <w:r w:rsidR="000176DF">
        <w:t xml:space="preserve">quantitative data. I felt that this would be the most effective method of gathering the information needed, coinciding with Vanderstoep &amp; Johnson’s theory that “the findings from the sample under study will more accurately reflect the overall population from which the sample was drawn” (2009, p.7). </w:t>
      </w:r>
      <w:r w:rsidR="00AA0E7C">
        <w:t xml:space="preserve">Using </w:t>
      </w:r>
      <w:r w:rsidR="00AA0E7C">
        <w:lastRenderedPageBreak/>
        <w:t xml:space="preserve">Cohen’s (2013) recommendation, I also gathered data to show how the class routinely performed better in written assessments than oracy assessments. </w:t>
      </w:r>
      <w:r w:rsidR="00FB0E46">
        <w:t xml:space="preserve">Summative assessment routinely takes place, especially at Year 9, according to School X’s policies. In this year, the pupils are required to complete a portfolio of assessments throughout the year, that lead to them being appropriately set at GCSE level. As a result, the individual speech oracy assessment and the group assessment were already a part of School X’s Key Stage 3 scheme of work.  </w:t>
      </w:r>
      <w:r w:rsidR="000176DF">
        <w:t>However, there was already a limitation in gathering th</w:t>
      </w:r>
      <w:r w:rsidR="00AA0E7C">
        <w:t xml:space="preserve">e oracy </w:t>
      </w:r>
      <w:r w:rsidR="000176DF">
        <w:t>data; I was not able to perform my own pre-test, so gathered data from the oracy assessment that they had just done the week before I took over the class. Originally, I had wanted to take the classes results from the previous year’s group assessments so that the intervention would be in line with Cohen’s (2013</w:t>
      </w:r>
      <w:r w:rsidR="0024096F">
        <w:t>, p.493</w:t>
      </w:r>
      <w:r w:rsidR="000176DF">
        <w:t xml:space="preserve">) </w:t>
      </w:r>
      <w:r w:rsidR="0024096F">
        <w:t xml:space="preserve">research that both tests must be the same level of difficulty. However, the department were not able to </w:t>
      </w:r>
      <w:r w:rsidR="00987363">
        <w:t>obtain</w:t>
      </w:r>
      <w:r w:rsidR="0024096F">
        <w:t xml:space="preserve"> these marks, and so I had to collect the levels from their individual speech assessments and compare these to the new group assessment. In this case, my research process was hindered by something Morrison (</w:t>
      </w:r>
      <w:r w:rsidR="00BB5B6D">
        <w:t>Cohen et al, 2013</w:t>
      </w:r>
      <w:r w:rsidR="0024096F">
        <w:t xml:space="preserve">, p.168) highlights, stating that “experimental procedures are prone to problems of timing.” Due to the pressure on Year 9 classes to get through their “portfolio” scheme of work to be set for Year 10 classes, there was simply no time to conduct my own pre-test, resulting in what I felt could be interpreted as a tenuous comparison of marks.  </w:t>
      </w:r>
      <w:r w:rsidR="0014201D">
        <w:br/>
        <w:t xml:space="preserve"> </w:t>
      </w:r>
      <w:r w:rsidR="0014201D">
        <w:tab/>
      </w:r>
      <w:r w:rsidR="00E65175">
        <w:t>Both Cohen (2013) and Vanderstoep &amp; Johnson (2008) agree that one important factor in implementing an intervention is timing, both the day in which the intervention takes place and the time of day. As the pre-test had taken place previously, I felt it was important to keep the variables of the assessments as close each other as possible. Therefore, my intervention took place first lesson, on a Week Two Tuesday, exactly two weeks after the individual oracy assessment took place. As stated previously, both the pre and post tests were in line with the regular Key Stage 3 scheme of work and were in line with National Curriculum standards</w:t>
      </w:r>
      <w:r w:rsidR="00D76D2C">
        <w:t>.</w:t>
      </w:r>
      <w:r w:rsidR="00200A9E">
        <w:t xml:space="preserve"> To obtain good marks, learners would have to display confidence and be consistently coherent in their arguments throughout the assessment. As a result, the data obtained from this test was quantitative and not qualitative.</w:t>
      </w:r>
      <w:r w:rsidR="00D76D2C">
        <w:t xml:space="preserve"> The </w:t>
      </w:r>
      <w:r w:rsidR="00D76D2C">
        <w:lastRenderedPageBreak/>
        <w:t>three research questions mentioned previou</w:t>
      </w:r>
      <w:r w:rsidR="00200A9E">
        <w:t xml:space="preserve">sly could all be answered by the data obtained by the post test, and by comparing the data of the post-test against the data obtained from their writing assessments. Vanderstoep &amp; Johnson (2008) have stated that quantitative data allows for “statistical validity” that can allow you to make accurate findings and assumptions from said data. Alternatively, Cohen et al (2013) do not agree with this view, stating that testing one class alone leads to non-parametric testing, meaning that it would not be accurate to make assumptions or findings based on one group of students alone. </w:t>
      </w:r>
      <w:r w:rsidR="00E568B3">
        <w:br/>
        <w:t xml:space="preserve"> </w:t>
      </w:r>
      <w:r w:rsidR="00E568B3">
        <w:tab/>
        <w:t xml:space="preserve">Ensuring that my intervention was ethical and fair to the students was of utmost importance to me as I planned out this intervention. </w:t>
      </w:r>
      <w:r w:rsidR="00206B85">
        <w:t>Especially with Philosophy for Children, I found myself coming to the difficult “ethical dilemma” that Cohen et al (2013) highlighted in their research; the “cost/benefit ratio” (p.77) between myself as a professional trying to obtain meaningful results from the intervention, and the right of the students to be able to make decisions for themselves in their lives. Due to this, I followed the British Educational Research Association’s (BERA) ethical guidelines by ensuring anonymity in my findings, redacting both the names of the students and the school in this project. The only two people who had access to the raw data of the project were myself and my class mentor, which the students were made aware of clearly before the intervention took place.</w:t>
      </w:r>
      <w:r w:rsidR="00206B85">
        <w:br/>
        <w:t xml:space="preserve"> </w:t>
      </w:r>
      <w:r w:rsidR="00206B85">
        <w:tab/>
        <w:t xml:space="preserve">As well as this, the students were made explicitly aware of the interventions, the data, and the full facts of the project before the intervention took place. This was set out clearly to them at the beginning of my intervention lesson, and students were given ample opportunity to answer questions and were given the opportunity to opt out of the project if they deemed it necessary. Diener and </w:t>
      </w:r>
      <w:r w:rsidR="00183C55">
        <w:t>C</w:t>
      </w:r>
      <w:r w:rsidR="00206B85">
        <w:t>randell highlighted the importance of “informed consent” and ethical practise stating that it is good ethical practise to let individuals “choose whether to participate in an investigation after being informed of facts that would be likely to influence their decisions” (1978, p.58).</w:t>
      </w:r>
      <w:r w:rsidR="00D36F70">
        <w:t xml:space="preserve"> Taking this into account, I explained the entire lesson, the predicted impact of the lesson, and the opportunity to “opt out” of the intervention the lesson before the intervention, giving them consent forms to read over and complete if they wanted to take part. I thought it was important to give them </w:t>
      </w:r>
      <w:r w:rsidR="00D36F70">
        <w:lastRenderedPageBreak/>
        <w:t xml:space="preserve">time to look over the consent form, and decide over a day or two whether it was something they could take part in. Thankfully, everyone in the class brought back their consent forms and were happy to take part. </w:t>
      </w:r>
      <w:r w:rsidR="00206B85">
        <w:t>It was also important that students did not feel that they were being pressured into taking part in the research (Cohen, 2013.) B</w:t>
      </w:r>
      <w:r w:rsidR="0077157F">
        <w:t xml:space="preserve">arrow </w:t>
      </w:r>
      <w:r w:rsidR="00206B85">
        <w:t xml:space="preserve">has highlighted previously how “power relations between a teacher and their pupils” (2010) can coerce students into feeling like they had to take part, and as a result it was made clear to students that there were no negative connotations to opting out of the research, and that it would not affect them in any way should they choose not to take part. </w:t>
      </w:r>
      <w:r w:rsidR="00987363">
        <w:br/>
      </w:r>
      <w:r w:rsidR="00987363">
        <w:tab/>
      </w:r>
    </w:p>
    <w:p w:rsidR="00AF5010" w:rsidRDefault="005300A1" w:rsidP="005300A1">
      <w:pPr>
        <w:spacing w:line="480" w:lineRule="auto"/>
      </w:pPr>
      <w:r>
        <w:rPr>
          <w:noProof/>
        </w:rPr>
        <w:drawing>
          <wp:anchor distT="0" distB="0" distL="114300" distR="114300" simplePos="0" relativeHeight="251653632" behindDoc="1" locked="0" layoutInCell="1" allowOverlap="1" wp14:anchorId="4E54A45A">
            <wp:simplePos x="0" y="0"/>
            <wp:positionH relativeFrom="column">
              <wp:posOffset>419100</wp:posOffset>
            </wp:positionH>
            <wp:positionV relativeFrom="paragraph">
              <wp:posOffset>3316605</wp:posOffset>
            </wp:positionV>
            <wp:extent cx="4933950" cy="2762250"/>
            <wp:effectExtent l="0" t="0" r="0" b="0"/>
            <wp:wrapTopAndBottom/>
            <wp:docPr id="1"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4C2CD1">
        <w:rPr>
          <w:u w:val="single"/>
        </w:rPr>
        <w:t>Evaluations</w:t>
      </w:r>
      <w:r w:rsidR="00DF063F">
        <w:rPr>
          <w:u w:val="single"/>
        </w:rPr>
        <w:t xml:space="preserve"> </w:t>
      </w:r>
      <w:r w:rsidR="00DF063F">
        <w:rPr>
          <w:u w:val="single"/>
        </w:rPr>
        <w:br/>
      </w:r>
      <w:r w:rsidR="00DF063F">
        <w:rPr>
          <w:u w:val="single"/>
        </w:rPr>
        <w:br/>
      </w:r>
      <w:r w:rsidR="000A107F">
        <w:t xml:space="preserve">The evaluation of the progress of the class was essential, </w:t>
      </w:r>
      <w:r w:rsidR="0061587F">
        <w:t xml:space="preserve">and so I felt that it was important to maintain the same topic throughout their as their formal letter assessment, which was Britain’s nuclear weapons provisions. This was because, firstly, I wanted to assess the class’ marks when they were at their most confident, which was when they were writing. The writing assessment entailed writing a formal letter to a newspaper regarding Theresa May’s assurance that she was willing to detonate a nuclear weapon if necessary. As figure one shows, the marks obtained by the class when they were writing their formal letter, compared to when they performed a speech on the same topic </w:t>
      </w:r>
      <w:r w:rsidR="0061587F">
        <w:lastRenderedPageBreak/>
        <w:t xml:space="preserve">were significantly higher. </w:t>
      </w:r>
      <w:r w:rsidR="003E3962">
        <w:t xml:space="preserve">I felt that this was evidence enough that the class struggled with oracy </w:t>
      </w:r>
      <w:r w:rsidR="00842071">
        <w:t xml:space="preserve">and that I could compare this to the result of the group assessment, to assess whether they had become more confident in their abilities. This acted as the “pre-test”, something that Cohen et al (2013) stressed the importance of when trying to highlight the initial abilities of the class. These individual oracy speeches were marked against the same Key Stage 3 oracy mark scheme that would then later be applied to their group oracy assessments. </w:t>
      </w:r>
      <w:r w:rsidR="00842071">
        <w:br/>
      </w:r>
      <w:r w:rsidR="00842071">
        <w:tab/>
        <w:t xml:space="preserve">When planning my Philosophy for Children lesson, I considered Lipman’s advice of implementing and introducing reasoning skills at the “beginning of their education” (1985, p.216), however I felt with this topic and research, it was important for them to be knowledgeable to begin with </w:t>
      </w:r>
      <w:r w:rsidR="00E523F4">
        <w:t>to</w:t>
      </w:r>
      <w:r w:rsidR="00842071">
        <w:t xml:space="preserve"> feel more confident in their questioning, reasoning and ultimately in the content of their oracy exams. </w:t>
      </w:r>
      <w:r w:rsidR="00E523F4">
        <w:t>However, I felt that it was in the best interest of the research to implement the intervention in the lesson following straight after their written assessment had finished. In producing stimuli for the lesson, I considered the suggestion of Lipman et al that the stimuli should be challenging and controversial to develop the “philosophical powers” of the students in the class (1</w:t>
      </w:r>
      <w:r w:rsidR="00F12BA8">
        <w:t>985, p. 220</w:t>
      </w:r>
      <w:r w:rsidR="00E523F4">
        <w:t xml:space="preserve">). They were </w:t>
      </w:r>
      <w:r w:rsidR="007846B4">
        <w:t xml:space="preserve">previously </w:t>
      </w:r>
      <w:r w:rsidR="00E523F4">
        <w:t xml:space="preserve">shown stimuli </w:t>
      </w:r>
      <w:r w:rsidR="007846B4">
        <w:t>in the classes leading up to this t</w:t>
      </w:r>
      <w:r w:rsidR="00E523F4">
        <w:t xml:space="preserve">hat encapsulated both pro-nuclear provision and anti-nuclear provision propaganda, including testimonials from survivors of the 1945 Hiroshima bombing, </w:t>
      </w:r>
      <w:r w:rsidR="007846B4">
        <w:t xml:space="preserve">statements from Conservative politicians, and information about leaders of the world who had nuclear provisions including Theresa May, Donald Trump and Kim Jong Un. In this lesson, they were given stimuli that were </w:t>
      </w:r>
      <w:r w:rsidR="00AF5010">
        <w:t>vaguer</w:t>
      </w:r>
      <w:r w:rsidR="007846B4">
        <w:t xml:space="preserve">, made up of a mixture of statements and pictures that could be linked through inference and deduction to the topic of nuclear war. </w:t>
      </w:r>
      <w:r w:rsidR="00AF5010">
        <w:t>There were problems in the beginning of the lesson that meant questioning and discussion got off to a slow start; not wanting to appear “stupid” or “uncool” in front of their peers, Nuthall’s theory of class culture began to rear its head. However, when questioning and reasoning began to prosper, the questions that they developed in response to the given stimuli were very interesting and challenging questions that included the following;</w:t>
      </w:r>
    </w:p>
    <w:p w:rsidR="00AF5010" w:rsidRDefault="00AF5010" w:rsidP="005300A1">
      <w:pPr>
        <w:pStyle w:val="ListParagraph"/>
        <w:numPr>
          <w:ilvl w:val="0"/>
          <w:numId w:val="1"/>
        </w:numPr>
        <w:spacing w:line="480" w:lineRule="auto"/>
      </w:pPr>
      <w:r>
        <w:lastRenderedPageBreak/>
        <w:t>Why are nuclear weapons or weapons of mass destruction needed in today’s political climate?</w:t>
      </w:r>
    </w:p>
    <w:p w:rsidR="00AF5010" w:rsidRDefault="00AF5010" w:rsidP="005300A1">
      <w:pPr>
        <w:pStyle w:val="ListParagraph"/>
        <w:numPr>
          <w:ilvl w:val="0"/>
          <w:numId w:val="1"/>
        </w:numPr>
        <w:spacing w:line="480" w:lineRule="auto"/>
      </w:pPr>
      <w:r>
        <w:t xml:space="preserve">Are nuclear weapons used as a deterrent to other countries or are they now used to scaremonger and control nations through fear? </w:t>
      </w:r>
    </w:p>
    <w:p w:rsidR="00AF5010" w:rsidRDefault="00AF5010" w:rsidP="005300A1">
      <w:pPr>
        <w:pStyle w:val="ListParagraph"/>
        <w:numPr>
          <w:ilvl w:val="0"/>
          <w:numId w:val="1"/>
        </w:numPr>
        <w:spacing w:line="480" w:lineRule="auto"/>
      </w:pPr>
      <w:r>
        <w:t xml:space="preserve">Is unilateral disarmament realistic in an age where </w:t>
      </w:r>
      <w:r w:rsidR="00483886">
        <w:t>world leaders seem more unpredictable?</w:t>
      </w:r>
    </w:p>
    <w:p w:rsidR="00483886" w:rsidRDefault="00483886" w:rsidP="005300A1">
      <w:pPr>
        <w:pStyle w:val="ListParagraph"/>
        <w:numPr>
          <w:ilvl w:val="0"/>
          <w:numId w:val="1"/>
        </w:numPr>
        <w:spacing w:line="480" w:lineRule="auto"/>
      </w:pPr>
      <w:r>
        <w:t>Why are the deaths of millions seen as a necessary means to an end?</w:t>
      </w:r>
    </w:p>
    <w:p w:rsidR="00483886" w:rsidRDefault="00483886" w:rsidP="005300A1">
      <w:pPr>
        <w:pStyle w:val="ListParagraph"/>
        <w:numPr>
          <w:ilvl w:val="0"/>
          <w:numId w:val="1"/>
        </w:numPr>
        <w:spacing w:line="480" w:lineRule="auto"/>
      </w:pPr>
      <w:r>
        <w:t xml:space="preserve">Why do many people believe that a nuclear war would end humanity? </w:t>
      </w:r>
    </w:p>
    <w:p w:rsidR="00051A77" w:rsidRDefault="00483886" w:rsidP="005300A1">
      <w:pPr>
        <w:spacing w:line="480" w:lineRule="auto"/>
      </w:pPr>
      <w:r>
        <w:t>According to Lipman et al, who suggest that philosophical thinking in children begins “when they begin to ask why” (19</w:t>
      </w:r>
      <w:r w:rsidR="00F12BA8">
        <w:t>85</w:t>
      </w:r>
      <w:r>
        <w:t>, p.</w:t>
      </w:r>
      <w:r w:rsidR="00F12BA8">
        <w:t>1</w:t>
      </w:r>
      <w:r>
        <w:t xml:space="preserve">35) the students in my class (albeit reservedly at first) were beginning to think philosophically from very early on in the lesson. I think, this was perhaps because they had been routinely introduced to controversial and challenging stimuli as per Lipman’s suggestion throughout the previous lessons also. The “why” questions </w:t>
      </w:r>
      <w:proofErr w:type="gramStart"/>
      <w:r>
        <w:t>opened up</w:t>
      </w:r>
      <w:proofErr w:type="gramEnd"/>
      <w:r>
        <w:t xml:space="preserve"> a dialogue in the classroom that looked at different perspectives and points of view that they had developed, coinciding with </w:t>
      </w:r>
      <w:r w:rsidR="00DE3B08">
        <w:t>Fisher’s</w:t>
      </w:r>
      <w:r>
        <w:t xml:space="preserve"> belief that philosophical thought must consider various voices of opinion (</w:t>
      </w:r>
      <w:r w:rsidR="00DE3B08">
        <w:t>2003</w:t>
      </w:r>
      <w:r>
        <w:t>.) However, it was at times hard to maintain this philosophical questioning due to the classroom culture that Nuthall (2007) references in his research; at times, certain members of the class were too concerned with the opinions of their peers and this lead</w:t>
      </w:r>
      <w:r w:rsidR="009C334C">
        <w:t xml:space="preserve"> to myself having to reinforce the rules of the committee of enquiry and the environment of the classroom. Nevertheless, once the students started to become comfortable with the environment, they engaged well with the materials and developed a well informed and meaningful philosophical discussion, coinciding with Lipman’s belief that in a classroom where Philosophy for Children is delivered effectively, children will comfortable enough to reveal an “exuberance” in responding to “issues that mattered greatly to them” (1985, p.216). This then would challenge the belief that children do not have enough experience in the outside world because of their age and maturity to be able to connect with these matters</w:t>
      </w:r>
      <w:r w:rsidR="00112BDA">
        <w:t xml:space="preserve"> (</w:t>
      </w:r>
      <w:proofErr w:type="spellStart"/>
      <w:r w:rsidR="00112BDA">
        <w:t>Murris</w:t>
      </w:r>
      <w:proofErr w:type="spellEnd"/>
      <w:r w:rsidR="002C4379">
        <w:t>, 200</w:t>
      </w:r>
      <w:r w:rsidR="00382D30">
        <w:t>0</w:t>
      </w:r>
      <w:r w:rsidR="002C4379">
        <w:t>).</w:t>
      </w:r>
      <w:r w:rsidR="002C4379">
        <w:br/>
      </w:r>
      <w:r w:rsidR="009856C8">
        <w:t xml:space="preserve"> </w:t>
      </w:r>
      <w:r w:rsidR="009856C8">
        <w:tab/>
        <w:t xml:space="preserve">In the next </w:t>
      </w:r>
      <w:r w:rsidR="008B2E52">
        <w:t>lesson</w:t>
      </w:r>
      <w:r w:rsidR="009856C8">
        <w:t xml:space="preserve">, students were split into groups of no more than 5, </w:t>
      </w:r>
      <w:r w:rsidR="008B2E52">
        <w:t xml:space="preserve">where they were able </w:t>
      </w:r>
      <w:r w:rsidR="008B2E52">
        <w:lastRenderedPageBreak/>
        <w:t xml:space="preserve">to have smaller, shorter, and more intense discussions to scaffold and “rehearse” their group discussions. The inspiration behind this was Quigley’s (2003) belief that “drilling” enhances deeper learning and confidence in a topic; although they would not write a script or have the exact same conversation in their exam, I felt it was important to use this theory of reinforcing learning to develop their coherence and confidence in the subject. In the following lesson, the first lesson of the Tuesday, they sat their group discussion assessments in controlled conditions. </w:t>
      </w:r>
      <w:r w:rsidR="00051A77">
        <w:t xml:space="preserve">The assessment was in quick succession so that students did not fall into the potential pitfalls of reinforced learning where they indeed did start to regurgitate information, rather than having more organic philosophical discussions. This would run the risk of cancelling out the effect of the intervention altogether, and while it may not affect their overall confidence in the subject, it could result in the robotic and over-rehearsed rhetoric that saw the class lose marks in oracy in the first place. </w:t>
      </w:r>
      <w:r w:rsidR="00051A77">
        <w:br/>
        <w:t xml:space="preserve"> </w:t>
      </w:r>
      <w:r w:rsidR="00051A77">
        <w:tab/>
      </w:r>
      <w:r w:rsidR="00A33287">
        <w:t>It</w:t>
      </w:r>
      <w:r w:rsidR="00051A77">
        <w:t xml:space="preserve"> was interesting to note how engaged the STF pupils and lower attaining pupils in the class were during this lesson. </w:t>
      </w:r>
      <w:r w:rsidR="00A33287">
        <w:t>These students seemed much more interested in the topic, were much more willing to offer their opinions and were very open in terms of questioning and reasoning, more so than they had been in other subjects. Trick</w:t>
      </w:r>
      <w:r w:rsidR="008E69CA">
        <w:t>e</w:t>
      </w:r>
      <w:r w:rsidR="00A33287">
        <w:t xml:space="preserve">y and Topping’s 2007 study suggested that, in a study of children taking part in Philosophy for Children, it was the students that were attaining in the lower percentile of the class that benefitted most from the community of enquiry and collaborative learning. It could be argued that this coincides with Fisher’s belief that when children take control over their own learning and questioning, they not only become more engaged but in turn obtain a deeper understanding of the topic in question (2003). Fisher has also argued that this can be attributed to the non-judgemental atmosphere in a Philosophy for Children lesson, in which the lower attaining pupils do not feel the judgement of others as harshly than in a traditional teacher setting, and this certainly seemed to be reflected in this lesson. </w:t>
      </w:r>
      <w:r w:rsidR="00905964">
        <w:t>It could be suggested, then, that this coincides</w:t>
      </w:r>
      <w:r w:rsidR="00A33287">
        <w:t xml:space="preserve"> with Hattie’s belief that co-operative learning does have a much deeper impact on students than individualised learning. </w:t>
      </w:r>
      <w:r w:rsidR="00534331">
        <w:br/>
      </w:r>
      <w:r w:rsidR="00A33287">
        <w:t xml:space="preserve"> </w:t>
      </w:r>
      <w:r w:rsidR="00DF063F">
        <w:br/>
      </w:r>
      <w:r w:rsidR="00051A77">
        <w:rPr>
          <w:u w:val="single"/>
        </w:rPr>
        <w:lastRenderedPageBreak/>
        <w:t>Conclusions</w:t>
      </w:r>
      <w:r w:rsidR="00E3531A">
        <w:rPr>
          <w:u w:val="single"/>
        </w:rPr>
        <w:t xml:space="preserve">  </w:t>
      </w:r>
      <w:r w:rsidR="00534331">
        <w:rPr>
          <w:u w:val="single"/>
        </w:rPr>
        <w:br/>
      </w:r>
      <w:r w:rsidR="00E3531A">
        <w:rPr>
          <w:u w:val="single"/>
        </w:rPr>
        <w:br/>
      </w:r>
      <w:r w:rsidR="00E3531A">
        <w:t>I</w:t>
      </w:r>
      <w:r w:rsidR="007427E0">
        <w:t xml:space="preserve">n conclusion, this </w:t>
      </w:r>
      <w:r w:rsidR="00085D6C">
        <w:t>intervention</w:t>
      </w:r>
      <w:r w:rsidR="007427E0">
        <w:t xml:space="preserve"> was put into place to investigate whether Philosophy for Children </w:t>
      </w:r>
      <w:r w:rsidR="00085D6C">
        <w:t xml:space="preserve">had a significant impact on the confidence of students in oracy assessments, and whether this would have an impact on the marks of the assessment in question. During the intervention, as shown in Figure 2, most of the students achieved a higher mark, and showed signs of increased confidence and coherence in their exams. Although this cannot be said for all students, and I believe that this is partly due to the difference between an individual oracy exam and a group oracy exam (where less confident speakers tended to get somewhat steamrolled by the more confident members of their groups), the intervention did seem to impact the marks positively. However, I did feel as though I was limited not only by the classroom culture of this year group (Nuthall, 2007), I felt as though I missed out on an opportunity to track the pupil’s progress as accurately as possible. Cohen et al (2013) have argued the importance of pre-testing, and the importance of measuring variables as accurately as possible, however I was unable to do this in the way I wanted, and in this </w:t>
      </w:r>
      <w:proofErr w:type="gramStart"/>
      <w:r w:rsidR="00085D6C">
        <w:t>case</w:t>
      </w:r>
      <w:proofErr w:type="gramEnd"/>
      <w:r w:rsidR="00085D6C">
        <w:t xml:space="preserve"> it could be argued that Cohen’s stress of pre-testing is not only warranted but is essential to take on board when planning an intervention. </w:t>
      </w:r>
      <w:r w:rsidR="00085D6C">
        <w:br/>
      </w:r>
      <w:r w:rsidR="00085D6C">
        <w:tab/>
        <w:t xml:space="preserve">Nevertheless, </w:t>
      </w:r>
      <w:r w:rsidR="007C20E1">
        <w:t>this</w:t>
      </w:r>
      <w:r w:rsidR="00085D6C">
        <w:t xml:space="preserve"> intervention and the findings of this intervention followed a pattern shown by previous research undertaken by Kohn (2015), Shapiro (2000), and Fisher (2003) that show a positive impact on grades following the use of Philosophy for Children and progressive learning strategie</w:t>
      </w:r>
      <w:r w:rsidR="001D2D11">
        <w:t xml:space="preserve">s. However, as this research stands alone as being designed to produce fast results, it does </w:t>
      </w:r>
      <w:r w:rsidR="00106420">
        <w:t>no</w:t>
      </w:r>
      <w:r w:rsidR="001D2D11">
        <w:t xml:space="preserve">t accurately portray the </w:t>
      </w:r>
      <w:proofErr w:type="gramStart"/>
      <w:r w:rsidR="001D2D11">
        <w:t>long term</w:t>
      </w:r>
      <w:proofErr w:type="gramEnd"/>
      <w:r w:rsidR="001D2D11">
        <w:t xml:space="preserve"> effect that Philosophy for Children may have on a class. It could be argued, as both Fisher (2003) and Kohn (2015) have done previously, that if children had long term exposure to Philosophy for Children and progressive learning strategies, we could see a larger effect on the confidence and learning of the children in our schools. </w:t>
      </w:r>
      <w:r w:rsidR="001D2D11">
        <w:br/>
        <w:t xml:space="preserve"> </w:t>
      </w:r>
      <w:r w:rsidR="001D2D11">
        <w:tab/>
        <w:t xml:space="preserve">Especially as Wales moves towards the nationwide integration of the “Successful Futures” curriculum, the class’ results could stand to argue that one of the key purposes of the curriculum </w:t>
      </w:r>
      <w:r w:rsidR="001D2D11">
        <w:lastRenderedPageBreak/>
        <w:t xml:space="preserve">(“Ethical and Moral students”, “engaging with contemporary issues”, 2015, p.29) can be met in a way that can motivate their progress, sharpen their reasoning skills and in a way that seems genuinely enjoyable and accessible for both higher and lower attaining pupils. Lipman argues that these sharpened reasoning skills and “concept formation skills” are fundamental to their latter schooling years (1985, p.216). Thus, it could be argued that an integration of Philosophy for Children into School X’s teaching could not only improve their results at Key Stage </w:t>
      </w:r>
      <w:r w:rsidR="000C1C34">
        <w:t>3 but</w:t>
      </w:r>
      <w:r w:rsidR="001D2D11">
        <w:t xml:space="preserve"> could ultimately lead </w:t>
      </w:r>
      <w:r w:rsidR="00106420">
        <w:rPr>
          <w:noProof/>
        </w:rPr>
        <w:drawing>
          <wp:anchor distT="0" distB="0" distL="114300" distR="114300" simplePos="0" relativeHeight="251642368" behindDoc="0" locked="0" layoutInCell="1" allowOverlap="1" wp14:anchorId="3F018C38">
            <wp:simplePos x="0" y="0"/>
            <wp:positionH relativeFrom="column">
              <wp:posOffset>-485775</wp:posOffset>
            </wp:positionH>
            <wp:positionV relativeFrom="paragraph">
              <wp:posOffset>2419350</wp:posOffset>
            </wp:positionV>
            <wp:extent cx="6477000" cy="3714750"/>
            <wp:effectExtent l="0" t="0" r="0" b="0"/>
            <wp:wrapTopAndBottom/>
            <wp:docPr id="2" name="Chart 2">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1D2D11">
        <w:t xml:space="preserve">to an improvement in A*-C grades at GCSE, linking in with one of the key aims of the departments’ development plan. </w:t>
      </w:r>
      <w:r w:rsidR="000933FB">
        <w:t>This would coincide with Trickey and Topping’s argument that points towards Philosophy for Children having “practical implications… for curriculum reform” (2007, p.794)</w:t>
      </w:r>
      <w:r w:rsidR="00BB0034">
        <w:t xml:space="preserve">, especially due to it’s arguably close links to the purposes of the Successful Futures curriculum. </w:t>
      </w:r>
      <w:r w:rsidR="000F209E">
        <w:t xml:space="preserve">As this curriculum moves further away from the traditionalist view of </w:t>
      </w:r>
      <w:proofErr w:type="spellStart"/>
      <w:r w:rsidR="000F209E">
        <w:t>Biesta</w:t>
      </w:r>
      <w:proofErr w:type="spellEnd"/>
      <w:r w:rsidR="000F209E">
        <w:t xml:space="preserve"> (2013) and the “expert teacher”, and more towards socio-constructivist learning experiences as demonstrated by Piaget and Nuthall (2007), it could be argued that Philosophy for Children would be an integral part of this process and an asset to this reform. However, this </w:t>
      </w:r>
      <w:r w:rsidR="00BE2744">
        <w:t xml:space="preserve">does not coincide with Cohen’s view that </w:t>
      </w:r>
      <w:r w:rsidR="004D2127">
        <w:t>to</w:t>
      </w:r>
      <w:r w:rsidR="00BE2744">
        <w:t xml:space="preserve"> develop this kind of reform, teachers must be experts in their knowledge </w:t>
      </w:r>
      <w:r w:rsidR="004D2127">
        <w:t>to</w:t>
      </w:r>
      <w:r w:rsidR="00BE2744">
        <w:t xml:space="preserve"> question, reason and </w:t>
      </w:r>
      <w:r w:rsidR="00BE2744">
        <w:lastRenderedPageBreak/>
        <w:t xml:space="preserve">analyse any given topic (1993.) </w:t>
      </w:r>
      <w:r w:rsidR="004D2127">
        <w:t xml:space="preserve">This is an interesting take, especially given the circumstances of the class and the pre-test of this assessment; my students are in no way experts on the political climate surrounding nuclear weaponry. However, they were able to reason and question without the need for expertise, which would seemingly challenge Cohen’s view. On the other hand, my students were well versed in the topic and had researched the topic very well in preparations for their written and individual oracy assessments. As a result, it cannot be determined that </w:t>
      </w:r>
      <w:r w:rsidR="00F063AB">
        <w:t>these philosophical discussions</w:t>
      </w:r>
      <w:r w:rsidR="004D2127">
        <w:t xml:space="preserve"> would have been as effective had they had no time to acquire the knowledge that they had at the time of the intervention lesson, which is arguably more than your average Key Stage 3 learner. </w:t>
      </w:r>
      <w:r w:rsidR="00F063AB">
        <w:br/>
        <w:t xml:space="preserve"> </w:t>
      </w:r>
      <w:r w:rsidR="00F063AB">
        <w:tab/>
        <w:t>I felt that positives of the intervention far outweighed the negatives, despite the limitations of my research. I do intend to implement Philosophy for Children more in my own teaching, particularly with Year 7 and 8 classes. However, I feel that the time restraints of a normal lesson and the pressure to complete certain assessments in the right amount of time means that the intervention is limited. It would be too much to put aside a considerable amount of time for Philosophy for Children, and while Kohn’s (2015) findings and my own</w:t>
      </w:r>
      <w:r w:rsidR="0054398A">
        <w:t xml:space="preserve"> </w:t>
      </w:r>
      <w:r w:rsidR="00F063AB">
        <w:t xml:space="preserve">do suggest that progressive learning strategies lead to better results, </w:t>
      </w:r>
      <w:r w:rsidR="0054398A">
        <w:t xml:space="preserve">it seems unrealistic to suggest that the classroom should be completely student led, and that there must be room sometimes for more traditionalist learning strategies. I do intend to use Philosophy for Children when starting or ending new topics, however this does mean that Philosophy for Children interventions would only take place once every few weeks. As suggested by </w:t>
      </w:r>
      <w:proofErr w:type="spellStart"/>
      <w:r w:rsidR="0054398A">
        <w:t>Plammer</w:t>
      </w:r>
      <w:proofErr w:type="spellEnd"/>
      <w:r w:rsidR="0054398A">
        <w:t xml:space="preserve">, the “concentration on pencil and paper work” (2003, p.70), even in more progressive schooling,  leaves little time to fully explore the benefits of Philosophy for Children on education as a whole. </w:t>
      </w:r>
    </w:p>
    <w:p w:rsidR="00E23A83" w:rsidRDefault="00E23A83" w:rsidP="005300A1">
      <w:pPr>
        <w:spacing w:line="480" w:lineRule="auto"/>
        <w:rPr>
          <w:u w:val="single"/>
        </w:rPr>
      </w:pPr>
      <w:r>
        <w:rPr>
          <w:u w:val="single"/>
        </w:rPr>
        <w:t>Limitations and future development.</w:t>
      </w:r>
    </w:p>
    <w:p w:rsidR="00E23A83" w:rsidRPr="00236358" w:rsidRDefault="00566C7A" w:rsidP="005300A1">
      <w:pPr>
        <w:spacing w:line="480" w:lineRule="auto"/>
      </w:pPr>
      <w:r>
        <w:t xml:space="preserve">Largely, I found that the limitations of this intervention were predicted when conducting my literature review. The research that I collated </w:t>
      </w:r>
      <w:r w:rsidR="00DF063F">
        <w:t>to</w:t>
      </w:r>
      <w:r>
        <w:t xml:space="preserve"> write this paper served as a relatively accurate </w:t>
      </w:r>
      <w:r>
        <w:lastRenderedPageBreak/>
        <w:t xml:space="preserve">portrayal of the challenges I would face with this </w:t>
      </w:r>
      <w:proofErr w:type="gramStart"/>
      <w:r>
        <w:t>particular class</w:t>
      </w:r>
      <w:proofErr w:type="gramEnd"/>
      <w:r>
        <w:t xml:space="preserve">. </w:t>
      </w:r>
      <w:r w:rsidR="00B21C45">
        <w:t xml:space="preserve">The first limitation, one that I found particularly challenging at the start of the lesson, pertained to Nuthall's (2007) and Vygotsky's (1978) theories that peer culture, above all things, wins in a classroom. It also reflected Kohn's (2015) views that, while a classroom may proclaim to be progressive, it can still be </w:t>
      </w:r>
      <w:r w:rsidR="000F209E">
        <w:t>traditional</w:t>
      </w:r>
      <w:r w:rsidR="00B21C45">
        <w:t>. Firstly, this particular classroom environment was completely new to the Year 9's. Their regular class teacher, although progressive in thinking, is qu</w:t>
      </w:r>
      <w:r w:rsidR="000D71AA">
        <w:t xml:space="preserve">ite traditionalist in pedagogy. When they were faced with a </w:t>
      </w:r>
      <w:r w:rsidR="000F209E">
        <w:t>brand-new</w:t>
      </w:r>
      <w:r w:rsidR="000D71AA">
        <w:t xml:space="preserve"> classroom layout (the circle of chairs), this was alien enough to them, and when asked to start developing their own questions, it took some guiding before they were able to confidently start questioning for themselves. Peer culture was also largely in play, here; as a class of </w:t>
      </w:r>
      <w:r w:rsidR="000F209E">
        <w:t>fourteen-year</w:t>
      </w:r>
      <w:r w:rsidR="000D71AA">
        <w:t xml:space="preserve"> olds, they are particularly </w:t>
      </w:r>
      <w:r w:rsidR="00236358">
        <w:t xml:space="preserve">sensitive to each other's thoughts and actions. </w:t>
      </w:r>
      <w:r w:rsidR="000F209E">
        <w:t>Because of</w:t>
      </w:r>
      <w:r w:rsidR="00236358">
        <w:t xml:space="preserve"> this, many of the students were quite reluctant to speak out at first. This also could have been a consequence of being a new teacher to this class, also. This lesson, as stated previously, took place in the third lesson I had them; they still did not fully trust me, and could not fully trust that I was not trying to make a fool out of them in front of their peers. Consequently, in future developments of this intervention, I would like to make two changes; I would prefer to do this again with either a much younger, or much older year group and see if there is a difference</w:t>
      </w:r>
      <w:r w:rsidR="00041E1F">
        <w:t xml:space="preserve"> in conduct</w:t>
      </w:r>
      <w:r w:rsidR="00236358">
        <w:t xml:space="preserve">. Year 7's tend to care less about what their friends think of them in class, meaning that there could be more freeform discussion without judgement from peers. I feel the same could be said for a class of sixth formers, where there is an added level of maturity that could lead to more meaningful questioning. Year 9 is a notorious age, where the opinions of their peers mean most, and I feel that </w:t>
      </w:r>
      <w:r w:rsidR="000F209E">
        <w:t>because of</w:t>
      </w:r>
      <w:r w:rsidR="00236358">
        <w:t xml:space="preserve"> this, Nuthall's findings from </w:t>
      </w:r>
      <w:r w:rsidR="00236358">
        <w:rPr>
          <w:i/>
        </w:rPr>
        <w:t xml:space="preserve">The Hidden Lives of Learners </w:t>
      </w:r>
      <w:r w:rsidR="00236358">
        <w:t xml:space="preserve">(2007) mostly hindered the intervention. I would also, in future, not have the intervention take place so soon. Both </w:t>
      </w:r>
      <w:r w:rsidR="00236358">
        <w:rPr>
          <w:i/>
        </w:rPr>
        <w:t>Teach Now: Becoming a Great English Teacher (2014</w:t>
      </w:r>
      <w:r w:rsidR="00236358">
        <w:t xml:space="preserve"> by Alex Quigley</w:t>
      </w:r>
      <w:r w:rsidR="00236358">
        <w:rPr>
          <w:i/>
        </w:rPr>
        <w:t xml:space="preserve">, </w:t>
      </w:r>
      <w:proofErr w:type="gramStart"/>
      <w:r w:rsidR="00236358">
        <w:t>and also</w:t>
      </w:r>
      <w:proofErr w:type="gramEnd"/>
      <w:r w:rsidR="00236358" w:rsidRPr="00236358">
        <w:rPr>
          <w:i/>
        </w:rPr>
        <w:t xml:space="preserve"> </w:t>
      </w:r>
      <w:r w:rsidR="00236358">
        <w:rPr>
          <w:i/>
        </w:rPr>
        <w:t xml:space="preserve">The Cultural Myths and Realities of Classroom Teaching and Learning: A Personal Journey" </w:t>
      </w:r>
      <w:r w:rsidR="00236358">
        <w:t xml:space="preserve">(2005), reflect on how some of their most effective lessons have been solely down to the relationship and the trust the students have with their teacher. Reflecting on this after having taught them for some time, this intervention would have been more successful had I </w:t>
      </w:r>
      <w:r w:rsidR="00236358">
        <w:lastRenderedPageBreak/>
        <w:t>done this later in the scheme of work, when I was able to get to know the students better, and the students would have had more confidence in me as a teacher.</w:t>
      </w:r>
      <w:r w:rsidR="00236358">
        <w:br/>
      </w:r>
      <w:r w:rsidR="00236358">
        <w:tab/>
        <w:t xml:space="preserve">This </w:t>
      </w:r>
      <w:r w:rsidR="00041E1F">
        <w:t xml:space="preserve">link to Nuthall (2005) and Quigley's (2013) notion of "trust" in a teacher came into focus in a way that I had not expected. This </w:t>
      </w:r>
      <w:r w:rsidR="000F209E">
        <w:t>class</w:t>
      </w:r>
      <w:r w:rsidR="00041E1F">
        <w:t xml:space="preserve"> </w:t>
      </w:r>
      <w:proofErr w:type="gramStart"/>
      <w:r w:rsidR="00041E1F">
        <w:t>were well aware that</w:t>
      </w:r>
      <w:proofErr w:type="gramEnd"/>
      <w:r w:rsidR="00041E1F">
        <w:t xml:space="preserve"> I was not a qualified teacher, I was a student teacher; the class had experienced both student teachers that were confident in their abilities, and student teachers that were not so confident, in their three years at School X. As a result of not knowing them well enough at this stage, the class knew that I was confident, but had not yet sussed out my overall knowledge of the subject. Having them sit in a circle the third lesson after starting with them seemed to put them on edge at first, and it was clear that this was a les</w:t>
      </w:r>
      <w:r w:rsidR="004C0250">
        <w:t xml:space="preserve">son they had maybe seen before, and it did not seem that this lesson had been done well. Upon seeing the circle of chairs, the students became immediately uneasy, as if they were going to have to sit through something that they very much did not enjoy the first time. Until they were able to come to conclusions about the situation at hand, they were reluctant to join in. In future, I would perhaps inform the students of all the rules and procedures of the lesson beforehand, so that they were fully prepared for the change in environment and then, would not come into the classroom with preconceived </w:t>
      </w:r>
      <w:r w:rsidR="007C20E1">
        <w:t>ideas about</w:t>
      </w:r>
      <w:r w:rsidR="004C0250">
        <w:t xml:space="preserve"> a lesson that had not happened yet. </w:t>
      </w:r>
      <w:r w:rsidR="004C0250">
        <w:br/>
      </w:r>
      <w:r w:rsidR="004C0250">
        <w:tab/>
        <w:t xml:space="preserve">I also found that my lack of experience was a </w:t>
      </w:r>
      <w:r w:rsidR="007C20E1">
        <w:t xml:space="preserve">limitation. I believe this had some impact on my abilities to develop a more effective pre-test, and as stated previously this is something that I will change and take into consideration upon using this intervention again. </w:t>
      </w:r>
      <w:r w:rsidR="004C0250">
        <w:t xml:space="preserve"> I will admit that I perhaps did not do as much research as I should have upon using the intervention. Upon reflection, I feel as though I was overconfident in my abilities at this early stage to conduct the intervention; having seen it take place in a classroom before and having done some reading on the format, I felt as though I had everything planned out to the best of my abilities </w:t>
      </w:r>
      <w:r w:rsidR="00732DE1">
        <w:t>but having not had too much experience in this particular area of research, I went into the lesson feeling quite anxious and slightly under prepared</w:t>
      </w:r>
      <w:r w:rsidR="004C0250">
        <w:t xml:space="preserve">. </w:t>
      </w:r>
      <w:r w:rsidR="00534331">
        <w:t xml:space="preserve">As a result, I was not able to make the variables in my pre-test as measured as possible, which could have had an impact on the results of the intervention. As it stands, the results </w:t>
      </w:r>
      <w:r w:rsidR="00534331">
        <w:lastRenderedPageBreak/>
        <w:t xml:space="preserve">of the intervention </w:t>
      </w:r>
      <w:proofErr w:type="gramStart"/>
      <w:r w:rsidR="00534331">
        <w:t>does</w:t>
      </w:r>
      <w:proofErr w:type="gramEnd"/>
      <w:r w:rsidR="00534331">
        <w:t xml:space="preserve"> show a positive impact, however, at this stage it is impossible to know if a more dramatic impact could have been made on the results of the class had my pre-test been measured in the same way as my </w:t>
      </w:r>
      <w:proofErr w:type="spellStart"/>
      <w:r w:rsidR="00534331">
        <w:t>post test</w:t>
      </w:r>
      <w:proofErr w:type="spellEnd"/>
      <w:r w:rsidR="00534331">
        <w:t xml:space="preserve">. </w:t>
      </w:r>
      <w:r w:rsidR="004C0250">
        <w:t xml:space="preserve">In future, I would like to take what I have learnt in my research for this paper and </w:t>
      </w:r>
      <w:r w:rsidR="00732DE1">
        <w:t xml:space="preserve">further </w:t>
      </w:r>
      <w:r w:rsidR="004C0250">
        <w:t xml:space="preserve">apply it to future planning of Philosophy for Children lessons. Although the intervention certainly worked, I feel as though a greater impact could have been made if the overall lesson was more informed. </w:t>
      </w:r>
    </w:p>
    <w:p w:rsidR="00B60A37" w:rsidRDefault="00B60A37"/>
    <w:p w:rsidR="00B60A37" w:rsidRDefault="00B60A37"/>
    <w:p w:rsidR="00E362B3" w:rsidRDefault="00E362B3"/>
    <w:p w:rsidR="00E362B3" w:rsidRDefault="00E362B3"/>
    <w:p w:rsidR="00E362B3" w:rsidRDefault="00E362B3"/>
    <w:p w:rsidR="00E362B3" w:rsidRDefault="00E362B3"/>
    <w:p w:rsidR="00E362B3" w:rsidRDefault="00E362B3"/>
    <w:p w:rsidR="00C51A2E" w:rsidRDefault="00C51A2E"/>
    <w:p w:rsidR="00C51A2E" w:rsidRDefault="00C51A2E"/>
    <w:p w:rsidR="00C51A2E" w:rsidRDefault="00C51A2E"/>
    <w:p w:rsidR="00C51A2E" w:rsidRDefault="00C51A2E"/>
    <w:p w:rsidR="00C51A2E" w:rsidRDefault="00C51A2E"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5300A1" w:rsidRDefault="005300A1" w:rsidP="005300A1">
      <w:pPr>
        <w:jc w:val="right"/>
      </w:pPr>
    </w:p>
    <w:p w:rsidR="00E362B3" w:rsidRDefault="00E362B3"/>
    <w:p w:rsidR="00B60A37" w:rsidRDefault="00B60A37">
      <w:pPr>
        <w:rPr>
          <w:u w:val="single"/>
        </w:rPr>
      </w:pPr>
      <w:r>
        <w:rPr>
          <w:u w:val="single"/>
        </w:rPr>
        <w:t>References</w:t>
      </w:r>
    </w:p>
    <w:p w:rsidR="00106420" w:rsidRPr="00323568" w:rsidRDefault="00106420" w:rsidP="005300A1">
      <w:pPr>
        <w:spacing w:after="0" w:line="240" w:lineRule="auto"/>
        <w:ind w:hanging="720"/>
      </w:pPr>
      <w:r>
        <w:t xml:space="preserve">A, Kohn., (2015) </w:t>
      </w:r>
      <w:r>
        <w:rPr>
          <w:i/>
        </w:rPr>
        <w:t xml:space="preserve">Progressive Education: Why it's Hard </w:t>
      </w:r>
      <w:proofErr w:type="gramStart"/>
      <w:r>
        <w:rPr>
          <w:i/>
        </w:rPr>
        <w:t>To</w:t>
      </w:r>
      <w:proofErr w:type="gramEnd"/>
      <w:r>
        <w:rPr>
          <w:i/>
        </w:rPr>
        <w:t xml:space="preserve"> Beat, But Also Hard To Find, </w:t>
      </w:r>
      <w:r>
        <w:t xml:space="preserve">[Online]. Available at : </w:t>
      </w:r>
      <w:hyperlink r:id="rId9" w:history="1">
        <w:r w:rsidRPr="00323568">
          <w:rPr>
            <w:rStyle w:val="Hyperlink"/>
          </w:rPr>
          <w:t>https://educate.bankstreet.edu/cgi/viewcontent.cgi?article=1001&amp;context=progressive</w:t>
        </w:r>
      </w:hyperlink>
      <w:r>
        <w:t xml:space="preserve"> (Accessed 04/05/2018).</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r>
        <w:rPr>
          <w:rFonts w:eastAsia="Times New Roman" w:cs="Times New Roman"/>
          <w:lang w:eastAsia="en-GB"/>
        </w:rPr>
        <w:t xml:space="preserve">Barrow, W (2010)., Dialogic, participation and the potential for Philosophy for Children, </w:t>
      </w:r>
      <w:r>
        <w:rPr>
          <w:rFonts w:eastAsia="Times New Roman" w:cs="Times New Roman"/>
          <w:i/>
          <w:lang w:eastAsia="en-GB"/>
        </w:rPr>
        <w:t xml:space="preserve">Thinking Skills and Creativity, </w:t>
      </w:r>
      <w:r>
        <w:rPr>
          <w:rFonts w:eastAsia="Times New Roman" w:cs="Times New Roman"/>
          <w:lang w:eastAsia="en-GB"/>
        </w:rPr>
        <w:t>Issue 5, pp. 61-69.</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proofErr w:type="spellStart"/>
      <w:r>
        <w:rPr>
          <w:rFonts w:eastAsia="Times New Roman" w:cs="Times New Roman"/>
          <w:lang w:eastAsia="en-GB"/>
        </w:rPr>
        <w:t>Biesta</w:t>
      </w:r>
      <w:proofErr w:type="spellEnd"/>
      <w:r>
        <w:rPr>
          <w:rFonts w:eastAsia="Times New Roman" w:cs="Times New Roman"/>
          <w:lang w:eastAsia="en-GB"/>
        </w:rPr>
        <w:t xml:space="preserve">, G (2013)., “Teaching”, in: </w:t>
      </w:r>
      <w:r>
        <w:rPr>
          <w:rFonts w:eastAsia="Times New Roman" w:cs="Times New Roman"/>
          <w:i/>
          <w:lang w:eastAsia="en-GB"/>
        </w:rPr>
        <w:t xml:space="preserve">The beautiful risk of education, </w:t>
      </w:r>
      <w:r>
        <w:rPr>
          <w:rFonts w:eastAsia="Times New Roman" w:cs="Times New Roman"/>
          <w:lang w:eastAsia="en-GB"/>
        </w:rPr>
        <w:t>Boulder, Paradigm Publishers, pp. 43-58.</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r>
        <w:rPr>
          <w:rFonts w:eastAsia="Times New Roman" w:cs="Times New Roman"/>
          <w:lang w:eastAsia="en-GB"/>
        </w:rPr>
        <w:t xml:space="preserve">British Educational Research Associations, (2011) </w:t>
      </w:r>
      <w:r>
        <w:rPr>
          <w:rFonts w:eastAsia="Times New Roman" w:cs="Times New Roman"/>
          <w:i/>
          <w:lang w:eastAsia="en-GB"/>
        </w:rPr>
        <w:t>Ethical Guidelines for Educational Research</w:t>
      </w:r>
      <w:r>
        <w:rPr>
          <w:rFonts w:eastAsia="Times New Roman" w:cs="Times New Roman"/>
          <w:lang w:eastAsia="en-GB"/>
        </w:rPr>
        <w:t xml:space="preserve">. London, British Educational Research Associations. </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u w:val="single"/>
        </w:rPr>
      </w:pPr>
      <w:r>
        <w:rPr>
          <w:rFonts w:eastAsia="Times New Roman" w:cs="Times New Roman"/>
          <w:lang w:eastAsia="en-GB"/>
        </w:rPr>
        <w:t xml:space="preserve">Cohen, L., Manion, L., Morrison, K., (2013) </w:t>
      </w:r>
      <w:r>
        <w:rPr>
          <w:rFonts w:eastAsia="Times New Roman" w:cs="Times New Roman"/>
          <w:i/>
          <w:lang w:eastAsia="en-GB"/>
        </w:rPr>
        <w:t xml:space="preserve">Research Methods in Education, </w:t>
      </w:r>
      <w:r>
        <w:rPr>
          <w:rFonts w:eastAsia="Times New Roman" w:cs="Times New Roman"/>
          <w:lang w:eastAsia="en-GB"/>
        </w:rPr>
        <w:t>7</w:t>
      </w:r>
      <w:r w:rsidRPr="00536169">
        <w:rPr>
          <w:rFonts w:eastAsia="Times New Roman" w:cs="Times New Roman"/>
          <w:vertAlign w:val="superscript"/>
          <w:lang w:eastAsia="en-GB"/>
        </w:rPr>
        <w:t>th</w:t>
      </w:r>
      <w:r>
        <w:rPr>
          <w:rFonts w:eastAsia="Times New Roman" w:cs="Times New Roman"/>
          <w:lang w:eastAsia="en-GB"/>
        </w:rPr>
        <w:t xml:space="preserve"> edition, New York, Routledge. </w:t>
      </w:r>
    </w:p>
    <w:p w:rsidR="00106420" w:rsidRPr="0077157F"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r>
        <w:rPr>
          <w:rFonts w:eastAsia="Times New Roman" w:cs="Times New Roman"/>
          <w:lang w:eastAsia="en-GB"/>
        </w:rPr>
        <w:t xml:space="preserve">Diener, E &amp; Crandell, R (1978) </w:t>
      </w:r>
      <w:r>
        <w:rPr>
          <w:rFonts w:eastAsia="Times New Roman" w:cs="Times New Roman"/>
          <w:i/>
          <w:lang w:eastAsia="en-GB"/>
        </w:rPr>
        <w:t xml:space="preserve">Ethics in Social and Behavioural Research. </w:t>
      </w:r>
      <w:r>
        <w:rPr>
          <w:rFonts w:eastAsia="Times New Roman" w:cs="Times New Roman"/>
          <w:lang w:eastAsia="en-GB"/>
        </w:rPr>
        <w:t xml:space="preserve">Chicago, University of Chicago Press. </w:t>
      </w:r>
    </w:p>
    <w:p w:rsidR="00106420" w:rsidRDefault="00106420" w:rsidP="005300A1">
      <w:pPr>
        <w:spacing w:after="0" w:line="240" w:lineRule="auto"/>
        <w:ind w:hanging="720"/>
        <w:rPr>
          <w:rFonts w:eastAsia="Times New Roman" w:cs="Times New Roman"/>
          <w:lang w:eastAsia="en-GB"/>
        </w:rPr>
      </w:pPr>
      <w:r>
        <w:rPr>
          <w:rFonts w:eastAsia="Times New Roman" w:cs="Times New Roman"/>
          <w:lang w:eastAsia="en-GB"/>
        </w:rPr>
        <w:br/>
      </w:r>
      <w:r>
        <w:rPr>
          <w:rFonts w:eastAsia="Times New Roman" w:cs="Times New Roman"/>
          <w:lang w:eastAsia="en-GB"/>
        </w:rPr>
        <w:t xml:space="preserve">Donaldson, M (1978), </w:t>
      </w:r>
      <w:r>
        <w:rPr>
          <w:rFonts w:eastAsia="Times New Roman" w:cs="Times New Roman"/>
          <w:i/>
          <w:lang w:eastAsia="en-GB"/>
        </w:rPr>
        <w:t xml:space="preserve">Children's Minds, </w:t>
      </w:r>
      <w:r>
        <w:rPr>
          <w:rFonts w:eastAsia="Times New Roman" w:cs="Times New Roman"/>
          <w:lang w:eastAsia="en-GB"/>
        </w:rPr>
        <w:t>London, Fontana.</w:t>
      </w:r>
    </w:p>
    <w:p w:rsidR="00106420" w:rsidRDefault="00106420" w:rsidP="005300A1">
      <w:pPr>
        <w:spacing w:after="0" w:line="240" w:lineRule="auto"/>
        <w:ind w:hanging="720"/>
        <w:rPr>
          <w:rFonts w:eastAsia="Times New Roman" w:cs="Times New Roman"/>
          <w:lang w:eastAsia="en-GB"/>
        </w:rPr>
      </w:pPr>
    </w:p>
    <w:p w:rsidR="00106420" w:rsidRDefault="00106420" w:rsidP="005300A1">
      <w:pPr>
        <w:ind w:hanging="720"/>
      </w:pPr>
      <w:r>
        <w:t>Fisher, R. (2003)., “</w:t>
      </w:r>
      <w:r>
        <w:rPr>
          <w:i/>
        </w:rPr>
        <w:t>Teaching Thinking: 2</w:t>
      </w:r>
      <w:r w:rsidRPr="006369CE">
        <w:rPr>
          <w:i/>
          <w:vertAlign w:val="superscript"/>
        </w:rPr>
        <w:t>nd</w:t>
      </w:r>
      <w:r>
        <w:rPr>
          <w:i/>
        </w:rPr>
        <w:t xml:space="preserve"> Edition”, </w:t>
      </w:r>
      <w:r>
        <w:t>Continuum: London.</w:t>
      </w:r>
    </w:p>
    <w:p w:rsidR="00106420" w:rsidRPr="00AE732C" w:rsidRDefault="00106420" w:rsidP="005300A1">
      <w:pPr>
        <w:spacing w:after="0" w:line="240" w:lineRule="auto"/>
        <w:ind w:hanging="720"/>
        <w:rPr>
          <w:rFonts w:eastAsia="Times New Roman" w:cs="Times New Roman"/>
          <w:i/>
          <w:lang w:eastAsia="en-GB"/>
        </w:rPr>
      </w:pPr>
      <w:r w:rsidRPr="00AE732C">
        <w:rPr>
          <w:rFonts w:eastAsia="Times New Roman" w:cs="Times New Roman"/>
          <w:lang w:eastAsia="en-GB"/>
        </w:rPr>
        <w:t>Flavell, J. H. (1979).</w:t>
      </w:r>
      <w:r>
        <w:rPr>
          <w:rFonts w:eastAsia="Times New Roman" w:cs="Times New Roman"/>
          <w:lang w:eastAsia="en-GB"/>
        </w:rPr>
        <w:t>,</w:t>
      </w:r>
      <w:r w:rsidRPr="00AE732C">
        <w:rPr>
          <w:rFonts w:eastAsia="Times New Roman" w:cs="Times New Roman"/>
          <w:lang w:eastAsia="en-GB"/>
        </w:rPr>
        <w:t xml:space="preserve"> </w:t>
      </w:r>
      <w:r>
        <w:rPr>
          <w:rFonts w:eastAsia="Times New Roman" w:cs="Times New Roman"/>
          <w:lang w:eastAsia="en-GB"/>
        </w:rPr>
        <w:t>"M</w:t>
      </w:r>
      <w:r w:rsidRPr="00AE732C">
        <w:rPr>
          <w:rFonts w:eastAsia="Times New Roman" w:cs="Times New Roman"/>
          <w:i/>
          <w:lang w:eastAsia="en-GB"/>
        </w:rPr>
        <w:t xml:space="preserve">etacognition and </w:t>
      </w:r>
      <w:r>
        <w:rPr>
          <w:rFonts w:eastAsia="Times New Roman" w:cs="Times New Roman"/>
          <w:i/>
          <w:lang w:eastAsia="en-GB"/>
        </w:rPr>
        <w:t>Cognitive M</w:t>
      </w:r>
      <w:r w:rsidRPr="00AE732C">
        <w:rPr>
          <w:rFonts w:eastAsia="Times New Roman" w:cs="Times New Roman"/>
          <w:i/>
          <w:lang w:eastAsia="en-GB"/>
        </w:rPr>
        <w:t xml:space="preserve">onitoring: </w:t>
      </w:r>
      <w:r>
        <w:rPr>
          <w:rFonts w:eastAsia="Times New Roman" w:cs="Times New Roman"/>
          <w:i/>
          <w:lang w:eastAsia="en-GB"/>
        </w:rPr>
        <w:t>A New Area of C</w:t>
      </w:r>
      <w:r w:rsidRPr="00AE732C">
        <w:rPr>
          <w:rFonts w:eastAsia="Times New Roman" w:cs="Times New Roman"/>
          <w:i/>
          <w:lang w:eastAsia="en-GB"/>
        </w:rPr>
        <w:t>ognitive-</w:t>
      </w:r>
    </w:p>
    <w:p w:rsidR="00106420" w:rsidRDefault="00106420" w:rsidP="005300A1">
      <w:pPr>
        <w:spacing w:after="0" w:line="240" w:lineRule="auto"/>
        <w:ind w:hanging="720"/>
        <w:rPr>
          <w:rFonts w:eastAsia="Times New Roman" w:cs="Times New Roman"/>
          <w:lang w:eastAsia="en-GB"/>
        </w:rPr>
      </w:pPr>
      <w:r w:rsidRPr="00AE732C">
        <w:rPr>
          <w:rFonts w:eastAsia="Times New Roman" w:cs="Times New Roman"/>
          <w:i/>
          <w:lang w:eastAsia="en-GB"/>
        </w:rPr>
        <w:t xml:space="preserve">Developmental </w:t>
      </w:r>
      <w:r>
        <w:rPr>
          <w:rFonts w:eastAsia="Times New Roman" w:cs="Times New Roman"/>
          <w:i/>
          <w:lang w:eastAsia="en-GB"/>
        </w:rPr>
        <w:t>I</w:t>
      </w:r>
      <w:r w:rsidRPr="00AE732C">
        <w:rPr>
          <w:rFonts w:eastAsia="Times New Roman" w:cs="Times New Roman"/>
          <w:i/>
          <w:lang w:eastAsia="en-GB"/>
        </w:rPr>
        <w:t>nquiry</w:t>
      </w:r>
      <w:r w:rsidRPr="00C07C0E">
        <w:rPr>
          <w:rFonts w:eastAsia="Times New Roman" w:cs="Times New Roman"/>
          <w:i/>
          <w:lang w:eastAsia="en-GB"/>
        </w:rPr>
        <w:t>"</w:t>
      </w:r>
      <w:r w:rsidRPr="00AE732C">
        <w:rPr>
          <w:rFonts w:eastAsia="Times New Roman" w:cs="Times New Roman"/>
          <w:i/>
          <w:lang w:eastAsia="en-GB"/>
        </w:rPr>
        <w:t xml:space="preserve">. </w:t>
      </w:r>
      <w:r w:rsidRPr="00AE732C">
        <w:rPr>
          <w:rFonts w:eastAsia="Times New Roman" w:cs="Times New Roman"/>
          <w:lang w:eastAsia="en-GB"/>
        </w:rPr>
        <w:t>American Psychologist, 34</w:t>
      </w:r>
      <w:r>
        <w:rPr>
          <w:rFonts w:eastAsia="Times New Roman" w:cs="Times New Roman"/>
          <w:lang w:eastAsia="en-GB"/>
        </w:rPr>
        <w:t xml:space="preserve">: </w:t>
      </w:r>
      <w:r w:rsidRPr="00AE732C">
        <w:rPr>
          <w:rFonts w:eastAsia="Times New Roman" w:cs="Times New Roman"/>
          <w:lang w:eastAsia="en-GB"/>
        </w:rPr>
        <w:t xml:space="preserve">10, 906-911. </w:t>
      </w:r>
      <w:r w:rsidRPr="00C07C0E">
        <w:rPr>
          <w:rFonts w:eastAsia="Times New Roman" w:cs="Times New Roman"/>
          <w:lang w:eastAsia="en-GB"/>
        </w:rPr>
        <w:t xml:space="preserve">[Online] Available at: </w:t>
      </w:r>
      <w:hyperlink r:id="rId10" w:history="1">
        <w:r w:rsidRPr="00C07C0E">
          <w:rPr>
            <w:rStyle w:val="Hyperlink"/>
            <w:rFonts w:eastAsia="Times New Roman" w:cs="Times New Roman"/>
            <w:lang w:eastAsia="en-GB"/>
          </w:rPr>
          <w:t>http://jwilson.coe.uga.edu/EMAT7050/Students/Wilson/Flavell%20(1979).pdf</w:t>
        </w:r>
      </w:hyperlink>
    </w:p>
    <w:p w:rsidR="00106420" w:rsidRDefault="00106420" w:rsidP="005300A1">
      <w:pPr>
        <w:spacing w:after="0" w:line="240" w:lineRule="auto"/>
        <w:ind w:hanging="720"/>
        <w:rPr>
          <w:rFonts w:eastAsia="Times New Roman" w:cs="Times New Roman"/>
          <w:lang w:eastAsia="en-GB"/>
        </w:rPr>
      </w:pPr>
      <w:r w:rsidRPr="00C07C0E">
        <w:rPr>
          <w:rFonts w:eastAsia="Times New Roman" w:cs="Times New Roman"/>
          <w:lang w:eastAsia="en-GB"/>
        </w:rPr>
        <w:t xml:space="preserve">(Accessed: 04/05/2018.) </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r>
        <w:rPr>
          <w:rFonts w:eastAsia="Times New Roman" w:cs="Times New Roman"/>
          <w:lang w:eastAsia="en-GB"/>
        </w:rPr>
        <w:t xml:space="preserve">Lipman, M (1985)., Philosophy for Children, in A.L. Costa, ed. </w:t>
      </w:r>
      <w:r>
        <w:rPr>
          <w:rFonts w:eastAsia="Times New Roman" w:cs="Times New Roman"/>
          <w:i/>
          <w:lang w:eastAsia="en-GB"/>
        </w:rPr>
        <w:t xml:space="preserve">Developing Minds: A Resource Book for Teaching Thinking. </w:t>
      </w:r>
      <w:r>
        <w:rPr>
          <w:rFonts w:eastAsia="Times New Roman" w:cs="Times New Roman"/>
          <w:lang w:eastAsia="en-GB"/>
        </w:rPr>
        <w:t xml:space="preserve">Washington, ERIC, pp.212-216. </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r>
        <w:rPr>
          <w:rFonts w:eastAsia="Times New Roman" w:cs="Times New Roman"/>
          <w:lang w:eastAsia="en-GB"/>
        </w:rPr>
        <w:t xml:space="preserve">Liu, C &amp; Matthews, R (2005)., </w:t>
      </w:r>
      <w:r>
        <w:rPr>
          <w:rFonts w:eastAsia="Times New Roman" w:cs="Times New Roman"/>
          <w:i/>
          <w:lang w:eastAsia="en-GB"/>
        </w:rPr>
        <w:t xml:space="preserve">Vygotsky's Philosophy: Constructivism and </w:t>
      </w:r>
      <w:proofErr w:type="gramStart"/>
      <w:r>
        <w:rPr>
          <w:rFonts w:eastAsia="Times New Roman" w:cs="Times New Roman"/>
          <w:i/>
          <w:lang w:eastAsia="en-GB"/>
        </w:rPr>
        <w:t>it's</w:t>
      </w:r>
      <w:proofErr w:type="gramEnd"/>
      <w:r>
        <w:rPr>
          <w:rFonts w:eastAsia="Times New Roman" w:cs="Times New Roman"/>
          <w:i/>
          <w:lang w:eastAsia="en-GB"/>
        </w:rPr>
        <w:t xml:space="preserve"> Criticisms Explained. </w:t>
      </w:r>
      <w:r>
        <w:rPr>
          <w:rFonts w:eastAsia="Times New Roman" w:cs="Times New Roman"/>
          <w:lang w:eastAsia="en-GB"/>
        </w:rPr>
        <w:t xml:space="preserve">International Educational Journal, 6:3, 386- 399. Available at: </w:t>
      </w:r>
      <w:hyperlink r:id="rId11" w:history="1">
        <w:r w:rsidRPr="00C84E8D">
          <w:rPr>
            <w:rStyle w:val="Hyperlink"/>
            <w:rFonts w:eastAsia="Times New Roman" w:cs="Times New Roman"/>
            <w:lang w:eastAsia="en-GB"/>
          </w:rPr>
          <w:t xml:space="preserve">https://files.eric.ed.gov/fulltext/EJ854992.pdf </w:t>
        </w:r>
      </w:hyperlink>
      <w:r>
        <w:rPr>
          <w:rFonts w:eastAsia="Times New Roman" w:cs="Times New Roman"/>
          <w:lang w:eastAsia="en-GB"/>
        </w:rPr>
        <w:t xml:space="preserve"> (Accessed 04/05/2018).</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proofErr w:type="spellStart"/>
      <w:r>
        <w:rPr>
          <w:rFonts w:eastAsia="Times New Roman" w:cs="Times New Roman"/>
          <w:lang w:eastAsia="en-GB"/>
        </w:rPr>
        <w:t>Murris</w:t>
      </w:r>
      <w:proofErr w:type="spellEnd"/>
      <w:r>
        <w:rPr>
          <w:rFonts w:eastAsia="Times New Roman" w:cs="Times New Roman"/>
          <w:lang w:eastAsia="en-GB"/>
        </w:rPr>
        <w:t xml:space="preserve"> (2000)., Can Children Do Philosophy? </w:t>
      </w:r>
      <w:r>
        <w:rPr>
          <w:rFonts w:eastAsia="Times New Roman" w:cs="Times New Roman"/>
          <w:i/>
          <w:lang w:eastAsia="en-GB"/>
        </w:rPr>
        <w:t xml:space="preserve">Journal of Philosophy of Education, </w:t>
      </w:r>
      <w:r>
        <w:rPr>
          <w:rFonts w:eastAsia="Times New Roman" w:cs="Times New Roman"/>
          <w:lang w:eastAsia="en-GB"/>
        </w:rPr>
        <w:t>34:2, pp. 261- 279.</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pPr>
      <w:r>
        <w:rPr>
          <w:rFonts w:eastAsia="Times New Roman" w:cs="Times New Roman"/>
          <w:lang w:eastAsia="en-GB"/>
        </w:rPr>
        <w:t>Nuthall, G (2005</w:t>
      </w:r>
      <w:proofErr w:type="gramStart"/>
      <w:r>
        <w:rPr>
          <w:rFonts w:eastAsia="Times New Roman" w:cs="Times New Roman"/>
          <w:lang w:eastAsia="en-GB"/>
        </w:rPr>
        <w:t>) .</w:t>
      </w:r>
      <w:proofErr w:type="gramEnd"/>
      <w:r>
        <w:rPr>
          <w:rFonts w:eastAsia="Times New Roman" w:cs="Times New Roman"/>
          <w:lang w:eastAsia="en-GB"/>
        </w:rPr>
        <w:t xml:space="preserve">, </w:t>
      </w:r>
      <w:r>
        <w:rPr>
          <w:rFonts w:eastAsia="Times New Roman" w:cs="Times New Roman"/>
          <w:i/>
          <w:lang w:eastAsia="en-GB"/>
        </w:rPr>
        <w:t xml:space="preserve"> </w:t>
      </w:r>
      <w:r>
        <w:rPr>
          <w:i/>
        </w:rPr>
        <w:t xml:space="preserve">The Cultural Myths and Realities of Classroom Teaching and Learning: A Personal Journey. </w:t>
      </w:r>
      <w:r>
        <w:t>Teacher's College Record, 107: 5, p.895- 934.</w:t>
      </w:r>
    </w:p>
    <w:p w:rsidR="00106420" w:rsidRDefault="00106420" w:rsidP="005300A1">
      <w:pPr>
        <w:spacing w:after="0" w:line="240" w:lineRule="auto"/>
        <w:ind w:hanging="720"/>
      </w:pPr>
    </w:p>
    <w:p w:rsidR="00106420" w:rsidRDefault="00106420" w:rsidP="005300A1">
      <w:pPr>
        <w:spacing w:after="0" w:line="240" w:lineRule="auto"/>
        <w:ind w:hanging="720"/>
        <w:rPr>
          <w:rFonts w:eastAsia="Times New Roman" w:cs="Times New Roman"/>
          <w:lang w:eastAsia="en-GB"/>
        </w:rPr>
      </w:pPr>
      <w:r>
        <w:rPr>
          <w:rFonts w:eastAsia="Times New Roman" w:cs="Times New Roman"/>
          <w:lang w:eastAsia="en-GB"/>
        </w:rPr>
        <w:t xml:space="preserve">Nuthall, G (2007)., </w:t>
      </w:r>
      <w:r>
        <w:rPr>
          <w:rFonts w:eastAsia="Times New Roman" w:cs="Times New Roman"/>
          <w:i/>
          <w:lang w:eastAsia="en-GB"/>
        </w:rPr>
        <w:t xml:space="preserve">The Hidden Lives of Learners, </w:t>
      </w:r>
      <w:r>
        <w:rPr>
          <w:rFonts w:eastAsia="Times New Roman" w:cs="Times New Roman"/>
          <w:lang w:eastAsia="en-GB"/>
        </w:rPr>
        <w:t xml:space="preserve">NZCER Press: Wellington. </w:t>
      </w:r>
    </w:p>
    <w:p w:rsidR="00106420" w:rsidRDefault="00106420" w:rsidP="005300A1">
      <w:pPr>
        <w:spacing w:after="0" w:line="240" w:lineRule="auto"/>
        <w:ind w:hanging="720"/>
        <w:rPr>
          <w:rFonts w:eastAsia="Times New Roman" w:cs="Times New Roman"/>
          <w:lang w:eastAsia="en-GB"/>
        </w:rPr>
      </w:pPr>
    </w:p>
    <w:p w:rsidR="00106420" w:rsidRPr="00A237BA" w:rsidRDefault="00106420" w:rsidP="005300A1">
      <w:pPr>
        <w:spacing w:after="0" w:line="240" w:lineRule="auto"/>
        <w:ind w:hanging="720"/>
        <w:rPr>
          <w:rFonts w:eastAsia="Times New Roman" w:cs="Times New Roman"/>
          <w:lang w:eastAsia="en-GB"/>
        </w:rPr>
      </w:pPr>
      <w:proofErr w:type="spellStart"/>
      <w:r>
        <w:rPr>
          <w:rFonts w:eastAsia="Times New Roman" w:cs="Times New Roman"/>
          <w:lang w:eastAsia="en-GB"/>
        </w:rPr>
        <w:t>Plammer</w:t>
      </w:r>
      <w:proofErr w:type="spellEnd"/>
      <w:r>
        <w:rPr>
          <w:rFonts w:eastAsia="Times New Roman" w:cs="Times New Roman"/>
          <w:lang w:eastAsia="en-GB"/>
        </w:rPr>
        <w:t xml:space="preserve">, S (2003)., Literacy for the Future. </w:t>
      </w:r>
      <w:r>
        <w:rPr>
          <w:rFonts w:eastAsia="Times New Roman" w:cs="Times New Roman"/>
          <w:i/>
          <w:lang w:eastAsia="en-GB"/>
        </w:rPr>
        <w:t xml:space="preserve">Education Review, </w:t>
      </w:r>
      <w:r>
        <w:rPr>
          <w:rFonts w:eastAsia="Times New Roman" w:cs="Times New Roman"/>
          <w:lang w:eastAsia="en-GB"/>
        </w:rPr>
        <w:t xml:space="preserve">16:2, pp.70-74. </w:t>
      </w:r>
    </w:p>
    <w:p w:rsidR="00106420" w:rsidRDefault="00106420" w:rsidP="005300A1">
      <w:pPr>
        <w:spacing w:after="0" w:line="240" w:lineRule="auto"/>
        <w:ind w:hanging="720"/>
      </w:pPr>
    </w:p>
    <w:p w:rsidR="00106420" w:rsidRDefault="00106420" w:rsidP="005300A1">
      <w:pPr>
        <w:spacing w:after="0" w:line="240" w:lineRule="auto"/>
        <w:ind w:hanging="720"/>
      </w:pPr>
      <w:r>
        <w:t xml:space="preserve">Shapiro, D (2000)., </w:t>
      </w:r>
      <w:r>
        <w:rPr>
          <w:i/>
        </w:rPr>
        <w:t xml:space="preserve">Some Active Alternatives to Reading in Philosophy for Children, </w:t>
      </w:r>
      <w:r>
        <w:t xml:space="preserve">submitted to </w:t>
      </w:r>
      <w:proofErr w:type="gramStart"/>
      <w:r>
        <w:rPr>
          <w:i/>
        </w:rPr>
        <w:t>The</w:t>
      </w:r>
      <w:proofErr w:type="gramEnd"/>
      <w:r>
        <w:rPr>
          <w:i/>
        </w:rPr>
        <w:t xml:space="preserve"> 5th NAACI Conference, Vancouver, Canada, 2000, </w:t>
      </w:r>
      <w:r>
        <w:t>p.1-10.</w:t>
      </w:r>
    </w:p>
    <w:p w:rsidR="00106420" w:rsidRDefault="00106420" w:rsidP="005300A1">
      <w:pPr>
        <w:spacing w:after="0" w:line="240" w:lineRule="auto"/>
        <w:ind w:hanging="720"/>
      </w:pPr>
    </w:p>
    <w:p w:rsidR="00106420" w:rsidRPr="00323568" w:rsidRDefault="00106420" w:rsidP="005300A1">
      <w:pPr>
        <w:spacing w:after="0" w:line="240" w:lineRule="auto"/>
        <w:ind w:hanging="720"/>
        <w:rPr>
          <w:rFonts w:eastAsia="Times New Roman" w:cs="Arial"/>
          <w:lang w:eastAsia="en-GB"/>
        </w:rPr>
      </w:pPr>
      <w:r w:rsidRPr="00323568">
        <w:rPr>
          <w:rFonts w:eastAsia="Times New Roman" w:cs="Arial"/>
          <w:lang w:eastAsia="en-GB"/>
        </w:rPr>
        <w:t>Successful Futures: Independent Review of Curriculum and Assessment Arrangements</w:t>
      </w:r>
    </w:p>
    <w:p w:rsidR="00106420" w:rsidRPr="00323568" w:rsidRDefault="00106420" w:rsidP="005300A1">
      <w:pPr>
        <w:spacing w:after="0" w:line="240" w:lineRule="auto"/>
        <w:ind w:hanging="720"/>
        <w:rPr>
          <w:rFonts w:ascii="Arial" w:eastAsia="Times New Roman" w:hAnsi="Arial" w:cs="Arial"/>
          <w:sz w:val="28"/>
          <w:szCs w:val="28"/>
          <w:lang w:eastAsia="en-GB"/>
        </w:rPr>
      </w:pPr>
      <w:r w:rsidRPr="00323568">
        <w:rPr>
          <w:rFonts w:eastAsia="Times New Roman" w:cs="Arial"/>
          <w:lang w:eastAsia="en-GB"/>
        </w:rPr>
        <w:t>in Wales</w:t>
      </w:r>
      <w:r>
        <w:rPr>
          <w:rFonts w:eastAsia="Times New Roman" w:cs="Arial"/>
          <w:lang w:eastAsia="en-GB"/>
        </w:rPr>
        <w:t xml:space="preserve">, </w:t>
      </w:r>
      <w:r w:rsidRPr="00323568">
        <w:rPr>
          <w:rFonts w:eastAsia="Times New Roman" w:cs="Arial"/>
          <w:lang w:eastAsia="en-GB"/>
        </w:rPr>
        <w:t>Welsh Government February 2015</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proofErr w:type="spellStart"/>
      <w:r>
        <w:rPr>
          <w:rFonts w:eastAsia="Times New Roman" w:cs="Times New Roman"/>
          <w:lang w:eastAsia="en-GB"/>
        </w:rPr>
        <w:lastRenderedPageBreak/>
        <w:t>Trickey</w:t>
      </w:r>
      <w:proofErr w:type="spellEnd"/>
      <w:r>
        <w:rPr>
          <w:rFonts w:eastAsia="Times New Roman" w:cs="Times New Roman"/>
          <w:lang w:eastAsia="en-GB"/>
        </w:rPr>
        <w:t xml:space="preserve">, S., &amp; Topping, K (2007)., Collaborative philosophical inquiry for schoolchildren: Cognitive gains at 2-year follow up. </w:t>
      </w:r>
      <w:r>
        <w:rPr>
          <w:rFonts w:eastAsia="Times New Roman" w:cs="Times New Roman"/>
          <w:i/>
          <w:lang w:eastAsia="en-GB"/>
        </w:rPr>
        <w:t xml:space="preserve">British Journal of Educational Psychology, </w:t>
      </w:r>
      <w:r>
        <w:rPr>
          <w:rFonts w:eastAsia="Times New Roman" w:cs="Times New Roman"/>
          <w:lang w:eastAsia="en-GB"/>
        </w:rPr>
        <w:t>Vol.77, pp.787-796.</w:t>
      </w:r>
    </w:p>
    <w:p w:rsidR="00106420" w:rsidRDefault="00106420" w:rsidP="005300A1">
      <w:pPr>
        <w:spacing w:after="0" w:line="240" w:lineRule="auto"/>
        <w:ind w:hanging="720"/>
      </w:pPr>
    </w:p>
    <w:p w:rsidR="00106420" w:rsidRDefault="00106420" w:rsidP="005300A1">
      <w:pPr>
        <w:spacing w:after="0" w:line="240" w:lineRule="auto"/>
        <w:ind w:hanging="720"/>
        <w:rPr>
          <w:rFonts w:eastAsia="Times New Roman" w:cs="Times New Roman"/>
          <w:lang w:eastAsia="en-GB"/>
        </w:rPr>
      </w:pPr>
      <w:proofErr w:type="spellStart"/>
      <w:r>
        <w:rPr>
          <w:rFonts w:eastAsia="Times New Roman" w:cs="Times New Roman"/>
          <w:lang w:eastAsia="en-GB"/>
        </w:rPr>
        <w:t>Vanderstoep</w:t>
      </w:r>
      <w:proofErr w:type="spellEnd"/>
      <w:r>
        <w:rPr>
          <w:rFonts w:eastAsia="Times New Roman" w:cs="Times New Roman"/>
          <w:lang w:eastAsia="en-GB"/>
        </w:rPr>
        <w:t xml:space="preserve">, W &amp; Johnston, D (2008)., </w:t>
      </w:r>
      <w:r>
        <w:rPr>
          <w:rFonts w:eastAsia="Times New Roman" w:cs="Times New Roman"/>
          <w:i/>
          <w:lang w:eastAsia="en-GB"/>
        </w:rPr>
        <w:t xml:space="preserve">Research Methods for Everyday Life: Blending Qualitative and Quantitative Approaches. </w:t>
      </w:r>
      <w:r>
        <w:rPr>
          <w:rFonts w:eastAsia="Times New Roman" w:cs="Times New Roman"/>
          <w:lang w:eastAsia="en-GB"/>
        </w:rPr>
        <w:t xml:space="preserve">San Francisco, Jossey Bass LTD. </w:t>
      </w:r>
    </w:p>
    <w:p w:rsidR="00106420" w:rsidRDefault="00106420" w:rsidP="005300A1">
      <w:pPr>
        <w:spacing w:after="0" w:line="240" w:lineRule="auto"/>
        <w:ind w:hanging="720"/>
        <w:rPr>
          <w:rFonts w:eastAsia="Times New Roman" w:cs="Times New Roman"/>
          <w:lang w:eastAsia="en-GB"/>
        </w:rPr>
      </w:pPr>
    </w:p>
    <w:p w:rsidR="00106420" w:rsidRDefault="00106420" w:rsidP="005300A1">
      <w:pPr>
        <w:spacing w:after="0" w:line="240" w:lineRule="auto"/>
        <w:ind w:hanging="720"/>
        <w:rPr>
          <w:rFonts w:eastAsia="Times New Roman" w:cs="Times New Roman"/>
          <w:lang w:eastAsia="en-GB"/>
        </w:rPr>
      </w:pPr>
      <w:r>
        <w:rPr>
          <w:rFonts w:eastAsia="Times New Roman" w:cs="Times New Roman"/>
          <w:lang w:eastAsia="en-GB"/>
        </w:rPr>
        <w:t xml:space="preserve">Vygotsky, L.S. (1978) </w:t>
      </w:r>
      <w:r>
        <w:rPr>
          <w:rFonts w:eastAsia="Times New Roman" w:cs="Times New Roman"/>
          <w:i/>
          <w:lang w:eastAsia="en-GB"/>
        </w:rPr>
        <w:t xml:space="preserve">Mind in Society, </w:t>
      </w:r>
      <w:r>
        <w:rPr>
          <w:rFonts w:eastAsia="Times New Roman" w:cs="Times New Roman"/>
          <w:lang w:eastAsia="en-GB"/>
        </w:rPr>
        <w:t>Cambridge, Mass., Harvard University Press.</w:t>
      </w:r>
    </w:p>
    <w:p w:rsidR="00106420" w:rsidRDefault="00106420" w:rsidP="005300A1">
      <w:pPr>
        <w:spacing w:after="0" w:line="240" w:lineRule="auto"/>
        <w:ind w:hanging="720"/>
        <w:rPr>
          <w:rFonts w:eastAsia="Times New Roman" w:cs="Times New Roman"/>
          <w:lang w:eastAsia="en-GB"/>
        </w:rPr>
      </w:pPr>
    </w:p>
    <w:p w:rsidR="00106420" w:rsidRDefault="00106420" w:rsidP="005300A1">
      <w:pPr>
        <w:ind w:hanging="720"/>
      </w:pPr>
      <w:r>
        <w:t xml:space="preserve">Welsh Assembly Government (2013), </w:t>
      </w:r>
      <w:r>
        <w:rPr>
          <w:i/>
        </w:rPr>
        <w:t xml:space="preserve">National Literacy and Numeracy Framework, </w:t>
      </w:r>
      <w:r>
        <w:t xml:space="preserve">Cardiff, Welsh Assembly Government. [Online]. Available at: </w:t>
      </w:r>
      <w:hyperlink r:id="rId12" w:history="1">
        <w:r w:rsidRPr="00E01339">
          <w:rPr>
            <w:rStyle w:val="Hyperlink"/>
          </w:rPr>
          <w:t>http://learning.gov.wales/docs/learningwales/publications/130415-lnf-guidance-en.pdf</w:t>
        </w:r>
      </w:hyperlink>
      <w:r>
        <w:t xml:space="preserve"> (Accessed: 12 April, 2018.)</w:t>
      </w:r>
    </w:p>
    <w:p w:rsidR="00B60A37" w:rsidRDefault="00B60A37" w:rsidP="005300A1">
      <w:pPr>
        <w:ind w:hanging="720"/>
      </w:pPr>
      <w:proofErr w:type="spellStart"/>
      <w:r>
        <w:t>Wightwick</w:t>
      </w:r>
      <w:proofErr w:type="spellEnd"/>
      <w:r>
        <w:t>, A.</w:t>
      </w:r>
      <w:r w:rsidR="006369CE">
        <w:t xml:space="preserve"> </w:t>
      </w:r>
      <w:r>
        <w:t>(2018).</w:t>
      </w:r>
      <w:r w:rsidR="006369CE">
        <w:t>,</w:t>
      </w:r>
      <w:r>
        <w:t xml:space="preserve"> “</w:t>
      </w:r>
      <w:r>
        <w:rPr>
          <w:i/>
        </w:rPr>
        <w:t xml:space="preserve">Wales school colour codes 2018: These are the schools ranked green.” </w:t>
      </w:r>
      <w:r>
        <w:t xml:space="preserve">Wales Online, 1st February. [Online]. Available at: </w:t>
      </w:r>
      <w:hyperlink r:id="rId13" w:history="1">
        <w:r w:rsidRPr="00E01339">
          <w:rPr>
            <w:rStyle w:val="Hyperlink"/>
          </w:rPr>
          <w:t>https://www.walesonline.co.uk/news/education/wales-school-colour-codes-2018-14231441</w:t>
        </w:r>
      </w:hyperlink>
      <w:r>
        <w:t xml:space="preserve"> (Accessed: 12th April, 2018.)</w:t>
      </w:r>
    </w:p>
    <w:p w:rsidR="00C07C0E" w:rsidRDefault="00C07C0E" w:rsidP="005300A1">
      <w:pPr>
        <w:spacing w:after="0" w:line="240" w:lineRule="auto"/>
        <w:ind w:hanging="720"/>
        <w:rPr>
          <w:rFonts w:eastAsia="Times New Roman" w:cs="Times New Roman"/>
          <w:lang w:eastAsia="en-GB"/>
        </w:rPr>
      </w:pPr>
    </w:p>
    <w:p w:rsidR="00961B12" w:rsidRPr="00961B12" w:rsidRDefault="00961B12" w:rsidP="005300A1">
      <w:pPr>
        <w:spacing w:after="0" w:line="240" w:lineRule="auto"/>
        <w:ind w:hanging="720"/>
        <w:rPr>
          <w:rFonts w:eastAsia="Times New Roman" w:cs="Times New Roman"/>
          <w:lang w:eastAsia="en-GB"/>
        </w:rPr>
      </w:pPr>
    </w:p>
    <w:p w:rsidR="00C517B3" w:rsidRDefault="00044EFD" w:rsidP="005300A1">
      <w:pPr>
        <w:spacing w:after="0" w:line="240" w:lineRule="auto"/>
        <w:ind w:hanging="720"/>
      </w:pPr>
      <w:r>
        <w:rPr>
          <w:rFonts w:eastAsia="Times New Roman" w:cs="Times New Roman"/>
          <w:lang w:eastAsia="en-GB"/>
        </w:rPr>
        <w:br/>
      </w:r>
    </w:p>
    <w:p w:rsidR="00C517B3" w:rsidRDefault="00C517B3" w:rsidP="005300A1">
      <w:pPr>
        <w:spacing w:after="0" w:line="240" w:lineRule="auto"/>
        <w:ind w:hanging="720"/>
      </w:pPr>
    </w:p>
    <w:p w:rsidR="00C517B3" w:rsidRDefault="00C517B3" w:rsidP="005300A1">
      <w:pPr>
        <w:spacing w:after="0" w:line="240" w:lineRule="auto"/>
        <w:ind w:hanging="720"/>
      </w:pPr>
    </w:p>
    <w:p w:rsidR="00C51A2E" w:rsidRDefault="00C51A2E" w:rsidP="005300A1">
      <w:pPr>
        <w:spacing w:after="0" w:line="240" w:lineRule="auto"/>
        <w:ind w:hanging="720"/>
        <w:rPr>
          <w:rFonts w:eastAsia="Times New Roman" w:cs="Times New Roman"/>
          <w:lang w:eastAsia="en-GB"/>
        </w:rPr>
      </w:pPr>
    </w:p>
    <w:p w:rsidR="0077157F" w:rsidRDefault="0077157F" w:rsidP="005300A1">
      <w:pPr>
        <w:spacing w:after="0" w:line="240" w:lineRule="auto"/>
        <w:ind w:hanging="720"/>
        <w:rPr>
          <w:rFonts w:eastAsia="Times New Roman" w:cs="Times New Roman"/>
          <w:lang w:eastAsia="en-GB"/>
        </w:rPr>
      </w:pPr>
    </w:p>
    <w:p w:rsidR="00384724" w:rsidRDefault="00384724" w:rsidP="00961B12">
      <w:pPr>
        <w:spacing w:after="0" w:line="240" w:lineRule="auto"/>
        <w:rPr>
          <w:rFonts w:eastAsia="Times New Roman" w:cs="Times New Roman"/>
          <w:lang w:eastAsia="en-GB"/>
        </w:rPr>
      </w:pPr>
    </w:p>
    <w:p w:rsidR="00384724" w:rsidRDefault="00A237BA" w:rsidP="00961B12">
      <w:pPr>
        <w:spacing w:after="0" w:line="240" w:lineRule="auto"/>
        <w:rPr>
          <w:rFonts w:eastAsia="Times New Roman" w:cs="Times New Roman"/>
          <w:lang w:eastAsia="en-GB"/>
        </w:rPr>
      </w:pPr>
      <w:r>
        <w:rPr>
          <w:rFonts w:eastAsia="Times New Roman" w:cs="Times New Roman"/>
          <w:lang w:eastAsia="en-GB"/>
        </w:rPr>
        <w:t xml:space="preserve"> </w:t>
      </w: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bookmarkStart w:id="0" w:name="_GoBack"/>
      <w:bookmarkEnd w:id="0"/>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lang w:eastAsia="en-GB"/>
        </w:rPr>
      </w:pPr>
    </w:p>
    <w:p w:rsidR="00D31D1D" w:rsidRDefault="00D31D1D" w:rsidP="00961B12">
      <w:pPr>
        <w:spacing w:after="0" w:line="240" w:lineRule="auto"/>
        <w:rPr>
          <w:rFonts w:eastAsia="Times New Roman" w:cs="Times New Roman"/>
          <w:u w:val="single"/>
          <w:lang w:eastAsia="en-GB"/>
        </w:rPr>
      </w:pPr>
      <w:r>
        <w:rPr>
          <w:rFonts w:eastAsia="Times New Roman" w:cs="Times New Roman"/>
          <w:u w:val="single"/>
          <w:lang w:eastAsia="en-GB"/>
        </w:rPr>
        <w:t>Appendix</w:t>
      </w:r>
    </w:p>
    <w:p w:rsidR="00D31D1D" w:rsidRDefault="00D31D1D" w:rsidP="00961B12">
      <w:pPr>
        <w:spacing w:after="0" w:line="240" w:lineRule="auto"/>
        <w:rPr>
          <w:rFonts w:eastAsia="Times New Roman" w:cs="Times New Roman"/>
          <w:u w:val="single"/>
          <w:lang w:eastAsia="en-GB"/>
        </w:rPr>
      </w:pPr>
    </w:p>
    <w:p w:rsidR="00D31D1D" w:rsidRDefault="00D31D1D" w:rsidP="00961B12">
      <w:pPr>
        <w:spacing w:after="0" w:line="240" w:lineRule="auto"/>
        <w:rPr>
          <w:rFonts w:eastAsia="Times New Roman" w:cs="Times New Roman"/>
          <w:b/>
          <w:lang w:eastAsia="en-GB"/>
        </w:rPr>
      </w:pPr>
      <w:r>
        <w:rPr>
          <w:rFonts w:eastAsia="Times New Roman" w:cs="Times New Roman"/>
          <w:b/>
          <w:lang w:eastAsia="en-GB"/>
        </w:rPr>
        <w:t>Appendix 1: Departmental Development Plan.</w:t>
      </w:r>
    </w:p>
    <w:p w:rsidR="00D31D1D" w:rsidRDefault="00D31D1D" w:rsidP="00961B12">
      <w:pPr>
        <w:spacing w:after="0" w:line="240" w:lineRule="auto"/>
        <w:rPr>
          <w:rFonts w:eastAsia="Times New Roman" w:cs="Times New Roman"/>
          <w:b/>
          <w:lang w:eastAsia="en-GB"/>
        </w:rPr>
      </w:pPr>
      <w:r>
        <w:rPr>
          <w:rFonts w:eastAsia="Times New Roman" w:cs="Times New Roman"/>
          <w:b/>
          <w:noProof/>
          <w:lang w:eastAsia="en-GB"/>
        </w:rPr>
        <w:lastRenderedPageBreak/>
        <w:drawing>
          <wp:anchor distT="0" distB="0" distL="114300" distR="114300" simplePos="0" relativeHeight="251659776" behindDoc="1" locked="0" layoutInCell="1" allowOverlap="1">
            <wp:simplePos x="0" y="0"/>
            <wp:positionH relativeFrom="column">
              <wp:posOffset>-623570</wp:posOffset>
            </wp:positionH>
            <wp:positionV relativeFrom="paragraph">
              <wp:posOffset>4050665</wp:posOffset>
            </wp:positionV>
            <wp:extent cx="7259955" cy="3470910"/>
            <wp:effectExtent l="0" t="0" r="0" b="0"/>
            <wp:wrapTight wrapText="bothSides">
              <wp:wrapPolygon edited="0">
                <wp:start x="0" y="0"/>
                <wp:lineTo x="0" y="21458"/>
                <wp:lineTo x="21538" y="21458"/>
                <wp:lineTo x="21538" y="0"/>
                <wp:lineTo x="0" y="0"/>
              </wp:wrapPolygon>
            </wp:wrapTight>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70FA74.tmp"/>
                    <pic:cNvPicPr/>
                  </pic:nvPicPr>
                  <pic:blipFill>
                    <a:blip r:embed="rId14">
                      <a:extLst>
                        <a:ext uri="{28A0092B-C50C-407E-A947-70E740481C1C}">
                          <a14:useLocalDpi xmlns:a14="http://schemas.microsoft.com/office/drawing/2010/main" val="0"/>
                        </a:ext>
                      </a:extLst>
                    </a:blip>
                    <a:stretch>
                      <a:fillRect/>
                    </a:stretch>
                  </pic:blipFill>
                  <pic:spPr>
                    <a:xfrm>
                      <a:off x="0" y="0"/>
                      <a:ext cx="7259955" cy="347091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imes New Roman"/>
          <w:b/>
          <w:noProof/>
          <w:lang w:eastAsia="en-GB"/>
        </w:rPr>
        <w:drawing>
          <wp:anchor distT="0" distB="0" distL="114300" distR="114300" simplePos="0" relativeHeight="251650560" behindDoc="1" locked="0" layoutInCell="1" allowOverlap="1">
            <wp:simplePos x="0" y="0"/>
            <wp:positionH relativeFrom="column">
              <wp:posOffset>-616585</wp:posOffset>
            </wp:positionH>
            <wp:positionV relativeFrom="paragraph">
              <wp:posOffset>183515</wp:posOffset>
            </wp:positionV>
            <wp:extent cx="6977173" cy="3638550"/>
            <wp:effectExtent l="0" t="0" r="0" b="0"/>
            <wp:wrapTight wrapText="bothSides">
              <wp:wrapPolygon edited="0">
                <wp:start x="0" y="0"/>
                <wp:lineTo x="0" y="21487"/>
                <wp:lineTo x="21527" y="21487"/>
                <wp:lineTo x="21527" y="0"/>
                <wp:lineTo x="0" y="0"/>
              </wp:wrapPolygon>
            </wp:wrapTight>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7012F2.tmp"/>
                    <pic:cNvPicPr/>
                  </pic:nvPicPr>
                  <pic:blipFill>
                    <a:blip r:embed="rId15">
                      <a:extLst>
                        <a:ext uri="{28A0092B-C50C-407E-A947-70E740481C1C}">
                          <a14:useLocalDpi xmlns:a14="http://schemas.microsoft.com/office/drawing/2010/main" val="0"/>
                        </a:ext>
                      </a:extLst>
                    </a:blip>
                    <a:stretch>
                      <a:fillRect/>
                    </a:stretch>
                  </pic:blipFill>
                  <pic:spPr>
                    <a:xfrm>
                      <a:off x="0" y="0"/>
                      <a:ext cx="6977173" cy="3638550"/>
                    </a:xfrm>
                    <a:prstGeom prst="rect">
                      <a:avLst/>
                    </a:prstGeom>
                  </pic:spPr>
                </pic:pic>
              </a:graphicData>
            </a:graphic>
          </wp:anchor>
        </w:drawing>
      </w: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r>
        <w:rPr>
          <w:rFonts w:eastAsia="Times New Roman" w:cs="Times New Roman"/>
          <w:b/>
          <w:noProof/>
          <w:lang w:eastAsia="en-GB"/>
        </w:rPr>
        <w:lastRenderedPageBreak/>
        <w:drawing>
          <wp:anchor distT="0" distB="0" distL="114300" distR="114300" simplePos="0" relativeHeight="251666944" behindDoc="1" locked="0" layoutInCell="1" allowOverlap="1">
            <wp:simplePos x="0" y="0"/>
            <wp:positionH relativeFrom="column">
              <wp:posOffset>-714375</wp:posOffset>
            </wp:positionH>
            <wp:positionV relativeFrom="paragraph">
              <wp:posOffset>-452120</wp:posOffset>
            </wp:positionV>
            <wp:extent cx="6991350" cy="3223260"/>
            <wp:effectExtent l="0" t="0" r="0" b="0"/>
            <wp:wrapSquare wrapText="bothSides"/>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70A0C2.tmp"/>
                    <pic:cNvPicPr/>
                  </pic:nvPicPr>
                  <pic:blipFill>
                    <a:blip r:embed="rId16">
                      <a:extLst>
                        <a:ext uri="{28A0092B-C50C-407E-A947-70E740481C1C}">
                          <a14:useLocalDpi xmlns:a14="http://schemas.microsoft.com/office/drawing/2010/main" val="0"/>
                        </a:ext>
                      </a:extLst>
                    </a:blip>
                    <a:stretch>
                      <a:fillRect/>
                    </a:stretch>
                  </pic:blipFill>
                  <pic:spPr>
                    <a:xfrm>
                      <a:off x="0" y="0"/>
                      <a:ext cx="6991350" cy="3223260"/>
                    </a:xfrm>
                    <a:prstGeom prst="rect">
                      <a:avLst/>
                    </a:prstGeom>
                  </pic:spPr>
                </pic:pic>
              </a:graphicData>
            </a:graphic>
            <wp14:sizeRelH relativeFrom="margin">
              <wp14:pctWidth>0</wp14:pctWidth>
            </wp14:sizeRelH>
            <wp14:sizeRelV relativeFrom="margin">
              <wp14:pctHeight>0</wp14:pctHeight>
            </wp14:sizeRelV>
          </wp:anchor>
        </w:drawing>
      </w:r>
    </w:p>
    <w:p w:rsidR="00D31D1D" w:rsidRDefault="00D31D1D" w:rsidP="00961B12">
      <w:pPr>
        <w:spacing w:after="0" w:line="240" w:lineRule="auto"/>
        <w:rPr>
          <w:rFonts w:eastAsia="Times New Roman" w:cs="Times New Roman"/>
          <w:b/>
          <w:lang w:eastAsia="en-GB"/>
        </w:rPr>
      </w:pPr>
      <w:r>
        <w:rPr>
          <w:rFonts w:eastAsia="Times New Roman" w:cs="Times New Roman"/>
          <w:b/>
          <w:noProof/>
          <w:lang w:eastAsia="en-GB"/>
        </w:rPr>
        <w:drawing>
          <wp:anchor distT="0" distB="0" distL="114300" distR="114300" simplePos="0" relativeHeight="251668992" behindDoc="0" locked="0" layoutInCell="1" allowOverlap="1">
            <wp:simplePos x="0" y="0"/>
            <wp:positionH relativeFrom="column">
              <wp:posOffset>-819150</wp:posOffset>
            </wp:positionH>
            <wp:positionV relativeFrom="paragraph">
              <wp:posOffset>200660</wp:posOffset>
            </wp:positionV>
            <wp:extent cx="7402671" cy="2219325"/>
            <wp:effectExtent l="0" t="0" r="0" b="0"/>
            <wp:wrapSquare wrapText="bothSides"/>
            <wp:docPr id="6" name="Picture 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70253.tmp"/>
                    <pic:cNvPicPr/>
                  </pic:nvPicPr>
                  <pic:blipFill>
                    <a:blip r:embed="rId17">
                      <a:extLst>
                        <a:ext uri="{28A0092B-C50C-407E-A947-70E740481C1C}">
                          <a14:useLocalDpi xmlns:a14="http://schemas.microsoft.com/office/drawing/2010/main" val="0"/>
                        </a:ext>
                      </a:extLst>
                    </a:blip>
                    <a:stretch>
                      <a:fillRect/>
                    </a:stretch>
                  </pic:blipFill>
                  <pic:spPr>
                    <a:xfrm>
                      <a:off x="0" y="0"/>
                      <a:ext cx="7402671" cy="2219325"/>
                    </a:xfrm>
                    <a:prstGeom prst="rect">
                      <a:avLst/>
                    </a:prstGeom>
                  </pic:spPr>
                </pic:pic>
              </a:graphicData>
            </a:graphic>
            <wp14:sizeRelH relativeFrom="margin">
              <wp14:pctWidth>0</wp14:pctWidth>
            </wp14:sizeRelH>
            <wp14:sizeRelV relativeFrom="margin">
              <wp14:pctHeight>0</wp14:pctHeight>
            </wp14:sizeRelV>
          </wp:anchor>
        </w:drawing>
      </w:r>
    </w:p>
    <w:p w:rsidR="00D31D1D" w:rsidRDefault="00D31D1D" w:rsidP="00961B12">
      <w:pPr>
        <w:spacing w:after="0" w:line="240" w:lineRule="auto"/>
        <w:rPr>
          <w:rFonts w:eastAsia="Times New Roman" w:cs="Times New Roman"/>
          <w:b/>
          <w:lang w:eastAsia="en-GB"/>
        </w:rPr>
      </w:pPr>
      <w:r>
        <w:rPr>
          <w:rFonts w:eastAsia="Times New Roman" w:cs="Times New Roman"/>
          <w:b/>
          <w:noProof/>
          <w:lang w:eastAsia="en-GB"/>
        </w:rPr>
        <w:drawing>
          <wp:anchor distT="0" distB="0" distL="114300" distR="114300" simplePos="0" relativeHeight="251673088" behindDoc="0" locked="0" layoutInCell="1" allowOverlap="1">
            <wp:simplePos x="0" y="0"/>
            <wp:positionH relativeFrom="column">
              <wp:posOffset>-710565</wp:posOffset>
            </wp:positionH>
            <wp:positionV relativeFrom="paragraph">
              <wp:posOffset>2564765</wp:posOffset>
            </wp:positionV>
            <wp:extent cx="7385348" cy="2990850"/>
            <wp:effectExtent l="0" t="0" r="0" b="0"/>
            <wp:wrapSquare wrapText="bothSides"/>
            <wp:docPr id="7" name="Picture 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70A0D3.tmp"/>
                    <pic:cNvPicPr/>
                  </pic:nvPicPr>
                  <pic:blipFill>
                    <a:blip r:embed="rId18">
                      <a:extLst>
                        <a:ext uri="{28A0092B-C50C-407E-A947-70E740481C1C}">
                          <a14:useLocalDpi xmlns:a14="http://schemas.microsoft.com/office/drawing/2010/main" val="0"/>
                        </a:ext>
                      </a:extLst>
                    </a:blip>
                    <a:stretch>
                      <a:fillRect/>
                    </a:stretch>
                  </pic:blipFill>
                  <pic:spPr>
                    <a:xfrm>
                      <a:off x="0" y="0"/>
                      <a:ext cx="7385348" cy="2990850"/>
                    </a:xfrm>
                    <a:prstGeom prst="rect">
                      <a:avLst/>
                    </a:prstGeom>
                  </pic:spPr>
                </pic:pic>
              </a:graphicData>
            </a:graphic>
            <wp14:sizeRelH relativeFrom="margin">
              <wp14:pctWidth>0</wp14:pctWidth>
            </wp14:sizeRelH>
            <wp14:sizeRelV relativeFrom="margin">
              <wp14:pctHeight>0</wp14:pctHeight>
            </wp14:sizeRelV>
          </wp:anchor>
        </w:drawing>
      </w:r>
    </w:p>
    <w:p w:rsidR="00D31D1D" w:rsidRDefault="00D31D1D" w:rsidP="00961B12">
      <w:pPr>
        <w:spacing w:after="0" w:line="240" w:lineRule="auto"/>
        <w:rPr>
          <w:rFonts w:eastAsia="Times New Roman" w:cs="Times New Roman"/>
          <w:b/>
          <w:lang w:eastAsia="en-GB"/>
        </w:rPr>
      </w:pPr>
    </w:p>
    <w:p w:rsidR="00D31D1D" w:rsidRDefault="00093180" w:rsidP="00961B12">
      <w:pPr>
        <w:spacing w:after="0" w:line="240" w:lineRule="auto"/>
        <w:rPr>
          <w:rFonts w:eastAsia="Times New Roman" w:cs="Times New Roman"/>
          <w:b/>
          <w:lang w:eastAsia="en-GB"/>
        </w:rPr>
      </w:pPr>
      <w:r>
        <w:rPr>
          <w:rFonts w:eastAsia="Times New Roman" w:cs="Times New Roman"/>
          <w:b/>
          <w:noProof/>
          <w:lang w:eastAsia="en-GB"/>
        </w:rPr>
        <w:lastRenderedPageBreak/>
        <w:drawing>
          <wp:anchor distT="0" distB="0" distL="114300" distR="114300" simplePos="0" relativeHeight="251675136" behindDoc="0" locked="0" layoutInCell="1" allowOverlap="1">
            <wp:simplePos x="0" y="0"/>
            <wp:positionH relativeFrom="column">
              <wp:posOffset>-833755</wp:posOffset>
            </wp:positionH>
            <wp:positionV relativeFrom="paragraph">
              <wp:posOffset>-456565</wp:posOffset>
            </wp:positionV>
            <wp:extent cx="7336953" cy="3003550"/>
            <wp:effectExtent l="0" t="0" r="0" b="0"/>
            <wp:wrapSquare wrapText="bothSides"/>
            <wp:docPr id="8" name="Picture 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70ACA7.tmp"/>
                    <pic:cNvPicPr/>
                  </pic:nvPicPr>
                  <pic:blipFill>
                    <a:blip r:embed="rId19">
                      <a:extLst>
                        <a:ext uri="{28A0092B-C50C-407E-A947-70E740481C1C}">
                          <a14:useLocalDpi xmlns:a14="http://schemas.microsoft.com/office/drawing/2010/main" val="0"/>
                        </a:ext>
                      </a:extLst>
                    </a:blip>
                    <a:stretch>
                      <a:fillRect/>
                    </a:stretch>
                  </pic:blipFill>
                  <pic:spPr>
                    <a:xfrm>
                      <a:off x="0" y="0"/>
                      <a:ext cx="7336953" cy="3003550"/>
                    </a:xfrm>
                    <a:prstGeom prst="rect">
                      <a:avLst/>
                    </a:prstGeom>
                  </pic:spPr>
                </pic:pic>
              </a:graphicData>
            </a:graphic>
            <wp14:sizeRelH relativeFrom="margin">
              <wp14:pctWidth>0</wp14:pctWidth>
            </wp14:sizeRelH>
            <wp14:sizeRelV relativeFrom="margin">
              <wp14:pctHeight>0</wp14:pctHeight>
            </wp14:sizeRelV>
          </wp:anchor>
        </w:drawing>
      </w: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Default="00D31D1D" w:rsidP="00961B12">
      <w:pPr>
        <w:spacing w:after="0" w:line="240" w:lineRule="auto"/>
        <w:rPr>
          <w:rFonts w:eastAsia="Times New Roman" w:cs="Times New Roman"/>
          <w:b/>
          <w:lang w:eastAsia="en-GB"/>
        </w:rPr>
      </w:pPr>
    </w:p>
    <w:p w:rsidR="00D31D1D" w:rsidRPr="00D31D1D" w:rsidRDefault="00D31D1D" w:rsidP="00961B12">
      <w:pPr>
        <w:spacing w:after="0" w:line="240" w:lineRule="auto"/>
        <w:rPr>
          <w:rFonts w:eastAsia="Times New Roman" w:cs="Times New Roman"/>
          <w:b/>
          <w:lang w:eastAsia="en-GB"/>
        </w:rPr>
      </w:pPr>
    </w:p>
    <w:sectPr w:rsidR="00D31D1D" w:rsidRPr="00D31D1D" w:rsidSect="003E38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CE3" w:rsidRDefault="00F94CE3" w:rsidP="00D31D1D">
      <w:pPr>
        <w:spacing w:after="0" w:line="240" w:lineRule="auto"/>
      </w:pPr>
      <w:r>
        <w:separator/>
      </w:r>
    </w:p>
  </w:endnote>
  <w:endnote w:type="continuationSeparator" w:id="0">
    <w:p w:rsidR="00F94CE3" w:rsidRDefault="00F94CE3" w:rsidP="00D31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CE3" w:rsidRDefault="00F94CE3" w:rsidP="00D31D1D">
      <w:pPr>
        <w:spacing w:after="0" w:line="240" w:lineRule="auto"/>
      </w:pPr>
      <w:r>
        <w:separator/>
      </w:r>
    </w:p>
  </w:footnote>
  <w:footnote w:type="continuationSeparator" w:id="0">
    <w:p w:rsidR="00F94CE3" w:rsidRDefault="00F94CE3" w:rsidP="00D31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544A30"/>
    <w:multiLevelType w:val="hybridMultilevel"/>
    <w:tmpl w:val="E2B4C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0B"/>
    <w:rsid w:val="000176DF"/>
    <w:rsid w:val="00041E1F"/>
    <w:rsid w:val="00044EFD"/>
    <w:rsid w:val="00051A77"/>
    <w:rsid w:val="00064D57"/>
    <w:rsid w:val="00085D6C"/>
    <w:rsid w:val="00093180"/>
    <w:rsid w:val="000933FB"/>
    <w:rsid w:val="000A107F"/>
    <w:rsid w:val="000A5D9B"/>
    <w:rsid w:val="000B0625"/>
    <w:rsid w:val="000B47C9"/>
    <w:rsid w:val="000C0C21"/>
    <w:rsid w:val="000C1C34"/>
    <w:rsid w:val="000D71AA"/>
    <w:rsid w:val="000E1D59"/>
    <w:rsid w:val="000E47E1"/>
    <w:rsid w:val="000F209E"/>
    <w:rsid w:val="000F74C7"/>
    <w:rsid w:val="00104647"/>
    <w:rsid w:val="00106420"/>
    <w:rsid w:val="00112BDA"/>
    <w:rsid w:val="00112DEB"/>
    <w:rsid w:val="0013378F"/>
    <w:rsid w:val="0014201D"/>
    <w:rsid w:val="00150EB0"/>
    <w:rsid w:val="001651C6"/>
    <w:rsid w:val="00183C55"/>
    <w:rsid w:val="0019041E"/>
    <w:rsid w:val="001A40C4"/>
    <w:rsid w:val="001D2D11"/>
    <w:rsid w:val="00200A9E"/>
    <w:rsid w:val="00206B85"/>
    <w:rsid w:val="00224805"/>
    <w:rsid w:val="00236358"/>
    <w:rsid w:val="0024096F"/>
    <w:rsid w:val="00251EE0"/>
    <w:rsid w:val="002C4379"/>
    <w:rsid w:val="00323568"/>
    <w:rsid w:val="00341923"/>
    <w:rsid w:val="00343589"/>
    <w:rsid w:val="00382D30"/>
    <w:rsid w:val="00384724"/>
    <w:rsid w:val="00396064"/>
    <w:rsid w:val="003E38E5"/>
    <w:rsid w:val="003E3962"/>
    <w:rsid w:val="00434C19"/>
    <w:rsid w:val="00466F46"/>
    <w:rsid w:val="00483886"/>
    <w:rsid w:val="004956C8"/>
    <w:rsid w:val="004960A7"/>
    <w:rsid w:val="004C0250"/>
    <w:rsid w:val="004C2CD1"/>
    <w:rsid w:val="004D2127"/>
    <w:rsid w:val="004D7072"/>
    <w:rsid w:val="004E24D5"/>
    <w:rsid w:val="004E2CC5"/>
    <w:rsid w:val="004E4EA7"/>
    <w:rsid w:val="004F5F6F"/>
    <w:rsid w:val="005300A1"/>
    <w:rsid w:val="00534331"/>
    <w:rsid w:val="00536169"/>
    <w:rsid w:val="0054398A"/>
    <w:rsid w:val="00561303"/>
    <w:rsid w:val="00566C7A"/>
    <w:rsid w:val="00570373"/>
    <w:rsid w:val="00575707"/>
    <w:rsid w:val="0061587F"/>
    <w:rsid w:val="00621C90"/>
    <w:rsid w:val="006369CE"/>
    <w:rsid w:val="00681281"/>
    <w:rsid w:val="006A3618"/>
    <w:rsid w:val="006D4B9D"/>
    <w:rsid w:val="006E07C6"/>
    <w:rsid w:val="00723FE4"/>
    <w:rsid w:val="00732DE1"/>
    <w:rsid w:val="007427E0"/>
    <w:rsid w:val="007548E1"/>
    <w:rsid w:val="0077157F"/>
    <w:rsid w:val="007846B4"/>
    <w:rsid w:val="0078680B"/>
    <w:rsid w:val="00793E69"/>
    <w:rsid w:val="007C20E1"/>
    <w:rsid w:val="007E4C04"/>
    <w:rsid w:val="007E7FDB"/>
    <w:rsid w:val="00801372"/>
    <w:rsid w:val="00815DEC"/>
    <w:rsid w:val="00842071"/>
    <w:rsid w:val="008A3AE1"/>
    <w:rsid w:val="008B2E52"/>
    <w:rsid w:val="008E69CA"/>
    <w:rsid w:val="00905964"/>
    <w:rsid w:val="00961B12"/>
    <w:rsid w:val="009856C8"/>
    <w:rsid w:val="00987363"/>
    <w:rsid w:val="009B45CA"/>
    <w:rsid w:val="009C1293"/>
    <w:rsid w:val="009C334C"/>
    <w:rsid w:val="00A14BA1"/>
    <w:rsid w:val="00A237BA"/>
    <w:rsid w:val="00A33287"/>
    <w:rsid w:val="00AA0E7C"/>
    <w:rsid w:val="00AE732C"/>
    <w:rsid w:val="00AF5010"/>
    <w:rsid w:val="00B07561"/>
    <w:rsid w:val="00B21C45"/>
    <w:rsid w:val="00B26AED"/>
    <w:rsid w:val="00B33A05"/>
    <w:rsid w:val="00B517DE"/>
    <w:rsid w:val="00B60A37"/>
    <w:rsid w:val="00BB0034"/>
    <w:rsid w:val="00BB5B6D"/>
    <w:rsid w:val="00BE2744"/>
    <w:rsid w:val="00BE4480"/>
    <w:rsid w:val="00BF008C"/>
    <w:rsid w:val="00C07C0E"/>
    <w:rsid w:val="00C40F4F"/>
    <w:rsid w:val="00C517B3"/>
    <w:rsid w:val="00C51A2E"/>
    <w:rsid w:val="00C82B97"/>
    <w:rsid w:val="00C84E8D"/>
    <w:rsid w:val="00CD0B6E"/>
    <w:rsid w:val="00D06B8B"/>
    <w:rsid w:val="00D20C28"/>
    <w:rsid w:val="00D31D1D"/>
    <w:rsid w:val="00D36F70"/>
    <w:rsid w:val="00D5347B"/>
    <w:rsid w:val="00D76D2C"/>
    <w:rsid w:val="00D94A49"/>
    <w:rsid w:val="00DB360D"/>
    <w:rsid w:val="00DC5D03"/>
    <w:rsid w:val="00DD13BD"/>
    <w:rsid w:val="00DE3B08"/>
    <w:rsid w:val="00DF063F"/>
    <w:rsid w:val="00DF43B2"/>
    <w:rsid w:val="00E02F52"/>
    <w:rsid w:val="00E23A83"/>
    <w:rsid w:val="00E3531A"/>
    <w:rsid w:val="00E362B3"/>
    <w:rsid w:val="00E45E6B"/>
    <w:rsid w:val="00E523F4"/>
    <w:rsid w:val="00E568B3"/>
    <w:rsid w:val="00E57F6B"/>
    <w:rsid w:val="00E65175"/>
    <w:rsid w:val="00EB20B3"/>
    <w:rsid w:val="00EE40EB"/>
    <w:rsid w:val="00F063AB"/>
    <w:rsid w:val="00F12BA8"/>
    <w:rsid w:val="00F63EFE"/>
    <w:rsid w:val="00F6499E"/>
    <w:rsid w:val="00F94CE3"/>
    <w:rsid w:val="00FB0E46"/>
    <w:rsid w:val="00FC0813"/>
    <w:rsid w:val="00FC41EF"/>
    <w:rsid w:val="00FD6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4271"/>
  <w15:docId w15:val="{8E794A59-1459-4AA4-8BDB-1DA75F72B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38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0A37"/>
    <w:rPr>
      <w:color w:val="0563C1" w:themeColor="hyperlink"/>
      <w:u w:val="single"/>
    </w:rPr>
  </w:style>
  <w:style w:type="character" w:customStyle="1" w:styleId="UnresolvedMention1">
    <w:name w:val="Unresolved Mention1"/>
    <w:basedOn w:val="DefaultParagraphFont"/>
    <w:uiPriority w:val="99"/>
    <w:semiHidden/>
    <w:unhideWhenUsed/>
    <w:rsid w:val="00B60A37"/>
    <w:rPr>
      <w:color w:val="808080"/>
      <w:shd w:val="clear" w:color="auto" w:fill="E6E6E6"/>
    </w:rPr>
  </w:style>
  <w:style w:type="character" w:styleId="FollowedHyperlink">
    <w:name w:val="FollowedHyperlink"/>
    <w:basedOn w:val="DefaultParagraphFont"/>
    <w:uiPriority w:val="99"/>
    <w:semiHidden/>
    <w:unhideWhenUsed/>
    <w:rsid w:val="00C07C0E"/>
    <w:rPr>
      <w:color w:val="954F72" w:themeColor="followedHyperlink"/>
      <w:u w:val="single"/>
    </w:rPr>
  </w:style>
  <w:style w:type="paragraph" w:styleId="ListParagraph">
    <w:name w:val="List Paragraph"/>
    <w:basedOn w:val="Normal"/>
    <w:uiPriority w:val="34"/>
    <w:qFormat/>
    <w:rsid w:val="00AF5010"/>
    <w:pPr>
      <w:ind w:left="720"/>
      <w:contextualSpacing/>
    </w:pPr>
  </w:style>
  <w:style w:type="paragraph" w:styleId="Header">
    <w:name w:val="header"/>
    <w:basedOn w:val="Normal"/>
    <w:link w:val="HeaderChar"/>
    <w:uiPriority w:val="99"/>
    <w:unhideWhenUsed/>
    <w:rsid w:val="00D31D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D1D"/>
  </w:style>
  <w:style w:type="paragraph" w:styleId="Footer">
    <w:name w:val="footer"/>
    <w:basedOn w:val="Normal"/>
    <w:link w:val="FooterChar"/>
    <w:uiPriority w:val="99"/>
    <w:unhideWhenUsed/>
    <w:rsid w:val="00D31D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D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05471">
      <w:bodyDiv w:val="1"/>
      <w:marLeft w:val="0"/>
      <w:marRight w:val="0"/>
      <w:marTop w:val="0"/>
      <w:marBottom w:val="0"/>
      <w:divBdr>
        <w:top w:val="none" w:sz="0" w:space="0" w:color="auto"/>
        <w:left w:val="none" w:sz="0" w:space="0" w:color="auto"/>
        <w:bottom w:val="none" w:sz="0" w:space="0" w:color="auto"/>
        <w:right w:val="none" w:sz="0" w:space="0" w:color="auto"/>
      </w:divBdr>
      <w:divsChild>
        <w:div w:id="900018488">
          <w:marLeft w:val="0"/>
          <w:marRight w:val="0"/>
          <w:marTop w:val="0"/>
          <w:marBottom w:val="0"/>
          <w:divBdr>
            <w:top w:val="none" w:sz="0" w:space="0" w:color="auto"/>
            <w:left w:val="none" w:sz="0" w:space="0" w:color="auto"/>
            <w:bottom w:val="none" w:sz="0" w:space="0" w:color="auto"/>
            <w:right w:val="none" w:sz="0" w:space="0" w:color="auto"/>
          </w:divBdr>
        </w:div>
        <w:div w:id="1160542411">
          <w:marLeft w:val="0"/>
          <w:marRight w:val="0"/>
          <w:marTop w:val="0"/>
          <w:marBottom w:val="0"/>
          <w:divBdr>
            <w:top w:val="none" w:sz="0" w:space="0" w:color="auto"/>
            <w:left w:val="none" w:sz="0" w:space="0" w:color="auto"/>
            <w:bottom w:val="none" w:sz="0" w:space="0" w:color="auto"/>
            <w:right w:val="none" w:sz="0" w:space="0" w:color="auto"/>
          </w:divBdr>
        </w:div>
        <w:div w:id="744842060">
          <w:marLeft w:val="0"/>
          <w:marRight w:val="0"/>
          <w:marTop w:val="0"/>
          <w:marBottom w:val="0"/>
          <w:divBdr>
            <w:top w:val="none" w:sz="0" w:space="0" w:color="auto"/>
            <w:left w:val="none" w:sz="0" w:space="0" w:color="auto"/>
            <w:bottom w:val="none" w:sz="0" w:space="0" w:color="auto"/>
            <w:right w:val="none" w:sz="0" w:space="0" w:color="auto"/>
          </w:divBdr>
        </w:div>
        <w:div w:id="2008630339">
          <w:marLeft w:val="0"/>
          <w:marRight w:val="0"/>
          <w:marTop w:val="0"/>
          <w:marBottom w:val="0"/>
          <w:divBdr>
            <w:top w:val="none" w:sz="0" w:space="0" w:color="auto"/>
            <w:left w:val="none" w:sz="0" w:space="0" w:color="auto"/>
            <w:bottom w:val="none" w:sz="0" w:space="0" w:color="auto"/>
            <w:right w:val="none" w:sz="0" w:space="0" w:color="auto"/>
          </w:divBdr>
        </w:div>
        <w:div w:id="1839228091">
          <w:marLeft w:val="0"/>
          <w:marRight w:val="0"/>
          <w:marTop w:val="0"/>
          <w:marBottom w:val="0"/>
          <w:divBdr>
            <w:top w:val="none" w:sz="0" w:space="0" w:color="auto"/>
            <w:left w:val="none" w:sz="0" w:space="0" w:color="auto"/>
            <w:bottom w:val="none" w:sz="0" w:space="0" w:color="auto"/>
            <w:right w:val="none" w:sz="0" w:space="0" w:color="auto"/>
          </w:divBdr>
        </w:div>
      </w:divsChild>
    </w:div>
    <w:div w:id="486173863">
      <w:bodyDiv w:val="1"/>
      <w:marLeft w:val="0"/>
      <w:marRight w:val="0"/>
      <w:marTop w:val="0"/>
      <w:marBottom w:val="0"/>
      <w:divBdr>
        <w:top w:val="none" w:sz="0" w:space="0" w:color="auto"/>
        <w:left w:val="none" w:sz="0" w:space="0" w:color="auto"/>
        <w:bottom w:val="none" w:sz="0" w:space="0" w:color="auto"/>
        <w:right w:val="none" w:sz="0" w:space="0" w:color="auto"/>
      </w:divBdr>
      <w:divsChild>
        <w:div w:id="181818369">
          <w:marLeft w:val="0"/>
          <w:marRight w:val="0"/>
          <w:marTop w:val="0"/>
          <w:marBottom w:val="0"/>
          <w:divBdr>
            <w:top w:val="none" w:sz="0" w:space="0" w:color="auto"/>
            <w:left w:val="none" w:sz="0" w:space="0" w:color="auto"/>
            <w:bottom w:val="none" w:sz="0" w:space="0" w:color="auto"/>
            <w:right w:val="none" w:sz="0" w:space="0" w:color="auto"/>
          </w:divBdr>
        </w:div>
        <w:div w:id="1372072470">
          <w:marLeft w:val="0"/>
          <w:marRight w:val="0"/>
          <w:marTop w:val="0"/>
          <w:marBottom w:val="0"/>
          <w:divBdr>
            <w:top w:val="none" w:sz="0" w:space="0" w:color="auto"/>
            <w:left w:val="none" w:sz="0" w:space="0" w:color="auto"/>
            <w:bottom w:val="none" w:sz="0" w:space="0" w:color="auto"/>
            <w:right w:val="none" w:sz="0" w:space="0" w:color="auto"/>
          </w:divBdr>
        </w:div>
        <w:div w:id="286395581">
          <w:marLeft w:val="0"/>
          <w:marRight w:val="0"/>
          <w:marTop w:val="0"/>
          <w:marBottom w:val="0"/>
          <w:divBdr>
            <w:top w:val="none" w:sz="0" w:space="0" w:color="auto"/>
            <w:left w:val="none" w:sz="0" w:space="0" w:color="auto"/>
            <w:bottom w:val="none" w:sz="0" w:space="0" w:color="auto"/>
            <w:right w:val="none" w:sz="0" w:space="0" w:color="auto"/>
          </w:divBdr>
        </w:div>
        <w:div w:id="660431680">
          <w:marLeft w:val="0"/>
          <w:marRight w:val="0"/>
          <w:marTop w:val="0"/>
          <w:marBottom w:val="0"/>
          <w:divBdr>
            <w:top w:val="none" w:sz="0" w:space="0" w:color="auto"/>
            <w:left w:val="none" w:sz="0" w:space="0" w:color="auto"/>
            <w:bottom w:val="none" w:sz="0" w:space="0" w:color="auto"/>
            <w:right w:val="none" w:sz="0" w:space="0" w:color="auto"/>
          </w:divBdr>
        </w:div>
        <w:div w:id="610169298">
          <w:marLeft w:val="0"/>
          <w:marRight w:val="0"/>
          <w:marTop w:val="0"/>
          <w:marBottom w:val="0"/>
          <w:divBdr>
            <w:top w:val="none" w:sz="0" w:space="0" w:color="auto"/>
            <w:left w:val="none" w:sz="0" w:space="0" w:color="auto"/>
            <w:bottom w:val="none" w:sz="0" w:space="0" w:color="auto"/>
            <w:right w:val="none" w:sz="0" w:space="0" w:color="auto"/>
          </w:divBdr>
        </w:div>
      </w:divsChild>
    </w:div>
    <w:div w:id="1432582672">
      <w:bodyDiv w:val="1"/>
      <w:marLeft w:val="0"/>
      <w:marRight w:val="0"/>
      <w:marTop w:val="0"/>
      <w:marBottom w:val="0"/>
      <w:divBdr>
        <w:top w:val="none" w:sz="0" w:space="0" w:color="auto"/>
        <w:left w:val="none" w:sz="0" w:space="0" w:color="auto"/>
        <w:bottom w:val="none" w:sz="0" w:space="0" w:color="auto"/>
        <w:right w:val="none" w:sz="0" w:space="0" w:color="auto"/>
      </w:divBdr>
      <w:divsChild>
        <w:div w:id="435056228">
          <w:marLeft w:val="0"/>
          <w:marRight w:val="0"/>
          <w:marTop w:val="0"/>
          <w:marBottom w:val="0"/>
          <w:divBdr>
            <w:top w:val="none" w:sz="0" w:space="0" w:color="auto"/>
            <w:left w:val="none" w:sz="0" w:space="0" w:color="auto"/>
            <w:bottom w:val="none" w:sz="0" w:space="0" w:color="auto"/>
            <w:right w:val="none" w:sz="0" w:space="0" w:color="auto"/>
          </w:divBdr>
        </w:div>
        <w:div w:id="670445556">
          <w:marLeft w:val="0"/>
          <w:marRight w:val="0"/>
          <w:marTop w:val="0"/>
          <w:marBottom w:val="0"/>
          <w:divBdr>
            <w:top w:val="none" w:sz="0" w:space="0" w:color="auto"/>
            <w:left w:val="none" w:sz="0" w:space="0" w:color="auto"/>
            <w:bottom w:val="none" w:sz="0" w:space="0" w:color="auto"/>
            <w:right w:val="none" w:sz="0" w:space="0" w:color="auto"/>
          </w:divBdr>
        </w:div>
        <w:div w:id="907811922">
          <w:marLeft w:val="0"/>
          <w:marRight w:val="0"/>
          <w:marTop w:val="0"/>
          <w:marBottom w:val="0"/>
          <w:divBdr>
            <w:top w:val="none" w:sz="0" w:space="0" w:color="auto"/>
            <w:left w:val="none" w:sz="0" w:space="0" w:color="auto"/>
            <w:bottom w:val="none" w:sz="0" w:space="0" w:color="auto"/>
            <w:right w:val="none" w:sz="0" w:space="0" w:color="auto"/>
          </w:divBdr>
        </w:div>
        <w:div w:id="308705276">
          <w:marLeft w:val="0"/>
          <w:marRight w:val="0"/>
          <w:marTop w:val="0"/>
          <w:marBottom w:val="0"/>
          <w:divBdr>
            <w:top w:val="none" w:sz="0" w:space="0" w:color="auto"/>
            <w:left w:val="none" w:sz="0" w:space="0" w:color="auto"/>
            <w:bottom w:val="none" w:sz="0" w:space="0" w:color="auto"/>
            <w:right w:val="none" w:sz="0" w:space="0" w:color="auto"/>
          </w:divBdr>
        </w:div>
        <w:div w:id="990132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walesonline.co.uk/news/education/wales-school-colour-codes-2018-14231441" TargetMode="External"/><Relationship Id="rId18" Type="http://schemas.openxmlformats.org/officeDocument/2006/relationships/image" Target="media/image5.tmp"/><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hyperlink" Target="http://learning.gov.wales/docs/learningwales/publications/130415-lnf-guidance-en.pdf" TargetMode="External"/><Relationship Id="rId17" Type="http://schemas.openxmlformats.org/officeDocument/2006/relationships/image" Target="media/image4.tmp"/><Relationship Id="rId2" Type="http://schemas.openxmlformats.org/officeDocument/2006/relationships/styles" Target="styles.xml"/><Relationship Id="rId16" Type="http://schemas.openxmlformats.org/officeDocument/2006/relationships/image" Target="media/image3.tmp"/><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J854992.pdf%20%20" TargetMode="External"/><Relationship Id="rId5" Type="http://schemas.openxmlformats.org/officeDocument/2006/relationships/footnotes" Target="footnotes.xml"/><Relationship Id="rId15" Type="http://schemas.openxmlformats.org/officeDocument/2006/relationships/image" Target="media/image2.tmp"/><Relationship Id="rId10" Type="http://schemas.openxmlformats.org/officeDocument/2006/relationships/hyperlink" Target="http://jwilson.coe.uga.edu/EMAT7050/Students/Wilson/Flavell%20(1979).pdf" TargetMode="External"/><Relationship Id="rId19"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hyperlink" Target="https://educate.bankstreet.edu/cgi/viewcontent.cgi?article=1001&amp;context=progressive%20" TargetMode="External"/><Relationship Id="rId14" Type="http://schemas.openxmlformats.org/officeDocument/2006/relationships/image" Target="media/image1.tmp"/></Relationships>
</file>

<file path=word/charts/_rels/chart1.xml.rels><?xml version="1.0" encoding="UTF-8" standalone="yes"?>
<Relationships xmlns="http://schemas.openxmlformats.org/package/2006/relationships"><Relationship Id="rId1" Type="http://schemas.openxmlformats.org/officeDocument/2006/relationships/oleObject" Target="file:///F:\p4c\Written%20vs%20Oracy%20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p4c\Speech%20vs%20Group%20Discussion%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Figure 1: Written Assessment</a:t>
            </a:r>
            <a:r>
              <a:rPr lang="en-GB" baseline="0"/>
              <a:t> Results vs Individual Oracy Results</a:t>
            </a:r>
            <a:endParaRPr lang="en-GB"/>
          </a:p>
        </c:rich>
      </c:tx>
      <c:layout>
        <c:manualLayout>
          <c:xMode val="edge"/>
          <c:yMode val="edge"/>
          <c:x val="0.12644917806326841"/>
          <c:y val="2.3108030040439053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Written Assessment Results </c:v>
                </c:pt>
              </c:strCache>
            </c:strRef>
          </c:tx>
          <c:invertIfNegative val="0"/>
          <c:cat>
            <c:strRef>
              <c:f>Sheet1!$A$2:$A$26</c:f>
              <c:strCache>
                <c:ptCount val="25"/>
                <c:pt idx="0">
                  <c:v>Student 1 </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pt idx="20">
                  <c:v>Student 21</c:v>
                </c:pt>
                <c:pt idx="21">
                  <c:v>Student 22</c:v>
                </c:pt>
                <c:pt idx="22">
                  <c:v>Student 23</c:v>
                </c:pt>
                <c:pt idx="23">
                  <c:v>Student 24</c:v>
                </c:pt>
                <c:pt idx="24">
                  <c:v>Student 25</c:v>
                </c:pt>
              </c:strCache>
            </c:strRef>
          </c:cat>
          <c:val>
            <c:numRef>
              <c:f>Sheet1!$B$2:$B$26</c:f>
              <c:numCache>
                <c:formatCode>General</c:formatCode>
                <c:ptCount val="25"/>
                <c:pt idx="0">
                  <c:v>16</c:v>
                </c:pt>
                <c:pt idx="1">
                  <c:v>12</c:v>
                </c:pt>
                <c:pt idx="2">
                  <c:v>14</c:v>
                </c:pt>
                <c:pt idx="3">
                  <c:v>13</c:v>
                </c:pt>
                <c:pt idx="4">
                  <c:v>15</c:v>
                </c:pt>
                <c:pt idx="5">
                  <c:v>15</c:v>
                </c:pt>
                <c:pt idx="6">
                  <c:v>14</c:v>
                </c:pt>
                <c:pt idx="7">
                  <c:v>16</c:v>
                </c:pt>
                <c:pt idx="8">
                  <c:v>13</c:v>
                </c:pt>
                <c:pt idx="9">
                  <c:v>12</c:v>
                </c:pt>
                <c:pt idx="10">
                  <c:v>15</c:v>
                </c:pt>
                <c:pt idx="11">
                  <c:v>12</c:v>
                </c:pt>
                <c:pt idx="12">
                  <c:v>14</c:v>
                </c:pt>
                <c:pt idx="13">
                  <c:v>14</c:v>
                </c:pt>
                <c:pt idx="14">
                  <c:v>13</c:v>
                </c:pt>
                <c:pt idx="15">
                  <c:v>16</c:v>
                </c:pt>
                <c:pt idx="16">
                  <c:v>16</c:v>
                </c:pt>
                <c:pt idx="17">
                  <c:v>12</c:v>
                </c:pt>
                <c:pt idx="18">
                  <c:v>17</c:v>
                </c:pt>
                <c:pt idx="19">
                  <c:v>16</c:v>
                </c:pt>
                <c:pt idx="20">
                  <c:v>14</c:v>
                </c:pt>
                <c:pt idx="21">
                  <c:v>15</c:v>
                </c:pt>
                <c:pt idx="22">
                  <c:v>15</c:v>
                </c:pt>
                <c:pt idx="23">
                  <c:v>15</c:v>
                </c:pt>
                <c:pt idx="24">
                  <c:v>16</c:v>
                </c:pt>
              </c:numCache>
            </c:numRef>
          </c:val>
          <c:extLst>
            <c:ext xmlns:c16="http://schemas.microsoft.com/office/drawing/2014/chart" uri="{C3380CC4-5D6E-409C-BE32-E72D297353CC}">
              <c16:uniqueId val="{00000000-58D8-46AC-AB72-D73475D6C849}"/>
            </c:ext>
          </c:extLst>
        </c:ser>
        <c:ser>
          <c:idx val="1"/>
          <c:order val="1"/>
          <c:tx>
            <c:strRef>
              <c:f>Sheet1!$C$1</c:f>
              <c:strCache>
                <c:ptCount val="1"/>
                <c:pt idx="0">
                  <c:v>Individual Speech Results</c:v>
                </c:pt>
              </c:strCache>
            </c:strRef>
          </c:tx>
          <c:invertIfNegative val="0"/>
          <c:cat>
            <c:strRef>
              <c:f>Sheet1!$A$2:$A$26</c:f>
              <c:strCache>
                <c:ptCount val="25"/>
                <c:pt idx="0">
                  <c:v>Student 1 </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pt idx="20">
                  <c:v>Student 21</c:v>
                </c:pt>
                <c:pt idx="21">
                  <c:v>Student 22</c:v>
                </c:pt>
                <c:pt idx="22">
                  <c:v>Student 23</c:v>
                </c:pt>
                <c:pt idx="23">
                  <c:v>Student 24</c:v>
                </c:pt>
                <c:pt idx="24">
                  <c:v>Student 25</c:v>
                </c:pt>
              </c:strCache>
            </c:strRef>
          </c:cat>
          <c:val>
            <c:numRef>
              <c:f>Sheet1!$C$2:$C$26</c:f>
              <c:numCache>
                <c:formatCode>General</c:formatCode>
                <c:ptCount val="25"/>
                <c:pt idx="0">
                  <c:v>15</c:v>
                </c:pt>
                <c:pt idx="1">
                  <c:v>10</c:v>
                </c:pt>
                <c:pt idx="2">
                  <c:v>10</c:v>
                </c:pt>
                <c:pt idx="3">
                  <c:v>15</c:v>
                </c:pt>
                <c:pt idx="4">
                  <c:v>15</c:v>
                </c:pt>
                <c:pt idx="5">
                  <c:v>12</c:v>
                </c:pt>
                <c:pt idx="6">
                  <c:v>13</c:v>
                </c:pt>
                <c:pt idx="7">
                  <c:v>14</c:v>
                </c:pt>
                <c:pt idx="8">
                  <c:v>10</c:v>
                </c:pt>
                <c:pt idx="9">
                  <c:v>10</c:v>
                </c:pt>
                <c:pt idx="10">
                  <c:v>10</c:v>
                </c:pt>
                <c:pt idx="11">
                  <c:v>14</c:v>
                </c:pt>
                <c:pt idx="12">
                  <c:v>12</c:v>
                </c:pt>
                <c:pt idx="13">
                  <c:v>12</c:v>
                </c:pt>
                <c:pt idx="14">
                  <c:v>13</c:v>
                </c:pt>
                <c:pt idx="15">
                  <c:v>14</c:v>
                </c:pt>
                <c:pt idx="16">
                  <c:v>16</c:v>
                </c:pt>
                <c:pt idx="17">
                  <c:v>12</c:v>
                </c:pt>
                <c:pt idx="18">
                  <c:v>15</c:v>
                </c:pt>
                <c:pt idx="19">
                  <c:v>14</c:v>
                </c:pt>
                <c:pt idx="20">
                  <c:v>12</c:v>
                </c:pt>
                <c:pt idx="21">
                  <c:v>13</c:v>
                </c:pt>
                <c:pt idx="22">
                  <c:v>13</c:v>
                </c:pt>
                <c:pt idx="23">
                  <c:v>12</c:v>
                </c:pt>
                <c:pt idx="24">
                  <c:v>14</c:v>
                </c:pt>
              </c:numCache>
            </c:numRef>
          </c:val>
          <c:extLst>
            <c:ext xmlns:c16="http://schemas.microsoft.com/office/drawing/2014/chart" uri="{C3380CC4-5D6E-409C-BE32-E72D297353CC}">
              <c16:uniqueId val="{00000001-58D8-46AC-AB72-D73475D6C849}"/>
            </c:ext>
          </c:extLst>
        </c:ser>
        <c:dLbls>
          <c:showLegendKey val="0"/>
          <c:showVal val="0"/>
          <c:showCatName val="0"/>
          <c:showSerName val="0"/>
          <c:showPercent val="0"/>
          <c:showBubbleSize val="0"/>
        </c:dLbls>
        <c:gapWidth val="150"/>
        <c:shape val="box"/>
        <c:axId val="44063744"/>
        <c:axId val="95238784"/>
        <c:axId val="0"/>
      </c:bar3DChart>
      <c:catAx>
        <c:axId val="44063744"/>
        <c:scaling>
          <c:orientation val="minMax"/>
        </c:scaling>
        <c:delete val="0"/>
        <c:axPos val="b"/>
        <c:numFmt formatCode="General" sourceLinked="0"/>
        <c:majorTickMark val="out"/>
        <c:minorTickMark val="none"/>
        <c:tickLblPos val="nextTo"/>
        <c:crossAx val="95238784"/>
        <c:crosses val="autoZero"/>
        <c:auto val="1"/>
        <c:lblAlgn val="ctr"/>
        <c:lblOffset val="100"/>
        <c:noMultiLvlLbl val="0"/>
      </c:catAx>
      <c:valAx>
        <c:axId val="95238784"/>
        <c:scaling>
          <c:orientation val="minMax"/>
        </c:scaling>
        <c:delete val="0"/>
        <c:axPos val="l"/>
        <c:majorGridlines/>
        <c:numFmt formatCode="General" sourceLinked="1"/>
        <c:majorTickMark val="out"/>
        <c:minorTickMark val="none"/>
        <c:tickLblPos val="nextTo"/>
        <c:crossAx val="4406374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Figure 2: Individual Speech Results vs Group Discussion Results</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Individual Speech Results</c:v>
                </c:pt>
              </c:strCache>
            </c:strRef>
          </c:tx>
          <c:invertIfNegative val="0"/>
          <c:cat>
            <c:strRef>
              <c:f>Sheet1!$A$2:$A$26</c:f>
              <c:strCache>
                <c:ptCount val="25"/>
                <c:pt idx="0">
                  <c:v>Student 1 </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pt idx="20">
                  <c:v>Student 21</c:v>
                </c:pt>
                <c:pt idx="21">
                  <c:v>Student 22</c:v>
                </c:pt>
                <c:pt idx="22">
                  <c:v>Student 23</c:v>
                </c:pt>
                <c:pt idx="23">
                  <c:v>Student 24</c:v>
                </c:pt>
                <c:pt idx="24">
                  <c:v>Student 25</c:v>
                </c:pt>
              </c:strCache>
            </c:strRef>
          </c:cat>
          <c:val>
            <c:numRef>
              <c:f>Sheet1!$B$2:$B$26</c:f>
              <c:numCache>
                <c:formatCode>General</c:formatCode>
                <c:ptCount val="25"/>
                <c:pt idx="0">
                  <c:v>15</c:v>
                </c:pt>
                <c:pt idx="1">
                  <c:v>10</c:v>
                </c:pt>
                <c:pt idx="2">
                  <c:v>10</c:v>
                </c:pt>
                <c:pt idx="3">
                  <c:v>15</c:v>
                </c:pt>
                <c:pt idx="4">
                  <c:v>15</c:v>
                </c:pt>
                <c:pt idx="5">
                  <c:v>12</c:v>
                </c:pt>
                <c:pt idx="6">
                  <c:v>13</c:v>
                </c:pt>
                <c:pt idx="7">
                  <c:v>14</c:v>
                </c:pt>
                <c:pt idx="8">
                  <c:v>10</c:v>
                </c:pt>
                <c:pt idx="9">
                  <c:v>10</c:v>
                </c:pt>
                <c:pt idx="10">
                  <c:v>10</c:v>
                </c:pt>
                <c:pt idx="11">
                  <c:v>14</c:v>
                </c:pt>
                <c:pt idx="12">
                  <c:v>12</c:v>
                </c:pt>
                <c:pt idx="13">
                  <c:v>12</c:v>
                </c:pt>
                <c:pt idx="14">
                  <c:v>13</c:v>
                </c:pt>
                <c:pt idx="15">
                  <c:v>14</c:v>
                </c:pt>
                <c:pt idx="16">
                  <c:v>16</c:v>
                </c:pt>
                <c:pt idx="17">
                  <c:v>12</c:v>
                </c:pt>
                <c:pt idx="18">
                  <c:v>15</c:v>
                </c:pt>
                <c:pt idx="19">
                  <c:v>14</c:v>
                </c:pt>
                <c:pt idx="20">
                  <c:v>12</c:v>
                </c:pt>
                <c:pt idx="21">
                  <c:v>13</c:v>
                </c:pt>
                <c:pt idx="22">
                  <c:v>13</c:v>
                </c:pt>
                <c:pt idx="23">
                  <c:v>12</c:v>
                </c:pt>
                <c:pt idx="24">
                  <c:v>14</c:v>
                </c:pt>
              </c:numCache>
            </c:numRef>
          </c:val>
          <c:extLst>
            <c:ext xmlns:c16="http://schemas.microsoft.com/office/drawing/2014/chart" uri="{C3380CC4-5D6E-409C-BE32-E72D297353CC}">
              <c16:uniqueId val="{00000000-863A-4A5D-9270-DF511616BC35}"/>
            </c:ext>
          </c:extLst>
        </c:ser>
        <c:ser>
          <c:idx val="1"/>
          <c:order val="1"/>
          <c:tx>
            <c:strRef>
              <c:f>Sheet1!$C$1</c:f>
              <c:strCache>
                <c:ptCount val="1"/>
                <c:pt idx="0">
                  <c:v>Group Discussion Results</c:v>
                </c:pt>
              </c:strCache>
            </c:strRef>
          </c:tx>
          <c:invertIfNegative val="0"/>
          <c:cat>
            <c:strRef>
              <c:f>Sheet1!$A$2:$A$26</c:f>
              <c:strCache>
                <c:ptCount val="25"/>
                <c:pt idx="0">
                  <c:v>Student 1 </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pt idx="20">
                  <c:v>Student 21</c:v>
                </c:pt>
                <c:pt idx="21">
                  <c:v>Student 22</c:v>
                </c:pt>
                <c:pt idx="22">
                  <c:v>Student 23</c:v>
                </c:pt>
                <c:pt idx="23">
                  <c:v>Student 24</c:v>
                </c:pt>
                <c:pt idx="24">
                  <c:v>Student 25</c:v>
                </c:pt>
              </c:strCache>
            </c:strRef>
          </c:cat>
          <c:val>
            <c:numRef>
              <c:f>Sheet1!$C$2:$C$26</c:f>
              <c:numCache>
                <c:formatCode>General</c:formatCode>
                <c:ptCount val="25"/>
                <c:pt idx="0">
                  <c:v>15</c:v>
                </c:pt>
                <c:pt idx="1">
                  <c:v>14</c:v>
                </c:pt>
                <c:pt idx="2">
                  <c:v>12</c:v>
                </c:pt>
                <c:pt idx="3">
                  <c:v>15</c:v>
                </c:pt>
                <c:pt idx="4">
                  <c:v>16</c:v>
                </c:pt>
                <c:pt idx="5">
                  <c:v>13</c:v>
                </c:pt>
                <c:pt idx="6">
                  <c:v>15</c:v>
                </c:pt>
                <c:pt idx="7">
                  <c:v>15</c:v>
                </c:pt>
                <c:pt idx="8">
                  <c:v>14</c:v>
                </c:pt>
                <c:pt idx="9">
                  <c:v>10</c:v>
                </c:pt>
                <c:pt idx="10">
                  <c:v>12</c:v>
                </c:pt>
                <c:pt idx="11">
                  <c:v>10</c:v>
                </c:pt>
                <c:pt idx="12">
                  <c:v>13</c:v>
                </c:pt>
                <c:pt idx="13">
                  <c:v>14</c:v>
                </c:pt>
                <c:pt idx="14">
                  <c:v>13</c:v>
                </c:pt>
                <c:pt idx="15">
                  <c:v>16</c:v>
                </c:pt>
                <c:pt idx="16">
                  <c:v>16</c:v>
                </c:pt>
                <c:pt idx="17">
                  <c:v>13</c:v>
                </c:pt>
                <c:pt idx="18">
                  <c:v>16</c:v>
                </c:pt>
                <c:pt idx="19">
                  <c:v>16</c:v>
                </c:pt>
                <c:pt idx="20">
                  <c:v>13</c:v>
                </c:pt>
                <c:pt idx="21">
                  <c:v>12</c:v>
                </c:pt>
                <c:pt idx="22">
                  <c:v>14</c:v>
                </c:pt>
                <c:pt idx="23">
                  <c:v>12</c:v>
                </c:pt>
                <c:pt idx="24">
                  <c:v>14</c:v>
                </c:pt>
              </c:numCache>
            </c:numRef>
          </c:val>
          <c:extLst>
            <c:ext xmlns:c16="http://schemas.microsoft.com/office/drawing/2014/chart" uri="{C3380CC4-5D6E-409C-BE32-E72D297353CC}">
              <c16:uniqueId val="{00000001-863A-4A5D-9270-DF511616BC35}"/>
            </c:ext>
          </c:extLst>
        </c:ser>
        <c:dLbls>
          <c:showLegendKey val="0"/>
          <c:showVal val="0"/>
          <c:showCatName val="0"/>
          <c:showSerName val="0"/>
          <c:showPercent val="0"/>
          <c:showBubbleSize val="0"/>
        </c:dLbls>
        <c:gapWidth val="150"/>
        <c:shape val="box"/>
        <c:axId val="79835136"/>
        <c:axId val="79836672"/>
        <c:axId val="0"/>
      </c:bar3DChart>
      <c:catAx>
        <c:axId val="79835136"/>
        <c:scaling>
          <c:orientation val="minMax"/>
        </c:scaling>
        <c:delete val="0"/>
        <c:axPos val="b"/>
        <c:numFmt formatCode="General" sourceLinked="0"/>
        <c:majorTickMark val="out"/>
        <c:minorTickMark val="none"/>
        <c:tickLblPos val="nextTo"/>
        <c:crossAx val="79836672"/>
        <c:crosses val="autoZero"/>
        <c:auto val="1"/>
        <c:lblAlgn val="ctr"/>
        <c:lblOffset val="100"/>
        <c:noMultiLvlLbl val="0"/>
      </c:catAx>
      <c:valAx>
        <c:axId val="79836672"/>
        <c:scaling>
          <c:orientation val="minMax"/>
        </c:scaling>
        <c:delete val="0"/>
        <c:axPos val="l"/>
        <c:majorGridlines/>
        <c:numFmt formatCode="General" sourceLinked="1"/>
        <c:majorTickMark val="out"/>
        <c:minorTickMark val="none"/>
        <c:tickLblPos val="nextTo"/>
        <c:crossAx val="7983513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8518</Words>
  <Characters>44555</Characters>
  <Application>Microsoft Office Word</Application>
  <DocSecurity>0</DocSecurity>
  <Lines>602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 Humphries (1701944)</dc:creator>
  <cp:lastModifiedBy>Cerys Humphries (1701944)</cp:lastModifiedBy>
  <cp:revision>2</cp:revision>
  <dcterms:created xsi:type="dcterms:W3CDTF">2018-05-13T20:52:00Z</dcterms:created>
  <dcterms:modified xsi:type="dcterms:W3CDTF">2018-05-13T20:52:00Z</dcterms:modified>
</cp:coreProperties>
</file>