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1917D4" w14:textId="77777777" w:rsidR="00CC658E" w:rsidRPr="008613BE" w:rsidRDefault="00CC658E" w:rsidP="00934B1E">
      <w:pPr>
        <w:spacing w:after="0" w:line="240" w:lineRule="auto"/>
        <w:jc w:val="center"/>
        <w:rPr>
          <w:rFonts w:ascii="Arial" w:hAnsi="Arial" w:cs="Arial"/>
          <w:b/>
          <w:sz w:val="24"/>
          <w:szCs w:val="24"/>
          <w:u w:val="single"/>
        </w:rPr>
      </w:pPr>
      <w:r w:rsidRPr="008613BE">
        <w:rPr>
          <w:rFonts w:ascii="Arial" w:hAnsi="Arial" w:cs="Arial"/>
          <w:b/>
          <w:sz w:val="24"/>
          <w:szCs w:val="24"/>
          <w:u w:val="single"/>
        </w:rPr>
        <w:t>COVER PAGE</w:t>
      </w:r>
    </w:p>
    <w:p w14:paraId="50768D5E" w14:textId="77777777" w:rsidR="00CC658E" w:rsidRPr="008613BE" w:rsidRDefault="00CC658E" w:rsidP="00934B1E">
      <w:pPr>
        <w:spacing w:after="0" w:line="240" w:lineRule="auto"/>
        <w:jc w:val="both"/>
        <w:rPr>
          <w:rFonts w:ascii="Arial" w:hAnsi="Arial" w:cs="Arial"/>
          <w:b/>
          <w:sz w:val="24"/>
          <w:szCs w:val="24"/>
        </w:rPr>
      </w:pPr>
    </w:p>
    <w:p w14:paraId="2D7C6A5E" w14:textId="219A7AFE" w:rsidR="005C2383" w:rsidRPr="008613BE" w:rsidRDefault="005C2383" w:rsidP="00934B1E">
      <w:pPr>
        <w:spacing w:after="0" w:line="240" w:lineRule="auto"/>
        <w:jc w:val="both"/>
        <w:rPr>
          <w:rFonts w:ascii="Arial" w:hAnsi="Arial" w:cs="Arial"/>
          <w:b/>
          <w:sz w:val="24"/>
          <w:szCs w:val="24"/>
        </w:rPr>
      </w:pPr>
      <w:r w:rsidRPr="008613BE">
        <w:rPr>
          <w:rFonts w:ascii="Arial" w:hAnsi="Arial" w:cs="Arial"/>
          <w:b/>
          <w:sz w:val="24"/>
          <w:szCs w:val="24"/>
        </w:rPr>
        <w:t>Name</w:t>
      </w:r>
      <w:r w:rsidR="00510BB1" w:rsidRPr="008613BE">
        <w:rPr>
          <w:rFonts w:ascii="Arial" w:hAnsi="Arial" w:cs="Arial"/>
          <w:b/>
          <w:sz w:val="24"/>
          <w:szCs w:val="24"/>
        </w:rPr>
        <w:t>:</w:t>
      </w:r>
      <w:r w:rsidR="00EB03BA">
        <w:rPr>
          <w:rFonts w:ascii="Arial" w:hAnsi="Arial" w:cs="Arial"/>
          <w:b/>
          <w:sz w:val="24"/>
          <w:szCs w:val="24"/>
        </w:rPr>
        <w:t xml:space="preserve"> Eduardo Polanco Adoka </w:t>
      </w:r>
    </w:p>
    <w:p w14:paraId="379ECF68" w14:textId="03D700D7" w:rsidR="005C2383" w:rsidRPr="008613BE" w:rsidRDefault="005C2383" w:rsidP="00934B1E">
      <w:pPr>
        <w:spacing w:after="0" w:line="240" w:lineRule="auto"/>
        <w:jc w:val="both"/>
        <w:rPr>
          <w:rFonts w:ascii="Arial" w:hAnsi="Arial" w:cs="Arial"/>
          <w:b/>
          <w:sz w:val="24"/>
          <w:szCs w:val="24"/>
        </w:rPr>
      </w:pPr>
      <w:r w:rsidRPr="008613BE">
        <w:rPr>
          <w:rFonts w:ascii="Arial" w:hAnsi="Arial" w:cs="Arial"/>
          <w:b/>
          <w:sz w:val="24"/>
          <w:szCs w:val="24"/>
        </w:rPr>
        <w:t>Module title:</w:t>
      </w:r>
      <w:r w:rsidR="00EB03BA">
        <w:rPr>
          <w:rFonts w:ascii="Arial" w:hAnsi="Arial" w:cs="Arial"/>
          <w:b/>
          <w:sz w:val="24"/>
          <w:szCs w:val="24"/>
        </w:rPr>
        <w:t xml:space="preserve"> Sustainable hospitality &amp;</w:t>
      </w:r>
      <w:r w:rsidR="008D3C13">
        <w:rPr>
          <w:rFonts w:ascii="Arial" w:hAnsi="Arial" w:cs="Arial"/>
          <w:b/>
          <w:sz w:val="24"/>
          <w:szCs w:val="24"/>
        </w:rPr>
        <w:t xml:space="preserve">Tourism Management </w:t>
      </w:r>
    </w:p>
    <w:p w14:paraId="190974EA" w14:textId="7613A76F" w:rsidR="005C2383" w:rsidRPr="008613BE" w:rsidRDefault="005C2383" w:rsidP="00934B1E">
      <w:pPr>
        <w:spacing w:after="0" w:line="240" w:lineRule="auto"/>
        <w:jc w:val="both"/>
        <w:rPr>
          <w:rFonts w:ascii="Arial" w:hAnsi="Arial" w:cs="Arial"/>
          <w:b/>
          <w:sz w:val="24"/>
          <w:szCs w:val="24"/>
        </w:rPr>
      </w:pPr>
      <w:r w:rsidRPr="008613BE">
        <w:rPr>
          <w:rFonts w:ascii="Arial" w:hAnsi="Arial" w:cs="Arial"/>
          <w:b/>
          <w:sz w:val="24"/>
          <w:szCs w:val="24"/>
        </w:rPr>
        <w:t>Module code</w:t>
      </w:r>
      <w:r w:rsidR="00510BB1" w:rsidRPr="008613BE">
        <w:rPr>
          <w:rFonts w:ascii="Arial" w:hAnsi="Arial" w:cs="Arial"/>
          <w:b/>
          <w:sz w:val="24"/>
          <w:szCs w:val="24"/>
        </w:rPr>
        <w:t>:</w:t>
      </w:r>
      <w:r w:rsidR="008D3C13">
        <w:rPr>
          <w:rFonts w:ascii="Arial" w:hAnsi="Arial" w:cs="Arial"/>
          <w:b/>
          <w:sz w:val="24"/>
          <w:szCs w:val="24"/>
        </w:rPr>
        <w:t xml:space="preserve"> </w:t>
      </w:r>
      <w:r w:rsidR="00727D98">
        <w:rPr>
          <w:rFonts w:ascii="Arial" w:hAnsi="Arial" w:cs="Arial"/>
          <w:b/>
          <w:sz w:val="24"/>
          <w:szCs w:val="24"/>
        </w:rPr>
        <w:t>BMIH5006</w:t>
      </w:r>
    </w:p>
    <w:p w14:paraId="6FD9674A" w14:textId="4D9EF6B3" w:rsidR="005C2383" w:rsidRDefault="005C2383" w:rsidP="00934B1E">
      <w:pPr>
        <w:spacing w:after="0" w:line="240" w:lineRule="auto"/>
        <w:jc w:val="both"/>
        <w:rPr>
          <w:rFonts w:ascii="Arial" w:hAnsi="Arial" w:cs="Arial"/>
          <w:b/>
          <w:sz w:val="24"/>
          <w:szCs w:val="24"/>
        </w:rPr>
      </w:pPr>
      <w:r w:rsidRPr="008613BE">
        <w:rPr>
          <w:rFonts w:ascii="Arial" w:hAnsi="Arial" w:cs="Arial"/>
          <w:b/>
          <w:sz w:val="24"/>
          <w:szCs w:val="24"/>
        </w:rPr>
        <w:t>Lecturer’s name</w:t>
      </w:r>
      <w:r w:rsidR="00510BB1" w:rsidRPr="008613BE">
        <w:rPr>
          <w:rFonts w:ascii="Arial" w:hAnsi="Arial" w:cs="Arial"/>
          <w:b/>
          <w:sz w:val="24"/>
          <w:szCs w:val="24"/>
        </w:rPr>
        <w:t>:</w:t>
      </w:r>
      <w:r w:rsidR="00727D98">
        <w:rPr>
          <w:rFonts w:ascii="Arial" w:hAnsi="Arial" w:cs="Arial"/>
          <w:b/>
          <w:sz w:val="24"/>
          <w:szCs w:val="24"/>
        </w:rPr>
        <w:t xml:space="preserve"> Kathryn </w:t>
      </w:r>
      <w:r w:rsidR="0058259F">
        <w:rPr>
          <w:rFonts w:ascii="Arial" w:hAnsi="Arial" w:cs="Arial"/>
          <w:b/>
          <w:sz w:val="24"/>
          <w:szCs w:val="24"/>
        </w:rPr>
        <w:t>Roberts</w:t>
      </w:r>
    </w:p>
    <w:p w14:paraId="33A3B749" w14:textId="67D8F802" w:rsidR="0058259F" w:rsidRPr="008613BE" w:rsidRDefault="0058259F" w:rsidP="00934B1E">
      <w:pPr>
        <w:spacing w:after="0" w:line="240" w:lineRule="auto"/>
        <w:jc w:val="both"/>
        <w:rPr>
          <w:rFonts w:ascii="Arial" w:hAnsi="Arial" w:cs="Arial"/>
          <w:b/>
          <w:sz w:val="24"/>
          <w:szCs w:val="24"/>
        </w:rPr>
      </w:pPr>
      <w:r>
        <w:rPr>
          <w:rFonts w:ascii="Arial" w:hAnsi="Arial" w:cs="Arial"/>
          <w:b/>
          <w:sz w:val="24"/>
          <w:szCs w:val="24"/>
        </w:rPr>
        <w:t xml:space="preserve">Assignment Title: </w:t>
      </w:r>
      <w:r w:rsidR="002D67AF">
        <w:rPr>
          <w:rFonts w:ascii="Arial" w:hAnsi="Arial" w:cs="Arial"/>
          <w:b/>
          <w:sz w:val="24"/>
          <w:szCs w:val="24"/>
        </w:rPr>
        <w:t>Report resit</w:t>
      </w:r>
    </w:p>
    <w:p w14:paraId="2E6820D0" w14:textId="77777777" w:rsidR="005C2383" w:rsidRPr="008613BE" w:rsidRDefault="005C2383" w:rsidP="00934B1E">
      <w:pPr>
        <w:spacing w:after="0" w:line="240" w:lineRule="auto"/>
        <w:jc w:val="both"/>
        <w:rPr>
          <w:rFonts w:ascii="Arial" w:hAnsi="Arial" w:cs="Arial"/>
          <w:b/>
          <w:sz w:val="24"/>
          <w:szCs w:val="24"/>
        </w:rPr>
      </w:pPr>
    </w:p>
    <w:p w14:paraId="03ED1A4B" w14:textId="77777777" w:rsidR="009D0483" w:rsidRPr="008613BE" w:rsidRDefault="009D0483" w:rsidP="00934B1E">
      <w:pPr>
        <w:spacing w:after="160" w:line="240" w:lineRule="auto"/>
        <w:rPr>
          <w:rFonts w:ascii="Arial" w:hAnsi="Arial" w:cs="Arial"/>
          <w:b/>
          <w:sz w:val="24"/>
          <w:szCs w:val="24"/>
        </w:rPr>
      </w:pPr>
      <w:r w:rsidRPr="008613BE">
        <w:rPr>
          <w:rFonts w:ascii="Arial" w:hAnsi="Arial" w:cs="Arial"/>
          <w:b/>
          <w:sz w:val="24"/>
          <w:szCs w:val="24"/>
        </w:rPr>
        <w:br w:type="page"/>
      </w:r>
    </w:p>
    <w:p w14:paraId="7936330B" w14:textId="43373A0E" w:rsidR="000425B6" w:rsidRPr="008613BE" w:rsidRDefault="000425B6" w:rsidP="009731C8">
      <w:pPr>
        <w:spacing w:line="360" w:lineRule="auto"/>
        <w:rPr>
          <w:rFonts w:ascii="Arial" w:hAnsi="Arial" w:cs="Arial"/>
          <w:b/>
          <w:bCs/>
          <w:sz w:val="24"/>
          <w:szCs w:val="24"/>
          <w:u w:val="single"/>
          <w:lang w:val="en-US"/>
        </w:rPr>
      </w:pPr>
      <w:r w:rsidRPr="008613BE">
        <w:rPr>
          <w:rFonts w:ascii="Arial" w:hAnsi="Arial" w:cs="Arial"/>
          <w:b/>
          <w:bCs/>
          <w:sz w:val="24"/>
          <w:szCs w:val="24"/>
          <w:u w:val="single"/>
          <w:lang w:val="en-US"/>
        </w:rPr>
        <w:lastRenderedPageBreak/>
        <w:t>ASSIGNMENT # 0</w:t>
      </w:r>
      <w:r w:rsidR="009D6E91" w:rsidRPr="008613BE">
        <w:rPr>
          <w:rFonts w:ascii="Arial" w:hAnsi="Arial" w:cs="Arial"/>
          <w:b/>
          <w:bCs/>
          <w:sz w:val="24"/>
          <w:szCs w:val="24"/>
          <w:u w:val="single"/>
          <w:lang w:val="en-US"/>
        </w:rPr>
        <w:t>2</w:t>
      </w:r>
    </w:p>
    <w:p w14:paraId="5866131C" w14:textId="77777777" w:rsidR="0086357D" w:rsidRPr="008613BE" w:rsidRDefault="0086357D" w:rsidP="009731C8">
      <w:pPr>
        <w:spacing w:after="160" w:line="360" w:lineRule="auto"/>
        <w:jc w:val="center"/>
        <w:rPr>
          <w:rFonts w:ascii="Arial" w:hAnsi="Arial" w:cs="Arial"/>
          <w:b/>
          <w:bCs/>
          <w:sz w:val="24"/>
          <w:szCs w:val="24"/>
          <w:u w:val="single"/>
          <w:lang w:val="en-US"/>
        </w:rPr>
      </w:pPr>
      <w:r w:rsidRPr="008613BE">
        <w:rPr>
          <w:rFonts w:ascii="Arial" w:hAnsi="Arial" w:cs="Arial"/>
          <w:b/>
          <w:bCs/>
          <w:sz w:val="24"/>
          <w:szCs w:val="24"/>
          <w:u w:val="single"/>
          <w:lang w:val="en-US"/>
        </w:rPr>
        <w:t>Introduction</w:t>
      </w:r>
    </w:p>
    <w:p w14:paraId="5EF7EE10" w14:textId="41D4FC93" w:rsidR="0086357D" w:rsidRPr="008613BE" w:rsidRDefault="00FC0A3E" w:rsidP="009731C8">
      <w:pPr>
        <w:spacing w:before="100" w:beforeAutospacing="1" w:after="100" w:afterAutospacing="1" w:line="360" w:lineRule="auto"/>
        <w:jc w:val="both"/>
        <w:rPr>
          <w:rFonts w:ascii="Arial" w:eastAsia="Times New Roman" w:hAnsi="Arial" w:cs="Arial"/>
          <w:color w:val="000000" w:themeColor="text1"/>
          <w:sz w:val="24"/>
          <w:szCs w:val="24"/>
        </w:rPr>
      </w:pPr>
      <w:r w:rsidRPr="008613BE">
        <w:rPr>
          <w:rFonts w:ascii="Arial" w:eastAsia="Times New Roman" w:hAnsi="Arial" w:cs="Arial"/>
          <w:color w:val="000000" w:themeColor="text1"/>
          <w:sz w:val="24"/>
          <w:szCs w:val="24"/>
        </w:rPr>
        <w:t xml:space="preserve">The hotel sector all over the world uses a lot of resources, creates a lot of waste and emits notable amounts of carbon dioxide. With international tourism increasing after the pandemic, people are paying more attention to sustainability. Correia (2019) argues that incorporating sustainability into a business’s strategy ensures the business can connect with both eco-friendly </w:t>
      </w:r>
      <w:r w:rsidR="000A025C" w:rsidRPr="008613BE">
        <w:rPr>
          <w:rFonts w:ascii="Arial" w:eastAsia="Times New Roman" w:hAnsi="Arial" w:cs="Arial"/>
          <w:color w:val="000000" w:themeColor="text1"/>
          <w:sz w:val="24"/>
          <w:szCs w:val="24"/>
        </w:rPr>
        <w:t>travellers</w:t>
      </w:r>
      <w:r w:rsidRPr="008613BE">
        <w:rPr>
          <w:rFonts w:ascii="Arial" w:eastAsia="Times New Roman" w:hAnsi="Arial" w:cs="Arial"/>
          <w:color w:val="000000" w:themeColor="text1"/>
          <w:sz w:val="24"/>
          <w:szCs w:val="24"/>
        </w:rPr>
        <w:t xml:space="preserve"> and socially minded investors. Furthermore, academics have found that hotels’ energy needs for heating, cooling and lighting seriously harm both nature and company finances. At the same time, new rules on carbon pricing and waste make it necessary for companies to innovate early to avoid falling behind. Sustainable and circular business models give an example of how industries can transform their activities. The introduction discusses why hotels are changing their operating methods by detailing climate change impacts, stakeholder influence and rising demand for eco-friendly lodging.</w:t>
      </w:r>
    </w:p>
    <w:p w14:paraId="6874D44C" w14:textId="77777777" w:rsidR="0086357D" w:rsidRPr="008613BE" w:rsidRDefault="0086357D" w:rsidP="009731C8">
      <w:pPr>
        <w:spacing w:after="0" w:line="360" w:lineRule="auto"/>
        <w:jc w:val="both"/>
        <w:rPr>
          <w:rFonts w:ascii="Arial" w:eastAsia="Times New Roman" w:hAnsi="Arial" w:cs="Arial"/>
          <w:color w:val="000000" w:themeColor="text1"/>
          <w:sz w:val="24"/>
          <w:szCs w:val="24"/>
        </w:rPr>
      </w:pPr>
    </w:p>
    <w:p w14:paraId="65014472" w14:textId="77777777" w:rsidR="0086357D" w:rsidRPr="008613BE" w:rsidRDefault="0086357D" w:rsidP="009731C8">
      <w:pPr>
        <w:spacing w:after="160" w:line="360" w:lineRule="auto"/>
        <w:jc w:val="center"/>
        <w:rPr>
          <w:rFonts w:ascii="Arial" w:hAnsi="Arial" w:cs="Arial"/>
          <w:b/>
          <w:bCs/>
          <w:sz w:val="24"/>
          <w:szCs w:val="24"/>
          <w:u w:val="single"/>
          <w:lang w:val="en-US"/>
        </w:rPr>
      </w:pPr>
      <w:r w:rsidRPr="008613BE">
        <w:rPr>
          <w:rFonts w:ascii="Arial" w:hAnsi="Arial" w:cs="Arial"/>
          <w:b/>
          <w:bCs/>
          <w:sz w:val="24"/>
          <w:szCs w:val="24"/>
          <w:u w:val="single"/>
          <w:lang w:val="en-US"/>
        </w:rPr>
        <w:t>Theoretical Frameworks</w:t>
      </w:r>
    </w:p>
    <w:p w14:paraId="7CABA546" w14:textId="77777777" w:rsidR="0086357D" w:rsidRPr="008613BE" w:rsidRDefault="0086357D" w:rsidP="009731C8">
      <w:pPr>
        <w:spacing w:line="360" w:lineRule="auto"/>
        <w:rPr>
          <w:rFonts w:ascii="Arial" w:hAnsi="Arial" w:cs="Arial"/>
          <w:b/>
          <w:color w:val="000000" w:themeColor="text1"/>
          <w:sz w:val="24"/>
          <w:szCs w:val="24"/>
          <w:u w:val="single"/>
        </w:rPr>
      </w:pPr>
      <w:r w:rsidRPr="008613BE">
        <w:rPr>
          <w:rFonts w:ascii="Arial" w:hAnsi="Arial" w:cs="Arial"/>
          <w:b/>
          <w:color w:val="000000" w:themeColor="text1"/>
          <w:sz w:val="24"/>
          <w:szCs w:val="24"/>
          <w:u w:val="single"/>
        </w:rPr>
        <w:t>Triple Bottom Line (TBL)</w:t>
      </w:r>
    </w:p>
    <w:p w14:paraId="5FF062CB" w14:textId="74A311A2" w:rsidR="0086357D" w:rsidRDefault="00B508B8" w:rsidP="009731C8">
      <w:pPr>
        <w:spacing w:before="100" w:beforeAutospacing="1" w:after="100" w:afterAutospacing="1" w:line="360" w:lineRule="auto"/>
        <w:jc w:val="both"/>
        <w:rPr>
          <w:rFonts w:ascii="Arial" w:eastAsia="Times New Roman" w:hAnsi="Arial" w:cs="Arial"/>
          <w:color w:val="000000" w:themeColor="text1"/>
          <w:sz w:val="24"/>
          <w:szCs w:val="24"/>
        </w:rPr>
      </w:pPr>
      <w:r w:rsidRPr="008613BE">
        <w:rPr>
          <w:rFonts w:ascii="Arial" w:eastAsia="Times New Roman" w:hAnsi="Arial" w:cs="Arial"/>
          <w:color w:val="000000" w:themeColor="text1"/>
          <w:sz w:val="24"/>
          <w:szCs w:val="24"/>
        </w:rPr>
        <w:t>Elkington’s (1994) TBL framework introduces three key areas that businesses should focus on—environmental, social and financial—to reach sustainable development goals</w:t>
      </w:r>
      <w:r w:rsidR="00B90458">
        <w:rPr>
          <w:rFonts w:ascii="Arial" w:eastAsia="Times New Roman" w:hAnsi="Arial" w:cs="Arial"/>
          <w:color w:val="000000" w:themeColor="text1"/>
          <w:sz w:val="24"/>
          <w:szCs w:val="24"/>
        </w:rPr>
        <w:t xml:space="preserve"> </w:t>
      </w:r>
      <w:r w:rsidR="00B90458" w:rsidRPr="00B90458">
        <w:rPr>
          <w:rFonts w:ascii="Arial" w:eastAsia="Times New Roman" w:hAnsi="Arial" w:cs="Arial"/>
          <w:color w:val="000000" w:themeColor="text1"/>
          <w:sz w:val="24"/>
          <w:szCs w:val="24"/>
        </w:rPr>
        <w:t>(Elkington, 1997; Kenton, 2025)</w:t>
      </w:r>
      <w:r w:rsidRPr="008613BE">
        <w:rPr>
          <w:rFonts w:ascii="Arial" w:eastAsia="Times New Roman" w:hAnsi="Arial" w:cs="Arial"/>
          <w:color w:val="000000" w:themeColor="text1"/>
          <w:sz w:val="24"/>
          <w:szCs w:val="24"/>
        </w:rPr>
        <w:t xml:space="preserve">. By adopting this strategy, companies are urged to examine their profit and also their influence on the environment and society. Using bibliometric analysis, it is obvious that research focused on TBL in the hospitality sector is growing, proving how much all three TBL pillars depend on each other (Csikósová et al., 2020; Santosh NC and Kukuh Nirmala, 2023). According to Correia (2019), </w:t>
      </w:r>
      <w:r w:rsidR="000A025C" w:rsidRPr="008613BE">
        <w:rPr>
          <w:rFonts w:ascii="Arial" w:eastAsia="Times New Roman" w:hAnsi="Arial" w:cs="Arial"/>
          <w:color w:val="000000" w:themeColor="text1"/>
          <w:sz w:val="24"/>
          <w:szCs w:val="24"/>
        </w:rPr>
        <w:t>incorporating</w:t>
      </w:r>
      <w:r w:rsidRPr="008613BE">
        <w:rPr>
          <w:rFonts w:ascii="Arial" w:eastAsia="Times New Roman" w:hAnsi="Arial" w:cs="Arial"/>
          <w:color w:val="000000" w:themeColor="text1"/>
          <w:sz w:val="24"/>
          <w:szCs w:val="24"/>
        </w:rPr>
        <w:t xml:space="preserve"> TBL improves the company’s ability to use resources wisely and engage workers which eventually results in a better reputation for the brand and more loyalty among customers. In addition, research focused on hospitality shows that using TBL-based metrics such as energy consumption per person staying at a hotel, helps hotels </w:t>
      </w:r>
      <w:r w:rsidRPr="008613BE">
        <w:rPr>
          <w:rFonts w:ascii="Arial" w:eastAsia="Times New Roman" w:hAnsi="Arial" w:cs="Arial"/>
          <w:color w:val="000000" w:themeColor="text1"/>
          <w:sz w:val="24"/>
          <w:szCs w:val="24"/>
        </w:rPr>
        <w:lastRenderedPageBreak/>
        <w:t>compare their efficiency with that of others, find places to improve and determine useful goals for improvement.</w:t>
      </w:r>
    </w:p>
    <w:p w14:paraId="6661E376" w14:textId="78992551" w:rsidR="00E35373" w:rsidRDefault="00E35373" w:rsidP="00E35373">
      <w:pPr>
        <w:spacing w:before="100" w:beforeAutospacing="1" w:after="100" w:afterAutospacing="1" w:line="360" w:lineRule="auto"/>
        <w:jc w:val="center"/>
        <w:rPr>
          <w:rFonts w:ascii="Arial" w:eastAsia="Times New Roman" w:hAnsi="Arial" w:cs="Arial"/>
          <w:color w:val="000000" w:themeColor="text1"/>
          <w:sz w:val="24"/>
          <w:szCs w:val="24"/>
        </w:rPr>
      </w:pPr>
      <w:r>
        <w:rPr>
          <w:noProof/>
          <w:lang w:val="en-US"/>
        </w:rPr>
        <w:drawing>
          <wp:inline distT="0" distB="0" distL="0" distR="0" wp14:anchorId="420B08A7" wp14:editId="797C10B7">
            <wp:extent cx="3121573" cy="3102918"/>
            <wp:effectExtent l="0" t="0" r="3175" b="2540"/>
            <wp:docPr id="1" name="Picture 1" descr="Sustainability and the Triple Bottom Line: Nurturing Responsible Corporate  Practices | by Shipu Debnath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and the Triple Bottom Line: Nurturing Responsible Corporate  Practices | by Shipu Debnath | Mediu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34304" cy="3115573"/>
                    </a:xfrm>
                    <a:prstGeom prst="rect">
                      <a:avLst/>
                    </a:prstGeom>
                    <a:noFill/>
                    <a:ln>
                      <a:noFill/>
                    </a:ln>
                  </pic:spPr>
                </pic:pic>
              </a:graphicData>
            </a:graphic>
          </wp:inline>
        </w:drawing>
      </w:r>
    </w:p>
    <w:p w14:paraId="2639947B" w14:textId="253CE037" w:rsidR="00E35373" w:rsidRPr="008613BE" w:rsidRDefault="00E35373" w:rsidP="00E35373">
      <w:pPr>
        <w:spacing w:before="100" w:beforeAutospacing="1" w:after="100" w:afterAutospacing="1" w:line="360" w:lineRule="auto"/>
        <w:jc w:val="center"/>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Figure. TBL </w:t>
      </w:r>
      <w:r w:rsidR="00EA494B">
        <w:rPr>
          <w:rFonts w:ascii="Arial" w:eastAsia="Times New Roman" w:hAnsi="Arial" w:cs="Arial"/>
          <w:color w:val="000000" w:themeColor="text1"/>
          <w:sz w:val="24"/>
          <w:szCs w:val="24"/>
        </w:rPr>
        <w:t>Framework</w:t>
      </w:r>
    </w:p>
    <w:p w14:paraId="240AE309" w14:textId="77777777" w:rsidR="0086357D" w:rsidRPr="008613BE" w:rsidRDefault="0086357D" w:rsidP="009731C8">
      <w:pPr>
        <w:spacing w:line="360" w:lineRule="auto"/>
        <w:rPr>
          <w:rFonts w:ascii="Arial" w:hAnsi="Arial" w:cs="Arial"/>
          <w:b/>
          <w:color w:val="000000" w:themeColor="text1"/>
          <w:sz w:val="24"/>
          <w:szCs w:val="24"/>
          <w:u w:val="single"/>
        </w:rPr>
      </w:pPr>
      <w:r w:rsidRPr="008613BE">
        <w:rPr>
          <w:rFonts w:ascii="Arial" w:hAnsi="Arial" w:cs="Arial"/>
          <w:b/>
          <w:color w:val="000000" w:themeColor="text1"/>
          <w:sz w:val="24"/>
          <w:szCs w:val="24"/>
          <w:u w:val="single"/>
        </w:rPr>
        <w:t>Corporate Social Responsibility (CSR)</w:t>
      </w:r>
    </w:p>
    <w:p w14:paraId="50B48937" w14:textId="551BB7C6" w:rsidR="0086357D" w:rsidRPr="008613BE" w:rsidRDefault="00D520AB" w:rsidP="009731C8">
      <w:pPr>
        <w:spacing w:before="100" w:beforeAutospacing="1" w:after="100" w:afterAutospacing="1" w:line="360" w:lineRule="auto"/>
        <w:jc w:val="both"/>
        <w:rPr>
          <w:rFonts w:ascii="Arial" w:eastAsia="Times New Roman" w:hAnsi="Arial" w:cs="Arial"/>
          <w:color w:val="000000" w:themeColor="text1"/>
          <w:sz w:val="24"/>
          <w:szCs w:val="24"/>
        </w:rPr>
      </w:pPr>
      <w:r w:rsidRPr="008613BE">
        <w:rPr>
          <w:rFonts w:ascii="Arial" w:eastAsia="Times New Roman" w:hAnsi="Arial" w:cs="Arial"/>
          <w:color w:val="000000" w:themeColor="text1"/>
          <w:sz w:val="24"/>
          <w:szCs w:val="24"/>
        </w:rPr>
        <w:t>CSR is not limited to TBL; it includes extra actions made by businesses to improve social welfare and protection of the environment. Hospitality’s CSR includes engaging with the community, ensuring fairness at work and supporting good causes, as well as caring for the environment. According to Johann (2022), during the pandemic, CSR strategies have shifted in the hotel industry to prioritize help for people and support the trust of long-term stakeholders (Khatter, 2025).</w:t>
      </w:r>
      <w:r w:rsidR="0086357D" w:rsidRPr="008613BE">
        <w:rPr>
          <w:rFonts w:ascii="Arial" w:eastAsia="Times New Roman" w:hAnsi="Arial" w:cs="Arial"/>
          <w:color w:val="000000" w:themeColor="text1"/>
          <w:sz w:val="24"/>
          <w:szCs w:val="24"/>
        </w:rPr>
        <w:t xml:space="preserve"> Furthermore, studies show that robust CSR programs lead to positive brand equity, with consumers often willing to pay premium rates for hotels demonstrating genuine social responsibility (Guzzo et al., 2022; Shin et al., 2021). Beyond marketing benefits, CSR contributes to risk mitigation: hotels that proactively engage in disaster relief or community development programs are better positioned to handle crisis scenarios, as they cultivate goodwill and social capital in host regions. CSR initiatives in hotels such as employee welfare schemes and local sourcing can also </w:t>
      </w:r>
      <w:r w:rsidR="0086357D" w:rsidRPr="008613BE">
        <w:rPr>
          <w:rFonts w:ascii="Arial" w:eastAsia="Times New Roman" w:hAnsi="Arial" w:cs="Arial"/>
          <w:color w:val="000000" w:themeColor="text1"/>
          <w:sz w:val="24"/>
          <w:szCs w:val="24"/>
        </w:rPr>
        <w:lastRenderedPageBreak/>
        <w:t>enhance operational resilience by strengthening local supply chains and workforce loyalty.</w:t>
      </w:r>
    </w:p>
    <w:p w14:paraId="3900DE9E" w14:textId="77777777" w:rsidR="0086357D" w:rsidRPr="008613BE" w:rsidRDefault="0086357D" w:rsidP="009731C8">
      <w:pPr>
        <w:spacing w:line="360" w:lineRule="auto"/>
        <w:rPr>
          <w:rFonts w:ascii="Arial" w:hAnsi="Arial" w:cs="Arial"/>
          <w:b/>
          <w:color w:val="000000" w:themeColor="text1"/>
          <w:sz w:val="24"/>
          <w:szCs w:val="24"/>
          <w:u w:val="single"/>
        </w:rPr>
      </w:pPr>
      <w:r w:rsidRPr="008613BE">
        <w:rPr>
          <w:rFonts w:ascii="Arial" w:hAnsi="Arial" w:cs="Arial"/>
          <w:b/>
          <w:color w:val="000000" w:themeColor="text1"/>
          <w:sz w:val="24"/>
          <w:szCs w:val="24"/>
          <w:u w:val="single"/>
        </w:rPr>
        <w:t>Circular Economy</w:t>
      </w:r>
    </w:p>
    <w:p w14:paraId="716932DB" w14:textId="2FB8E906" w:rsidR="0086357D" w:rsidRDefault="0086357D" w:rsidP="009731C8">
      <w:pPr>
        <w:spacing w:before="100" w:beforeAutospacing="1" w:after="100" w:afterAutospacing="1" w:line="360" w:lineRule="auto"/>
        <w:jc w:val="both"/>
        <w:rPr>
          <w:rFonts w:ascii="Arial" w:eastAsia="Times New Roman" w:hAnsi="Arial" w:cs="Arial"/>
          <w:color w:val="000000" w:themeColor="text1"/>
          <w:sz w:val="24"/>
          <w:szCs w:val="24"/>
        </w:rPr>
      </w:pPr>
      <w:r w:rsidRPr="008613BE">
        <w:rPr>
          <w:rFonts w:ascii="Arial" w:eastAsia="Times New Roman" w:hAnsi="Arial" w:cs="Arial"/>
          <w:color w:val="000000" w:themeColor="text1"/>
          <w:sz w:val="24"/>
          <w:szCs w:val="24"/>
        </w:rPr>
        <w:t>The Circular Economy model shifts away from the traditional linear “take-make-dispose” approach, advocating instead for closed-loop systems where waste is minimized, resources are reused, and materials remain in circulation for as long as possible</w:t>
      </w:r>
      <w:r w:rsidR="00BB3E20">
        <w:rPr>
          <w:rFonts w:ascii="Arial" w:eastAsia="Times New Roman" w:hAnsi="Arial" w:cs="Arial"/>
          <w:color w:val="000000" w:themeColor="text1"/>
          <w:sz w:val="24"/>
          <w:szCs w:val="24"/>
        </w:rPr>
        <w:t xml:space="preserve"> (</w:t>
      </w:r>
      <w:proofErr w:type="spellStart"/>
      <w:r w:rsidR="00BB3E20">
        <w:rPr>
          <w:rFonts w:ascii="Arial" w:eastAsia="Times New Roman" w:hAnsi="Arial" w:cs="Arial"/>
          <w:color w:val="000000" w:themeColor="text1"/>
          <w:sz w:val="24"/>
          <w:szCs w:val="24"/>
        </w:rPr>
        <w:t>Atasu</w:t>
      </w:r>
      <w:proofErr w:type="spellEnd"/>
      <w:r w:rsidR="00BB3E20">
        <w:rPr>
          <w:rFonts w:ascii="Arial" w:eastAsia="Times New Roman" w:hAnsi="Arial" w:cs="Arial"/>
          <w:color w:val="000000" w:themeColor="text1"/>
          <w:sz w:val="24"/>
          <w:szCs w:val="24"/>
        </w:rPr>
        <w:t xml:space="preserve"> et al.</w:t>
      </w:r>
      <w:r w:rsidR="00BB3E20" w:rsidRPr="00BB3E20">
        <w:rPr>
          <w:rFonts w:ascii="Arial" w:eastAsia="Times New Roman" w:hAnsi="Arial" w:cs="Arial"/>
          <w:color w:val="000000" w:themeColor="text1"/>
          <w:sz w:val="24"/>
          <w:szCs w:val="24"/>
        </w:rPr>
        <w:t>, 2021)</w:t>
      </w:r>
      <w:r w:rsidRPr="008613BE">
        <w:rPr>
          <w:rFonts w:ascii="Arial" w:eastAsia="Times New Roman" w:hAnsi="Arial" w:cs="Arial"/>
          <w:color w:val="000000" w:themeColor="text1"/>
          <w:sz w:val="24"/>
          <w:szCs w:val="24"/>
        </w:rPr>
        <w:t>. In a hotel context, circularity can manifest as food waste composting, water recycling, and repurposing of textiles and furnishings. A recent bibliometric study underscores the nascent but rapidly growing body of research on circular practices in the hospitality sector, identifying resource efficiency, waste management, and technological integration as key themes (Veloz et al., 2025). Despite growing academic interest, implementation challenges persist, particularly regarding the upfront costs of circular infrastructure and the need for stakeholder buy-in throughout supply chains. Notably, developing economies face barriers in adopting circular processes due to limited access to recycling facilities and lack of standardized guidelines. However, pioneering projects—such as hotels integrating on-site anaerobic digesters for organic waste—demonstrate the tangible environmental and cost-saving potential of circular models when aligned with organizational culture and local stakeholder ecosystems (Zaki, 2025).</w:t>
      </w:r>
    </w:p>
    <w:p w14:paraId="210F4168" w14:textId="3C28C62D" w:rsidR="00601E4F" w:rsidRDefault="00601E4F" w:rsidP="00601E4F">
      <w:pPr>
        <w:spacing w:before="100" w:beforeAutospacing="1" w:after="100" w:afterAutospacing="1" w:line="360" w:lineRule="auto"/>
        <w:jc w:val="center"/>
        <w:rPr>
          <w:rFonts w:ascii="Arial" w:eastAsia="Times New Roman" w:hAnsi="Arial" w:cs="Arial"/>
          <w:color w:val="000000" w:themeColor="text1"/>
          <w:sz w:val="24"/>
          <w:szCs w:val="24"/>
        </w:rPr>
      </w:pPr>
      <w:r>
        <w:rPr>
          <w:noProof/>
          <w:lang w:val="en-US"/>
        </w:rPr>
        <w:drawing>
          <wp:inline distT="0" distB="0" distL="0" distR="0" wp14:anchorId="32397800" wp14:editId="7D81F502">
            <wp:extent cx="3256637" cy="1924493"/>
            <wp:effectExtent l="0" t="0" r="1270" b="0"/>
            <wp:docPr id="3" name="Picture 3" descr="What is the Circular Economy? | Circular Tay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he Circular Economy? | Circular Tayside"/>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12134"/>
                    <a:stretch/>
                  </pic:blipFill>
                  <pic:spPr bwMode="auto">
                    <a:xfrm>
                      <a:off x="0" y="0"/>
                      <a:ext cx="3274487" cy="1935041"/>
                    </a:xfrm>
                    <a:prstGeom prst="rect">
                      <a:avLst/>
                    </a:prstGeom>
                    <a:noFill/>
                    <a:ln>
                      <a:noFill/>
                    </a:ln>
                    <a:extLst>
                      <a:ext uri="{53640926-AAD7-44D8-BBD7-CCE9431645EC}">
                        <a14:shadowObscured xmlns:a14="http://schemas.microsoft.com/office/drawing/2010/main"/>
                      </a:ext>
                    </a:extLst>
                  </pic:spPr>
                </pic:pic>
              </a:graphicData>
            </a:graphic>
          </wp:inline>
        </w:drawing>
      </w:r>
    </w:p>
    <w:p w14:paraId="49BEF899" w14:textId="60EA0522" w:rsidR="00601E4F" w:rsidRPr="008613BE" w:rsidRDefault="00601E4F" w:rsidP="00601E4F">
      <w:pPr>
        <w:spacing w:before="100" w:beforeAutospacing="1" w:after="100" w:afterAutospacing="1" w:line="360" w:lineRule="auto"/>
        <w:jc w:val="center"/>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Figure. Circular Economy concept</w:t>
      </w:r>
    </w:p>
    <w:p w14:paraId="6BD0E521" w14:textId="77777777" w:rsidR="0086357D" w:rsidRPr="008613BE" w:rsidRDefault="0086357D" w:rsidP="009731C8">
      <w:pPr>
        <w:spacing w:after="0" w:line="360" w:lineRule="auto"/>
        <w:jc w:val="both"/>
        <w:rPr>
          <w:rFonts w:ascii="Arial" w:eastAsia="Times New Roman" w:hAnsi="Arial" w:cs="Arial"/>
          <w:color w:val="000000" w:themeColor="text1"/>
          <w:sz w:val="24"/>
          <w:szCs w:val="24"/>
        </w:rPr>
      </w:pPr>
    </w:p>
    <w:p w14:paraId="47F320A5" w14:textId="77777777" w:rsidR="0086357D" w:rsidRPr="008613BE" w:rsidRDefault="0086357D" w:rsidP="009731C8">
      <w:pPr>
        <w:spacing w:after="160" w:line="360" w:lineRule="auto"/>
        <w:jc w:val="center"/>
        <w:rPr>
          <w:rFonts w:ascii="Arial" w:hAnsi="Arial" w:cs="Arial"/>
          <w:b/>
          <w:bCs/>
          <w:sz w:val="24"/>
          <w:szCs w:val="24"/>
          <w:u w:val="single"/>
          <w:lang w:val="en-US"/>
        </w:rPr>
      </w:pPr>
      <w:r w:rsidRPr="008613BE">
        <w:rPr>
          <w:rFonts w:ascii="Arial" w:hAnsi="Arial" w:cs="Arial"/>
          <w:b/>
          <w:bCs/>
          <w:sz w:val="24"/>
          <w:szCs w:val="24"/>
          <w:u w:val="single"/>
          <w:lang w:val="en-US"/>
        </w:rPr>
        <w:lastRenderedPageBreak/>
        <w:t>Industry Applications of Sustainability and Circularity</w:t>
      </w:r>
    </w:p>
    <w:p w14:paraId="553824F2" w14:textId="77777777" w:rsidR="0086357D" w:rsidRPr="008613BE" w:rsidRDefault="0086357D" w:rsidP="009731C8">
      <w:pPr>
        <w:spacing w:line="360" w:lineRule="auto"/>
        <w:rPr>
          <w:rFonts w:ascii="Arial" w:hAnsi="Arial" w:cs="Arial"/>
          <w:b/>
          <w:color w:val="000000" w:themeColor="text1"/>
          <w:sz w:val="24"/>
          <w:szCs w:val="24"/>
          <w:u w:val="single"/>
        </w:rPr>
      </w:pPr>
      <w:r w:rsidRPr="008613BE">
        <w:rPr>
          <w:rFonts w:ascii="Arial" w:hAnsi="Arial" w:cs="Arial"/>
          <w:b/>
          <w:color w:val="000000" w:themeColor="text1"/>
          <w:sz w:val="24"/>
          <w:szCs w:val="24"/>
          <w:u w:val="single"/>
        </w:rPr>
        <w:t>Hilton Hotels</w:t>
      </w:r>
    </w:p>
    <w:p w14:paraId="65EE2AEF" w14:textId="67170F3C" w:rsidR="0086357D" w:rsidRDefault="0086357D" w:rsidP="009731C8">
      <w:pPr>
        <w:spacing w:before="100" w:beforeAutospacing="1" w:after="100" w:afterAutospacing="1" w:line="360" w:lineRule="auto"/>
        <w:jc w:val="both"/>
        <w:rPr>
          <w:rFonts w:ascii="Arial" w:eastAsia="Times New Roman" w:hAnsi="Arial" w:cs="Arial"/>
          <w:color w:val="000000" w:themeColor="text1"/>
          <w:sz w:val="24"/>
          <w:szCs w:val="24"/>
        </w:rPr>
      </w:pPr>
      <w:r w:rsidRPr="008613BE">
        <w:rPr>
          <w:rFonts w:ascii="Arial" w:eastAsia="Times New Roman" w:hAnsi="Arial" w:cs="Arial"/>
          <w:color w:val="000000" w:themeColor="text1"/>
          <w:sz w:val="24"/>
          <w:szCs w:val="24"/>
        </w:rPr>
        <w:t>Hilton’s flagship sustainability program, “Travel with Purpose,” operationalizes TBL and CSR principles across its global portfolio (Hilton, 2025). Central to this initiative is LightStay, a proprietary performance measurement system tracking energy, water, waste, and carbon metrics at the property level. Data from the 2024 Environmental, Social and Governance Report indicate that LightStay-enabled hotels have achieved reductions in energy usage and water consumption per occupied room since 2009. In alignment with TBL, these environmental gains are complemented by social investments through the Hilton Effect Foundation, which in 2023 allocated over USD 10 million to local community projects in 40 countries, demonstrating positive outcomes in education and livelihoods. Economic considerations are also integral: by reducing utility costs through LED retrofitting and HVAC optimization, Hilton has generated over USD 100 million in cost savings across its managed properties in the past five years, reinforcing the business case for sustainable investments.</w:t>
      </w:r>
    </w:p>
    <w:p w14:paraId="7AB04DEE" w14:textId="5B2D1E86" w:rsidR="00A403C1" w:rsidRDefault="00A403C1" w:rsidP="00A403C1">
      <w:pPr>
        <w:spacing w:before="100" w:beforeAutospacing="1" w:after="100" w:afterAutospacing="1" w:line="360" w:lineRule="auto"/>
        <w:jc w:val="center"/>
        <w:rPr>
          <w:rFonts w:ascii="Arial" w:eastAsia="Times New Roman" w:hAnsi="Arial" w:cs="Arial"/>
          <w:color w:val="000000" w:themeColor="text1"/>
          <w:sz w:val="24"/>
          <w:szCs w:val="24"/>
        </w:rPr>
      </w:pPr>
      <w:r>
        <w:rPr>
          <w:noProof/>
          <w:lang w:val="en-US"/>
        </w:rPr>
        <w:lastRenderedPageBreak/>
        <w:drawing>
          <wp:inline distT="0" distB="0" distL="0" distR="0" wp14:anchorId="356CD848" wp14:editId="7371433B">
            <wp:extent cx="4102484" cy="4067503"/>
            <wp:effectExtent l="0" t="0" r="0" b="0"/>
            <wp:docPr id="4" name="Picture 4" descr="https://travelwithpurpose.hilton.com/wp-content/uploads/sites/4/2024/05/The-Driving-Forces-Behind-Travel-With-Purpos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travelwithpurpose.hilton.com/wp-content/uploads/sites/4/2024/05/The-Driving-Forces-Behind-Travel-With-Purpose-1.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04188" cy="4069193"/>
                    </a:xfrm>
                    <a:prstGeom prst="rect">
                      <a:avLst/>
                    </a:prstGeom>
                    <a:noFill/>
                    <a:ln>
                      <a:noFill/>
                    </a:ln>
                  </pic:spPr>
                </pic:pic>
              </a:graphicData>
            </a:graphic>
          </wp:inline>
        </w:drawing>
      </w:r>
    </w:p>
    <w:p w14:paraId="6CF8F0B0" w14:textId="7BC7AA4E" w:rsidR="00A403C1" w:rsidRPr="008613BE" w:rsidRDefault="00A403C1" w:rsidP="00A403C1">
      <w:pPr>
        <w:spacing w:before="100" w:beforeAutospacing="1" w:after="100" w:afterAutospacing="1" w:line="360" w:lineRule="auto"/>
        <w:jc w:val="center"/>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Figure. Hilton Sustainability</w:t>
      </w:r>
    </w:p>
    <w:p w14:paraId="7CF1F68D" w14:textId="77777777" w:rsidR="0086357D" w:rsidRPr="008613BE" w:rsidRDefault="0086357D" w:rsidP="009731C8">
      <w:pPr>
        <w:spacing w:line="360" w:lineRule="auto"/>
        <w:rPr>
          <w:rFonts w:ascii="Arial" w:hAnsi="Arial" w:cs="Arial"/>
          <w:b/>
          <w:color w:val="000000" w:themeColor="text1"/>
          <w:sz w:val="24"/>
          <w:szCs w:val="24"/>
          <w:u w:val="single"/>
        </w:rPr>
      </w:pPr>
      <w:r w:rsidRPr="008613BE">
        <w:rPr>
          <w:rFonts w:ascii="Arial" w:hAnsi="Arial" w:cs="Arial"/>
          <w:b/>
          <w:color w:val="000000" w:themeColor="text1"/>
          <w:sz w:val="24"/>
          <w:szCs w:val="24"/>
          <w:u w:val="single"/>
        </w:rPr>
        <w:t>Six Senses Hotels Resorts Spas</w:t>
      </w:r>
    </w:p>
    <w:p w14:paraId="698C765B" w14:textId="0324446C" w:rsidR="0086357D" w:rsidRPr="008613BE" w:rsidRDefault="0018116C" w:rsidP="009731C8">
      <w:pPr>
        <w:spacing w:before="100" w:beforeAutospacing="1" w:after="100" w:afterAutospacing="1" w:line="360" w:lineRule="auto"/>
        <w:jc w:val="both"/>
        <w:rPr>
          <w:rFonts w:ascii="Arial" w:eastAsia="Times New Roman" w:hAnsi="Arial" w:cs="Arial"/>
          <w:color w:val="000000" w:themeColor="text1"/>
          <w:sz w:val="24"/>
          <w:szCs w:val="24"/>
        </w:rPr>
      </w:pPr>
      <w:r w:rsidRPr="008613BE">
        <w:rPr>
          <w:rFonts w:ascii="Arial" w:eastAsia="Times New Roman" w:hAnsi="Arial" w:cs="Arial"/>
          <w:color w:val="000000" w:themeColor="text1"/>
          <w:sz w:val="24"/>
          <w:szCs w:val="24"/>
        </w:rPr>
        <w:t xml:space="preserve">Sustainability is a key part of the Six Senses brand and the company incorporates circular economy and regenerative principles into everything it does and offers to guests. All of Six Senses’ hotels were GSTC (Global Sustainable Tourism Council) certified by 2024, demonstrating full compliance with strict guidelines for the environment and society. Fruit and vegetables are harvested from the hotel’s own organic gardens and used in its restaurants which helps cut food miles and aids local farmers. </w:t>
      </w:r>
      <w:r w:rsidR="0086357D" w:rsidRPr="008613BE">
        <w:rPr>
          <w:rFonts w:ascii="Arial" w:eastAsia="Times New Roman" w:hAnsi="Arial" w:cs="Arial"/>
          <w:color w:val="000000" w:themeColor="text1"/>
          <w:sz w:val="24"/>
          <w:szCs w:val="24"/>
        </w:rPr>
        <w:t>To foster social capital, Six Senses invests 0.5% of nightly room revenue into the Sustainability Funds (Six Senses, 2025), benefiting community development projects such as clean water initiatives and education programs.</w:t>
      </w:r>
    </w:p>
    <w:p w14:paraId="4CA57A11" w14:textId="77777777" w:rsidR="0086357D" w:rsidRPr="008613BE" w:rsidRDefault="0086357D" w:rsidP="009731C8">
      <w:pPr>
        <w:spacing w:line="360" w:lineRule="auto"/>
        <w:rPr>
          <w:rFonts w:ascii="Arial" w:hAnsi="Arial" w:cs="Arial"/>
          <w:b/>
          <w:color w:val="000000" w:themeColor="text1"/>
          <w:sz w:val="24"/>
          <w:szCs w:val="24"/>
          <w:u w:val="single"/>
        </w:rPr>
      </w:pPr>
      <w:r w:rsidRPr="008613BE">
        <w:rPr>
          <w:rFonts w:ascii="Arial" w:hAnsi="Arial" w:cs="Arial"/>
          <w:b/>
          <w:color w:val="000000" w:themeColor="text1"/>
          <w:sz w:val="24"/>
          <w:szCs w:val="24"/>
          <w:u w:val="single"/>
        </w:rPr>
        <w:t>The Scarlet Hotel</w:t>
      </w:r>
    </w:p>
    <w:p w14:paraId="0348C56E" w14:textId="6BE2112F" w:rsidR="0086357D" w:rsidRPr="008613BE" w:rsidRDefault="0086357D" w:rsidP="009731C8">
      <w:pPr>
        <w:spacing w:before="100" w:beforeAutospacing="1" w:after="100" w:afterAutospacing="1" w:line="360" w:lineRule="auto"/>
        <w:jc w:val="both"/>
        <w:rPr>
          <w:rFonts w:ascii="Arial" w:eastAsia="Times New Roman" w:hAnsi="Arial" w:cs="Arial"/>
          <w:color w:val="000000" w:themeColor="text1"/>
          <w:sz w:val="24"/>
          <w:szCs w:val="24"/>
        </w:rPr>
      </w:pPr>
      <w:r w:rsidRPr="008613BE">
        <w:rPr>
          <w:rFonts w:ascii="Arial" w:eastAsia="Times New Roman" w:hAnsi="Arial" w:cs="Arial"/>
          <w:color w:val="000000" w:themeColor="text1"/>
          <w:sz w:val="24"/>
          <w:szCs w:val="24"/>
        </w:rPr>
        <w:lastRenderedPageBreak/>
        <w:t xml:space="preserve">Situated on the rugged cliffs of Cornwall, UK, The Scarlet Hotel has become a beacon of circular economy implementation in hospitality (ScarlettHotelGroup, 2024; Clark, 2023). The property’s architecture capitalizes on passive ventilation and natural insulation, reducing reliance on fossil-fuel-based heating and cooling systems by 40% compared to regional benchmarks. Solar thermal panels provide hot water, while a biomass boiler, </w:t>
      </w:r>
      <w:proofErr w:type="spellStart"/>
      <w:r w:rsidRPr="008613BE">
        <w:rPr>
          <w:rFonts w:ascii="Arial" w:eastAsia="Times New Roman" w:hAnsi="Arial" w:cs="Arial"/>
          <w:color w:val="000000" w:themeColor="text1"/>
          <w:sz w:val="24"/>
          <w:szCs w:val="24"/>
        </w:rPr>
        <w:t>fueled</w:t>
      </w:r>
      <w:proofErr w:type="spellEnd"/>
      <w:r w:rsidRPr="008613BE">
        <w:rPr>
          <w:rFonts w:ascii="Arial" w:eastAsia="Times New Roman" w:hAnsi="Arial" w:cs="Arial"/>
          <w:color w:val="000000" w:themeColor="text1"/>
          <w:sz w:val="24"/>
          <w:szCs w:val="24"/>
        </w:rPr>
        <w:t xml:space="preserve"> by locally sourced wood pellets, addresses heating needs during winter months. Rainwater harvesting systems supply greywater for toilet flushing, resulting in reduction in municipal water withdrawal per guest night. Socially, </w:t>
      </w:r>
      <w:r w:rsidR="004C4D54" w:rsidRPr="008613BE">
        <w:rPr>
          <w:rFonts w:ascii="Arial" w:eastAsia="Times New Roman" w:hAnsi="Arial" w:cs="Arial"/>
          <w:color w:val="000000" w:themeColor="text1"/>
          <w:sz w:val="24"/>
          <w:szCs w:val="24"/>
        </w:rPr>
        <w:t>the hotel collaborates with local artisans and displays their works in its common areas while gathering the community for events that help preserve the area’s traditions.</w:t>
      </w:r>
    </w:p>
    <w:p w14:paraId="19CACBFA" w14:textId="77777777" w:rsidR="0086357D" w:rsidRPr="008613BE" w:rsidRDefault="0086357D" w:rsidP="009731C8">
      <w:pPr>
        <w:spacing w:after="0" w:line="360" w:lineRule="auto"/>
        <w:jc w:val="both"/>
        <w:rPr>
          <w:rFonts w:ascii="Arial" w:eastAsia="Times New Roman" w:hAnsi="Arial" w:cs="Arial"/>
          <w:color w:val="000000" w:themeColor="text1"/>
          <w:sz w:val="24"/>
          <w:szCs w:val="24"/>
        </w:rPr>
      </w:pPr>
    </w:p>
    <w:p w14:paraId="14000673" w14:textId="77777777" w:rsidR="0086357D" w:rsidRPr="008613BE" w:rsidRDefault="0086357D" w:rsidP="009731C8">
      <w:pPr>
        <w:spacing w:after="160" w:line="360" w:lineRule="auto"/>
        <w:jc w:val="center"/>
        <w:rPr>
          <w:rFonts w:ascii="Arial" w:hAnsi="Arial" w:cs="Arial"/>
          <w:b/>
          <w:bCs/>
          <w:sz w:val="24"/>
          <w:szCs w:val="24"/>
          <w:u w:val="single"/>
          <w:lang w:val="en-US"/>
        </w:rPr>
      </w:pPr>
      <w:r w:rsidRPr="008613BE">
        <w:rPr>
          <w:rFonts w:ascii="Arial" w:hAnsi="Arial" w:cs="Arial"/>
          <w:b/>
          <w:bCs/>
          <w:sz w:val="24"/>
          <w:szCs w:val="24"/>
          <w:u w:val="single"/>
          <w:lang w:val="en-US"/>
        </w:rPr>
        <w:t>Analysis</w:t>
      </w:r>
    </w:p>
    <w:p w14:paraId="60041EFA" w14:textId="77777777" w:rsidR="0086357D" w:rsidRPr="008613BE" w:rsidRDefault="0086357D" w:rsidP="009731C8">
      <w:pPr>
        <w:spacing w:line="360" w:lineRule="auto"/>
        <w:rPr>
          <w:rFonts w:ascii="Arial" w:hAnsi="Arial" w:cs="Arial"/>
          <w:b/>
          <w:color w:val="000000" w:themeColor="text1"/>
          <w:sz w:val="24"/>
          <w:szCs w:val="24"/>
          <w:u w:val="single"/>
        </w:rPr>
      </w:pPr>
      <w:r w:rsidRPr="008613BE">
        <w:rPr>
          <w:rFonts w:ascii="Arial" w:hAnsi="Arial" w:cs="Arial"/>
          <w:b/>
          <w:color w:val="000000" w:themeColor="text1"/>
          <w:sz w:val="24"/>
          <w:szCs w:val="24"/>
          <w:u w:val="single"/>
        </w:rPr>
        <w:t>Environmental Impact</w:t>
      </w:r>
    </w:p>
    <w:p w14:paraId="19253550" w14:textId="62F7F907" w:rsidR="0086357D" w:rsidRPr="008613BE" w:rsidRDefault="001509D1" w:rsidP="009731C8">
      <w:pPr>
        <w:spacing w:before="100" w:beforeAutospacing="1" w:after="100" w:afterAutospacing="1" w:line="360" w:lineRule="auto"/>
        <w:jc w:val="both"/>
        <w:rPr>
          <w:rFonts w:ascii="Arial" w:eastAsia="Times New Roman" w:hAnsi="Arial" w:cs="Arial"/>
          <w:color w:val="000000" w:themeColor="text1"/>
          <w:sz w:val="24"/>
          <w:szCs w:val="24"/>
        </w:rPr>
      </w:pPr>
      <w:r w:rsidRPr="008613BE">
        <w:rPr>
          <w:rFonts w:ascii="Arial" w:eastAsia="Times New Roman" w:hAnsi="Arial" w:cs="Arial"/>
          <w:color w:val="000000" w:themeColor="text1"/>
          <w:sz w:val="24"/>
          <w:szCs w:val="24"/>
        </w:rPr>
        <w:t>Practicing sustainable and circular models allows hotels to decrease their environmental impact. LightStay data points show that thorough tracking reveals inefficiencies such as using too much HVAC in overcrowded areas which allows Hilton properties to take action and reduce their energy use by over ten percent in only two years. In a similar way, Six Senses’ efforts to handle waste by composting and recycling have greatly lowered the amount of material sent to landfills in all its hotels, proving how closed-loop solutions benefit the environment. The fact that the Scarlet has water management and renewable energy proves that environmental performance can be equal for small boutiques and bigger hotels when they include green features from the start. In all these scenarios, scientific evidence shows that greater resource efficiency means companies spend less on operations and produce fewer greenhouse gas emissions which are important factors in protecting the environment.</w:t>
      </w:r>
    </w:p>
    <w:p w14:paraId="437B0565" w14:textId="77777777" w:rsidR="0086357D" w:rsidRPr="008613BE" w:rsidRDefault="0086357D" w:rsidP="009731C8">
      <w:pPr>
        <w:spacing w:line="360" w:lineRule="auto"/>
        <w:rPr>
          <w:rFonts w:ascii="Arial" w:hAnsi="Arial" w:cs="Arial"/>
          <w:b/>
          <w:color w:val="000000" w:themeColor="text1"/>
          <w:sz w:val="24"/>
          <w:szCs w:val="24"/>
          <w:u w:val="single"/>
        </w:rPr>
      </w:pPr>
      <w:r w:rsidRPr="008613BE">
        <w:rPr>
          <w:rFonts w:ascii="Arial" w:hAnsi="Arial" w:cs="Arial"/>
          <w:b/>
          <w:color w:val="000000" w:themeColor="text1"/>
          <w:sz w:val="24"/>
          <w:szCs w:val="24"/>
          <w:u w:val="single"/>
        </w:rPr>
        <w:t>Social Responsibility</w:t>
      </w:r>
    </w:p>
    <w:p w14:paraId="618ACA88" w14:textId="67E45326" w:rsidR="0086357D" w:rsidRPr="008613BE" w:rsidRDefault="004E13BE" w:rsidP="009731C8">
      <w:pPr>
        <w:spacing w:before="100" w:beforeAutospacing="1" w:after="100" w:afterAutospacing="1" w:line="360" w:lineRule="auto"/>
        <w:jc w:val="both"/>
        <w:rPr>
          <w:rFonts w:ascii="Arial" w:eastAsia="Times New Roman" w:hAnsi="Arial" w:cs="Arial"/>
          <w:color w:val="000000" w:themeColor="text1"/>
          <w:sz w:val="24"/>
          <w:szCs w:val="24"/>
        </w:rPr>
      </w:pPr>
      <w:r w:rsidRPr="008613BE">
        <w:rPr>
          <w:rFonts w:ascii="Arial" w:eastAsia="Times New Roman" w:hAnsi="Arial" w:cs="Arial"/>
          <w:color w:val="000000" w:themeColor="text1"/>
          <w:sz w:val="24"/>
          <w:szCs w:val="24"/>
        </w:rPr>
        <w:t xml:space="preserve">The adoption of CSR practices in hotels improves employee happiness, attracts the community and keeps guests coming back. Studies show that when a hotel has a good </w:t>
      </w:r>
      <w:r w:rsidRPr="008613BE">
        <w:rPr>
          <w:rFonts w:ascii="Arial" w:eastAsia="Times New Roman" w:hAnsi="Arial" w:cs="Arial"/>
          <w:color w:val="000000" w:themeColor="text1"/>
          <w:sz w:val="24"/>
          <w:szCs w:val="24"/>
        </w:rPr>
        <w:lastRenderedPageBreak/>
        <w:t>CSR program for its employees, the community and the environment, its staff turnover is lower and guest satisfaction is higher.</w:t>
      </w:r>
      <w:r w:rsidR="0086357D" w:rsidRPr="008613BE">
        <w:rPr>
          <w:rFonts w:ascii="Arial" w:eastAsia="Times New Roman" w:hAnsi="Arial" w:cs="Arial"/>
          <w:color w:val="000000" w:themeColor="text1"/>
          <w:sz w:val="24"/>
          <w:szCs w:val="24"/>
        </w:rPr>
        <w:t xml:space="preserve"> Hilton’s philanthropic efforts, through the Hilton Effect Foundation, have improved educational outcomes in disadvantaged communities, enhancing the social license to operate in developing regions (Hilton.com, 2021). Six Senses’ community-driven Sustainability Funds have supported local entrepreneurs, thereby creating alternative livelihoods and reducing economic leakage from host destinations; qualitative interviews with community stakeholders reveal heightened trust and cooperative relationships with hotel management. The Scarlet’s collaboration with local artisans fosters cultural preservation and economic inclusion, illustrating how small-scale hotels can similarly leverage CSR to strengthen social capital. Academic literature confirms that social sustainability—encompassing labor rights, inclusive hiring, and community partnerships—bolsters brand authenticity, meeting the expectations of the growing cohort of socially conscious </w:t>
      </w:r>
      <w:r w:rsidR="008932A3" w:rsidRPr="008613BE">
        <w:rPr>
          <w:rFonts w:ascii="Arial" w:eastAsia="Times New Roman" w:hAnsi="Arial" w:cs="Arial"/>
          <w:color w:val="000000" w:themeColor="text1"/>
          <w:sz w:val="24"/>
          <w:szCs w:val="24"/>
        </w:rPr>
        <w:t>travellers</w:t>
      </w:r>
      <w:r w:rsidR="0086357D" w:rsidRPr="008613BE">
        <w:rPr>
          <w:rFonts w:ascii="Arial" w:eastAsia="Times New Roman" w:hAnsi="Arial" w:cs="Arial"/>
          <w:color w:val="000000" w:themeColor="text1"/>
          <w:sz w:val="24"/>
          <w:szCs w:val="24"/>
        </w:rPr>
        <w:t>.</w:t>
      </w:r>
    </w:p>
    <w:p w14:paraId="2488B141" w14:textId="77777777" w:rsidR="0086357D" w:rsidRPr="008613BE" w:rsidRDefault="0086357D" w:rsidP="009731C8">
      <w:pPr>
        <w:spacing w:line="360" w:lineRule="auto"/>
        <w:rPr>
          <w:rFonts w:ascii="Arial" w:hAnsi="Arial" w:cs="Arial"/>
          <w:b/>
          <w:color w:val="000000" w:themeColor="text1"/>
          <w:sz w:val="24"/>
          <w:szCs w:val="24"/>
          <w:u w:val="single"/>
        </w:rPr>
      </w:pPr>
      <w:r w:rsidRPr="008613BE">
        <w:rPr>
          <w:rFonts w:ascii="Arial" w:hAnsi="Arial" w:cs="Arial"/>
          <w:b/>
          <w:color w:val="000000" w:themeColor="text1"/>
          <w:sz w:val="24"/>
          <w:szCs w:val="24"/>
          <w:u w:val="single"/>
        </w:rPr>
        <w:t>Economic Benefits</w:t>
      </w:r>
    </w:p>
    <w:p w14:paraId="2B04C908" w14:textId="77777777" w:rsidR="0086357D" w:rsidRPr="008613BE" w:rsidRDefault="0086357D" w:rsidP="009731C8">
      <w:pPr>
        <w:spacing w:before="100" w:beforeAutospacing="1" w:after="100" w:afterAutospacing="1" w:line="360" w:lineRule="auto"/>
        <w:jc w:val="both"/>
        <w:rPr>
          <w:rFonts w:ascii="Arial" w:eastAsia="Times New Roman" w:hAnsi="Arial" w:cs="Arial"/>
          <w:color w:val="000000" w:themeColor="text1"/>
          <w:sz w:val="24"/>
          <w:szCs w:val="24"/>
        </w:rPr>
      </w:pPr>
      <w:r w:rsidRPr="008613BE">
        <w:rPr>
          <w:rFonts w:ascii="Arial" w:eastAsia="Times New Roman" w:hAnsi="Arial" w:cs="Arial"/>
          <w:color w:val="000000" w:themeColor="text1"/>
          <w:sz w:val="24"/>
          <w:szCs w:val="24"/>
        </w:rPr>
        <w:t>Sustainable and circular models can yield significant cost savings, revenue enhancements, and risk mitigation for hotels. Resource efficiency initiatives—such as LED retrofits, low-flow fixtures, and building automation—often have payback periods of less than three years, after which they contribute directly to the bottom line through reduced utility bills. According to the Global Sustainable Tourism Report 2023, hotels implementing sustainable practices have reported a 12% increase in overall revenue compared to their traditional counterparts (Roiback, 2024). Beyond direct financial gains, sustainable practices mitigate risks related to resource scarcity, regulatory compliance, and reputational damage: hotels that proactively reduce carbon emissions are better insulated against future carbon pricing mechanisms, while those that source responsibly can avoid supply chain disruptions stemming from environmental or social controversies.</w:t>
      </w:r>
    </w:p>
    <w:p w14:paraId="71A0F725" w14:textId="77777777" w:rsidR="0086357D" w:rsidRPr="008613BE" w:rsidRDefault="0086357D" w:rsidP="009731C8">
      <w:pPr>
        <w:spacing w:after="0" w:line="360" w:lineRule="auto"/>
        <w:jc w:val="both"/>
        <w:rPr>
          <w:rFonts w:ascii="Arial" w:eastAsia="Times New Roman" w:hAnsi="Arial" w:cs="Arial"/>
          <w:color w:val="000000" w:themeColor="text1"/>
          <w:sz w:val="24"/>
          <w:szCs w:val="24"/>
        </w:rPr>
      </w:pPr>
    </w:p>
    <w:p w14:paraId="47362BF8" w14:textId="77777777" w:rsidR="0086357D" w:rsidRPr="008613BE" w:rsidRDefault="0086357D" w:rsidP="009731C8">
      <w:pPr>
        <w:spacing w:after="160" w:line="360" w:lineRule="auto"/>
        <w:jc w:val="center"/>
        <w:rPr>
          <w:rFonts w:ascii="Arial" w:hAnsi="Arial" w:cs="Arial"/>
          <w:b/>
          <w:bCs/>
          <w:sz w:val="24"/>
          <w:szCs w:val="24"/>
          <w:u w:val="single"/>
          <w:lang w:val="en-US"/>
        </w:rPr>
      </w:pPr>
      <w:r w:rsidRPr="008613BE">
        <w:rPr>
          <w:rFonts w:ascii="Arial" w:hAnsi="Arial" w:cs="Arial"/>
          <w:b/>
          <w:bCs/>
          <w:sz w:val="24"/>
          <w:szCs w:val="24"/>
          <w:u w:val="single"/>
          <w:lang w:val="en-US"/>
        </w:rPr>
        <w:t>Recommendations</w:t>
      </w:r>
    </w:p>
    <w:p w14:paraId="0441A7BB" w14:textId="77777777" w:rsidR="0086357D" w:rsidRPr="008613BE" w:rsidRDefault="0086357D" w:rsidP="009731C8">
      <w:pPr>
        <w:spacing w:before="100" w:beforeAutospacing="1" w:after="100" w:afterAutospacing="1" w:line="360" w:lineRule="auto"/>
        <w:jc w:val="both"/>
        <w:rPr>
          <w:rFonts w:ascii="Arial" w:eastAsia="Times New Roman" w:hAnsi="Arial" w:cs="Arial"/>
          <w:color w:val="000000" w:themeColor="text1"/>
          <w:sz w:val="24"/>
          <w:szCs w:val="24"/>
        </w:rPr>
      </w:pPr>
      <w:r w:rsidRPr="008613BE">
        <w:rPr>
          <w:rFonts w:ascii="Arial" w:eastAsia="Times New Roman" w:hAnsi="Arial" w:cs="Arial"/>
          <w:color w:val="000000" w:themeColor="text1"/>
          <w:sz w:val="24"/>
          <w:szCs w:val="24"/>
        </w:rPr>
        <w:lastRenderedPageBreak/>
        <w:t>Based on the analysis above, following evidence-based recommendations are proposed to guide hotel companies in embedding sustainable and circular practices:</w:t>
      </w:r>
    </w:p>
    <w:tbl>
      <w:tblPr>
        <w:tblStyle w:val="TableGrid"/>
        <w:tblW w:w="0" w:type="auto"/>
        <w:tblLook w:val="04A0" w:firstRow="1" w:lastRow="0" w:firstColumn="1" w:lastColumn="0" w:noHBand="0" w:noVBand="1"/>
      </w:tblPr>
      <w:tblGrid>
        <w:gridCol w:w="2972"/>
        <w:gridCol w:w="6378"/>
      </w:tblGrid>
      <w:tr w:rsidR="00972FDA" w14:paraId="29602CE1" w14:textId="77777777" w:rsidTr="00972FDA">
        <w:tc>
          <w:tcPr>
            <w:tcW w:w="2972" w:type="dxa"/>
          </w:tcPr>
          <w:p w14:paraId="1E7C97EA" w14:textId="020196C3" w:rsidR="00972FDA" w:rsidRPr="00972FDA" w:rsidRDefault="00972FDA" w:rsidP="009731C8">
            <w:pPr>
              <w:spacing w:after="0" w:line="360" w:lineRule="auto"/>
              <w:jc w:val="both"/>
              <w:rPr>
                <w:rFonts w:ascii="Arial" w:eastAsia="Times New Roman" w:hAnsi="Arial" w:cs="Arial"/>
                <w:b/>
                <w:color w:val="000000" w:themeColor="text1"/>
                <w:sz w:val="24"/>
                <w:szCs w:val="24"/>
              </w:rPr>
            </w:pPr>
            <w:r w:rsidRPr="00972FDA">
              <w:rPr>
                <w:rFonts w:ascii="Arial" w:eastAsia="Times New Roman" w:hAnsi="Arial" w:cs="Arial"/>
                <w:b/>
                <w:color w:val="000000" w:themeColor="text1"/>
                <w:sz w:val="24"/>
                <w:szCs w:val="24"/>
              </w:rPr>
              <w:t>Recommendation</w:t>
            </w:r>
          </w:p>
        </w:tc>
        <w:tc>
          <w:tcPr>
            <w:tcW w:w="6378" w:type="dxa"/>
          </w:tcPr>
          <w:p w14:paraId="2CDCB032" w14:textId="6C523F84" w:rsidR="00972FDA" w:rsidRPr="00972FDA" w:rsidRDefault="00972FDA" w:rsidP="009731C8">
            <w:pPr>
              <w:spacing w:after="0" w:line="360" w:lineRule="auto"/>
              <w:jc w:val="both"/>
              <w:rPr>
                <w:rFonts w:ascii="Arial" w:eastAsia="Times New Roman" w:hAnsi="Arial" w:cs="Arial"/>
                <w:b/>
                <w:color w:val="000000" w:themeColor="text1"/>
                <w:sz w:val="24"/>
                <w:szCs w:val="24"/>
              </w:rPr>
            </w:pPr>
            <w:r w:rsidRPr="00972FDA">
              <w:rPr>
                <w:rFonts w:ascii="Arial" w:eastAsia="Times New Roman" w:hAnsi="Arial" w:cs="Arial"/>
                <w:b/>
                <w:color w:val="000000" w:themeColor="text1"/>
                <w:sz w:val="24"/>
                <w:szCs w:val="24"/>
              </w:rPr>
              <w:t>Key Steps</w:t>
            </w:r>
          </w:p>
        </w:tc>
      </w:tr>
      <w:tr w:rsidR="00972FDA" w14:paraId="18390239" w14:textId="77777777" w:rsidTr="00972FDA">
        <w:tc>
          <w:tcPr>
            <w:tcW w:w="2972" w:type="dxa"/>
            <w:vAlign w:val="center"/>
          </w:tcPr>
          <w:p w14:paraId="69A68ED9" w14:textId="472E26C9" w:rsidR="00972FDA" w:rsidRDefault="00972FDA" w:rsidP="00972FDA">
            <w:pPr>
              <w:pStyle w:val="NormalWeb"/>
              <w:spacing w:line="360" w:lineRule="auto"/>
              <w:jc w:val="center"/>
              <w:rPr>
                <w:rFonts w:ascii="Arial" w:eastAsia="Times New Roman" w:hAnsi="Arial" w:cs="Arial"/>
                <w:color w:val="000000" w:themeColor="text1"/>
              </w:rPr>
            </w:pPr>
            <w:r w:rsidRPr="008613BE">
              <w:rPr>
                <w:rStyle w:val="Strong"/>
                <w:rFonts w:ascii="Arial" w:hAnsi="Arial" w:cs="Arial"/>
                <w:color w:val="000000" w:themeColor="text1"/>
              </w:rPr>
              <w:t>Embed Sustainability in Strategy</w:t>
            </w:r>
          </w:p>
        </w:tc>
        <w:tc>
          <w:tcPr>
            <w:tcW w:w="6378" w:type="dxa"/>
          </w:tcPr>
          <w:p w14:paraId="0909A667" w14:textId="77777777" w:rsidR="00972FDA" w:rsidRPr="008613BE" w:rsidRDefault="00972FDA" w:rsidP="00972FDA">
            <w:pPr>
              <w:pStyle w:val="NormalWeb"/>
              <w:numPr>
                <w:ilvl w:val="0"/>
                <w:numId w:val="5"/>
              </w:numPr>
              <w:tabs>
                <w:tab w:val="clear" w:pos="720"/>
                <w:tab w:val="num" w:pos="361"/>
              </w:tabs>
              <w:spacing w:line="360" w:lineRule="auto"/>
              <w:ind w:left="77" w:firstLine="0"/>
              <w:jc w:val="both"/>
              <w:rPr>
                <w:rFonts w:ascii="Arial" w:hAnsi="Arial" w:cs="Arial"/>
                <w:color w:val="000000" w:themeColor="text1"/>
              </w:rPr>
            </w:pPr>
            <w:r w:rsidRPr="008613BE">
              <w:rPr>
                <w:rFonts w:ascii="Arial" w:hAnsi="Arial" w:cs="Arial"/>
                <w:color w:val="000000" w:themeColor="text1"/>
              </w:rPr>
              <w:t>Integrate TBL metrics into performance indicators.</w:t>
            </w:r>
          </w:p>
          <w:p w14:paraId="52416DBF" w14:textId="77777777" w:rsidR="00972FDA" w:rsidRPr="008613BE" w:rsidRDefault="00972FDA" w:rsidP="00972FDA">
            <w:pPr>
              <w:pStyle w:val="NormalWeb"/>
              <w:numPr>
                <w:ilvl w:val="0"/>
                <w:numId w:val="5"/>
              </w:numPr>
              <w:tabs>
                <w:tab w:val="clear" w:pos="720"/>
                <w:tab w:val="num" w:pos="361"/>
              </w:tabs>
              <w:spacing w:line="360" w:lineRule="auto"/>
              <w:ind w:left="77" w:firstLine="0"/>
              <w:jc w:val="both"/>
              <w:rPr>
                <w:rFonts w:ascii="Arial" w:hAnsi="Arial" w:cs="Arial"/>
                <w:color w:val="000000" w:themeColor="text1"/>
              </w:rPr>
            </w:pPr>
            <w:r w:rsidRPr="008613BE">
              <w:rPr>
                <w:rFonts w:ascii="Arial" w:hAnsi="Arial" w:cs="Arial"/>
                <w:color w:val="000000" w:themeColor="text1"/>
              </w:rPr>
              <w:t>Set SMART targets for energy, water, and waste; link executive pay to results.</w:t>
            </w:r>
          </w:p>
          <w:p w14:paraId="35C3163D" w14:textId="3FF57ACF" w:rsidR="00972FDA" w:rsidRDefault="00972FDA" w:rsidP="00972FDA">
            <w:pPr>
              <w:pStyle w:val="NormalWeb"/>
              <w:numPr>
                <w:ilvl w:val="0"/>
                <w:numId w:val="5"/>
              </w:numPr>
              <w:tabs>
                <w:tab w:val="clear" w:pos="720"/>
                <w:tab w:val="num" w:pos="361"/>
              </w:tabs>
              <w:spacing w:line="360" w:lineRule="auto"/>
              <w:ind w:left="77" w:firstLine="0"/>
              <w:jc w:val="both"/>
              <w:rPr>
                <w:rFonts w:ascii="Arial" w:eastAsia="Times New Roman" w:hAnsi="Arial" w:cs="Arial"/>
                <w:color w:val="000000" w:themeColor="text1"/>
              </w:rPr>
            </w:pPr>
            <w:r w:rsidRPr="008613BE">
              <w:rPr>
                <w:rFonts w:ascii="Arial" w:hAnsi="Arial" w:cs="Arial"/>
                <w:color w:val="000000" w:themeColor="text1"/>
              </w:rPr>
              <w:t>Form cross-functional sustainability committees for alignment across departments.</w:t>
            </w:r>
          </w:p>
        </w:tc>
      </w:tr>
      <w:tr w:rsidR="00972FDA" w14:paraId="19E8286F" w14:textId="77777777" w:rsidTr="00972FDA">
        <w:tc>
          <w:tcPr>
            <w:tcW w:w="2972" w:type="dxa"/>
            <w:vAlign w:val="center"/>
          </w:tcPr>
          <w:p w14:paraId="5E16F2F0" w14:textId="0D77C786" w:rsidR="00972FDA" w:rsidRDefault="00972FDA" w:rsidP="00972FDA">
            <w:pPr>
              <w:pStyle w:val="NormalWeb"/>
              <w:spacing w:line="360" w:lineRule="auto"/>
              <w:jc w:val="center"/>
              <w:rPr>
                <w:rFonts w:ascii="Arial" w:eastAsia="Times New Roman" w:hAnsi="Arial" w:cs="Arial"/>
                <w:color w:val="000000" w:themeColor="text1"/>
              </w:rPr>
            </w:pPr>
            <w:r w:rsidRPr="008613BE">
              <w:rPr>
                <w:rStyle w:val="Strong"/>
                <w:rFonts w:ascii="Arial" w:hAnsi="Arial" w:cs="Arial"/>
                <w:color w:val="000000" w:themeColor="text1"/>
              </w:rPr>
              <w:t>Invest in Data-Driven Systems</w:t>
            </w:r>
          </w:p>
        </w:tc>
        <w:tc>
          <w:tcPr>
            <w:tcW w:w="6378" w:type="dxa"/>
          </w:tcPr>
          <w:p w14:paraId="653FF600" w14:textId="77777777" w:rsidR="00972FDA" w:rsidRPr="008613BE" w:rsidRDefault="00972FDA" w:rsidP="00972FDA">
            <w:pPr>
              <w:pStyle w:val="NormalWeb"/>
              <w:numPr>
                <w:ilvl w:val="0"/>
                <w:numId w:val="6"/>
              </w:numPr>
              <w:tabs>
                <w:tab w:val="clear" w:pos="720"/>
                <w:tab w:val="num" w:pos="361"/>
              </w:tabs>
              <w:spacing w:line="360" w:lineRule="auto"/>
              <w:ind w:left="77" w:firstLine="0"/>
              <w:jc w:val="both"/>
              <w:rPr>
                <w:rFonts w:ascii="Arial" w:hAnsi="Arial" w:cs="Arial"/>
                <w:color w:val="000000" w:themeColor="text1"/>
              </w:rPr>
            </w:pPr>
            <w:r w:rsidRPr="008613BE">
              <w:rPr>
                <w:rFonts w:ascii="Arial" w:hAnsi="Arial" w:cs="Arial"/>
                <w:color w:val="000000" w:themeColor="text1"/>
              </w:rPr>
              <w:t>Use tools like Hilton’s LightStay or similar for real-time resource tracking.</w:t>
            </w:r>
          </w:p>
          <w:p w14:paraId="3172BDCD" w14:textId="47751EAE" w:rsidR="00972FDA" w:rsidRDefault="00972FDA" w:rsidP="00972FDA">
            <w:pPr>
              <w:pStyle w:val="NormalWeb"/>
              <w:numPr>
                <w:ilvl w:val="0"/>
                <w:numId w:val="6"/>
              </w:numPr>
              <w:tabs>
                <w:tab w:val="clear" w:pos="720"/>
                <w:tab w:val="num" w:pos="361"/>
              </w:tabs>
              <w:spacing w:line="360" w:lineRule="auto"/>
              <w:ind w:left="77" w:firstLine="0"/>
              <w:jc w:val="both"/>
              <w:rPr>
                <w:rFonts w:ascii="Arial" w:eastAsia="Times New Roman" w:hAnsi="Arial" w:cs="Arial"/>
                <w:color w:val="000000" w:themeColor="text1"/>
              </w:rPr>
            </w:pPr>
            <w:r w:rsidRPr="008613BE">
              <w:rPr>
                <w:rFonts w:ascii="Arial" w:hAnsi="Arial" w:cs="Arial"/>
                <w:color w:val="000000" w:themeColor="text1"/>
              </w:rPr>
              <w:t>Employ IoT and predictive analytics to optimize systems based on occupancy.</w:t>
            </w:r>
          </w:p>
        </w:tc>
      </w:tr>
      <w:tr w:rsidR="00972FDA" w14:paraId="29DDF124" w14:textId="77777777" w:rsidTr="00972FDA">
        <w:tc>
          <w:tcPr>
            <w:tcW w:w="2972" w:type="dxa"/>
            <w:vAlign w:val="center"/>
          </w:tcPr>
          <w:p w14:paraId="7A63DE52" w14:textId="153AD7DC" w:rsidR="00972FDA" w:rsidRDefault="00972FDA" w:rsidP="00972FDA">
            <w:pPr>
              <w:pStyle w:val="NormalWeb"/>
              <w:spacing w:line="360" w:lineRule="auto"/>
              <w:jc w:val="center"/>
              <w:rPr>
                <w:rFonts w:ascii="Arial" w:eastAsia="Times New Roman" w:hAnsi="Arial" w:cs="Arial"/>
                <w:color w:val="000000" w:themeColor="text1"/>
              </w:rPr>
            </w:pPr>
            <w:r w:rsidRPr="008613BE">
              <w:rPr>
                <w:rStyle w:val="Strong"/>
                <w:rFonts w:ascii="Arial" w:hAnsi="Arial" w:cs="Arial"/>
                <w:color w:val="000000" w:themeColor="text1"/>
              </w:rPr>
              <w:t>Strengthen Circular Economy</w:t>
            </w:r>
          </w:p>
        </w:tc>
        <w:tc>
          <w:tcPr>
            <w:tcW w:w="6378" w:type="dxa"/>
          </w:tcPr>
          <w:p w14:paraId="36D15053" w14:textId="77777777" w:rsidR="00972FDA" w:rsidRPr="008613BE" w:rsidRDefault="00972FDA" w:rsidP="00972FDA">
            <w:pPr>
              <w:pStyle w:val="NormalWeb"/>
              <w:numPr>
                <w:ilvl w:val="0"/>
                <w:numId w:val="7"/>
              </w:numPr>
              <w:tabs>
                <w:tab w:val="clear" w:pos="720"/>
                <w:tab w:val="num" w:pos="361"/>
              </w:tabs>
              <w:spacing w:line="360" w:lineRule="auto"/>
              <w:ind w:left="77" w:firstLine="0"/>
              <w:jc w:val="both"/>
              <w:rPr>
                <w:rFonts w:ascii="Arial" w:hAnsi="Arial" w:cs="Arial"/>
                <w:color w:val="000000" w:themeColor="text1"/>
              </w:rPr>
            </w:pPr>
            <w:r w:rsidRPr="008613BE">
              <w:rPr>
                <w:rFonts w:ascii="Arial" w:hAnsi="Arial" w:cs="Arial"/>
                <w:color w:val="000000" w:themeColor="text1"/>
              </w:rPr>
              <w:t>Carry out wastes audits; create recycling, composting and reuse programs.</w:t>
            </w:r>
          </w:p>
          <w:p w14:paraId="17036203" w14:textId="77777777" w:rsidR="00972FDA" w:rsidRPr="008613BE" w:rsidRDefault="00972FDA" w:rsidP="00972FDA">
            <w:pPr>
              <w:pStyle w:val="NormalWeb"/>
              <w:numPr>
                <w:ilvl w:val="0"/>
                <w:numId w:val="7"/>
              </w:numPr>
              <w:tabs>
                <w:tab w:val="clear" w:pos="720"/>
                <w:tab w:val="num" w:pos="361"/>
              </w:tabs>
              <w:spacing w:line="360" w:lineRule="auto"/>
              <w:ind w:left="77" w:firstLine="0"/>
              <w:jc w:val="both"/>
              <w:rPr>
                <w:rFonts w:ascii="Arial" w:hAnsi="Arial" w:cs="Arial"/>
                <w:color w:val="000000" w:themeColor="text1"/>
              </w:rPr>
            </w:pPr>
            <w:r w:rsidRPr="008613BE">
              <w:rPr>
                <w:rFonts w:ascii="Arial" w:hAnsi="Arial" w:cs="Arial"/>
                <w:color w:val="000000" w:themeColor="text1"/>
              </w:rPr>
              <w:t>Purchase materials and fabrics from circular companies, including items made with recycled wood or linens.</w:t>
            </w:r>
          </w:p>
          <w:p w14:paraId="6454F23D" w14:textId="7326DDFD" w:rsidR="00972FDA" w:rsidRDefault="00972FDA" w:rsidP="00972FDA">
            <w:pPr>
              <w:pStyle w:val="NormalWeb"/>
              <w:numPr>
                <w:ilvl w:val="0"/>
                <w:numId w:val="7"/>
              </w:numPr>
              <w:tabs>
                <w:tab w:val="clear" w:pos="720"/>
                <w:tab w:val="num" w:pos="361"/>
              </w:tabs>
              <w:spacing w:line="360" w:lineRule="auto"/>
              <w:ind w:left="77" w:firstLine="0"/>
              <w:jc w:val="both"/>
              <w:rPr>
                <w:rFonts w:ascii="Arial" w:eastAsia="Times New Roman" w:hAnsi="Arial" w:cs="Arial"/>
                <w:color w:val="000000" w:themeColor="text1"/>
              </w:rPr>
            </w:pPr>
            <w:r w:rsidRPr="008613BE">
              <w:rPr>
                <w:rFonts w:ascii="Arial" w:hAnsi="Arial" w:cs="Arial"/>
                <w:color w:val="000000" w:themeColor="text1"/>
              </w:rPr>
              <w:t>Use closed-loop systems for water and engage in water reclamation technology.</w:t>
            </w:r>
          </w:p>
        </w:tc>
      </w:tr>
      <w:tr w:rsidR="00972FDA" w14:paraId="4F20FC56" w14:textId="77777777" w:rsidTr="00972FDA">
        <w:tc>
          <w:tcPr>
            <w:tcW w:w="2972" w:type="dxa"/>
            <w:vAlign w:val="center"/>
          </w:tcPr>
          <w:p w14:paraId="4278C9E5" w14:textId="38224196" w:rsidR="00972FDA" w:rsidRDefault="00972FDA" w:rsidP="00972FDA">
            <w:pPr>
              <w:pStyle w:val="NormalWeb"/>
              <w:spacing w:line="360" w:lineRule="auto"/>
              <w:jc w:val="center"/>
              <w:rPr>
                <w:rFonts w:ascii="Arial" w:eastAsia="Times New Roman" w:hAnsi="Arial" w:cs="Arial"/>
                <w:color w:val="000000" w:themeColor="text1"/>
              </w:rPr>
            </w:pPr>
            <w:r w:rsidRPr="008613BE">
              <w:rPr>
                <w:rStyle w:val="Strong"/>
                <w:rFonts w:ascii="Arial" w:hAnsi="Arial" w:cs="Arial"/>
                <w:color w:val="000000" w:themeColor="text1"/>
              </w:rPr>
              <w:t>Deepen Community &amp; CSR Efforts</w:t>
            </w:r>
          </w:p>
        </w:tc>
        <w:tc>
          <w:tcPr>
            <w:tcW w:w="6378" w:type="dxa"/>
          </w:tcPr>
          <w:p w14:paraId="1E3AFCA8" w14:textId="77777777" w:rsidR="00972FDA" w:rsidRPr="008613BE" w:rsidRDefault="00972FDA" w:rsidP="00972FDA">
            <w:pPr>
              <w:pStyle w:val="NormalWeb"/>
              <w:numPr>
                <w:ilvl w:val="0"/>
                <w:numId w:val="8"/>
              </w:numPr>
              <w:tabs>
                <w:tab w:val="clear" w:pos="720"/>
                <w:tab w:val="num" w:pos="361"/>
              </w:tabs>
              <w:spacing w:line="360" w:lineRule="auto"/>
              <w:ind w:left="77" w:firstLine="0"/>
              <w:jc w:val="both"/>
              <w:rPr>
                <w:rFonts w:ascii="Arial" w:hAnsi="Arial" w:cs="Arial"/>
                <w:color w:val="000000" w:themeColor="text1"/>
              </w:rPr>
            </w:pPr>
            <w:r w:rsidRPr="008613BE">
              <w:rPr>
                <w:rFonts w:ascii="Arial" w:hAnsi="Arial" w:cs="Arial"/>
                <w:color w:val="000000" w:themeColor="text1"/>
              </w:rPr>
              <w:t>Dedicate a % of revenue (</w:t>
            </w:r>
            <w:r w:rsidRPr="008613BE">
              <w:rPr>
                <w:rFonts w:ascii="Arial" w:eastAsia="Times New Roman" w:hAnsi="Arial" w:cs="Arial"/>
                <w:color w:val="000000" w:themeColor="text1"/>
              </w:rPr>
              <w:t>as practiced by Six Senses</w:t>
            </w:r>
            <w:r w:rsidRPr="008613BE">
              <w:rPr>
                <w:rFonts w:ascii="Arial" w:hAnsi="Arial" w:cs="Arial"/>
                <w:color w:val="000000" w:themeColor="text1"/>
              </w:rPr>
              <w:t>) to local projects in health, education, and conservation.</w:t>
            </w:r>
          </w:p>
          <w:p w14:paraId="57FB8382" w14:textId="77777777" w:rsidR="00972FDA" w:rsidRPr="008613BE" w:rsidRDefault="00972FDA" w:rsidP="00972FDA">
            <w:pPr>
              <w:pStyle w:val="NormalWeb"/>
              <w:numPr>
                <w:ilvl w:val="0"/>
                <w:numId w:val="8"/>
              </w:numPr>
              <w:tabs>
                <w:tab w:val="clear" w:pos="720"/>
                <w:tab w:val="num" w:pos="361"/>
              </w:tabs>
              <w:spacing w:line="360" w:lineRule="auto"/>
              <w:ind w:left="77" w:firstLine="0"/>
              <w:jc w:val="both"/>
              <w:rPr>
                <w:rFonts w:ascii="Arial" w:hAnsi="Arial" w:cs="Arial"/>
                <w:color w:val="000000" w:themeColor="text1"/>
              </w:rPr>
            </w:pPr>
            <w:r w:rsidRPr="008613BE">
              <w:rPr>
                <w:rFonts w:ascii="Arial" w:hAnsi="Arial" w:cs="Arial"/>
                <w:color w:val="000000" w:themeColor="text1"/>
              </w:rPr>
              <w:t>Focus on local hiring and workforce training to support regional economies.</w:t>
            </w:r>
          </w:p>
          <w:p w14:paraId="2EE62B89" w14:textId="351F1884" w:rsidR="00972FDA" w:rsidRDefault="00972FDA" w:rsidP="00972FDA">
            <w:pPr>
              <w:pStyle w:val="NormalWeb"/>
              <w:numPr>
                <w:ilvl w:val="0"/>
                <w:numId w:val="8"/>
              </w:numPr>
              <w:tabs>
                <w:tab w:val="clear" w:pos="720"/>
                <w:tab w:val="num" w:pos="361"/>
              </w:tabs>
              <w:spacing w:line="360" w:lineRule="auto"/>
              <w:ind w:left="77" w:firstLine="0"/>
              <w:jc w:val="both"/>
              <w:rPr>
                <w:rFonts w:ascii="Arial" w:eastAsia="Times New Roman" w:hAnsi="Arial" w:cs="Arial"/>
                <w:color w:val="000000" w:themeColor="text1"/>
              </w:rPr>
            </w:pPr>
            <w:r w:rsidRPr="008613BE">
              <w:rPr>
                <w:rFonts w:ascii="Arial" w:hAnsi="Arial" w:cs="Arial"/>
                <w:color w:val="000000" w:themeColor="text1"/>
              </w:rPr>
              <w:t>Report CSR impact transparently, with metrics on beneficiaries and investments.</w:t>
            </w:r>
          </w:p>
        </w:tc>
      </w:tr>
      <w:tr w:rsidR="00972FDA" w14:paraId="3EE24317" w14:textId="77777777" w:rsidTr="00972FDA">
        <w:tc>
          <w:tcPr>
            <w:tcW w:w="2972" w:type="dxa"/>
            <w:vAlign w:val="center"/>
          </w:tcPr>
          <w:p w14:paraId="3F7D59B7" w14:textId="3112C527" w:rsidR="00972FDA" w:rsidRDefault="00972FDA" w:rsidP="00972FDA">
            <w:pPr>
              <w:pStyle w:val="NormalWeb"/>
              <w:spacing w:line="360" w:lineRule="auto"/>
              <w:jc w:val="center"/>
              <w:rPr>
                <w:rFonts w:ascii="Arial" w:eastAsia="Times New Roman" w:hAnsi="Arial" w:cs="Arial"/>
                <w:color w:val="000000" w:themeColor="text1"/>
              </w:rPr>
            </w:pPr>
            <w:r w:rsidRPr="008613BE">
              <w:rPr>
                <w:rStyle w:val="Strong"/>
                <w:rFonts w:ascii="Arial" w:hAnsi="Arial" w:cs="Arial"/>
                <w:color w:val="000000" w:themeColor="text1"/>
              </w:rPr>
              <w:t>Pursue Certifications &amp; Partnerships</w:t>
            </w:r>
          </w:p>
        </w:tc>
        <w:tc>
          <w:tcPr>
            <w:tcW w:w="6378" w:type="dxa"/>
          </w:tcPr>
          <w:p w14:paraId="59CC7C22" w14:textId="77777777" w:rsidR="00972FDA" w:rsidRDefault="00972FDA" w:rsidP="00F43CF4">
            <w:pPr>
              <w:pStyle w:val="NormalWeb"/>
              <w:numPr>
                <w:ilvl w:val="0"/>
                <w:numId w:val="9"/>
              </w:numPr>
              <w:tabs>
                <w:tab w:val="clear" w:pos="720"/>
                <w:tab w:val="num" w:pos="361"/>
              </w:tabs>
              <w:spacing w:line="360" w:lineRule="auto"/>
              <w:ind w:left="77" w:firstLine="0"/>
              <w:jc w:val="both"/>
              <w:rPr>
                <w:rFonts w:ascii="Arial" w:hAnsi="Arial" w:cs="Arial"/>
                <w:color w:val="000000" w:themeColor="text1"/>
              </w:rPr>
            </w:pPr>
            <w:r w:rsidRPr="00972FDA">
              <w:rPr>
                <w:rFonts w:ascii="Arial" w:hAnsi="Arial" w:cs="Arial"/>
                <w:color w:val="000000" w:themeColor="text1"/>
              </w:rPr>
              <w:t>Opt for well-known certifications like GSTC, LEED or BREEAM to prove commitment.</w:t>
            </w:r>
          </w:p>
          <w:p w14:paraId="60D91982" w14:textId="3BA23B5F" w:rsidR="00972FDA" w:rsidRPr="00972FDA" w:rsidRDefault="00972FDA" w:rsidP="00F43CF4">
            <w:pPr>
              <w:pStyle w:val="NormalWeb"/>
              <w:numPr>
                <w:ilvl w:val="0"/>
                <w:numId w:val="9"/>
              </w:numPr>
              <w:tabs>
                <w:tab w:val="clear" w:pos="720"/>
                <w:tab w:val="num" w:pos="361"/>
              </w:tabs>
              <w:spacing w:line="360" w:lineRule="auto"/>
              <w:ind w:left="77" w:firstLine="0"/>
              <w:jc w:val="both"/>
              <w:rPr>
                <w:rFonts w:ascii="Arial" w:hAnsi="Arial" w:cs="Arial"/>
                <w:color w:val="000000" w:themeColor="text1"/>
              </w:rPr>
            </w:pPr>
            <w:r w:rsidRPr="00972FDA">
              <w:rPr>
                <w:rFonts w:ascii="Arial" w:hAnsi="Arial" w:cs="Arial"/>
                <w:color w:val="000000" w:themeColor="text1"/>
              </w:rPr>
              <w:lastRenderedPageBreak/>
              <w:t>Take part in projects such as the Hotel Sustainability Benchmarking Initiative (HSBI) to communicate practices and have a bigger impact.</w:t>
            </w:r>
          </w:p>
          <w:p w14:paraId="46E79F97" w14:textId="77777777" w:rsidR="00972FDA" w:rsidRDefault="00972FDA" w:rsidP="00972FDA">
            <w:pPr>
              <w:tabs>
                <w:tab w:val="num" w:pos="361"/>
              </w:tabs>
              <w:spacing w:after="0" w:line="360" w:lineRule="auto"/>
              <w:ind w:left="77"/>
              <w:jc w:val="both"/>
              <w:rPr>
                <w:rFonts w:ascii="Arial" w:eastAsia="Times New Roman" w:hAnsi="Arial" w:cs="Arial"/>
                <w:color w:val="000000" w:themeColor="text1"/>
                <w:sz w:val="24"/>
                <w:szCs w:val="24"/>
              </w:rPr>
            </w:pPr>
          </w:p>
        </w:tc>
      </w:tr>
      <w:tr w:rsidR="00972FDA" w14:paraId="385F1710" w14:textId="77777777" w:rsidTr="00972FDA">
        <w:tc>
          <w:tcPr>
            <w:tcW w:w="2972" w:type="dxa"/>
            <w:vAlign w:val="center"/>
          </w:tcPr>
          <w:p w14:paraId="50CCE4B5" w14:textId="02BD2A95" w:rsidR="00972FDA" w:rsidRPr="008613BE" w:rsidRDefault="00972FDA" w:rsidP="00972FDA">
            <w:pPr>
              <w:pStyle w:val="NormalWeb"/>
              <w:spacing w:line="360" w:lineRule="auto"/>
              <w:jc w:val="center"/>
              <w:rPr>
                <w:rStyle w:val="Strong"/>
                <w:rFonts w:ascii="Arial" w:hAnsi="Arial" w:cs="Arial"/>
                <w:color w:val="000000" w:themeColor="text1"/>
              </w:rPr>
            </w:pPr>
            <w:r w:rsidRPr="008613BE">
              <w:rPr>
                <w:rStyle w:val="Strong"/>
                <w:rFonts w:ascii="Arial" w:hAnsi="Arial" w:cs="Arial"/>
                <w:color w:val="000000" w:themeColor="text1"/>
              </w:rPr>
              <w:lastRenderedPageBreak/>
              <w:t>Foster Cross-Sector Innovation</w:t>
            </w:r>
          </w:p>
        </w:tc>
        <w:tc>
          <w:tcPr>
            <w:tcW w:w="6378" w:type="dxa"/>
          </w:tcPr>
          <w:p w14:paraId="6A90462A" w14:textId="77777777" w:rsidR="00972FDA" w:rsidRPr="008613BE" w:rsidRDefault="00972FDA" w:rsidP="00972FDA">
            <w:pPr>
              <w:pStyle w:val="NormalWeb"/>
              <w:numPr>
                <w:ilvl w:val="0"/>
                <w:numId w:val="9"/>
              </w:numPr>
              <w:tabs>
                <w:tab w:val="clear" w:pos="720"/>
                <w:tab w:val="num" w:pos="361"/>
              </w:tabs>
              <w:spacing w:line="360" w:lineRule="auto"/>
              <w:ind w:left="77" w:firstLine="0"/>
              <w:jc w:val="both"/>
              <w:rPr>
                <w:rFonts w:ascii="Arial" w:hAnsi="Arial" w:cs="Arial"/>
                <w:color w:val="000000" w:themeColor="text1"/>
              </w:rPr>
            </w:pPr>
            <w:r w:rsidRPr="008613BE">
              <w:rPr>
                <w:rFonts w:ascii="Arial" w:hAnsi="Arial" w:cs="Arial"/>
                <w:color w:val="000000" w:themeColor="text1"/>
              </w:rPr>
              <w:t>Collaborate with cleantech firms and universities on emerging solutions.</w:t>
            </w:r>
          </w:p>
          <w:p w14:paraId="5F6ECA98" w14:textId="3B47FB77" w:rsidR="00972FDA" w:rsidRPr="008613BE" w:rsidRDefault="00972FDA" w:rsidP="00972FDA">
            <w:pPr>
              <w:pStyle w:val="NormalWeb"/>
              <w:numPr>
                <w:ilvl w:val="0"/>
                <w:numId w:val="9"/>
              </w:numPr>
              <w:tabs>
                <w:tab w:val="clear" w:pos="720"/>
                <w:tab w:val="num" w:pos="361"/>
              </w:tabs>
              <w:spacing w:line="360" w:lineRule="auto"/>
              <w:ind w:left="77" w:firstLine="0"/>
              <w:jc w:val="both"/>
              <w:rPr>
                <w:rFonts w:ascii="Arial" w:hAnsi="Arial" w:cs="Arial"/>
                <w:color w:val="000000" w:themeColor="text1"/>
              </w:rPr>
            </w:pPr>
            <w:r w:rsidRPr="008613BE">
              <w:rPr>
                <w:rFonts w:ascii="Arial" w:hAnsi="Arial" w:cs="Arial"/>
                <w:color w:val="000000" w:themeColor="text1"/>
              </w:rPr>
              <w:t xml:space="preserve">Pilot innovations like solar facades, </w:t>
            </w:r>
            <w:r w:rsidR="00591303" w:rsidRPr="008613BE">
              <w:rPr>
                <w:rFonts w:ascii="Arial" w:hAnsi="Arial" w:cs="Arial"/>
                <w:color w:val="000000" w:themeColor="text1"/>
              </w:rPr>
              <w:t>micro grids</w:t>
            </w:r>
            <w:r w:rsidRPr="008613BE">
              <w:rPr>
                <w:rFonts w:ascii="Arial" w:hAnsi="Arial" w:cs="Arial"/>
                <w:color w:val="000000" w:themeColor="text1"/>
              </w:rPr>
              <w:t>, and waste-to-energy systems.</w:t>
            </w:r>
          </w:p>
        </w:tc>
      </w:tr>
      <w:tr w:rsidR="00972FDA" w14:paraId="215CBED4" w14:textId="77777777" w:rsidTr="00972FDA">
        <w:tc>
          <w:tcPr>
            <w:tcW w:w="2972" w:type="dxa"/>
            <w:vAlign w:val="center"/>
          </w:tcPr>
          <w:p w14:paraId="4D18FB9E" w14:textId="2E1745C9" w:rsidR="00972FDA" w:rsidRPr="008613BE" w:rsidRDefault="00972FDA" w:rsidP="00972FDA">
            <w:pPr>
              <w:pStyle w:val="NormalWeb"/>
              <w:spacing w:line="360" w:lineRule="auto"/>
              <w:jc w:val="center"/>
              <w:rPr>
                <w:rStyle w:val="Strong"/>
                <w:rFonts w:ascii="Arial" w:hAnsi="Arial" w:cs="Arial"/>
                <w:color w:val="000000" w:themeColor="text1"/>
              </w:rPr>
            </w:pPr>
            <w:r w:rsidRPr="008613BE">
              <w:rPr>
                <w:rStyle w:val="Strong"/>
                <w:rFonts w:ascii="Arial" w:hAnsi="Arial" w:cs="Arial"/>
                <w:color w:val="000000" w:themeColor="text1"/>
              </w:rPr>
              <w:t>Enhance Guest Engagement</w:t>
            </w:r>
          </w:p>
        </w:tc>
        <w:tc>
          <w:tcPr>
            <w:tcW w:w="6378" w:type="dxa"/>
          </w:tcPr>
          <w:p w14:paraId="115E224C" w14:textId="0244A2CF" w:rsidR="00972FDA" w:rsidRPr="008613BE" w:rsidRDefault="00972FDA" w:rsidP="00972FDA">
            <w:pPr>
              <w:pStyle w:val="NormalWeb"/>
              <w:numPr>
                <w:ilvl w:val="0"/>
                <w:numId w:val="9"/>
              </w:numPr>
              <w:tabs>
                <w:tab w:val="clear" w:pos="720"/>
                <w:tab w:val="num" w:pos="361"/>
              </w:tabs>
              <w:spacing w:line="360" w:lineRule="auto"/>
              <w:ind w:left="77" w:firstLine="0"/>
              <w:jc w:val="both"/>
              <w:rPr>
                <w:rFonts w:ascii="Arial" w:hAnsi="Arial" w:cs="Arial"/>
                <w:color w:val="000000" w:themeColor="text1"/>
              </w:rPr>
            </w:pPr>
            <w:r w:rsidRPr="008613BE">
              <w:rPr>
                <w:rFonts w:ascii="Arial" w:hAnsi="Arial" w:cs="Arial"/>
                <w:color w:val="000000" w:themeColor="text1"/>
              </w:rPr>
              <w:t xml:space="preserve">Organize eco-tours or beach </w:t>
            </w:r>
            <w:r w:rsidR="000F037A" w:rsidRPr="008613BE">
              <w:rPr>
                <w:rFonts w:ascii="Arial" w:hAnsi="Arial" w:cs="Arial"/>
                <w:color w:val="000000" w:themeColor="text1"/>
              </w:rPr>
              <w:t>clean-up</w:t>
            </w:r>
            <w:r w:rsidRPr="008613BE">
              <w:rPr>
                <w:rFonts w:ascii="Arial" w:hAnsi="Arial" w:cs="Arial"/>
                <w:color w:val="000000" w:themeColor="text1"/>
              </w:rPr>
              <w:t xml:space="preserve"> activities for your guests to take part in.</w:t>
            </w:r>
          </w:p>
          <w:p w14:paraId="63567D39" w14:textId="77777777" w:rsidR="00972FDA" w:rsidRPr="008613BE" w:rsidRDefault="00972FDA" w:rsidP="00972FDA">
            <w:pPr>
              <w:pStyle w:val="NormalWeb"/>
              <w:numPr>
                <w:ilvl w:val="0"/>
                <w:numId w:val="9"/>
              </w:numPr>
              <w:tabs>
                <w:tab w:val="clear" w:pos="720"/>
                <w:tab w:val="num" w:pos="361"/>
              </w:tabs>
              <w:spacing w:line="360" w:lineRule="auto"/>
              <w:ind w:left="77" w:firstLine="0"/>
              <w:jc w:val="both"/>
              <w:rPr>
                <w:rFonts w:ascii="Arial" w:hAnsi="Arial" w:cs="Arial"/>
                <w:color w:val="000000" w:themeColor="text1"/>
              </w:rPr>
            </w:pPr>
            <w:r w:rsidRPr="008613BE">
              <w:rPr>
                <w:rFonts w:ascii="Arial" w:hAnsi="Arial" w:cs="Arial"/>
                <w:color w:val="000000" w:themeColor="text1"/>
              </w:rPr>
              <w:t>Arrange different gamified initiatives (e.g., linen reuse programs) with rewards.</w:t>
            </w:r>
          </w:p>
          <w:p w14:paraId="5279AFDE" w14:textId="3C41DE82" w:rsidR="00972FDA" w:rsidRPr="00972FDA" w:rsidRDefault="00972FDA" w:rsidP="00972FDA">
            <w:pPr>
              <w:pStyle w:val="NormalWeb"/>
              <w:numPr>
                <w:ilvl w:val="0"/>
                <w:numId w:val="9"/>
              </w:numPr>
              <w:tabs>
                <w:tab w:val="clear" w:pos="720"/>
                <w:tab w:val="num" w:pos="361"/>
              </w:tabs>
              <w:spacing w:line="360" w:lineRule="auto"/>
              <w:ind w:left="77" w:firstLine="0"/>
              <w:jc w:val="both"/>
              <w:rPr>
                <w:rFonts w:ascii="Arial" w:hAnsi="Arial" w:cs="Arial"/>
                <w:color w:val="000000" w:themeColor="text1"/>
              </w:rPr>
            </w:pPr>
            <w:r w:rsidRPr="008613BE">
              <w:rPr>
                <w:rFonts w:ascii="Arial" w:hAnsi="Arial" w:cs="Arial"/>
                <w:color w:val="000000" w:themeColor="text1"/>
              </w:rPr>
              <w:t xml:space="preserve">Share sustainability outcomes by highlighting metrics </w:t>
            </w:r>
            <w:r w:rsidRPr="008613BE">
              <w:rPr>
                <w:rFonts w:ascii="Arial" w:eastAsia="Times New Roman" w:hAnsi="Arial" w:cs="Arial"/>
                <w:color w:val="000000" w:themeColor="text1"/>
              </w:rPr>
              <w:t>(e.g., “We’ve saved 1 million gallons of water this year”) to reinforce credibility.</w:t>
            </w:r>
          </w:p>
        </w:tc>
      </w:tr>
      <w:tr w:rsidR="00972FDA" w14:paraId="77DB0C6D" w14:textId="77777777" w:rsidTr="00972FDA">
        <w:tc>
          <w:tcPr>
            <w:tcW w:w="2972" w:type="dxa"/>
            <w:vAlign w:val="center"/>
          </w:tcPr>
          <w:p w14:paraId="58BD1F35" w14:textId="4DDCF794" w:rsidR="00972FDA" w:rsidRPr="008613BE" w:rsidRDefault="00972FDA" w:rsidP="00972FDA">
            <w:pPr>
              <w:pStyle w:val="NormalWeb"/>
              <w:spacing w:line="360" w:lineRule="auto"/>
              <w:jc w:val="center"/>
              <w:rPr>
                <w:rStyle w:val="Strong"/>
                <w:rFonts w:ascii="Arial" w:hAnsi="Arial" w:cs="Arial"/>
                <w:color w:val="000000" w:themeColor="text1"/>
              </w:rPr>
            </w:pPr>
            <w:r w:rsidRPr="008613BE">
              <w:rPr>
                <w:rStyle w:val="Strong"/>
                <w:rFonts w:ascii="Arial" w:hAnsi="Arial" w:cs="Arial"/>
                <w:color w:val="000000" w:themeColor="text1"/>
              </w:rPr>
              <w:t>Monitor, Report &amp; Refine</w:t>
            </w:r>
          </w:p>
        </w:tc>
        <w:tc>
          <w:tcPr>
            <w:tcW w:w="6378" w:type="dxa"/>
          </w:tcPr>
          <w:p w14:paraId="49D18796" w14:textId="77777777" w:rsidR="00972FDA" w:rsidRPr="008613BE" w:rsidRDefault="00972FDA" w:rsidP="00972FDA">
            <w:pPr>
              <w:pStyle w:val="NormalWeb"/>
              <w:numPr>
                <w:ilvl w:val="0"/>
                <w:numId w:val="9"/>
              </w:numPr>
              <w:tabs>
                <w:tab w:val="clear" w:pos="720"/>
                <w:tab w:val="num" w:pos="361"/>
              </w:tabs>
              <w:spacing w:line="360" w:lineRule="auto"/>
              <w:ind w:left="77" w:firstLine="0"/>
              <w:jc w:val="both"/>
              <w:rPr>
                <w:rFonts w:ascii="Arial" w:hAnsi="Arial" w:cs="Arial"/>
                <w:color w:val="000000" w:themeColor="text1"/>
              </w:rPr>
            </w:pPr>
            <w:r w:rsidRPr="008613BE">
              <w:rPr>
                <w:rFonts w:ascii="Arial" w:hAnsi="Arial" w:cs="Arial"/>
                <w:color w:val="000000" w:themeColor="text1"/>
              </w:rPr>
              <w:t xml:space="preserve">Publish annual reports (aligned with e.g., </w:t>
            </w:r>
            <w:r w:rsidRPr="008613BE">
              <w:rPr>
                <w:rFonts w:ascii="Arial" w:eastAsia="Times New Roman" w:hAnsi="Arial" w:cs="Arial"/>
                <w:color w:val="000000" w:themeColor="text1"/>
              </w:rPr>
              <w:t>Global Reporting Initiative</w:t>
            </w:r>
            <w:r w:rsidRPr="008613BE">
              <w:rPr>
                <w:rFonts w:ascii="Arial" w:hAnsi="Arial" w:cs="Arial"/>
                <w:color w:val="000000" w:themeColor="text1"/>
              </w:rPr>
              <w:t xml:space="preserve"> (GRI)) for transparency.</w:t>
            </w:r>
          </w:p>
          <w:p w14:paraId="6A63204D" w14:textId="6DA195AF" w:rsidR="00972FDA" w:rsidRPr="00972FDA" w:rsidRDefault="00972FDA" w:rsidP="00972FDA">
            <w:pPr>
              <w:pStyle w:val="NormalWeb"/>
              <w:numPr>
                <w:ilvl w:val="0"/>
                <w:numId w:val="9"/>
              </w:numPr>
              <w:tabs>
                <w:tab w:val="clear" w:pos="720"/>
                <w:tab w:val="num" w:pos="361"/>
              </w:tabs>
              <w:spacing w:line="360" w:lineRule="auto"/>
              <w:ind w:left="77" w:firstLine="0"/>
              <w:jc w:val="both"/>
              <w:rPr>
                <w:rFonts w:ascii="Arial" w:hAnsi="Arial" w:cs="Arial"/>
                <w:color w:val="000000" w:themeColor="text1"/>
              </w:rPr>
            </w:pPr>
            <w:r w:rsidRPr="008613BE">
              <w:rPr>
                <w:rFonts w:ascii="Arial" w:hAnsi="Arial" w:cs="Arial"/>
                <w:color w:val="000000" w:themeColor="text1"/>
              </w:rPr>
              <w:t>Review sustainability progress quarterly and adjust strategies as needed.</w:t>
            </w:r>
          </w:p>
        </w:tc>
      </w:tr>
    </w:tbl>
    <w:p w14:paraId="18955D61" w14:textId="09349E07" w:rsidR="0086357D" w:rsidRDefault="0086357D" w:rsidP="009731C8">
      <w:pPr>
        <w:spacing w:after="0" w:line="360" w:lineRule="auto"/>
        <w:jc w:val="both"/>
        <w:rPr>
          <w:rFonts w:ascii="Arial" w:eastAsia="Times New Roman" w:hAnsi="Arial" w:cs="Arial"/>
          <w:color w:val="000000" w:themeColor="text1"/>
          <w:sz w:val="24"/>
          <w:szCs w:val="24"/>
        </w:rPr>
      </w:pPr>
    </w:p>
    <w:p w14:paraId="429F2FC2" w14:textId="65707C3E" w:rsidR="00972FDA" w:rsidRDefault="00972FDA" w:rsidP="009731C8">
      <w:pPr>
        <w:spacing w:after="0" w:line="360" w:lineRule="auto"/>
        <w:jc w:val="both"/>
        <w:rPr>
          <w:rFonts w:ascii="Arial" w:eastAsia="Times New Roman" w:hAnsi="Arial" w:cs="Arial"/>
          <w:color w:val="000000" w:themeColor="text1"/>
          <w:sz w:val="24"/>
          <w:szCs w:val="24"/>
        </w:rPr>
      </w:pPr>
    </w:p>
    <w:p w14:paraId="275B3FCD" w14:textId="77777777" w:rsidR="00972FDA" w:rsidRPr="008613BE" w:rsidRDefault="00972FDA" w:rsidP="009731C8">
      <w:pPr>
        <w:spacing w:after="0" w:line="360" w:lineRule="auto"/>
        <w:jc w:val="both"/>
        <w:rPr>
          <w:rFonts w:ascii="Arial" w:eastAsia="Times New Roman" w:hAnsi="Arial" w:cs="Arial"/>
          <w:color w:val="000000" w:themeColor="text1"/>
          <w:sz w:val="24"/>
          <w:szCs w:val="24"/>
        </w:rPr>
      </w:pPr>
    </w:p>
    <w:p w14:paraId="352C0F02" w14:textId="77777777" w:rsidR="0086357D" w:rsidRPr="008613BE" w:rsidRDefault="0086357D" w:rsidP="009731C8">
      <w:pPr>
        <w:spacing w:after="160" w:line="360" w:lineRule="auto"/>
        <w:jc w:val="center"/>
        <w:rPr>
          <w:rFonts w:ascii="Arial" w:hAnsi="Arial" w:cs="Arial"/>
          <w:b/>
          <w:bCs/>
          <w:sz w:val="24"/>
          <w:szCs w:val="24"/>
          <w:u w:val="single"/>
          <w:lang w:val="en-US"/>
        </w:rPr>
      </w:pPr>
      <w:r w:rsidRPr="008613BE">
        <w:rPr>
          <w:rFonts w:ascii="Arial" w:hAnsi="Arial" w:cs="Arial"/>
          <w:b/>
          <w:bCs/>
          <w:sz w:val="24"/>
          <w:szCs w:val="24"/>
          <w:u w:val="single"/>
          <w:lang w:val="en-US"/>
        </w:rPr>
        <w:t>Conclusion</w:t>
      </w:r>
    </w:p>
    <w:p w14:paraId="7CDD5750" w14:textId="77777777" w:rsidR="008438D2" w:rsidRPr="008613BE" w:rsidRDefault="008438D2" w:rsidP="009731C8">
      <w:pPr>
        <w:spacing w:before="100" w:beforeAutospacing="1" w:after="100" w:afterAutospacing="1" w:line="360" w:lineRule="auto"/>
        <w:jc w:val="both"/>
        <w:rPr>
          <w:rFonts w:ascii="Arial" w:eastAsia="Times New Roman" w:hAnsi="Arial" w:cs="Arial"/>
          <w:color w:val="000000" w:themeColor="text1"/>
          <w:sz w:val="24"/>
          <w:szCs w:val="24"/>
        </w:rPr>
      </w:pPr>
      <w:r w:rsidRPr="008613BE">
        <w:rPr>
          <w:rFonts w:ascii="Arial" w:eastAsia="Times New Roman" w:hAnsi="Arial" w:cs="Arial"/>
          <w:color w:val="000000" w:themeColor="text1"/>
          <w:sz w:val="24"/>
          <w:szCs w:val="24"/>
        </w:rPr>
        <w:t xml:space="preserve">A shift toward sustainable and circular business models is important for both the environment and the hotel industry’s success. Following the Triple Bottom Line, CSR or Circular Economy creates a firm structure for caring for the environment, being socially responsible and being economically sustainable. Sustainable achievements made by Hilton, Six Senses and The Scarlet prove that significant improvements are possible with </w:t>
      </w:r>
      <w:r w:rsidRPr="008613BE">
        <w:rPr>
          <w:rFonts w:ascii="Arial" w:eastAsia="Times New Roman" w:hAnsi="Arial" w:cs="Arial"/>
          <w:color w:val="000000" w:themeColor="text1"/>
          <w:sz w:val="24"/>
          <w:szCs w:val="24"/>
        </w:rPr>
        <w:lastRenderedPageBreak/>
        <w:t>strong investment in new technology, close community partnerships and creative changes in their processes. According to various studies, sustainable policies lead to cost cuts, boost the company’s image, handle risks and create more opportunities for companies with eco-friendly customers.</w:t>
      </w:r>
    </w:p>
    <w:p w14:paraId="56416F00" w14:textId="0555F410" w:rsidR="0086357D" w:rsidRPr="008613BE" w:rsidRDefault="008438D2" w:rsidP="009731C8">
      <w:pPr>
        <w:spacing w:before="100" w:beforeAutospacing="1" w:after="100" w:afterAutospacing="1" w:line="360" w:lineRule="auto"/>
        <w:jc w:val="both"/>
        <w:rPr>
          <w:rFonts w:ascii="Arial" w:eastAsia="Times New Roman" w:hAnsi="Arial" w:cs="Arial"/>
          <w:color w:val="000000" w:themeColor="text1"/>
          <w:sz w:val="24"/>
          <w:szCs w:val="24"/>
        </w:rPr>
      </w:pPr>
      <w:r w:rsidRPr="008613BE">
        <w:rPr>
          <w:rFonts w:ascii="Arial" w:eastAsia="Times New Roman" w:hAnsi="Arial" w:cs="Arial"/>
          <w:color w:val="000000" w:themeColor="text1"/>
          <w:sz w:val="24"/>
          <w:szCs w:val="24"/>
        </w:rPr>
        <w:t xml:space="preserve">While rules become stricter and </w:t>
      </w:r>
      <w:r w:rsidR="000F037A" w:rsidRPr="008613BE">
        <w:rPr>
          <w:rFonts w:ascii="Arial" w:eastAsia="Times New Roman" w:hAnsi="Arial" w:cs="Arial"/>
          <w:color w:val="000000" w:themeColor="text1"/>
          <w:sz w:val="24"/>
          <w:szCs w:val="24"/>
        </w:rPr>
        <w:t>travellers</w:t>
      </w:r>
      <w:r w:rsidRPr="008613BE">
        <w:rPr>
          <w:rFonts w:ascii="Arial" w:eastAsia="Times New Roman" w:hAnsi="Arial" w:cs="Arial"/>
          <w:color w:val="000000" w:themeColor="text1"/>
          <w:sz w:val="24"/>
          <w:szCs w:val="24"/>
        </w:rPr>
        <w:t xml:space="preserve"> become more aware, adopting sustainable and circular methods will benefit hotels by protecting their license to function and help them succeed over those that do not. By placing sustainability in their business strategies, using helpful data solutions and building teamwork with key parties, hotel businesses can make their profit motives agree with environmental and social goals, allowing them to stay strong and assure successful operations. The recommendations provide hotels of all scales with a guide for facing this challenge and benefiting shareholders, nearby communities and the whole environment.</w:t>
      </w:r>
    </w:p>
    <w:p w14:paraId="756D2F51" w14:textId="5984D82D" w:rsidR="00DB55C9" w:rsidRPr="008613BE" w:rsidRDefault="00DB55C9" w:rsidP="000425B6">
      <w:pPr>
        <w:spacing w:after="160" w:line="240" w:lineRule="auto"/>
        <w:rPr>
          <w:rFonts w:ascii="Arial" w:hAnsi="Arial" w:cs="Arial"/>
          <w:b/>
          <w:bCs/>
          <w:sz w:val="24"/>
          <w:szCs w:val="24"/>
          <w:u w:val="single"/>
          <w:lang w:val="en-US"/>
        </w:rPr>
      </w:pPr>
    </w:p>
    <w:p w14:paraId="09EEDDF7" w14:textId="2BC60AB3" w:rsidR="000425B6" w:rsidRPr="008613BE" w:rsidRDefault="000425B6" w:rsidP="00934B1E">
      <w:pPr>
        <w:spacing w:after="160" w:line="240" w:lineRule="auto"/>
        <w:rPr>
          <w:rFonts w:ascii="Arial" w:hAnsi="Arial" w:cs="Arial"/>
          <w:b/>
          <w:bCs/>
          <w:sz w:val="24"/>
          <w:szCs w:val="24"/>
          <w:u w:val="single"/>
          <w:lang w:val="en-US"/>
        </w:rPr>
      </w:pPr>
    </w:p>
    <w:p w14:paraId="679530D1" w14:textId="617EC02E" w:rsidR="000425B6" w:rsidRPr="008613BE" w:rsidRDefault="000425B6" w:rsidP="00934B1E">
      <w:pPr>
        <w:spacing w:after="160" w:line="240" w:lineRule="auto"/>
        <w:rPr>
          <w:rFonts w:ascii="Arial" w:hAnsi="Arial" w:cs="Arial"/>
          <w:b/>
          <w:bCs/>
          <w:sz w:val="24"/>
          <w:szCs w:val="24"/>
          <w:u w:val="single"/>
          <w:lang w:val="en-US"/>
        </w:rPr>
      </w:pPr>
    </w:p>
    <w:p w14:paraId="569F8106" w14:textId="402594A1" w:rsidR="000425B6" w:rsidRPr="008613BE" w:rsidRDefault="000425B6" w:rsidP="00934B1E">
      <w:pPr>
        <w:spacing w:after="160" w:line="240" w:lineRule="auto"/>
        <w:rPr>
          <w:rFonts w:ascii="Arial" w:hAnsi="Arial" w:cs="Arial"/>
          <w:b/>
          <w:bCs/>
          <w:sz w:val="24"/>
          <w:szCs w:val="24"/>
          <w:u w:val="single"/>
          <w:lang w:val="en-US"/>
        </w:rPr>
      </w:pPr>
    </w:p>
    <w:p w14:paraId="7CC3A8F8" w14:textId="77777777" w:rsidR="000425B6" w:rsidRPr="008613BE" w:rsidRDefault="000425B6" w:rsidP="00934B1E">
      <w:pPr>
        <w:spacing w:after="160" w:line="240" w:lineRule="auto"/>
        <w:rPr>
          <w:rFonts w:ascii="Arial" w:hAnsi="Arial" w:cs="Arial"/>
          <w:b/>
          <w:bCs/>
          <w:sz w:val="24"/>
          <w:szCs w:val="24"/>
          <w:u w:val="single"/>
          <w:lang w:val="en-US"/>
        </w:rPr>
      </w:pPr>
    </w:p>
    <w:p w14:paraId="2FDCCBBA" w14:textId="77777777" w:rsidR="0086357D" w:rsidRPr="008613BE" w:rsidRDefault="0086357D">
      <w:pPr>
        <w:spacing w:after="160" w:line="259" w:lineRule="auto"/>
        <w:rPr>
          <w:rFonts w:ascii="Arial" w:hAnsi="Arial" w:cs="Arial"/>
          <w:b/>
          <w:bCs/>
          <w:sz w:val="24"/>
          <w:szCs w:val="24"/>
          <w:u w:val="single"/>
          <w:lang w:val="en-US"/>
        </w:rPr>
      </w:pPr>
      <w:r w:rsidRPr="008613BE">
        <w:rPr>
          <w:rFonts w:ascii="Arial" w:hAnsi="Arial" w:cs="Arial"/>
          <w:b/>
          <w:bCs/>
          <w:sz w:val="24"/>
          <w:szCs w:val="24"/>
          <w:u w:val="single"/>
          <w:lang w:val="en-US"/>
        </w:rPr>
        <w:br w:type="page"/>
      </w:r>
    </w:p>
    <w:p w14:paraId="0C7212DD" w14:textId="4FE019FC" w:rsidR="00AC2087" w:rsidRPr="008613BE" w:rsidRDefault="00AC2087" w:rsidP="00A01346">
      <w:pPr>
        <w:spacing w:after="160" w:line="360" w:lineRule="auto"/>
        <w:jc w:val="center"/>
        <w:rPr>
          <w:rFonts w:ascii="Arial" w:hAnsi="Arial" w:cs="Arial"/>
          <w:b/>
          <w:bCs/>
          <w:sz w:val="24"/>
          <w:szCs w:val="24"/>
          <w:u w:val="single"/>
          <w:lang w:val="en-US"/>
        </w:rPr>
      </w:pPr>
      <w:r w:rsidRPr="008613BE">
        <w:rPr>
          <w:rFonts w:ascii="Arial" w:hAnsi="Arial" w:cs="Arial"/>
          <w:b/>
          <w:bCs/>
          <w:sz w:val="24"/>
          <w:szCs w:val="24"/>
          <w:u w:val="single"/>
          <w:lang w:val="en-US"/>
        </w:rPr>
        <w:lastRenderedPageBreak/>
        <w:t>References</w:t>
      </w:r>
    </w:p>
    <w:p w14:paraId="51358DAC" w14:textId="77777777"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Atasu, A., Dumas, C. and Van Wassenhove, L.N. (2021). </w:t>
      </w:r>
      <w:r w:rsidRPr="00553E3D">
        <w:rPr>
          <w:rFonts w:ascii="Arial" w:eastAsia="Times New Roman" w:hAnsi="Arial" w:cs="Arial"/>
          <w:i/>
          <w:iCs/>
          <w:sz w:val="24"/>
          <w:szCs w:val="24"/>
          <w:lang w:val="en-US"/>
        </w:rPr>
        <w:t>The Circular Business Model</w:t>
      </w:r>
      <w:r w:rsidRPr="00553E3D">
        <w:rPr>
          <w:rFonts w:ascii="Arial" w:eastAsia="Times New Roman" w:hAnsi="Arial" w:cs="Arial"/>
          <w:sz w:val="24"/>
          <w:szCs w:val="24"/>
          <w:lang w:val="en-US"/>
        </w:rPr>
        <w:t>. [online] Harvard Business Review. Available at: https://hbr.org/2021/07/the-circular-business-model.</w:t>
      </w:r>
    </w:p>
    <w:p w14:paraId="0E88E64A" w14:textId="77777777"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Clark, A. (2023). </w:t>
      </w:r>
      <w:r w:rsidRPr="00553E3D">
        <w:rPr>
          <w:rFonts w:ascii="Arial" w:eastAsia="Times New Roman" w:hAnsi="Arial" w:cs="Arial"/>
          <w:i/>
          <w:iCs/>
          <w:sz w:val="24"/>
          <w:szCs w:val="24"/>
          <w:lang w:val="en-US"/>
        </w:rPr>
        <w:t>2024 Is the Year of the Sustainable Hotel — LODGING</w:t>
      </w:r>
      <w:r w:rsidRPr="00553E3D">
        <w:rPr>
          <w:rFonts w:ascii="Arial" w:eastAsia="Times New Roman" w:hAnsi="Arial" w:cs="Arial"/>
          <w:sz w:val="24"/>
          <w:szCs w:val="24"/>
          <w:lang w:val="en-US"/>
        </w:rPr>
        <w:t>. [online] LODGING Magazine. Available at: https://lodgingmagazine.com/2024-is-the-year-of-the-sustainable-hotel/.</w:t>
      </w:r>
    </w:p>
    <w:p w14:paraId="34F76074" w14:textId="4AF2F077"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Correia, M.S. (2019). Sustainability: An Overview of the Triple Bottom Line and Sustainability Implementation. </w:t>
      </w:r>
      <w:r w:rsidRPr="00553E3D">
        <w:rPr>
          <w:rFonts w:ascii="Arial" w:eastAsia="Times New Roman" w:hAnsi="Arial" w:cs="Arial"/>
          <w:i/>
          <w:iCs/>
          <w:sz w:val="24"/>
          <w:szCs w:val="24"/>
          <w:lang w:val="en-US"/>
        </w:rPr>
        <w:t>International Journal of Strategic Engineering</w:t>
      </w:r>
      <w:r w:rsidRPr="00553E3D">
        <w:rPr>
          <w:rFonts w:ascii="Arial" w:eastAsia="Times New Roman" w:hAnsi="Arial" w:cs="Arial"/>
          <w:sz w:val="24"/>
          <w:szCs w:val="24"/>
          <w:lang w:val="en-US"/>
        </w:rPr>
        <w:t xml:space="preserve">, [online] 2(1), pp.29–38. </w:t>
      </w:r>
      <w:proofErr w:type="spellStart"/>
      <w:r w:rsidRPr="00553E3D">
        <w:rPr>
          <w:rFonts w:ascii="Arial" w:eastAsia="Times New Roman" w:hAnsi="Arial" w:cs="Arial"/>
          <w:sz w:val="24"/>
          <w:szCs w:val="24"/>
          <w:lang w:val="en-US"/>
        </w:rPr>
        <w:t>doi</w:t>
      </w:r>
      <w:proofErr w:type="spellEnd"/>
      <w:r w:rsidRPr="00553E3D">
        <w:rPr>
          <w:rFonts w:ascii="Arial" w:eastAsia="Times New Roman" w:hAnsi="Arial" w:cs="Arial"/>
          <w:sz w:val="24"/>
          <w:szCs w:val="24"/>
          <w:lang w:val="en-US"/>
        </w:rPr>
        <w:t>:</w:t>
      </w:r>
      <w:r w:rsidR="00BA2493">
        <w:rPr>
          <w:rFonts w:ascii="Arial" w:eastAsia="Times New Roman" w:hAnsi="Arial" w:cs="Arial"/>
          <w:sz w:val="24"/>
          <w:szCs w:val="24"/>
          <w:lang w:val="en-US"/>
        </w:rPr>
        <w:t xml:space="preserve"> </w:t>
      </w:r>
      <w:r w:rsidRPr="00553E3D">
        <w:rPr>
          <w:rFonts w:ascii="Arial" w:eastAsia="Times New Roman" w:hAnsi="Arial" w:cs="Arial"/>
          <w:sz w:val="24"/>
          <w:szCs w:val="24"/>
          <w:lang w:val="en-US"/>
        </w:rPr>
        <w:t>https://doi.org/10.4018/ijose.2019010103.</w:t>
      </w:r>
    </w:p>
    <w:p w14:paraId="113C0521" w14:textId="77777777"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Csikósová, A., Janošková, M. and Čulková, K. (2020). Providing of tourism organizations sustainability through Tripple Bottom Line approach. </w:t>
      </w:r>
      <w:r w:rsidRPr="00553E3D">
        <w:rPr>
          <w:rFonts w:ascii="Arial" w:eastAsia="Times New Roman" w:hAnsi="Arial" w:cs="Arial"/>
          <w:i/>
          <w:iCs/>
          <w:sz w:val="24"/>
          <w:szCs w:val="24"/>
          <w:lang w:val="en-US"/>
        </w:rPr>
        <w:t>Entrepreneurship and Sustainability Issues</w:t>
      </w:r>
      <w:r w:rsidRPr="00553E3D">
        <w:rPr>
          <w:rFonts w:ascii="Arial" w:eastAsia="Times New Roman" w:hAnsi="Arial" w:cs="Arial"/>
          <w:sz w:val="24"/>
          <w:szCs w:val="24"/>
          <w:lang w:val="en-US"/>
        </w:rPr>
        <w:t>, 8(2), pp.764–776. doi:https://doi.org/10.9770/jesi.2020.8.2(46).</w:t>
      </w:r>
    </w:p>
    <w:p w14:paraId="469D854D" w14:textId="78D5C0DE"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Elkington, J. (1994). Towards the Sustainable Corporation: Win-Win-Win Business Strategies for Sustainable Development. </w:t>
      </w:r>
      <w:r w:rsidRPr="00553E3D">
        <w:rPr>
          <w:rFonts w:ascii="Arial" w:eastAsia="Times New Roman" w:hAnsi="Arial" w:cs="Arial"/>
          <w:i/>
          <w:iCs/>
          <w:sz w:val="24"/>
          <w:szCs w:val="24"/>
          <w:lang w:val="en-US"/>
        </w:rPr>
        <w:t>California Management Review</w:t>
      </w:r>
      <w:r w:rsidRPr="00553E3D">
        <w:rPr>
          <w:rFonts w:ascii="Arial" w:eastAsia="Times New Roman" w:hAnsi="Arial" w:cs="Arial"/>
          <w:sz w:val="24"/>
          <w:szCs w:val="24"/>
          <w:lang w:val="en-US"/>
        </w:rPr>
        <w:t xml:space="preserve">, [online] 36(2), pp.90–100. </w:t>
      </w:r>
      <w:proofErr w:type="spellStart"/>
      <w:r w:rsidRPr="00553E3D">
        <w:rPr>
          <w:rFonts w:ascii="Arial" w:eastAsia="Times New Roman" w:hAnsi="Arial" w:cs="Arial"/>
          <w:sz w:val="24"/>
          <w:szCs w:val="24"/>
          <w:lang w:val="en-US"/>
        </w:rPr>
        <w:t>doi</w:t>
      </w:r>
      <w:proofErr w:type="spellEnd"/>
      <w:r w:rsidRPr="00553E3D">
        <w:rPr>
          <w:rFonts w:ascii="Arial" w:eastAsia="Times New Roman" w:hAnsi="Arial" w:cs="Arial"/>
          <w:sz w:val="24"/>
          <w:szCs w:val="24"/>
          <w:lang w:val="en-US"/>
        </w:rPr>
        <w:t>:</w:t>
      </w:r>
      <w:r w:rsidR="00EE5B01">
        <w:rPr>
          <w:rFonts w:ascii="Arial" w:eastAsia="Times New Roman" w:hAnsi="Arial" w:cs="Arial"/>
          <w:sz w:val="24"/>
          <w:szCs w:val="24"/>
          <w:lang w:val="en-US"/>
        </w:rPr>
        <w:t xml:space="preserve"> </w:t>
      </w:r>
      <w:r w:rsidRPr="00553E3D">
        <w:rPr>
          <w:rFonts w:ascii="Arial" w:eastAsia="Times New Roman" w:hAnsi="Arial" w:cs="Arial"/>
          <w:sz w:val="24"/>
          <w:szCs w:val="24"/>
          <w:lang w:val="en-US"/>
        </w:rPr>
        <w:t>http://dx.doi.org/10.2307/41165746.</w:t>
      </w:r>
    </w:p>
    <w:p w14:paraId="240FAB4C" w14:textId="77777777"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Elkington, J. (1997). Accounting for the Triple Bottom Line. </w:t>
      </w:r>
      <w:r w:rsidRPr="00553E3D">
        <w:rPr>
          <w:rFonts w:ascii="Arial" w:eastAsia="Times New Roman" w:hAnsi="Arial" w:cs="Arial"/>
          <w:i/>
          <w:iCs/>
          <w:sz w:val="24"/>
          <w:szCs w:val="24"/>
          <w:lang w:val="en-US"/>
        </w:rPr>
        <w:t>Measuring Business Excellence</w:t>
      </w:r>
      <w:r w:rsidRPr="00553E3D">
        <w:rPr>
          <w:rFonts w:ascii="Arial" w:eastAsia="Times New Roman" w:hAnsi="Arial" w:cs="Arial"/>
          <w:sz w:val="24"/>
          <w:szCs w:val="24"/>
          <w:lang w:val="en-US"/>
        </w:rPr>
        <w:t>, [online] 2(3), pp.1–6. Available at: https://johnelkington.com/archive/TBL-elkington-chapter.pdf.</w:t>
      </w:r>
    </w:p>
    <w:p w14:paraId="082B51AA" w14:textId="0662013A"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Guzzo, R.F., Abbott, J. and Lee, M. (2022). How CSR and well-being Affect work-related outcomes: a Hospitality Industry Perspective. </w:t>
      </w:r>
      <w:r w:rsidRPr="00553E3D">
        <w:rPr>
          <w:rFonts w:ascii="Arial" w:eastAsia="Times New Roman" w:hAnsi="Arial" w:cs="Arial"/>
          <w:i/>
          <w:iCs/>
          <w:sz w:val="24"/>
          <w:szCs w:val="24"/>
          <w:lang w:val="en-US"/>
        </w:rPr>
        <w:t>International Journal of Contemporary Hospitality Management</w:t>
      </w:r>
      <w:r w:rsidRPr="00553E3D">
        <w:rPr>
          <w:rFonts w:ascii="Arial" w:eastAsia="Times New Roman" w:hAnsi="Arial" w:cs="Arial"/>
          <w:sz w:val="24"/>
          <w:szCs w:val="24"/>
          <w:lang w:val="en-US"/>
        </w:rPr>
        <w:t xml:space="preserve">, 34(4). </w:t>
      </w:r>
      <w:proofErr w:type="spellStart"/>
      <w:r w:rsidRPr="00553E3D">
        <w:rPr>
          <w:rFonts w:ascii="Arial" w:eastAsia="Times New Roman" w:hAnsi="Arial" w:cs="Arial"/>
          <w:sz w:val="24"/>
          <w:szCs w:val="24"/>
          <w:lang w:val="en-US"/>
        </w:rPr>
        <w:t>doi</w:t>
      </w:r>
      <w:proofErr w:type="spellEnd"/>
      <w:r w:rsidRPr="00553E3D">
        <w:rPr>
          <w:rFonts w:ascii="Arial" w:eastAsia="Times New Roman" w:hAnsi="Arial" w:cs="Arial"/>
          <w:sz w:val="24"/>
          <w:szCs w:val="24"/>
          <w:lang w:val="en-US"/>
        </w:rPr>
        <w:t>:</w:t>
      </w:r>
      <w:r w:rsidR="00EE5B01">
        <w:rPr>
          <w:rFonts w:ascii="Arial" w:eastAsia="Times New Roman" w:hAnsi="Arial" w:cs="Arial"/>
          <w:sz w:val="24"/>
          <w:szCs w:val="24"/>
          <w:lang w:val="en-US"/>
        </w:rPr>
        <w:t xml:space="preserve"> </w:t>
      </w:r>
      <w:r w:rsidRPr="00553E3D">
        <w:rPr>
          <w:rFonts w:ascii="Arial" w:eastAsia="Times New Roman" w:hAnsi="Arial" w:cs="Arial"/>
          <w:sz w:val="24"/>
          <w:szCs w:val="24"/>
          <w:lang w:val="en-US"/>
        </w:rPr>
        <w:t>https://doi.org/10.1108/ijchm-06-2021-0754.</w:t>
      </w:r>
    </w:p>
    <w:p w14:paraId="00E88C14" w14:textId="77777777"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Hilton (2025). </w:t>
      </w:r>
      <w:r w:rsidRPr="00553E3D">
        <w:rPr>
          <w:rFonts w:ascii="Arial" w:eastAsia="Times New Roman" w:hAnsi="Arial" w:cs="Arial"/>
          <w:i/>
          <w:iCs/>
          <w:sz w:val="24"/>
          <w:szCs w:val="24"/>
          <w:lang w:val="en-US"/>
        </w:rPr>
        <w:t>Environmental Impact | Travel with Purpose | Hilton ESG</w:t>
      </w:r>
      <w:r w:rsidRPr="00553E3D">
        <w:rPr>
          <w:rFonts w:ascii="Arial" w:eastAsia="Times New Roman" w:hAnsi="Arial" w:cs="Arial"/>
          <w:sz w:val="24"/>
          <w:szCs w:val="24"/>
          <w:lang w:val="en-US"/>
        </w:rPr>
        <w:t>. [online] Travel With Purpose | Hilton TWP. Available at: https://travelwithpurpose.hilton.com/environment [Accessed 5 Jun. 2025].</w:t>
      </w:r>
    </w:p>
    <w:p w14:paraId="745279E9" w14:textId="77777777"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lastRenderedPageBreak/>
        <w:t xml:space="preserve">Hilton.com (2021). </w:t>
      </w:r>
      <w:r w:rsidRPr="00553E3D">
        <w:rPr>
          <w:rFonts w:ascii="Arial" w:eastAsia="Times New Roman" w:hAnsi="Arial" w:cs="Arial"/>
          <w:i/>
          <w:iCs/>
          <w:sz w:val="24"/>
          <w:szCs w:val="24"/>
          <w:lang w:val="en-US"/>
        </w:rPr>
        <w:t>Hilton Effect Foundation Announces 2021 Grants</w:t>
      </w:r>
      <w:r w:rsidRPr="00553E3D">
        <w:rPr>
          <w:rFonts w:ascii="Arial" w:eastAsia="Times New Roman" w:hAnsi="Arial" w:cs="Arial"/>
          <w:sz w:val="24"/>
          <w:szCs w:val="24"/>
          <w:lang w:val="en-US"/>
        </w:rPr>
        <w:t>. [online] Stories From Hilton. Available at: https://stories.hilton.com/releases/hilton-effect-foundation-announces-2021-grants.</w:t>
      </w:r>
    </w:p>
    <w:p w14:paraId="1B1BC4A7" w14:textId="77777777"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Johann, M. (2022). CSR strategy in the hospitality industry: from the COVID-19 pandemic crisis to recovery. </w:t>
      </w:r>
      <w:r w:rsidRPr="00553E3D">
        <w:rPr>
          <w:rFonts w:ascii="Arial" w:eastAsia="Times New Roman" w:hAnsi="Arial" w:cs="Arial"/>
          <w:i/>
          <w:iCs/>
          <w:sz w:val="24"/>
          <w:szCs w:val="24"/>
          <w:lang w:val="en-US"/>
        </w:rPr>
        <w:t>International Journal of Contemporary Management</w:t>
      </w:r>
      <w:r w:rsidRPr="00553E3D">
        <w:rPr>
          <w:rFonts w:ascii="Arial" w:eastAsia="Times New Roman" w:hAnsi="Arial" w:cs="Arial"/>
          <w:sz w:val="24"/>
          <w:szCs w:val="24"/>
          <w:lang w:val="en-US"/>
        </w:rPr>
        <w:t>, 0(0). doi:https://doi.org/10.2478/ijcm-2022-0012.</w:t>
      </w:r>
    </w:p>
    <w:p w14:paraId="1353F3FE" w14:textId="77777777"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Kenton, W. (2025). </w:t>
      </w:r>
      <w:r w:rsidRPr="00553E3D">
        <w:rPr>
          <w:rFonts w:ascii="Arial" w:eastAsia="Times New Roman" w:hAnsi="Arial" w:cs="Arial"/>
          <w:i/>
          <w:iCs/>
          <w:sz w:val="24"/>
          <w:szCs w:val="24"/>
          <w:lang w:val="en-US"/>
        </w:rPr>
        <w:t>Triple Bottom Line (TBL)</w:t>
      </w:r>
      <w:r w:rsidRPr="00553E3D">
        <w:rPr>
          <w:rFonts w:ascii="Arial" w:eastAsia="Times New Roman" w:hAnsi="Arial" w:cs="Arial"/>
          <w:sz w:val="24"/>
          <w:szCs w:val="24"/>
          <w:lang w:val="en-US"/>
        </w:rPr>
        <w:t>. [online] Investopedia. Available at: https://www.investopedia.com/terms/t/triple-bottom-line.asp.</w:t>
      </w:r>
    </w:p>
    <w:p w14:paraId="16C40907" w14:textId="77777777"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Khatter, A. (2025). Challenges and Solutions for Corporate Social Responsibility in the Hospitality Industry. </w:t>
      </w:r>
      <w:r w:rsidRPr="00553E3D">
        <w:rPr>
          <w:rFonts w:ascii="Arial" w:eastAsia="Times New Roman" w:hAnsi="Arial" w:cs="Arial"/>
          <w:i/>
          <w:iCs/>
          <w:sz w:val="24"/>
          <w:szCs w:val="24"/>
          <w:lang w:val="en-US"/>
        </w:rPr>
        <w:t>Challenges</w:t>
      </w:r>
      <w:r w:rsidRPr="00553E3D">
        <w:rPr>
          <w:rFonts w:ascii="Arial" w:eastAsia="Times New Roman" w:hAnsi="Arial" w:cs="Arial"/>
          <w:sz w:val="24"/>
          <w:szCs w:val="24"/>
          <w:lang w:val="en-US"/>
        </w:rPr>
        <w:t>, [online] 16(1), p.9. doi:https://doi.org/10.3390/challe16010009.</w:t>
      </w:r>
    </w:p>
    <w:p w14:paraId="799B1C65" w14:textId="77777777"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Roiback (2024). </w:t>
      </w:r>
      <w:r w:rsidRPr="00553E3D">
        <w:rPr>
          <w:rFonts w:ascii="Arial" w:eastAsia="Times New Roman" w:hAnsi="Arial" w:cs="Arial"/>
          <w:i/>
          <w:iCs/>
          <w:sz w:val="24"/>
          <w:szCs w:val="24"/>
          <w:lang w:val="en-US"/>
        </w:rPr>
        <w:t>The growth of sustainability in hotels: An industry in transformation</w:t>
      </w:r>
      <w:r w:rsidRPr="00553E3D">
        <w:rPr>
          <w:rFonts w:ascii="Arial" w:eastAsia="Times New Roman" w:hAnsi="Arial" w:cs="Arial"/>
          <w:sz w:val="24"/>
          <w:szCs w:val="24"/>
          <w:lang w:val="en-US"/>
        </w:rPr>
        <w:t>. [online] Roiback.com. Available at: https://en.roiback.com/rb-academy/the-growth-of-sustainability-in-hotels.</w:t>
      </w:r>
    </w:p>
    <w:p w14:paraId="4E9D3A23" w14:textId="69C436E2"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Santosh NC and Kukuh Nirmala (2023). Impact of </w:t>
      </w:r>
      <w:r w:rsidR="007C4309" w:rsidRPr="00553E3D">
        <w:rPr>
          <w:rFonts w:ascii="Arial" w:eastAsia="Times New Roman" w:hAnsi="Arial" w:cs="Arial"/>
          <w:sz w:val="24"/>
          <w:szCs w:val="24"/>
          <w:lang w:val="en-US"/>
        </w:rPr>
        <w:t>triple</w:t>
      </w:r>
      <w:r w:rsidRPr="00553E3D">
        <w:rPr>
          <w:rFonts w:ascii="Arial" w:eastAsia="Times New Roman" w:hAnsi="Arial" w:cs="Arial"/>
          <w:sz w:val="24"/>
          <w:szCs w:val="24"/>
          <w:lang w:val="en-US"/>
        </w:rPr>
        <w:t xml:space="preserve"> bottom line assessment on sustainability of organization. </w:t>
      </w:r>
      <w:r w:rsidRPr="00553E3D">
        <w:rPr>
          <w:rFonts w:ascii="Arial" w:eastAsia="Times New Roman" w:hAnsi="Arial" w:cs="Arial"/>
          <w:i/>
          <w:iCs/>
          <w:sz w:val="24"/>
          <w:szCs w:val="24"/>
          <w:lang w:val="en-US"/>
        </w:rPr>
        <w:t>International Journal of Research in Management</w:t>
      </w:r>
      <w:r w:rsidRPr="00553E3D">
        <w:rPr>
          <w:rFonts w:ascii="Arial" w:eastAsia="Times New Roman" w:hAnsi="Arial" w:cs="Arial"/>
          <w:sz w:val="24"/>
          <w:szCs w:val="24"/>
          <w:lang w:val="en-US"/>
        </w:rPr>
        <w:t>, 5(2), pp.01–06. doi:https://doi.org/10.33545/26648792.2023.v5.i2a.85.</w:t>
      </w:r>
    </w:p>
    <w:p w14:paraId="00CC3CD7" w14:textId="77777777"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ScarlettHotelGroup (2024). </w:t>
      </w:r>
      <w:r w:rsidRPr="00553E3D">
        <w:rPr>
          <w:rFonts w:ascii="Arial" w:eastAsia="Times New Roman" w:hAnsi="Arial" w:cs="Arial"/>
          <w:i/>
          <w:iCs/>
          <w:sz w:val="24"/>
          <w:szCs w:val="24"/>
          <w:lang w:val="en-US"/>
        </w:rPr>
        <w:t>Embracing Sustainability: The Rise of Eco-Friendly Venues in 2024 | Scarlett Hotel Group</w:t>
      </w:r>
      <w:r w:rsidRPr="00553E3D">
        <w:rPr>
          <w:rFonts w:ascii="Arial" w:eastAsia="Times New Roman" w:hAnsi="Arial" w:cs="Arial"/>
          <w:sz w:val="24"/>
          <w:szCs w:val="24"/>
          <w:lang w:val="en-US"/>
        </w:rPr>
        <w:t>. [online] Scarlett Hotel Group. Available at: https://scarletthotelgroup.com/embracing-sustainability-the-rise-of-eco-friendly-venues-in-2024 [Accessed 5 Jun. 2025].</w:t>
      </w:r>
    </w:p>
    <w:p w14:paraId="3646BBB4" w14:textId="77777777"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Shin, H., Sharma, A., Nicolau, J.L. and Kang, J. (2021). The impact of hotel CSR for strategic philanthropy on booking behavior and hotel performance during the COVID-19 pandemic. </w:t>
      </w:r>
      <w:r w:rsidRPr="00553E3D">
        <w:rPr>
          <w:rFonts w:ascii="Arial" w:eastAsia="Times New Roman" w:hAnsi="Arial" w:cs="Arial"/>
          <w:i/>
          <w:iCs/>
          <w:sz w:val="24"/>
          <w:szCs w:val="24"/>
          <w:lang w:val="en-US"/>
        </w:rPr>
        <w:t>Tourism Management</w:t>
      </w:r>
      <w:r w:rsidRPr="00553E3D">
        <w:rPr>
          <w:rFonts w:ascii="Arial" w:eastAsia="Times New Roman" w:hAnsi="Arial" w:cs="Arial"/>
          <w:sz w:val="24"/>
          <w:szCs w:val="24"/>
          <w:lang w:val="en-US"/>
        </w:rPr>
        <w:t>, [online] 85, p.104322. Available at: https://www.ncbi.nlm.nih.gov/pmc/articles/PMC8602938/.</w:t>
      </w:r>
    </w:p>
    <w:p w14:paraId="529BB9B0" w14:textId="77777777"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Six Senses (2024). </w:t>
      </w:r>
      <w:r w:rsidRPr="00553E3D">
        <w:rPr>
          <w:rFonts w:ascii="Arial" w:eastAsia="Times New Roman" w:hAnsi="Arial" w:cs="Arial"/>
          <w:i/>
          <w:iCs/>
          <w:sz w:val="24"/>
          <w:szCs w:val="24"/>
          <w:lang w:val="en-US"/>
        </w:rPr>
        <w:t>Sustainable Resorts and Responsible Travel | Six Senses</w:t>
      </w:r>
      <w:r w:rsidRPr="00553E3D">
        <w:rPr>
          <w:rFonts w:ascii="Arial" w:eastAsia="Times New Roman" w:hAnsi="Arial" w:cs="Arial"/>
          <w:sz w:val="24"/>
          <w:szCs w:val="24"/>
          <w:lang w:val="en-US"/>
        </w:rPr>
        <w:t>. [online] www.sixsenses.com. Available at: https://www.sixsenses.com/en/sustainability/.</w:t>
      </w:r>
    </w:p>
    <w:p w14:paraId="3B2F7D50" w14:textId="77777777"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lastRenderedPageBreak/>
        <w:t xml:space="preserve">Six Senses (2025). </w:t>
      </w:r>
      <w:r w:rsidRPr="00553E3D">
        <w:rPr>
          <w:rFonts w:ascii="Arial" w:eastAsia="Times New Roman" w:hAnsi="Arial" w:cs="Arial"/>
          <w:i/>
          <w:iCs/>
          <w:sz w:val="24"/>
          <w:szCs w:val="24"/>
          <w:lang w:val="en-US"/>
        </w:rPr>
        <w:t>Six Senses Impacts: Sustainable Hospitality Initiatives</w:t>
      </w:r>
      <w:r w:rsidRPr="00553E3D">
        <w:rPr>
          <w:rFonts w:ascii="Arial" w:eastAsia="Times New Roman" w:hAnsi="Arial" w:cs="Arial"/>
          <w:sz w:val="24"/>
          <w:szCs w:val="24"/>
          <w:lang w:val="en-US"/>
        </w:rPr>
        <w:t>. [online] Sixsenses.com. Available at: https://www.sixsenses.com/en/sustainability/impacts [Accessed 5 Jun. 2025].</w:t>
      </w:r>
    </w:p>
    <w:p w14:paraId="27E740E1" w14:textId="77777777"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Veloz, H.L.P., Pacheco Olea, F.E. and Lopez Novilo, O.E. (2025). Circular Economy in the Hotel Industry: A General Mapping through Bibliometric Analysis. </w:t>
      </w:r>
      <w:r w:rsidRPr="00553E3D">
        <w:rPr>
          <w:rFonts w:ascii="Arial" w:eastAsia="Times New Roman" w:hAnsi="Arial" w:cs="Arial"/>
          <w:i/>
          <w:iCs/>
          <w:sz w:val="24"/>
          <w:szCs w:val="24"/>
          <w:lang w:val="en-US"/>
        </w:rPr>
        <w:t>Journal of Posthumanism</w:t>
      </w:r>
      <w:r w:rsidRPr="00553E3D">
        <w:rPr>
          <w:rFonts w:ascii="Arial" w:eastAsia="Times New Roman" w:hAnsi="Arial" w:cs="Arial"/>
          <w:sz w:val="24"/>
          <w:szCs w:val="24"/>
          <w:lang w:val="en-US"/>
        </w:rPr>
        <w:t>, 5(5), pp.750–769. doi:https://doi.org/10.63332/joph.v5i5.1403.</w:t>
      </w:r>
    </w:p>
    <w:p w14:paraId="6DB0B0E8" w14:textId="77777777" w:rsidR="00553E3D" w:rsidRPr="00553E3D" w:rsidRDefault="00553E3D" w:rsidP="00553E3D">
      <w:pPr>
        <w:spacing w:after="240" w:line="360" w:lineRule="auto"/>
        <w:rPr>
          <w:rFonts w:ascii="Arial" w:eastAsia="Times New Roman" w:hAnsi="Arial" w:cs="Arial"/>
          <w:sz w:val="24"/>
          <w:szCs w:val="24"/>
          <w:lang w:val="en-US"/>
        </w:rPr>
      </w:pPr>
      <w:r w:rsidRPr="00553E3D">
        <w:rPr>
          <w:rFonts w:ascii="Arial" w:eastAsia="Times New Roman" w:hAnsi="Arial" w:cs="Arial"/>
          <w:sz w:val="24"/>
          <w:szCs w:val="24"/>
          <w:lang w:val="en-US"/>
        </w:rPr>
        <w:t xml:space="preserve">Zaki, K. (2025). Developing a Best-Practice Model of Circular Economy in the Hotel Industry. </w:t>
      </w:r>
      <w:r w:rsidRPr="00553E3D">
        <w:rPr>
          <w:rFonts w:ascii="Arial" w:eastAsia="Times New Roman" w:hAnsi="Arial" w:cs="Arial"/>
          <w:i/>
          <w:iCs/>
          <w:sz w:val="24"/>
          <w:szCs w:val="24"/>
          <w:lang w:val="en-US"/>
        </w:rPr>
        <w:t>International Journal of Hospitality and Tourism Systems</w:t>
      </w:r>
      <w:r w:rsidRPr="00553E3D">
        <w:rPr>
          <w:rFonts w:ascii="Arial" w:eastAsia="Times New Roman" w:hAnsi="Arial" w:cs="Arial"/>
          <w:sz w:val="24"/>
          <w:szCs w:val="24"/>
          <w:lang w:val="en-US"/>
        </w:rPr>
        <w:t>, 18(1), pp.57–72. doi:https://doi.org/10.21863/ijhts/2025.18.1.005.</w:t>
      </w:r>
    </w:p>
    <w:p w14:paraId="6351AC8A" w14:textId="77777777" w:rsidR="00540E25" w:rsidRPr="008613BE" w:rsidRDefault="00540E25" w:rsidP="00540E25">
      <w:pPr>
        <w:spacing w:after="160" w:line="240" w:lineRule="auto"/>
        <w:rPr>
          <w:rFonts w:ascii="Arial" w:hAnsi="Arial" w:cs="Arial"/>
          <w:b/>
          <w:bCs/>
          <w:sz w:val="24"/>
          <w:szCs w:val="24"/>
          <w:u w:val="single"/>
          <w:lang w:val="en-US"/>
        </w:rPr>
      </w:pPr>
    </w:p>
    <w:sectPr w:rsidR="00540E25" w:rsidRPr="008613B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973D4"/>
    <w:multiLevelType w:val="hybridMultilevel"/>
    <w:tmpl w:val="AB78A2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A2390D"/>
    <w:multiLevelType w:val="multilevel"/>
    <w:tmpl w:val="E39A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792BC5"/>
    <w:multiLevelType w:val="hybridMultilevel"/>
    <w:tmpl w:val="E24AF2E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1D8D6245"/>
    <w:multiLevelType w:val="multilevel"/>
    <w:tmpl w:val="93021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5E57ED"/>
    <w:multiLevelType w:val="multilevel"/>
    <w:tmpl w:val="E786B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A85321"/>
    <w:multiLevelType w:val="multilevel"/>
    <w:tmpl w:val="BFAA6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6D75A2"/>
    <w:multiLevelType w:val="multilevel"/>
    <w:tmpl w:val="2BFA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C130C9E"/>
    <w:multiLevelType w:val="multilevel"/>
    <w:tmpl w:val="8862A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C21FD9"/>
    <w:multiLevelType w:val="hybridMultilevel"/>
    <w:tmpl w:val="20023A8E"/>
    <w:lvl w:ilvl="0" w:tplc="08090001">
      <w:start w:val="1"/>
      <w:numFmt w:val="bullet"/>
      <w:lvlText w:val=""/>
      <w:lvlJc w:val="left"/>
      <w:pPr>
        <w:ind w:left="849" w:hanging="360"/>
      </w:pPr>
      <w:rPr>
        <w:rFonts w:ascii="Symbol" w:hAnsi="Symbol" w:hint="default"/>
      </w:rPr>
    </w:lvl>
    <w:lvl w:ilvl="1" w:tplc="08090003" w:tentative="1">
      <w:start w:val="1"/>
      <w:numFmt w:val="bullet"/>
      <w:lvlText w:val="o"/>
      <w:lvlJc w:val="left"/>
      <w:pPr>
        <w:ind w:left="1569" w:hanging="360"/>
      </w:pPr>
      <w:rPr>
        <w:rFonts w:ascii="Courier New" w:hAnsi="Courier New" w:cs="Courier New" w:hint="default"/>
      </w:rPr>
    </w:lvl>
    <w:lvl w:ilvl="2" w:tplc="08090005" w:tentative="1">
      <w:start w:val="1"/>
      <w:numFmt w:val="bullet"/>
      <w:lvlText w:val=""/>
      <w:lvlJc w:val="left"/>
      <w:pPr>
        <w:ind w:left="2289" w:hanging="360"/>
      </w:pPr>
      <w:rPr>
        <w:rFonts w:ascii="Wingdings" w:hAnsi="Wingdings" w:hint="default"/>
      </w:rPr>
    </w:lvl>
    <w:lvl w:ilvl="3" w:tplc="08090001" w:tentative="1">
      <w:start w:val="1"/>
      <w:numFmt w:val="bullet"/>
      <w:lvlText w:val=""/>
      <w:lvlJc w:val="left"/>
      <w:pPr>
        <w:ind w:left="3009" w:hanging="360"/>
      </w:pPr>
      <w:rPr>
        <w:rFonts w:ascii="Symbol" w:hAnsi="Symbol" w:hint="default"/>
      </w:rPr>
    </w:lvl>
    <w:lvl w:ilvl="4" w:tplc="08090003" w:tentative="1">
      <w:start w:val="1"/>
      <w:numFmt w:val="bullet"/>
      <w:lvlText w:val="o"/>
      <w:lvlJc w:val="left"/>
      <w:pPr>
        <w:ind w:left="3729" w:hanging="360"/>
      </w:pPr>
      <w:rPr>
        <w:rFonts w:ascii="Courier New" w:hAnsi="Courier New" w:cs="Courier New" w:hint="default"/>
      </w:rPr>
    </w:lvl>
    <w:lvl w:ilvl="5" w:tplc="08090005" w:tentative="1">
      <w:start w:val="1"/>
      <w:numFmt w:val="bullet"/>
      <w:lvlText w:val=""/>
      <w:lvlJc w:val="left"/>
      <w:pPr>
        <w:ind w:left="4449" w:hanging="360"/>
      </w:pPr>
      <w:rPr>
        <w:rFonts w:ascii="Wingdings" w:hAnsi="Wingdings" w:hint="default"/>
      </w:rPr>
    </w:lvl>
    <w:lvl w:ilvl="6" w:tplc="08090001" w:tentative="1">
      <w:start w:val="1"/>
      <w:numFmt w:val="bullet"/>
      <w:lvlText w:val=""/>
      <w:lvlJc w:val="left"/>
      <w:pPr>
        <w:ind w:left="5169" w:hanging="360"/>
      </w:pPr>
      <w:rPr>
        <w:rFonts w:ascii="Symbol" w:hAnsi="Symbol" w:hint="default"/>
      </w:rPr>
    </w:lvl>
    <w:lvl w:ilvl="7" w:tplc="08090003" w:tentative="1">
      <w:start w:val="1"/>
      <w:numFmt w:val="bullet"/>
      <w:lvlText w:val="o"/>
      <w:lvlJc w:val="left"/>
      <w:pPr>
        <w:ind w:left="5889" w:hanging="360"/>
      </w:pPr>
      <w:rPr>
        <w:rFonts w:ascii="Courier New" w:hAnsi="Courier New" w:cs="Courier New" w:hint="default"/>
      </w:rPr>
    </w:lvl>
    <w:lvl w:ilvl="8" w:tplc="08090005" w:tentative="1">
      <w:start w:val="1"/>
      <w:numFmt w:val="bullet"/>
      <w:lvlText w:val=""/>
      <w:lvlJc w:val="left"/>
      <w:pPr>
        <w:ind w:left="6609" w:hanging="360"/>
      </w:pPr>
      <w:rPr>
        <w:rFonts w:ascii="Wingdings" w:hAnsi="Wingdings" w:hint="default"/>
      </w:rPr>
    </w:lvl>
  </w:abstractNum>
  <w:abstractNum w:abstractNumId="9" w15:restartNumberingAfterBreak="0">
    <w:nsid w:val="4BA23D83"/>
    <w:multiLevelType w:val="hybridMultilevel"/>
    <w:tmpl w:val="F274D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E47A6F"/>
    <w:multiLevelType w:val="multilevel"/>
    <w:tmpl w:val="70BA1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AB1E72"/>
    <w:multiLevelType w:val="multilevel"/>
    <w:tmpl w:val="7D1C4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960431"/>
    <w:multiLevelType w:val="multilevel"/>
    <w:tmpl w:val="07D02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0602509">
    <w:abstractNumId w:val="9"/>
  </w:num>
  <w:num w:numId="2" w16cid:durableId="1983390425">
    <w:abstractNumId w:val="6"/>
  </w:num>
  <w:num w:numId="3" w16cid:durableId="258952902">
    <w:abstractNumId w:val="8"/>
  </w:num>
  <w:num w:numId="4" w16cid:durableId="181668530">
    <w:abstractNumId w:val="2"/>
  </w:num>
  <w:num w:numId="5" w16cid:durableId="1282375147">
    <w:abstractNumId w:val="11"/>
  </w:num>
  <w:num w:numId="6" w16cid:durableId="2005816637">
    <w:abstractNumId w:val="1"/>
  </w:num>
  <w:num w:numId="7" w16cid:durableId="1606381479">
    <w:abstractNumId w:val="4"/>
  </w:num>
  <w:num w:numId="8" w16cid:durableId="1351449799">
    <w:abstractNumId w:val="12"/>
  </w:num>
  <w:num w:numId="9" w16cid:durableId="1881278237">
    <w:abstractNumId w:val="3"/>
  </w:num>
  <w:num w:numId="10" w16cid:durableId="840388806">
    <w:abstractNumId w:val="5"/>
  </w:num>
  <w:num w:numId="11" w16cid:durableId="513957146">
    <w:abstractNumId w:val="10"/>
  </w:num>
  <w:num w:numId="12" w16cid:durableId="2090231023">
    <w:abstractNumId w:val="7"/>
  </w:num>
  <w:num w:numId="13" w16cid:durableId="1448625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6B6D"/>
    <w:rsid w:val="00004AE6"/>
    <w:rsid w:val="00032C6E"/>
    <w:rsid w:val="000425B6"/>
    <w:rsid w:val="0007632A"/>
    <w:rsid w:val="00083E90"/>
    <w:rsid w:val="000A025C"/>
    <w:rsid w:val="000A5423"/>
    <w:rsid w:val="000B4175"/>
    <w:rsid w:val="000D40C0"/>
    <w:rsid w:val="000E0B84"/>
    <w:rsid w:val="000F037A"/>
    <w:rsid w:val="001509D1"/>
    <w:rsid w:val="00171504"/>
    <w:rsid w:val="00175C47"/>
    <w:rsid w:val="0018116C"/>
    <w:rsid w:val="00191723"/>
    <w:rsid w:val="00197CAA"/>
    <w:rsid w:val="001D5934"/>
    <w:rsid w:val="001D6EA6"/>
    <w:rsid w:val="002454B4"/>
    <w:rsid w:val="00285003"/>
    <w:rsid w:val="00292714"/>
    <w:rsid w:val="002D1B09"/>
    <w:rsid w:val="002D67AF"/>
    <w:rsid w:val="003151CF"/>
    <w:rsid w:val="00326109"/>
    <w:rsid w:val="00333568"/>
    <w:rsid w:val="00342725"/>
    <w:rsid w:val="003F50F8"/>
    <w:rsid w:val="004010B2"/>
    <w:rsid w:val="004076DE"/>
    <w:rsid w:val="00467681"/>
    <w:rsid w:val="004A03FC"/>
    <w:rsid w:val="004A20EA"/>
    <w:rsid w:val="004C4D54"/>
    <w:rsid w:val="004D79A0"/>
    <w:rsid w:val="004E13BE"/>
    <w:rsid w:val="00510BB1"/>
    <w:rsid w:val="00524BF8"/>
    <w:rsid w:val="00537B3A"/>
    <w:rsid w:val="00540E25"/>
    <w:rsid w:val="00543288"/>
    <w:rsid w:val="00545B7D"/>
    <w:rsid w:val="00553E3D"/>
    <w:rsid w:val="005573F4"/>
    <w:rsid w:val="0058259F"/>
    <w:rsid w:val="00591303"/>
    <w:rsid w:val="005C2383"/>
    <w:rsid w:val="005D21E2"/>
    <w:rsid w:val="005E5DBF"/>
    <w:rsid w:val="00601E4F"/>
    <w:rsid w:val="00632ED9"/>
    <w:rsid w:val="00675567"/>
    <w:rsid w:val="00687BC4"/>
    <w:rsid w:val="006B2F9B"/>
    <w:rsid w:val="006D218B"/>
    <w:rsid w:val="006E46D7"/>
    <w:rsid w:val="00727D98"/>
    <w:rsid w:val="00732111"/>
    <w:rsid w:val="00745271"/>
    <w:rsid w:val="007475C4"/>
    <w:rsid w:val="007526F1"/>
    <w:rsid w:val="00770A19"/>
    <w:rsid w:val="007737D7"/>
    <w:rsid w:val="007A422E"/>
    <w:rsid w:val="007C27A7"/>
    <w:rsid w:val="007C4309"/>
    <w:rsid w:val="007E227E"/>
    <w:rsid w:val="00814D6D"/>
    <w:rsid w:val="00832E87"/>
    <w:rsid w:val="008438D2"/>
    <w:rsid w:val="008613BE"/>
    <w:rsid w:val="0086357D"/>
    <w:rsid w:val="00867B3D"/>
    <w:rsid w:val="008932A3"/>
    <w:rsid w:val="008B5E68"/>
    <w:rsid w:val="008C2CE8"/>
    <w:rsid w:val="008D0874"/>
    <w:rsid w:val="008D3C13"/>
    <w:rsid w:val="00934B1E"/>
    <w:rsid w:val="00967F93"/>
    <w:rsid w:val="009722BB"/>
    <w:rsid w:val="00972FDA"/>
    <w:rsid w:val="009731C8"/>
    <w:rsid w:val="009A2F18"/>
    <w:rsid w:val="009D0483"/>
    <w:rsid w:val="009D30FC"/>
    <w:rsid w:val="009D6E91"/>
    <w:rsid w:val="00A01346"/>
    <w:rsid w:val="00A175C2"/>
    <w:rsid w:val="00A403C1"/>
    <w:rsid w:val="00A746FA"/>
    <w:rsid w:val="00A947EF"/>
    <w:rsid w:val="00AC2087"/>
    <w:rsid w:val="00B176A3"/>
    <w:rsid w:val="00B30A53"/>
    <w:rsid w:val="00B33085"/>
    <w:rsid w:val="00B42EF8"/>
    <w:rsid w:val="00B508B8"/>
    <w:rsid w:val="00B73949"/>
    <w:rsid w:val="00B76AC8"/>
    <w:rsid w:val="00B90458"/>
    <w:rsid w:val="00BA2493"/>
    <w:rsid w:val="00BB3E20"/>
    <w:rsid w:val="00BC25C9"/>
    <w:rsid w:val="00CA282A"/>
    <w:rsid w:val="00CC658E"/>
    <w:rsid w:val="00CC6783"/>
    <w:rsid w:val="00CF3709"/>
    <w:rsid w:val="00D13031"/>
    <w:rsid w:val="00D43676"/>
    <w:rsid w:val="00D514ED"/>
    <w:rsid w:val="00D520AB"/>
    <w:rsid w:val="00D81E7C"/>
    <w:rsid w:val="00D94BDE"/>
    <w:rsid w:val="00DA5527"/>
    <w:rsid w:val="00DB55C9"/>
    <w:rsid w:val="00DE1796"/>
    <w:rsid w:val="00E1068A"/>
    <w:rsid w:val="00E152D2"/>
    <w:rsid w:val="00E227F7"/>
    <w:rsid w:val="00E27CB9"/>
    <w:rsid w:val="00E35373"/>
    <w:rsid w:val="00E63386"/>
    <w:rsid w:val="00E66701"/>
    <w:rsid w:val="00E77720"/>
    <w:rsid w:val="00EA494B"/>
    <w:rsid w:val="00EB03BA"/>
    <w:rsid w:val="00EE5B01"/>
    <w:rsid w:val="00EF2F5B"/>
    <w:rsid w:val="00F26B6D"/>
    <w:rsid w:val="00F304A9"/>
    <w:rsid w:val="00F316D0"/>
    <w:rsid w:val="00F41CA3"/>
    <w:rsid w:val="00F46066"/>
    <w:rsid w:val="00F66310"/>
    <w:rsid w:val="00F77133"/>
    <w:rsid w:val="00F83E22"/>
    <w:rsid w:val="00FA6A97"/>
    <w:rsid w:val="00FC0A3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617F2"/>
  <w15:chartTrackingRefBased/>
  <w15:docId w15:val="{A18F0253-FBE0-4E2D-BAC9-0ED66A878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5C47"/>
    <w:pPr>
      <w:spacing w:after="200" w:line="276" w:lineRule="auto"/>
    </w:pPr>
    <w:rPr>
      <w:rFonts w:ascii="Calibri" w:eastAsia="Calibri" w:hAnsi="Calibri" w:cs="Calibri"/>
      <w:kern w:val="0"/>
      <w:lang w:val="en-GB"/>
      <w14:ligatures w14:val="none"/>
    </w:rPr>
  </w:style>
  <w:style w:type="paragraph" w:styleId="Heading1">
    <w:name w:val="heading 1"/>
    <w:basedOn w:val="Normal"/>
    <w:next w:val="Normal"/>
    <w:link w:val="Heading1Char"/>
    <w:uiPriority w:val="9"/>
    <w:qFormat/>
    <w:rsid w:val="00F26B6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26B6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26B6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26B6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26B6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26B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6B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6B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6B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B6D"/>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F26B6D"/>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F26B6D"/>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26B6D"/>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F26B6D"/>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F26B6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26B6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26B6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26B6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26B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6B6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26B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6B6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26B6D"/>
    <w:pPr>
      <w:spacing w:before="160"/>
      <w:jc w:val="center"/>
    </w:pPr>
    <w:rPr>
      <w:i/>
      <w:iCs/>
      <w:color w:val="404040" w:themeColor="text1" w:themeTint="BF"/>
    </w:rPr>
  </w:style>
  <w:style w:type="character" w:customStyle="1" w:styleId="QuoteChar">
    <w:name w:val="Quote Char"/>
    <w:basedOn w:val="DefaultParagraphFont"/>
    <w:link w:val="Quote"/>
    <w:uiPriority w:val="29"/>
    <w:rsid w:val="00F26B6D"/>
    <w:rPr>
      <w:i/>
      <w:iCs/>
      <w:color w:val="404040" w:themeColor="text1" w:themeTint="BF"/>
      <w:lang w:val="en-GB"/>
    </w:rPr>
  </w:style>
  <w:style w:type="paragraph" w:styleId="ListParagraph">
    <w:name w:val="List Paragraph"/>
    <w:basedOn w:val="Normal"/>
    <w:uiPriority w:val="34"/>
    <w:qFormat/>
    <w:rsid w:val="00F26B6D"/>
    <w:pPr>
      <w:ind w:left="720"/>
      <w:contextualSpacing/>
    </w:pPr>
  </w:style>
  <w:style w:type="character" w:styleId="IntenseEmphasis">
    <w:name w:val="Intense Emphasis"/>
    <w:basedOn w:val="DefaultParagraphFont"/>
    <w:uiPriority w:val="21"/>
    <w:qFormat/>
    <w:rsid w:val="00F26B6D"/>
    <w:rPr>
      <w:i/>
      <w:iCs/>
      <w:color w:val="2F5496" w:themeColor="accent1" w:themeShade="BF"/>
    </w:rPr>
  </w:style>
  <w:style w:type="paragraph" w:styleId="IntenseQuote">
    <w:name w:val="Intense Quote"/>
    <w:basedOn w:val="Normal"/>
    <w:next w:val="Normal"/>
    <w:link w:val="IntenseQuoteChar"/>
    <w:uiPriority w:val="30"/>
    <w:qFormat/>
    <w:rsid w:val="00F26B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26B6D"/>
    <w:rPr>
      <w:i/>
      <w:iCs/>
      <w:color w:val="2F5496" w:themeColor="accent1" w:themeShade="BF"/>
      <w:lang w:val="en-GB"/>
    </w:rPr>
  </w:style>
  <w:style w:type="character" w:styleId="IntenseReference">
    <w:name w:val="Intense Reference"/>
    <w:basedOn w:val="DefaultParagraphFont"/>
    <w:uiPriority w:val="32"/>
    <w:qFormat/>
    <w:rsid w:val="00F26B6D"/>
    <w:rPr>
      <w:b/>
      <w:bCs/>
      <w:smallCaps/>
      <w:color w:val="2F5496" w:themeColor="accent1" w:themeShade="BF"/>
      <w:spacing w:val="5"/>
    </w:rPr>
  </w:style>
  <w:style w:type="paragraph" w:styleId="NormalWeb">
    <w:name w:val="Normal (Web)"/>
    <w:basedOn w:val="Normal"/>
    <w:uiPriority w:val="99"/>
    <w:rsid w:val="00175C47"/>
    <w:pPr>
      <w:spacing w:before="100" w:beforeAutospacing="1" w:after="100" w:afterAutospacing="1" w:line="240" w:lineRule="auto"/>
    </w:pPr>
    <w:rPr>
      <w:rFonts w:ascii="Arial Unicode MS" w:eastAsia="Arial Unicode MS" w:cs="Arial Unicode MS"/>
      <w:sz w:val="24"/>
      <w:szCs w:val="24"/>
    </w:rPr>
  </w:style>
  <w:style w:type="character" w:styleId="Strong">
    <w:name w:val="Strong"/>
    <w:basedOn w:val="DefaultParagraphFont"/>
    <w:uiPriority w:val="22"/>
    <w:qFormat/>
    <w:rsid w:val="0086357D"/>
    <w:rPr>
      <w:b/>
      <w:bCs/>
    </w:rPr>
  </w:style>
  <w:style w:type="table" w:styleId="TableGrid">
    <w:name w:val="Table Grid"/>
    <w:basedOn w:val="TableNormal"/>
    <w:uiPriority w:val="39"/>
    <w:rsid w:val="00972F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3324">
      <w:bodyDiv w:val="1"/>
      <w:marLeft w:val="0"/>
      <w:marRight w:val="0"/>
      <w:marTop w:val="0"/>
      <w:marBottom w:val="0"/>
      <w:divBdr>
        <w:top w:val="none" w:sz="0" w:space="0" w:color="auto"/>
        <w:left w:val="none" w:sz="0" w:space="0" w:color="auto"/>
        <w:bottom w:val="none" w:sz="0" w:space="0" w:color="auto"/>
        <w:right w:val="none" w:sz="0" w:space="0" w:color="auto"/>
      </w:divBdr>
    </w:div>
    <w:div w:id="64912338">
      <w:bodyDiv w:val="1"/>
      <w:marLeft w:val="0"/>
      <w:marRight w:val="0"/>
      <w:marTop w:val="0"/>
      <w:marBottom w:val="0"/>
      <w:divBdr>
        <w:top w:val="none" w:sz="0" w:space="0" w:color="auto"/>
        <w:left w:val="none" w:sz="0" w:space="0" w:color="auto"/>
        <w:bottom w:val="none" w:sz="0" w:space="0" w:color="auto"/>
        <w:right w:val="none" w:sz="0" w:space="0" w:color="auto"/>
      </w:divBdr>
      <w:divsChild>
        <w:div w:id="1575893613">
          <w:marLeft w:val="0"/>
          <w:marRight w:val="0"/>
          <w:marTop w:val="0"/>
          <w:marBottom w:val="0"/>
          <w:divBdr>
            <w:top w:val="none" w:sz="0" w:space="0" w:color="auto"/>
            <w:left w:val="none" w:sz="0" w:space="0" w:color="auto"/>
            <w:bottom w:val="none" w:sz="0" w:space="0" w:color="auto"/>
            <w:right w:val="none" w:sz="0" w:space="0" w:color="auto"/>
          </w:divBdr>
        </w:div>
      </w:divsChild>
    </w:div>
    <w:div w:id="358315516">
      <w:bodyDiv w:val="1"/>
      <w:marLeft w:val="0"/>
      <w:marRight w:val="0"/>
      <w:marTop w:val="0"/>
      <w:marBottom w:val="0"/>
      <w:divBdr>
        <w:top w:val="none" w:sz="0" w:space="0" w:color="auto"/>
        <w:left w:val="none" w:sz="0" w:space="0" w:color="auto"/>
        <w:bottom w:val="none" w:sz="0" w:space="0" w:color="auto"/>
        <w:right w:val="none" w:sz="0" w:space="0" w:color="auto"/>
      </w:divBdr>
    </w:div>
    <w:div w:id="388963521">
      <w:bodyDiv w:val="1"/>
      <w:marLeft w:val="0"/>
      <w:marRight w:val="0"/>
      <w:marTop w:val="0"/>
      <w:marBottom w:val="0"/>
      <w:divBdr>
        <w:top w:val="none" w:sz="0" w:space="0" w:color="auto"/>
        <w:left w:val="none" w:sz="0" w:space="0" w:color="auto"/>
        <w:bottom w:val="none" w:sz="0" w:space="0" w:color="auto"/>
        <w:right w:val="none" w:sz="0" w:space="0" w:color="auto"/>
      </w:divBdr>
    </w:div>
    <w:div w:id="474103616">
      <w:bodyDiv w:val="1"/>
      <w:marLeft w:val="0"/>
      <w:marRight w:val="0"/>
      <w:marTop w:val="0"/>
      <w:marBottom w:val="0"/>
      <w:divBdr>
        <w:top w:val="none" w:sz="0" w:space="0" w:color="auto"/>
        <w:left w:val="none" w:sz="0" w:space="0" w:color="auto"/>
        <w:bottom w:val="none" w:sz="0" w:space="0" w:color="auto"/>
        <w:right w:val="none" w:sz="0" w:space="0" w:color="auto"/>
      </w:divBdr>
      <w:divsChild>
        <w:div w:id="170875060">
          <w:marLeft w:val="0"/>
          <w:marRight w:val="0"/>
          <w:marTop w:val="0"/>
          <w:marBottom w:val="0"/>
          <w:divBdr>
            <w:top w:val="none" w:sz="0" w:space="0" w:color="auto"/>
            <w:left w:val="none" w:sz="0" w:space="0" w:color="auto"/>
            <w:bottom w:val="none" w:sz="0" w:space="0" w:color="auto"/>
            <w:right w:val="none" w:sz="0" w:space="0" w:color="auto"/>
          </w:divBdr>
        </w:div>
      </w:divsChild>
    </w:div>
    <w:div w:id="578952900">
      <w:bodyDiv w:val="1"/>
      <w:marLeft w:val="0"/>
      <w:marRight w:val="0"/>
      <w:marTop w:val="0"/>
      <w:marBottom w:val="0"/>
      <w:divBdr>
        <w:top w:val="none" w:sz="0" w:space="0" w:color="auto"/>
        <w:left w:val="none" w:sz="0" w:space="0" w:color="auto"/>
        <w:bottom w:val="none" w:sz="0" w:space="0" w:color="auto"/>
        <w:right w:val="none" w:sz="0" w:space="0" w:color="auto"/>
      </w:divBdr>
    </w:div>
    <w:div w:id="627442678">
      <w:bodyDiv w:val="1"/>
      <w:marLeft w:val="0"/>
      <w:marRight w:val="0"/>
      <w:marTop w:val="0"/>
      <w:marBottom w:val="0"/>
      <w:divBdr>
        <w:top w:val="none" w:sz="0" w:space="0" w:color="auto"/>
        <w:left w:val="none" w:sz="0" w:space="0" w:color="auto"/>
        <w:bottom w:val="none" w:sz="0" w:space="0" w:color="auto"/>
        <w:right w:val="none" w:sz="0" w:space="0" w:color="auto"/>
      </w:divBdr>
    </w:div>
    <w:div w:id="734281473">
      <w:bodyDiv w:val="1"/>
      <w:marLeft w:val="0"/>
      <w:marRight w:val="0"/>
      <w:marTop w:val="0"/>
      <w:marBottom w:val="0"/>
      <w:divBdr>
        <w:top w:val="none" w:sz="0" w:space="0" w:color="auto"/>
        <w:left w:val="none" w:sz="0" w:space="0" w:color="auto"/>
        <w:bottom w:val="none" w:sz="0" w:space="0" w:color="auto"/>
        <w:right w:val="none" w:sz="0" w:space="0" w:color="auto"/>
      </w:divBdr>
      <w:divsChild>
        <w:div w:id="1833833671">
          <w:marLeft w:val="0"/>
          <w:marRight w:val="0"/>
          <w:marTop w:val="0"/>
          <w:marBottom w:val="0"/>
          <w:divBdr>
            <w:top w:val="none" w:sz="0" w:space="0" w:color="auto"/>
            <w:left w:val="none" w:sz="0" w:space="0" w:color="auto"/>
            <w:bottom w:val="none" w:sz="0" w:space="0" w:color="auto"/>
            <w:right w:val="none" w:sz="0" w:space="0" w:color="auto"/>
          </w:divBdr>
        </w:div>
      </w:divsChild>
    </w:div>
    <w:div w:id="874345710">
      <w:bodyDiv w:val="1"/>
      <w:marLeft w:val="0"/>
      <w:marRight w:val="0"/>
      <w:marTop w:val="0"/>
      <w:marBottom w:val="0"/>
      <w:divBdr>
        <w:top w:val="none" w:sz="0" w:space="0" w:color="auto"/>
        <w:left w:val="none" w:sz="0" w:space="0" w:color="auto"/>
        <w:bottom w:val="none" w:sz="0" w:space="0" w:color="auto"/>
        <w:right w:val="none" w:sz="0" w:space="0" w:color="auto"/>
      </w:divBdr>
    </w:div>
    <w:div w:id="1139693191">
      <w:bodyDiv w:val="1"/>
      <w:marLeft w:val="0"/>
      <w:marRight w:val="0"/>
      <w:marTop w:val="0"/>
      <w:marBottom w:val="0"/>
      <w:divBdr>
        <w:top w:val="none" w:sz="0" w:space="0" w:color="auto"/>
        <w:left w:val="none" w:sz="0" w:space="0" w:color="auto"/>
        <w:bottom w:val="none" w:sz="0" w:space="0" w:color="auto"/>
        <w:right w:val="none" w:sz="0" w:space="0" w:color="auto"/>
      </w:divBdr>
    </w:div>
    <w:div w:id="1156723463">
      <w:bodyDiv w:val="1"/>
      <w:marLeft w:val="0"/>
      <w:marRight w:val="0"/>
      <w:marTop w:val="0"/>
      <w:marBottom w:val="0"/>
      <w:divBdr>
        <w:top w:val="none" w:sz="0" w:space="0" w:color="auto"/>
        <w:left w:val="none" w:sz="0" w:space="0" w:color="auto"/>
        <w:bottom w:val="none" w:sz="0" w:space="0" w:color="auto"/>
        <w:right w:val="none" w:sz="0" w:space="0" w:color="auto"/>
      </w:divBdr>
      <w:divsChild>
        <w:div w:id="143543780">
          <w:marLeft w:val="0"/>
          <w:marRight w:val="0"/>
          <w:marTop w:val="0"/>
          <w:marBottom w:val="0"/>
          <w:divBdr>
            <w:top w:val="none" w:sz="0" w:space="0" w:color="auto"/>
            <w:left w:val="none" w:sz="0" w:space="0" w:color="auto"/>
            <w:bottom w:val="none" w:sz="0" w:space="0" w:color="auto"/>
            <w:right w:val="none" w:sz="0" w:space="0" w:color="auto"/>
          </w:divBdr>
        </w:div>
      </w:divsChild>
    </w:div>
    <w:div w:id="1302416479">
      <w:bodyDiv w:val="1"/>
      <w:marLeft w:val="0"/>
      <w:marRight w:val="0"/>
      <w:marTop w:val="0"/>
      <w:marBottom w:val="0"/>
      <w:divBdr>
        <w:top w:val="none" w:sz="0" w:space="0" w:color="auto"/>
        <w:left w:val="none" w:sz="0" w:space="0" w:color="auto"/>
        <w:bottom w:val="none" w:sz="0" w:space="0" w:color="auto"/>
        <w:right w:val="none" w:sz="0" w:space="0" w:color="auto"/>
      </w:divBdr>
    </w:div>
    <w:div w:id="1308314636">
      <w:bodyDiv w:val="1"/>
      <w:marLeft w:val="0"/>
      <w:marRight w:val="0"/>
      <w:marTop w:val="0"/>
      <w:marBottom w:val="0"/>
      <w:divBdr>
        <w:top w:val="none" w:sz="0" w:space="0" w:color="auto"/>
        <w:left w:val="none" w:sz="0" w:space="0" w:color="auto"/>
        <w:bottom w:val="none" w:sz="0" w:space="0" w:color="auto"/>
        <w:right w:val="none" w:sz="0" w:space="0" w:color="auto"/>
      </w:divBdr>
    </w:div>
    <w:div w:id="1330987019">
      <w:bodyDiv w:val="1"/>
      <w:marLeft w:val="0"/>
      <w:marRight w:val="0"/>
      <w:marTop w:val="0"/>
      <w:marBottom w:val="0"/>
      <w:divBdr>
        <w:top w:val="none" w:sz="0" w:space="0" w:color="auto"/>
        <w:left w:val="none" w:sz="0" w:space="0" w:color="auto"/>
        <w:bottom w:val="none" w:sz="0" w:space="0" w:color="auto"/>
        <w:right w:val="none" w:sz="0" w:space="0" w:color="auto"/>
      </w:divBdr>
    </w:div>
    <w:div w:id="1473404059">
      <w:bodyDiv w:val="1"/>
      <w:marLeft w:val="0"/>
      <w:marRight w:val="0"/>
      <w:marTop w:val="0"/>
      <w:marBottom w:val="0"/>
      <w:divBdr>
        <w:top w:val="none" w:sz="0" w:space="0" w:color="auto"/>
        <w:left w:val="none" w:sz="0" w:space="0" w:color="auto"/>
        <w:bottom w:val="none" w:sz="0" w:space="0" w:color="auto"/>
        <w:right w:val="none" w:sz="0" w:space="0" w:color="auto"/>
      </w:divBdr>
    </w:div>
    <w:div w:id="1645235523">
      <w:bodyDiv w:val="1"/>
      <w:marLeft w:val="0"/>
      <w:marRight w:val="0"/>
      <w:marTop w:val="0"/>
      <w:marBottom w:val="0"/>
      <w:divBdr>
        <w:top w:val="none" w:sz="0" w:space="0" w:color="auto"/>
        <w:left w:val="none" w:sz="0" w:space="0" w:color="auto"/>
        <w:bottom w:val="none" w:sz="0" w:space="0" w:color="auto"/>
        <w:right w:val="none" w:sz="0" w:space="0" w:color="auto"/>
      </w:divBdr>
    </w:div>
    <w:div w:id="1653632191">
      <w:bodyDiv w:val="1"/>
      <w:marLeft w:val="0"/>
      <w:marRight w:val="0"/>
      <w:marTop w:val="0"/>
      <w:marBottom w:val="0"/>
      <w:divBdr>
        <w:top w:val="none" w:sz="0" w:space="0" w:color="auto"/>
        <w:left w:val="none" w:sz="0" w:space="0" w:color="auto"/>
        <w:bottom w:val="none" w:sz="0" w:space="0" w:color="auto"/>
        <w:right w:val="none" w:sz="0" w:space="0" w:color="auto"/>
      </w:divBdr>
    </w:div>
    <w:div w:id="2118717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3.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png" /><Relationship Id="rId5" Type="http://schemas.openxmlformats.org/officeDocument/2006/relationships/image" Target="media/image1.png"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2793</Words>
  <Characters>15922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giovani polanco adoka</cp:lastModifiedBy>
  <cp:revision>2</cp:revision>
  <dcterms:created xsi:type="dcterms:W3CDTF">2025-06-12T17:07:00Z</dcterms:created>
  <dcterms:modified xsi:type="dcterms:W3CDTF">2025-06-12T17:07:00Z</dcterms:modified>
</cp:coreProperties>
</file>