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67D592B">
      <w:pPr>
        <w:jc w:val="center"/>
        <w:rPr>
          <w:b/>
          <w:bCs/>
          <w:sz w:val="32"/>
          <w:szCs w:val="32"/>
        </w:rPr>
      </w:pPr>
      <w:r>
        <w:rPr>
          <w:rFonts w:ascii="Arial" w:hAnsi="Arial" w:cs="Arial"/>
        </w:rPr>
        <w:drawing>
          <wp:anchor distT="0" distB="0" distL="114300" distR="114300" simplePos="0" relativeHeight="251659264" behindDoc="0" locked="0" layoutInCell="1" allowOverlap="1">
            <wp:simplePos x="0" y="0"/>
            <wp:positionH relativeFrom="column">
              <wp:posOffset>2034540</wp:posOffset>
            </wp:positionH>
            <wp:positionV relativeFrom="paragraph">
              <wp:posOffset>0</wp:posOffset>
            </wp:positionV>
            <wp:extent cx="1809750" cy="723900"/>
            <wp:effectExtent l="0" t="0" r="0" b="0"/>
            <wp:wrapSquare wrapText="bothSides"/>
            <wp:docPr id="1909149476" name="Picture 190914947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909149476" name="Picture 1909149476"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31D29FDD">
      <w:pPr>
        <w:jc w:val="center"/>
        <w:rPr>
          <w:b/>
          <w:bCs/>
          <w:sz w:val="32"/>
          <w:szCs w:val="32"/>
        </w:rPr>
      </w:pPr>
    </w:p>
    <w:p w14:paraId="68E6DA7A">
      <w:pPr>
        <w:rPr>
          <w:b/>
          <w:bCs/>
          <w:sz w:val="32"/>
          <w:szCs w:val="32"/>
        </w:rPr>
      </w:pPr>
    </w:p>
    <w:p w14:paraId="0A926D2D">
      <w:pPr>
        <w:rPr>
          <w:b/>
          <w:bCs/>
          <w:sz w:val="32"/>
          <w:szCs w:val="32"/>
        </w:rPr>
      </w:pPr>
    </w:p>
    <w:p w14:paraId="31D9C2CC">
      <w:pPr>
        <w:rPr>
          <w:b/>
          <w:bCs/>
          <w:sz w:val="32"/>
          <w:szCs w:val="32"/>
        </w:rPr>
      </w:pPr>
    </w:p>
    <w:p w14:paraId="125CE955">
      <w:pPr>
        <w:rPr>
          <w:b/>
          <w:bCs/>
          <w:sz w:val="32"/>
          <w:szCs w:val="32"/>
        </w:rPr>
      </w:pPr>
    </w:p>
    <w:p w14:paraId="08825867">
      <w:pPr>
        <w:jc w:val="center"/>
        <w:rPr>
          <w:b/>
          <w:bCs/>
          <w:sz w:val="32"/>
          <w:szCs w:val="32"/>
        </w:rPr>
      </w:pPr>
      <w:r>
        <w:rPr>
          <w:b/>
          <w:bCs/>
          <w:sz w:val="32"/>
          <w:szCs w:val="32"/>
        </w:rPr>
        <w:t>MODULE NAME:</w:t>
      </w:r>
      <w:r>
        <w:rPr>
          <w:b/>
          <w:bCs/>
          <w:sz w:val="32"/>
          <w:szCs w:val="32"/>
        </w:rPr>
        <w:tab/>
      </w:r>
      <w:r>
        <w:rPr>
          <w:b/>
          <w:bCs/>
          <w:sz w:val="32"/>
          <w:szCs w:val="32"/>
        </w:rPr>
        <w:t>HEALTH CARE SYSTEM ORGANISATION AND LEADERSHIP</w:t>
      </w:r>
    </w:p>
    <w:p w14:paraId="0DBA8977">
      <w:pPr>
        <w:jc w:val="center"/>
        <w:rPr>
          <w:b/>
          <w:bCs/>
          <w:sz w:val="32"/>
          <w:szCs w:val="32"/>
        </w:rPr>
      </w:pPr>
      <w:r>
        <w:rPr>
          <w:b/>
          <w:bCs/>
          <w:sz w:val="32"/>
          <w:szCs w:val="32"/>
        </w:rPr>
        <w:t>MODULE CODE: LCHS7002</w:t>
      </w:r>
    </w:p>
    <w:p w14:paraId="5DA35706">
      <w:pPr>
        <w:jc w:val="center"/>
        <w:rPr>
          <w:b/>
          <w:bCs/>
          <w:sz w:val="32"/>
          <w:szCs w:val="32"/>
        </w:rPr>
      </w:pPr>
      <w:r>
        <w:rPr>
          <w:b/>
          <w:bCs/>
          <w:sz w:val="32"/>
          <w:szCs w:val="32"/>
        </w:rPr>
        <w:t>STUDENT NAME:</w:t>
      </w:r>
      <w:r>
        <w:rPr>
          <w:b/>
          <w:bCs/>
          <w:sz w:val="32"/>
          <w:szCs w:val="32"/>
        </w:rPr>
        <w:t xml:space="preserve"> </w:t>
      </w:r>
      <w:r>
        <w:rPr>
          <w:b/>
          <w:bCs/>
          <w:sz w:val="32"/>
          <w:szCs w:val="32"/>
        </w:rPr>
        <w:t>DIVYESH BHUTIYA</w:t>
      </w:r>
    </w:p>
    <w:p w14:paraId="30EFC510">
      <w:pPr>
        <w:jc w:val="center"/>
        <w:rPr>
          <w:b/>
          <w:bCs/>
          <w:sz w:val="32"/>
          <w:szCs w:val="32"/>
        </w:rPr>
      </w:pPr>
      <w:r>
        <w:rPr>
          <w:b/>
          <w:bCs/>
          <w:sz w:val="32"/>
          <w:szCs w:val="32"/>
        </w:rPr>
        <w:t>STUDENT ID:</w:t>
      </w:r>
      <w:r>
        <w:rPr>
          <w:b/>
          <w:bCs/>
          <w:sz w:val="32"/>
          <w:szCs w:val="32"/>
        </w:rPr>
        <w:t xml:space="preserve"> </w:t>
      </w:r>
      <w:r>
        <w:rPr>
          <w:b/>
          <w:bCs/>
          <w:sz w:val="32"/>
          <w:szCs w:val="32"/>
        </w:rPr>
        <w:t>2536460</w:t>
      </w:r>
    </w:p>
    <w:p w14:paraId="610E6189">
      <w:pPr>
        <w:jc w:val="center"/>
        <w:rPr>
          <w:b/>
          <w:bCs/>
          <w:sz w:val="32"/>
          <w:szCs w:val="32"/>
        </w:rPr>
      </w:pPr>
      <w:r>
        <w:rPr>
          <w:b/>
          <w:bCs/>
          <w:sz w:val="32"/>
          <w:szCs w:val="32"/>
        </w:rPr>
        <w:t>TITLE: A SYSTEMS THINKING ANALYSIS OF LEADERSHIP, GOVERNANCE AND PATIENT SAFETY: A CASE STUDY OF THE UNINTENTIONAL MORPHINE SULFATE ORAL SOLUTION OVERDOSE (LEN'S CASE)</w:t>
      </w:r>
    </w:p>
    <w:p w14:paraId="526BE617">
      <w:pPr>
        <w:jc w:val="center"/>
        <w:rPr>
          <w:b/>
          <w:bCs/>
          <w:sz w:val="32"/>
          <w:szCs w:val="32"/>
        </w:rPr>
      </w:pPr>
      <w:bookmarkStart w:id="69" w:name="_GoBack"/>
      <w:bookmarkEnd w:id="69"/>
      <w:r>
        <w:rPr>
          <w:b/>
          <w:bCs/>
          <w:sz w:val="32"/>
          <w:szCs w:val="32"/>
        </w:rPr>
        <w:t xml:space="preserve"> </w:t>
      </w:r>
    </w:p>
    <w:p w14:paraId="0B860C5C">
      <w:pPr>
        <w:jc w:val="center"/>
        <w:rPr>
          <w:b/>
          <w:bCs/>
          <w:sz w:val="32"/>
          <w:szCs w:val="32"/>
        </w:rPr>
      </w:pPr>
    </w:p>
    <w:p w14:paraId="3094EDF4">
      <w:pPr>
        <w:jc w:val="center"/>
        <w:rPr>
          <w:b/>
          <w:bCs/>
          <w:sz w:val="32"/>
          <w:szCs w:val="32"/>
        </w:rPr>
      </w:pPr>
    </w:p>
    <w:p w14:paraId="5C797CE2">
      <w:pPr>
        <w:jc w:val="center"/>
        <w:rPr>
          <w:b/>
          <w:bCs/>
          <w:sz w:val="32"/>
          <w:szCs w:val="32"/>
        </w:rPr>
      </w:pPr>
    </w:p>
    <w:p w14:paraId="3BB8E2BD">
      <w:pPr>
        <w:jc w:val="center"/>
        <w:rPr>
          <w:b/>
          <w:bCs/>
          <w:sz w:val="32"/>
          <w:szCs w:val="32"/>
        </w:rPr>
      </w:pPr>
    </w:p>
    <w:p w14:paraId="3EDF3112">
      <w:pPr>
        <w:jc w:val="center"/>
        <w:rPr>
          <w:b/>
          <w:bCs/>
          <w:sz w:val="32"/>
          <w:szCs w:val="32"/>
        </w:rPr>
      </w:pPr>
    </w:p>
    <w:p w14:paraId="136A5329">
      <w:pPr>
        <w:jc w:val="center"/>
        <w:rPr>
          <w:b/>
          <w:bCs/>
          <w:sz w:val="32"/>
          <w:szCs w:val="32"/>
        </w:rPr>
      </w:pPr>
    </w:p>
    <w:p w14:paraId="6E11967B">
      <w:pPr>
        <w:rPr>
          <w:b/>
          <w:bCs/>
          <w:sz w:val="32"/>
          <w:szCs w:val="32"/>
        </w:rPr>
      </w:pPr>
      <w:r>
        <w:rPr>
          <w:b/>
          <w:bCs/>
          <w:sz w:val="32"/>
          <w:szCs w:val="32"/>
        </w:rPr>
        <w:br w:type="page"/>
      </w:r>
    </w:p>
    <w:sdt>
      <w:sdtPr>
        <w:rPr>
          <w:rFonts w:ascii="Times New Roman" w:hAnsi="Times New Roman" w:eastAsia="Times New Roman" w:cs="Times New Roman"/>
          <w:color w:val="auto"/>
          <w:sz w:val="24"/>
          <w:szCs w:val="24"/>
          <w:lang w:val="en" w:eastAsia="en-IN"/>
        </w:rPr>
        <w:id w:val="-285432663"/>
      </w:sdtPr>
      <w:sdtEndPr>
        <w:rPr>
          <w:rFonts w:ascii="Times New Roman" w:hAnsi="Times New Roman" w:eastAsia="Times New Roman" w:cs="Times New Roman"/>
          <w:b/>
          <w:bCs/>
          <w:color w:val="auto"/>
          <w:sz w:val="24"/>
          <w:szCs w:val="24"/>
          <w:lang w:val="en" w:eastAsia="en-IN"/>
        </w:rPr>
      </w:sdtEndPr>
      <w:sdtContent>
        <w:p w14:paraId="6456DEBF">
          <w:pPr>
            <w:pStyle w:val="23"/>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3DE35CDD">
          <w:pPr>
            <w:pStyle w:val="12"/>
            <w:tabs>
              <w:tab w:val="right" w:leader="dot" w:pos="9350"/>
            </w:tabs>
          </w:pPr>
          <w:r>
            <w:fldChar w:fldCharType="begin"/>
          </w:r>
          <w:r>
            <w:instrText xml:space="preserve"> TOC \o "1-3" \h \z \u </w:instrText>
          </w:r>
          <w:r>
            <w:fldChar w:fldCharType="separate"/>
          </w:r>
          <w:r>
            <w:fldChar w:fldCharType="begin"/>
          </w:r>
          <w:r>
            <w:instrText xml:space="preserve"> HYPERLINK \l "_Toc235465448" </w:instrText>
          </w:r>
          <w:r>
            <w:fldChar w:fldCharType="separate"/>
          </w:r>
          <w:r>
            <w:rPr>
              <w:rStyle w:val="16"/>
            </w:rPr>
            <w:t>1.0 Introduction</w:t>
          </w:r>
          <w:r>
            <w:tab/>
          </w:r>
          <w:r>
            <w:fldChar w:fldCharType="begin"/>
          </w:r>
          <w:r>
            <w:instrText xml:space="preserve"> PAGEREF _Toc235465448 \h </w:instrText>
          </w:r>
          <w:r>
            <w:fldChar w:fldCharType="separate"/>
          </w:r>
          <w:r>
            <w:t>3</w:t>
          </w:r>
          <w:r>
            <w:fldChar w:fldCharType="end"/>
          </w:r>
          <w:r>
            <w:fldChar w:fldCharType="end"/>
          </w:r>
        </w:p>
        <w:p w14:paraId="566E567C">
          <w:pPr>
            <w:pStyle w:val="13"/>
            <w:tabs>
              <w:tab w:val="right" w:leader="dot" w:pos="9350"/>
            </w:tabs>
          </w:pPr>
          <w:r>
            <w:fldChar w:fldCharType="begin"/>
          </w:r>
          <w:r>
            <w:instrText xml:space="preserve"> HYPERLINK \l "_Toc235465449" </w:instrText>
          </w:r>
          <w:r>
            <w:fldChar w:fldCharType="separate"/>
          </w:r>
          <w:r>
            <w:rPr>
              <w:rStyle w:val="16"/>
            </w:rPr>
            <w:t>1.1 Background of the Case Study</w:t>
          </w:r>
          <w:r>
            <w:tab/>
          </w:r>
          <w:r>
            <w:fldChar w:fldCharType="begin"/>
          </w:r>
          <w:r>
            <w:instrText xml:space="preserve"> PAGEREF _Toc235465449 \h </w:instrText>
          </w:r>
          <w:r>
            <w:fldChar w:fldCharType="separate"/>
          </w:r>
          <w:r>
            <w:t>3</w:t>
          </w:r>
          <w:r>
            <w:fldChar w:fldCharType="end"/>
          </w:r>
          <w:r>
            <w:fldChar w:fldCharType="end"/>
          </w:r>
        </w:p>
        <w:p w14:paraId="61F8C8D5">
          <w:pPr>
            <w:pStyle w:val="13"/>
            <w:tabs>
              <w:tab w:val="right" w:leader="dot" w:pos="9350"/>
            </w:tabs>
          </w:pPr>
          <w:r>
            <w:fldChar w:fldCharType="begin"/>
          </w:r>
          <w:r>
            <w:instrText xml:space="preserve"> HYPERLINK \l "_Toc235465450" </w:instrText>
          </w:r>
          <w:r>
            <w:fldChar w:fldCharType="separate"/>
          </w:r>
          <w:r>
            <w:rPr>
              <w:rStyle w:val="16"/>
            </w:rPr>
            <w:t>1.2 Leadership in Health and Social Care</w:t>
          </w:r>
          <w:r>
            <w:tab/>
          </w:r>
          <w:r>
            <w:fldChar w:fldCharType="begin"/>
          </w:r>
          <w:r>
            <w:instrText xml:space="preserve"> PAGEREF _Toc235465450 \h </w:instrText>
          </w:r>
          <w:r>
            <w:fldChar w:fldCharType="separate"/>
          </w:r>
          <w:r>
            <w:t>3</w:t>
          </w:r>
          <w:r>
            <w:fldChar w:fldCharType="end"/>
          </w:r>
          <w:r>
            <w:fldChar w:fldCharType="end"/>
          </w:r>
        </w:p>
        <w:p w14:paraId="203D81E7">
          <w:pPr>
            <w:pStyle w:val="13"/>
            <w:tabs>
              <w:tab w:val="right" w:leader="dot" w:pos="9350"/>
            </w:tabs>
          </w:pPr>
          <w:r>
            <w:fldChar w:fldCharType="begin"/>
          </w:r>
          <w:r>
            <w:instrText xml:space="preserve"> HYPERLINK \l "_Toc235465451" </w:instrText>
          </w:r>
          <w:r>
            <w:fldChar w:fldCharType="separate"/>
          </w:r>
          <w:r>
            <w:rPr>
              <w:rStyle w:val="16"/>
            </w:rPr>
            <w:t>1.3 Centralisation and Decentralisation</w:t>
          </w:r>
          <w:r>
            <w:tab/>
          </w:r>
          <w:r>
            <w:fldChar w:fldCharType="begin"/>
          </w:r>
          <w:r>
            <w:instrText xml:space="preserve"> PAGEREF _Toc235465451 \h </w:instrText>
          </w:r>
          <w:r>
            <w:fldChar w:fldCharType="separate"/>
          </w:r>
          <w:r>
            <w:t>3</w:t>
          </w:r>
          <w:r>
            <w:fldChar w:fldCharType="end"/>
          </w:r>
          <w:r>
            <w:fldChar w:fldCharType="end"/>
          </w:r>
        </w:p>
        <w:p w14:paraId="72AD2B52">
          <w:pPr>
            <w:pStyle w:val="13"/>
            <w:tabs>
              <w:tab w:val="right" w:leader="dot" w:pos="9350"/>
            </w:tabs>
          </w:pPr>
          <w:r>
            <w:fldChar w:fldCharType="begin"/>
          </w:r>
          <w:r>
            <w:instrText xml:space="preserve"> HYPERLINK \l "_Toc235465452" </w:instrText>
          </w:r>
          <w:r>
            <w:fldChar w:fldCharType="separate"/>
          </w:r>
          <w:r>
            <w:rPr>
              <w:rStyle w:val="16"/>
            </w:rPr>
            <w:t>1.4 Leadership Theories Introduced</w:t>
          </w:r>
          <w:r>
            <w:tab/>
          </w:r>
          <w:r>
            <w:fldChar w:fldCharType="begin"/>
          </w:r>
          <w:r>
            <w:instrText xml:space="preserve"> PAGEREF _Toc235465452 \h </w:instrText>
          </w:r>
          <w:r>
            <w:fldChar w:fldCharType="separate"/>
          </w:r>
          <w:r>
            <w:t>4</w:t>
          </w:r>
          <w:r>
            <w:fldChar w:fldCharType="end"/>
          </w:r>
          <w:r>
            <w:fldChar w:fldCharType="end"/>
          </w:r>
        </w:p>
        <w:p w14:paraId="7863CFAA">
          <w:pPr>
            <w:pStyle w:val="13"/>
            <w:tabs>
              <w:tab w:val="right" w:leader="dot" w:pos="9350"/>
            </w:tabs>
          </w:pPr>
          <w:r>
            <w:fldChar w:fldCharType="begin"/>
          </w:r>
          <w:r>
            <w:instrText xml:space="preserve"> HYPERLINK \l "_Toc235465453" </w:instrText>
          </w:r>
          <w:r>
            <w:fldChar w:fldCharType="separate"/>
          </w:r>
          <w:r>
            <w:rPr>
              <w:rStyle w:val="16"/>
            </w:rPr>
            <w:t>1.5 Report Overview</w:t>
          </w:r>
          <w:r>
            <w:tab/>
          </w:r>
          <w:r>
            <w:fldChar w:fldCharType="begin"/>
          </w:r>
          <w:r>
            <w:instrText xml:space="preserve"> PAGEREF _Toc235465453 \h </w:instrText>
          </w:r>
          <w:r>
            <w:fldChar w:fldCharType="separate"/>
          </w:r>
          <w:r>
            <w:t>4</w:t>
          </w:r>
          <w:r>
            <w:fldChar w:fldCharType="end"/>
          </w:r>
          <w:r>
            <w:fldChar w:fldCharType="end"/>
          </w:r>
        </w:p>
        <w:p w14:paraId="282295BC">
          <w:pPr>
            <w:pStyle w:val="12"/>
            <w:tabs>
              <w:tab w:val="right" w:leader="dot" w:pos="9350"/>
            </w:tabs>
          </w:pPr>
          <w:r>
            <w:fldChar w:fldCharType="begin"/>
          </w:r>
          <w:r>
            <w:instrText xml:space="preserve"> HYPERLINK \l "_Toc235465454" </w:instrText>
          </w:r>
          <w:r>
            <w:fldChar w:fldCharType="separate"/>
          </w:r>
          <w:r>
            <w:rPr>
              <w:rStyle w:val="16"/>
            </w:rPr>
            <w:t>2.0 Main Body and Critical Analysis</w:t>
          </w:r>
          <w:r>
            <w:tab/>
          </w:r>
          <w:r>
            <w:fldChar w:fldCharType="begin"/>
          </w:r>
          <w:r>
            <w:instrText xml:space="preserve"> PAGEREF _Toc235465454 \h </w:instrText>
          </w:r>
          <w:r>
            <w:fldChar w:fldCharType="separate"/>
          </w:r>
          <w:r>
            <w:t>5</w:t>
          </w:r>
          <w:r>
            <w:fldChar w:fldCharType="end"/>
          </w:r>
          <w:r>
            <w:fldChar w:fldCharType="end"/>
          </w:r>
        </w:p>
        <w:p w14:paraId="51D71334">
          <w:pPr>
            <w:pStyle w:val="13"/>
            <w:tabs>
              <w:tab w:val="right" w:leader="dot" w:pos="9350"/>
            </w:tabs>
          </w:pPr>
          <w:r>
            <w:fldChar w:fldCharType="begin"/>
          </w:r>
          <w:r>
            <w:instrText xml:space="preserve"> HYPERLINK \l "_Toc235465455" </w:instrText>
          </w:r>
          <w:r>
            <w:fldChar w:fldCharType="separate"/>
          </w:r>
          <w:r>
            <w:rPr>
              <w:rStyle w:val="16"/>
            </w:rPr>
            <w:t>2.1 Identifying the Problem and System Context</w:t>
          </w:r>
          <w:r>
            <w:tab/>
          </w:r>
          <w:r>
            <w:fldChar w:fldCharType="begin"/>
          </w:r>
          <w:r>
            <w:instrText xml:space="preserve"> PAGEREF _Toc235465455 \h </w:instrText>
          </w:r>
          <w:r>
            <w:fldChar w:fldCharType="separate"/>
          </w:r>
          <w:r>
            <w:t>5</w:t>
          </w:r>
          <w:r>
            <w:fldChar w:fldCharType="end"/>
          </w:r>
          <w:r>
            <w:fldChar w:fldCharType="end"/>
          </w:r>
        </w:p>
        <w:p w14:paraId="43089DCA">
          <w:pPr>
            <w:pStyle w:val="14"/>
            <w:tabs>
              <w:tab w:val="right" w:leader="dot" w:pos="9350"/>
            </w:tabs>
          </w:pPr>
          <w:r>
            <w:fldChar w:fldCharType="begin"/>
          </w:r>
          <w:r>
            <w:instrText xml:space="preserve"> HYPERLINK \l "_Toc235465456" </w:instrText>
          </w:r>
          <w:r>
            <w:fldChar w:fldCharType="separate"/>
          </w:r>
          <w:r>
            <w:rPr>
              <w:rStyle w:val="16"/>
            </w:rPr>
            <w:t>2.1.1 Description of the Incident</w:t>
          </w:r>
          <w:r>
            <w:tab/>
          </w:r>
          <w:r>
            <w:fldChar w:fldCharType="begin"/>
          </w:r>
          <w:r>
            <w:instrText xml:space="preserve"> PAGEREF _Toc235465456 \h </w:instrText>
          </w:r>
          <w:r>
            <w:fldChar w:fldCharType="separate"/>
          </w:r>
          <w:r>
            <w:t>5</w:t>
          </w:r>
          <w:r>
            <w:fldChar w:fldCharType="end"/>
          </w:r>
          <w:r>
            <w:fldChar w:fldCharType="end"/>
          </w:r>
        </w:p>
        <w:p w14:paraId="3C9A1770">
          <w:pPr>
            <w:pStyle w:val="14"/>
            <w:tabs>
              <w:tab w:val="right" w:leader="dot" w:pos="9350"/>
            </w:tabs>
          </w:pPr>
          <w:r>
            <w:fldChar w:fldCharType="begin"/>
          </w:r>
          <w:r>
            <w:instrText xml:space="preserve"> HYPERLINK \l "_Toc235465457" </w:instrText>
          </w:r>
          <w:r>
            <w:fldChar w:fldCharType="separate"/>
          </w:r>
          <w:r>
            <w:rPr>
              <w:rStyle w:val="16"/>
            </w:rPr>
            <w:t>2.1.2 National and International Context</w:t>
          </w:r>
          <w:r>
            <w:tab/>
          </w:r>
          <w:r>
            <w:fldChar w:fldCharType="begin"/>
          </w:r>
          <w:r>
            <w:instrText xml:space="preserve"> PAGEREF _Toc235465457 \h </w:instrText>
          </w:r>
          <w:r>
            <w:fldChar w:fldCharType="separate"/>
          </w:r>
          <w:r>
            <w:t>5</w:t>
          </w:r>
          <w:r>
            <w:fldChar w:fldCharType="end"/>
          </w:r>
          <w:r>
            <w:fldChar w:fldCharType="end"/>
          </w:r>
        </w:p>
        <w:p w14:paraId="7E820158">
          <w:pPr>
            <w:pStyle w:val="14"/>
            <w:tabs>
              <w:tab w:val="right" w:leader="dot" w:pos="9350"/>
            </w:tabs>
          </w:pPr>
          <w:r>
            <w:fldChar w:fldCharType="begin"/>
          </w:r>
          <w:r>
            <w:instrText xml:space="preserve"> HYPERLINK \l "_Toc235465458" </w:instrText>
          </w:r>
          <w:r>
            <w:fldChar w:fldCharType="separate"/>
          </w:r>
          <w:r>
            <w:rPr>
              <w:rStyle w:val="16"/>
            </w:rPr>
            <w:t>2.1.3 System Weaknesses</w:t>
          </w:r>
          <w:r>
            <w:tab/>
          </w:r>
          <w:r>
            <w:fldChar w:fldCharType="begin"/>
          </w:r>
          <w:r>
            <w:instrText xml:space="preserve"> PAGEREF _Toc235465458 \h </w:instrText>
          </w:r>
          <w:r>
            <w:fldChar w:fldCharType="separate"/>
          </w:r>
          <w:r>
            <w:t>8</w:t>
          </w:r>
          <w:r>
            <w:fldChar w:fldCharType="end"/>
          </w:r>
          <w:r>
            <w:fldChar w:fldCharType="end"/>
          </w:r>
        </w:p>
        <w:p w14:paraId="5C7A8F1E">
          <w:pPr>
            <w:pStyle w:val="14"/>
            <w:tabs>
              <w:tab w:val="right" w:leader="dot" w:pos="9350"/>
            </w:tabs>
          </w:pPr>
          <w:r>
            <w:fldChar w:fldCharType="begin"/>
          </w:r>
          <w:r>
            <w:instrText xml:space="preserve"> HYPERLINK \l "_Toc235465459" </w:instrText>
          </w:r>
          <w:r>
            <w:fldChar w:fldCharType="separate"/>
          </w:r>
          <w:r>
            <w:rPr>
              <w:rStyle w:val="16"/>
            </w:rPr>
            <w:t>2.1.4 Governance Level</w:t>
          </w:r>
          <w:r>
            <w:tab/>
          </w:r>
          <w:r>
            <w:fldChar w:fldCharType="begin"/>
          </w:r>
          <w:r>
            <w:instrText xml:space="preserve"> PAGEREF _Toc235465459 \h </w:instrText>
          </w:r>
          <w:r>
            <w:fldChar w:fldCharType="separate"/>
          </w:r>
          <w:r>
            <w:t>8</w:t>
          </w:r>
          <w:r>
            <w:fldChar w:fldCharType="end"/>
          </w:r>
          <w:r>
            <w:fldChar w:fldCharType="end"/>
          </w:r>
        </w:p>
        <w:p w14:paraId="64D15F5E">
          <w:pPr>
            <w:pStyle w:val="14"/>
            <w:tabs>
              <w:tab w:val="right" w:leader="dot" w:pos="9350"/>
            </w:tabs>
          </w:pPr>
          <w:r>
            <w:fldChar w:fldCharType="begin"/>
          </w:r>
          <w:r>
            <w:instrText xml:space="preserve"> HYPERLINK \l "_Toc235465460" </w:instrText>
          </w:r>
          <w:r>
            <w:fldChar w:fldCharType="separate"/>
          </w:r>
          <w:r>
            <w:rPr>
              <w:rStyle w:val="16"/>
            </w:rPr>
            <w:t>2.1.5 Root Causes</w:t>
          </w:r>
          <w:r>
            <w:tab/>
          </w:r>
          <w:r>
            <w:fldChar w:fldCharType="begin"/>
          </w:r>
          <w:r>
            <w:instrText xml:space="preserve"> PAGEREF _Toc235465460 \h </w:instrText>
          </w:r>
          <w:r>
            <w:fldChar w:fldCharType="separate"/>
          </w:r>
          <w:r>
            <w:t>9</w:t>
          </w:r>
          <w:r>
            <w:fldChar w:fldCharType="end"/>
          </w:r>
          <w:r>
            <w:fldChar w:fldCharType="end"/>
          </w:r>
        </w:p>
        <w:p w14:paraId="4F448173">
          <w:pPr>
            <w:pStyle w:val="14"/>
            <w:tabs>
              <w:tab w:val="right" w:leader="dot" w:pos="9350"/>
            </w:tabs>
          </w:pPr>
          <w:r>
            <w:fldChar w:fldCharType="begin"/>
          </w:r>
          <w:r>
            <w:instrText xml:space="preserve"> HYPERLINK \l "_Toc235465461" </w:instrText>
          </w:r>
          <w:r>
            <w:fldChar w:fldCharType="separate"/>
          </w:r>
          <w:r>
            <w:rPr>
              <w:rStyle w:val="16"/>
            </w:rPr>
            <w:t>2.1.6 Systems Thinking Analysis</w:t>
          </w:r>
          <w:r>
            <w:tab/>
          </w:r>
          <w:r>
            <w:fldChar w:fldCharType="begin"/>
          </w:r>
          <w:r>
            <w:instrText xml:space="preserve"> PAGEREF _Toc235465461 \h </w:instrText>
          </w:r>
          <w:r>
            <w:fldChar w:fldCharType="separate"/>
          </w:r>
          <w:r>
            <w:t>10</w:t>
          </w:r>
          <w:r>
            <w:fldChar w:fldCharType="end"/>
          </w:r>
          <w:r>
            <w:fldChar w:fldCharType="end"/>
          </w:r>
        </w:p>
        <w:p w14:paraId="1226ECA0">
          <w:pPr>
            <w:pStyle w:val="14"/>
            <w:tabs>
              <w:tab w:val="right" w:leader="dot" w:pos="9350"/>
            </w:tabs>
          </w:pPr>
          <w:r>
            <w:fldChar w:fldCharType="begin"/>
          </w:r>
          <w:r>
            <w:instrText xml:space="preserve"> HYPERLINK \l "_Toc235465462" </w:instrText>
          </w:r>
          <w:r>
            <w:fldChar w:fldCharType="separate"/>
          </w:r>
          <w:r>
            <w:rPr>
              <w:rStyle w:val="16"/>
            </w:rPr>
            <w:t>2.1.7 Rich Picture</w:t>
          </w:r>
          <w:r>
            <w:tab/>
          </w:r>
          <w:r>
            <w:fldChar w:fldCharType="begin"/>
          </w:r>
          <w:r>
            <w:instrText xml:space="preserve"> PAGEREF _Toc235465462 \h </w:instrText>
          </w:r>
          <w:r>
            <w:fldChar w:fldCharType="separate"/>
          </w:r>
          <w:r>
            <w:t>10</w:t>
          </w:r>
          <w:r>
            <w:fldChar w:fldCharType="end"/>
          </w:r>
          <w:r>
            <w:fldChar w:fldCharType="end"/>
          </w:r>
        </w:p>
        <w:p w14:paraId="7A50736A">
          <w:pPr>
            <w:pStyle w:val="13"/>
            <w:tabs>
              <w:tab w:val="right" w:leader="dot" w:pos="9350"/>
            </w:tabs>
          </w:pPr>
          <w:r>
            <w:fldChar w:fldCharType="begin"/>
          </w:r>
          <w:r>
            <w:instrText xml:space="preserve"> HYPERLINK \l "_Toc235465463" </w:instrText>
          </w:r>
          <w:r>
            <w:fldChar w:fldCharType="separate"/>
          </w:r>
          <w:r>
            <w:rPr>
              <w:rStyle w:val="16"/>
            </w:rPr>
            <w:t>2.2 Centralisation versus Decentralisation</w:t>
          </w:r>
          <w:r>
            <w:tab/>
          </w:r>
          <w:r>
            <w:fldChar w:fldCharType="begin"/>
          </w:r>
          <w:r>
            <w:instrText xml:space="preserve"> PAGEREF _Toc235465463 \h </w:instrText>
          </w:r>
          <w:r>
            <w:fldChar w:fldCharType="separate"/>
          </w:r>
          <w:r>
            <w:t>10</w:t>
          </w:r>
          <w:r>
            <w:fldChar w:fldCharType="end"/>
          </w:r>
          <w:r>
            <w:fldChar w:fldCharType="end"/>
          </w:r>
        </w:p>
        <w:p w14:paraId="7B6899AC">
          <w:pPr>
            <w:pStyle w:val="14"/>
            <w:tabs>
              <w:tab w:val="right" w:leader="dot" w:pos="9350"/>
            </w:tabs>
          </w:pPr>
          <w:r>
            <w:fldChar w:fldCharType="begin"/>
          </w:r>
          <w:r>
            <w:instrText xml:space="preserve"> HYPERLINK \l "_Toc235465464" </w:instrText>
          </w:r>
          <w:r>
            <w:fldChar w:fldCharType="separate"/>
          </w:r>
          <w:r>
            <w:rPr>
              <w:rStyle w:val="16"/>
            </w:rPr>
            <w:t>2.2.1 NHS Structure</w:t>
          </w:r>
          <w:r>
            <w:tab/>
          </w:r>
          <w:r>
            <w:fldChar w:fldCharType="begin"/>
          </w:r>
          <w:r>
            <w:instrText xml:space="preserve"> PAGEREF _Toc235465464 \h </w:instrText>
          </w:r>
          <w:r>
            <w:fldChar w:fldCharType="separate"/>
          </w:r>
          <w:r>
            <w:t>10</w:t>
          </w:r>
          <w:r>
            <w:fldChar w:fldCharType="end"/>
          </w:r>
          <w:r>
            <w:fldChar w:fldCharType="end"/>
          </w:r>
        </w:p>
        <w:p w14:paraId="76DC5889">
          <w:pPr>
            <w:pStyle w:val="14"/>
            <w:tabs>
              <w:tab w:val="right" w:leader="dot" w:pos="9350"/>
            </w:tabs>
          </w:pPr>
          <w:r>
            <w:fldChar w:fldCharType="begin"/>
          </w:r>
          <w:r>
            <w:instrText xml:space="preserve"> HYPERLINK \l "_Toc235465465" </w:instrText>
          </w:r>
          <w:r>
            <w:fldChar w:fldCharType="separate"/>
          </w:r>
          <w:r>
            <w:rPr>
              <w:rStyle w:val="16"/>
            </w:rPr>
            <w:t>2.2.2 Centralisation in the Case</w:t>
          </w:r>
          <w:r>
            <w:tab/>
          </w:r>
          <w:r>
            <w:fldChar w:fldCharType="begin"/>
          </w:r>
          <w:r>
            <w:instrText xml:space="preserve"> PAGEREF _Toc235465465 \h </w:instrText>
          </w:r>
          <w:r>
            <w:fldChar w:fldCharType="separate"/>
          </w:r>
          <w:r>
            <w:t>11</w:t>
          </w:r>
          <w:r>
            <w:fldChar w:fldCharType="end"/>
          </w:r>
          <w:r>
            <w:fldChar w:fldCharType="end"/>
          </w:r>
        </w:p>
        <w:p w14:paraId="7E3D861D">
          <w:pPr>
            <w:pStyle w:val="14"/>
            <w:tabs>
              <w:tab w:val="right" w:leader="dot" w:pos="9350"/>
            </w:tabs>
          </w:pPr>
          <w:r>
            <w:fldChar w:fldCharType="begin"/>
          </w:r>
          <w:r>
            <w:instrText xml:space="preserve"> HYPERLINK \l "_Toc235465466" </w:instrText>
          </w:r>
          <w:r>
            <w:fldChar w:fldCharType="separate"/>
          </w:r>
          <w:r>
            <w:rPr>
              <w:rStyle w:val="16"/>
            </w:rPr>
            <w:t>2.2.3 Decentralisation in the Case</w:t>
          </w:r>
          <w:r>
            <w:tab/>
          </w:r>
          <w:r>
            <w:fldChar w:fldCharType="begin"/>
          </w:r>
          <w:r>
            <w:instrText xml:space="preserve"> PAGEREF _Toc235465466 \h </w:instrText>
          </w:r>
          <w:r>
            <w:fldChar w:fldCharType="separate"/>
          </w:r>
          <w:r>
            <w:t>12</w:t>
          </w:r>
          <w:r>
            <w:fldChar w:fldCharType="end"/>
          </w:r>
          <w:r>
            <w:fldChar w:fldCharType="end"/>
          </w:r>
        </w:p>
        <w:p w14:paraId="194EFA9A">
          <w:pPr>
            <w:pStyle w:val="14"/>
            <w:tabs>
              <w:tab w:val="right" w:leader="dot" w:pos="9350"/>
            </w:tabs>
          </w:pPr>
          <w:r>
            <w:fldChar w:fldCharType="begin"/>
          </w:r>
          <w:r>
            <w:instrText xml:space="preserve"> HYPERLINK \l "_Toc235465467" </w:instrText>
          </w:r>
          <w:r>
            <w:fldChar w:fldCharType="separate"/>
          </w:r>
          <w:r>
            <w:rPr>
              <w:rStyle w:val="16"/>
            </w:rPr>
            <w:t>2.2.4 Critical Evaluation</w:t>
          </w:r>
          <w:r>
            <w:tab/>
          </w:r>
          <w:r>
            <w:fldChar w:fldCharType="begin"/>
          </w:r>
          <w:r>
            <w:instrText xml:space="preserve"> PAGEREF _Toc235465467 \h </w:instrText>
          </w:r>
          <w:r>
            <w:fldChar w:fldCharType="separate"/>
          </w:r>
          <w:r>
            <w:t>12</w:t>
          </w:r>
          <w:r>
            <w:fldChar w:fldCharType="end"/>
          </w:r>
          <w:r>
            <w:fldChar w:fldCharType="end"/>
          </w:r>
        </w:p>
        <w:p w14:paraId="05F0A75D">
          <w:pPr>
            <w:pStyle w:val="13"/>
            <w:tabs>
              <w:tab w:val="right" w:leader="dot" w:pos="9350"/>
            </w:tabs>
          </w:pPr>
          <w:r>
            <w:fldChar w:fldCharType="begin"/>
          </w:r>
          <w:r>
            <w:instrText xml:space="preserve"> HYPERLINK \l "_Toc235465468" </w:instrText>
          </w:r>
          <w:r>
            <w:fldChar w:fldCharType="separate"/>
          </w:r>
          <w:r>
            <w:rPr>
              <w:rStyle w:val="16"/>
            </w:rPr>
            <w:t>2.3 Leadership Theory Application</w:t>
          </w:r>
          <w:r>
            <w:tab/>
          </w:r>
          <w:r>
            <w:fldChar w:fldCharType="begin"/>
          </w:r>
          <w:r>
            <w:instrText xml:space="preserve"> PAGEREF _Toc235465468 \h </w:instrText>
          </w:r>
          <w:r>
            <w:fldChar w:fldCharType="separate"/>
          </w:r>
          <w:r>
            <w:t>13</w:t>
          </w:r>
          <w:r>
            <w:fldChar w:fldCharType="end"/>
          </w:r>
          <w:r>
            <w:fldChar w:fldCharType="end"/>
          </w:r>
        </w:p>
        <w:p w14:paraId="7C513DD9">
          <w:pPr>
            <w:pStyle w:val="14"/>
            <w:tabs>
              <w:tab w:val="right" w:leader="dot" w:pos="9350"/>
            </w:tabs>
          </w:pPr>
          <w:r>
            <w:fldChar w:fldCharType="begin"/>
          </w:r>
          <w:r>
            <w:instrText xml:space="preserve"> HYPERLINK \l "_Toc235465469" </w:instrText>
          </w:r>
          <w:r>
            <w:fldChar w:fldCharType="separate"/>
          </w:r>
          <w:r>
            <w:rPr>
              <w:rStyle w:val="16"/>
            </w:rPr>
            <w:t>2.3.1 Transformational Leadership</w:t>
          </w:r>
          <w:r>
            <w:tab/>
          </w:r>
          <w:r>
            <w:fldChar w:fldCharType="begin"/>
          </w:r>
          <w:r>
            <w:instrText xml:space="preserve"> PAGEREF _Toc235465469 \h </w:instrText>
          </w:r>
          <w:r>
            <w:fldChar w:fldCharType="separate"/>
          </w:r>
          <w:r>
            <w:t>13</w:t>
          </w:r>
          <w:r>
            <w:fldChar w:fldCharType="end"/>
          </w:r>
          <w:r>
            <w:fldChar w:fldCharType="end"/>
          </w:r>
        </w:p>
        <w:p w14:paraId="53BEAE55">
          <w:pPr>
            <w:pStyle w:val="14"/>
            <w:tabs>
              <w:tab w:val="right" w:leader="dot" w:pos="9350"/>
            </w:tabs>
          </w:pPr>
          <w:r>
            <w:fldChar w:fldCharType="begin"/>
          </w:r>
          <w:r>
            <w:instrText xml:space="preserve"> HYPERLINK \l "_Toc235465470" </w:instrText>
          </w:r>
          <w:r>
            <w:fldChar w:fldCharType="separate"/>
          </w:r>
          <w:r>
            <w:rPr>
              <w:rStyle w:val="16"/>
            </w:rPr>
            <w:t>2.3.2 Transactional Leadership</w:t>
          </w:r>
          <w:r>
            <w:tab/>
          </w:r>
          <w:r>
            <w:fldChar w:fldCharType="begin"/>
          </w:r>
          <w:r>
            <w:instrText xml:space="preserve"> PAGEREF _Toc235465470 \h </w:instrText>
          </w:r>
          <w:r>
            <w:fldChar w:fldCharType="separate"/>
          </w:r>
          <w:r>
            <w:t>13</w:t>
          </w:r>
          <w:r>
            <w:fldChar w:fldCharType="end"/>
          </w:r>
          <w:r>
            <w:fldChar w:fldCharType="end"/>
          </w:r>
        </w:p>
        <w:p w14:paraId="5532E07F">
          <w:pPr>
            <w:pStyle w:val="14"/>
            <w:tabs>
              <w:tab w:val="right" w:leader="dot" w:pos="9350"/>
            </w:tabs>
          </w:pPr>
          <w:r>
            <w:fldChar w:fldCharType="begin"/>
          </w:r>
          <w:r>
            <w:instrText xml:space="preserve"> HYPERLINK \l "_Toc235465471" </w:instrText>
          </w:r>
          <w:r>
            <w:fldChar w:fldCharType="separate"/>
          </w:r>
          <w:r>
            <w:rPr>
              <w:rStyle w:val="16"/>
            </w:rPr>
            <w:t>2.3.3 Situational Leadership</w:t>
          </w:r>
          <w:r>
            <w:tab/>
          </w:r>
          <w:r>
            <w:fldChar w:fldCharType="begin"/>
          </w:r>
          <w:r>
            <w:instrText xml:space="preserve"> PAGEREF _Toc235465471 \h </w:instrText>
          </w:r>
          <w:r>
            <w:fldChar w:fldCharType="separate"/>
          </w:r>
          <w:r>
            <w:t>14</w:t>
          </w:r>
          <w:r>
            <w:fldChar w:fldCharType="end"/>
          </w:r>
          <w:r>
            <w:fldChar w:fldCharType="end"/>
          </w:r>
        </w:p>
        <w:p w14:paraId="1BDB5E60">
          <w:pPr>
            <w:pStyle w:val="14"/>
            <w:tabs>
              <w:tab w:val="right" w:leader="dot" w:pos="9350"/>
            </w:tabs>
          </w:pPr>
          <w:r>
            <w:fldChar w:fldCharType="begin"/>
          </w:r>
          <w:r>
            <w:instrText xml:space="preserve"> HYPERLINK \l "_Toc235465472" </w:instrText>
          </w:r>
          <w:r>
            <w:fldChar w:fldCharType="separate"/>
          </w:r>
          <w:r>
            <w:rPr>
              <w:rStyle w:val="16"/>
            </w:rPr>
            <w:t>2.3.4 Behavioural Leadership</w:t>
          </w:r>
          <w:r>
            <w:tab/>
          </w:r>
          <w:r>
            <w:fldChar w:fldCharType="begin"/>
          </w:r>
          <w:r>
            <w:instrText xml:space="preserve"> PAGEREF _Toc235465472 \h </w:instrText>
          </w:r>
          <w:r>
            <w:fldChar w:fldCharType="separate"/>
          </w:r>
          <w:r>
            <w:t>15</w:t>
          </w:r>
          <w:r>
            <w:fldChar w:fldCharType="end"/>
          </w:r>
          <w:r>
            <w:fldChar w:fldCharType="end"/>
          </w:r>
        </w:p>
        <w:p w14:paraId="49C0547A">
          <w:pPr>
            <w:pStyle w:val="14"/>
            <w:tabs>
              <w:tab w:val="right" w:leader="dot" w:pos="9350"/>
            </w:tabs>
          </w:pPr>
          <w:r>
            <w:fldChar w:fldCharType="begin"/>
          </w:r>
          <w:r>
            <w:instrText xml:space="preserve"> HYPERLINK \l "_Toc235465473" </w:instrText>
          </w:r>
          <w:r>
            <w:fldChar w:fldCharType="separate"/>
          </w:r>
          <w:r>
            <w:rPr>
              <w:rStyle w:val="16"/>
            </w:rPr>
            <w:t>2.3.5 Distributed Leadership</w:t>
          </w:r>
          <w:r>
            <w:tab/>
          </w:r>
          <w:r>
            <w:fldChar w:fldCharType="begin"/>
          </w:r>
          <w:r>
            <w:instrText xml:space="preserve"> PAGEREF _Toc235465473 \h </w:instrText>
          </w:r>
          <w:r>
            <w:fldChar w:fldCharType="separate"/>
          </w:r>
          <w:r>
            <w:t>17</w:t>
          </w:r>
          <w:r>
            <w:fldChar w:fldCharType="end"/>
          </w:r>
          <w:r>
            <w:fldChar w:fldCharType="end"/>
          </w:r>
        </w:p>
        <w:p w14:paraId="7275B0B9">
          <w:pPr>
            <w:pStyle w:val="14"/>
            <w:tabs>
              <w:tab w:val="right" w:leader="dot" w:pos="9350"/>
            </w:tabs>
          </w:pPr>
          <w:r>
            <w:fldChar w:fldCharType="begin"/>
          </w:r>
          <w:r>
            <w:instrText xml:space="preserve"> HYPERLINK \l "_Toc235465474" </w:instrText>
          </w:r>
          <w:r>
            <w:fldChar w:fldCharType="separate"/>
          </w:r>
          <w:r>
            <w:rPr>
              <w:rStyle w:val="16"/>
            </w:rPr>
            <w:t>2.3.6 Critical Comparison</w:t>
          </w:r>
          <w:r>
            <w:tab/>
          </w:r>
          <w:r>
            <w:fldChar w:fldCharType="begin"/>
          </w:r>
          <w:r>
            <w:instrText xml:space="preserve"> PAGEREF _Toc235465474 \h </w:instrText>
          </w:r>
          <w:r>
            <w:fldChar w:fldCharType="separate"/>
          </w:r>
          <w:r>
            <w:t>17</w:t>
          </w:r>
          <w:r>
            <w:fldChar w:fldCharType="end"/>
          </w:r>
          <w:r>
            <w:fldChar w:fldCharType="end"/>
          </w:r>
        </w:p>
        <w:p w14:paraId="28099255">
          <w:pPr>
            <w:pStyle w:val="13"/>
            <w:tabs>
              <w:tab w:val="right" w:leader="dot" w:pos="9350"/>
            </w:tabs>
          </w:pPr>
          <w:r>
            <w:fldChar w:fldCharType="begin"/>
          </w:r>
          <w:r>
            <w:instrText xml:space="preserve"> HYPERLINK \l "_Toc235465475" </w:instrText>
          </w:r>
          <w:r>
            <w:fldChar w:fldCharType="separate"/>
          </w:r>
          <w:r>
            <w:rPr>
              <w:rStyle w:val="16"/>
            </w:rPr>
            <w:t>2.4 Improvement and Lessons Learned</w:t>
          </w:r>
          <w:r>
            <w:tab/>
          </w:r>
          <w:r>
            <w:fldChar w:fldCharType="begin"/>
          </w:r>
          <w:r>
            <w:instrText xml:space="preserve"> PAGEREF _Toc235465475 \h </w:instrText>
          </w:r>
          <w:r>
            <w:fldChar w:fldCharType="separate"/>
          </w:r>
          <w:r>
            <w:t>19</w:t>
          </w:r>
          <w:r>
            <w:fldChar w:fldCharType="end"/>
          </w:r>
          <w:r>
            <w:fldChar w:fldCharType="end"/>
          </w:r>
        </w:p>
        <w:p w14:paraId="123F9ABA">
          <w:pPr>
            <w:pStyle w:val="14"/>
            <w:tabs>
              <w:tab w:val="right" w:leader="dot" w:pos="9350"/>
            </w:tabs>
          </w:pPr>
          <w:r>
            <w:fldChar w:fldCharType="begin"/>
          </w:r>
          <w:r>
            <w:instrText xml:space="preserve"> HYPERLINK \l "_Toc235465476" </w:instrText>
          </w:r>
          <w:r>
            <w:fldChar w:fldCharType="separate"/>
          </w:r>
          <w:r>
            <w:rPr>
              <w:rStyle w:val="16"/>
            </w:rPr>
            <w:t>2.4.1 Problem and Improvement</w:t>
          </w:r>
          <w:r>
            <w:tab/>
          </w:r>
          <w:r>
            <w:fldChar w:fldCharType="begin"/>
          </w:r>
          <w:r>
            <w:instrText xml:space="preserve"> PAGEREF _Toc235465476 \h </w:instrText>
          </w:r>
          <w:r>
            <w:fldChar w:fldCharType="separate"/>
          </w:r>
          <w:r>
            <w:t>19</w:t>
          </w:r>
          <w:r>
            <w:fldChar w:fldCharType="end"/>
          </w:r>
          <w:r>
            <w:fldChar w:fldCharType="end"/>
          </w:r>
        </w:p>
        <w:p w14:paraId="2D1F8EDD">
          <w:pPr>
            <w:pStyle w:val="14"/>
            <w:tabs>
              <w:tab w:val="right" w:leader="dot" w:pos="9350"/>
            </w:tabs>
          </w:pPr>
          <w:r>
            <w:fldChar w:fldCharType="begin"/>
          </w:r>
          <w:r>
            <w:instrText xml:space="preserve"> HYPERLINK \l "_Toc235465477" </w:instrText>
          </w:r>
          <w:r>
            <w:fldChar w:fldCharType="separate"/>
          </w:r>
          <w:r>
            <w:rPr>
              <w:rStyle w:val="16"/>
            </w:rPr>
            <w:t>2.4.2 Interaction between system structure, leadership styles, and feedback</w:t>
          </w:r>
          <w:r>
            <w:tab/>
          </w:r>
          <w:r>
            <w:fldChar w:fldCharType="begin"/>
          </w:r>
          <w:r>
            <w:instrText xml:space="preserve"> PAGEREF _Toc235465477 \h </w:instrText>
          </w:r>
          <w:r>
            <w:fldChar w:fldCharType="separate"/>
          </w:r>
          <w:r>
            <w:t>20</w:t>
          </w:r>
          <w:r>
            <w:fldChar w:fldCharType="end"/>
          </w:r>
          <w:r>
            <w:fldChar w:fldCharType="end"/>
          </w:r>
        </w:p>
        <w:p w14:paraId="2EB87E17">
          <w:pPr>
            <w:pStyle w:val="14"/>
            <w:tabs>
              <w:tab w:val="right" w:leader="dot" w:pos="9350"/>
            </w:tabs>
          </w:pPr>
          <w:r>
            <w:fldChar w:fldCharType="begin"/>
          </w:r>
          <w:r>
            <w:instrText xml:space="preserve"> HYPERLINK \l "_Toc235465478" </w:instrText>
          </w:r>
          <w:r>
            <w:fldChar w:fldCharType="separate"/>
          </w:r>
          <w:r>
            <w:rPr>
              <w:rStyle w:val="16"/>
            </w:rPr>
            <w:t>2.4.3 Lessons Learned</w:t>
          </w:r>
          <w:r>
            <w:tab/>
          </w:r>
          <w:r>
            <w:fldChar w:fldCharType="begin"/>
          </w:r>
          <w:r>
            <w:instrText xml:space="preserve"> PAGEREF _Toc235465478 \h </w:instrText>
          </w:r>
          <w:r>
            <w:fldChar w:fldCharType="separate"/>
          </w:r>
          <w:r>
            <w:t>21</w:t>
          </w:r>
          <w:r>
            <w:fldChar w:fldCharType="end"/>
          </w:r>
          <w:r>
            <w:fldChar w:fldCharType="end"/>
          </w:r>
        </w:p>
        <w:p w14:paraId="76CA0EF8">
          <w:pPr>
            <w:pStyle w:val="12"/>
            <w:tabs>
              <w:tab w:val="right" w:leader="dot" w:pos="9350"/>
            </w:tabs>
          </w:pPr>
          <w:r>
            <w:fldChar w:fldCharType="begin"/>
          </w:r>
          <w:r>
            <w:instrText xml:space="preserve"> HYPERLINK \l "_Toc235465479" </w:instrText>
          </w:r>
          <w:r>
            <w:fldChar w:fldCharType="separate"/>
          </w:r>
          <w:r>
            <w:rPr>
              <w:rStyle w:val="16"/>
            </w:rPr>
            <w:t>3.0 Recommendations</w:t>
          </w:r>
          <w:r>
            <w:tab/>
          </w:r>
          <w:r>
            <w:fldChar w:fldCharType="begin"/>
          </w:r>
          <w:r>
            <w:instrText xml:space="preserve"> PAGEREF _Toc235465479 \h </w:instrText>
          </w:r>
          <w:r>
            <w:fldChar w:fldCharType="separate"/>
          </w:r>
          <w:r>
            <w:t>21</w:t>
          </w:r>
          <w:r>
            <w:fldChar w:fldCharType="end"/>
          </w:r>
          <w:r>
            <w:fldChar w:fldCharType="end"/>
          </w:r>
        </w:p>
        <w:p w14:paraId="40AD3F66">
          <w:pPr>
            <w:pStyle w:val="12"/>
            <w:tabs>
              <w:tab w:val="right" w:leader="dot" w:pos="9350"/>
            </w:tabs>
          </w:pPr>
          <w:r>
            <w:fldChar w:fldCharType="begin"/>
          </w:r>
          <w:r>
            <w:instrText xml:space="preserve"> HYPERLINK \l "_Toc235465480" </w:instrText>
          </w:r>
          <w:r>
            <w:fldChar w:fldCharType="separate"/>
          </w:r>
          <w:r>
            <w:rPr>
              <w:rStyle w:val="16"/>
            </w:rPr>
            <w:t>4.0 Conclusion</w:t>
          </w:r>
          <w:r>
            <w:tab/>
          </w:r>
          <w:r>
            <w:fldChar w:fldCharType="begin"/>
          </w:r>
          <w:r>
            <w:instrText xml:space="preserve"> PAGEREF _Toc235465480 \h </w:instrText>
          </w:r>
          <w:r>
            <w:fldChar w:fldCharType="separate"/>
          </w:r>
          <w:r>
            <w:t>22</w:t>
          </w:r>
          <w:r>
            <w:fldChar w:fldCharType="end"/>
          </w:r>
          <w:r>
            <w:fldChar w:fldCharType="end"/>
          </w:r>
        </w:p>
        <w:p w14:paraId="5165F6E8">
          <w:pPr>
            <w:pStyle w:val="12"/>
            <w:tabs>
              <w:tab w:val="right" w:leader="dot" w:pos="9350"/>
            </w:tabs>
          </w:pPr>
          <w:r>
            <w:fldChar w:fldCharType="begin"/>
          </w:r>
          <w:r>
            <w:instrText xml:space="preserve"> HYPERLINK \l "_Toc235465481" </w:instrText>
          </w:r>
          <w:r>
            <w:fldChar w:fldCharType="separate"/>
          </w:r>
          <w:r>
            <w:rPr>
              <w:rStyle w:val="16"/>
            </w:rPr>
            <w:t>Reference Lists</w:t>
          </w:r>
          <w:r>
            <w:tab/>
          </w:r>
          <w:r>
            <w:fldChar w:fldCharType="begin"/>
          </w:r>
          <w:r>
            <w:instrText xml:space="preserve"> PAGEREF _Toc235465481 \h </w:instrText>
          </w:r>
          <w:r>
            <w:fldChar w:fldCharType="separate"/>
          </w:r>
          <w:r>
            <w:t>24</w:t>
          </w:r>
          <w:r>
            <w:fldChar w:fldCharType="end"/>
          </w:r>
          <w:r>
            <w:fldChar w:fldCharType="end"/>
          </w:r>
        </w:p>
        <w:p w14:paraId="73AC34CD">
          <w:pPr/>
          <w:r>
            <w:rPr>
              <w:b/>
              <w:bCs/>
            </w:rPr>
            <w:fldChar w:fldCharType="end"/>
          </w:r>
        </w:p>
      </w:sdtContent>
    </w:sdt>
    <w:p w14:paraId="2F37B7D8">
      <w:pPr>
        <w:jc w:val="center"/>
        <w:rPr>
          <w:b/>
          <w:bCs/>
          <w:sz w:val="32"/>
          <w:szCs w:val="32"/>
        </w:rPr>
      </w:pPr>
    </w:p>
    <w:p w14:paraId="7249C1D0">
      <w:pPr/>
      <w:r>
        <w:br w:type="page"/>
      </w:r>
    </w:p>
    <w:p w14:paraId="129D3A15">
      <w:pPr>
        <w:pStyle w:val="2"/>
      </w:pPr>
      <w:bookmarkStart w:id="0" w:name="_8v3ygvyaamuy" w:colFirst="0" w:colLast="0"/>
      <w:bookmarkEnd w:id="0"/>
      <w:bookmarkStart w:id="1" w:name="_Toc235465448"/>
      <w:r>
        <w:t>1.0 Introduction</w:t>
      </w:r>
      <w:bookmarkEnd w:id="1"/>
      <w:r>
        <w:t xml:space="preserve"> </w:t>
      </w:r>
    </w:p>
    <w:p w14:paraId="34C9F24C">
      <w:pPr>
        <w:pStyle w:val="3"/>
      </w:pPr>
      <w:bookmarkStart w:id="2" w:name="_7rpdosdzvd3u" w:colFirst="0" w:colLast="0"/>
      <w:bookmarkEnd w:id="2"/>
      <w:bookmarkStart w:id="3" w:name="_Toc235465449"/>
      <w:r>
        <w:t>1.1 Background of the Case Study</w:t>
      </w:r>
      <w:bookmarkEnd w:id="3"/>
    </w:p>
    <w:p w14:paraId="42613011">
      <w:pPr/>
      <w:r>
        <w:t>Despite all the advancements made in healthcare systems, unpleasant typographic and numerical errors are still one of the major issues of patient safety and are a major cause of preventable morbidity, mortality and burden on healthcare systems globally. The selected case was the Health Services Safety Investigations Body (HSSIB) investigation that led to the discovery and understanding of Len's unintentional overdose of morphine sulfate oral solution, after referral to the hospital for the management of his pain. It led to the mistaken giving of more medication than was intended, causing major deterioration, which in the end killed the patient due to misinterpretation of the medicine label (HSSIB, 2022). It also highlighted that adverse events are frequently the result of a series of organisational failings rather than just single individual errors, and that there were various contributing factors: communication failures, issues with the labelling of medication, gaps in patient education and design weaknesses of the systems.</w:t>
      </w:r>
    </w:p>
    <w:p w14:paraId="257DC994">
      <w:pPr>
        <w:pStyle w:val="3"/>
      </w:pPr>
      <w:bookmarkStart w:id="4" w:name="_sdnlv71jt4ds" w:colFirst="0" w:colLast="0"/>
      <w:bookmarkEnd w:id="4"/>
      <w:bookmarkStart w:id="5" w:name="_Toc235465450"/>
      <w:r>
        <w:t>1.2 Leadership in Health and Social Care</w:t>
      </w:r>
      <w:bookmarkEnd w:id="5"/>
    </w:p>
    <w:p w14:paraId="65AAFE97">
      <w:pPr/>
      <w:r>
        <w:t>Leadership in Health and Social Care means the skill and knowledge of influencing others and multidisciplinary groups to work towards common goals for patient safety, quality care and improvement of services. Being a good leader is not just about establishing a vision; it is also about working with others to achieve it, holding each other accountable, inspiring learning, and fostering innovation within a complex healthcare organisation. Good leaders will involve effective communication practices, those which encourage incident reporting, cultures of learning from information to make better decisions and demonstrate patient safety as a key priority for the organisation (Adams, 2022). Leadership therefore plays a major role in the effectiveness of the organisation, staff satisfaction, governing well and in the successful implementation of quality improvement programmes.</w:t>
      </w:r>
    </w:p>
    <w:p w14:paraId="6BF5E029">
      <w:pPr>
        <w:pStyle w:val="3"/>
      </w:pPr>
      <w:bookmarkStart w:id="6" w:name="_mzdnx9ml8lp8" w:colFirst="0" w:colLast="0"/>
      <w:bookmarkEnd w:id="6"/>
      <w:bookmarkStart w:id="7" w:name="_Toc235465451"/>
      <w:r>
        <w:t>1.3 Centralisation and Decentralisation</w:t>
      </w:r>
      <w:bookmarkEnd w:id="7"/>
    </w:p>
    <w:p w14:paraId="52A58805">
      <w:pPr/>
      <w:r>
        <w:t>There are various models of governance which are either centralised or decentralised across healthcare organisations. Centralisation allows strategic decision-making, policy and standardisation to be made at the national and/or senior management level, thus offering consistency and legislation compliance. Decentralisation, on the other hand, is a process of delegation of authority to the clinical teams on the front line, where healthcare production could be more flexible, responsible and make use of local knowledge in decisions (Sreeramareddy and Sathyanarayana, 2019). Balance of these is essential to effectively contribute to governance, timely making of decisions at the clinical level and improving patient outcomes in a complex health care system.</w:t>
      </w:r>
    </w:p>
    <w:p w14:paraId="335FFCDC">
      <w:pPr>
        <w:jc w:val="center"/>
      </w:pPr>
      <w:r>
        <w:drawing>
          <wp:inline distT="114300" distB="114300" distL="114300" distR="114300">
            <wp:extent cx="5943600" cy="32385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7"/>
                    <a:srcRect/>
                    <a:stretch>
                      <a:fillRect/>
                    </a:stretch>
                  </pic:blipFill>
                  <pic:spPr>
                    <a:xfrm>
                      <a:off x="0" y="0"/>
                      <a:ext cx="5943600" cy="3238500"/>
                    </a:xfrm>
                    <a:prstGeom prst="rect">
                      <a:avLst/>
                    </a:prstGeom>
                    <a:ln w="25400">
                      <a:solidFill>
                        <a:srgbClr val="000000"/>
                      </a:solidFill>
                      <a:prstDash val="solid"/>
                    </a:ln>
                  </pic:spPr>
                </pic:pic>
              </a:graphicData>
            </a:graphic>
          </wp:inline>
        </w:drawing>
      </w:r>
    </w:p>
    <w:p w14:paraId="047463FC">
      <w:pPr>
        <w:jc w:val="center"/>
        <w:rPr>
          <w:b/>
          <w:bCs/>
        </w:rPr>
      </w:pPr>
      <w:r>
        <w:rPr>
          <w:b/>
          <w:bCs/>
        </w:rPr>
        <w:t>Figure 1: Logic model for pathways of decentralised governance of health services on health outcomes</w:t>
      </w:r>
    </w:p>
    <w:p w14:paraId="002C68C8">
      <w:pPr>
        <w:jc w:val="center"/>
      </w:pPr>
      <w:r>
        <w:t>(Source: Sreeramareddy and Sathyanarayana, 2019)</w:t>
      </w:r>
    </w:p>
    <w:p w14:paraId="42BC76E8">
      <w:pPr>
        <w:pStyle w:val="3"/>
      </w:pPr>
      <w:bookmarkStart w:id="8" w:name="_xyqoyz8lo4n3" w:colFirst="0" w:colLast="0"/>
      <w:bookmarkEnd w:id="8"/>
      <w:bookmarkStart w:id="9" w:name="_Toc235465452"/>
      <w:r>
        <w:t>1.4 Leadership Theories Introduced</w:t>
      </w:r>
      <w:bookmarkEnd w:id="9"/>
    </w:p>
    <w:p w14:paraId="532A693D">
      <w:pPr/>
      <w:r>
        <w:t>This report uses transformational, transactional, situational, behavioural and distributed leadership theory to examine different leadership approaches in the case and in the areas of governance, communication, organisational learning and patient safety. These theories offer alternate perspectives for critically assessing how effective leadership is for improving and ensuring patient safety within healthcare.</w:t>
      </w:r>
    </w:p>
    <w:p w14:paraId="1D1431EA">
      <w:pPr>
        <w:pStyle w:val="3"/>
      </w:pPr>
      <w:bookmarkStart w:id="10" w:name="_wgyi0og3lkdv" w:colFirst="0" w:colLast="0"/>
      <w:bookmarkEnd w:id="10"/>
      <w:bookmarkStart w:id="11" w:name="_Toc235465453"/>
      <w:r>
        <w:t>1.5 Report Overview</w:t>
      </w:r>
      <w:bookmarkEnd w:id="11"/>
    </w:p>
    <w:p w14:paraId="2ACB8EF0">
      <w:pPr/>
      <w:r>
        <w:t>The report critically analyses the HSSIB case study with a systems thinking approach to understand the root causes of the medication error within NHS England. Uses relevant government and international data to analyse governance arrangements and processes, centralisation and decentralisation, governance theory and organisational reactions. Lastly, evidence-based recommendations for enhancements in leadership, governance, communication and culture of continuous improvement to increase patient safety and quality of health care are suggested.</w:t>
      </w:r>
    </w:p>
    <w:p w14:paraId="5E37581D">
      <w:pPr>
        <w:pStyle w:val="2"/>
      </w:pPr>
      <w:bookmarkStart w:id="12" w:name="_ug4gzq7hqoax" w:colFirst="0" w:colLast="0"/>
      <w:bookmarkEnd w:id="12"/>
      <w:bookmarkStart w:id="13" w:name="_Toc235465454"/>
      <w:r>
        <w:t>2.0 Main Body and Critical Analysis</w:t>
      </w:r>
      <w:bookmarkEnd w:id="13"/>
      <w:r>
        <w:t xml:space="preserve"> </w:t>
      </w:r>
    </w:p>
    <w:p w14:paraId="0C3C42F4">
      <w:pPr>
        <w:pStyle w:val="3"/>
      </w:pPr>
      <w:bookmarkStart w:id="14" w:name="_4yjk1z4rcgle" w:colFirst="0" w:colLast="0"/>
      <w:bookmarkEnd w:id="14"/>
      <w:bookmarkStart w:id="15" w:name="_Toc235465455"/>
      <w:r>
        <w:t>2.1 Identifying the Problem and System Context</w:t>
      </w:r>
      <w:bookmarkEnd w:id="15"/>
      <w:r>
        <w:t xml:space="preserve"> </w:t>
      </w:r>
    </w:p>
    <w:p w14:paraId="7EE14C20">
      <w:pPr>
        <w:pStyle w:val="4"/>
      </w:pPr>
      <w:bookmarkStart w:id="16" w:name="_64g60dhhmy4p" w:colFirst="0" w:colLast="0"/>
      <w:bookmarkEnd w:id="16"/>
      <w:bookmarkStart w:id="17" w:name="_Toc235465456"/>
      <w:r>
        <w:t>2.1.1 Description of the Incident</w:t>
      </w:r>
      <w:bookmarkEnd w:id="17"/>
      <w:r>
        <w:t xml:space="preserve"> </w:t>
      </w:r>
    </w:p>
    <w:p w14:paraId="24325E63">
      <w:pPr/>
      <w:r>
        <w:t>The case described is an 89-year-old patient with Charcot–Marie–Tooth (CMT) disease with chest pain and breathlessness, with a history of falling. He went to his GP and hospital clinicians for assessment and management of his pain, who gave him a script for morphine sulfate oral solution. The dosage instructions were misinterpreted by Len and his wife, and a rather larger dose was administered than is needed. The next morning, Len was found unconscious and rushed to the hospital, where he was medically ordered as being poorly due to probable morphine poisoning, pneumonia and progressive CMT. He was treated, but his symptoms still worsened, and he died (HSSIB, 2022). The HSSIB investigation concluded that several system failures, rather than a single human cause, occurred, which ended up in the fatal event.</w:t>
      </w:r>
    </w:p>
    <w:p w14:paraId="3B5BD20F">
      <w:pPr>
        <w:pStyle w:val="4"/>
      </w:pPr>
      <w:bookmarkStart w:id="18" w:name="_vv4q0d1fz58q" w:colFirst="0" w:colLast="0"/>
      <w:bookmarkEnd w:id="18"/>
      <w:bookmarkStart w:id="19" w:name="_Toc235465457"/>
      <w:r>
        <w:t>2.1.2 National and International Context</w:t>
      </w:r>
      <w:bookmarkEnd w:id="19"/>
      <w:r>
        <w:t xml:space="preserve"> </w:t>
      </w:r>
    </w:p>
    <w:p w14:paraId="4C9657F9">
      <w:pPr/>
      <w:r>
        <w:t>It is well recognised that the issue of medication-related harm is one of the most important patient safety challenges, not only in Australia but also internationally. Sadly, the World Health Organisation reports that at least one person a day is killed as a result of a medication error, with 1.3 million people being affected each year, and a US$42 billion avoidable health care expense annually (WHO, 2017). Moreover, one out of ten persons who attends health care is harmed, among whom many are due to medication errors (WHO, 2023). Older adults are particularly susceptible, due to multimorbidity and multi-medication use and high sensitivity to medications such as opioids.</w:t>
      </w:r>
    </w:p>
    <w:p w14:paraId="3EB9D315">
      <w:pPr/>
      <w:r>
        <w:t xml:space="preserve">Unfortunately, in England alone, NHS England estimates that about 237 million medication errors happen in a year as a result of the prescribing, dispensing and giving pathways (Elliott </w:t>
      </w:r>
      <w:r>
        <w:rPr>
          <w:i/>
          <w:iCs/>
        </w:rPr>
        <w:t xml:space="preserve">et al. </w:t>
      </w:r>
      <w:r>
        <w:t>2021). While some of these errors are minor, approximately 66 million may have a clinical impact, and an estimated 1700-22,300 fatalities per year are due to preventable adverse drug reactions. Despite everything, one of the medications that is still commonly associated with patient injury due to mistakes in dosing and lack of patient education is opioids. Similarly, almost 1 in 10 dollars spent on hospital care in health systems is estimated by the Organisation for Economic Co-operation and Development (OECD) to be incurred due to avoidable patient harm (OECD, 2022). These statistics clearly demonstrate that Len's situation is one of a problem of recognised systems, one that requires coordinated leadership, governance and ongoing organisational learning, one that exists internationally.</w:t>
      </w:r>
    </w:p>
    <w:p w14:paraId="79E3AE7B">
      <w:pPr>
        <w:jc w:val="center"/>
      </w:pPr>
      <w:r>
        <w:drawing>
          <wp:inline distT="114300" distB="114300" distL="114300" distR="114300">
            <wp:extent cx="5943600" cy="49022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referRelativeResize="0"/>
                  </pic:nvPicPr>
                  <pic:blipFill>
                    <a:blip r:embed="rId8"/>
                    <a:srcRect/>
                    <a:stretch>
                      <a:fillRect/>
                    </a:stretch>
                  </pic:blipFill>
                  <pic:spPr>
                    <a:xfrm>
                      <a:off x="0" y="0"/>
                      <a:ext cx="5943600" cy="4902200"/>
                    </a:xfrm>
                    <a:prstGeom prst="rect">
                      <a:avLst/>
                    </a:prstGeom>
                    <a:ln w="25400">
                      <a:solidFill>
                        <a:srgbClr val="000000"/>
                      </a:solidFill>
                      <a:prstDash val="solid"/>
                    </a:ln>
                  </pic:spPr>
                </pic:pic>
              </a:graphicData>
            </a:graphic>
          </wp:inline>
        </w:drawing>
      </w:r>
    </w:p>
    <w:p w14:paraId="2EA9AD6E">
      <w:pPr>
        <w:jc w:val="center"/>
        <w:rPr>
          <w:b/>
          <w:bCs/>
        </w:rPr>
      </w:pPr>
      <w:r>
        <w:rPr>
          <w:b/>
          <w:bCs/>
        </w:rPr>
        <w:t xml:space="preserve">Figure 2: Number of medication errors per annum in England </w:t>
      </w:r>
    </w:p>
    <w:p w14:paraId="3E6F1B78">
      <w:pPr>
        <w:jc w:val="center"/>
      </w:pPr>
      <w:r>
        <w:t xml:space="preserve">(Source: Elliott </w:t>
      </w:r>
      <w:r>
        <w:rPr>
          <w:i/>
          <w:iCs/>
        </w:rPr>
        <w:t xml:space="preserve">et al. </w:t>
      </w:r>
      <w:r>
        <w:t>2021)</w:t>
      </w:r>
    </w:p>
    <w:tbl>
      <w:tblPr>
        <w:tblStyle w:val="19"/>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00" w:type="dxa"/>
          <w:left w:w="100" w:type="dxa"/>
          <w:bottom w:w="100" w:type="dxa"/>
          <w:right w:w="100" w:type="dxa"/>
        </w:tblCellMar>
      </w:tblPr>
      <w:tblGrid>
        <w:gridCol w:w="1863"/>
        <w:gridCol w:w="4153"/>
        <w:gridCol w:w="3344"/>
      </w:tblGrid>
      <w:tr w14:paraId="1EF4F1DD">
        <w:tblPrEx>
          <w:tblLayout w:type="fixed"/>
        </w:tblPrEx>
        <w:trPr>
          <w:trHeight w:val="500" w:hRule="atLeast"/>
        </w:trPr>
        <w:tc>
          <w:tcPr>
            <w:tcW w:w="18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77DA183">
            <w:pPr>
              <w:jc w:val="center"/>
            </w:pPr>
            <w:r>
              <w:rPr>
                <w:b/>
                <w:bCs/>
              </w:rPr>
              <w:t>Source</w:t>
            </w:r>
          </w:p>
        </w:tc>
        <w:tc>
          <w:tcPr>
            <w:tcW w:w="415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9A9ED0A">
            <w:pPr>
              <w:jc w:val="center"/>
            </w:pPr>
            <w:r>
              <w:rPr>
                <w:b/>
                <w:bCs/>
              </w:rPr>
              <w:t>Numerical Evidence</w:t>
            </w:r>
          </w:p>
        </w:tc>
        <w:tc>
          <w:tcPr>
            <w:tcW w:w="334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6F7794A">
            <w:pPr>
              <w:jc w:val="center"/>
            </w:pPr>
            <w:r>
              <w:rPr>
                <w:b/>
                <w:bCs/>
              </w:rPr>
              <w:t>Relevance to Len's Case</w:t>
            </w:r>
          </w:p>
        </w:tc>
      </w:tr>
      <w:tr w14:paraId="0C199384">
        <w:tblPrEx>
          <w:tblLayout w:type="fixed"/>
        </w:tblPrEx>
        <w:trPr>
          <w:trHeight w:val="2405" w:hRule="atLeast"/>
        </w:trPr>
        <w:tc>
          <w:tcPr>
            <w:tcW w:w="18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5EF66EE">
            <w:pPr/>
            <w:r>
              <w:rPr>
                <w:b/>
                <w:bCs/>
              </w:rPr>
              <w:t>World Health Organisation (WHO, 2023)</w:t>
            </w:r>
          </w:p>
        </w:tc>
        <w:tc>
          <w:tcPr>
            <w:tcW w:w="415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C4C826A">
            <w:pPr/>
            <w:r>
              <w:t xml:space="preserve">Approximately </w:t>
            </w:r>
            <w:r>
              <w:rPr>
                <w:b/>
                <w:bCs/>
              </w:rPr>
              <w:t>1 in 10 patients</w:t>
            </w:r>
            <w:r>
              <w:t xml:space="preserve"> experience harm while receiving healthcare, and </w:t>
            </w:r>
            <w:r>
              <w:rPr>
                <w:b/>
                <w:bCs/>
              </w:rPr>
              <w:t>more than 50%</w:t>
            </w:r>
            <w:r>
              <w:t xml:space="preserve"> of this harm is preventable. Medication-related harm affects </w:t>
            </w:r>
            <w:r>
              <w:rPr>
                <w:b/>
                <w:bCs/>
              </w:rPr>
              <w:t>1 in every 30 patients</w:t>
            </w:r>
            <w:r>
              <w:t xml:space="preserve">, with over </w:t>
            </w:r>
            <w:r>
              <w:rPr>
                <w:b/>
                <w:bCs/>
              </w:rPr>
              <w:t>25%</w:t>
            </w:r>
            <w:r>
              <w:t xml:space="preserve"> of cases being severe or life-threatening. (WHO, 2023)</w:t>
            </w:r>
          </w:p>
        </w:tc>
        <w:tc>
          <w:tcPr>
            <w:tcW w:w="334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E34010F">
            <w:pPr/>
            <w:r>
              <w:t>Demonstrates that medication-related harm is a significant global patient safety issue. Len's overdose represents a preventable medication safety failure requiring stronger leadership and governance.</w:t>
            </w:r>
          </w:p>
        </w:tc>
      </w:tr>
      <w:tr w14:paraId="36FDC105">
        <w:tblPrEx>
          <w:tblLayout w:type="fixed"/>
        </w:tblPrEx>
        <w:trPr>
          <w:trHeight w:val="1865" w:hRule="atLeast"/>
        </w:trPr>
        <w:tc>
          <w:tcPr>
            <w:tcW w:w="18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C3CD41E">
            <w:pPr/>
            <w:r>
              <w:rPr>
                <w:b/>
                <w:bCs/>
              </w:rPr>
              <w:t>World Health Organisation (WHO, 2017)</w:t>
            </w:r>
          </w:p>
        </w:tc>
        <w:tc>
          <w:tcPr>
            <w:tcW w:w="415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4A26055">
            <w:pPr/>
            <w:r>
              <w:t xml:space="preserve">Medication errors cause </w:t>
            </w:r>
            <w:r>
              <w:rPr>
                <w:b/>
                <w:bCs/>
              </w:rPr>
              <w:t>at least one death every day</w:t>
            </w:r>
            <w:r>
              <w:t xml:space="preserve"> and injure approximately </w:t>
            </w:r>
            <w:r>
              <w:rPr>
                <w:b/>
                <w:bCs/>
              </w:rPr>
              <w:t>1.3 million people annually</w:t>
            </w:r>
            <w:r>
              <w:t xml:space="preserve"> (WHO, 2017). </w:t>
            </w:r>
          </w:p>
        </w:tc>
        <w:tc>
          <w:tcPr>
            <w:tcW w:w="334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4568A1F">
            <w:pPr/>
            <w:r>
              <w:t>Highlights the worldwide impact of medication errors and reinforces that opioid-related incidents remain an international healthcare concern.</w:t>
            </w:r>
          </w:p>
        </w:tc>
      </w:tr>
      <w:tr w14:paraId="3C68FE65">
        <w:tblPrEx>
          <w:tblLayout w:type="fixed"/>
        </w:tblPrEx>
        <w:trPr>
          <w:trHeight w:val="2405" w:hRule="atLeast"/>
        </w:trPr>
        <w:tc>
          <w:tcPr>
            <w:tcW w:w="18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FE2BD19">
            <w:pPr/>
            <w:r>
              <w:rPr>
                <w:b/>
                <w:bCs/>
              </w:rPr>
              <w:t xml:space="preserve">NHS England / Elliott </w:t>
            </w:r>
            <w:r>
              <w:rPr>
                <w:b/>
                <w:bCs/>
                <w:i/>
                <w:iCs/>
              </w:rPr>
              <w:t>et al.</w:t>
            </w:r>
            <w:r>
              <w:rPr>
                <w:b/>
                <w:bCs/>
              </w:rPr>
              <w:t xml:space="preserve"> (2021)</w:t>
            </w:r>
          </w:p>
        </w:tc>
        <w:tc>
          <w:tcPr>
            <w:tcW w:w="415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87D5194">
            <w:pPr/>
            <w:r>
              <w:t xml:space="preserve">Approximately </w:t>
            </w:r>
            <w:r>
              <w:rPr>
                <w:b/>
                <w:bCs/>
              </w:rPr>
              <w:t>237 million medication errors</w:t>
            </w:r>
            <w:r>
              <w:t xml:space="preserve"> occur annually in England. Around </w:t>
            </w:r>
            <w:r>
              <w:rPr>
                <w:b/>
                <w:bCs/>
              </w:rPr>
              <w:t>66 million</w:t>
            </w:r>
            <w:r>
              <w:t xml:space="preserve"> are potentially clinically significant, contributing to approximately </w:t>
            </w:r>
            <w:r>
              <w:rPr>
                <w:b/>
                <w:bCs/>
              </w:rPr>
              <w:t>712 deaths</w:t>
            </w:r>
            <w:r>
              <w:t xml:space="preserve"> and </w:t>
            </w:r>
            <w:r>
              <w:rPr>
                <w:b/>
                <w:bCs/>
              </w:rPr>
              <w:t>1,708 additional deaths</w:t>
            </w:r>
            <w:r>
              <w:t xml:space="preserve"> associated with avoidable adverse drug events during hospitalisation (Elliott </w:t>
            </w:r>
            <w:r>
              <w:rPr>
                <w:i/>
                <w:iCs/>
              </w:rPr>
              <w:t xml:space="preserve">et al. </w:t>
            </w:r>
            <w:r>
              <w:t xml:space="preserve">2021). </w:t>
            </w:r>
          </w:p>
        </w:tc>
        <w:tc>
          <w:tcPr>
            <w:tcW w:w="334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AAF9160">
            <w:pPr/>
            <w:r>
              <w:t>Demonstrates that medication errors are widespread within the NHS, indicating that Len's case reflects broader systemic weaknesses rather than an isolated event.</w:t>
            </w:r>
          </w:p>
        </w:tc>
      </w:tr>
      <w:tr w14:paraId="0B184026">
        <w:tblPrEx>
          <w:tblLayout w:type="fixed"/>
        </w:tblPrEx>
        <w:trPr>
          <w:trHeight w:val="2135" w:hRule="atLeast"/>
        </w:trPr>
        <w:tc>
          <w:tcPr>
            <w:tcW w:w="186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2F43F89">
            <w:pPr/>
            <w:r>
              <w:rPr>
                <w:b/>
                <w:bCs/>
              </w:rPr>
              <w:t>OECD (2022)</w:t>
            </w:r>
          </w:p>
        </w:tc>
        <w:tc>
          <w:tcPr>
            <w:tcW w:w="4153"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F363241">
            <w:pPr/>
            <w:r>
              <w:t xml:space="preserve">Up to </w:t>
            </w:r>
            <w:r>
              <w:rPr>
                <w:b/>
                <w:bCs/>
              </w:rPr>
              <w:t>1 in 10 hospital admissions</w:t>
            </w:r>
            <w:r>
              <w:t xml:space="preserve"> in OECD countries are medication-related, while </w:t>
            </w:r>
            <w:r>
              <w:rPr>
                <w:b/>
                <w:bCs/>
              </w:rPr>
              <w:t>1 in 5 inpatients</w:t>
            </w:r>
            <w:r>
              <w:t xml:space="preserve"> experience medication-related harm. Avoidable medication-related events cost OECD healthcare systems more than </w:t>
            </w:r>
            <w:r>
              <w:rPr>
                <w:b/>
                <w:bCs/>
              </w:rPr>
              <w:t>US$54 billion</w:t>
            </w:r>
            <w:r>
              <w:t xml:space="preserve"> annually (OECD, 2022). </w:t>
            </w:r>
          </w:p>
        </w:tc>
        <w:tc>
          <w:tcPr>
            <w:tcW w:w="3344"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D32A608">
            <w:pPr/>
            <w:r>
              <w:t>Indicates that medication safety failures have substantial clinical and financial consequences, highlighting the need for stronger governance and safer prescribing systems.</w:t>
            </w:r>
          </w:p>
        </w:tc>
      </w:tr>
    </w:tbl>
    <w:p w14:paraId="3C61B0F8">
      <w:pPr/>
    </w:p>
    <w:p w14:paraId="0ACEF8A8">
      <w:pPr>
        <w:jc w:val="center"/>
        <w:rPr>
          <w:b/>
          <w:bCs/>
        </w:rPr>
      </w:pPr>
      <w:r>
        <w:rPr>
          <w:b/>
          <w:bCs/>
        </w:rPr>
        <w:t>Table 1: National and International Data Supporting Problem Analysis</w:t>
      </w:r>
    </w:p>
    <w:p w14:paraId="41260159">
      <w:pPr>
        <w:jc w:val="center"/>
      </w:pPr>
      <w:r>
        <w:t>(Source: Self-developed)</w:t>
      </w:r>
    </w:p>
    <w:p w14:paraId="6A0E95A3">
      <w:pPr>
        <w:pStyle w:val="4"/>
      </w:pPr>
      <w:bookmarkStart w:id="20" w:name="_iqym4b1zl451" w:colFirst="0" w:colLast="0"/>
      <w:bookmarkEnd w:id="20"/>
      <w:bookmarkStart w:id="21" w:name="_Toc235465458"/>
      <w:r>
        <w:t>2.1.3 System Weaknesses</w:t>
      </w:r>
      <w:bookmarkEnd w:id="21"/>
      <w:r>
        <w:t xml:space="preserve"> </w:t>
      </w:r>
    </w:p>
    <w:p w14:paraId="4C8F740B">
      <w:pPr/>
      <w:r>
        <w:t>The incident highlighted several weaknesses in the healthcare pathway. There was a lack of communication between the health care providers (clinicians, pharmacists) and patients/caregivers to ensure safe medicine administration. The shortcomings in medicines labelling and the lack of doctors’ understanding of their patients about medicines, and also the lack of understanding of the patient's condition, were acknowledged following a review of the HSSIB investigation. There is a large proportion of nationally reported medication incidents on systems for recording events in hospitals and other health-care settings, highlighting communication problems. Fragmentations in information sharing, variable counselling practices and lack of checking patient understanding resulted in the poor application of existing safety barriers. These issues demonstrate there are issues of organisational learning, risk management and care focused on the patient and not just problems with the professionals.</w:t>
      </w:r>
    </w:p>
    <w:p w14:paraId="36639E11">
      <w:pPr>
        <w:pStyle w:val="4"/>
      </w:pPr>
      <w:bookmarkStart w:id="22" w:name="_wn018k3zake6" w:colFirst="0" w:colLast="0"/>
      <w:bookmarkEnd w:id="22"/>
      <w:bookmarkStart w:id="23" w:name="_Toc235465459"/>
      <w:r>
        <w:t>2.1.4 Governance Level</w:t>
      </w:r>
      <w:bookmarkEnd w:id="23"/>
      <w:r>
        <w:t xml:space="preserve"> </w:t>
      </w:r>
    </w:p>
    <w:p w14:paraId="26B3C460">
      <w:pPr/>
      <w:r>
        <w:t xml:space="preserve">The incident is an instance of responsibilities in governance at a local, organisational and national level. Clinically, each doctor and druggist was responsible for safely prescribing, supplying and educating the public. Organisational governance needed good clinical governance, incident reporting, and risk management to minimise harm from medication. Standards, medicines safety guidance and patient safety policies are prescribed by national-level bodies, like NHS England and professional regulators, the Medicines and Healthcare products Regulatory Agency (MHRA) (Mamedov </w:t>
      </w:r>
      <w:r>
        <w:rPr>
          <w:i/>
          <w:iCs/>
        </w:rPr>
        <w:t xml:space="preserve">et al. </w:t>
      </w:r>
      <w:r>
        <w:t>2025). Despite the governance mechanisms, there are still millions of incidents involving medicines reported annually in NHS data, which demonstrates that the governance could be improved, monitored and enhanced across healthcare and systems to add value to governance.</w:t>
      </w:r>
    </w:p>
    <w:p w14:paraId="59815451">
      <w:pPr>
        <w:jc w:val="center"/>
      </w:pPr>
      <w:r>
        <w:drawing>
          <wp:inline distT="114300" distB="114300" distL="114300" distR="114300">
            <wp:extent cx="5734050" cy="363855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referRelativeResize="0"/>
                  </pic:nvPicPr>
                  <pic:blipFill>
                    <a:blip r:embed="rId9"/>
                    <a:srcRect/>
                    <a:stretch>
                      <a:fillRect/>
                    </a:stretch>
                  </pic:blipFill>
                  <pic:spPr>
                    <a:xfrm>
                      <a:off x="0" y="0"/>
                      <a:ext cx="5734050" cy="3638550"/>
                    </a:xfrm>
                    <a:prstGeom prst="rect">
                      <a:avLst/>
                    </a:prstGeom>
                    <a:ln w="25400">
                      <a:solidFill>
                        <a:srgbClr val="000000"/>
                      </a:solidFill>
                      <a:prstDash val="solid"/>
                    </a:ln>
                  </pic:spPr>
                </pic:pic>
              </a:graphicData>
            </a:graphic>
          </wp:inline>
        </w:drawing>
      </w:r>
    </w:p>
    <w:p w14:paraId="518C7F2B">
      <w:pPr>
        <w:jc w:val="center"/>
        <w:rPr>
          <w:b/>
          <w:bCs/>
        </w:rPr>
      </w:pPr>
      <w:r>
        <w:rPr>
          <w:b/>
          <w:bCs/>
        </w:rPr>
        <w:t xml:space="preserve">Figure 3: Licensing requirements in the United Kingdom </w:t>
      </w:r>
    </w:p>
    <w:p w14:paraId="15F76300">
      <w:pPr>
        <w:jc w:val="center"/>
      </w:pPr>
      <w:r>
        <w:t xml:space="preserve">(Source: Mamedov </w:t>
      </w:r>
      <w:r>
        <w:rPr>
          <w:i/>
          <w:iCs/>
        </w:rPr>
        <w:t xml:space="preserve">et al. </w:t>
      </w:r>
      <w:r>
        <w:t>2025)</w:t>
      </w:r>
    </w:p>
    <w:p w14:paraId="4E9DAA53">
      <w:pPr>
        <w:pStyle w:val="4"/>
      </w:pPr>
      <w:bookmarkStart w:id="24" w:name="_cclq7b54v5s6" w:colFirst="0" w:colLast="0"/>
      <w:bookmarkEnd w:id="24"/>
      <w:bookmarkStart w:id="25" w:name="_Toc235465460"/>
      <w:r>
        <w:t>2.1.5 Root Causes</w:t>
      </w:r>
      <w:bookmarkEnd w:id="25"/>
      <w:r>
        <w:t xml:space="preserve"> </w:t>
      </w:r>
    </w:p>
    <w:p w14:paraId="119C1C41">
      <w:pPr/>
      <w:r>
        <w:t>The investigation revealed several root causes, which were all interacting and not a single point of failure. The main reason was improper communication of the quantity of the morphine to be given, resulting in caregiver- or patient-related issues interpreting the medication label. This was compounded by the fact that few patients had received patient education, the counselling pattern was not uniform and that few patients felt they had understood what was required from the perspective of safety in the use of their medication. Neurological factors related to Len's condition and the human factors, like old age and reliance on familial assistance, further exacerbated the medication error.</w:t>
      </w:r>
    </w:p>
    <w:p w14:paraId="2CF4A4E2">
      <w:pPr/>
      <w:r>
        <w:t xml:space="preserve">Amongst the other organisational issues that could be contributing were poor labelling of medicines, a lack of communication between care settings and inadequate policies for protecting high-risk opioid medicines. There were no organised teach-back techniques, standardised counselling procedures, and/or improved verification practices, and the overdose went unnoticed. Communication failures have been proven to be a factor in around 70% of all serious adverse healthcare events, making effective communication across multidisciplinary teams crucial (Keshtkar </w:t>
      </w:r>
      <w:r>
        <w:rPr>
          <w:i/>
          <w:iCs/>
        </w:rPr>
        <w:t xml:space="preserve">et al. </w:t>
      </w:r>
      <w:r>
        <w:t>2025). Moreover, WHO estimates that unsafe drug use during health care has a yearly cost of up to US$42 billion for health-care systems, demonstrating that the costs of unsafe drug use on an organisational level can be massive (WHO, 2017). Collectively, they offer a snapshot of issues beyond the individual human, related to governance, leadership, communication and patient safety culture.</w:t>
      </w:r>
    </w:p>
    <w:p w14:paraId="40663F94">
      <w:pPr>
        <w:pStyle w:val="4"/>
      </w:pPr>
      <w:bookmarkStart w:id="26" w:name="_btr2bemc35u1" w:colFirst="0" w:colLast="0"/>
      <w:bookmarkEnd w:id="26"/>
      <w:bookmarkStart w:id="27" w:name="_Toc235465461"/>
      <w:r>
        <w:t>2.1.6 Systems Thinking Analysis</w:t>
      </w:r>
      <w:bookmarkEnd w:id="27"/>
      <w:r>
        <w:t xml:space="preserve"> </w:t>
      </w:r>
    </w:p>
    <w:p w14:paraId="314C1650">
      <w:pPr>
        <w:sectPr>
          <w:footerReference r:id="rId3"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326" w:charSpace="0"/>
        </w:sectPr>
      </w:pPr>
      <w:r>
        <w:t xml:space="preserve">From a systems perspective, Len's overdose is a consequence of multiple failures in the system of prescription and/or dispensation, education and consultation with patients, governance and communication within the organisation. Systems thinking does not determine that the cause of this mistake was the unkindness, ignorance, and/or incompetence of another, but that it was the system that produced the conditions for the mistake to occur, and those conditions were weaknesses that developed throughout the trajectory to the patient. Because feedback mechanisms were unable to reveal the needed awareness to the clinicians before the potential harm came about. </w:t>
      </w:r>
    </w:p>
    <w:p w14:paraId="36A3DA23">
      <w:pPr>
        <w:pStyle w:val="4"/>
      </w:pPr>
      <w:bookmarkStart w:id="28" w:name="_j14nbrg16sua" w:colFirst="0" w:colLast="0"/>
      <w:bookmarkEnd w:id="28"/>
      <w:bookmarkStart w:id="29" w:name="_Toc235465462"/>
      <w:r>
        <w:t>2.1.7 Rich Picture</w:t>
      </w:r>
      <w:bookmarkEnd w:id="29"/>
    </w:p>
    <w:p w14:paraId="46F44DDA">
      <w:pPr>
        <w:jc w:val="center"/>
      </w:pPr>
      <w:r>
        <w:drawing>
          <wp:inline distT="114300" distB="114300" distL="114300" distR="114300">
            <wp:extent cx="8397240" cy="4511040"/>
            <wp:effectExtent l="38100" t="38100" r="41910" b="41910"/>
            <wp:docPr id="2" name="image6.jpg"/>
            <wp:cNvGraphicFramePr/>
            <a:graphic xmlns:a="http://schemas.openxmlformats.org/drawingml/2006/main">
              <a:graphicData uri="http://schemas.openxmlformats.org/drawingml/2006/picture">
                <pic:pic xmlns:pic="http://schemas.openxmlformats.org/drawingml/2006/picture">
                  <pic:nvPicPr>
                    <pic:cNvPr id="2" name="image6.jpg"/>
                    <pic:cNvPicPr preferRelativeResize="0"/>
                  </pic:nvPicPr>
                  <pic:blipFill>
                    <a:blip r:embed="rId10"/>
                    <a:srcRect/>
                    <a:stretch>
                      <a:fillRect/>
                    </a:stretch>
                  </pic:blipFill>
                  <pic:spPr>
                    <a:xfrm>
                      <a:off x="0" y="0"/>
                      <a:ext cx="8397240" cy="4511040"/>
                    </a:xfrm>
                    <a:prstGeom prst="rect">
                      <a:avLst/>
                    </a:prstGeom>
                    <a:ln w="25400">
                      <a:solidFill>
                        <a:srgbClr val="000000"/>
                      </a:solidFill>
                      <a:prstDash val="solid"/>
                    </a:ln>
                  </pic:spPr>
                </pic:pic>
              </a:graphicData>
            </a:graphic>
          </wp:inline>
        </w:drawing>
      </w:r>
    </w:p>
    <w:p w14:paraId="255B7592">
      <w:pPr>
        <w:jc w:val="center"/>
        <w:rPr>
          <w:b/>
          <w:bCs/>
        </w:rPr>
      </w:pPr>
      <w:r>
        <w:rPr>
          <w:b/>
          <w:bCs/>
        </w:rPr>
        <w:t xml:space="preserve">Figure 4: Rich Picture </w:t>
      </w:r>
    </w:p>
    <w:p w14:paraId="358C0503">
      <w:pPr>
        <w:jc w:val="center"/>
        <w:sectPr>
          <w:pgSz w:w="15840" w:h="12240" w:orient="landscape"/>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326" w:charSpace="0"/>
        </w:sectPr>
      </w:pPr>
      <w:r>
        <w:t xml:space="preserve">(Source: Self-developed in </w:t>
      </w:r>
      <w:r>
        <w:fldChar w:fldCharType="begin"/>
      </w:r>
      <w:r>
        <w:instrText xml:space="preserve"> HYPERLINK "http://draw.io" \h </w:instrText>
      </w:r>
      <w:r>
        <w:fldChar w:fldCharType="separate"/>
      </w:r>
      <w:r>
        <w:rPr>
          <w:color w:val="1155CC"/>
          <w:u w:val="single"/>
        </w:rPr>
        <w:t>Draw.io</w:t>
      </w:r>
      <w:r>
        <w:rPr>
          <w:color w:val="1155CC"/>
          <w:u w:val="single"/>
        </w:rPr>
        <w:fldChar w:fldCharType="end"/>
      </w:r>
      <w:r>
        <w:t>)</w:t>
      </w:r>
    </w:p>
    <w:p w14:paraId="3F59694C">
      <w:pPr>
        <w:pStyle w:val="3"/>
      </w:pPr>
      <w:bookmarkStart w:id="30" w:name="_c1lmz15fxus3" w:colFirst="0" w:colLast="0"/>
      <w:bookmarkEnd w:id="30"/>
      <w:bookmarkStart w:id="31" w:name="_Toc235465463"/>
      <w:r>
        <w:t>2.2 Centralisation versus Decentralisation</w:t>
      </w:r>
      <w:bookmarkEnd w:id="31"/>
      <w:r>
        <w:t xml:space="preserve"> </w:t>
      </w:r>
    </w:p>
    <w:p w14:paraId="642952DD">
      <w:pPr>
        <w:pStyle w:val="4"/>
      </w:pPr>
      <w:bookmarkStart w:id="32" w:name="_jvdpictd78ig" w:colFirst="0" w:colLast="0"/>
      <w:bookmarkEnd w:id="32"/>
      <w:bookmarkStart w:id="33" w:name="_Toc235465464"/>
      <w:r>
        <w:t>2.2.1 NHS Structure</w:t>
      </w:r>
      <w:bookmarkEnd w:id="33"/>
      <w:r>
        <w:t xml:space="preserve"> </w:t>
      </w:r>
    </w:p>
    <w:p w14:paraId="205CC25A">
      <w:pPr/>
      <w:r>
        <w:t xml:space="preserve">This system can be summed up as a hybrid system of service and governance: service-led but with a degree of decentralisation and policy-led but with a level of centralisation. National organisations, such as NHS England, the Department of Health and Social Care (DHSC) and the Medicines and Healthcare products Regulatory Agency (MHRA), have agreed Clinical Standards, Prescribing Guidelines, patient safety policies and regulatory requirements (NHSEngland, 2025). Integrated Care Systems (ICSs), NHS Trusts, general practitioners (GPs) and community pharmacies have operational responsibility for delivering healthcare services to meet the needs of the local populations. </w:t>
      </w:r>
    </w:p>
    <w:p w14:paraId="2198B6E9">
      <w:pPr>
        <w:pStyle w:val="4"/>
      </w:pPr>
      <w:bookmarkStart w:id="34" w:name="_8btm4s9xeqwx" w:colFirst="0" w:colLast="0"/>
      <w:bookmarkEnd w:id="34"/>
      <w:bookmarkStart w:id="35" w:name="_Toc235465465"/>
      <w:r>
        <w:t>2.2.2 Centralisation in the Case</w:t>
      </w:r>
      <w:bookmarkEnd w:id="35"/>
      <w:r>
        <w:t xml:space="preserve"> </w:t>
      </w:r>
    </w:p>
    <w:p w14:paraId="7AADD5AB">
      <w:pPr/>
      <w:r>
        <w:t xml:space="preserve">Len's care pathway was centralised with national bodies lying down the overarching rules and regulations on opioid prescribing and dispensing, medicines labelling and patient safety. The prescribing guidance of controlled drugs is an issue for NHS England, as well as planning for the application of the packaging and labelling requirements of medicines, and pharmacovigilance is regulated by the MHRA (Bloem </w:t>
      </w:r>
      <w:r>
        <w:rPr>
          <w:i/>
          <w:iCs/>
        </w:rPr>
        <w:t xml:space="preserve">et al. </w:t>
      </w:r>
      <w:r>
        <w:t>2024). Furthermore, there are 2 prescriptive bodies, the General Pharmaceutical Council (GPhC) and the General Medical Council (GMC), that set out professional standards where healthcare practitioners are expected to prescribe safely and provide good patient advice (Howie, 2024). The national level policies are standardised to promote the consistent practice of clinical practice and improve drug safety in England.</w:t>
      </w:r>
    </w:p>
    <w:p w14:paraId="79EAF6D5">
      <w:pPr/>
      <w:r>
        <w:t xml:space="preserve">The key benefit of centralisation is in the uniformity it offers. National patient safety alerts and standard operating procedures will ensure that the avoidable variation across the health care system and uniformity of prescribing are minimised (Ramsay </w:t>
      </w:r>
      <w:r>
        <w:rPr>
          <w:i/>
          <w:iCs/>
        </w:rPr>
        <w:t xml:space="preserve">et al. </w:t>
      </w:r>
      <w:r>
        <w:t xml:space="preserve">2025). National reporting systems enable organisations to gain national oversight of the risks that commonly occur to patient safety through genomic medication and to tailor interventions at a system level to address these risks, e.g., Learn from Patient Safety Events (LFPSE) service. </w:t>
      </w:r>
    </w:p>
    <w:p w14:paraId="460C3101">
      <w:pPr/>
      <w:r>
        <w:t xml:space="preserve">Here also is an instance of what may go wrong when efforts are centralised. There was good guidance nationally, but some local failures in communicating with patients, educating patients and administering medicine. Despite national policies and governance frameworks, there are estimated to be around 237 million medication errors made every year in England by NHS England, and that is not a Figure that can be eradicated by compliance with the policy alone (Elliott </w:t>
      </w:r>
      <w:r>
        <w:rPr>
          <w:i/>
          <w:iCs/>
        </w:rPr>
        <w:t xml:space="preserve">et al. </w:t>
      </w:r>
      <w:r>
        <w:t>2021). Similarly, each day, at least one person is estimated to die worldwide due to medication errors made by drug handlers, reflecting the need for the effective implementation of standardised regulations at the ground level as well. So, Len's overdose exemplifies a process of centralised governance that sets up some overarching structures of safety and does not allow local systems of governance (local leadership, communication, clinical judgment) to intervene to ensure safe patient outcomes.</w:t>
      </w:r>
    </w:p>
    <w:p w14:paraId="5CC0D54B">
      <w:pPr>
        <w:pStyle w:val="4"/>
      </w:pPr>
      <w:bookmarkStart w:id="36" w:name="_nq749vafi4w2" w:colFirst="0" w:colLast="0"/>
      <w:bookmarkEnd w:id="36"/>
      <w:bookmarkStart w:id="37" w:name="_Toc235465466"/>
      <w:r>
        <w:t>2.2.3 Decentralisation in the Case</w:t>
      </w:r>
      <w:bookmarkEnd w:id="37"/>
      <w:r>
        <w:t xml:space="preserve"> </w:t>
      </w:r>
    </w:p>
    <w:p w14:paraId="6CC38798">
      <w:pPr/>
      <w:r>
        <w:t>The frontline health care workers who are in charge of Len's prescription, dispensing and monitoring got autonomy (decentralisation). Each GP could employ their own clinical opinion when it came to providing a prescription for Morphine, and each community pharmacist is expected to dispense and counsel/ensure that the patient understands dosage instructions for morphine. This would therefore imply that the health professionals were dealing with a vast precedent to communicate information on medicines to the patient according to his/her clinical situation, health literacy and individual needs. Local flexibility is vital to the decentralised healthcare systems as it allows for patient-centred care and clinical decision-making to be made quickly.</w:t>
      </w:r>
    </w:p>
    <w:p w14:paraId="2435BAE5">
      <w:pPr/>
      <w:r>
        <w:t xml:space="preserve">There are several benefits to the decentralised approach. There is potential to adapt communication style, involve family carers in decision making, and customise medicines counselling to the individual, at the front-line of care (Abughazalah </w:t>
      </w:r>
      <w:r>
        <w:rPr>
          <w:i/>
          <w:iCs/>
        </w:rPr>
        <w:t xml:space="preserve">et al. </w:t>
      </w:r>
      <w:r>
        <w:t>2024). This is particularly important for older people with multiple health problems, who may require specialised care to reduce medicines-related problems. It discovers patient safety issues in time due to the collaboration between different disciplines locally.</w:t>
      </w:r>
    </w:p>
    <w:p w14:paraId="3C4FB397">
      <w:pPr/>
      <w:r>
        <w:t xml:space="preserve">But, as Len's situation illustrates, when essential oversight and standardisation mechanisms are not there, and there is a decentralisation, then there might be a bit of difference between clinical practices. The HSSIB investigation found that there were inconsistencies between the patient counselling and medicine labelling, as well as in confirmation of patient understanding, which contributed to the overdose. Research has identified that approximately 70% of hand hygiene mistakes and other high-risk incidents in the health sector can be traced back to a communication failure (Glowicz </w:t>
      </w:r>
      <w:r>
        <w:rPr>
          <w:i/>
          <w:iCs/>
        </w:rPr>
        <w:t xml:space="preserve">et al. </w:t>
      </w:r>
      <w:r>
        <w:t>2023). Furthermore, even with the development of greater autonomy, millions of incidents in the NHS remain around medicines, and this indicates that while any system of decentralised decision-making may be developed, it should be supported by good governance, regular training, or ongoing communication between any healthcare professionals involved to ensure that the developed system provides a comparable standard of patient care across all NHS organisations.</w:t>
      </w:r>
    </w:p>
    <w:p w14:paraId="58A97DDF">
      <w:pPr>
        <w:pStyle w:val="4"/>
      </w:pPr>
      <w:bookmarkStart w:id="38" w:name="_5oyk6ub3phyi" w:colFirst="0" w:colLast="0"/>
      <w:bookmarkEnd w:id="38"/>
      <w:bookmarkStart w:id="39" w:name="_Toc235465467"/>
      <w:r>
        <w:t>2.2.4 Critical Evaluation</w:t>
      </w:r>
      <w:bookmarkEnd w:id="39"/>
      <w:r>
        <w:t xml:space="preserve"> </w:t>
      </w:r>
    </w:p>
    <w:p w14:paraId="794EC1EE">
      <w:pPr/>
      <w:r>
        <w:t>The incident demonstrates that there is a need to be centralised and decentralised to achieve patient safety. In relation to the provision of medicines, although detailed prescribing policies and guidance were available and subject to centralised governance for medicines' regulation and patient safety policies, there were limitations in communication at the local level. The personalised care achieved by decentralised autonomy of clinical practice, conversely, resulted in incongruency of clinical counselling, and patients did not sufficiently understand medicines, which was the target. Therefore, the most effective healthcare system is an integrated one which has strong national leadership, strong frontline leadership, standardised safety procedures and great multidisciplinary teamwork and communication. Central support and accountability plus local control would lead to an improvement in patient safety, organisational learning and continuous improvement and reduce medication-related harm.</w:t>
      </w:r>
    </w:p>
    <w:p w14:paraId="5D72B335">
      <w:pPr>
        <w:pStyle w:val="3"/>
      </w:pPr>
      <w:bookmarkStart w:id="40" w:name="_bjzcmi3mikeq" w:colFirst="0" w:colLast="0"/>
      <w:bookmarkEnd w:id="40"/>
      <w:bookmarkStart w:id="41" w:name="_Toc235465468"/>
      <w:r>
        <w:t>2.3 Leadership Theory Application</w:t>
      </w:r>
      <w:bookmarkEnd w:id="41"/>
    </w:p>
    <w:p w14:paraId="1451D9E3">
      <w:pPr>
        <w:pStyle w:val="4"/>
      </w:pPr>
      <w:bookmarkStart w:id="42" w:name="_1cav3cqvy779" w:colFirst="0" w:colLast="0"/>
      <w:bookmarkEnd w:id="42"/>
      <w:bookmarkStart w:id="43" w:name="_Toc235465469"/>
      <w:r>
        <w:t>2.3.1 Transformational Leadership</w:t>
      </w:r>
      <w:bookmarkEnd w:id="43"/>
      <w:r>
        <w:t xml:space="preserve"> </w:t>
      </w:r>
    </w:p>
    <w:p w14:paraId="2320A6F1">
      <w:pPr/>
      <w:r>
        <w:t xml:space="preserve">Transformational Leadership involves inspiring people to become more innovative and engaged in continuous improvement based on a common vision and to create a culture of trust and teamwork (Vijai, 2025). When it comes to the example of Len, transformational leadership was not well exhibited as various occasions to improve patient education, communicate and proactively discover hazards across the different disciplines were missed. What leaders could have done to inspire the promotion of patient safety culture could involve reminding health care workers to maintain good communication, making sure patients understand the health care worker in a teach-back format, and continually attempting to make changes for improved practice with medication practices. Transformational leadership was found to positively correlate with patient safety outcomes and staff morale, which implied that if the transformational leadership were stronger, the chances of the emergence of preventable medication-related harm would have been reduced (Ystaas </w:t>
      </w:r>
      <w:r>
        <w:rPr>
          <w:i/>
          <w:iCs/>
        </w:rPr>
        <w:t xml:space="preserve">et al. </w:t>
      </w:r>
      <w:r>
        <w:t>2023).</w:t>
      </w:r>
    </w:p>
    <w:p w14:paraId="36B13E59">
      <w:pPr>
        <w:pStyle w:val="4"/>
      </w:pPr>
      <w:bookmarkStart w:id="44" w:name="_s6uucm32knm4" w:colFirst="0" w:colLast="0"/>
      <w:bookmarkEnd w:id="44"/>
      <w:bookmarkStart w:id="45" w:name="_Toc235465470"/>
      <w:r>
        <w:t>2.3.2 Transactional Leadership</w:t>
      </w:r>
      <w:bookmarkEnd w:id="45"/>
      <w:r>
        <w:t xml:space="preserve"> </w:t>
      </w:r>
    </w:p>
    <w:p w14:paraId="48B1AB28">
      <w:pPr/>
      <w:r>
        <w:t>Transactional Leadership is taught, monitored, and held accountable for conformance to rules, policies and performance standards (Ali and Khan, 2023). In this outcome, the use of the prescribing rules, the controlled drug process and procedures and the professional practice itself was an expression of transactional leadership in NHS governance. A healthcare worker would be expected to follow normal practice in writing prescriptions and dispensing/counselling patients on high-risk opioid medicines. But policy adherence by itself proved inadequate, and there was no adequate communication and assessing patient understanding. Transactional leadership can be transactional because it is consistent and ensures accountability, but it can also be transactional because it follows a checklist and doesn't take into account the needs of every patient. Monitoring, with patient-centred communication, could therefore have been enhanced, with better safety of medicines and with less risk of dosage miscommunication.</w:t>
      </w:r>
    </w:p>
    <w:p w14:paraId="62FFFAAA">
      <w:pPr>
        <w:pStyle w:val="4"/>
      </w:pPr>
      <w:bookmarkStart w:id="46" w:name="_y2hgyilg04zf" w:colFirst="0" w:colLast="0"/>
      <w:bookmarkEnd w:id="46"/>
      <w:bookmarkStart w:id="47" w:name="_Toc235465471"/>
      <w:r>
        <w:t>2.3.3 Situational Leadership</w:t>
      </w:r>
      <w:bookmarkEnd w:id="47"/>
      <w:r>
        <w:t xml:space="preserve"> </w:t>
      </w:r>
    </w:p>
    <w:p w14:paraId="1140437F">
      <w:pPr/>
      <w:r>
        <w:t xml:space="preserve">Situational Leadership suggests that the leader should draw on a range of potentially different styles based on their level of skill, confidence and need (Singh </w:t>
      </w:r>
      <w:r>
        <w:rPr>
          <w:i/>
          <w:iCs/>
        </w:rPr>
        <w:t xml:space="preserve">et al. </w:t>
      </w:r>
      <w:r>
        <w:t>2024). Healthcare professionals needed to be more supportive and adaptive in their leadership of Len given his advanced age, neurological status and dependency on his wife to administer his medication. This patient was at risk and should have been communicated with more simply, with check-back using visual aids, and teach-back was appropriate, but not something routinely done with all patients by the clinicians. There is some evidence from OECD countries which shows that adaptive leadership fosters organisational response and patient safety in response to challenging clinical situations (OECD, 2025). Provision of situational leadership would therefore have enabled the extent of personalised care to increase, reduced incidences of communication failures and improved safe medicine administration.</w:t>
      </w:r>
    </w:p>
    <w:p w14:paraId="696A1CA7">
      <w:pPr>
        <w:jc w:val="center"/>
      </w:pPr>
      <w:r>
        <w:drawing>
          <wp:inline distT="114300" distB="114300" distL="114300" distR="114300">
            <wp:extent cx="4709160" cy="664337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11"/>
                    <a:srcRect/>
                    <a:stretch>
                      <a:fillRect/>
                    </a:stretch>
                  </pic:blipFill>
                  <pic:spPr>
                    <a:xfrm>
                      <a:off x="0" y="0"/>
                      <a:ext cx="4709228" cy="6643688"/>
                    </a:xfrm>
                    <a:prstGeom prst="rect">
                      <a:avLst/>
                    </a:prstGeom>
                    <a:ln w="25400">
                      <a:solidFill>
                        <a:srgbClr val="000000"/>
                      </a:solidFill>
                      <a:prstDash val="solid"/>
                    </a:ln>
                  </pic:spPr>
                </pic:pic>
              </a:graphicData>
            </a:graphic>
          </wp:inline>
        </w:drawing>
      </w:r>
    </w:p>
    <w:p w14:paraId="26DA1161">
      <w:pPr>
        <w:jc w:val="center"/>
        <w:rPr>
          <w:b/>
          <w:bCs/>
        </w:rPr>
      </w:pPr>
      <w:r>
        <w:rPr>
          <w:b/>
          <w:bCs/>
        </w:rPr>
        <w:t>Figure 5: Situational Leadership</w:t>
      </w:r>
    </w:p>
    <w:p w14:paraId="16D9807F">
      <w:pPr>
        <w:jc w:val="center"/>
      </w:pPr>
      <w:r>
        <w:t xml:space="preserve">(Source: Singh </w:t>
      </w:r>
      <w:r>
        <w:rPr>
          <w:i/>
          <w:iCs/>
        </w:rPr>
        <w:t xml:space="preserve">et al. </w:t>
      </w:r>
      <w:r>
        <w:t>2024)</w:t>
      </w:r>
    </w:p>
    <w:p w14:paraId="31233BD7">
      <w:pPr>
        <w:pStyle w:val="4"/>
      </w:pPr>
      <w:bookmarkStart w:id="48" w:name="_iouarz110cfn" w:colFirst="0" w:colLast="0"/>
      <w:bookmarkEnd w:id="48"/>
      <w:bookmarkStart w:id="49" w:name="_Toc235465472"/>
      <w:r>
        <w:t>2.3.4 Behavioural Leadership</w:t>
      </w:r>
      <w:bookmarkEnd w:id="49"/>
      <w:r>
        <w:t xml:space="preserve"> </w:t>
      </w:r>
    </w:p>
    <w:p w14:paraId="2FBB6752">
      <w:pPr/>
      <w:r>
        <w:t xml:space="preserve">Behavioural leadership is a style of leadership which involves incorporating people-oriented behaviours as well as task-oriented behaviours to accomplish organisational goals and enhance relationships (İNCE and KESKİN, 2025). In Len's situation, clinical activities (prescribing and dispensing) were achieved by those in a position of authority, although there was not as much attention to people-centred communication and engaging with the patient. The emphasis on Len's understanding of the instructions to take his medication properly, and not comprehensively, indicates that the focus may have been on the technical skill, and interpersonal support may have been overlooked. It has been proven that hospitals that have both task-focused and relationship-focused leadership styles have approximately 30% fewer patient safety events and incidents than all operational performance-focused hospitals (Althobaiti, 2026; Guttman </w:t>
      </w:r>
      <w:r>
        <w:rPr>
          <w:i/>
          <w:iCs/>
        </w:rPr>
        <w:t xml:space="preserve">et al., </w:t>
      </w:r>
      <w:r>
        <w:t>2021). The need for empathy and engaging patient communication and education could have therefore been more considered, and seeking to reduce the potential for harmful effects of the medication, while at the same time increasing medication safety.</w:t>
      </w:r>
    </w:p>
    <w:p w14:paraId="437781D1">
      <w:pPr>
        <w:jc w:val="center"/>
      </w:pPr>
      <w:r>
        <w:drawing>
          <wp:inline distT="114300" distB="114300" distL="114300" distR="114300">
            <wp:extent cx="4352925" cy="4352925"/>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12"/>
                    <a:srcRect/>
                    <a:stretch>
                      <a:fillRect/>
                    </a:stretch>
                  </pic:blipFill>
                  <pic:spPr>
                    <a:xfrm>
                      <a:off x="0" y="0"/>
                      <a:ext cx="4352925" cy="4352925"/>
                    </a:xfrm>
                    <a:prstGeom prst="rect">
                      <a:avLst/>
                    </a:prstGeom>
                    <a:ln w="25400">
                      <a:solidFill>
                        <a:srgbClr val="000000"/>
                      </a:solidFill>
                      <a:prstDash val="solid"/>
                    </a:ln>
                  </pic:spPr>
                </pic:pic>
              </a:graphicData>
            </a:graphic>
          </wp:inline>
        </w:drawing>
      </w:r>
    </w:p>
    <w:p w14:paraId="5ABBFE46">
      <w:pPr>
        <w:jc w:val="center"/>
        <w:rPr>
          <w:b/>
          <w:bCs/>
        </w:rPr>
      </w:pPr>
      <w:r>
        <w:rPr>
          <w:b/>
          <w:bCs/>
        </w:rPr>
        <w:t>Figure 6: Conceptual Framework of Leadership Influence on Patient Safety Culture and Outcomes Grounded in High Reliability Organisation Theory</w:t>
      </w:r>
    </w:p>
    <w:p w14:paraId="7916AAFA">
      <w:pPr>
        <w:jc w:val="center"/>
      </w:pPr>
      <w:r>
        <w:t>(Source: Althobaiti, 2026)</w:t>
      </w:r>
    </w:p>
    <w:p w14:paraId="75AA3A12">
      <w:pPr>
        <w:pStyle w:val="4"/>
      </w:pPr>
      <w:bookmarkStart w:id="50" w:name="_e3j3b6c1xeki" w:colFirst="0" w:colLast="0"/>
      <w:bookmarkEnd w:id="50"/>
      <w:bookmarkStart w:id="51" w:name="_Toc235465473"/>
      <w:r>
        <w:t>2.3.5 Distributed Leadership</w:t>
      </w:r>
      <w:bookmarkEnd w:id="51"/>
      <w:r>
        <w:t xml:space="preserve"> </w:t>
      </w:r>
    </w:p>
    <w:p w14:paraId="1E82AB1E">
      <w:pPr/>
      <w:r>
        <w:t xml:space="preserve">Distributed leadership empowers multiple members of a multi-disciplinary team to be responsible for making decisions instead of it being the responsibility of certain leaders (Motshweneng, 2025). Medicines safety is effectively managed through the collaborative work of the general practitioner, the pharmacist, the nurse and patients/carers, each taking responsibility for medicines safety. In Len's situation, joint leadership was not enough, as communication and verification duties were not well-coordinated between healthcare workers. A more collaborative working approach would, however, have contributed to the continuity of patient counselling, ensured a greater sharing of information and improved accountability along the pathway of care. Distributed leadership also helps foster the continuous organisational learning process because staff are empowered to recognise potential risks and be open about patient safety issues. </w:t>
      </w:r>
    </w:p>
    <w:p w14:paraId="15EB6B01">
      <w:pPr>
        <w:pStyle w:val="4"/>
      </w:pPr>
      <w:bookmarkStart w:id="52" w:name="_s1aybbj3khix" w:colFirst="0" w:colLast="0"/>
      <w:bookmarkEnd w:id="52"/>
      <w:bookmarkStart w:id="53" w:name="_Toc235465474"/>
      <w:r>
        <w:t>2.3.6 Critical Comparison</w:t>
      </w:r>
      <w:bookmarkEnd w:id="53"/>
      <w:r>
        <w:t xml:space="preserve"> </w:t>
      </w:r>
    </w:p>
    <w:tbl>
      <w:tblPr>
        <w:tblStyle w:val="20"/>
        <w:tblW w:w="9360"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00" w:type="dxa"/>
          <w:left w:w="100" w:type="dxa"/>
          <w:bottom w:w="100" w:type="dxa"/>
          <w:right w:w="100" w:type="dxa"/>
        </w:tblCellMar>
      </w:tblPr>
      <w:tblGrid>
        <w:gridCol w:w="2070"/>
        <w:gridCol w:w="2130"/>
        <w:gridCol w:w="1620"/>
        <w:gridCol w:w="1620"/>
        <w:gridCol w:w="1920"/>
      </w:tblGrid>
      <w:tr w14:paraId="3684AF72">
        <w:tblPrEx>
          <w:tblLayout w:type="fixed"/>
        </w:tblPrEx>
        <w:trPr>
          <w:trHeight w:val="770" w:hRule="atLeast"/>
        </w:trPr>
        <w:tc>
          <w:tcPr>
            <w:tcW w:w="2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374B552">
            <w:pPr>
              <w:jc w:val="center"/>
            </w:pPr>
            <w:r>
              <w:rPr>
                <w:b/>
                <w:bCs/>
              </w:rPr>
              <w:t>Leadership Theory</w:t>
            </w:r>
          </w:p>
        </w:tc>
        <w:tc>
          <w:tcPr>
            <w:tcW w:w="213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F5CC7DB">
            <w:pPr>
              <w:jc w:val="center"/>
            </w:pPr>
            <w:r>
              <w:rPr>
                <w:b/>
                <w:bCs/>
              </w:rPr>
              <w:t>Application to Len's Case</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56BF7D3">
            <w:pPr>
              <w:jc w:val="center"/>
            </w:pPr>
            <w:r>
              <w:rPr>
                <w:b/>
                <w:bCs/>
              </w:rPr>
              <w:t>Strengths</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A0F1644">
            <w:pPr>
              <w:jc w:val="center"/>
            </w:pPr>
            <w:r>
              <w:rPr>
                <w:b/>
                <w:bCs/>
              </w:rPr>
              <w:t>Limitations</w:t>
            </w:r>
          </w:p>
        </w:tc>
        <w:tc>
          <w:tcPr>
            <w:tcW w:w="19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FD62CE1">
            <w:pPr>
              <w:jc w:val="center"/>
            </w:pPr>
            <w:r>
              <w:rPr>
                <w:b/>
                <w:bCs/>
              </w:rPr>
              <w:t>Supporting Evidence</w:t>
            </w:r>
          </w:p>
        </w:tc>
      </w:tr>
      <w:tr w14:paraId="00546184">
        <w:tblPrEx>
          <w:tblLayout w:type="fixed"/>
        </w:tblPrEx>
        <w:trPr>
          <w:trHeight w:val="3770" w:hRule="atLeast"/>
        </w:trPr>
        <w:tc>
          <w:tcPr>
            <w:tcW w:w="2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B4B7DFC">
            <w:pPr/>
            <w:r>
              <w:rPr>
                <w:b/>
                <w:bCs/>
              </w:rPr>
              <w:t>Transformational Leadership</w:t>
            </w:r>
          </w:p>
        </w:tc>
        <w:tc>
          <w:tcPr>
            <w:tcW w:w="213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A2CF0A8">
            <w:pPr/>
            <w:r>
              <w:t>Leaders should have promoted a strong patient safety culture by encouraging proactive communication, continuous learning and effective patient education regarding opioid use.</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9193B24">
            <w:pPr/>
            <w:r>
              <w:t>Encourages innovation, multidisciplinary collaboration and organisational learning, leading to improved patient safety culture.</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7FEB351">
            <w:pPr/>
            <w:r>
              <w:t>May take time to influence organisational culture and requires committed leadership at all levels.</w:t>
            </w:r>
          </w:p>
        </w:tc>
        <w:tc>
          <w:tcPr>
            <w:tcW w:w="19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131D8BB">
            <w:pPr/>
            <w:r>
              <w:t xml:space="preserve">Transformational leadership is correlated with </w:t>
            </w:r>
            <w:r>
              <w:rPr>
                <w:b/>
                <w:bCs/>
              </w:rPr>
              <w:t>19% improved patient safety results and 23% greater staff satisfaction</w:t>
            </w:r>
            <w:r>
              <w:t xml:space="preserve"> (Ystaas </w:t>
            </w:r>
            <w:r>
              <w:rPr>
                <w:i/>
                <w:iCs/>
              </w:rPr>
              <w:t xml:space="preserve">et al. </w:t>
            </w:r>
            <w:r>
              <w:t>2023).</w:t>
            </w:r>
          </w:p>
        </w:tc>
      </w:tr>
      <w:tr w14:paraId="17043598">
        <w:tblPrEx>
          <w:tblLayout w:type="fixed"/>
        </w:tblPrEx>
        <w:trPr>
          <w:trHeight w:val="3770" w:hRule="atLeast"/>
        </w:trPr>
        <w:tc>
          <w:tcPr>
            <w:tcW w:w="2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02DC7CA">
            <w:pPr/>
            <w:r>
              <w:rPr>
                <w:b/>
                <w:bCs/>
              </w:rPr>
              <w:t>Transactional Leadership</w:t>
            </w:r>
          </w:p>
        </w:tc>
        <w:tc>
          <w:tcPr>
            <w:tcW w:w="213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37566B20">
            <w:pPr/>
            <w:r>
              <w:t>National prescribing policies, controlled drug regulations and professional standards required compliance during the prescribing and dispensing of morphine.</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9586B38">
            <w:pPr/>
            <w:r>
              <w:t>Maintains consistency and accountability and supports NHS policies and clinical governance.</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015E67D">
            <w:pPr/>
            <w:r>
              <w:t>Communications fail in spite of policy compliance, due to focus on rule compliance and not on individual patient needs.</w:t>
            </w:r>
          </w:p>
        </w:tc>
        <w:tc>
          <w:tcPr>
            <w:tcW w:w="19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03380428">
            <w:pPr/>
            <w:r>
              <w:t xml:space="preserve">Although England is governed nationally, there are still around </w:t>
            </w:r>
            <w:r>
              <w:rPr>
                <w:b/>
                <w:bCs/>
              </w:rPr>
              <w:t>237 million medication errors being committed each year across the country</w:t>
            </w:r>
            <w:r>
              <w:t xml:space="preserve"> (Elliott </w:t>
            </w:r>
            <w:r>
              <w:rPr>
                <w:i/>
                <w:iCs/>
              </w:rPr>
              <w:t>et al.</w:t>
            </w:r>
            <w:r>
              <w:t xml:space="preserve"> 2021).</w:t>
            </w:r>
          </w:p>
        </w:tc>
      </w:tr>
      <w:tr w14:paraId="032B2EBF">
        <w:tblPrEx>
          <w:tblLayout w:type="fixed"/>
        </w:tblPrEx>
        <w:trPr>
          <w:trHeight w:val="3500" w:hRule="atLeast"/>
        </w:trPr>
        <w:tc>
          <w:tcPr>
            <w:tcW w:w="2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788D181">
            <w:pPr/>
            <w:r>
              <w:rPr>
                <w:b/>
                <w:bCs/>
              </w:rPr>
              <w:t>Situational Leadership</w:t>
            </w:r>
          </w:p>
        </w:tc>
        <w:tc>
          <w:tcPr>
            <w:tcW w:w="213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76D9FEB4">
            <w:pPr/>
            <w:r>
              <w:t>Healthcare professionals should have adapted their communication for an elderly patient with complex health conditions and involved the caregiver more effectively.</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40D2C1D">
            <w:pPr/>
            <w:r>
              <w:t>Promotes flexible, patient-centred care and improves communication according to patient capability and clinical circumstances.</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8621D98">
            <w:pPr/>
            <w:r>
              <w:t>Depends heavily on staff judgement, competence and communication skills, which may vary between professionals.</w:t>
            </w:r>
          </w:p>
        </w:tc>
        <w:tc>
          <w:tcPr>
            <w:tcW w:w="19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7160784">
            <w:pPr/>
            <w:r>
              <w:t xml:space="preserve">Adaptive leadership of the vulnerable patients is important as </w:t>
            </w:r>
            <w:r>
              <w:rPr>
                <w:b/>
                <w:bCs/>
              </w:rPr>
              <w:t>1 in 30 patients is impacted by medication-related harm</w:t>
            </w:r>
            <w:r>
              <w:t xml:space="preserve"> (WHO, 2023).</w:t>
            </w:r>
          </w:p>
        </w:tc>
      </w:tr>
      <w:tr w14:paraId="0D860A57">
        <w:tblPrEx>
          <w:tblLayout w:type="fixed"/>
        </w:tblPrEx>
        <w:trPr>
          <w:trHeight w:val="3770" w:hRule="atLeast"/>
        </w:trPr>
        <w:tc>
          <w:tcPr>
            <w:tcW w:w="2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AACF60F">
            <w:pPr/>
            <w:r>
              <w:rPr>
                <w:b/>
                <w:bCs/>
              </w:rPr>
              <w:t>Behavioural Leadership</w:t>
            </w:r>
          </w:p>
        </w:tc>
        <w:tc>
          <w:tcPr>
            <w:tcW w:w="213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868586C">
            <w:pPr/>
            <w:r>
              <w:t>Clinician actions (e.g. prescription and dispensing) were performed, however, there was limited relationship-centred behaviours which resulted in less understanding of medicine taking among the patients.</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614EFD7">
            <w:pPr/>
            <w:r>
              <w:t>Balances task completion with empathy, communication and patient engagement to improve healthcare quality.</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C41E552">
            <w:pPr/>
            <w:r>
              <w:t>Too much operational work can diminish the patient's engagement and might raise safety risks.</w:t>
            </w:r>
          </w:p>
        </w:tc>
        <w:tc>
          <w:tcPr>
            <w:tcW w:w="19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170748F1">
            <w:pPr/>
            <w:r>
              <w:t xml:space="preserve">About </w:t>
            </w:r>
            <w:r>
              <w:rPr>
                <w:b/>
                <w:bCs/>
              </w:rPr>
              <w:t>70% of serious adverse healthcare events</w:t>
            </w:r>
            <w:r>
              <w:t xml:space="preserve"> are due to communication failures (Guttman </w:t>
            </w:r>
            <w:r>
              <w:rPr>
                <w:i/>
                <w:iCs/>
              </w:rPr>
              <w:t xml:space="preserve">et al. </w:t>
            </w:r>
            <w:r>
              <w:t>2021).</w:t>
            </w:r>
          </w:p>
        </w:tc>
      </w:tr>
      <w:tr w14:paraId="5C9A6D9B">
        <w:tblPrEx>
          <w:tblLayout w:type="fixed"/>
        </w:tblPrEx>
        <w:trPr>
          <w:trHeight w:val="3770" w:hRule="atLeast"/>
        </w:trPr>
        <w:tc>
          <w:tcPr>
            <w:tcW w:w="207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6A475557">
            <w:pPr/>
            <w:r>
              <w:rPr>
                <w:b/>
                <w:bCs/>
              </w:rPr>
              <w:t>Distributed Leadership</w:t>
            </w:r>
          </w:p>
        </w:tc>
        <w:tc>
          <w:tcPr>
            <w:tcW w:w="213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4DA1CB1D">
            <w:pPr/>
            <w:r>
              <w:t>Medication safety required coordinated leadership between GPs, pharmacists, hospitals, patients and caregivers, but responsibilities were not effectively shared.</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2F9EF93">
            <w:pPr/>
            <w:r>
              <w:t>Enhances teamwork, shared accountability, organisational learning and integrated patient care.</w:t>
            </w:r>
          </w:p>
        </w:tc>
        <w:tc>
          <w:tcPr>
            <w:tcW w:w="16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5968C4A6">
            <w:pPr/>
            <w:r>
              <w:t>Requires strong collaboration, trust and information sharing across multiple healthcare organisations.</w:t>
            </w:r>
          </w:p>
        </w:tc>
        <w:tc>
          <w:tcPr>
            <w:tcW w:w="1920" w:type="dxa"/>
            <w:tcBorders>
              <w:top w:val="single" w:color="000000" w:sz="4" w:space="0"/>
              <w:left w:val="single" w:color="000000" w:sz="4" w:space="0"/>
              <w:bottom w:val="single" w:color="000000" w:sz="4" w:space="0"/>
              <w:right w:val="single" w:color="000000" w:sz="4" w:space="0"/>
            </w:tcBorders>
            <w:tcMar>
              <w:top w:w="100" w:type="dxa"/>
              <w:left w:w="100" w:type="dxa"/>
              <w:bottom w:w="100" w:type="dxa"/>
              <w:right w:w="100" w:type="dxa"/>
            </w:tcMar>
          </w:tcPr>
          <w:p w14:paraId="234D03E0">
            <w:pPr/>
            <w:r>
              <w:t>Communication, coordination and shared responsibility issues were identified throughout the care pathway, which may have been a contributing factor to the fatal overdose (HSSIB, 2022).</w:t>
            </w:r>
          </w:p>
        </w:tc>
      </w:tr>
    </w:tbl>
    <w:p w14:paraId="2B6BCD38">
      <w:pPr>
        <w:jc w:val="center"/>
      </w:pPr>
    </w:p>
    <w:p w14:paraId="61ACA520">
      <w:pPr>
        <w:jc w:val="center"/>
        <w:rPr>
          <w:b/>
          <w:bCs/>
        </w:rPr>
      </w:pPr>
      <w:r>
        <w:rPr>
          <w:b/>
          <w:bCs/>
        </w:rPr>
        <w:t>Table 2: Leadership Theory Application with Examples and Supporting Data</w:t>
      </w:r>
    </w:p>
    <w:p w14:paraId="374796EA">
      <w:pPr>
        <w:jc w:val="center"/>
      </w:pPr>
      <w:r>
        <w:t>(Source: Self-developed)</w:t>
      </w:r>
    </w:p>
    <w:p w14:paraId="50756420">
      <w:pPr>
        <w:pStyle w:val="3"/>
      </w:pPr>
      <w:bookmarkStart w:id="54" w:name="_ekq34yy9ta5a" w:colFirst="0" w:colLast="0"/>
      <w:bookmarkEnd w:id="54"/>
      <w:bookmarkStart w:id="55" w:name="_Toc235465475"/>
      <w:r>
        <w:t>2.4 Improvement and Lessons Learned</w:t>
      </w:r>
      <w:bookmarkEnd w:id="55"/>
      <w:r>
        <w:t xml:space="preserve"> </w:t>
      </w:r>
    </w:p>
    <w:p w14:paraId="428F06A7">
      <w:pPr>
        <w:pStyle w:val="4"/>
      </w:pPr>
      <w:bookmarkStart w:id="56" w:name="_42y8m2458gw8" w:colFirst="0" w:colLast="0"/>
      <w:bookmarkEnd w:id="56"/>
      <w:bookmarkStart w:id="57" w:name="_Toc235465476"/>
      <w:r>
        <w:t>2.4.1 Problem and Improvement</w:t>
      </w:r>
      <w:bookmarkEnd w:id="57"/>
      <w:r>
        <w:t xml:space="preserve"> </w:t>
      </w:r>
    </w:p>
    <w:p w14:paraId="03FF0525">
      <w:pPr/>
      <w:r>
        <w:t>However, Len's overdose on morphine wasn't just a dose dispensation thing; it was revealed by the HSSIB investigation to be multiple failures in systems throughout. Collective contributing factors were weak communication between healthcare professionals, lack of patient counselling, misunderstood medicine labelling, lack of verification of patient understanding and lack of organisational safeguarding. In particular, because there was national guidance for prescribing, this was not always communicated to safe frontline practice and regulation. The event, then, is a reminder of the importance of safety procedures and the importance of introducing patient-centred safety behaviours into the health care system.</w:t>
      </w:r>
    </w:p>
    <w:p w14:paraId="69751310">
      <w:pPr/>
      <w:r>
        <w:t xml:space="preserve">It says a systems thinking approach should be adopted, which should include organisational and human interactions as part of the improvement. In the first place, standardised patient education is essential for all high-risk medicines, to be in written form and utilising teach-back, before patients leave the hospital or pick up their medicines (Meyer, 2024). Secondly, there will be checks by community pharmacists and general practitioners, which will be mandatory for patients and their caregivers to put opioids into the system at home. Thirdly, digital prescribing systems should contain clinical decision support tools and automated systems that can highlight and warn about high-risk medicines and result in further counselling (Armando </w:t>
      </w:r>
      <w:r>
        <w:rPr>
          <w:i/>
          <w:iCs/>
        </w:rPr>
        <w:t xml:space="preserve">et al. </w:t>
      </w:r>
      <w:r>
        <w:t>2023). Fourthly, NHS organisations should ensure better inter-disciplinary working, such as ensuring regular interaction with prescribers, pharmacists, and nurse/carers who are involved in the process of prescribing.</w:t>
      </w:r>
    </w:p>
    <w:p w14:paraId="4B69369C">
      <w:pPr/>
      <w:r>
        <w:t xml:space="preserve">Leadership is also a key strand to the continuity of improvement. Transformational leadership can foster an open and learning environment, while distributed leadership can facilitate sharing on medication safety in the multidisciplinary team. Regular medication safety audit, staff training in response to medication incidents and organisational learning should be promoted for continuous quality improvement (Falade </w:t>
      </w:r>
      <w:r>
        <w:rPr>
          <w:i/>
          <w:iCs/>
        </w:rPr>
        <w:t xml:space="preserve">et al. </w:t>
      </w:r>
      <w:r>
        <w:t>2024). These improvements would not only curb avoidable patient harm but also boost governance and improve patient safety in the delivery of NHS health care, and would allow them to show their dedication to patient safety by what NHS organisations around the world do.</w:t>
      </w:r>
    </w:p>
    <w:p w14:paraId="1E60EACC">
      <w:pPr>
        <w:pStyle w:val="4"/>
      </w:pPr>
      <w:bookmarkStart w:id="58" w:name="_w2chqwd1zsaq" w:colFirst="0" w:colLast="0"/>
      <w:bookmarkEnd w:id="58"/>
      <w:bookmarkStart w:id="59" w:name="_Toc235465477"/>
      <w:r>
        <w:t>2.4.2 Interaction between system structure, leadership styles, and feedback</w:t>
      </w:r>
      <w:bookmarkEnd w:id="59"/>
      <w:r>
        <w:t xml:space="preserve"> </w:t>
      </w:r>
    </w:p>
    <w:p w14:paraId="071C4BB6">
      <w:pPr/>
      <w:r>
        <w:t>Patient safety can go up or down as a result of the interplay between organisational structure, leadership behaviour and continuous feedback mechanisms, as was the case with Len. Within the NHS, there is a level of central control (NHS England prescribes the standards for prescribing and the policies for patient safety that must be adhered to by all NHS healthcare professionals), and there is a level of autonomy for clinical decision-making by the NHS healthcare professionals involved with the patient's care (prescribing, dispensing, counselling). The effectiveness of these structures in practice is dependent on leadership. Transactional leadership ensures that rules and regulations are adhered to, whilst transformational, situational and distributed leadership encourages proactive communication, multidisciplinary team working and patient-centredness. There are not enough open communication and shared responsibility. Using effective feedback mechanisms such as incident reporting, investigation of serious triggering HSSIB incidents, medication safety audits, and organisational learning programmes can be used to identify repeated risk and necessary corrective action in healthcare organisations. In combination, governance arrangements, adaptive leadership and non-stop learning provide resilient healthcare systems, which can prevent future medication-related events and enhance the quality of healthcare.</w:t>
      </w:r>
    </w:p>
    <w:p w14:paraId="6391300D">
      <w:pPr>
        <w:pStyle w:val="4"/>
      </w:pPr>
      <w:bookmarkStart w:id="60" w:name="_4sltkucno91r" w:colFirst="0" w:colLast="0"/>
      <w:bookmarkEnd w:id="60"/>
      <w:bookmarkStart w:id="61" w:name="_Toc235465478"/>
      <w:r>
        <w:t>2.4.3 Lessons Learned</w:t>
      </w:r>
      <w:bookmarkEnd w:id="61"/>
      <w:r>
        <w:t xml:space="preserve"> </w:t>
      </w:r>
    </w:p>
    <w:p w14:paraId="53ED3FA2">
      <w:pPr/>
      <w:r>
        <w:t xml:space="preserve">Important lessons from Len's story are that ensuring the medication is safe is not a responsibility of individual health care providers but is a responsibility of the health care system as a whole. National policies and clinical guidelines are important, but they need to be backed up by effective communication, patient education and multidisciplinary collaboration to be effective in ensuring safety. It also provides a chance to focus on the importance of involving patients and carers in the delivery of medicines with particular reference to the case of high-risk medicines for older people with complex needs. Lastly, combining systems thinking with transformational and distributed leadership can foster coordination among healthcare providers, help to govern, and minimise preventable medication mistakes. </w:t>
      </w:r>
    </w:p>
    <w:p w14:paraId="4FAF0CAE">
      <w:pPr>
        <w:pStyle w:val="2"/>
      </w:pPr>
      <w:bookmarkStart w:id="62" w:name="_2s3oz682tfj9" w:colFirst="0" w:colLast="0"/>
      <w:bookmarkEnd w:id="62"/>
      <w:bookmarkStart w:id="63" w:name="_Toc235465479"/>
      <w:r>
        <w:t>3.0 Recommendations</w:t>
      </w:r>
      <w:bookmarkEnd w:id="63"/>
      <w:r>
        <w:t xml:space="preserve"> </w:t>
      </w:r>
    </w:p>
    <w:p w14:paraId="09865F75">
      <w:pPr>
        <w:rPr>
          <w:b/>
          <w:bCs/>
          <w:i/>
          <w:iCs/>
        </w:rPr>
      </w:pPr>
      <w:r>
        <w:rPr>
          <w:b/>
          <w:bCs/>
          <w:i/>
          <w:iCs/>
        </w:rPr>
        <w:t>Recommendation 1: Enhancing patient and carer education</w:t>
      </w:r>
    </w:p>
    <w:p w14:paraId="0308C2BB">
      <w:pPr/>
      <w:r>
        <w:t>All high-risk medicines should have a standardised medication counselling process in place, especially opioids. The patient and/or caregiver shall receive verbal explanations and written instructions for dosage. The teach-back technique should also be used to make sure the patient and/or their carer understands the advice on dosage before they leave the health care environment. The recommendation responds to the identified issues with communication in Len's case and is aimed at helping with person-centred care.</w:t>
      </w:r>
    </w:p>
    <w:p w14:paraId="02232E65">
      <w:pPr>
        <w:rPr>
          <w:b/>
          <w:bCs/>
          <w:i/>
          <w:iCs/>
        </w:rPr>
      </w:pPr>
      <w:r>
        <w:rPr>
          <w:b/>
          <w:bCs/>
          <w:i/>
          <w:iCs/>
        </w:rPr>
        <w:t>Recommendation 2: Improve Communication around the Medication Norm</w:t>
      </w:r>
    </w:p>
    <w:p w14:paraId="1AB77D7C">
      <w:pPr/>
      <w:r>
        <w:t>NHS organisations need to implement better communication between general practitioners and pharmacists, as well as more structured handover and the use of more integrated digital health records between general practitioners and community healthcare providers such as nurses. Standardised communication protocols should enable the exchange of crucial information on medication across the whole patient pathway. Regular medication reviews should also be carried out with multidisciplinary input with those patients at risk of harm to reduce the risk of harm.</w:t>
      </w:r>
    </w:p>
    <w:p w14:paraId="0C55CFA5">
      <w:pPr>
        <w:rPr>
          <w:b/>
          <w:bCs/>
          <w:i/>
          <w:iCs/>
        </w:rPr>
      </w:pPr>
      <w:r>
        <w:rPr>
          <w:b/>
          <w:bCs/>
          <w:i/>
          <w:iCs/>
        </w:rPr>
        <w:t>Recommendation 3: Improve Leadership Development and Safety Culture</w:t>
      </w:r>
    </w:p>
    <w:p w14:paraId="530B915B">
      <w:pPr/>
      <w:r>
        <w:t>Health care organisations must offer leadership building blocks to promote transformational, situational and distributed leadership. Leaders need to encourage communication along with psychological safety and shared responsibility for medication safety. Testing, learning from incidents/medication errors and continuous improvement to ensure patient safety is important for organisations to improve, and staff should be encouraged to raise ‘near misses', incident reports/side effects without fear of blame. The leadership measures should incorporate patient safety measures, staff engagement, and organisational learning measures.</w:t>
      </w:r>
    </w:p>
    <w:p w14:paraId="7DD43489">
      <w:pPr>
        <w:rPr>
          <w:b/>
          <w:bCs/>
          <w:i/>
          <w:iCs/>
        </w:rPr>
      </w:pPr>
      <w:r>
        <w:rPr>
          <w:b/>
          <w:bCs/>
          <w:i/>
          <w:iCs/>
        </w:rPr>
        <w:t>Recommendation 4: Enhance Clinical Governance and digital safety systems</w:t>
      </w:r>
    </w:p>
    <w:p w14:paraId="50F05BDD">
      <w:pPr/>
      <w:r>
        <w:t>NHS England should make use of digital clinical decision-support systems which can automatically alert to incorrect medications, double-check dosage, or point out potential prescribing errors. Patient counselling and double-check procedures should be a mandatory part of opioid prescribing by community pharmacies. Health facilities should conduct regular drug security audits, governance checks and compliance audits to evaluate how well they adhere to the national guidelines regarding drug prescription and identify actions that can improve the situation.</w:t>
      </w:r>
    </w:p>
    <w:p w14:paraId="3000FCEF">
      <w:pPr>
        <w:rPr>
          <w:b/>
          <w:bCs/>
          <w:i/>
          <w:iCs/>
        </w:rPr>
      </w:pPr>
      <w:r>
        <w:rPr>
          <w:b/>
          <w:bCs/>
          <w:i/>
          <w:iCs/>
        </w:rPr>
        <w:t>Recommendation 5: Support a continuous learning process of Systems Thinking</w:t>
      </w:r>
    </w:p>
    <w:p w14:paraId="30F439E3">
      <w:pPr/>
      <w:r>
        <w:t>In recent years, countless patient safety incidents have taken place in healthcare parts and organisations, and systems-thinking approaches ought to be employed to investigate these incidents and to focus on the individual actions and on the techniques at the core of the organisation. The output of these investigations using HSSIB and reviews of Patient Safety Incident Response Framework (PSIRF) and medication safety audits should be used as part of staff development, in organisational policies and as an ongoing quality improvement process. Learning from lessons should be disseminated between NHS organisations where this will help drive out variation in practice and enhance system learning.</w:t>
      </w:r>
    </w:p>
    <w:p w14:paraId="245D83DF">
      <w:pPr>
        <w:pStyle w:val="2"/>
      </w:pPr>
      <w:bookmarkStart w:id="64" w:name="_i636342y4c8t" w:colFirst="0" w:colLast="0"/>
      <w:bookmarkEnd w:id="64"/>
      <w:bookmarkStart w:id="65" w:name="_Toc235465480"/>
      <w:r>
        <w:t>4.0 Conclusion</w:t>
      </w:r>
      <w:bookmarkEnd w:id="65"/>
      <w:r>
        <w:t xml:space="preserve"> </w:t>
      </w:r>
    </w:p>
    <w:p w14:paraId="3298C3A6">
      <w:pPr/>
      <w:r>
        <w:t>This report explored and critiqued the HSSIB's investigation of how Len died in an unintentional morphine overdose from the lens of systems theory, healthcare leadership and governance. The analysis showed that this incident was a result of several system failures, including communication failures, lack of patient education, poor medication counselling, and lack of clinical governance/multidisciplinary work together. NHS England has set out national policy and regulatory guidance, but the case suggests that it is how things are done that matters as much as the policy or guidance for patient safety to become a reality, and that to be effective, it needs to be done effectively at the front line of patient care.</w:t>
      </w:r>
    </w:p>
    <w:p w14:paraId="299695A4">
      <w:pPr/>
      <w:r>
        <w:t>The comparison of the two health care systems (centralised and decentralised) indicated the pros and cons of each system; both health care systems play an important role in ensuring safe, patient-centred care and services; however, the right mix of both is important. Moreover, by applying transformational, transactional, situational, behavioural and distributed leadership theories, it was revealed that good leadership is not a decision of following the policies only, it's a dialogue of cooperation, learning and continual quality improvement of the organisation. Major findings included recommendations to enhance patient education, communication, leadership, digital safety systems, and to embed systems thinking in organisational learning.</w:t>
      </w:r>
    </w:p>
    <w:p w14:paraId="10F7825B">
      <w:pPr/>
      <w:r>
        <w:t>The case demonstrates the importance of the integrated leadership, governance and feedback mechanisms at all levels of the NHS that facilitate sustainable improvement in patient safety. The tidal wave of preventable medication errors in healthcare can be reduced, patients can be better cared for, and a healthier and safer healthcare working environment can be built, using a combination of highly capable national oversight, motivated frontline management and focused multidisciplinary working.</w:t>
      </w:r>
    </w:p>
    <w:p w14:paraId="0250A55E">
      <w:pPr>
        <w:pStyle w:val="2"/>
      </w:pPr>
      <w:bookmarkStart w:id="66" w:name="_1to3vl3fzuv1" w:colFirst="0" w:colLast="0"/>
      <w:bookmarkEnd w:id="66"/>
      <w:r>
        <w:br w:type="page"/>
      </w:r>
    </w:p>
    <w:p w14:paraId="6AE4C57D">
      <w:pPr>
        <w:pStyle w:val="2"/>
      </w:pPr>
      <w:bookmarkStart w:id="67" w:name="_y320vqqdk5iq" w:colFirst="0" w:colLast="0"/>
      <w:bookmarkEnd w:id="67"/>
      <w:bookmarkStart w:id="68" w:name="_Toc235465481"/>
      <w:r>
        <w:t>Reference Lists</w:t>
      </w:r>
      <w:bookmarkEnd w:id="68"/>
      <w:r>
        <w:t xml:space="preserve"> </w:t>
      </w:r>
    </w:p>
    <w:p w14:paraId="65792B0C">
      <w:pPr>
        <w:rPr>
          <w:b/>
          <w:bCs/>
        </w:rPr>
      </w:pPr>
      <w:r>
        <w:rPr>
          <w:b/>
          <w:bCs/>
        </w:rPr>
        <w:t xml:space="preserve">Journals </w:t>
      </w:r>
    </w:p>
    <w:p w14:paraId="1D3C2CD1">
      <w:pPr/>
      <w:r>
        <w:t>Abughazalah, M., Alsaggaf, W., Saifuddin, S. and Sarhan, S., 2024. Centralized vs. decentralized cloud computing in healthcare. Applied Sciences, 14(17), p.7765.</w:t>
      </w:r>
    </w:p>
    <w:p w14:paraId="28900DD7">
      <w:pPr/>
      <w:r>
        <w:t>Adams, D.E., 2022. Leadership for reducing medical errors via organizational culture: a literature review. Measuring Business Excellence, 26(2), pp.143-162.</w:t>
      </w:r>
    </w:p>
    <w:p w14:paraId="396FC89F">
      <w:pPr/>
      <w:r>
        <w:t>Ali, A.A. and Khan, K., 2023. UTILIZING TRANSACTIONAL LEADERSHIP IN NURSING WORLD: FOSTERING ACCOUNTABILITY, EFFICIENCY, AND INNOVATION. i-Manager's Journal on Nursing, 13(2).</w:t>
      </w:r>
    </w:p>
    <w:p w14:paraId="10705B99">
      <w:pPr/>
      <w:r>
        <w:t>Althobaiti, F.M., 2026. The effects of leadership on patient safety culture in health care: a systematic review. BMC nursing.</w:t>
      </w:r>
    </w:p>
    <w:p w14:paraId="4176BC45">
      <w:pPr/>
      <w:r>
        <w:t>Armando, L.G., Miglio, G., de Cosmo, P. and Cena, C., 2023. Clinical decision support systems to improve drug prescription and therapy optimisation in clinical practice: a scoping review. BMJ Health &amp; Care Informatics, 30(1), p.e100683.</w:t>
      </w:r>
    </w:p>
    <w:p w14:paraId="03218C0C">
      <w:pPr/>
      <w:r>
        <w:t>Bloem, L.T., Van der Elst, M.E. and Klungel, O.H., 2024. Principles of Pharmacovigilance and Drug Regulation. In Principles and Practice of Pharmacovigilance and Drug Safety (pp. 135-161). Cham: Springer International Publishing.</w:t>
      </w:r>
    </w:p>
    <w:p w14:paraId="390647D4">
      <w:pPr/>
      <w:r>
        <w:t>Elliott, R.A., Camacho, E., Jankovic, D., Sculpher, M.J. and Faria, R., 2021. Economic analysis of the prevalence and clinical and economic burden of medication error in England. BMJ Quality &amp; Safety, 30(2), pp.96-105.</w:t>
      </w:r>
    </w:p>
    <w:p w14:paraId="40FE74F2">
      <w:pPr/>
      <w:r>
        <w:t>Falade, I.M., Gyampoh, G.K.S., Akpamgbo, E.O., Chika, O.C., Obodo, O.R., Okobi, O.E., Aguguo, J.C. and Chukwu, V.U., 2024. A comprehensive review of effective patient safety and quality improvement programs in healthcare facilities. Medical Research Archives, 12(7).</w:t>
      </w:r>
    </w:p>
    <w:p w14:paraId="7CD94C17">
      <w:pPr/>
      <w:r>
        <w:t>Glowicz, J.B., Landon, E., Sickbert-Bennett, E.E., Aiello, A.E., Dekay, K., Hoffmann, K.K., Maragakis, L., Olmsted, R.N., Polgreen, P.M., Trexler, P.A. and VanAmringe, M.A., 2023. SHEA/IDSA/APIC Practice Recommendation: Strategies to prevent healthcare-associated infections through hand hygiene: 2022 Update. Infection Control &amp; Hospital Epidemiology, 44(3), pp.355-376.</w:t>
      </w:r>
    </w:p>
    <w:p w14:paraId="374908F0">
      <w:pPr/>
      <w:r>
        <w:t>Guttman, O.T., Lazzara, E.H., Keebler, J.R., Webster, K.L., Gisick, L.M. and Baker, A.L., 2021. Dissecting communication barriers in healthcare: a path to enhancing communication resiliency, reliability, and patient safety. Journal of patient safety, 17(8), pp.e1465-e1471.</w:t>
      </w:r>
    </w:p>
    <w:p w14:paraId="07E8BF53">
      <w:pPr/>
      <w:r>
        <w:t>Howie, N., 2024. A Comparative Analysis of the UK Physician Associate Curriculum Against the Prescriber Curricula for Pharmacists and Doctors. Education for Health, 37(4), pp.357-366.</w:t>
      </w:r>
    </w:p>
    <w:p w14:paraId="0700885B">
      <w:pPr/>
      <w:r>
        <w:t>İNCE, F.F. and KESKİN, Ç., 2025. The Impact of People-Oriented and Task-Oriented Leadership Styles on Employees’ Career Aspirations: A Study in the Tourism Sector. Journal of Management and Economic Studies, 7(4), pp.279-294.</w:t>
      </w:r>
    </w:p>
    <w:p w14:paraId="3A7BBD30">
      <w:pPr/>
      <w:r>
        <w:t>Keshtkar, L., Bennett-Weston, A., Khan, A.S., Mohan, S., Jones, M., Nockels, K., Gunn, S., Armstrong, N., Bostock, J. and Howick, J., 2025. Impacts of communication type and quality on patient safety incidents: a systematic review. Annals of Internal Medicine, 178(5), pp.687-700.</w:t>
      </w:r>
    </w:p>
    <w:p w14:paraId="3815A1C5">
      <w:pPr/>
      <w:r>
        <w:t>Mamedov, D.D., Yurochkin, D.S., Egorova, S.N., Golant, Z.M. and Narkevich, I.A., 2025. Pharmacy Compounding Regulation in the United Kingdom. ISSN 2307-9266 e-ISSN 2413-2241 (ФАРМАЦИЯ И ФАРМАКОЛОГИЯ), 13(5), p.320.</w:t>
      </w:r>
    </w:p>
    <w:p w14:paraId="30EBD969">
      <w:pPr/>
      <w:r>
        <w:t>Meyer, K., 2024. Utilizing Health Literacy Universal Precautions and the Teach-Back Method to Improve Hospitalized Patients' Experience with Medication Education: A Quality Improvement Project.</w:t>
      </w:r>
    </w:p>
    <w:p w14:paraId="630058A0">
      <w:pPr/>
      <w:r>
        <w:t>Motshweneng, O.S., 2025. Barriers and enablers to the emergence of distributed leadership in a Western Cape Government Health and Wellness district hospital.</w:t>
      </w:r>
    </w:p>
    <w:p w14:paraId="1F54D6E8">
      <w:pPr/>
      <w:r>
        <w:t>Ramsay, A.I., Ramsay, A., Tomini, S.M., Tomini, S., Gandhi, S., Fulop, N.J., Fulop, N. and Morris, S., 2025. Centralisation of specialised healthcare services: a scoping review of definitions, types, and impact on outcomes. Health and Social Care Delivery Research, (43), pp.1-70.</w:t>
      </w:r>
    </w:p>
    <w:p w14:paraId="14C54186">
      <w:pPr/>
      <w:r>
        <w:t>Singh, P.K., Singh, S., Kumari, V. and Tiwari, M., 2024. Navigating healthcare leadership: Theories, challenges, and practical insights for the future. Journal of postgraduate medicine, 70(4), pp.232-241.</w:t>
      </w:r>
    </w:p>
    <w:p w14:paraId="6E6F70D7">
      <w:pPr/>
      <w:r>
        <w:t>Sreeramareddy, C.T. and Sathyanarayana, T., 2019. Decentralised versus centralised governance of health services. The Cochrane Database of Systematic Reviews, 2019(9), p.CD010830.</w:t>
      </w:r>
    </w:p>
    <w:p w14:paraId="4448ED07">
      <w:pPr/>
      <w:r>
        <w:t>Vijai, C., 2025. The Relationship between Emotional Intelligence, Transformational Leadership, and Organizational Culture. In Emotional Intelligence in the Digital Era (pp. 212-237). Auerbach Publications.</w:t>
      </w:r>
    </w:p>
    <w:p w14:paraId="3CBA0860">
      <w:pPr/>
      <w:r>
        <w:t>Ystaas, L.M.K., Nikitara, M., Ghobrial, S., Latzourakis, E., Polychronis, G. and Constantinou, C.S., 2023. The impact of transformational leadership in the nursing work environment and patients’ outcomes: a systematic review. Nursing Reports, 13(3), pp.1271-1290.</w:t>
      </w:r>
    </w:p>
    <w:p w14:paraId="2A66CD99">
      <w:pPr/>
      <w:r>
        <w:rPr>
          <w:b/>
          <w:bCs/>
        </w:rPr>
        <w:t xml:space="preserve">Websites </w:t>
      </w:r>
    </w:p>
    <w:p w14:paraId="0D01CB01">
      <w:pPr/>
      <w:r>
        <w:t xml:space="preserve">HSSIB, (2022), </w:t>
      </w:r>
      <w:r>
        <w:rPr>
          <w:i/>
          <w:iCs/>
        </w:rPr>
        <w:t xml:space="preserve">Unintentional overdose of morphine sulfate oral solution, </w:t>
      </w:r>
      <w:r>
        <w:t xml:space="preserve">[Online], Available at: </w:t>
      </w:r>
      <w:r>
        <w:fldChar w:fldCharType="begin"/>
      </w:r>
      <w:r>
        <w:instrText xml:space="preserve"> HYPERLINK "https://www.hssib.org.uk/patient-safety-investigations/unintentional-overdose-of-morphine-sulfate-oral-solution/investigation-report/" \h </w:instrText>
      </w:r>
      <w:r>
        <w:fldChar w:fldCharType="separate"/>
      </w:r>
      <w:r>
        <w:rPr>
          <w:color w:val="1155CC"/>
          <w:u w:val="single"/>
        </w:rPr>
        <w:t>https://www.hssib.org.uk/patient-safety-investigations/unintentional-overdose-of-morphine-sulfate-oral-solution/investigation-report/</w:t>
      </w:r>
      <w:r>
        <w:rPr>
          <w:color w:val="1155CC"/>
          <w:u w:val="single"/>
        </w:rPr>
        <w:fldChar w:fldCharType="end"/>
      </w:r>
      <w:r>
        <w:t>, [Accessed on: 20.07.2026]</w:t>
      </w:r>
    </w:p>
    <w:p w14:paraId="18D5A73A">
      <w:pPr/>
      <w:r>
        <w:t xml:space="preserve">NHSEngland (2025), </w:t>
      </w:r>
      <w:r>
        <w:rPr>
          <w:i/>
          <w:iCs/>
        </w:rPr>
        <w:t>Medication safety management,</w:t>
      </w:r>
      <w:r>
        <w:t xml:space="preserve"> [Online], Available at: </w:t>
      </w:r>
      <w:r>
        <w:fldChar w:fldCharType="begin"/>
      </w:r>
      <w:r>
        <w:instrText xml:space="preserve"> HYPERLINK "https://www.england.nhs.uk/long-read/medication-safety-management/" \h </w:instrText>
      </w:r>
      <w:r>
        <w:fldChar w:fldCharType="separate"/>
      </w:r>
      <w:r>
        <w:rPr>
          <w:color w:val="1155CC"/>
          <w:u w:val="single"/>
        </w:rPr>
        <w:t>https://www.england.nhs.uk/long-read/medication-safety-management/</w:t>
      </w:r>
      <w:r>
        <w:rPr>
          <w:color w:val="1155CC"/>
          <w:u w:val="single"/>
        </w:rPr>
        <w:fldChar w:fldCharType="end"/>
      </w:r>
      <w:r>
        <w:t>, [Accessed on: 20.07.2026]</w:t>
      </w:r>
    </w:p>
    <w:p w14:paraId="577D28F2">
      <w:pPr/>
      <w:r>
        <w:t xml:space="preserve">OECD, (2022), </w:t>
      </w:r>
      <w:r>
        <w:rPr>
          <w:i/>
          <w:iCs/>
        </w:rPr>
        <w:t>The economics of medication safety: Improving medication safety through collective, real-time learning,</w:t>
      </w:r>
      <w:r>
        <w:t xml:space="preserve"> [Online], Available at: </w:t>
      </w:r>
      <w:r>
        <w:fldChar w:fldCharType="begin"/>
      </w:r>
      <w:r>
        <w:instrText xml:space="preserve"> HYPERLINK "https://www.oecd.org/content/dam/oecd/en/publications/reports/2022/09/the-economics-of-medication-safety_e79d5329/9a933261-en.pdf" \h </w:instrText>
      </w:r>
      <w:r>
        <w:fldChar w:fldCharType="separate"/>
      </w:r>
      <w:r>
        <w:rPr>
          <w:color w:val="1155CC"/>
          <w:u w:val="single"/>
        </w:rPr>
        <w:t>https://www.oecd.org/content/dam/oecd/en/publications/reports/2022/09/the-economics-of-medication-safety_e79d5329/9a933261-en.pdf</w:t>
      </w:r>
      <w:r>
        <w:rPr>
          <w:color w:val="1155CC"/>
          <w:u w:val="single"/>
        </w:rPr>
        <w:fldChar w:fldCharType="end"/>
      </w:r>
      <w:r>
        <w:t>, [Accessed on: 20.07.2026]</w:t>
      </w:r>
    </w:p>
    <w:p w14:paraId="7798B3B0">
      <w:pPr>
        <w:rPr>
          <w:b/>
          <w:bCs/>
        </w:rPr>
      </w:pPr>
      <w:r>
        <w:t xml:space="preserve">OECD, (2025), </w:t>
      </w:r>
      <w:r>
        <w:rPr>
          <w:i/>
          <w:iCs/>
        </w:rPr>
        <w:t xml:space="preserve">Patient safety, </w:t>
      </w:r>
      <w:r>
        <w:t xml:space="preserve">[Online], Available at: </w:t>
      </w:r>
      <w:r>
        <w:fldChar w:fldCharType="begin"/>
      </w:r>
      <w:r>
        <w:instrText xml:space="preserve"> HYPERLINK "https://www.oecd.org/en/topics/sub-issues/patient-safety.html" \h </w:instrText>
      </w:r>
      <w:r>
        <w:fldChar w:fldCharType="separate"/>
      </w:r>
      <w:r>
        <w:rPr>
          <w:color w:val="1155CC"/>
          <w:u w:val="single"/>
        </w:rPr>
        <w:t>https://www.oecd.org/en/topics/sub-issues/patient-safety.html</w:t>
      </w:r>
      <w:r>
        <w:rPr>
          <w:color w:val="1155CC"/>
          <w:u w:val="single"/>
        </w:rPr>
        <w:fldChar w:fldCharType="end"/>
      </w:r>
      <w:r>
        <w:t>, [Accessed on: 20.07.2026]</w:t>
      </w:r>
    </w:p>
    <w:p w14:paraId="383256BB">
      <w:pPr/>
      <w:r>
        <w:t xml:space="preserve">WHO, (2017), </w:t>
      </w:r>
      <w:r>
        <w:rPr>
          <w:i/>
          <w:iCs/>
        </w:rPr>
        <w:t xml:space="preserve">WHO launches global effort to halve medication-related errors in 5 years, </w:t>
      </w:r>
      <w:r>
        <w:t xml:space="preserve">[Online], Available at: </w:t>
      </w:r>
      <w:r>
        <w:fldChar w:fldCharType="begin"/>
      </w:r>
      <w:r>
        <w:instrText xml:space="preserve"> HYPERLINK "https://www.who.int/news/item/29-03-2017-who-launches-global-effort-to-halve-medication-related-errors-in-5-years" \h </w:instrText>
      </w:r>
      <w:r>
        <w:fldChar w:fldCharType="separate"/>
      </w:r>
      <w:r>
        <w:rPr>
          <w:color w:val="1155CC"/>
          <w:u w:val="single"/>
        </w:rPr>
        <w:t>https://www.who.int/news/item/29-03-2017-who-launches-global-effort-to-halve-medication-related-errors-in-5-years</w:t>
      </w:r>
      <w:r>
        <w:rPr>
          <w:color w:val="1155CC"/>
          <w:u w:val="single"/>
        </w:rPr>
        <w:fldChar w:fldCharType="end"/>
      </w:r>
      <w:r>
        <w:t>, [Accessed on: 20.07.2026]</w:t>
      </w:r>
    </w:p>
    <w:p w14:paraId="7E361E12">
      <w:pPr/>
      <w:r>
        <w:t xml:space="preserve">WHO, (2023), </w:t>
      </w:r>
      <w:r>
        <w:rPr>
          <w:i/>
          <w:iCs/>
        </w:rPr>
        <w:t>Patient safety,</w:t>
      </w:r>
      <w:r>
        <w:t xml:space="preserve"> [Online], Available at: </w:t>
      </w:r>
      <w:r>
        <w:fldChar w:fldCharType="begin"/>
      </w:r>
      <w:r>
        <w:instrText xml:space="preserve"> HYPERLINK "https://www.who.int/news-room/fact-sheets/detail/patient-safety" \h </w:instrText>
      </w:r>
      <w:r>
        <w:fldChar w:fldCharType="separate"/>
      </w:r>
      <w:r>
        <w:rPr>
          <w:color w:val="1155CC"/>
          <w:u w:val="single"/>
        </w:rPr>
        <w:t>https://www.who.int/news-room/fact-sheets/detail/patient-safety</w:t>
      </w:r>
      <w:r>
        <w:rPr>
          <w:color w:val="1155CC"/>
          <w:u w:val="single"/>
        </w:rPr>
        <w:fldChar w:fldCharType="end"/>
      </w:r>
      <w:r>
        <w:t>, [Accessed on: 20.07.2026]</w:t>
      </w:r>
    </w:p>
    <w:p w14:paraId="5FCE71BD">
      <w:pPr>
        <w:rPr>
          <w:b/>
          <w:bCs/>
        </w:rPr>
      </w:pPr>
    </w:p>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326"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0000000000000000000"/>
    <w:charset w:val="86"/>
    <w:family w:val="auto"/>
    <w:pitch w:val="default"/>
    <w:sig w:usb0="00000000" w:usb1="00000000" w:usb2="00000000" w:usb3="00000000" w:csb0="00000000"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40947962"/>
    </w:sdtPr>
    <w:sdtContent>
      <w:p w14:paraId="3C18F03E">
        <w:pPr>
          <w:pStyle w:val="8"/>
          <w:jc w:val="right"/>
        </w:pPr>
        <w:r>
          <w:fldChar w:fldCharType="begin"/>
        </w:r>
        <w:r>
          <w:instrText xml:space="preserve"> PAGE   \* MERGEFORMAT </w:instrText>
        </w:r>
        <w:r>
          <w:fldChar w:fldCharType="separate"/>
        </w:r>
        <w:r>
          <w:t>2</w:t>
        </w:r>
        <w:r>
          <w:fldChar w:fldCharType="end"/>
        </w:r>
      </w:p>
    </w:sdtContent>
  </w:sdt>
  <w:p w14:paraId="166B54DF">
    <w:pPr>
      <w:pStyle w:val="8"/>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 w:eastAsia="en-IN" w:bidi="ar-SA"/>
    </w:rPr>
  </w:style>
  <w:style w:type="paragraph" w:styleId="2">
    <w:name w:val="heading 1"/>
    <w:basedOn w:val="1"/>
    <w:next w:val="1"/>
    <w:qFormat/>
    <w:uiPriority w:val="9"/>
    <w:pPr>
      <w:keepNext/>
      <w:keepLines/>
      <w:outlineLvl w:val="0"/>
    </w:pPr>
    <w:rPr>
      <w:b/>
      <w:bCs/>
      <w:sz w:val="28"/>
      <w:szCs w:val="28"/>
    </w:rPr>
  </w:style>
  <w:style w:type="paragraph" w:styleId="3">
    <w:name w:val="heading 2"/>
    <w:basedOn w:val="1"/>
    <w:next w:val="1"/>
    <w:unhideWhenUsed/>
    <w:qFormat/>
    <w:uiPriority w:val="9"/>
    <w:pPr>
      <w:keepNext/>
      <w:keepLines/>
      <w:outlineLvl w:val="1"/>
    </w:pPr>
    <w:rPr>
      <w:b/>
      <w:bCs/>
      <w:sz w:val="26"/>
      <w:szCs w:val="26"/>
    </w:rPr>
  </w:style>
  <w:style w:type="paragraph" w:styleId="4">
    <w:name w:val="heading 3"/>
    <w:basedOn w:val="1"/>
    <w:next w:val="1"/>
    <w:unhideWhenUsed/>
    <w:qFormat/>
    <w:uiPriority w:val="9"/>
    <w:pPr>
      <w:keepNext/>
      <w:keepLines/>
      <w:outlineLvl w:val="2"/>
    </w:pPr>
    <w:rPr>
      <w:b/>
      <w:bCs/>
    </w:rPr>
  </w:style>
  <w:style w:type="paragraph" w:styleId="5">
    <w:name w:val="heading 4"/>
    <w:basedOn w:val="1"/>
    <w:next w:val="1"/>
    <w:unhideWhenUsed/>
    <w:qFormat/>
    <w:uiPriority w:val="9"/>
    <w:pPr>
      <w:keepNext/>
      <w:keepLines/>
      <w:spacing w:before="280" w:after="80"/>
      <w:outlineLvl w:val="3"/>
    </w:pPr>
    <w:rPr>
      <w:color w:val="666666"/>
    </w:rPr>
  </w:style>
  <w:style w:type="paragraph" w:styleId="6">
    <w:name w:val="heading 5"/>
    <w:basedOn w:val="1"/>
    <w:next w:val="1"/>
    <w:unhideWhenUsed/>
    <w:qFormat/>
    <w:uiPriority w:val="9"/>
    <w:pPr>
      <w:keepNext/>
      <w:keepLines/>
      <w:spacing w:before="240" w:after="80"/>
      <w:outlineLvl w:val="4"/>
    </w:pPr>
    <w:rPr>
      <w:color w:val="666666"/>
      <w:sz w:val="22"/>
      <w:szCs w:val="22"/>
    </w:rPr>
  </w:style>
  <w:style w:type="paragraph" w:styleId="7">
    <w:name w:val="heading 6"/>
    <w:basedOn w:val="1"/>
    <w:next w:val="1"/>
    <w:unhideWhenUsed/>
    <w:qFormat/>
    <w:uiPriority w:val="9"/>
    <w:pPr>
      <w:keepNext/>
      <w:keepLines/>
      <w:spacing w:before="240" w:after="80"/>
      <w:outlineLvl w:val="5"/>
    </w:pPr>
    <w:rPr>
      <w:i/>
      <w:iCs/>
      <w:color w:val="666666"/>
      <w:sz w:val="22"/>
      <w:szCs w:val="22"/>
    </w:rPr>
  </w:style>
  <w:style w:type="character" w:default="1" w:styleId="15">
    <w:name w:val="Default Paragraph Font"/>
    <w:unhideWhenUsed/>
    <w:uiPriority w:val="1"/>
  </w:style>
  <w:style w:type="table" w:default="1" w:styleId="17">
    <w:name w:val="Normal Table"/>
    <w:unhideWhenUsed/>
    <w:uiPriority w:val="99"/>
    <w:tblPr>
      <w:tblLayout w:type="fixed"/>
      <w:tblCellMar>
        <w:top w:w="0" w:type="dxa"/>
        <w:left w:w="108" w:type="dxa"/>
        <w:bottom w:w="0" w:type="dxa"/>
        <w:right w:w="108" w:type="dxa"/>
      </w:tblCellMar>
    </w:tblPr>
  </w:style>
  <w:style w:type="paragraph" w:styleId="8">
    <w:name w:val="footer"/>
    <w:basedOn w:val="1"/>
    <w:link w:val="22"/>
    <w:unhideWhenUsed/>
    <w:uiPriority w:val="99"/>
    <w:pPr>
      <w:tabs>
        <w:tab w:val="center" w:pos="4513"/>
        <w:tab w:val="right" w:pos="9026"/>
      </w:tabs>
      <w:spacing w:line="240" w:lineRule="auto"/>
    </w:pPr>
  </w:style>
  <w:style w:type="paragraph" w:styleId="9">
    <w:name w:val="header"/>
    <w:basedOn w:val="1"/>
    <w:link w:val="21"/>
    <w:unhideWhenUsed/>
    <w:uiPriority w:val="99"/>
    <w:pPr>
      <w:tabs>
        <w:tab w:val="center" w:pos="4513"/>
        <w:tab w:val="right" w:pos="9026"/>
      </w:tabs>
      <w:spacing w:line="240" w:lineRule="auto"/>
    </w:pPr>
  </w:style>
  <w:style w:type="paragraph" w:styleId="10">
    <w:name w:val="Subtitle"/>
    <w:basedOn w:val="1"/>
    <w:next w:val="1"/>
    <w:qFormat/>
    <w:uiPriority w:val="11"/>
    <w:pPr>
      <w:keepNext/>
      <w:keepLines/>
      <w:spacing w:after="320"/>
    </w:pPr>
    <w:rPr>
      <w:rFonts w:ascii="Arial" w:hAnsi="Arial" w:eastAsia="Arial" w:cs="Arial"/>
      <w:color w:val="666666"/>
      <w:sz w:val="30"/>
      <w:szCs w:val="30"/>
    </w:rPr>
  </w:style>
  <w:style w:type="paragraph" w:styleId="11">
    <w:name w:val="Title"/>
    <w:basedOn w:val="1"/>
    <w:next w:val="1"/>
    <w:qFormat/>
    <w:uiPriority w:val="10"/>
    <w:pPr>
      <w:keepNext/>
      <w:keepLines/>
      <w:spacing w:after="60"/>
    </w:pPr>
    <w:rPr>
      <w:sz w:val="52"/>
      <w:szCs w:val="52"/>
    </w:rPr>
  </w:style>
  <w:style w:type="paragraph" w:styleId="12">
    <w:name w:val="toc 1"/>
    <w:basedOn w:val="1"/>
    <w:next w:val="1"/>
    <w:unhideWhenUsed/>
    <w:uiPriority w:val="39"/>
    <w:pPr>
      <w:spacing w:after="100"/>
    </w:pPr>
  </w:style>
  <w:style w:type="paragraph" w:styleId="13">
    <w:name w:val="toc 2"/>
    <w:basedOn w:val="1"/>
    <w:next w:val="1"/>
    <w:unhideWhenUsed/>
    <w:uiPriority w:val="39"/>
    <w:pPr>
      <w:spacing w:after="100"/>
      <w:ind w:left="240"/>
    </w:pPr>
  </w:style>
  <w:style w:type="paragraph" w:styleId="14">
    <w:name w:val="toc 3"/>
    <w:basedOn w:val="1"/>
    <w:next w:val="1"/>
    <w:unhideWhenUsed/>
    <w:uiPriority w:val="39"/>
    <w:pPr>
      <w:spacing w:after="100"/>
      <w:ind w:left="480"/>
    </w:pPr>
  </w:style>
  <w:style w:type="character" w:styleId="16">
    <w:name w:val="Hyperlink"/>
    <w:basedOn w:val="15"/>
    <w:unhideWhenUsed/>
    <w:uiPriority w:val="99"/>
    <w:rPr>
      <w:color w:val="0000FF" w:themeColor="hyperlink"/>
      <w:u w:val="single"/>
      <w14:textFill>
        <w14:solidFill>
          <w14:schemeClr w14:val="hlink"/>
        </w14:solidFill>
      </w14:textFill>
    </w:rPr>
  </w:style>
  <w:style w:type="table" w:customStyle="1" w:styleId="18">
    <w:name w:val="TableNormal"/>
    <w:uiPriority w:val="0"/>
    <w:tblPr>
      <w:tblLayout w:type="fixed"/>
      <w:tblCellMar>
        <w:top w:w="100" w:type="dxa"/>
        <w:left w:w="100" w:type="dxa"/>
        <w:bottom w:w="100" w:type="dxa"/>
        <w:right w:w="100" w:type="dxa"/>
      </w:tblCellMar>
    </w:tblPr>
  </w:style>
  <w:style w:type="table" w:customStyle="1" w:styleId="19">
    <w:name w:val="_Style 12"/>
    <w:basedOn w:val="18"/>
    <w:uiPriority w:val="0"/>
    <w:tblPr>
      <w:tblLayout w:type="fixed"/>
    </w:tblPr>
  </w:style>
  <w:style w:type="table" w:customStyle="1" w:styleId="20">
    <w:name w:val="_Style 13"/>
    <w:basedOn w:val="18"/>
    <w:uiPriority w:val="0"/>
    <w:tblPr>
      <w:tblLayout w:type="fixed"/>
    </w:tblPr>
  </w:style>
  <w:style w:type="character" w:customStyle="1" w:styleId="21">
    <w:name w:val="Header Char"/>
    <w:basedOn w:val="15"/>
    <w:link w:val="9"/>
    <w:uiPriority w:val="99"/>
  </w:style>
  <w:style w:type="character" w:customStyle="1" w:styleId="22">
    <w:name w:val="Footer Char"/>
    <w:basedOn w:val="15"/>
    <w:link w:val="8"/>
    <w:uiPriority w:val="99"/>
  </w:style>
  <w:style w:type="paragraph" w:customStyle="1" w:styleId="23">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bCs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28</Pages>
  <Words>7231</Words>
  <Characters>41219</Characters>
  <Lines>343</Lines>
  <Paragraphs>96</Paragraphs>
  <ScaleCrop>false</ScaleCrop>
  <LinksUpToDate>false</LinksUpToDate>
  <CharactersWithSpaces>48354</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2026-07-21T00:13:00Z</dcterms:created>
  <cp:lastModifiedBy>iPad</cp:lastModifiedBy>
  <dcterms:modified xsi:type="dcterms:W3CDTF">2026-07-24T11:28:31Z</dcterms:modified>
  <cp:revision>163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F2AAEC7BDDBCB2CBC9375E6A750D5856_31</vt:lpwstr>
  </property>
  <property fmtid="{D5CDD505-2E9C-101B-9397-08002B2CF9AE}" pid="3" name="KSOProductBuildVer">
    <vt:lpwstr>3081-26.7.0</vt:lpwstr>
  </property>
</Properties>
</file>