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1EBC82" w14:textId="77777777" w:rsidR="007E1007" w:rsidRDefault="007E1007" w:rsidP="007E1007">
      <w:r>
        <w:rPr>
          <w:noProof/>
          <w:lang w:val="en-US"/>
        </w:rPr>
        <w:drawing>
          <wp:inline distT="0" distB="0" distL="0" distR="0" wp14:anchorId="009D5FFE" wp14:editId="307856DC">
            <wp:extent cx="2883346" cy="742950"/>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3346" cy="742950"/>
                    </a:xfrm>
                    <a:prstGeom prst="rect">
                      <a:avLst/>
                    </a:prstGeom>
                    <a:noFill/>
                    <a:ln>
                      <a:noFill/>
                    </a:ln>
                  </pic:spPr>
                </pic:pic>
              </a:graphicData>
            </a:graphic>
          </wp:inline>
        </w:drawing>
      </w:r>
    </w:p>
    <w:p w14:paraId="7432AAF4" w14:textId="77777777" w:rsidR="007E1007" w:rsidRDefault="007E1007" w:rsidP="007E1007"/>
    <w:p w14:paraId="56D549C7" w14:textId="77777777" w:rsidR="007E1007" w:rsidRDefault="007E1007" w:rsidP="007E1007"/>
    <w:p w14:paraId="3CDA780C" w14:textId="77777777" w:rsidR="00A2531E" w:rsidRPr="00A2531E" w:rsidRDefault="00A2531E" w:rsidP="00A2531E">
      <w:pPr>
        <w:jc w:val="center"/>
        <w:rPr>
          <w:rFonts w:cs="Times New Roman"/>
          <w:b/>
          <w:sz w:val="32"/>
        </w:rPr>
      </w:pPr>
      <w:r w:rsidRPr="00A2531E">
        <w:rPr>
          <w:rFonts w:cs="Times New Roman"/>
          <w:b/>
          <w:sz w:val="32"/>
        </w:rPr>
        <w:t>Title: How to handle disengaged/ill-engaged employees in a large organization (Hilton Hotel) with reference to the employee lifecycle.</w:t>
      </w:r>
    </w:p>
    <w:p w14:paraId="6961C370" w14:textId="77777777" w:rsidR="007E1007" w:rsidRPr="00A2531E" w:rsidRDefault="007E1007" w:rsidP="007E1007">
      <w:pPr>
        <w:rPr>
          <w:rFonts w:cs="Times New Roman"/>
        </w:rPr>
      </w:pPr>
    </w:p>
    <w:p w14:paraId="4464ADCC" w14:textId="77777777" w:rsidR="007E1007" w:rsidRPr="00A2531E" w:rsidRDefault="007E1007" w:rsidP="007E1007">
      <w:pPr>
        <w:pStyle w:val="Title"/>
        <w:rPr>
          <w:rFonts w:ascii="Times New Roman" w:hAnsi="Times New Roman" w:cs="Times New Roman"/>
          <w:sz w:val="28"/>
        </w:rPr>
      </w:pPr>
      <w:r w:rsidRPr="00A2531E">
        <w:rPr>
          <w:rFonts w:ascii="Times New Roman" w:hAnsi="Times New Roman" w:cs="Times New Roman"/>
          <w:sz w:val="28"/>
        </w:rPr>
        <w:t>Essay: Employee Engagement</w:t>
      </w:r>
    </w:p>
    <w:p w14:paraId="656C5608" w14:textId="77777777" w:rsidR="007E1007" w:rsidRPr="00A2531E" w:rsidRDefault="007E1007" w:rsidP="007E1007">
      <w:pPr>
        <w:rPr>
          <w:rFonts w:cs="Times New Roman"/>
        </w:rPr>
      </w:pPr>
    </w:p>
    <w:p w14:paraId="082D5277" w14:textId="77777777" w:rsidR="007E1007" w:rsidRPr="00A2531E" w:rsidRDefault="007E1007" w:rsidP="007E1007">
      <w:pPr>
        <w:jc w:val="center"/>
        <w:rPr>
          <w:rFonts w:cs="Times New Roman"/>
          <w:sz w:val="28"/>
          <w:szCs w:val="28"/>
        </w:rPr>
      </w:pPr>
      <w:r w:rsidRPr="00A2531E">
        <w:rPr>
          <w:rFonts w:cs="Times New Roman"/>
          <w:sz w:val="28"/>
          <w:szCs w:val="28"/>
        </w:rPr>
        <w:t xml:space="preserve">Student Name: </w:t>
      </w:r>
      <w:proofErr w:type="spellStart"/>
      <w:r w:rsidRPr="00A2531E">
        <w:rPr>
          <w:rFonts w:cs="Times New Roman"/>
          <w:sz w:val="28"/>
          <w:szCs w:val="28"/>
        </w:rPr>
        <w:t>Tuhel</w:t>
      </w:r>
      <w:proofErr w:type="spellEnd"/>
      <w:r w:rsidRPr="00A2531E">
        <w:rPr>
          <w:rFonts w:cs="Times New Roman"/>
          <w:sz w:val="28"/>
          <w:szCs w:val="28"/>
        </w:rPr>
        <w:t xml:space="preserve"> Miah</w:t>
      </w:r>
    </w:p>
    <w:p w14:paraId="4DC165BD" w14:textId="77777777" w:rsidR="007E1007" w:rsidRPr="00A2531E" w:rsidRDefault="007E1007" w:rsidP="007E1007">
      <w:pPr>
        <w:jc w:val="center"/>
        <w:rPr>
          <w:rFonts w:cs="Times New Roman"/>
          <w:sz w:val="28"/>
          <w:szCs w:val="28"/>
        </w:rPr>
      </w:pPr>
      <w:r w:rsidRPr="00A2531E">
        <w:rPr>
          <w:rFonts w:cs="Times New Roman"/>
          <w:sz w:val="28"/>
          <w:szCs w:val="28"/>
        </w:rPr>
        <w:t>Student ID: 2126977</w:t>
      </w:r>
    </w:p>
    <w:p w14:paraId="0F68DA95" w14:textId="77777777" w:rsidR="007E1007" w:rsidRPr="00A2531E" w:rsidRDefault="007E1007" w:rsidP="007E1007">
      <w:pPr>
        <w:jc w:val="center"/>
        <w:rPr>
          <w:rFonts w:cs="Times New Roman"/>
          <w:szCs w:val="24"/>
        </w:rPr>
      </w:pPr>
      <w:r w:rsidRPr="00A2531E">
        <w:rPr>
          <w:rFonts w:cs="Times New Roman"/>
          <w:szCs w:val="24"/>
        </w:rPr>
        <w:t>Module Name and code: Personnel Resourcing and Development (BMIH5005)</w:t>
      </w:r>
    </w:p>
    <w:p w14:paraId="44962E37" w14:textId="0DC5407D" w:rsidR="007E1007" w:rsidRPr="00A2531E" w:rsidRDefault="007E1007" w:rsidP="007E1007">
      <w:pPr>
        <w:jc w:val="center"/>
        <w:rPr>
          <w:rFonts w:cs="Times New Roman"/>
          <w:sz w:val="28"/>
          <w:szCs w:val="28"/>
        </w:rPr>
      </w:pPr>
      <w:r w:rsidRPr="00A2531E">
        <w:rPr>
          <w:rFonts w:cs="Times New Roman"/>
          <w:sz w:val="28"/>
          <w:szCs w:val="28"/>
        </w:rPr>
        <w:t xml:space="preserve">Lecturers: Helen </w:t>
      </w:r>
      <w:r w:rsidR="00A2531E" w:rsidRPr="00A2531E">
        <w:rPr>
          <w:rFonts w:cs="Times New Roman"/>
          <w:sz w:val="28"/>
          <w:szCs w:val="28"/>
        </w:rPr>
        <w:t>Lee</w:t>
      </w:r>
    </w:p>
    <w:p w14:paraId="5077D4A3" w14:textId="77777777" w:rsidR="007E1007" w:rsidRPr="00A2531E" w:rsidRDefault="007E1007" w:rsidP="007E1007">
      <w:pPr>
        <w:spacing w:line="259" w:lineRule="auto"/>
        <w:jc w:val="left"/>
        <w:rPr>
          <w:rFonts w:cs="Times New Roman"/>
          <w:szCs w:val="24"/>
        </w:rPr>
      </w:pPr>
      <w:r w:rsidRPr="00A2531E">
        <w:rPr>
          <w:rFonts w:cs="Times New Roman"/>
          <w:szCs w:val="24"/>
        </w:rPr>
        <w:br w:type="page"/>
      </w:r>
    </w:p>
    <w:p w14:paraId="20255732" w14:textId="77777777" w:rsidR="007E1007" w:rsidRDefault="007E1007" w:rsidP="007E1007">
      <w:pPr>
        <w:pStyle w:val="Title"/>
        <w:rPr>
          <w:sz w:val="28"/>
        </w:rPr>
      </w:pPr>
      <w:r>
        <w:rPr>
          <w:sz w:val="28"/>
        </w:rPr>
        <w:lastRenderedPageBreak/>
        <w:t>Essay: Employee Engagement</w:t>
      </w:r>
    </w:p>
    <w:p w14:paraId="538ED4CE" w14:textId="77777777" w:rsidR="007E1007" w:rsidRDefault="007E1007" w:rsidP="007E1007"/>
    <w:p w14:paraId="4D4B0718" w14:textId="77777777" w:rsidR="00A2531E" w:rsidRDefault="00A2531E" w:rsidP="00A2531E">
      <w:r>
        <w:t xml:space="preserve">Hilton Hotels has been chosen for this task which is one of the biggest hotel chains in the UK and in the world. </w:t>
      </w:r>
      <w:r w:rsidRPr="00BA17C0">
        <w:t>This paper will look at the methods used by the Hilton Hotel's HR division to deal with disgruntled or barely engaged workers at different stages of their employment.</w:t>
      </w:r>
      <w:r>
        <w:t xml:space="preserve"> The business started its business operation in 1919 and now it has 584 hotels around the world (</w:t>
      </w:r>
      <w:proofErr w:type="spellStart"/>
      <w:r>
        <w:t>Darban</w:t>
      </w:r>
      <w:proofErr w:type="spellEnd"/>
      <w:r>
        <w:t xml:space="preserve">, </w:t>
      </w:r>
      <w:proofErr w:type="spellStart"/>
      <w:r>
        <w:t>Karatepe</w:t>
      </w:r>
      <w:proofErr w:type="spellEnd"/>
      <w:r>
        <w:t xml:space="preserve"> and </w:t>
      </w:r>
      <w:proofErr w:type="spellStart"/>
      <w:r>
        <w:t>Rezapouraghdam</w:t>
      </w:r>
      <w:proofErr w:type="spellEnd"/>
      <w:r>
        <w:t>, 2022).</w:t>
      </w:r>
      <w:r w:rsidRPr="00BA17C0">
        <w:t xml:space="preserve"> The benefits of HR's involvement in employee engagement are covered in this essay. The stages of the Hilton Hotel employee lifecycle, including attraction, recruitment, onboarding, development, retention, and separation, will also be covered. This essay will outline and illustrate a Hilton Hotels employee engagement strategy using hotels in the UK as examples. This essay addresses the "employee lifecycle," which covers hiring, training, retention, and termination, as well as "employee engagement," which measures how emotionally invested workers are in the company's objectives (Torrington et al., 2020). </w:t>
      </w:r>
      <w:r>
        <w:t>To appreciate how Hilton Hotel may improve employee engagement and performance, it is essential to have a solid grasp of the terms involved.</w:t>
      </w:r>
    </w:p>
    <w:p w14:paraId="525BFC95" w14:textId="77777777" w:rsidR="00A2531E" w:rsidRDefault="00A2531E" w:rsidP="00A2531E"/>
    <w:p w14:paraId="01E66920" w14:textId="77777777" w:rsidR="00A2531E" w:rsidRDefault="00A2531E" w:rsidP="00A2531E">
      <w:r>
        <w:t>The Hilton Hotel's Human Resources Department facilitates employee engagement (</w:t>
      </w:r>
      <w:proofErr w:type="spellStart"/>
      <w:r>
        <w:t>Reidhead</w:t>
      </w:r>
      <w:proofErr w:type="spellEnd"/>
      <w:r>
        <w:t>, 2020). The primary objective is to improve the happiness, motivation, and loyalty of the workforce. This entails coming up with as well as putting into action various policies, programmes, and activities designed to combat disengagement and strengthen the culture of the business. HR oversees recruitment efforts to ensure a cultural and value fit with the property. The candidate's capabilities as well as their potential for getting along are evaluated. In addition, HR ensures that newly hired staff members go through exhaustive onboarding procedures, which are designed to acquaint them with the goals, beliefs, and responsibilities of the hotel (</w:t>
      </w:r>
      <w:proofErr w:type="spellStart"/>
      <w:r>
        <w:t>Alreahi</w:t>
      </w:r>
      <w:proofErr w:type="spellEnd"/>
      <w:r>
        <w:t xml:space="preserve"> et al., 2022). This helps new employees feel welcome and informed from the moment they start working there. The Human Resources department at the Hilton Hotel offers </w:t>
      </w:r>
      <w:bookmarkStart w:id="0" w:name="_GoBack"/>
      <w:bookmarkEnd w:id="0"/>
      <w:r>
        <w:t xml:space="preserve">opportunities for career progression, as well as mentoring and training programmes. The identification and support of each person's unique developmental needs occurs. The provision of competitive compensation, benefits, and a supportive working environment are all ways in which HR assists in the retention of staff. Employee disengagement can be reduced by the use of regular check-ins and active problem-solving (Johnston, </w:t>
      </w:r>
      <w:proofErr w:type="spellStart"/>
      <w:r>
        <w:t>Shulver</w:t>
      </w:r>
      <w:proofErr w:type="spellEnd"/>
      <w:r>
        <w:t xml:space="preserve"> and Clark, 2012). The HR department contributes to the creation of an atmosphere in which employees are motivated, </w:t>
      </w:r>
      <w:r>
        <w:lastRenderedPageBreak/>
        <w:t>satisfied, and dedicated to the success of the hotel. Their efforts increase the hotel's production and the level of happiness felt by its guests.</w:t>
      </w:r>
    </w:p>
    <w:p w14:paraId="7F5B957C" w14:textId="77777777" w:rsidR="00A2531E" w:rsidRDefault="00A2531E" w:rsidP="00A2531E">
      <w:r>
        <w:t>Engaging the team at the Hilton Hotel demands finding solutions that are tailored to the requirements and preferences of the team members (</w:t>
      </w:r>
      <w:proofErr w:type="spellStart"/>
      <w:r>
        <w:t>Darban</w:t>
      </w:r>
      <w:proofErr w:type="spellEnd"/>
      <w:r>
        <w:t xml:space="preserve">, </w:t>
      </w:r>
      <w:proofErr w:type="spellStart"/>
      <w:r>
        <w:t>Karatepe</w:t>
      </w:r>
      <w:proofErr w:type="spellEnd"/>
      <w:r>
        <w:t xml:space="preserve"> and </w:t>
      </w:r>
      <w:proofErr w:type="spellStart"/>
      <w:r>
        <w:t>Rezapouraghdam</w:t>
      </w:r>
      <w:proofErr w:type="spellEnd"/>
      <w:r>
        <w:t>, 2022). Components of this strategy include individualised strategies for the improvement of skills, consistent feedback and communication, and the advancement of professional standing. Participation in teams can bring about numerous positive outcomes. Productivity is increased because engaged team members are more motivated and dedicated to their work (He, Morrison and Zhang, 2020). Because satisfied employees are less inclined to look for other jobs, engagement also helps cut turnover rates. Employees will feel happier and more motivated as a result of increased team engagement, which will raise morale. Members of the team who are content and motivated are more likely to provide exceptional service, which in turn improves the experience of the guests (Armstrong and Taylor, 2020). Teams that are engaged in their work are also more adaptable and imaginative, which helps the organisation adapt to changing situations and find new solutions to issues. In conclusion, employing staff from the Hilton Hotel improves productivity, as well as employee retention, morale, and customer service.</w:t>
      </w:r>
    </w:p>
    <w:p w14:paraId="7782C456" w14:textId="77777777" w:rsidR="00A2531E" w:rsidRDefault="00A2531E" w:rsidP="00A2531E">
      <w:r w:rsidRPr="00381B93">
        <w:t>Employees at the Hilton Hotel go through the processes of Attraction, Recruitment, Onboarding, Development, and Retention before finally leaving the company</w:t>
      </w:r>
      <w:r>
        <w:t xml:space="preserve"> (Ahmad and Shariff, 2019)</w:t>
      </w:r>
      <w:r w:rsidRPr="00381B93">
        <w:t>. People are drawn to the organisation through the Attraction process, recruited through the Recruitment process, onboarded through the Onboarding process, developed through the Development process, retained through the Retention process, and separated through the Separation process.</w:t>
      </w:r>
    </w:p>
    <w:p w14:paraId="6EB3059C" w14:textId="77777777" w:rsidR="00A2531E" w:rsidRDefault="00A2531E" w:rsidP="00A2531E">
      <w:r>
        <w:t>The Human Resources Management practises at Hilton Hotel are influenced by significant theories during the personnel attraction process. It is important to note that the Expectancy Theory has an impact on hiring practices (</w:t>
      </w:r>
      <w:proofErr w:type="spellStart"/>
      <w:r>
        <w:t>Boella</w:t>
      </w:r>
      <w:proofErr w:type="spellEnd"/>
      <w:r>
        <w:t xml:space="preserve"> and Goss-Turner, 2020). People who have confidence that their efforts would result in positive performance and employment opportunities are likely to be drawn to Hilton, according to this theory. The Expectancy Theory is utilised by the Human Resources Management department of the Hilton Hotel to strategically promote the hotel's brand, fundamental values, and employee benefits. A desirable company image is created by HRM, which satisfies the expectations of those looking for employment. Because of this method, Hilton is more appealing to those who are looking for jobs since they link perceived effort and performance outcomes (Ma, 2021). Hilton can attract and engage </w:t>
      </w:r>
      <w:r>
        <w:lastRenderedPageBreak/>
        <w:t>applicants who are a good fit for the company's values and culture because of the deliberate application of HRM theories that take place during the attraction phase.</w:t>
      </w:r>
    </w:p>
    <w:p w14:paraId="64EB20F0" w14:textId="77777777" w:rsidR="00A2531E" w:rsidRDefault="00A2531E" w:rsidP="00A2531E">
      <w:r>
        <w:t>The Person-Job Fit Theory is used as a guiding principle during the recruitment phase of the hiring process at the Hilton Hotel (Raza and Khan, 2022). This concept places a focus on aligning the characteristics of an individual with the characteristics of a profession and the culture of an organisation. The Human Resource Management department of Hilton places a high priority on recruiting individuals whose skills and beliefs are a good fit for the culture of the firm. According to the Person-Job Fit Theory, this alignment leads to increased job happiness as well as improved performance. The Human Resources department at Hilton takes the time to carefully evaluate applicants based on their skills, cultural compatibility, and career aspirations. The objective is to fill open positions with candidates who not only possess the necessary skills but also share Hilton's values (Ari et al., 2020). Because the organisation uses HRM theory intentionally during the recruitment process, it can pick applicants who are qualified and culturally compatible, which in turn improves employee happiness and performance.</w:t>
      </w:r>
    </w:p>
    <w:p w14:paraId="2B5B8D5A" w14:textId="77777777" w:rsidR="00A2531E" w:rsidRDefault="00A2531E" w:rsidP="00A2531E">
      <w:r>
        <w:t>The Socialisation Theory is utilised by Hilton Hotels in the onboarding process to facilitate the smooth integration of newly hired employees (Tuan, 2022). This concept highlights how socialisation can affect the behaviour and attitudes of employees. The HRM department of Hilton is in charge of managing the structured onboarding during this phase. New employees are educated on the hotel's mission, values, and expectations through the following procedure (Tabrizi et al., 2023). By providing opportunities for socialisation, Hilton facilitates speedy adjustment for new hires and encourages interaction with co-workers. This results in an increased sense of connection and loyalty to the firm, which in turn enhances employee engagement and makes it easier to transition into the Hilton Hotel work culture.</w:t>
      </w:r>
    </w:p>
    <w:p w14:paraId="724A7A54" w14:textId="77777777" w:rsidR="00A2531E" w:rsidRDefault="00A2531E" w:rsidP="00A2531E">
      <w:r>
        <w:t>During the retention process, HRM practises at the Hilton Hotel must always include Equity Theory (</w:t>
      </w:r>
      <w:proofErr w:type="spellStart"/>
      <w:r>
        <w:t>Hastuti</w:t>
      </w:r>
      <w:proofErr w:type="spellEnd"/>
      <w:r>
        <w:t xml:space="preserve"> and </w:t>
      </w:r>
      <w:proofErr w:type="spellStart"/>
      <w:r>
        <w:t>Timming</w:t>
      </w:r>
      <w:proofErr w:type="spellEnd"/>
      <w:r>
        <w:t xml:space="preserve">, 2021). Finding a happy medium between the amount of effort, time, and abilities put in by workers and the amount of money they make, the perks they receive, and the opportunities they have for advancement is the objective. According to the Equity Theory, workers who have the perception that they are not receiving fair compensation may get disengaged from their jobs and look for alternative opportunities. The Human Resources and Management division of Hilton takes care of this by offering a competitive salary, benefits, and an environment that is welcoming. This makes employees feel fairer and </w:t>
      </w:r>
      <w:r>
        <w:lastRenderedPageBreak/>
        <w:t>motivates them to stay, which in turn reduces disengagement and turnover rates (Munawar et al., 2022). Additionally, HR follows up with employees, listens to their problems, and finds solutions to challenges, all of which contribute to an increase in employee satisfaction and commitment to the Hilton Hotel.</w:t>
      </w:r>
    </w:p>
    <w:p w14:paraId="2E43D10B" w14:textId="77777777" w:rsidR="00A2531E" w:rsidRDefault="00A2531E" w:rsidP="00A2531E">
      <w:r>
        <w:t>The Hilton Hotel employs a variety of successful strategies to inspire and involve its staff. Plan frequent workshops and team-building exercises. During these activities, team members can collaborate, build relationships, and enhance communication (Zhao and Zhou, 2020). Team-building activities at the Hilton Hotel include problem-solving, cooking, and outdoor adventures. Through fostering better teamwork and making the workplace more enjoyable, these activities raise morale and engagement. Staff engagement can also be increased with a robust recognition and incentive scheme. The Hilton Hotel can recognise exceptional work and achievements (</w:t>
      </w:r>
      <w:proofErr w:type="spellStart"/>
      <w:r>
        <w:t>Azorin</w:t>
      </w:r>
      <w:proofErr w:type="spellEnd"/>
      <w:r>
        <w:t xml:space="preserve"> et al., 2021). Staff members who consistently receive positive feedback from guests, exhibit commitment, or offer creative solutions may be eligible for rewards such as bonuses or public recognition. Giving employee’s recognition fosters a culture of gratitude and motivates them to achieve. Establishing a communication atmosphere that is inclusive and open is also crucial. To address staff concerns, Hilton Hotel offers anonymous surveys, suggestion boxes, and one-on-one meetings. Demonstrating that HR values employee opinions and may take appropriate action. These techniques improve team ownership, problem-solving skills, and job satisfaction. Lastly, fostering professional development increases involvement (</w:t>
      </w:r>
      <w:proofErr w:type="spellStart"/>
      <w:r>
        <w:t>Otoo</w:t>
      </w:r>
      <w:proofErr w:type="spellEnd"/>
      <w:r>
        <w:t>, 2019). Hilton Hotels has the resources to support staff professional development through training, workshops, and mentorship programmes. These opportunities can increase job satisfaction and team loyalty while demonstrating the hotel's dedication to employee progress. By using these strategies, Hilton Hotel employees will be more engaged, motivated, and committed.</w:t>
      </w:r>
    </w:p>
    <w:p w14:paraId="7AB75574" w14:textId="77777777" w:rsidR="00A2531E" w:rsidRDefault="00A2531E" w:rsidP="00A2531E">
      <w:r>
        <w:t xml:space="preserve">Hilton Hotel needs a successful employee engagement strategy to inspire and involve staff members. The "Four-Enablers Model" is an organisational framework that is helpful (Torrington et al., 2020). Hilton Hotel can state a compelling organisational mission that is consistent with its ideals and objectives. Employees feel more invested in the organisation when they are given direction and can understand the impact of their job. Hierarchy-wide leadership is necessary for this enabler. To enable managers and supervisors to guide, motivate, and assist their employees, Hilton can spend money on leadership development. Employee engagement is strongly impacted by strong leaders. Feedback and open communication are crucial (Johnston, </w:t>
      </w:r>
      <w:proofErr w:type="spellStart"/>
      <w:r>
        <w:t>Shulver</w:t>
      </w:r>
      <w:proofErr w:type="spellEnd"/>
      <w:r>
        <w:t xml:space="preserve"> and Clark, 2012). For employee input, Hilton can provide suggestion </w:t>
      </w:r>
      <w:r>
        <w:lastRenderedPageBreak/>
        <w:t>boxes, surveys, and one-on-one meetings. Encouraging and responding to employee feedback fosters engagement and trust. The Hilton Hotel may cultivate strong work relationships. Companionship, cooperation, and mentoring create camaraderie and assistance. Positive working relationships increase engagement and job satisfaction. To execute this paradigm, Hilton should include HR in the development and execution of enabler-aligned initiatives. Regular leadership development and training are necessary. Provide a robust feedback system and encourage candid dialogue (</w:t>
      </w:r>
      <w:proofErr w:type="spellStart"/>
      <w:r>
        <w:t>Boella</w:t>
      </w:r>
      <w:proofErr w:type="spellEnd"/>
      <w:r>
        <w:t xml:space="preserve"> and Goss-Turner, 2020). Strong employee relationships can also be fostered through team-building and mentoring activities. The Four-Enablers Model can increase staff engagement at Hilton Hotels overall.</w:t>
      </w:r>
    </w:p>
    <w:p w14:paraId="665647C3" w14:textId="77777777" w:rsidR="00A2531E" w:rsidRDefault="00A2531E" w:rsidP="00A2531E">
      <w:r>
        <w:t xml:space="preserve">It is possible to learn about effective staff engagement from UK hotel examples. A large hotel company, Marriott International, invests in staff development (Pham, </w:t>
      </w:r>
      <w:proofErr w:type="spellStart"/>
      <w:r>
        <w:t>Tučková</w:t>
      </w:r>
      <w:proofErr w:type="spellEnd"/>
      <w:r>
        <w:t xml:space="preserve"> and </w:t>
      </w:r>
      <w:proofErr w:type="spellStart"/>
      <w:r>
        <w:t>Jabbour</w:t>
      </w:r>
      <w:proofErr w:type="spellEnd"/>
      <w:r>
        <w:t>, 2019). Their "Spirit to Serve" initiative equips staff members with the abilities necessary for success. Investing in professional development increases employee retention and job satisfaction. InterContinental Hotels Group (IHG) is an additional one. Employees who consistently deliver exceptional service are granted the "IHG Rewards Club" designation through their robust recognition programme (García et al., 2021). These methods increase guest pleasure and employee morale. Furthermore, hotels in the UK that are renowned for providing customised guest experiences are the Ritz-Carlton and The Dorchester. Employees who are committed and enthusiastic usually inspire this dedication. The ability of these hotels' employees to go above and beyond to provide exceptional guest experiences increases employee engagement and pride. These examples from UK hotels demonstrate how employee engagement programmes enhance customer service and worker happiness (</w:t>
      </w:r>
      <w:proofErr w:type="spellStart"/>
      <w:r>
        <w:t>Kloutsiniotis</w:t>
      </w:r>
      <w:proofErr w:type="spellEnd"/>
      <w:r>
        <w:t xml:space="preserve"> and </w:t>
      </w:r>
      <w:proofErr w:type="spellStart"/>
      <w:r>
        <w:t>Mihail</w:t>
      </w:r>
      <w:proofErr w:type="spellEnd"/>
      <w:r>
        <w:t>, 2020). These procedures foster an environment where workers are motivated and actively participate in the success of the business.</w:t>
      </w:r>
    </w:p>
    <w:p w14:paraId="170BF12A" w14:textId="77777777" w:rsidR="00A2531E" w:rsidRDefault="00A2531E" w:rsidP="00A2531E"/>
    <w:p w14:paraId="402F8C42" w14:textId="77777777" w:rsidR="00A2531E" w:rsidRDefault="00A2531E" w:rsidP="00A2531E"/>
    <w:p w14:paraId="7B249C0F" w14:textId="77777777" w:rsidR="00A2531E" w:rsidRDefault="00A2531E" w:rsidP="00A2531E"/>
    <w:p w14:paraId="4683F4B8" w14:textId="77777777" w:rsidR="00A2531E" w:rsidRDefault="00A2531E" w:rsidP="00A2531E"/>
    <w:p w14:paraId="4F5007B1" w14:textId="77777777" w:rsidR="00A2531E" w:rsidRDefault="00A2531E" w:rsidP="00A2531E"/>
    <w:p w14:paraId="4C43EAC4" w14:textId="77777777" w:rsidR="00A2531E" w:rsidRDefault="00A2531E" w:rsidP="00A2531E"/>
    <w:p w14:paraId="64923665" w14:textId="77777777" w:rsidR="00A2531E" w:rsidRDefault="00A2531E" w:rsidP="00A2531E"/>
    <w:p w14:paraId="583DAEAF" w14:textId="77777777" w:rsidR="00A2531E" w:rsidRDefault="00A2531E" w:rsidP="00A2531E">
      <w:r>
        <w:t>At Hilton Hotel, reducing employee disengagement is a difficult task that demands an approach that considers multiple dimensions. As this essay has demonstrated, the Department of Human Resources plays a critical role in employee engagement and the benefits that come with it. Attraction, Recruitment, Onboarding, and Retention are critical stages of the Employee Lifecycle, and HRM Theories and practices have Influenced Each of These Stages. In addition to that, we introduced a paradigm for staff engagement as well as effective team engagement strategies. Examples of great employee engagement may be found in the hotel business in the UK. Both Marriott and InterContinental have made investments in leadership development, employee recognition, and providing more individualised experiences for their guests to boost employee morale and quality of service. Motivating, satisfying, and committing workers should be top priorities for Hilton Hotels, thus they should adapt these strategies and models to fit their needs. Hilton Hotel's performance in the hospitality business can be maintained through the promotion of staff engagement, increased productivity, and increased satisfaction among customers.</w:t>
      </w:r>
    </w:p>
    <w:p w14:paraId="5163624A" w14:textId="77777777" w:rsidR="00A2531E" w:rsidRDefault="00A2531E" w:rsidP="00A2531E"/>
    <w:p w14:paraId="6CBE8E3E" w14:textId="77777777" w:rsidR="00A2531E" w:rsidRDefault="00A2531E" w:rsidP="00A2531E"/>
    <w:p w14:paraId="6563C6CC" w14:textId="77777777" w:rsidR="00A2531E" w:rsidRDefault="00A2531E" w:rsidP="00A2531E"/>
    <w:p w14:paraId="3FCE7E10" w14:textId="77777777" w:rsidR="00A2531E" w:rsidRDefault="00A2531E" w:rsidP="00A2531E"/>
    <w:p w14:paraId="6FC7129D" w14:textId="77777777" w:rsidR="00A2531E" w:rsidRDefault="00A2531E" w:rsidP="00A2531E"/>
    <w:p w14:paraId="4321F2F7" w14:textId="77777777" w:rsidR="00A2531E" w:rsidRDefault="00A2531E" w:rsidP="00A2531E"/>
    <w:p w14:paraId="0872D729" w14:textId="77777777" w:rsidR="00A2531E" w:rsidRDefault="00A2531E" w:rsidP="00A2531E"/>
    <w:p w14:paraId="38B4E2D0" w14:textId="77777777" w:rsidR="00A2531E" w:rsidRDefault="00A2531E" w:rsidP="00A2531E"/>
    <w:p w14:paraId="0E6E11C5" w14:textId="77777777" w:rsidR="00A2531E" w:rsidRDefault="00A2531E" w:rsidP="00A2531E"/>
    <w:p w14:paraId="2FAC5BA1" w14:textId="77777777" w:rsidR="00A2531E" w:rsidRDefault="00A2531E" w:rsidP="00A2531E"/>
    <w:p w14:paraId="0243F7A6" w14:textId="77777777" w:rsidR="00A2531E" w:rsidRDefault="00A2531E" w:rsidP="00A2531E"/>
    <w:p w14:paraId="04804BB6" w14:textId="77777777" w:rsidR="00A2531E" w:rsidRDefault="00A2531E" w:rsidP="00A2531E"/>
    <w:p w14:paraId="48E545A2" w14:textId="77777777" w:rsidR="00A2531E" w:rsidRPr="00556CA0" w:rsidRDefault="00A2531E" w:rsidP="00A2531E">
      <w:pPr>
        <w:pStyle w:val="Heading1"/>
      </w:pPr>
      <w:r>
        <w:lastRenderedPageBreak/>
        <w:t>References</w:t>
      </w:r>
    </w:p>
    <w:p w14:paraId="1EAD3162" w14:textId="77777777" w:rsidR="00A2531E" w:rsidRDefault="00A2531E" w:rsidP="00A2531E">
      <w:pPr>
        <w:pStyle w:val="NormalWeb"/>
        <w:spacing w:before="0" w:beforeAutospacing="0" w:after="240" w:afterAutospacing="0" w:line="360" w:lineRule="auto"/>
        <w:jc w:val="both"/>
      </w:pPr>
      <w:r>
        <w:t xml:space="preserve">Ahmad, R. and Shariff, N.M. (2019). </w:t>
      </w:r>
      <w:r>
        <w:rPr>
          <w:i/>
          <w:iCs/>
        </w:rPr>
        <w:t>Introduction to Human Resource Management in Tourism and Hospitality Industry (UUM Press)</w:t>
      </w:r>
      <w:r>
        <w:t>. UUM Press.</w:t>
      </w:r>
    </w:p>
    <w:p w14:paraId="754C497A" w14:textId="77777777" w:rsidR="00A2531E" w:rsidRDefault="00A2531E" w:rsidP="00A2531E">
      <w:pPr>
        <w:pStyle w:val="NormalWeb"/>
        <w:spacing w:before="0" w:beforeAutospacing="0" w:after="240" w:afterAutospacing="0" w:line="360" w:lineRule="auto"/>
        <w:jc w:val="both"/>
      </w:pPr>
      <w:proofErr w:type="spellStart"/>
      <w:r>
        <w:t>Alreahi</w:t>
      </w:r>
      <w:proofErr w:type="spellEnd"/>
      <w:r>
        <w:t xml:space="preserve">, M., </w:t>
      </w:r>
      <w:proofErr w:type="spellStart"/>
      <w:r>
        <w:t>Bujdosó</w:t>
      </w:r>
      <w:proofErr w:type="spellEnd"/>
      <w:r>
        <w:t xml:space="preserve">, Z., </w:t>
      </w:r>
      <w:proofErr w:type="spellStart"/>
      <w:r>
        <w:t>Kabil</w:t>
      </w:r>
      <w:proofErr w:type="spellEnd"/>
      <w:r>
        <w:t xml:space="preserve">, M., </w:t>
      </w:r>
      <w:proofErr w:type="spellStart"/>
      <w:r>
        <w:t>Akaak</w:t>
      </w:r>
      <w:proofErr w:type="spellEnd"/>
      <w:r>
        <w:t xml:space="preserve">, A., </w:t>
      </w:r>
      <w:proofErr w:type="spellStart"/>
      <w:r>
        <w:t>Benkó</w:t>
      </w:r>
      <w:proofErr w:type="spellEnd"/>
      <w:r>
        <w:t xml:space="preserve">, K.F., </w:t>
      </w:r>
      <w:proofErr w:type="spellStart"/>
      <w:r>
        <w:t>Setioningtyas</w:t>
      </w:r>
      <w:proofErr w:type="spellEnd"/>
      <w:r>
        <w:t xml:space="preserve">, W.P. and </w:t>
      </w:r>
      <w:proofErr w:type="spellStart"/>
      <w:r>
        <w:t>Dávid</w:t>
      </w:r>
      <w:proofErr w:type="spellEnd"/>
      <w:r>
        <w:t xml:space="preserve">, L.D. (2022). Green Human Resources Management in the Hotel Industry: A Systematic Review. </w:t>
      </w:r>
      <w:r>
        <w:rPr>
          <w:i/>
          <w:iCs/>
        </w:rPr>
        <w:t>Sustainability</w:t>
      </w:r>
      <w:r>
        <w:t xml:space="preserve">, 15(1), p.99. </w:t>
      </w:r>
      <w:proofErr w:type="spellStart"/>
      <w:proofErr w:type="gramStart"/>
      <w:r>
        <w:t>doi:https</w:t>
      </w:r>
      <w:proofErr w:type="spellEnd"/>
      <w:r>
        <w:t>://doi.org/10.3390/su15010099</w:t>
      </w:r>
      <w:proofErr w:type="gramEnd"/>
      <w:r>
        <w:t>.</w:t>
      </w:r>
    </w:p>
    <w:p w14:paraId="0AABB519" w14:textId="77777777" w:rsidR="00A2531E" w:rsidRDefault="00A2531E" w:rsidP="00A2531E">
      <w:pPr>
        <w:pStyle w:val="NormalWeb"/>
        <w:spacing w:before="0" w:beforeAutospacing="0" w:after="240" w:afterAutospacing="0" w:line="360" w:lineRule="auto"/>
        <w:jc w:val="both"/>
      </w:pPr>
      <w:r>
        <w:t xml:space="preserve">Ari, E., </w:t>
      </w:r>
      <w:proofErr w:type="spellStart"/>
      <w:r>
        <w:t>Karatepe</w:t>
      </w:r>
      <w:proofErr w:type="spellEnd"/>
      <w:r>
        <w:t xml:space="preserve">, O.M., </w:t>
      </w:r>
      <w:proofErr w:type="spellStart"/>
      <w:r>
        <w:t>Rezapouraghdam</w:t>
      </w:r>
      <w:proofErr w:type="spellEnd"/>
      <w:r>
        <w:t xml:space="preserve">, H. and </w:t>
      </w:r>
      <w:proofErr w:type="spellStart"/>
      <w:r>
        <w:t>Avci</w:t>
      </w:r>
      <w:proofErr w:type="spellEnd"/>
      <w:r>
        <w:t xml:space="preserve">, T. (2020). A Conceptual Model for Green Human Resource Management: Indicators, Differential Pathways, and Multiple Pro-Environmental Outcomes. </w:t>
      </w:r>
      <w:r>
        <w:rPr>
          <w:i/>
          <w:iCs/>
        </w:rPr>
        <w:t>Sustainability</w:t>
      </w:r>
      <w:r>
        <w:t xml:space="preserve">, 12(17), p.7089. </w:t>
      </w:r>
      <w:proofErr w:type="spellStart"/>
      <w:proofErr w:type="gramStart"/>
      <w:r>
        <w:t>doi:https</w:t>
      </w:r>
      <w:proofErr w:type="spellEnd"/>
      <w:r>
        <w:t>://doi.org/10.3390/su12177089</w:t>
      </w:r>
      <w:proofErr w:type="gramEnd"/>
      <w:r>
        <w:t>.</w:t>
      </w:r>
    </w:p>
    <w:p w14:paraId="784F4995" w14:textId="77777777" w:rsidR="00A2531E" w:rsidRDefault="00A2531E" w:rsidP="00A2531E">
      <w:pPr>
        <w:pStyle w:val="NormalWeb"/>
        <w:spacing w:before="0" w:beforeAutospacing="0" w:after="240" w:afterAutospacing="0" w:line="360" w:lineRule="auto"/>
        <w:jc w:val="both"/>
      </w:pPr>
      <w:r>
        <w:t xml:space="preserve">Armstrong, M. and Taylor, S. (2020). </w:t>
      </w:r>
      <w:r>
        <w:rPr>
          <w:i/>
          <w:iCs/>
        </w:rPr>
        <w:t xml:space="preserve">Armstrong’s Handbook </w:t>
      </w:r>
      <w:proofErr w:type="gramStart"/>
      <w:r>
        <w:rPr>
          <w:i/>
          <w:iCs/>
        </w:rPr>
        <w:t>Of</w:t>
      </w:r>
      <w:proofErr w:type="gramEnd"/>
      <w:r>
        <w:rPr>
          <w:i/>
          <w:iCs/>
        </w:rPr>
        <w:t xml:space="preserve"> Human Resource Management Practice</w:t>
      </w:r>
      <w:r>
        <w:t>. 15th ed. S.L.: Kogan Page.</w:t>
      </w:r>
    </w:p>
    <w:p w14:paraId="14C6E09A" w14:textId="77777777" w:rsidR="00A2531E" w:rsidRDefault="00A2531E" w:rsidP="00A2531E">
      <w:pPr>
        <w:pStyle w:val="NormalWeb"/>
        <w:spacing w:before="0" w:beforeAutospacing="0" w:after="240" w:afterAutospacing="0" w:line="360" w:lineRule="auto"/>
        <w:jc w:val="both"/>
      </w:pPr>
      <w:proofErr w:type="spellStart"/>
      <w:r>
        <w:t>Azorin</w:t>
      </w:r>
      <w:proofErr w:type="spellEnd"/>
      <w:r>
        <w:t>, J.F., López-</w:t>
      </w:r>
      <w:proofErr w:type="spellStart"/>
      <w:r>
        <w:t>Gamero</w:t>
      </w:r>
      <w:proofErr w:type="spellEnd"/>
      <w:r>
        <w:t xml:space="preserve">, M.D., </w:t>
      </w:r>
      <w:proofErr w:type="spellStart"/>
      <w:r>
        <w:t>Tarí</w:t>
      </w:r>
      <w:proofErr w:type="spellEnd"/>
      <w:r>
        <w:t>, J.J., Pereira-</w:t>
      </w:r>
      <w:proofErr w:type="spellStart"/>
      <w:r>
        <w:t>Moliner</w:t>
      </w:r>
      <w:proofErr w:type="spellEnd"/>
      <w:r>
        <w:t xml:space="preserve">, J. and </w:t>
      </w:r>
      <w:proofErr w:type="spellStart"/>
      <w:r>
        <w:t>Pertusa</w:t>
      </w:r>
      <w:proofErr w:type="spellEnd"/>
      <w:r>
        <w:t xml:space="preserve">-Ortega, E.M. (2021). Environmental Management, Human Resource Management and Green Human Resource Management: A Literature Review. </w:t>
      </w:r>
      <w:r>
        <w:rPr>
          <w:i/>
          <w:iCs/>
        </w:rPr>
        <w:t>Administrative Sciences</w:t>
      </w:r>
      <w:r>
        <w:t xml:space="preserve">, 11(2), p.48. </w:t>
      </w:r>
      <w:proofErr w:type="spellStart"/>
      <w:proofErr w:type="gramStart"/>
      <w:r>
        <w:t>doi:https</w:t>
      </w:r>
      <w:proofErr w:type="spellEnd"/>
      <w:r>
        <w:t>://doi.org/10.3390/admsci11020048</w:t>
      </w:r>
      <w:proofErr w:type="gramEnd"/>
      <w:r>
        <w:t>.</w:t>
      </w:r>
    </w:p>
    <w:p w14:paraId="2CA33702" w14:textId="77777777" w:rsidR="00A2531E" w:rsidRDefault="00A2531E" w:rsidP="00A2531E">
      <w:pPr>
        <w:pStyle w:val="NormalWeb"/>
        <w:spacing w:before="0" w:beforeAutospacing="0" w:after="240" w:afterAutospacing="0" w:line="360" w:lineRule="auto"/>
        <w:jc w:val="both"/>
      </w:pPr>
      <w:proofErr w:type="spellStart"/>
      <w:r>
        <w:t>Boella</w:t>
      </w:r>
      <w:proofErr w:type="spellEnd"/>
      <w:r>
        <w:t xml:space="preserve">, M.J. and Goss-Turner, S. (2020). </w:t>
      </w:r>
      <w:r>
        <w:rPr>
          <w:i/>
          <w:iCs/>
        </w:rPr>
        <w:t xml:space="preserve">Human resource management in the hospitality </w:t>
      </w:r>
      <w:proofErr w:type="gramStart"/>
      <w:r>
        <w:rPr>
          <w:i/>
          <w:iCs/>
        </w:rPr>
        <w:t>industry :</w:t>
      </w:r>
      <w:proofErr w:type="gramEnd"/>
      <w:r>
        <w:rPr>
          <w:i/>
          <w:iCs/>
        </w:rPr>
        <w:t xml:space="preserve"> a guide to best practice</w:t>
      </w:r>
      <w:r>
        <w:t xml:space="preserve">. Abingdon, </w:t>
      </w:r>
      <w:proofErr w:type="gramStart"/>
      <w:r>
        <w:t>Oxon ;</w:t>
      </w:r>
      <w:proofErr w:type="gramEnd"/>
      <w:r>
        <w:t xml:space="preserve"> New York, Ny: Routledge.</w:t>
      </w:r>
    </w:p>
    <w:p w14:paraId="0C821103" w14:textId="77777777" w:rsidR="00A2531E" w:rsidRDefault="00A2531E" w:rsidP="00A2531E">
      <w:pPr>
        <w:pStyle w:val="NormalWeb"/>
        <w:spacing w:before="0" w:beforeAutospacing="0" w:after="240" w:afterAutospacing="0" w:line="360" w:lineRule="auto"/>
        <w:jc w:val="both"/>
      </w:pPr>
      <w:proofErr w:type="spellStart"/>
      <w:r>
        <w:t>Darban</w:t>
      </w:r>
      <w:proofErr w:type="spellEnd"/>
      <w:r>
        <w:t xml:space="preserve">, G., </w:t>
      </w:r>
      <w:proofErr w:type="spellStart"/>
      <w:r>
        <w:t>Karatepe</w:t>
      </w:r>
      <w:proofErr w:type="spellEnd"/>
      <w:r>
        <w:t xml:space="preserve">, O.M. and </w:t>
      </w:r>
      <w:proofErr w:type="spellStart"/>
      <w:r>
        <w:t>Rezapouraghdam</w:t>
      </w:r>
      <w:proofErr w:type="spellEnd"/>
      <w:r>
        <w:t xml:space="preserve">, H. (2022). Does work engagement mediate the impact of green human resource management on absenteeism and green recovery performance? </w:t>
      </w:r>
      <w:r>
        <w:rPr>
          <w:i/>
          <w:iCs/>
        </w:rPr>
        <w:t>Employee Relations: The International Journal</w:t>
      </w:r>
      <w:r>
        <w:t xml:space="preserve">, ahead-of-print(ahead-of-print). </w:t>
      </w:r>
      <w:proofErr w:type="spellStart"/>
      <w:proofErr w:type="gramStart"/>
      <w:r>
        <w:t>doi:https</w:t>
      </w:r>
      <w:proofErr w:type="spellEnd"/>
      <w:r>
        <w:t>://doi.org/10.1108/er-05-2021-0215</w:t>
      </w:r>
      <w:proofErr w:type="gramEnd"/>
      <w:r>
        <w:t>.</w:t>
      </w:r>
    </w:p>
    <w:p w14:paraId="74D345ED" w14:textId="77777777" w:rsidR="00A2531E" w:rsidRDefault="00A2531E" w:rsidP="00A2531E">
      <w:pPr>
        <w:pStyle w:val="NormalWeb"/>
        <w:spacing w:before="0" w:beforeAutospacing="0" w:after="240" w:afterAutospacing="0" w:line="360" w:lineRule="auto"/>
        <w:jc w:val="both"/>
      </w:pPr>
      <w:r>
        <w:t>García, M., Claver-Cortés, E., Marco-</w:t>
      </w:r>
      <w:proofErr w:type="spellStart"/>
      <w:r>
        <w:t>Lajara</w:t>
      </w:r>
      <w:proofErr w:type="spellEnd"/>
      <w:r>
        <w:t>, B. and Zaragoza-</w:t>
      </w:r>
      <w:proofErr w:type="spellStart"/>
      <w:r>
        <w:t>Sáez</w:t>
      </w:r>
      <w:proofErr w:type="spellEnd"/>
      <w:r>
        <w:t xml:space="preserve">, P. (2021). Corporate social responsibility and firm performance in the hotel industry. The mediating role of green human resource management and environmental outcomes. </w:t>
      </w:r>
      <w:r>
        <w:rPr>
          <w:i/>
          <w:iCs/>
        </w:rPr>
        <w:t>Journal of Business Research</w:t>
      </w:r>
      <w:r>
        <w:t xml:space="preserve">, 123, pp.57–69. </w:t>
      </w:r>
      <w:proofErr w:type="spellStart"/>
      <w:proofErr w:type="gramStart"/>
      <w:r>
        <w:t>doi:https</w:t>
      </w:r>
      <w:proofErr w:type="spellEnd"/>
      <w:r>
        <w:t>://doi.org/10.1016/j.jbusres.2020.09.055</w:t>
      </w:r>
      <w:proofErr w:type="gramEnd"/>
      <w:r>
        <w:t>.</w:t>
      </w:r>
    </w:p>
    <w:p w14:paraId="682E8AE2" w14:textId="77777777" w:rsidR="00A2531E" w:rsidRDefault="00A2531E" w:rsidP="00A2531E">
      <w:pPr>
        <w:pStyle w:val="NormalWeb"/>
        <w:spacing w:before="0" w:beforeAutospacing="0" w:after="240" w:afterAutospacing="0" w:line="360" w:lineRule="auto"/>
        <w:jc w:val="both"/>
      </w:pPr>
      <w:proofErr w:type="spellStart"/>
      <w:r>
        <w:t>Hastuti</w:t>
      </w:r>
      <w:proofErr w:type="spellEnd"/>
      <w:r>
        <w:t xml:space="preserve">, R. and </w:t>
      </w:r>
      <w:proofErr w:type="spellStart"/>
      <w:r>
        <w:t>Timming</w:t>
      </w:r>
      <w:proofErr w:type="spellEnd"/>
      <w:r>
        <w:t xml:space="preserve">, A.R. (2021). An inter-disciplinary review of the literature on mental illness disclosure in the workplace: implications for human resource management. </w:t>
      </w:r>
      <w:r>
        <w:rPr>
          <w:i/>
          <w:iCs/>
        </w:rPr>
        <w:t xml:space="preserve">The </w:t>
      </w:r>
      <w:r>
        <w:rPr>
          <w:i/>
          <w:iCs/>
        </w:rPr>
        <w:lastRenderedPageBreak/>
        <w:t>International Journal of Human Resource Management</w:t>
      </w:r>
      <w:r>
        <w:t xml:space="preserve">, 32(15), pp.3302–3338. </w:t>
      </w:r>
      <w:proofErr w:type="spellStart"/>
      <w:proofErr w:type="gramStart"/>
      <w:r>
        <w:t>doi:https</w:t>
      </w:r>
      <w:proofErr w:type="spellEnd"/>
      <w:r>
        <w:t>://doi.org/10.1080/09585192.2021.1875494</w:t>
      </w:r>
      <w:proofErr w:type="gramEnd"/>
      <w:r>
        <w:t>.</w:t>
      </w:r>
    </w:p>
    <w:p w14:paraId="5C92EE9F" w14:textId="77777777" w:rsidR="00A2531E" w:rsidRDefault="00A2531E" w:rsidP="00A2531E">
      <w:pPr>
        <w:pStyle w:val="NormalWeb"/>
        <w:spacing w:before="0" w:beforeAutospacing="0" w:after="240" w:afterAutospacing="0" w:line="360" w:lineRule="auto"/>
        <w:jc w:val="both"/>
      </w:pPr>
      <w:r>
        <w:t xml:space="preserve">He, J., Morrison, A.M. and Zhang, H. (2020). Being sustainable: The three‐way interactive effects of </w:t>
      </w:r>
      <w:proofErr w:type="gramStart"/>
      <w:r>
        <w:t>CSR ,</w:t>
      </w:r>
      <w:proofErr w:type="gramEnd"/>
      <w:r>
        <w:t xml:space="preserve"> green human resource management, and responsible leadership on employee green </w:t>
      </w:r>
      <w:proofErr w:type="spellStart"/>
      <w:r>
        <w:t>behavior</w:t>
      </w:r>
      <w:proofErr w:type="spellEnd"/>
      <w:r>
        <w:t xml:space="preserve"> and task performance. </w:t>
      </w:r>
      <w:r>
        <w:rPr>
          <w:i/>
          <w:iCs/>
        </w:rPr>
        <w:t>Corporate Social Responsibility and Environmental Management</w:t>
      </w:r>
      <w:r>
        <w:t xml:space="preserve">, 28(3). </w:t>
      </w:r>
      <w:proofErr w:type="spellStart"/>
      <w:proofErr w:type="gramStart"/>
      <w:r>
        <w:t>doi:https</w:t>
      </w:r>
      <w:proofErr w:type="spellEnd"/>
      <w:r>
        <w:t>://doi.org/10.1002/csr.2104</w:t>
      </w:r>
      <w:proofErr w:type="gramEnd"/>
      <w:r>
        <w:t>.</w:t>
      </w:r>
    </w:p>
    <w:p w14:paraId="0BD92088" w14:textId="77777777" w:rsidR="00A2531E" w:rsidRDefault="00A2531E" w:rsidP="00A2531E">
      <w:pPr>
        <w:pStyle w:val="NormalWeb"/>
        <w:spacing w:before="0" w:beforeAutospacing="0" w:after="240" w:afterAutospacing="0" w:line="360" w:lineRule="auto"/>
        <w:jc w:val="both"/>
      </w:pPr>
      <w:r>
        <w:t xml:space="preserve">Johnston, R., </w:t>
      </w:r>
      <w:proofErr w:type="spellStart"/>
      <w:r>
        <w:t>Shulver</w:t>
      </w:r>
      <w:proofErr w:type="spellEnd"/>
      <w:r>
        <w:t xml:space="preserve">, M. and Clark, G. (2012). </w:t>
      </w:r>
      <w:r>
        <w:rPr>
          <w:i/>
          <w:iCs/>
        </w:rPr>
        <w:t xml:space="preserve">SERVICE OPERATIONS </w:t>
      </w:r>
      <w:proofErr w:type="gramStart"/>
      <w:r>
        <w:rPr>
          <w:i/>
          <w:iCs/>
        </w:rPr>
        <w:t>MANAGEMENT :</w:t>
      </w:r>
      <w:proofErr w:type="gramEnd"/>
      <w:r>
        <w:rPr>
          <w:i/>
          <w:iCs/>
        </w:rPr>
        <w:t xml:space="preserve"> improving service delivery.</w:t>
      </w:r>
      <w:r>
        <w:t xml:space="preserve"> S.L.: Pearson Education Limited.</w:t>
      </w:r>
    </w:p>
    <w:p w14:paraId="23C1C1EC" w14:textId="77777777" w:rsidR="00A2531E" w:rsidRDefault="00A2531E" w:rsidP="00A2531E">
      <w:pPr>
        <w:pStyle w:val="NormalWeb"/>
        <w:spacing w:before="0" w:beforeAutospacing="0" w:after="240" w:afterAutospacing="0" w:line="360" w:lineRule="auto"/>
        <w:jc w:val="both"/>
      </w:pPr>
      <w:proofErr w:type="spellStart"/>
      <w:r>
        <w:t>Kloutsiniotis</w:t>
      </w:r>
      <w:proofErr w:type="spellEnd"/>
      <w:r>
        <w:t xml:space="preserve">, P.V. and </w:t>
      </w:r>
      <w:proofErr w:type="spellStart"/>
      <w:r>
        <w:t>Mihail</w:t>
      </w:r>
      <w:proofErr w:type="spellEnd"/>
      <w:r>
        <w:t xml:space="preserve">, D.M. (2020). High performance work systems in the tourism and hospitality industry: a critical review. </w:t>
      </w:r>
      <w:r>
        <w:rPr>
          <w:i/>
          <w:iCs/>
        </w:rPr>
        <w:t>International Journal of Contemporary Hospitality Management</w:t>
      </w:r>
      <w:r>
        <w:t xml:space="preserve">, ahead-of-print(ahead-of-print). </w:t>
      </w:r>
      <w:proofErr w:type="spellStart"/>
      <w:proofErr w:type="gramStart"/>
      <w:r>
        <w:t>doi:https</w:t>
      </w:r>
      <w:proofErr w:type="spellEnd"/>
      <w:r>
        <w:t>://doi.org/10.1108/ijchm-10-2019-0864</w:t>
      </w:r>
      <w:proofErr w:type="gramEnd"/>
      <w:r>
        <w:t>.</w:t>
      </w:r>
    </w:p>
    <w:p w14:paraId="5B393D45" w14:textId="77777777" w:rsidR="00A2531E" w:rsidRDefault="00A2531E" w:rsidP="00A2531E">
      <w:pPr>
        <w:pStyle w:val="NormalWeb"/>
        <w:spacing w:before="0" w:beforeAutospacing="0" w:after="240" w:afterAutospacing="0" w:line="360" w:lineRule="auto"/>
        <w:jc w:val="both"/>
      </w:pPr>
      <w:r>
        <w:t xml:space="preserve">Ma, R. (2021). Human resource management in multinational companies—— from the perspective of Hilton Hotels. </w:t>
      </w:r>
      <w:r>
        <w:rPr>
          <w:i/>
          <w:iCs/>
        </w:rPr>
        <w:t>E3S Web of Conferences</w:t>
      </w:r>
      <w:r>
        <w:t xml:space="preserve">, [online] 235, p.02058. </w:t>
      </w:r>
      <w:proofErr w:type="spellStart"/>
      <w:proofErr w:type="gramStart"/>
      <w:r>
        <w:t>doi:https</w:t>
      </w:r>
      <w:proofErr w:type="spellEnd"/>
      <w:r>
        <w:t>://doi.org/10.1051/e3sconf/202123502058</w:t>
      </w:r>
      <w:proofErr w:type="gramEnd"/>
      <w:r>
        <w:t>.</w:t>
      </w:r>
    </w:p>
    <w:p w14:paraId="3DF0654C" w14:textId="77777777" w:rsidR="00A2531E" w:rsidRDefault="00A2531E" w:rsidP="00A2531E">
      <w:pPr>
        <w:pStyle w:val="NormalWeb"/>
        <w:spacing w:before="0" w:beforeAutospacing="0" w:after="240" w:afterAutospacing="0" w:line="360" w:lineRule="auto"/>
        <w:jc w:val="both"/>
      </w:pPr>
      <w:r>
        <w:t xml:space="preserve">Munawar, S., Yousaf, D.H.Q., Ahmed, M. and Rehman, D.S. (2022). Effects of green human resource management on green innovation through green human capital, environmental knowledge, and managerial environmental concern. </w:t>
      </w:r>
      <w:r>
        <w:rPr>
          <w:i/>
          <w:iCs/>
        </w:rPr>
        <w:t>Journal of Hospitality and Tourism Management</w:t>
      </w:r>
      <w:r>
        <w:t xml:space="preserve">, 52, pp.141–150. </w:t>
      </w:r>
      <w:proofErr w:type="spellStart"/>
      <w:proofErr w:type="gramStart"/>
      <w:r>
        <w:t>doi:https</w:t>
      </w:r>
      <w:proofErr w:type="spellEnd"/>
      <w:r>
        <w:t>://doi.org/10.1016/j.jhtm.2022.06.009</w:t>
      </w:r>
      <w:proofErr w:type="gramEnd"/>
      <w:r>
        <w:t>.</w:t>
      </w:r>
    </w:p>
    <w:p w14:paraId="4A6AD74C" w14:textId="77777777" w:rsidR="00A2531E" w:rsidRDefault="00A2531E" w:rsidP="00A2531E">
      <w:pPr>
        <w:pStyle w:val="NormalWeb"/>
        <w:spacing w:before="0" w:beforeAutospacing="0" w:after="240" w:afterAutospacing="0" w:line="360" w:lineRule="auto"/>
        <w:jc w:val="both"/>
      </w:pPr>
      <w:proofErr w:type="spellStart"/>
      <w:r>
        <w:t>Otoo</w:t>
      </w:r>
      <w:proofErr w:type="spellEnd"/>
      <w:r>
        <w:t xml:space="preserve">, F.N.K. (2019). Human Resource Management (HRM) Practices and Organizational Performance. </w:t>
      </w:r>
      <w:r>
        <w:rPr>
          <w:i/>
          <w:iCs/>
        </w:rPr>
        <w:t>Employee Relations</w:t>
      </w:r>
      <w:r>
        <w:t xml:space="preserve">, [online] 41(5). </w:t>
      </w:r>
      <w:proofErr w:type="spellStart"/>
      <w:proofErr w:type="gramStart"/>
      <w:r>
        <w:t>doi:https</w:t>
      </w:r>
      <w:proofErr w:type="spellEnd"/>
      <w:r>
        <w:t>://doi.org/10.1108/er-02-2018-0053</w:t>
      </w:r>
      <w:proofErr w:type="gramEnd"/>
      <w:r>
        <w:t>.</w:t>
      </w:r>
    </w:p>
    <w:p w14:paraId="7FD24B68" w14:textId="77777777" w:rsidR="00A2531E" w:rsidRDefault="00A2531E" w:rsidP="00A2531E">
      <w:pPr>
        <w:pStyle w:val="NormalWeb"/>
        <w:spacing w:before="0" w:beforeAutospacing="0" w:after="240" w:afterAutospacing="0" w:line="360" w:lineRule="auto"/>
        <w:jc w:val="both"/>
      </w:pPr>
      <w:r>
        <w:t xml:space="preserve">Pham, N.T., </w:t>
      </w:r>
      <w:proofErr w:type="spellStart"/>
      <w:r>
        <w:t>Tučková</w:t>
      </w:r>
      <w:proofErr w:type="spellEnd"/>
      <w:r>
        <w:t xml:space="preserve">, Z. and </w:t>
      </w:r>
      <w:proofErr w:type="spellStart"/>
      <w:r>
        <w:t>Jabbour</w:t>
      </w:r>
      <w:proofErr w:type="spellEnd"/>
      <w:r>
        <w:t xml:space="preserve">, C.J. (2019). Greening the hospitality industry: How do green human resource management practices influence organizational citizenship </w:t>
      </w:r>
      <w:proofErr w:type="spellStart"/>
      <w:r>
        <w:t>behavior</w:t>
      </w:r>
      <w:proofErr w:type="spellEnd"/>
      <w:r>
        <w:t xml:space="preserve"> in hotels? A mixed-methods study. </w:t>
      </w:r>
      <w:r>
        <w:rPr>
          <w:i/>
          <w:iCs/>
        </w:rPr>
        <w:t>Tourism Management</w:t>
      </w:r>
      <w:r>
        <w:t xml:space="preserve">, 72(1), pp.386–399. </w:t>
      </w:r>
      <w:proofErr w:type="spellStart"/>
      <w:proofErr w:type="gramStart"/>
      <w:r>
        <w:t>doi:https</w:t>
      </w:r>
      <w:proofErr w:type="spellEnd"/>
      <w:r>
        <w:t>://doi.org/10.1016/j.tourman.2018.12.008</w:t>
      </w:r>
      <w:proofErr w:type="gramEnd"/>
      <w:r>
        <w:t>.</w:t>
      </w:r>
    </w:p>
    <w:p w14:paraId="41A3DBF4" w14:textId="77777777" w:rsidR="00A2531E" w:rsidRDefault="00A2531E" w:rsidP="00A2531E">
      <w:pPr>
        <w:pStyle w:val="NormalWeb"/>
        <w:spacing w:before="0" w:beforeAutospacing="0" w:after="240" w:afterAutospacing="0" w:line="360" w:lineRule="auto"/>
        <w:jc w:val="both"/>
      </w:pPr>
      <w:r>
        <w:t xml:space="preserve">Raza, S.A. and Khan, K.A. (2022). Impact of green human resource practices on hotel environmental performance: the moderating effect of environmental knowledge and individual </w:t>
      </w:r>
      <w:r>
        <w:lastRenderedPageBreak/>
        <w:t xml:space="preserve">green values. </w:t>
      </w:r>
      <w:r>
        <w:rPr>
          <w:i/>
          <w:iCs/>
        </w:rPr>
        <w:t>International Journal of Contemporary Hospitality Management</w:t>
      </w:r>
      <w:r>
        <w:t xml:space="preserve">. </w:t>
      </w:r>
      <w:proofErr w:type="spellStart"/>
      <w:proofErr w:type="gramStart"/>
      <w:r>
        <w:t>doi:https</w:t>
      </w:r>
      <w:proofErr w:type="spellEnd"/>
      <w:r>
        <w:t>://doi.org/10.1108/ijchm-05-2021-0553</w:t>
      </w:r>
      <w:proofErr w:type="gramEnd"/>
      <w:r>
        <w:t>.</w:t>
      </w:r>
    </w:p>
    <w:p w14:paraId="4639ED31" w14:textId="77777777" w:rsidR="00A2531E" w:rsidRDefault="00A2531E" w:rsidP="00A2531E">
      <w:pPr>
        <w:pStyle w:val="NormalWeb"/>
        <w:spacing w:before="0" w:beforeAutospacing="0" w:after="240" w:afterAutospacing="0" w:line="360" w:lineRule="auto"/>
        <w:jc w:val="both"/>
      </w:pPr>
      <w:proofErr w:type="spellStart"/>
      <w:r>
        <w:t>Reidhead</w:t>
      </w:r>
      <w:proofErr w:type="spellEnd"/>
      <w:r>
        <w:t xml:space="preserve">, C. (2020). </w:t>
      </w:r>
      <w:r>
        <w:rPr>
          <w:i/>
          <w:iCs/>
        </w:rPr>
        <w:t>Impact of Organizational Culture on Employee Satisfaction: A Case of Hilton Hotel, United Kingdom</w:t>
      </w:r>
      <w:r>
        <w:t>. [online] papers.ssrn.com. Available at: https://papers.ssrn.com/sol3/papers.cfm?abstract_id=3563546.</w:t>
      </w:r>
    </w:p>
    <w:p w14:paraId="374D4A91" w14:textId="77777777" w:rsidR="00A2531E" w:rsidRDefault="00A2531E" w:rsidP="00A2531E">
      <w:pPr>
        <w:pStyle w:val="NormalWeb"/>
        <w:spacing w:before="0" w:beforeAutospacing="0" w:after="240" w:afterAutospacing="0" w:line="360" w:lineRule="auto"/>
        <w:jc w:val="both"/>
      </w:pPr>
      <w:r>
        <w:t xml:space="preserve">Tabrizi, R.S., </w:t>
      </w:r>
      <w:proofErr w:type="spellStart"/>
      <w:r>
        <w:t>Karatepe</w:t>
      </w:r>
      <w:proofErr w:type="spellEnd"/>
      <w:r>
        <w:t xml:space="preserve">, O.M., </w:t>
      </w:r>
      <w:proofErr w:type="spellStart"/>
      <w:r>
        <w:t>Rezapouraghdam</w:t>
      </w:r>
      <w:proofErr w:type="spellEnd"/>
      <w:r>
        <w:t xml:space="preserve">, H., </w:t>
      </w:r>
      <w:proofErr w:type="spellStart"/>
      <w:r>
        <w:t>Rescalvo</w:t>
      </w:r>
      <w:proofErr w:type="spellEnd"/>
      <w:r>
        <w:t xml:space="preserve">-Martin, E. and </w:t>
      </w:r>
      <w:proofErr w:type="spellStart"/>
      <w:r>
        <w:t>Enea</w:t>
      </w:r>
      <w:proofErr w:type="spellEnd"/>
      <w:r>
        <w:t xml:space="preserve">, C. (2023). Green human resource management, job embeddedness and their effects on restaurant employees’ green voice </w:t>
      </w:r>
      <w:proofErr w:type="spellStart"/>
      <w:r>
        <w:t>behaviors</w:t>
      </w:r>
      <w:proofErr w:type="spellEnd"/>
      <w:r>
        <w:t xml:space="preserve">. </w:t>
      </w:r>
      <w:r>
        <w:rPr>
          <w:i/>
          <w:iCs/>
        </w:rPr>
        <w:t>International Journal of Contemporary Hospitality Management</w:t>
      </w:r>
      <w:r>
        <w:t xml:space="preserve">. </w:t>
      </w:r>
      <w:proofErr w:type="spellStart"/>
      <w:proofErr w:type="gramStart"/>
      <w:r>
        <w:t>doi:https</w:t>
      </w:r>
      <w:proofErr w:type="spellEnd"/>
      <w:r>
        <w:t>://doi.org/10.1108/ijchm-06-2022-0750</w:t>
      </w:r>
      <w:proofErr w:type="gramEnd"/>
      <w:r>
        <w:t>.</w:t>
      </w:r>
    </w:p>
    <w:p w14:paraId="2B326762" w14:textId="77777777" w:rsidR="00A2531E" w:rsidRDefault="00A2531E" w:rsidP="00A2531E">
      <w:pPr>
        <w:pStyle w:val="NormalWeb"/>
        <w:spacing w:before="0" w:beforeAutospacing="0" w:after="240" w:afterAutospacing="0" w:line="360" w:lineRule="auto"/>
        <w:jc w:val="both"/>
      </w:pPr>
      <w:r>
        <w:t xml:space="preserve">Torrington, D., Hall, L., Atkinson, C. and Taylor, S. (2020). </w:t>
      </w:r>
      <w:r>
        <w:rPr>
          <w:i/>
          <w:iCs/>
        </w:rPr>
        <w:t>Human resource management</w:t>
      </w:r>
      <w:r>
        <w:t>. 10th ed. Harlow, U.K.: Pearson Education Limited.</w:t>
      </w:r>
    </w:p>
    <w:p w14:paraId="47B4D1C0" w14:textId="77777777" w:rsidR="00A2531E" w:rsidRDefault="00A2531E" w:rsidP="00A2531E">
      <w:pPr>
        <w:pStyle w:val="NormalWeb"/>
        <w:spacing w:before="0" w:beforeAutospacing="0" w:after="240" w:afterAutospacing="0" w:line="360" w:lineRule="auto"/>
        <w:jc w:val="both"/>
      </w:pPr>
      <w:r>
        <w:t xml:space="preserve">Tuan, L.T. (2022). Promoting employee green </w:t>
      </w:r>
      <w:proofErr w:type="spellStart"/>
      <w:r>
        <w:t>behavior</w:t>
      </w:r>
      <w:proofErr w:type="spellEnd"/>
      <w:r>
        <w:t xml:space="preserve"> in the Chinese and Vietnamese hospitality contexts: The roles of green human resource management practices and responsible leadership. </w:t>
      </w:r>
      <w:r>
        <w:rPr>
          <w:i/>
          <w:iCs/>
        </w:rPr>
        <w:t>International Journal of Hospitality Management</w:t>
      </w:r>
      <w:r>
        <w:t xml:space="preserve">, 105, p.103253. </w:t>
      </w:r>
      <w:proofErr w:type="spellStart"/>
      <w:proofErr w:type="gramStart"/>
      <w:r>
        <w:t>doi:https</w:t>
      </w:r>
      <w:proofErr w:type="spellEnd"/>
      <w:r>
        <w:t>://doi.org/10.1016/j.ijhm.2022.103253</w:t>
      </w:r>
      <w:proofErr w:type="gramEnd"/>
      <w:r>
        <w:t>.</w:t>
      </w:r>
    </w:p>
    <w:p w14:paraId="7EDF8099" w14:textId="77777777" w:rsidR="00A2531E" w:rsidRDefault="00A2531E" w:rsidP="00A2531E">
      <w:pPr>
        <w:pStyle w:val="NormalWeb"/>
        <w:spacing w:before="0" w:beforeAutospacing="0" w:after="240" w:afterAutospacing="0" w:line="360" w:lineRule="auto"/>
        <w:jc w:val="both"/>
      </w:pPr>
      <w:r>
        <w:t xml:space="preserve">Zhao, H. and Zhou, Q. (2020). Socially responsible human resource management and hotel employee organizational citizenship </w:t>
      </w:r>
      <w:proofErr w:type="spellStart"/>
      <w:r>
        <w:t>behavior</w:t>
      </w:r>
      <w:proofErr w:type="spellEnd"/>
      <w:r>
        <w:t xml:space="preserve"> for the environment: A social cognitive perspective. </w:t>
      </w:r>
      <w:r>
        <w:rPr>
          <w:i/>
          <w:iCs/>
        </w:rPr>
        <w:t>International Journal of Hospitality Management</w:t>
      </w:r>
      <w:r>
        <w:t xml:space="preserve">, 95, p.102749. </w:t>
      </w:r>
      <w:proofErr w:type="spellStart"/>
      <w:proofErr w:type="gramStart"/>
      <w:r>
        <w:t>doi:https</w:t>
      </w:r>
      <w:proofErr w:type="spellEnd"/>
      <w:r>
        <w:t>://doi.org/10.1016/j.ijhm.2020.102749</w:t>
      </w:r>
      <w:proofErr w:type="gramEnd"/>
      <w:r>
        <w:t>.</w:t>
      </w:r>
    </w:p>
    <w:p w14:paraId="5F556338" w14:textId="77777777" w:rsidR="00A2531E" w:rsidRDefault="00A2531E" w:rsidP="00A2531E"/>
    <w:p w14:paraId="69CC3C13" w14:textId="77777777" w:rsidR="00A2531E" w:rsidRDefault="00A2531E" w:rsidP="00A2531E"/>
    <w:p w14:paraId="5B2991D9" w14:textId="77777777" w:rsidR="00A2531E" w:rsidRDefault="00A2531E" w:rsidP="00A2531E"/>
    <w:p w14:paraId="64CD0FB7" w14:textId="77777777" w:rsidR="00A2531E" w:rsidRDefault="00A2531E" w:rsidP="00A2531E"/>
    <w:p w14:paraId="257E5E6A" w14:textId="6DE0EC3B" w:rsidR="00410127" w:rsidRPr="007E1007" w:rsidRDefault="00410127" w:rsidP="007E1007"/>
    <w:sectPr w:rsidR="00410127" w:rsidRPr="007E100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FCB47A" w14:textId="77777777" w:rsidR="00C139C8" w:rsidRDefault="00C139C8">
      <w:pPr>
        <w:spacing w:after="0" w:line="240" w:lineRule="auto"/>
      </w:pPr>
      <w:r>
        <w:separator/>
      </w:r>
    </w:p>
  </w:endnote>
  <w:endnote w:type="continuationSeparator" w:id="0">
    <w:p w14:paraId="2CDB4325" w14:textId="77777777" w:rsidR="00C139C8" w:rsidRDefault="00C13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2293422"/>
      <w:docPartObj>
        <w:docPartGallery w:val="Page Numbers (Bottom of Page)"/>
        <w:docPartUnique/>
      </w:docPartObj>
    </w:sdtPr>
    <w:sdtEndPr>
      <w:rPr>
        <w:noProof/>
      </w:rPr>
    </w:sdtEndPr>
    <w:sdtContent>
      <w:p w14:paraId="13A9099F" w14:textId="77777777" w:rsidR="00DE0404" w:rsidRDefault="00155DB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6E2D39E" w14:textId="77777777" w:rsidR="00DE0404" w:rsidRDefault="00C13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FDC63C" w14:textId="77777777" w:rsidR="00C139C8" w:rsidRDefault="00C139C8">
      <w:pPr>
        <w:spacing w:after="0" w:line="240" w:lineRule="auto"/>
      </w:pPr>
      <w:r>
        <w:separator/>
      </w:r>
    </w:p>
  </w:footnote>
  <w:footnote w:type="continuationSeparator" w:id="0">
    <w:p w14:paraId="5BAE6A75" w14:textId="77777777" w:rsidR="00C139C8" w:rsidRDefault="00C139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D256F"/>
    <w:multiLevelType w:val="hybridMultilevel"/>
    <w:tmpl w:val="B8483824"/>
    <w:lvl w:ilvl="0" w:tplc="8E8AB3C6">
      <w:start w:val="1"/>
      <w:numFmt w:val="bullet"/>
      <w:lvlText w:val="•"/>
      <w:lvlJc w:val="left"/>
      <w:pPr>
        <w:tabs>
          <w:tab w:val="num" w:pos="720"/>
        </w:tabs>
        <w:ind w:left="720" w:hanging="360"/>
      </w:pPr>
      <w:rPr>
        <w:rFonts w:ascii="Arial" w:hAnsi="Arial" w:cs="Times New Roman" w:hint="default"/>
      </w:rPr>
    </w:lvl>
    <w:lvl w:ilvl="1" w:tplc="5706E214">
      <w:start w:val="1"/>
      <w:numFmt w:val="bullet"/>
      <w:lvlText w:val="•"/>
      <w:lvlJc w:val="left"/>
      <w:pPr>
        <w:tabs>
          <w:tab w:val="num" w:pos="1440"/>
        </w:tabs>
        <w:ind w:left="1440" w:hanging="360"/>
      </w:pPr>
      <w:rPr>
        <w:rFonts w:ascii="Arial" w:hAnsi="Arial" w:cs="Times New Roman" w:hint="default"/>
      </w:rPr>
    </w:lvl>
    <w:lvl w:ilvl="2" w:tplc="DE341BC6">
      <w:start w:val="1"/>
      <w:numFmt w:val="bullet"/>
      <w:lvlText w:val="•"/>
      <w:lvlJc w:val="left"/>
      <w:pPr>
        <w:tabs>
          <w:tab w:val="num" w:pos="2160"/>
        </w:tabs>
        <w:ind w:left="2160" w:hanging="360"/>
      </w:pPr>
      <w:rPr>
        <w:rFonts w:ascii="Arial" w:hAnsi="Arial" w:cs="Times New Roman" w:hint="default"/>
      </w:rPr>
    </w:lvl>
    <w:lvl w:ilvl="3" w:tplc="F348C944">
      <w:start w:val="1"/>
      <w:numFmt w:val="bullet"/>
      <w:lvlText w:val="•"/>
      <w:lvlJc w:val="left"/>
      <w:pPr>
        <w:tabs>
          <w:tab w:val="num" w:pos="2880"/>
        </w:tabs>
        <w:ind w:left="2880" w:hanging="360"/>
      </w:pPr>
      <w:rPr>
        <w:rFonts w:ascii="Arial" w:hAnsi="Arial" w:cs="Times New Roman" w:hint="default"/>
      </w:rPr>
    </w:lvl>
    <w:lvl w:ilvl="4" w:tplc="DEB69E1A">
      <w:start w:val="1"/>
      <w:numFmt w:val="bullet"/>
      <w:lvlText w:val="•"/>
      <w:lvlJc w:val="left"/>
      <w:pPr>
        <w:tabs>
          <w:tab w:val="num" w:pos="3600"/>
        </w:tabs>
        <w:ind w:left="3600" w:hanging="360"/>
      </w:pPr>
      <w:rPr>
        <w:rFonts w:ascii="Arial" w:hAnsi="Arial" w:cs="Times New Roman" w:hint="default"/>
      </w:rPr>
    </w:lvl>
    <w:lvl w:ilvl="5" w:tplc="C5946FA0">
      <w:start w:val="1"/>
      <w:numFmt w:val="bullet"/>
      <w:lvlText w:val="•"/>
      <w:lvlJc w:val="left"/>
      <w:pPr>
        <w:tabs>
          <w:tab w:val="num" w:pos="4320"/>
        </w:tabs>
        <w:ind w:left="4320" w:hanging="360"/>
      </w:pPr>
      <w:rPr>
        <w:rFonts w:ascii="Arial" w:hAnsi="Arial" w:cs="Times New Roman" w:hint="default"/>
      </w:rPr>
    </w:lvl>
    <w:lvl w:ilvl="6" w:tplc="ED662118">
      <w:start w:val="1"/>
      <w:numFmt w:val="bullet"/>
      <w:lvlText w:val="•"/>
      <w:lvlJc w:val="left"/>
      <w:pPr>
        <w:tabs>
          <w:tab w:val="num" w:pos="5040"/>
        </w:tabs>
        <w:ind w:left="5040" w:hanging="360"/>
      </w:pPr>
      <w:rPr>
        <w:rFonts w:ascii="Arial" w:hAnsi="Arial" w:cs="Times New Roman" w:hint="default"/>
      </w:rPr>
    </w:lvl>
    <w:lvl w:ilvl="7" w:tplc="F2A2CFF4">
      <w:start w:val="1"/>
      <w:numFmt w:val="bullet"/>
      <w:lvlText w:val="•"/>
      <w:lvlJc w:val="left"/>
      <w:pPr>
        <w:tabs>
          <w:tab w:val="num" w:pos="5760"/>
        </w:tabs>
        <w:ind w:left="5760" w:hanging="360"/>
      </w:pPr>
      <w:rPr>
        <w:rFonts w:ascii="Arial" w:hAnsi="Arial" w:cs="Times New Roman" w:hint="default"/>
      </w:rPr>
    </w:lvl>
    <w:lvl w:ilvl="8" w:tplc="6D46AD60">
      <w:start w:val="1"/>
      <w:numFmt w:val="bullet"/>
      <w:lvlText w:val="•"/>
      <w:lvlJc w:val="left"/>
      <w:pPr>
        <w:tabs>
          <w:tab w:val="num" w:pos="6480"/>
        </w:tabs>
        <w:ind w:left="6480" w:hanging="360"/>
      </w:pPr>
      <w:rPr>
        <w:rFonts w:ascii="Arial" w:hAnsi="Arial" w:cs="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B1C"/>
    <w:rsid w:val="00155DB0"/>
    <w:rsid w:val="0019519F"/>
    <w:rsid w:val="00235FB2"/>
    <w:rsid w:val="00374A7C"/>
    <w:rsid w:val="00410127"/>
    <w:rsid w:val="004B6DFE"/>
    <w:rsid w:val="00512B55"/>
    <w:rsid w:val="006765CE"/>
    <w:rsid w:val="007008F4"/>
    <w:rsid w:val="007E1007"/>
    <w:rsid w:val="007F47A7"/>
    <w:rsid w:val="00815ACD"/>
    <w:rsid w:val="00A2531E"/>
    <w:rsid w:val="00A607A2"/>
    <w:rsid w:val="00B03C2F"/>
    <w:rsid w:val="00C139C8"/>
    <w:rsid w:val="00C33F15"/>
    <w:rsid w:val="00CB7D52"/>
    <w:rsid w:val="00E35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F8051"/>
  <w15:chartTrackingRefBased/>
  <w15:docId w15:val="{A273A5D8-F140-4A43-A547-71EA6B1DD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C2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3C2F"/>
    <w:pPr>
      <w:keepNext/>
      <w:keepLines/>
      <w:spacing w:before="240" w:after="0"/>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2F"/>
    <w:rPr>
      <w:rFonts w:ascii="Arial" w:eastAsiaTheme="majorEastAsia" w:hAnsi="Arial" w:cstheme="majorBidi"/>
      <w:b/>
      <w:sz w:val="32"/>
      <w:szCs w:val="32"/>
    </w:rPr>
  </w:style>
  <w:style w:type="paragraph" w:styleId="NormalWeb">
    <w:name w:val="Normal (Web)"/>
    <w:basedOn w:val="Normal"/>
    <w:uiPriority w:val="99"/>
    <w:semiHidden/>
    <w:unhideWhenUsed/>
    <w:rsid w:val="00B03C2F"/>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B03C2F"/>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03C2F"/>
    <w:rPr>
      <w:i/>
      <w:iCs/>
    </w:rPr>
  </w:style>
  <w:style w:type="paragraph" w:styleId="Title">
    <w:name w:val="Title"/>
    <w:basedOn w:val="Normal"/>
    <w:next w:val="Normal"/>
    <w:link w:val="TitleChar"/>
    <w:uiPriority w:val="10"/>
    <w:qFormat/>
    <w:rsid w:val="007E1007"/>
    <w:pPr>
      <w:spacing w:after="0"/>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7E1007"/>
    <w:rPr>
      <w:rFonts w:ascii="Arial" w:eastAsiaTheme="majorEastAsia" w:hAnsi="Arial" w:cstheme="majorBidi"/>
      <w:b/>
      <w:spacing w:val="-10"/>
      <w:kern w:val="28"/>
      <w:sz w:val="48"/>
      <w:szCs w:val="56"/>
    </w:rPr>
  </w:style>
  <w:style w:type="paragraph" w:styleId="Footer">
    <w:name w:val="footer"/>
    <w:basedOn w:val="Normal"/>
    <w:link w:val="FooterChar"/>
    <w:uiPriority w:val="99"/>
    <w:unhideWhenUsed/>
    <w:rsid w:val="007E1007"/>
    <w:pPr>
      <w:tabs>
        <w:tab w:val="center" w:pos="4680"/>
        <w:tab w:val="right" w:pos="9360"/>
      </w:tabs>
      <w:spacing w:after="0" w:line="240" w:lineRule="auto"/>
    </w:pPr>
    <w:rPr>
      <w:rFonts w:ascii="Arial" w:hAnsi="Arial"/>
    </w:rPr>
  </w:style>
  <w:style w:type="character" w:customStyle="1" w:styleId="FooterChar">
    <w:name w:val="Footer Char"/>
    <w:basedOn w:val="DefaultParagraphFont"/>
    <w:link w:val="Footer"/>
    <w:uiPriority w:val="99"/>
    <w:rsid w:val="007E1007"/>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618728">
      <w:bodyDiv w:val="1"/>
      <w:marLeft w:val="0"/>
      <w:marRight w:val="0"/>
      <w:marTop w:val="0"/>
      <w:marBottom w:val="0"/>
      <w:divBdr>
        <w:top w:val="none" w:sz="0" w:space="0" w:color="auto"/>
        <w:left w:val="none" w:sz="0" w:space="0" w:color="auto"/>
        <w:bottom w:val="none" w:sz="0" w:space="0" w:color="auto"/>
        <w:right w:val="none" w:sz="0" w:space="0" w:color="auto"/>
      </w:divBdr>
    </w:div>
    <w:div w:id="2037733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3025</Words>
  <Characters>17249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3</cp:revision>
  <dcterms:created xsi:type="dcterms:W3CDTF">2023-06-12T21:04:00Z</dcterms:created>
  <dcterms:modified xsi:type="dcterms:W3CDTF">2023-11-21T00:04:00Z</dcterms:modified>
</cp:coreProperties>
</file>