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6402B1" w:rsidRPr="00667E01" w:rsidRDefault="006402B1" w:rsidP="00BD600C">
      <w:pPr>
        <w:spacing w:line="480" w:lineRule="auto"/>
        <w:jc w:val="center"/>
        <w:rPr>
          <w:u w:val="single"/>
        </w:rPr>
      </w:pPr>
      <w:r>
        <w:rPr>
          <w:u w:val="single"/>
        </w:rPr>
        <w:t xml:space="preserve">James Forder CLCS 4001: </w:t>
      </w:r>
      <w:r w:rsidRPr="00667E01">
        <w:rPr>
          <w:u w:val="single"/>
        </w:rPr>
        <w:t xml:space="preserve">Examine the Homeric </w:t>
      </w:r>
      <w:r w:rsidRPr="00667E01">
        <w:rPr>
          <w:i/>
          <w:u w:val="single"/>
        </w:rPr>
        <w:t>Hymn to Demeter</w:t>
      </w:r>
      <w:r w:rsidRPr="00667E01">
        <w:rPr>
          <w:u w:val="single"/>
        </w:rPr>
        <w:t xml:space="preserve"> from the perspective of its ability to explain, and its influence on, ritual practices in Greece.</w:t>
      </w:r>
    </w:p>
    <w:p w:rsidR="00EA62A9" w:rsidRDefault="00667E01" w:rsidP="00BD600C">
      <w:pPr>
        <w:spacing w:line="480" w:lineRule="auto"/>
      </w:pPr>
      <w:r>
        <w:t xml:space="preserve">The </w:t>
      </w:r>
      <w:r>
        <w:rPr>
          <w:i/>
        </w:rPr>
        <w:t>Hymn to Demeter</w:t>
      </w:r>
      <w:r>
        <w:t xml:space="preserve"> gives us a major insight into the ways in which the ancient Greek people viewed their ritual and religious practices</w:t>
      </w:r>
      <w:r w:rsidR="00EA62A9">
        <w:t>, as well as explaining how those rituals affected and were used by different people</w:t>
      </w:r>
      <w:r w:rsidR="008573BA">
        <w:t>,</w:t>
      </w:r>
      <w:r w:rsidR="00EA62A9">
        <w:t xml:space="preserve"> particularly regarding agriculture and fertility, with its explanation for the seasons. It </w:t>
      </w:r>
      <w:r w:rsidR="00717590">
        <w:t>likewise</w:t>
      </w:r>
      <w:r w:rsidR="00EA62A9">
        <w:t xml:space="preserve"> shows the Greek perception of death and the afterlife and how that encouraged people to become initiates into the Eleusinian Mystery Cult. Perspectives on marriage and women’s transition into adulthood are also present. It </w:t>
      </w:r>
      <w:r w:rsidR="00717590">
        <w:t>too</w:t>
      </w:r>
      <w:r w:rsidR="00EA62A9">
        <w:t xml:space="preserve"> exhibits the seriousness with which they took their myths and rituals, and their popularity with people, and explains the ways which this was used for political purposes, particularly by the Athenian state. By examining these areas, we can get a reasonable picture of how ritual practices were performed, and how they affected the lives of the people who performed them</w:t>
      </w:r>
      <w:r w:rsidR="00B5025F">
        <w:t>, as well as their popularity with the population across society</w:t>
      </w:r>
      <w:r w:rsidR="00EA62A9">
        <w:t>.</w:t>
      </w:r>
    </w:p>
    <w:p w:rsidR="00275CD2" w:rsidRPr="00667E01" w:rsidRDefault="00275CD2" w:rsidP="00BD600C">
      <w:pPr>
        <w:spacing w:line="480" w:lineRule="auto"/>
        <w:ind w:firstLine="720"/>
      </w:pPr>
      <w:r>
        <w:t>The rituals which are depicted in the Hymn to Demeter are subject to some debate</w:t>
      </w:r>
      <w:r w:rsidR="004452DB">
        <w:t xml:space="preserve"> over what exactly they represent</w:t>
      </w:r>
      <w:r>
        <w:t xml:space="preserve">. For example, it is debated whether the hymn to Demeter simply depicts the Eleusinian Mysteries, or also depicts the </w:t>
      </w:r>
      <w:proofErr w:type="spellStart"/>
      <w:r>
        <w:t>Thesmophoria</w:t>
      </w:r>
      <w:proofErr w:type="spellEnd"/>
      <w:r>
        <w:t xml:space="preserve"> Festival.</w:t>
      </w:r>
      <w:r>
        <w:rPr>
          <w:rStyle w:val="FootnoteReference"/>
        </w:rPr>
        <w:footnoteReference w:id="1"/>
      </w:r>
      <w:r>
        <w:t xml:space="preserve"> Although it certainly does depict the mysteries at Eleusis, due to the specific mention of the location, there are also themes which coincide with</w:t>
      </w:r>
      <w:r w:rsidR="00530D7E">
        <w:t xml:space="preserve"> the</w:t>
      </w:r>
      <w:r>
        <w:t xml:space="preserve"> </w:t>
      </w:r>
      <w:proofErr w:type="spellStart"/>
      <w:r>
        <w:t>Thesmophoria</w:t>
      </w:r>
      <w:proofErr w:type="spellEnd"/>
      <w:r>
        <w:t>, such as the issue of agricultural fertility (305, 469-72) and issues of human fertility, with Kore portrayed on the verge of fertility</w:t>
      </w:r>
      <w:r w:rsidR="00FF471C">
        <w:t xml:space="preserve"> and</w:t>
      </w:r>
      <w:r>
        <w:t xml:space="preserve"> Demeter being beyond fertility</w:t>
      </w:r>
      <w:r w:rsidR="00476451">
        <w:t>,</w:t>
      </w:r>
      <w:r>
        <w:t xml:space="preserve"> </w:t>
      </w:r>
      <w:r w:rsidR="00E76FAA">
        <w:t>(</w:t>
      </w:r>
      <w:r w:rsidR="00FF471C">
        <w:t>140)</w:t>
      </w:r>
      <w:r w:rsidR="00FF471C">
        <w:rPr>
          <w:rStyle w:val="FootnoteReference"/>
        </w:rPr>
        <w:footnoteReference w:id="2"/>
      </w:r>
      <w:r w:rsidR="00FF471C">
        <w:t xml:space="preserve"> as well as specifically women’s issues. This shows that the Hymn to Demeter had a wide influence, inspiring or contributing to various rituals and festivals.</w:t>
      </w:r>
    </w:p>
    <w:p w:rsidR="00886DF2" w:rsidRDefault="006402B1" w:rsidP="00BD600C">
      <w:pPr>
        <w:spacing w:line="480" w:lineRule="auto"/>
      </w:pPr>
      <w:r>
        <w:lastRenderedPageBreak/>
        <w:tab/>
        <w:t xml:space="preserve">One interpretation of the Hymn to Demeter could be a representation of the seasons, with Persephone’s time in the underworld causing </w:t>
      </w:r>
      <w:r w:rsidR="00B56FCA">
        <w:t>the</w:t>
      </w:r>
      <w:r>
        <w:t xml:space="preserve"> </w:t>
      </w:r>
      <w:r w:rsidR="00B56FCA">
        <w:t>section</w:t>
      </w:r>
      <w:r>
        <w:t xml:space="preserve"> of the year in which crops do not grow, (303-12</w:t>
      </w:r>
      <w:r w:rsidR="00275CD2">
        <w:t>, 333</w:t>
      </w:r>
      <w:r>
        <w:t>) and her return causing the time of year in which crops grow.</w:t>
      </w:r>
      <w:r w:rsidR="001347DB">
        <w:rPr>
          <w:rStyle w:val="FootnoteReference"/>
        </w:rPr>
        <w:footnoteReference w:id="3"/>
      </w:r>
      <w:r>
        <w:t xml:space="preserve"> </w:t>
      </w:r>
      <w:r w:rsidR="001347DB">
        <w:t xml:space="preserve">This </w:t>
      </w:r>
      <w:r w:rsidR="00B5025F">
        <w:t>may</w:t>
      </w:r>
      <w:r w:rsidR="001347DB">
        <w:t xml:space="preserve"> link to the three days of the </w:t>
      </w:r>
      <w:proofErr w:type="spellStart"/>
      <w:r w:rsidR="001347DB">
        <w:t>Thesmophoria</w:t>
      </w:r>
      <w:proofErr w:type="spellEnd"/>
      <w:r w:rsidR="001347DB">
        <w:t xml:space="preserve"> Festival, of which each day could represent different phase</w:t>
      </w:r>
      <w:r w:rsidR="00582C90">
        <w:t>s</w:t>
      </w:r>
      <w:r w:rsidR="001347DB">
        <w:t xml:space="preserve"> of the cycle</w:t>
      </w:r>
      <w:r w:rsidR="00582C90">
        <w:t>s</w:t>
      </w:r>
      <w:r w:rsidR="001347DB">
        <w:t xml:space="preserve"> of crops and human reproduction.</w:t>
      </w:r>
      <w:r w:rsidR="001347DB">
        <w:rPr>
          <w:rStyle w:val="FootnoteReference"/>
        </w:rPr>
        <w:footnoteReference w:id="4"/>
      </w:r>
      <w:r w:rsidR="001347DB">
        <w:t xml:space="preserve"> This theme of seasons also links to the agricultural themes, with the object revealed during the Eleusinian Mystery possibly being something as simple as a piece of wheat, symbolising the cycle of the seed being cast into darkness underground, only to rise again into life, as Persephone cycles between the land of the living and dead.</w:t>
      </w:r>
      <w:r w:rsidR="001347DB">
        <w:rPr>
          <w:rStyle w:val="FootnoteReference"/>
        </w:rPr>
        <w:footnoteReference w:id="5"/>
      </w:r>
      <w:r w:rsidR="001347DB">
        <w:t xml:space="preserve"> </w:t>
      </w:r>
      <w:r w:rsidR="00C71CE1">
        <w:t>This link to agriculture and fertility is important, as it affects every group within the population, explaining why it was open to all Greek speakers. However,</w:t>
      </w:r>
      <w:r w:rsidR="001347DB">
        <w:t xml:space="preserve"> the typical interpretation of the time of barren soil coinciding with winter is rendered unlikely, due to the flowers mentioned in lines 8-10 growing in summer, therefore Kore’s kidnap does not coincide with winter in the myth.</w:t>
      </w:r>
      <w:r w:rsidR="001347DB">
        <w:rPr>
          <w:rStyle w:val="FootnoteReference"/>
        </w:rPr>
        <w:footnoteReference w:id="6"/>
      </w:r>
      <w:r w:rsidR="001347DB">
        <w:t xml:space="preserve"> However, the seasonal interpretation could still have merit, as the hotter climate of the time and area may have made the summer a more difficult time to grow crops</w:t>
      </w:r>
      <w:r w:rsidR="00C71CE1">
        <w:t xml:space="preserve">, with Persephone’s time in Hades </w:t>
      </w:r>
      <w:r w:rsidR="00582C90">
        <w:t>representing</w:t>
      </w:r>
      <w:r w:rsidR="00C71CE1">
        <w:t xml:space="preserve"> summer</w:t>
      </w:r>
      <w:r w:rsidR="007B2459">
        <w:t>.</w:t>
      </w:r>
    </w:p>
    <w:p w:rsidR="007B2459" w:rsidRDefault="007B2459" w:rsidP="00BD600C">
      <w:pPr>
        <w:spacing w:line="480" w:lineRule="auto"/>
      </w:pPr>
      <w:r>
        <w:tab/>
        <w:t xml:space="preserve">The hymn </w:t>
      </w:r>
      <w:r w:rsidR="00C71CE1">
        <w:t>also gives</w:t>
      </w:r>
      <w:r>
        <w:t xml:space="preserve"> an insight into the Greek perception of death, and how it influences their decisions to take part in rituals. The promise of a better afterlife for initiates into the Eleusinian </w:t>
      </w:r>
      <w:r w:rsidR="00B5025F">
        <w:t xml:space="preserve">Cult </w:t>
      </w:r>
      <w:r>
        <w:t xml:space="preserve">(line 480) and </w:t>
      </w:r>
      <w:r w:rsidR="002522CF">
        <w:t>‘</w:t>
      </w:r>
      <w:r>
        <w:t>mouldy gloom</w:t>
      </w:r>
      <w:r w:rsidR="002522CF">
        <w:t>’</w:t>
      </w:r>
      <w:bookmarkStart w:id="0" w:name="_GoBack"/>
      <w:bookmarkEnd w:id="0"/>
      <w:r>
        <w:t xml:space="preserve"> for those who are not initiated (481 </w:t>
      </w:r>
      <w:r w:rsidR="00622603">
        <w:t xml:space="preserve">trans. </w:t>
      </w:r>
      <w:proofErr w:type="spellStart"/>
      <w:r>
        <w:t>Crudden</w:t>
      </w:r>
      <w:proofErr w:type="spellEnd"/>
      <w:r>
        <w:t>) shows an uncertainty regarding their fates after death, indicating a fear of an unpleasant fate after death</w:t>
      </w:r>
      <w:r w:rsidR="00F07DF7">
        <w:t xml:space="preserve"> and a hope for a better existence</w:t>
      </w:r>
      <w:r w:rsidR="00935B4A">
        <w:t>.</w:t>
      </w:r>
      <w:r w:rsidR="00F07DF7">
        <w:rPr>
          <w:rStyle w:val="FootnoteReference"/>
        </w:rPr>
        <w:footnoteReference w:id="7"/>
      </w:r>
      <w:r w:rsidR="00F07DF7">
        <w:t xml:space="preserve"> This is further illustrated in Aristophanes’ </w:t>
      </w:r>
      <w:r w:rsidR="00F07DF7">
        <w:rPr>
          <w:i/>
        </w:rPr>
        <w:t>Frogs</w:t>
      </w:r>
      <w:r w:rsidR="00F07DF7">
        <w:t xml:space="preserve"> account of the “happy bands of initiates” (312-36) in Hades</w:t>
      </w:r>
      <w:r w:rsidR="00B25840">
        <w:t xml:space="preserve"> showing the </w:t>
      </w:r>
      <w:r w:rsidR="00B25840">
        <w:lastRenderedPageBreak/>
        <w:t>positive results of initiation</w:t>
      </w:r>
      <w:r w:rsidR="00935B4A">
        <w:t xml:space="preserve">. It also shows that death is an unescapable and inevitable reality, with Persephone, although immortal, experiencing the reality of death through her marriage to Hades. </w:t>
      </w:r>
      <w:r w:rsidR="00B25840">
        <w:t>However, the promise of a better afterlife also shows death to be a form of new beginning.</w:t>
      </w:r>
      <w:r w:rsidR="00B25840">
        <w:rPr>
          <w:rStyle w:val="FootnoteReference"/>
        </w:rPr>
        <w:footnoteReference w:id="8"/>
      </w:r>
      <w:r w:rsidR="00B25840">
        <w:t xml:space="preserve"> </w:t>
      </w:r>
      <w:r w:rsidR="007317A6">
        <w:t xml:space="preserve">The depiction of Oedipus’ death in </w:t>
      </w:r>
      <w:r w:rsidR="00EE0840" w:rsidRPr="002A3EF7">
        <w:rPr>
          <w:i/>
        </w:rPr>
        <w:t xml:space="preserve">Oedipus at </w:t>
      </w:r>
      <w:proofErr w:type="spellStart"/>
      <w:r w:rsidR="00EE0840" w:rsidRPr="002A3EF7">
        <w:rPr>
          <w:i/>
        </w:rPr>
        <w:t>Colonus</w:t>
      </w:r>
      <w:proofErr w:type="spellEnd"/>
      <w:r w:rsidR="00EE0840">
        <w:t xml:space="preserve"> also shows this more positive aspect of death for initiates. (Sophocles </w:t>
      </w:r>
      <w:r w:rsidR="007F3F9B">
        <w:rPr>
          <w:i/>
        </w:rPr>
        <w:t>OC</w:t>
      </w:r>
      <w:r w:rsidR="00EE0840">
        <w:rPr>
          <w:i/>
        </w:rPr>
        <w:t xml:space="preserve"> 1864-1891). </w:t>
      </w:r>
      <w:r w:rsidR="00EE0840">
        <w:t xml:space="preserve"> </w:t>
      </w:r>
      <w:r w:rsidR="00B25840" w:rsidRPr="00EE0840">
        <w:t>This</w:t>
      </w:r>
      <w:r w:rsidR="00B25840">
        <w:t xml:space="preserve"> </w:t>
      </w:r>
      <w:r w:rsidR="00EE0840">
        <w:t>uncertainty</w:t>
      </w:r>
      <w:r w:rsidR="00B25840">
        <w:t xml:space="preserve"> of death was a major factor in the widespread popularity of the Eleusinian Mysteries, with men initiating their wives and slaves, to share the experience of the blessed afterlife with themselves.</w:t>
      </w:r>
      <w:r w:rsidR="00B25840">
        <w:rPr>
          <w:rStyle w:val="FootnoteReference"/>
        </w:rPr>
        <w:footnoteReference w:id="9"/>
      </w:r>
    </w:p>
    <w:p w:rsidR="00FB13AB" w:rsidRDefault="00FB13AB" w:rsidP="00BD600C">
      <w:pPr>
        <w:spacing w:line="480" w:lineRule="auto"/>
      </w:pPr>
      <w:r>
        <w:tab/>
        <w:t xml:space="preserve">The Greek perception of marriage can also be expanded upon by the hymn. </w:t>
      </w:r>
      <w:r w:rsidR="001E7534">
        <w:t xml:space="preserve">The depiction of Kore picking flowers in a meadow, (7-9) infers a girl on the verge of maturity and sexuality, with her description of the narcissus as a “toy” </w:t>
      </w:r>
      <w:r w:rsidR="00591256">
        <w:t>showing</w:t>
      </w:r>
      <w:r w:rsidR="001E7534">
        <w:t xml:space="preserve"> that she is still yet to become fully mature. Her abduction during this time</w:t>
      </w:r>
      <w:r w:rsidR="00591256">
        <w:t xml:space="preserve"> </w:t>
      </w:r>
      <w:r w:rsidR="001E7534">
        <w:t>shows that it was customary for women to marry as soon as they approach maturity</w:t>
      </w:r>
      <w:r w:rsidR="007D75C9">
        <w:t xml:space="preserve">. She is also </w:t>
      </w:r>
      <w:r w:rsidR="008E4FA6">
        <w:t xml:space="preserve">treated as a form of property by Hades and her mother, with her cycle between the two being a transfer of ownership of her, rather than being her own person. It is also interesting to note that the name “Kore”, roughly simply meaning “maiden” is used before her marriage, only receiving a real name </w:t>
      </w:r>
      <w:r w:rsidR="0006677D">
        <w:t>subsequently</w:t>
      </w:r>
      <w:r w:rsidR="008E4FA6">
        <w:t>. This shows that women were not considered to have completed their transition into adulthood until they had been married.</w:t>
      </w:r>
      <w:r w:rsidR="008E4FA6">
        <w:rPr>
          <w:rStyle w:val="FootnoteReference"/>
        </w:rPr>
        <w:footnoteReference w:id="10"/>
      </w:r>
      <w:r w:rsidR="008E4FA6">
        <w:t xml:space="preserve"> Therefore, marriage was considered the final step in a woman’s transition into adulthood, though she was always considered the property of whichever family she was attached to.</w:t>
      </w:r>
    </w:p>
    <w:p w:rsidR="008E4FA6" w:rsidRDefault="008E4FA6" w:rsidP="00BD600C">
      <w:pPr>
        <w:spacing w:line="480" w:lineRule="auto"/>
      </w:pPr>
      <w:r>
        <w:tab/>
      </w:r>
      <w:r w:rsidR="00C37B13">
        <w:t xml:space="preserve">We can also get a good impression of how the Greek people viewed their myths. For example, the sentence of death for those who revealed the secrets of the mysteries, (479) </w:t>
      </w:r>
      <w:r w:rsidR="00C37B13">
        <w:lastRenderedPageBreak/>
        <w:t xml:space="preserve">shows that they took their ritual practices very seriously. An example of this </w:t>
      </w:r>
      <w:r w:rsidR="00CE283C">
        <w:t>is</w:t>
      </w:r>
      <w:r w:rsidR="00C37B13">
        <w:t xml:space="preserve"> the sentence of </w:t>
      </w:r>
      <w:proofErr w:type="spellStart"/>
      <w:r w:rsidR="00E165EF">
        <w:t>Alkibiades</w:t>
      </w:r>
      <w:proofErr w:type="spellEnd"/>
      <w:r w:rsidR="00CE283C">
        <w:t xml:space="preserve"> </w:t>
      </w:r>
      <w:r w:rsidR="009725D9">
        <w:t xml:space="preserve">after being accused of imitating the Eleusinian Mysteries </w:t>
      </w:r>
      <w:r w:rsidR="0006677D">
        <w:t>following</w:t>
      </w:r>
      <w:r w:rsidR="009725D9">
        <w:t xml:space="preserve"> the mutilation of the </w:t>
      </w:r>
      <w:proofErr w:type="spellStart"/>
      <w:r w:rsidR="009725D9">
        <w:t>Hermai</w:t>
      </w:r>
      <w:proofErr w:type="spellEnd"/>
      <w:r w:rsidR="009725D9">
        <w:t>. (Thucydides 6.271-282) That religious matters brought down a popular and powerful politician and military leader, at a time when such people were vitally important, and his defection to Sparta, show that the content of the mythology was taken seriously and was above the political and military needs of Athens.</w:t>
      </w:r>
      <w:r w:rsidR="009725D9">
        <w:rPr>
          <w:rStyle w:val="FootnoteReference"/>
        </w:rPr>
        <w:footnoteReference w:id="11"/>
      </w:r>
      <w:r w:rsidR="00502E15">
        <w:t xml:space="preserve"> </w:t>
      </w:r>
      <w:r w:rsidR="006508F3">
        <w:t xml:space="preserve">This is because failing to perform these rites </w:t>
      </w:r>
      <w:r w:rsidR="0006677D">
        <w:t>appropriately</w:t>
      </w:r>
      <w:r w:rsidR="006508F3">
        <w:t xml:space="preserve"> could have disastrous consequences for the harvest, possibly with Demeter’s potential dissatisfaction leading to her returning the land to its barren state. </w:t>
      </w:r>
      <w:r w:rsidR="00502E15">
        <w:t>This importance continued into the Roman period</w:t>
      </w:r>
      <w:r w:rsidR="00923076">
        <w:t>, with Cicero describing he mysteries as the origin of civilisation</w:t>
      </w:r>
      <w:r w:rsidR="00502E15">
        <w:t xml:space="preserve">. (Cicero </w:t>
      </w:r>
      <w:r w:rsidR="00502E15">
        <w:rPr>
          <w:i/>
        </w:rPr>
        <w:t>Laws</w:t>
      </w:r>
      <w:r w:rsidR="00502E15">
        <w:t xml:space="preserve"> 2.36)</w:t>
      </w:r>
      <w:r w:rsidR="002607BF">
        <w:t xml:space="preserve"> The Greeks also saw the actions of their deities as important. The rituals such as fasting, mimicking the fasting of Demeter (200-208) show that the people were to suffer as the goddess did, a link to more recent religious customs, such as Ramadan, to ensure a successful harvest.</w:t>
      </w:r>
      <w:r w:rsidR="002607BF">
        <w:rPr>
          <w:rStyle w:val="FootnoteReference"/>
        </w:rPr>
        <w:footnoteReference w:id="12"/>
      </w:r>
      <w:r w:rsidR="002607BF">
        <w:t xml:space="preserve"> Overall, this reveals that the myths and deities were </w:t>
      </w:r>
      <w:r w:rsidR="00EE0840">
        <w:t>considered</w:t>
      </w:r>
      <w:r w:rsidR="002607BF">
        <w:t xml:space="preserve"> literal and taken seriously.</w:t>
      </w:r>
    </w:p>
    <w:p w:rsidR="009E56DB" w:rsidRDefault="009E56DB" w:rsidP="00BD600C">
      <w:pPr>
        <w:spacing w:line="480" w:lineRule="auto"/>
      </w:pPr>
      <w:r>
        <w:tab/>
      </w:r>
      <w:r w:rsidR="00433DA6">
        <w:t>The political usage of rituals and religion can also be explained</w:t>
      </w:r>
      <w:r w:rsidR="00F12EA7">
        <w:t>.</w:t>
      </w:r>
      <w:r w:rsidR="0097390B">
        <w:t xml:space="preserve"> </w:t>
      </w:r>
      <w:r w:rsidR="00433DA6">
        <w:t>The association of Demeter’s gift of agriculture and the mysteries to Eleusis was used by Athens to portray itself as a “universal benefactor of mankind”,</w:t>
      </w:r>
      <w:r w:rsidR="00433DA6">
        <w:rPr>
          <w:rStyle w:val="FootnoteReference"/>
        </w:rPr>
        <w:footnoteReference w:id="13"/>
      </w:r>
      <w:r w:rsidR="00433DA6">
        <w:t xml:space="preserve"> </w:t>
      </w:r>
      <w:r w:rsidR="00300AEE">
        <w:t>using</w:t>
      </w:r>
      <w:r w:rsidR="00433DA6">
        <w:t xml:space="preserve"> </w:t>
      </w:r>
      <w:r w:rsidR="003E7016">
        <w:t xml:space="preserve">the </w:t>
      </w:r>
      <w:r w:rsidR="00300AEE">
        <w:t>m</w:t>
      </w:r>
      <w:r w:rsidR="003E7016">
        <w:t xml:space="preserve">ysteries for its own benefit after its incorporation into the state religion, which most other </w:t>
      </w:r>
      <w:r w:rsidR="00300AEE">
        <w:t>cults</w:t>
      </w:r>
      <w:r w:rsidR="003E7016">
        <w:t xml:space="preserve"> managed to defy.</w:t>
      </w:r>
      <w:r w:rsidR="003E7016">
        <w:rPr>
          <w:rStyle w:val="FootnoteReference"/>
        </w:rPr>
        <w:footnoteReference w:id="14"/>
      </w:r>
      <w:r w:rsidR="003E7016">
        <w:t xml:space="preserve"> This is particularly portrayed in an account of the mysteries “celebrating themselves” during the Persian War, with the sound of 30,000, roughly the population of Athens, heard celebrating the festival, giving the mean the will to fight. (</w:t>
      </w:r>
      <w:proofErr w:type="spellStart"/>
      <w:r w:rsidR="003E7016">
        <w:t>H</w:t>
      </w:r>
      <w:r w:rsidR="00F76591">
        <w:t>dt</w:t>
      </w:r>
      <w:proofErr w:type="spellEnd"/>
      <w:r w:rsidR="00F76591">
        <w:t>.</w:t>
      </w:r>
      <w:r w:rsidR="003E7016">
        <w:t xml:space="preserve"> 8.65; Plutarch </w:t>
      </w:r>
      <w:proofErr w:type="spellStart"/>
      <w:r w:rsidR="003E7016">
        <w:rPr>
          <w:i/>
        </w:rPr>
        <w:t>Themistokles</w:t>
      </w:r>
      <w:proofErr w:type="spellEnd"/>
      <w:r w:rsidR="003E7016">
        <w:rPr>
          <w:i/>
        </w:rPr>
        <w:t xml:space="preserve"> </w:t>
      </w:r>
      <w:r w:rsidR="003E7016" w:rsidRPr="003E7016">
        <w:t>15.1)</w:t>
      </w:r>
      <w:r w:rsidR="003E7016" w:rsidRPr="003E7016">
        <w:rPr>
          <w:rStyle w:val="FootnoteReference"/>
        </w:rPr>
        <w:footnoteReference w:id="15"/>
      </w:r>
      <w:r w:rsidR="003E7016">
        <w:rPr>
          <w:i/>
        </w:rPr>
        <w:t xml:space="preserve"> </w:t>
      </w:r>
      <w:r w:rsidR="003E7016">
        <w:t xml:space="preserve">Eleusis was also subject </w:t>
      </w:r>
      <w:r w:rsidR="00C52F4B">
        <w:t>of emphasis during the</w:t>
      </w:r>
      <w:r w:rsidR="003E7016">
        <w:t xml:space="preserve"> Peloponnesian War, with Sparta’s first </w:t>
      </w:r>
      <w:r w:rsidR="003E7016">
        <w:lastRenderedPageBreak/>
        <w:t>invasion taking place in Eleusis, (</w:t>
      </w:r>
      <w:proofErr w:type="spellStart"/>
      <w:r w:rsidR="003E7016">
        <w:t>Thuc</w:t>
      </w:r>
      <w:proofErr w:type="spellEnd"/>
      <w:r w:rsidR="003E7016">
        <w:t xml:space="preserve">. </w:t>
      </w:r>
      <w:r w:rsidR="00F76591">
        <w:t xml:space="preserve">2.19) and continuing to attempt to </w:t>
      </w:r>
      <w:r w:rsidR="00CB7652">
        <w:t>conquer</w:t>
      </w:r>
      <w:r w:rsidR="00F76591">
        <w:t xml:space="preserve"> Eleusis throughout. (Xenophon </w:t>
      </w:r>
      <w:proofErr w:type="spellStart"/>
      <w:r w:rsidR="00F76591">
        <w:rPr>
          <w:i/>
        </w:rPr>
        <w:t>Hellenika</w:t>
      </w:r>
      <w:proofErr w:type="spellEnd"/>
      <w:r w:rsidR="00F76591">
        <w:rPr>
          <w:i/>
        </w:rPr>
        <w:t xml:space="preserve"> </w:t>
      </w:r>
      <w:r w:rsidR="00F76591" w:rsidRPr="00F76591">
        <w:t>2.4)</w:t>
      </w:r>
      <w:r w:rsidR="00F76591">
        <w:t xml:space="preserve"> The Athenians also used the Eleusinian Mysteries to gather support for their campaign, excluding enemies from rituals</w:t>
      </w:r>
      <w:r w:rsidR="00622603">
        <w:t>, denying them access to the better afterlife, taking advantage of the uncertainty and fear of death</w:t>
      </w:r>
      <w:r w:rsidR="00F76591">
        <w:t>. (IG</w:t>
      </w:r>
      <w:r w:rsidR="00895427">
        <w:t xml:space="preserve"> </w:t>
      </w:r>
      <w:r w:rsidR="00F76591">
        <w:t>I</w:t>
      </w:r>
      <w:r w:rsidR="00F76591" w:rsidRPr="00F76591">
        <w:rPr>
          <w:vertAlign w:val="superscript"/>
        </w:rPr>
        <w:t>3</w:t>
      </w:r>
      <w:r w:rsidR="00F76591">
        <w:rPr>
          <w:vertAlign w:val="superscript"/>
        </w:rPr>
        <w:t xml:space="preserve"> </w:t>
      </w:r>
      <w:r w:rsidR="00F76591">
        <w:t>6B)</w:t>
      </w:r>
      <w:r w:rsidR="00F76591">
        <w:rPr>
          <w:rStyle w:val="FootnoteReference"/>
        </w:rPr>
        <w:footnoteReference w:id="16"/>
      </w:r>
      <w:r w:rsidR="00F76591">
        <w:t xml:space="preserve"> The temple of Eleusis was made common ground at the end of the war, following the Thirty Tyrants’ attempt to take over the town. (Xen. Hell. 2.4; </w:t>
      </w:r>
      <w:proofErr w:type="spellStart"/>
      <w:r w:rsidR="00F76591">
        <w:t>Aristot</w:t>
      </w:r>
      <w:proofErr w:type="spellEnd"/>
      <w:r w:rsidR="00F76591">
        <w:t xml:space="preserve">. </w:t>
      </w:r>
      <w:proofErr w:type="spellStart"/>
      <w:r w:rsidR="00F76591">
        <w:t>Ath</w:t>
      </w:r>
      <w:proofErr w:type="spellEnd"/>
      <w:r w:rsidR="00F76591">
        <w:t xml:space="preserve">. Pol. 39) This was used to promote </w:t>
      </w:r>
      <w:proofErr w:type="spellStart"/>
      <w:r w:rsidR="00F76591">
        <w:t>panhellenism</w:t>
      </w:r>
      <w:proofErr w:type="spellEnd"/>
      <w:r w:rsidR="00F76591">
        <w:t xml:space="preserve">, with emphasis being placed upon Herakles’ initiation and the link to </w:t>
      </w:r>
      <w:r w:rsidR="00E5721E">
        <w:t>Sparta’s foundation</w:t>
      </w:r>
      <w:r w:rsidR="00F76591">
        <w:t xml:space="preserve">. (Xen. Hell. 6.30) This shows that the hymn influenced the way in which rituals were used for the interests of </w:t>
      </w:r>
      <w:proofErr w:type="gramStart"/>
      <w:r w:rsidR="00F76591">
        <w:t>particular poleis</w:t>
      </w:r>
      <w:r w:rsidR="003239D9">
        <w:t>’</w:t>
      </w:r>
      <w:proofErr w:type="gramEnd"/>
      <w:r w:rsidR="008A6089">
        <w:t xml:space="preserve">, using the association of the myth and ritual with Eleusis, to associate a </w:t>
      </w:r>
      <w:r w:rsidR="003239D9">
        <w:t>polis</w:t>
      </w:r>
      <w:r w:rsidR="008A6089">
        <w:t xml:space="preserve"> with the positive effects of such rituals.</w:t>
      </w:r>
    </w:p>
    <w:p w:rsidR="00BD600C" w:rsidRDefault="0053398F" w:rsidP="00BD600C">
      <w:pPr>
        <w:spacing w:line="480" w:lineRule="auto"/>
      </w:pPr>
      <w:r>
        <w:tab/>
      </w:r>
      <w:r w:rsidR="00622603">
        <w:t xml:space="preserve">Overall, the Homeric Hymn to Demeter gives us an explanation of the purpose of the rituals in the Eleusinian Mysteries and the </w:t>
      </w:r>
      <w:proofErr w:type="spellStart"/>
      <w:r w:rsidR="00622603">
        <w:t>Thesmophoria</w:t>
      </w:r>
      <w:proofErr w:type="spellEnd"/>
      <w:r w:rsidR="00622603">
        <w:t xml:space="preserve"> Festival, particularly with the themes of suffering as the deities suffered, the cycle of life and death and fertility. It also explains the incorporation into the Athenian state </w:t>
      </w:r>
      <w:r w:rsidR="00A173C0">
        <w:t xml:space="preserve">religion, with its importance and popularity giving Athens significant religious power, having control of a festival </w:t>
      </w:r>
      <w:r w:rsidR="0036249F">
        <w:t>with an outcome of such importance for people’s insecurities</w:t>
      </w:r>
      <w:r w:rsidR="006063C2">
        <w:t xml:space="preserve"> and how they wielded that power. </w:t>
      </w:r>
      <w:r w:rsidR="006F1E2B">
        <w:t xml:space="preserve">It also explains the ritual of marriage as the final stage in a woman’s transition to adulthood and their status as the property of either their parents’ or husbands. The myth also explains the seriousness with which they took their rituals and the potential consequences of not performing them or performing them incorrectly. </w:t>
      </w:r>
      <w:r w:rsidR="00602EEA">
        <w:t>The Hymn to Demeter is a good indication of why rituals in Greece were important and popular.</w:t>
      </w:r>
    </w:p>
    <w:p w:rsidR="00886DF2" w:rsidRPr="00BD600C" w:rsidRDefault="00476871" w:rsidP="00BD600C">
      <w:pPr>
        <w:spacing w:line="480" w:lineRule="auto"/>
        <w:rPr>
          <w:b/>
        </w:rPr>
      </w:pPr>
      <w:r w:rsidRPr="00BD600C">
        <w:rPr>
          <w:b/>
        </w:rPr>
        <w:t>Word count: 15</w:t>
      </w:r>
      <w:r w:rsidR="00025887">
        <w:rPr>
          <w:b/>
        </w:rPr>
        <w:t>76</w:t>
      </w:r>
    </w:p>
    <w:p w:rsidR="00886DF2" w:rsidRPr="0056637A" w:rsidRDefault="00BD600C" w:rsidP="00BD600C">
      <w:pPr>
        <w:spacing w:line="480" w:lineRule="auto"/>
        <w:rPr>
          <w:rFonts w:asciiTheme="majorHAnsi" w:hAnsiTheme="majorHAnsi" w:cstheme="majorHAnsi"/>
          <w:b/>
          <w:color w:val="2F5496" w:themeColor="accent1" w:themeShade="BF"/>
          <w:sz w:val="32"/>
          <w:szCs w:val="32"/>
        </w:rPr>
      </w:pPr>
      <w:r w:rsidRPr="0056637A">
        <w:rPr>
          <w:rFonts w:asciiTheme="majorHAnsi" w:hAnsiTheme="majorHAnsi" w:cstheme="majorHAnsi"/>
          <w:b/>
          <w:color w:val="2F5496" w:themeColor="accent1" w:themeShade="BF"/>
          <w:sz w:val="32"/>
          <w:szCs w:val="32"/>
        </w:rPr>
        <w:lastRenderedPageBreak/>
        <w:t>Bibliography</w:t>
      </w:r>
    </w:p>
    <w:p w:rsidR="00886DF2" w:rsidRDefault="00886DF2" w:rsidP="00BD600C">
      <w:pPr>
        <w:spacing w:line="48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t>Ancient Sources</w:t>
      </w:r>
    </w:p>
    <w:p w:rsidR="00EF1F43" w:rsidRPr="00EF1F43" w:rsidRDefault="00EF1F43" w:rsidP="00BD600C">
      <w:pPr>
        <w:spacing w:line="480" w:lineRule="auto"/>
        <w:rPr>
          <w:rFonts w:cs="Times New Roman"/>
          <w:szCs w:val="24"/>
        </w:rPr>
      </w:pPr>
      <w:r>
        <w:rPr>
          <w:rFonts w:cs="Times New Roman"/>
          <w:szCs w:val="24"/>
        </w:rPr>
        <w:t xml:space="preserve">Aristophanes. </w:t>
      </w:r>
      <w:r>
        <w:rPr>
          <w:rFonts w:cs="Times New Roman"/>
          <w:i/>
          <w:szCs w:val="24"/>
        </w:rPr>
        <w:t xml:space="preserve">Frogs and Other Plays. </w:t>
      </w:r>
      <w:r>
        <w:rPr>
          <w:rFonts w:cs="Times New Roman"/>
          <w:szCs w:val="24"/>
        </w:rPr>
        <w:t>David Barrett (trans.). 2007. London: Penguin.</w:t>
      </w:r>
    </w:p>
    <w:p w:rsidR="00886DF2" w:rsidRDefault="00886DF2" w:rsidP="00BD600C">
      <w:pPr>
        <w:spacing w:line="480" w:lineRule="auto"/>
        <w:rPr>
          <w:rFonts w:cs="Times New Roman"/>
          <w:szCs w:val="24"/>
        </w:rPr>
      </w:pPr>
      <w:r>
        <w:rPr>
          <w:rFonts w:cs="Times New Roman"/>
          <w:szCs w:val="24"/>
        </w:rPr>
        <w:t xml:space="preserve">Cicero. </w:t>
      </w:r>
      <w:r>
        <w:rPr>
          <w:rFonts w:cs="Times New Roman"/>
          <w:i/>
          <w:szCs w:val="24"/>
        </w:rPr>
        <w:t>The Republic and The Laws.</w:t>
      </w:r>
      <w:r>
        <w:rPr>
          <w:rFonts w:cs="Times New Roman"/>
          <w:szCs w:val="24"/>
        </w:rPr>
        <w:t xml:space="preserve"> Niall Rudd (trans.). 1998. Oxford: Oxford University Press.</w:t>
      </w:r>
    </w:p>
    <w:p w:rsidR="00886DF2" w:rsidRDefault="00886DF2" w:rsidP="00BD600C">
      <w:pPr>
        <w:spacing w:line="480" w:lineRule="auto"/>
        <w:rPr>
          <w:rFonts w:cs="Times New Roman"/>
          <w:szCs w:val="24"/>
        </w:rPr>
      </w:pPr>
      <w:r>
        <w:rPr>
          <w:rFonts w:cs="Times New Roman"/>
          <w:szCs w:val="24"/>
        </w:rPr>
        <w:t xml:space="preserve">Herodotus. </w:t>
      </w:r>
      <w:r>
        <w:rPr>
          <w:rFonts w:cs="Times New Roman"/>
          <w:i/>
          <w:szCs w:val="24"/>
        </w:rPr>
        <w:t xml:space="preserve">The Histories. </w:t>
      </w:r>
      <w:r>
        <w:rPr>
          <w:rFonts w:cs="Times New Roman"/>
          <w:szCs w:val="24"/>
        </w:rPr>
        <w:t>Robin Waterfield (trans.). 1998. Oxford: Oxford University Press</w:t>
      </w:r>
    </w:p>
    <w:p w:rsidR="00476871" w:rsidRPr="00476871" w:rsidRDefault="00476871" w:rsidP="00BD600C">
      <w:pPr>
        <w:spacing w:line="480" w:lineRule="auto"/>
        <w:rPr>
          <w:rFonts w:cs="Times New Roman"/>
          <w:szCs w:val="24"/>
        </w:rPr>
      </w:pPr>
      <w:r>
        <w:rPr>
          <w:rFonts w:cs="Times New Roman"/>
          <w:szCs w:val="24"/>
        </w:rPr>
        <w:t xml:space="preserve">Plutarch. </w:t>
      </w:r>
      <w:r>
        <w:rPr>
          <w:rFonts w:cs="Times New Roman"/>
          <w:i/>
          <w:szCs w:val="24"/>
        </w:rPr>
        <w:t>The Rise and Fall of Athens: Nine Greek Lives</w:t>
      </w:r>
      <w:r>
        <w:rPr>
          <w:rFonts w:cs="Times New Roman"/>
          <w:szCs w:val="24"/>
        </w:rPr>
        <w:t>. Ian Scott-</w:t>
      </w:r>
      <w:proofErr w:type="spellStart"/>
      <w:r>
        <w:rPr>
          <w:rFonts w:cs="Times New Roman"/>
          <w:szCs w:val="24"/>
        </w:rPr>
        <w:t>Kilvert</w:t>
      </w:r>
      <w:proofErr w:type="spellEnd"/>
      <w:r>
        <w:rPr>
          <w:rFonts w:cs="Times New Roman"/>
          <w:szCs w:val="24"/>
        </w:rPr>
        <w:t xml:space="preserve"> (trans.). 1973. London: Penguin.</w:t>
      </w:r>
    </w:p>
    <w:p w:rsidR="00886DF2" w:rsidRDefault="00886DF2" w:rsidP="00BD600C">
      <w:pPr>
        <w:spacing w:line="480" w:lineRule="auto"/>
        <w:rPr>
          <w:rFonts w:cs="Times New Roman"/>
          <w:szCs w:val="24"/>
        </w:rPr>
      </w:pPr>
      <w:r>
        <w:rPr>
          <w:rFonts w:cs="Times New Roman"/>
          <w:szCs w:val="24"/>
        </w:rPr>
        <w:t xml:space="preserve">Sophocles. </w:t>
      </w:r>
      <w:r>
        <w:rPr>
          <w:rFonts w:cs="Times New Roman"/>
          <w:i/>
          <w:szCs w:val="24"/>
        </w:rPr>
        <w:t xml:space="preserve">The Three Theban Plays. </w:t>
      </w:r>
      <w:r>
        <w:rPr>
          <w:rFonts w:cs="Times New Roman"/>
          <w:szCs w:val="24"/>
        </w:rPr>
        <w:t xml:space="preserve">Robert </w:t>
      </w:r>
      <w:proofErr w:type="spellStart"/>
      <w:r>
        <w:rPr>
          <w:rFonts w:cs="Times New Roman"/>
          <w:szCs w:val="24"/>
        </w:rPr>
        <w:t>Fagles</w:t>
      </w:r>
      <w:proofErr w:type="spellEnd"/>
      <w:r>
        <w:rPr>
          <w:rFonts w:cs="Times New Roman"/>
          <w:szCs w:val="24"/>
        </w:rPr>
        <w:t xml:space="preserve"> (trans.). 1984. London: </w:t>
      </w:r>
      <w:proofErr w:type="spellStart"/>
      <w:r>
        <w:rPr>
          <w:rFonts w:cs="Times New Roman"/>
          <w:szCs w:val="24"/>
        </w:rPr>
        <w:t>Pengiun</w:t>
      </w:r>
      <w:proofErr w:type="spellEnd"/>
      <w:r>
        <w:rPr>
          <w:rFonts w:cs="Times New Roman"/>
          <w:szCs w:val="24"/>
        </w:rPr>
        <w:t>.</w:t>
      </w:r>
    </w:p>
    <w:p w:rsidR="00B96E3D" w:rsidRDefault="00B96E3D" w:rsidP="00BD600C">
      <w:pPr>
        <w:spacing w:line="480" w:lineRule="auto"/>
        <w:rPr>
          <w:rFonts w:cs="Times New Roman"/>
          <w:szCs w:val="24"/>
        </w:rPr>
      </w:pPr>
      <w:r>
        <w:rPr>
          <w:rFonts w:cs="Times New Roman"/>
          <w:i/>
          <w:szCs w:val="24"/>
        </w:rPr>
        <w:t>The Homeric Hymns.</w:t>
      </w:r>
      <w:r>
        <w:rPr>
          <w:rFonts w:cs="Times New Roman"/>
          <w:szCs w:val="24"/>
        </w:rPr>
        <w:t xml:space="preserve"> Michael </w:t>
      </w:r>
      <w:proofErr w:type="spellStart"/>
      <w:r>
        <w:rPr>
          <w:rFonts w:cs="Times New Roman"/>
          <w:szCs w:val="24"/>
        </w:rPr>
        <w:t>Crudden</w:t>
      </w:r>
      <w:proofErr w:type="spellEnd"/>
      <w:r>
        <w:rPr>
          <w:rFonts w:cs="Times New Roman"/>
          <w:szCs w:val="24"/>
        </w:rPr>
        <w:t xml:space="preserve"> (trans.). 2001. Oxford: Oxford University Press.</w:t>
      </w:r>
    </w:p>
    <w:p w:rsidR="00B96E3D" w:rsidRDefault="00B96E3D" w:rsidP="00BD600C">
      <w:pPr>
        <w:spacing w:line="480" w:lineRule="auto"/>
        <w:rPr>
          <w:rFonts w:cs="Times New Roman"/>
          <w:szCs w:val="24"/>
        </w:rPr>
      </w:pPr>
      <w:r>
        <w:rPr>
          <w:rFonts w:cs="Times New Roman"/>
          <w:szCs w:val="24"/>
        </w:rPr>
        <w:t xml:space="preserve">Thucydides. </w:t>
      </w:r>
      <w:r>
        <w:rPr>
          <w:rFonts w:cs="Times New Roman"/>
          <w:i/>
          <w:szCs w:val="24"/>
        </w:rPr>
        <w:t xml:space="preserve"> History of the Peloponnesian War.</w:t>
      </w:r>
      <w:r>
        <w:rPr>
          <w:rFonts w:cs="Times New Roman"/>
          <w:szCs w:val="24"/>
        </w:rPr>
        <w:t xml:space="preserve"> Rex Warner (trans.). 1972. Harmondsworth: Penguin.</w:t>
      </w:r>
    </w:p>
    <w:p w:rsidR="00B96E3D" w:rsidRPr="00B96E3D" w:rsidRDefault="00B96E3D" w:rsidP="00BD600C">
      <w:pPr>
        <w:spacing w:line="480" w:lineRule="auto"/>
        <w:rPr>
          <w:rFonts w:cs="Times New Roman"/>
          <w:szCs w:val="24"/>
        </w:rPr>
      </w:pPr>
      <w:r>
        <w:rPr>
          <w:rFonts w:cs="Times New Roman"/>
          <w:szCs w:val="24"/>
        </w:rPr>
        <w:t xml:space="preserve">Xenophon. </w:t>
      </w:r>
      <w:r>
        <w:rPr>
          <w:rFonts w:cs="Times New Roman"/>
          <w:i/>
          <w:szCs w:val="24"/>
        </w:rPr>
        <w:t xml:space="preserve">A History of my Times (Hellenica). </w:t>
      </w:r>
      <w:r>
        <w:rPr>
          <w:rFonts w:cs="Times New Roman"/>
          <w:szCs w:val="24"/>
        </w:rPr>
        <w:t>Rex Warner (trans.). 1966. Harmondsworth: Penguin.</w:t>
      </w:r>
    </w:p>
    <w:sdt>
      <w:sdtPr>
        <w:rPr>
          <w:rFonts w:ascii="Times New Roman" w:eastAsiaTheme="minorHAnsi" w:hAnsi="Times New Roman" w:cstheme="minorBidi"/>
          <w:color w:val="auto"/>
          <w:sz w:val="24"/>
          <w:szCs w:val="22"/>
          <w:lang w:val="en-GB"/>
        </w:rPr>
        <w:id w:val="459000181"/>
        <w:docPartObj>
          <w:docPartGallery w:val="Bibliographies"/>
          <w:docPartUnique/>
        </w:docPartObj>
      </w:sdtPr>
      <w:sdtEndPr/>
      <w:sdtContent>
        <w:p w:rsidR="00886DF2" w:rsidRDefault="00886DF2" w:rsidP="00BD600C">
          <w:pPr>
            <w:pStyle w:val="Heading1"/>
            <w:spacing w:line="480" w:lineRule="auto"/>
          </w:pPr>
          <w:r>
            <w:t>Modern Sources</w:t>
          </w:r>
        </w:p>
        <w:sdt>
          <w:sdtPr>
            <w:id w:val="111145805"/>
            <w:bibliography/>
          </w:sdtPr>
          <w:sdtEndPr/>
          <w:sdtContent>
            <w:p w:rsidR="00886DF2" w:rsidRDefault="00886DF2" w:rsidP="00BD600C">
              <w:pPr>
                <w:pStyle w:val="Bibliography"/>
                <w:spacing w:line="480" w:lineRule="auto"/>
                <w:rPr>
                  <w:noProof/>
                  <w:szCs w:val="24"/>
                  <w:lang w:val="en-US"/>
                </w:rPr>
              </w:pPr>
              <w:r>
                <w:fldChar w:fldCharType="begin"/>
              </w:r>
              <w:r>
                <w:instrText xml:space="preserve"> BIBLIOGRAPHY </w:instrText>
              </w:r>
              <w:r>
                <w:fldChar w:fldCharType="separate"/>
              </w:r>
              <w:r>
                <w:rPr>
                  <w:noProof/>
                  <w:lang w:val="en-US"/>
                </w:rPr>
                <w:t xml:space="preserve">Burkell, W., 1985. </w:t>
              </w:r>
              <w:r>
                <w:rPr>
                  <w:i/>
                  <w:iCs/>
                  <w:noProof/>
                  <w:lang w:val="en-US"/>
                </w:rPr>
                <w:t xml:space="preserve">Greek Religion. </w:t>
              </w:r>
              <w:r>
                <w:rPr>
                  <w:noProof/>
                  <w:lang w:val="en-US"/>
                </w:rPr>
                <w:t>Cambridge, MA: Harvard University Press.</w:t>
              </w:r>
            </w:p>
            <w:p w:rsidR="00886DF2" w:rsidRDefault="00886DF2" w:rsidP="00BD600C">
              <w:pPr>
                <w:pStyle w:val="Bibliography"/>
                <w:spacing w:line="480" w:lineRule="auto"/>
                <w:rPr>
                  <w:noProof/>
                  <w:lang w:val="en-US"/>
                </w:rPr>
              </w:pPr>
              <w:r>
                <w:rPr>
                  <w:noProof/>
                  <w:lang w:val="en-US"/>
                </w:rPr>
                <w:t xml:space="preserve">Dillon, M. &amp; Garland, L., 2013. </w:t>
              </w:r>
              <w:r>
                <w:rPr>
                  <w:i/>
                  <w:iCs/>
                  <w:noProof/>
                  <w:lang w:val="en-US"/>
                </w:rPr>
                <w:t xml:space="preserve">The Ancient Greeks: History and Culture from Archaic Times to the Death of Alexander. </w:t>
              </w:r>
              <w:r>
                <w:rPr>
                  <w:noProof/>
                  <w:lang w:val="en-US"/>
                </w:rPr>
                <w:t>London and New York: Routledge.</w:t>
              </w:r>
            </w:p>
            <w:p w:rsidR="00886DF2" w:rsidRDefault="00886DF2" w:rsidP="00BD600C">
              <w:pPr>
                <w:pStyle w:val="Bibliography"/>
                <w:spacing w:line="480" w:lineRule="auto"/>
                <w:rPr>
                  <w:noProof/>
                  <w:lang w:val="en-US"/>
                </w:rPr>
              </w:pPr>
              <w:r>
                <w:rPr>
                  <w:noProof/>
                  <w:lang w:val="en-US"/>
                </w:rPr>
                <w:t xml:space="preserve">Griffin, J., 1986. Greek Myth and Hesiod. In: J. Boardman, J. Griffin &amp; O. Murray, eds. </w:t>
              </w:r>
              <w:r>
                <w:rPr>
                  <w:i/>
                  <w:iCs/>
                  <w:noProof/>
                  <w:lang w:val="en-US"/>
                </w:rPr>
                <w:t xml:space="preserve">Greece and the Hellenistic World. </w:t>
              </w:r>
              <w:r>
                <w:rPr>
                  <w:noProof/>
                  <w:lang w:val="en-US"/>
                </w:rPr>
                <w:t>Oxford: Oxford University Press, pp. 72-92.</w:t>
              </w:r>
            </w:p>
            <w:p w:rsidR="00886DF2" w:rsidRDefault="00886DF2" w:rsidP="00BD600C">
              <w:pPr>
                <w:pStyle w:val="Bibliography"/>
                <w:spacing w:line="480" w:lineRule="auto"/>
                <w:rPr>
                  <w:noProof/>
                  <w:lang w:val="en-US"/>
                </w:rPr>
              </w:pPr>
              <w:r>
                <w:rPr>
                  <w:noProof/>
                  <w:lang w:val="en-US"/>
                </w:rPr>
                <w:lastRenderedPageBreak/>
                <w:t xml:space="preserve">Hornblower, S., 1986. The History of the Classical Period. In: J. Boardman, J. Griffin &amp; O. Murray, eds. </w:t>
              </w:r>
              <w:r>
                <w:rPr>
                  <w:i/>
                  <w:iCs/>
                  <w:noProof/>
                  <w:lang w:val="en-US"/>
                </w:rPr>
                <w:t xml:space="preserve">Greece and the Hellenic World. </w:t>
              </w:r>
              <w:r>
                <w:rPr>
                  <w:noProof/>
                  <w:lang w:val="en-US"/>
                </w:rPr>
                <w:t>Oxford: Oxford University Press, pp. 118-149.</w:t>
              </w:r>
            </w:p>
            <w:p w:rsidR="00886DF2" w:rsidRDefault="00886DF2" w:rsidP="00BD600C">
              <w:pPr>
                <w:pStyle w:val="Bibliography"/>
                <w:spacing w:line="480" w:lineRule="auto"/>
                <w:rPr>
                  <w:noProof/>
                  <w:lang w:val="en-US"/>
                </w:rPr>
              </w:pPr>
              <w:r>
                <w:rPr>
                  <w:noProof/>
                  <w:lang w:val="en-US"/>
                </w:rPr>
                <w:t xml:space="preserve">Keller, M. L., 1988. The Eleusinian Mysteries of Demeter and Persephone: Fertility, Sexuality, and Rebirth. </w:t>
              </w:r>
              <w:r>
                <w:rPr>
                  <w:i/>
                  <w:iCs/>
                  <w:noProof/>
                  <w:lang w:val="en-US"/>
                </w:rPr>
                <w:t xml:space="preserve">Journal of Feminist Studies in Religion, </w:t>
              </w:r>
              <w:r>
                <w:rPr>
                  <w:noProof/>
                  <w:lang w:val="en-US"/>
                </w:rPr>
                <w:t>4(1), pp. 27-54.</w:t>
              </w:r>
            </w:p>
            <w:p w:rsidR="00886DF2" w:rsidRDefault="00886DF2" w:rsidP="00BD600C">
              <w:pPr>
                <w:pStyle w:val="Bibliography"/>
                <w:spacing w:line="480" w:lineRule="auto"/>
                <w:rPr>
                  <w:noProof/>
                  <w:lang w:val="en-US"/>
                </w:rPr>
              </w:pPr>
              <w:r>
                <w:rPr>
                  <w:noProof/>
                  <w:lang w:val="en-US"/>
                </w:rPr>
                <w:t xml:space="preserve">Lincoln, B., 1979. The Rape of Persephone: A Greek Scenario of Women's Initiation. </w:t>
              </w:r>
              <w:r>
                <w:rPr>
                  <w:i/>
                  <w:iCs/>
                  <w:noProof/>
                  <w:lang w:val="en-US"/>
                </w:rPr>
                <w:t xml:space="preserve">The Harvard Theological Review, </w:t>
              </w:r>
              <w:r>
                <w:rPr>
                  <w:noProof/>
                  <w:lang w:val="en-US"/>
                </w:rPr>
                <w:t>72(3/4), pp. 223-235.</w:t>
              </w:r>
            </w:p>
            <w:p w:rsidR="00886DF2" w:rsidRDefault="00886DF2" w:rsidP="00BD600C">
              <w:pPr>
                <w:pStyle w:val="Bibliography"/>
                <w:spacing w:line="480" w:lineRule="auto"/>
                <w:rPr>
                  <w:noProof/>
                  <w:lang w:val="en-US"/>
                </w:rPr>
              </w:pPr>
              <w:r>
                <w:rPr>
                  <w:noProof/>
                  <w:lang w:val="en-US"/>
                </w:rPr>
                <w:t xml:space="preserve">Parker, R., 1986. Greek Religion. In: J. Boardman, J. Griffin &amp; O. Murray, eds. </w:t>
              </w:r>
              <w:r>
                <w:rPr>
                  <w:i/>
                  <w:iCs/>
                  <w:noProof/>
                  <w:lang w:val="en-US"/>
                </w:rPr>
                <w:t xml:space="preserve">Greece and the Hellenistic World. </w:t>
              </w:r>
              <w:r>
                <w:rPr>
                  <w:noProof/>
                  <w:lang w:val="en-US"/>
                </w:rPr>
                <w:t>Oxford: Oxford University Press, pp. 248-268.</w:t>
              </w:r>
            </w:p>
            <w:p w:rsidR="00886DF2" w:rsidRDefault="00886DF2" w:rsidP="00BD600C">
              <w:pPr>
                <w:spacing w:line="480" w:lineRule="auto"/>
              </w:pPr>
              <w:r>
                <w:rPr>
                  <w:b/>
                  <w:bCs/>
                  <w:noProof/>
                </w:rPr>
                <w:fldChar w:fldCharType="end"/>
              </w:r>
            </w:p>
          </w:sdtContent>
        </w:sdt>
      </w:sdtContent>
    </w:sdt>
    <w:p w:rsidR="00886DF2" w:rsidRDefault="00886DF2" w:rsidP="00BD600C">
      <w:pPr>
        <w:spacing w:line="480" w:lineRule="auto"/>
      </w:pPr>
    </w:p>
    <w:sectPr w:rsidR="00886D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2AE" w:rsidRDefault="001A62AE" w:rsidP="001347DB">
      <w:pPr>
        <w:spacing w:after="0" w:line="240" w:lineRule="auto"/>
      </w:pPr>
      <w:r>
        <w:separator/>
      </w:r>
    </w:p>
  </w:endnote>
  <w:endnote w:type="continuationSeparator" w:id="0">
    <w:p w:rsidR="001A62AE" w:rsidRDefault="001A62AE" w:rsidP="00134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2AE" w:rsidRDefault="001A62AE" w:rsidP="001347DB">
      <w:pPr>
        <w:spacing w:after="0" w:line="240" w:lineRule="auto"/>
      </w:pPr>
      <w:r>
        <w:separator/>
      </w:r>
    </w:p>
  </w:footnote>
  <w:footnote w:type="continuationSeparator" w:id="0">
    <w:p w:rsidR="001A62AE" w:rsidRDefault="001A62AE" w:rsidP="001347DB">
      <w:pPr>
        <w:spacing w:after="0" w:line="240" w:lineRule="auto"/>
      </w:pPr>
      <w:r>
        <w:continuationSeparator/>
      </w:r>
    </w:p>
  </w:footnote>
  <w:footnote w:id="1">
    <w:p w:rsidR="00275CD2" w:rsidRDefault="00275CD2">
      <w:pPr>
        <w:pStyle w:val="FootnoteText"/>
      </w:pPr>
      <w:r>
        <w:rPr>
          <w:rStyle w:val="FootnoteReference"/>
        </w:rPr>
        <w:footnoteRef/>
      </w:r>
      <w:r>
        <w:t xml:space="preserve"> Burkert 1985: 242, 286.</w:t>
      </w:r>
    </w:p>
  </w:footnote>
  <w:footnote w:id="2">
    <w:p w:rsidR="00FF471C" w:rsidRDefault="00FF471C">
      <w:pPr>
        <w:pStyle w:val="FootnoteText"/>
      </w:pPr>
      <w:r>
        <w:rPr>
          <w:rStyle w:val="FootnoteReference"/>
        </w:rPr>
        <w:footnoteRef/>
      </w:r>
      <w:r>
        <w:t xml:space="preserve"> Keller 1988: 37.</w:t>
      </w:r>
    </w:p>
  </w:footnote>
  <w:footnote w:id="3">
    <w:p w:rsidR="001347DB" w:rsidRDefault="001347DB">
      <w:pPr>
        <w:pStyle w:val="FootnoteText"/>
      </w:pPr>
      <w:r>
        <w:rPr>
          <w:rStyle w:val="FootnoteReference"/>
        </w:rPr>
        <w:footnoteRef/>
      </w:r>
      <w:r>
        <w:t xml:space="preserve"> Griffin 1986: 75</w:t>
      </w:r>
      <w:r w:rsidR="00B25840">
        <w:t>.</w:t>
      </w:r>
    </w:p>
  </w:footnote>
  <w:footnote w:id="4">
    <w:p w:rsidR="001347DB" w:rsidRDefault="001347DB">
      <w:pPr>
        <w:pStyle w:val="FootnoteText"/>
      </w:pPr>
      <w:r>
        <w:rPr>
          <w:rStyle w:val="FootnoteReference"/>
        </w:rPr>
        <w:footnoteRef/>
      </w:r>
      <w:r>
        <w:t xml:space="preserve"> Keller 1988: 37</w:t>
      </w:r>
      <w:r w:rsidR="00B25840">
        <w:t>.</w:t>
      </w:r>
    </w:p>
  </w:footnote>
  <w:footnote w:id="5">
    <w:p w:rsidR="001347DB" w:rsidRDefault="001347DB">
      <w:pPr>
        <w:pStyle w:val="FootnoteText"/>
      </w:pPr>
      <w:r>
        <w:rPr>
          <w:rStyle w:val="FootnoteReference"/>
        </w:rPr>
        <w:footnoteRef/>
      </w:r>
      <w:r>
        <w:t xml:space="preserve"> Dillon and Garland 2013: 90</w:t>
      </w:r>
      <w:r w:rsidR="00B25840">
        <w:t>.</w:t>
      </w:r>
    </w:p>
  </w:footnote>
  <w:footnote w:id="6">
    <w:p w:rsidR="001347DB" w:rsidRDefault="001347DB">
      <w:pPr>
        <w:pStyle w:val="FootnoteText"/>
      </w:pPr>
      <w:r>
        <w:rPr>
          <w:rStyle w:val="FootnoteReference"/>
        </w:rPr>
        <w:footnoteRef/>
      </w:r>
      <w:r>
        <w:t xml:space="preserve"> Lincoln 1979: 227</w:t>
      </w:r>
      <w:r w:rsidR="00B25840">
        <w:t>.</w:t>
      </w:r>
    </w:p>
  </w:footnote>
  <w:footnote w:id="7">
    <w:p w:rsidR="00F07DF7" w:rsidRDefault="00F07DF7">
      <w:pPr>
        <w:pStyle w:val="FootnoteText"/>
      </w:pPr>
      <w:r>
        <w:rPr>
          <w:rStyle w:val="FootnoteReference"/>
        </w:rPr>
        <w:footnoteRef/>
      </w:r>
      <w:r>
        <w:t xml:space="preserve"> Dillon and Garland 2013: 91; Parker 1986: </w:t>
      </w:r>
      <w:r w:rsidR="00B25840">
        <w:t>262-</w:t>
      </w:r>
      <w:r>
        <w:t>263</w:t>
      </w:r>
      <w:r w:rsidR="00B25840">
        <w:t>.</w:t>
      </w:r>
    </w:p>
  </w:footnote>
  <w:footnote w:id="8">
    <w:p w:rsidR="00B25840" w:rsidRDefault="00B25840">
      <w:pPr>
        <w:pStyle w:val="FootnoteText"/>
      </w:pPr>
      <w:r>
        <w:rPr>
          <w:rStyle w:val="FootnoteReference"/>
        </w:rPr>
        <w:footnoteRef/>
      </w:r>
      <w:r>
        <w:t xml:space="preserve"> </w:t>
      </w:r>
      <w:proofErr w:type="spellStart"/>
      <w:r>
        <w:t>Burkell</w:t>
      </w:r>
      <w:proofErr w:type="spellEnd"/>
      <w:r>
        <w:t xml:space="preserve"> 1985: 289.</w:t>
      </w:r>
    </w:p>
  </w:footnote>
  <w:footnote w:id="9">
    <w:p w:rsidR="00B25840" w:rsidRDefault="00B25840">
      <w:pPr>
        <w:pStyle w:val="FootnoteText"/>
      </w:pPr>
      <w:r>
        <w:rPr>
          <w:rStyle w:val="FootnoteReference"/>
        </w:rPr>
        <w:footnoteRef/>
      </w:r>
      <w:r>
        <w:t xml:space="preserve"> Dillon and Garland</w:t>
      </w:r>
      <w:r w:rsidR="003E7016">
        <w:t xml:space="preserve"> 2013</w:t>
      </w:r>
      <w:r>
        <w:t>: 92.</w:t>
      </w:r>
    </w:p>
  </w:footnote>
  <w:footnote w:id="10">
    <w:p w:rsidR="008E4FA6" w:rsidRDefault="008E4FA6">
      <w:pPr>
        <w:pStyle w:val="FootnoteText"/>
      </w:pPr>
      <w:r>
        <w:rPr>
          <w:rStyle w:val="FootnoteReference"/>
        </w:rPr>
        <w:footnoteRef/>
      </w:r>
      <w:r>
        <w:t xml:space="preserve"> Lincoln 1979: 229-30.</w:t>
      </w:r>
    </w:p>
  </w:footnote>
  <w:footnote w:id="11">
    <w:p w:rsidR="009725D9" w:rsidRDefault="009725D9">
      <w:pPr>
        <w:pStyle w:val="FootnoteText"/>
      </w:pPr>
      <w:r>
        <w:rPr>
          <w:rStyle w:val="FootnoteReference"/>
        </w:rPr>
        <w:footnoteRef/>
      </w:r>
      <w:r>
        <w:t xml:space="preserve"> Dillon and Garland</w:t>
      </w:r>
      <w:r w:rsidR="003E7016">
        <w:t xml:space="preserve"> 2013</w:t>
      </w:r>
      <w:r>
        <w:t>: 91.</w:t>
      </w:r>
    </w:p>
  </w:footnote>
  <w:footnote w:id="12">
    <w:p w:rsidR="002607BF" w:rsidRDefault="002607BF">
      <w:pPr>
        <w:pStyle w:val="FootnoteText"/>
      </w:pPr>
      <w:r>
        <w:rPr>
          <w:rStyle w:val="FootnoteReference"/>
        </w:rPr>
        <w:footnoteRef/>
      </w:r>
      <w:r>
        <w:t xml:space="preserve"> Griffin 1986: 74</w:t>
      </w:r>
      <w:r w:rsidR="00433DA6">
        <w:t>.</w:t>
      </w:r>
    </w:p>
  </w:footnote>
  <w:footnote w:id="13">
    <w:p w:rsidR="00433DA6" w:rsidRDefault="00433DA6">
      <w:pPr>
        <w:pStyle w:val="FootnoteText"/>
      </w:pPr>
      <w:r>
        <w:rPr>
          <w:rStyle w:val="FootnoteReference"/>
        </w:rPr>
        <w:footnoteRef/>
      </w:r>
      <w:r>
        <w:t xml:space="preserve"> </w:t>
      </w:r>
      <w:proofErr w:type="spellStart"/>
      <w:r>
        <w:t>Hornblower</w:t>
      </w:r>
      <w:proofErr w:type="spellEnd"/>
      <w:r>
        <w:t xml:space="preserve"> 1986: 125.</w:t>
      </w:r>
    </w:p>
  </w:footnote>
  <w:footnote w:id="14">
    <w:p w:rsidR="003E7016" w:rsidRDefault="003E7016">
      <w:pPr>
        <w:pStyle w:val="FootnoteText"/>
      </w:pPr>
      <w:r>
        <w:rPr>
          <w:rStyle w:val="FootnoteReference"/>
        </w:rPr>
        <w:footnoteRef/>
      </w:r>
      <w:r>
        <w:t xml:space="preserve"> Parker 1986: 263.</w:t>
      </w:r>
    </w:p>
  </w:footnote>
  <w:footnote w:id="15">
    <w:p w:rsidR="003E7016" w:rsidRDefault="003E7016">
      <w:pPr>
        <w:pStyle w:val="FootnoteText"/>
      </w:pPr>
      <w:r>
        <w:rPr>
          <w:rStyle w:val="FootnoteReference"/>
        </w:rPr>
        <w:footnoteRef/>
      </w:r>
      <w:r>
        <w:t xml:space="preserve"> Dillon and Garland 2013: 92; </w:t>
      </w:r>
      <w:proofErr w:type="spellStart"/>
      <w:r>
        <w:t>Burkell</w:t>
      </w:r>
      <w:proofErr w:type="spellEnd"/>
      <w:r>
        <w:t xml:space="preserve"> 1985: 287. </w:t>
      </w:r>
    </w:p>
  </w:footnote>
  <w:footnote w:id="16">
    <w:p w:rsidR="00F76591" w:rsidRDefault="00F76591">
      <w:pPr>
        <w:pStyle w:val="FootnoteText"/>
      </w:pPr>
      <w:r>
        <w:rPr>
          <w:rStyle w:val="FootnoteReference"/>
        </w:rPr>
        <w:footnoteRef/>
      </w:r>
      <w:r>
        <w:t xml:space="preserve"> Dillon and Garland 2013: 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DE4570"/>
    <w:multiLevelType w:val="hybridMultilevel"/>
    <w:tmpl w:val="519AF776"/>
    <w:lvl w:ilvl="0" w:tplc="4F2E0814">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277"/>
    <w:rsid w:val="00025887"/>
    <w:rsid w:val="0006677D"/>
    <w:rsid w:val="00080750"/>
    <w:rsid w:val="001347DB"/>
    <w:rsid w:val="00141BD6"/>
    <w:rsid w:val="001A62AE"/>
    <w:rsid w:val="001E7534"/>
    <w:rsid w:val="002522CF"/>
    <w:rsid w:val="002607BF"/>
    <w:rsid w:val="00275CD2"/>
    <w:rsid w:val="002A3EF7"/>
    <w:rsid w:val="00300AEE"/>
    <w:rsid w:val="003239D9"/>
    <w:rsid w:val="00347F44"/>
    <w:rsid w:val="0036249F"/>
    <w:rsid w:val="003E7016"/>
    <w:rsid w:val="00433DA6"/>
    <w:rsid w:val="004452DB"/>
    <w:rsid w:val="00457B43"/>
    <w:rsid w:val="00476451"/>
    <w:rsid w:val="00476871"/>
    <w:rsid w:val="00502E15"/>
    <w:rsid w:val="00530D7E"/>
    <w:rsid w:val="0053398F"/>
    <w:rsid w:val="0056637A"/>
    <w:rsid w:val="00582C90"/>
    <w:rsid w:val="00591256"/>
    <w:rsid w:val="00591AEE"/>
    <w:rsid w:val="005E6067"/>
    <w:rsid w:val="00602EEA"/>
    <w:rsid w:val="006063C2"/>
    <w:rsid w:val="00622603"/>
    <w:rsid w:val="006402B1"/>
    <w:rsid w:val="006508F3"/>
    <w:rsid w:val="00667E01"/>
    <w:rsid w:val="006E4ACF"/>
    <w:rsid w:val="006E796D"/>
    <w:rsid w:val="006F1E2B"/>
    <w:rsid w:val="00717590"/>
    <w:rsid w:val="007317A6"/>
    <w:rsid w:val="007B2459"/>
    <w:rsid w:val="007D75C9"/>
    <w:rsid w:val="007F3F9B"/>
    <w:rsid w:val="00814381"/>
    <w:rsid w:val="008573BA"/>
    <w:rsid w:val="00860198"/>
    <w:rsid w:val="008704D0"/>
    <w:rsid w:val="00886DF2"/>
    <w:rsid w:val="00895427"/>
    <w:rsid w:val="008A01FD"/>
    <w:rsid w:val="008A6089"/>
    <w:rsid w:val="008E4FA6"/>
    <w:rsid w:val="00923076"/>
    <w:rsid w:val="00934F15"/>
    <w:rsid w:val="00935B4A"/>
    <w:rsid w:val="00971B3B"/>
    <w:rsid w:val="009725D9"/>
    <w:rsid w:val="0097390B"/>
    <w:rsid w:val="009E56DB"/>
    <w:rsid w:val="009F3155"/>
    <w:rsid w:val="00A00016"/>
    <w:rsid w:val="00A173C0"/>
    <w:rsid w:val="00B25840"/>
    <w:rsid w:val="00B5025F"/>
    <w:rsid w:val="00B56FCA"/>
    <w:rsid w:val="00B61945"/>
    <w:rsid w:val="00B67FBD"/>
    <w:rsid w:val="00B902CB"/>
    <w:rsid w:val="00B96E3D"/>
    <w:rsid w:val="00BD600C"/>
    <w:rsid w:val="00C04277"/>
    <w:rsid w:val="00C35D03"/>
    <w:rsid w:val="00C37B13"/>
    <w:rsid w:val="00C52F4B"/>
    <w:rsid w:val="00C71CE1"/>
    <w:rsid w:val="00CA573D"/>
    <w:rsid w:val="00CB7652"/>
    <w:rsid w:val="00CE283C"/>
    <w:rsid w:val="00D72CF9"/>
    <w:rsid w:val="00E165EF"/>
    <w:rsid w:val="00E51858"/>
    <w:rsid w:val="00E5721E"/>
    <w:rsid w:val="00E76FAA"/>
    <w:rsid w:val="00EA62A9"/>
    <w:rsid w:val="00EB3697"/>
    <w:rsid w:val="00EB4D4D"/>
    <w:rsid w:val="00EE0840"/>
    <w:rsid w:val="00EF1F43"/>
    <w:rsid w:val="00F069E1"/>
    <w:rsid w:val="00F07875"/>
    <w:rsid w:val="00F07DF7"/>
    <w:rsid w:val="00F12EA7"/>
    <w:rsid w:val="00F7464D"/>
    <w:rsid w:val="00F76591"/>
    <w:rsid w:val="00F96ABE"/>
    <w:rsid w:val="00FB13AB"/>
    <w:rsid w:val="00FF4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4B0AD"/>
  <w15:chartTrackingRefBased/>
  <w15:docId w15:val="{A7588EF6-368D-4A25-B8A6-DA7F9FE6B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7FB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FB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67FBD"/>
  </w:style>
  <w:style w:type="paragraph" w:styleId="ListParagraph">
    <w:name w:val="List Paragraph"/>
    <w:basedOn w:val="Normal"/>
    <w:uiPriority w:val="34"/>
    <w:qFormat/>
    <w:rsid w:val="00667E01"/>
    <w:pPr>
      <w:ind w:left="720"/>
      <w:contextualSpacing/>
    </w:pPr>
  </w:style>
  <w:style w:type="paragraph" w:styleId="FootnoteText">
    <w:name w:val="footnote text"/>
    <w:basedOn w:val="Normal"/>
    <w:link w:val="FootnoteTextChar"/>
    <w:uiPriority w:val="99"/>
    <w:semiHidden/>
    <w:unhideWhenUsed/>
    <w:rsid w:val="001347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47DB"/>
    <w:rPr>
      <w:sz w:val="20"/>
      <w:szCs w:val="20"/>
    </w:rPr>
  </w:style>
  <w:style w:type="character" w:styleId="FootnoteReference">
    <w:name w:val="footnote reference"/>
    <w:basedOn w:val="DefaultParagraphFont"/>
    <w:uiPriority w:val="99"/>
    <w:semiHidden/>
    <w:unhideWhenUsed/>
    <w:rsid w:val="001347D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8915382">
      <w:bodyDiv w:val="1"/>
      <w:marLeft w:val="0"/>
      <w:marRight w:val="0"/>
      <w:marTop w:val="0"/>
      <w:marBottom w:val="0"/>
      <w:divBdr>
        <w:top w:val="none" w:sz="0" w:space="0" w:color="auto"/>
        <w:left w:val="none" w:sz="0" w:space="0" w:color="auto"/>
        <w:bottom w:val="none" w:sz="0" w:space="0" w:color="auto"/>
        <w:right w:val="none" w:sz="0" w:space="0" w:color="auto"/>
      </w:divBdr>
    </w:div>
    <w:div w:id="1508858953">
      <w:bodyDiv w:val="1"/>
      <w:marLeft w:val="0"/>
      <w:marRight w:val="0"/>
      <w:marTop w:val="0"/>
      <w:marBottom w:val="0"/>
      <w:divBdr>
        <w:top w:val="none" w:sz="0" w:space="0" w:color="auto"/>
        <w:left w:val="none" w:sz="0" w:space="0" w:color="auto"/>
        <w:bottom w:val="none" w:sz="0" w:space="0" w:color="auto"/>
        <w:right w:val="none" w:sz="0" w:space="0" w:color="auto"/>
      </w:divBdr>
    </w:div>
    <w:div w:id="162695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Dil13</b:Tag>
    <b:SourceType>Book</b:SourceType>
    <b:Guid>{9CC3EC19-F0D4-45B6-AE9F-97187AE8775A}</b:Guid>
    <b:Title>The Ancient Greeks: History and Culture from Archaic Times to the Death of Alexander</b:Title>
    <b:Year>2013</b:Year>
    <b:City>London and New York</b:City>
    <b:Publisher>Routledge</b:Publisher>
    <b:Author>
      <b:Author>
        <b:NameList>
          <b:Person>
            <b:Last>Dillon</b:Last>
            <b:First>Matthew</b:First>
          </b:Person>
          <b:Person>
            <b:Last>Garland</b:Last>
            <b:First>Lynda</b:First>
          </b:Person>
        </b:NameList>
      </b:Author>
    </b:Author>
    <b:RefOrder>1</b:RefOrder>
  </b:Source>
  <b:Source>
    <b:Tag>Gri86</b:Tag>
    <b:SourceType>BookSection</b:SourceType>
    <b:Guid>{66A16335-37F1-484E-BABA-A2F94BE46957}</b:Guid>
    <b:Title>Greek Myth and Hesiod</b:Title>
    <b:Year>1986</b:Year>
    <b:City>Oxford</b:City>
    <b:Publisher>Oxford University Press</b:Publisher>
    <b:Author>
      <b:Author>
        <b:NameList>
          <b:Person>
            <b:Last>Griffin</b:Last>
            <b:First>J.</b:First>
          </b:Person>
        </b:NameList>
      </b:Author>
      <b:Editor>
        <b:NameList>
          <b:Person>
            <b:Last>Boardman</b:Last>
            <b:First>John</b:First>
          </b:Person>
          <b:Person>
            <b:Last>Griffin</b:Last>
            <b:First>Jasper</b:First>
          </b:Person>
          <b:Person>
            <b:Last>Murray</b:Last>
            <b:First>Oswyn</b:First>
          </b:Person>
        </b:NameList>
      </b:Editor>
    </b:Author>
    <b:BookTitle>Greece and the Hellenistic World</b:BookTitle>
    <b:Pages>72-92</b:Pages>
    <b:RefOrder>2</b:RefOrder>
  </b:Source>
  <b:Source>
    <b:Tag>Sim86</b:Tag>
    <b:SourceType>BookSection</b:SourceType>
    <b:Guid>{34DBA24F-D952-4D77-BDF5-587CBC094ECD}</b:Guid>
    <b:Author>
      <b:Author>
        <b:NameList>
          <b:Person>
            <b:Last>Hornblower</b:Last>
            <b:First>Simon</b:First>
          </b:Person>
        </b:NameList>
      </b:Author>
      <b:Editor>
        <b:NameList>
          <b:Person>
            <b:Last>Boardman</b:Last>
            <b:First>John</b:First>
          </b:Person>
          <b:Person>
            <b:Last>Griffin</b:Last>
            <b:First>Jasper</b:First>
          </b:Person>
          <b:Person>
            <b:Last>Murray</b:Last>
            <b:First>Oswyn</b:First>
          </b:Person>
        </b:NameList>
      </b:Editor>
    </b:Author>
    <b:Title>The History of the Classical Period</b:Title>
    <b:BookTitle>Greece and the Hellenic World</b:BookTitle>
    <b:Year>1986</b:Year>
    <b:Pages>118-149</b:Pages>
    <b:City>Oxford</b:City>
    <b:Publisher>Oxford University Press</b:Publisher>
    <b:RefOrder>3</b:RefOrder>
  </b:Source>
  <b:Source>
    <b:Tag>Par86</b:Tag>
    <b:SourceType>BookSection</b:SourceType>
    <b:Guid>{46EB93ED-2373-44D6-8E44-DFC1BD7ABED9}</b:Guid>
    <b:Author>
      <b:Author>
        <b:NameList>
          <b:Person>
            <b:Last>Parker</b:Last>
            <b:First>R</b:First>
          </b:Person>
        </b:NameList>
      </b:Author>
      <b:Editor>
        <b:NameList>
          <b:Person>
            <b:Last>Boardman</b:Last>
            <b:First>John</b:First>
          </b:Person>
          <b:Person>
            <b:Last>Griffin</b:Last>
            <b:First>Jasper</b:First>
          </b:Person>
          <b:Person>
            <b:Last>Murray</b:Last>
            <b:First>Oswyn</b:First>
          </b:Person>
        </b:NameList>
      </b:Editor>
    </b:Author>
    <b:Title>Greek Religion</b:Title>
    <b:BookTitle>Greece and the Hellenistic World</b:BookTitle>
    <b:Year>1986</b:Year>
    <b:Pages>248-268</b:Pages>
    <b:City>Oxford</b:City>
    <b:Publisher>Oxford University Press</b:Publisher>
    <b:RefOrder>4</b:RefOrder>
  </b:Source>
  <b:Source>
    <b:Tag>Bur85</b:Tag>
    <b:SourceType>Book</b:SourceType>
    <b:Guid>{6B4F2F8B-57CC-4AD9-9E61-FD33D984E2BC}</b:Guid>
    <b:Title>Greek Religion</b:Title>
    <b:Year>1985</b:Year>
    <b:City>Cambridge, MA</b:City>
    <b:Publisher>Harvard University Press</b:Publisher>
    <b:Author>
      <b:Author>
        <b:NameList>
          <b:Person>
            <b:Last>Burkell</b:Last>
            <b:First>W</b:First>
          </b:Person>
        </b:NameList>
      </b:Author>
    </b:Author>
    <b:RefOrder>5</b:RefOrder>
  </b:Source>
  <b:Source>
    <b:Tag>Bru79</b:Tag>
    <b:SourceType>JournalArticle</b:SourceType>
    <b:Guid>{0BF77830-E38F-4DCC-94FA-2A4A9E067D02}</b:Guid>
    <b:Title>The Rape of Persephone: A Greek Scenario of Women's Initiation</b:Title>
    <b:Year>1979</b:Year>
    <b:Author>
      <b:Author>
        <b:NameList>
          <b:Person>
            <b:Last>Lincolnn</b:Last>
            <b:First>Bruce</b:First>
          </b:Person>
        </b:NameList>
      </b:Author>
    </b:Author>
    <b:JournalName>The Harvard Theological Review</b:JournalName>
    <b:Pages>223-235</b:Pages>
    <b:Volume>72</b:Volume>
    <b:Issue>3/4</b:Issue>
    <b:RefOrder>6</b:RefOrder>
  </b:Source>
  <b:Source>
    <b:Tag>Mar88</b:Tag>
    <b:SourceType>JournalArticle</b:SourceType>
    <b:Guid>{D99381F6-DD6F-4192-A7E6-9D71A96BD344}</b:Guid>
    <b:Title>The Eleusinian Mysteries of Demeter and Persephone: Fertility, Sexuality, and Rebirth</b:Title>
    <b:Year>1988</b:Year>
    <b:Author>
      <b:Author>
        <b:NameList>
          <b:Person>
            <b:Last>Keller</b:Last>
            <b:First>Mara</b:First>
            <b:Middle>Lynn</b:Middle>
          </b:Person>
        </b:NameList>
      </b:Author>
    </b:Author>
    <b:JournalName>Journal of Feminist Studies in Religion</b:JournalName>
    <b:Pages>27-54</b:Pages>
    <b:Volume>4</b:Volume>
    <b:Issue>1</b:Issue>
    <b:RefOrder>7</b:RefOrder>
  </b:Source>
  <b:Source>
    <b:Tag>Rob91</b:Tag>
    <b:SourceType>JournalArticle</b:SourceType>
    <b:Guid>{088C3E6B-F015-4FA0-A927-1834D8D62BE6}</b:Guid>
    <b:Author>
      <b:Author>
        <b:NameList>
          <b:Person>
            <b:Last>Parker</b:Last>
            <b:First>Robert</b:First>
          </b:Person>
        </b:NameList>
      </b:Author>
    </b:Author>
    <b:Title>The 'Hymn to Demeter' and the 'Homeric Hymns'</b:Title>
    <b:JournalName>Greece &amp; Rome</b:JournalName>
    <b:Year>1991</b:Year>
    <b:Pages>1-17</b:Pages>
    <b:Volume>38</b:Volume>
    <b:Issue>1</b:Issue>
    <b:RefOrder>8</b:RefOrder>
  </b:Source>
</b:Sources>
</file>

<file path=customXml/itemProps1.xml><?xml version="1.0" encoding="utf-8"?>
<ds:datastoreItem xmlns:ds="http://schemas.openxmlformats.org/officeDocument/2006/customXml" ds:itemID="{7D4AE88F-1228-4E38-99C7-5764CD9BB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7</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67</cp:revision>
  <dcterms:created xsi:type="dcterms:W3CDTF">2018-01-06T14:12:00Z</dcterms:created>
  <dcterms:modified xsi:type="dcterms:W3CDTF">2018-01-08T21:44:00Z</dcterms:modified>
</cp:coreProperties>
</file>