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178A3" w14:textId="206E697B" w:rsidR="34E5AF60" w:rsidRDefault="34E5AF60" w:rsidP="34E5AF60">
      <w:pPr>
        <w:ind w:right="237"/>
        <w:rPr>
          <w:color w:val="000000" w:themeColor="text1"/>
          <w:sz w:val="24"/>
          <w:szCs w:val="24"/>
        </w:rPr>
      </w:pPr>
    </w:p>
    <w:p w14:paraId="4D40915B" w14:textId="73E2EE89" w:rsidR="34E5AF60" w:rsidRDefault="34E5AF60" w:rsidP="34E5AF60">
      <w:pPr>
        <w:ind w:right="237"/>
        <w:rPr>
          <w:color w:val="000000" w:themeColor="text1"/>
          <w:sz w:val="24"/>
          <w:szCs w:val="24"/>
        </w:rPr>
      </w:pPr>
    </w:p>
    <w:p w14:paraId="10F71D8A" w14:textId="2FBA271F" w:rsidR="34E5AF60" w:rsidRDefault="34E5AF60" w:rsidP="34E5AF60">
      <w:pPr>
        <w:ind w:right="237"/>
        <w:rPr>
          <w:color w:val="000000" w:themeColor="text1"/>
          <w:sz w:val="24"/>
          <w:szCs w:val="24"/>
        </w:rPr>
      </w:pPr>
    </w:p>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Ind w:w="137" w:type="dxa"/>
        <w:tblLayout w:type="fixed"/>
        <w:tblLook w:val="06A0" w:firstRow="1" w:lastRow="0" w:firstColumn="1" w:lastColumn="0" w:noHBand="1" w:noVBand="1"/>
      </w:tblPr>
      <w:tblGrid>
        <w:gridCol w:w="8878"/>
      </w:tblGrid>
      <w:tr w:rsidR="33572C6E" w14:paraId="32FDE32A" w14:textId="77777777" w:rsidTr="00E02F55">
        <w:tc>
          <w:tcPr>
            <w:tcW w:w="8878" w:type="dxa"/>
          </w:tcPr>
          <w:p w14:paraId="4F47683E" w14:textId="79693D8D" w:rsidR="7908378C" w:rsidRDefault="7908378C" w:rsidP="33572C6E">
            <w:pPr>
              <w:ind w:right="237"/>
              <w:rPr>
                <w:b/>
                <w:bCs/>
                <w:color w:val="auto"/>
                <w:sz w:val="32"/>
                <w:szCs w:val="32"/>
              </w:rPr>
            </w:pPr>
            <w:r w:rsidRPr="33572C6E">
              <w:rPr>
                <w:b/>
                <w:bCs/>
                <w:color w:val="auto"/>
                <w:sz w:val="32"/>
                <w:szCs w:val="32"/>
              </w:rPr>
              <w:t xml:space="preserve">Learner name: </w:t>
            </w:r>
            <w:r w:rsidR="00E02F55">
              <w:rPr>
                <w:b/>
                <w:bCs/>
                <w:color w:val="auto"/>
                <w:sz w:val="32"/>
                <w:szCs w:val="32"/>
              </w:rPr>
              <w:t>Naomi Rees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74F6A01A" w:rsidR="33572C6E" w:rsidRDefault="00E02F55" w:rsidP="33572C6E">
            <w:pPr>
              <w:ind w:right="237"/>
              <w:rPr>
                <w:b/>
                <w:bCs/>
                <w:color w:val="auto"/>
                <w:sz w:val="32"/>
                <w:szCs w:val="32"/>
              </w:rPr>
            </w:pPr>
            <w:r>
              <w:rPr>
                <w:b/>
                <w:bCs/>
                <w:color w:val="auto"/>
                <w:sz w:val="32"/>
                <w:szCs w:val="32"/>
              </w:rPr>
              <w:t>2029335</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34690559" w:rsidR="00A3273B" w:rsidRDefault="00A3273B" w:rsidP="00340E9A">
      <w:pPr>
        <w:overflowPunct/>
        <w:autoSpaceDE/>
        <w:autoSpaceDN/>
        <w:adjustRightInd/>
        <w:ind w:right="237"/>
        <w:textAlignment w:val="auto"/>
        <w:rPr>
          <w:b/>
          <w:color w:val="auto"/>
          <w:sz w:val="36"/>
        </w:rPr>
      </w:pPr>
    </w:p>
    <w:p w14:paraId="3BFF0392" w14:textId="4138C285" w:rsidR="00E02F55" w:rsidRDefault="00E02F55" w:rsidP="00340E9A">
      <w:pPr>
        <w:overflowPunct/>
        <w:autoSpaceDE/>
        <w:autoSpaceDN/>
        <w:adjustRightInd/>
        <w:ind w:right="237"/>
        <w:textAlignment w:val="auto"/>
        <w:rPr>
          <w:b/>
          <w:color w:val="auto"/>
          <w:sz w:val="36"/>
        </w:rPr>
      </w:pPr>
    </w:p>
    <w:p w14:paraId="398B30EC" w14:textId="2BE0A7F3" w:rsidR="00E02F55" w:rsidRDefault="00E02F55" w:rsidP="00340E9A">
      <w:pPr>
        <w:overflowPunct/>
        <w:autoSpaceDE/>
        <w:autoSpaceDN/>
        <w:adjustRightInd/>
        <w:ind w:right="237"/>
        <w:textAlignment w:val="auto"/>
        <w:rPr>
          <w:b/>
          <w:color w:val="auto"/>
          <w:sz w:val="36"/>
        </w:rPr>
      </w:pPr>
    </w:p>
    <w:p w14:paraId="6497E36D" w14:textId="31FCB7BF" w:rsidR="00E02F55" w:rsidRDefault="00E02F55" w:rsidP="00340E9A">
      <w:pPr>
        <w:overflowPunct/>
        <w:autoSpaceDE/>
        <w:autoSpaceDN/>
        <w:adjustRightInd/>
        <w:ind w:right="237"/>
        <w:textAlignment w:val="auto"/>
        <w:rPr>
          <w:b/>
          <w:color w:val="auto"/>
          <w:sz w:val="36"/>
        </w:rPr>
      </w:pPr>
    </w:p>
    <w:p w14:paraId="4721EA7C" w14:textId="7B2D778D" w:rsidR="00E02F55" w:rsidRDefault="00E02F55" w:rsidP="00340E9A">
      <w:pPr>
        <w:overflowPunct/>
        <w:autoSpaceDE/>
        <w:autoSpaceDN/>
        <w:adjustRightInd/>
        <w:ind w:right="237"/>
        <w:textAlignment w:val="auto"/>
        <w:rPr>
          <w:b/>
          <w:color w:val="auto"/>
          <w:sz w:val="36"/>
        </w:rPr>
      </w:pPr>
    </w:p>
    <w:p w14:paraId="1A505AA1" w14:textId="77777777" w:rsidR="00E02F55" w:rsidRPr="00E676F7" w:rsidRDefault="00E02F55"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E02F5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1F95EEC7"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Domestic abuse can be defined as abuse between people who are personally connected to each other. It can be one single incident or a pattern of incidents and the abuse can take many forms i.e physical violence, sexual abuse, financial abuse, controlling or coercive behaviour etc. (Women’s Aid, 2022). </w:t>
      </w:r>
    </w:p>
    <w:p w14:paraId="55F614B8"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Domestic abuse has a devastating impact on all those affected, victims and their families. Legislation changes over the last decade aim to raise awareness of the severity of the issue and improve the effectiveness of the criminal justice system in providing protection for victims and bringing perpetrators to justice. (CPS, 2022). </w:t>
      </w:r>
    </w:p>
    <w:p w14:paraId="5C85BB2C"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South Wales Police recorded 35,687 incidents of domestic abuse reported to them during 2019/2020. Of this number, 13,063 were recorded as being crimes (Police and Crime Commissioner, no date). </w:t>
      </w:r>
    </w:p>
    <w:p w14:paraId="116A6925"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In this essay I will discuss a domestic incident that I dealt with which I feel gives an insight into the complexity of dealing with domestic abuse incidents and some of the challenges faced by police. </w:t>
      </w:r>
    </w:p>
    <w:p w14:paraId="3A5061F8"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The incident I will discuss involves a report from a woman concerned about her adult daughter after her daughter disclosed a relationship breakdown between her and her partner. The woman was concerned about certain incidents her daughter had described to her and was looking for police advice on the matter. </w:t>
      </w:r>
    </w:p>
    <w:p w14:paraId="38CB4368"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The female was contacted through safe means (by mobile when her partner was known to be at work). She explained that she had been in a relationship with her partner for several years. They had a child together and she had other children from a previous marriage. While speaking to officers she disclosed several incidents and behaviours which were indicative of her being a victim of coercive control. </w:t>
      </w:r>
    </w:p>
    <w:p w14:paraId="68E5BE3A"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Controlling or coercive behaviour was made a criminal offence with the introduction of the Serious Crime Act 2015. Section 76 (</w:t>
      </w:r>
      <w:r w:rsidRPr="00E02F55">
        <w:rPr>
          <w:rFonts w:ascii="Calibri" w:eastAsia="Calibri" w:hAnsi="Calibri" w:cs="Times New Roman"/>
          <w:i/>
          <w:color w:val="auto"/>
          <w:sz w:val="22"/>
          <w:szCs w:val="22"/>
          <w:lang w:eastAsia="en-US"/>
        </w:rPr>
        <w:t>Serious Crime Act 2015</w:t>
      </w:r>
      <w:r w:rsidRPr="00E02F55">
        <w:rPr>
          <w:rFonts w:ascii="Calibri" w:eastAsia="Calibri" w:hAnsi="Calibri" w:cs="Times New Roman"/>
          <w:color w:val="auto"/>
          <w:sz w:val="22"/>
          <w:szCs w:val="22"/>
          <w:lang w:eastAsia="en-US"/>
        </w:rPr>
        <w:t xml:space="preserve">) sets out that controlling or coercive behaviour between people who are personally connected, having serious effect on the victim, is an offence. The offence is committed if the victim fears on at least two occasions that violence will be used against them or if the behaviour of the perpetrator causes the victim alarm and distress, having an effect on their day to day activities. </w:t>
      </w:r>
    </w:p>
    <w:p w14:paraId="50BFA1EB"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The female (to be referred to as the victim) disclosed incidents such as her partner taking her mobile to work with him so that she could not speak to anyone and restricting the use of the car they shared (after convincing her early on in the relationship to sell her own car). She described her partner as a very jealous person and described incidents where he had become aggressive in public as a result of her interacting with males known to her.  </w:t>
      </w:r>
    </w:p>
    <w:p w14:paraId="62B38EF5"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The victim described two incidents of physical violence that had occurred throughout the relationship, many years before speaking to the police She said that these incidents involved her partner pushing her and although she was not injured as a result it had left her feeling frightened of </w:t>
      </w:r>
      <w:r w:rsidRPr="00E02F55">
        <w:rPr>
          <w:rFonts w:ascii="Calibri" w:eastAsia="Calibri" w:hAnsi="Calibri" w:cs="Times New Roman"/>
          <w:color w:val="auto"/>
          <w:sz w:val="22"/>
          <w:szCs w:val="22"/>
          <w:lang w:eastAsia="en-US"/>
        </w:rPr>
        <w:lastRenderedPageBreak/>
        <w:t>further violence. She said that this fear had caused her to alter how she behaves and her decision making.</w:t>
      </w:r>
    </w:p>
    <w:p w14:paraId="1D803E00"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I discussed with her the impact of her partner’s behaviour on her children. She was very upset when discussing how her children had been impacted and stated that although the partner had never been violent towards the children or in front of the children, his general behaviour made the children frightened of him. She said that her two eldest children had spoken to their father about the situation and her youngest had asked if her and the three children could live elsewhere away from her father.</w:t>
      </w:r>
    </w:p>
    <w:p w14:paraId="5BD7362D"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Research into Adverse Childhood Experiences (ACE’s) tells us that children exposed to adversity (such as violence and abuse at home) are more likely to suffer consequences throughout their lives, even so far as leading to behaviour which damages themselves or harming others (Police and Crime Commissioner South Wales, 2019). </w:t>
      </w:r>
    </w:p>
    <w:p w14:paraId="6A4654AE"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NSPCC Learning (2021) say that Domestic Abuse always has an impact on children and that children exposed to domestic abuse are themselves, victims of child abuse. Legislation already existed to say that ‘seeing or hearing the ill-treatment of another person’ is a form of harm </w:t>
      </w:r>
      <w:r w:rsidRPr="00E02F55">
        <w:rPr>
          <w:rFonts w:ascii="Calibri" w:eastAsia="Calibri" w:hAnsi="Calibri" w:cs="Times New Roman"/>
          <w:i/>
          <w:color w:val="auto"/>
          <w:sz w:val="22"/>
          <w:szCs w:val="22"/>
          <w:lang w:eastAsia="en-US"/>
        </w:rPr>
        <w:t xml:space="preserve">(s.120 Adoption and Children’s Act 2002)  </w:t>
      </w:r>
      <w:r w:rsidRPr="00E02F55">
        <w:rPr>
          <w:rFonts w:ascii="Calibri" w:eastAsia="Calibri" w:hAnsi="Calibri" w:cs="Times New Roman"/>
          <w:color w:val="auto"/>
          <w:sz w:val="22"/>
          <w:szCs w:val="22"/>
          <w:lang w:eastAsia="en-US"/>
        </w:rPr>
        <w:t xml:space="preserve">however, the introduction of the </w:t>
      </w:r>
      <w:r w:rsidRPr="00E02F55">
        <w:rPr>
          <w:rFonts w:ascii="Calibri" w:eastAsia="Calibri" w:hAnsi="Calibri" w:cs="Times New Roman"/>
          <w:i/>
          <w:color w:val="auto"/>
          <w:sz w:val="22"/>
          <w:szCs w:val="22"/>
          <w:lang w:eastAsia="en-US"/>
        </w:rPr>
        <w:t>Domestic Abuse Act 2021</w:t>
      </w:r>
      <w:r w:rsidRPr="00E02F55">
        <w:rPr>
          <w:rFonts w:ascii="Calibri" w:eastAsia="Calibri" w:hAnsi="Calibri" w:cs="Times New Roman"/>
          <w:color w:val="auto"/>
          <w:sz w:val="22"/>
          <w:szCs w:val="22"/>
          <w:lang w:eastAsia="en-US"/>
        </w:rPr>
        <w:t xml:space="preserve">, section 3 makes a formal recognition of children as victims of domestic violence if they ‘see hear or otherwise experience the effects of abuse’. </w:t>
      </w:r>
    </w:p>
    <w:p w14:paraId="272B8C7A"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The victim stated her intentions to leave the relationship that week as she had already arranged a new property for her and the children, unbeknown to her partner. As a result of the stress of moving home secretly and the fear that he would take their child away from her, she felt unable to go through with the process of making a formal complaint against her partner for the offences she had disclosed. The support options available to her when making a complaint and the protections that would be offered (i.e bail conditions) were discussed. However, she stated that she did not feel she had the mental energy at that time to consider such an important process and just wanted to do things her way first (by moving out and leaving the relationship). </w:t>
      </w:r>
    </w:p>
    <w:p w14:paraId="4CB8E210"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Domestic abuse cases pose a huge challenge for police when it comes to moving to a stage of prosecution due to victims of domestic abuse frequently not supporting a prosecution. There are more reasons than can be possibly named for why a victim is not willing/does not feel able to support a prosecution of their abuser. Some of these reasons are the danger that making a complaint to the police would put the victim (and children when present) in, the fear of being alone, the shame, the denial that they are in an abusive relationship, lack of trust in the police and criminal justice system and practical reasons such as financial dependence on the abuser (Women’s Aid, 2022). </w:t>
      </w:r>
    </w:p>
    <w:p w14:paraId="6BC54D10"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The victim was provided with details of organisations that can provide ongoing support and advice to victims such as Live Fear Free and Women’s Aid. She was also advised about the process of police submitting a public protection notification and she consented to answer the associated Domestic Abuse, Stalking, Harassment and Honour based violence (DASH) checklist questions. </w:t>
      </w:r>
    </w:p>
    <w:p w14:paraId="0B2A4312"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Professionals working in the public protection arena use the DASH (2009) risk identification and assessment model in order to identify high risk cases and decide what level of support is required, including a MARAC referral for those deemed as high risk (DASH Risk Model, 2022). </w:t>
      </w:r>
    </w:p>
    <w:p w14:paraId="6F5BBE83"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A MARAC, Multi Agency Risk Assessment Conference, is a meeting involving agencies such as the police, social services, IDVA’s, Health visitors etc. The aim of the meeting is to discuss the risk posed </w:t>
      </w:r>
      <w:r w:rsidRPr="00E02F55">
        <w:rPr>
          <w:rFonts w:ascii="Calibri" w:eastAsia="Calibri" w:hAnsi="Calibri" w:cs="Times New Roman"/>
          <w:color w:val="auto"/>
          <w:sz w:val="22"/>
          <w:szCs w:val="22"/>
          <w:lang w:eastAsia="en-US"/>
        </w:rPr>
        <w:lastRenderedPageBreak/>
        <w:t xml:space="preserve">to a person or family and to develop a safety plan going forward (Kent and Medway Domestic Abuse and Sexual Violence Group, 2022). </w:t>
      </w:r>
    </w:p>
    <w:p w14:paraId="2DA8918A"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Multi agency working is extremely important when it comes to working with victims with domestic abuse as very often, the impact the abuse has had on their lives far reaches beyond what the police can hope to deal with. Other agencies, such as the ones mentioned above, plus GPs, schools etc. are all involved in some capacity when a victim and their children need support in dealing with abuse.  </w:t>
      </w:r>
    </w:p>
    <w:p w14:paraId="36E42EFA"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FF0000"/>
          <w:sz w:val="22"/>
          <w:szCs w:val="22"/>
          <w:lang w:eastAsia="en-US"/>
        </w:rPr>
      </w:pPr>
      <w:r w:rsidRPr="00E02F55">
        <w:rPr>
          <w:rFonts w:ascii="Calibri" w:eastAsia="Calibri" w:hAnsi="Calibri" w:cs="Times New Roman"/>
          <w:color w:val="auto"/>
          <w:sz w:val="22"/>
          <w:szCs w:val="22"/>
          <w:lang w:eastAsia="en-US"/>
        </w:rPr>
        <w:t xml:space="preserve">As a result of the answers the victim provided to the DASH questions, coupled with her plans to leave the relationship I felt she was at a high risk of abuse/violence going forward. Therefore I submitted the public protection notification graded as high risk which meant that a MARAC was held. </w:t>
      </w:r>
    </w:p>
    <w:p w14:paraId="6AEB1079"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In addition to this, based on what information she had provided safeguarding measures were put into place such as a critical marker on both the current and new address she was to move to and she was appointed an Independent Domestic Violence Advisor (IDVA). </w:t>
      </w:r>
    </w:p>
    <w:p w14:paraId="56E3E220"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A few weeks after speaking to police about her relationship with her partner, the victim contacted police again. She explained that she had been able to leave the house and the relationship and had had been having support from domestic abuse charities and now felt she was able to go ahead with making a complaint.</w:t>
      </w:r>
      <w:r w:rsidRPr="00E02F55">
        <w:rPr>
          <w:rFonts w:ascii="Calibri" w:eastAsia="Calibri" w:hAnsi="Calibri" w:cs="Times New Roman"/>
          <w:color w:val="FF0000"/>
          <w:sz w:val="22"/>
          <w:szCs w:val="22"/>
          <w:lang w:eastAsia="en-US"/>
        </w:rPr>
        <w:t xml:space="preserve"> </w:t>
      </w:r>
      <w:r w:rsidRPr="00E02F55">
        <w:rPr>
          <w:rFonts w:ascii="Calibri" w:eastAsia="Calibri" w:hAnsi="Calibri" w:cs="Times New Roman"/>
          <w:color w:val="auto"/>
          <w:sz w:val="22"/>
          <w:szCs w:val="22"/>
          <w:lang w:eastAsia="en-US"/>
        </w:rPr>
        <w:t xml:space="preserve">She also stated that her partner had actively been trying to find out her new address by approaching friends and family members and even a local estate agent to find out if she was a tenant of theirs. She had CCTV footage of a vehicle she believed he was driving, driving past her address during the night. This occurred several times. </w:t>
      </w:r>
    </w:p>
    <w:p w14:paraId="7F66BC50"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These new developments meant that there was a new offence of harassment </w:t>
      </w:r>
      <w:r w:rsidRPr="00E02F55">
        <w:rPr>
          <w:rFonts w:ascii="Calibri" w:eastAsia="Calibri" w:hAnsi="Calibri" w:cs="Times New Roman"/>
          <w:i/>
          <w:color w:val="auto"/>
          <w:sz w:val="22"/>
          <w:szCs w:val="22"/>
          <w:lang w:eastAsia="en-US"/>
        </w:rPr>
        <w:t xml:space="preserve">(S. 2 Protection from Harassment Act 1997) </w:t>
      </w:r>
      <w:r w:rsidRPr="00E02F55">
        <w:rPr>
          <w:rFonts w:ascii="Calibri" w:eastAsia="Calibri" w:hAnsi="Calibri" w:cs="Times New Roman"/>
          <w:color w:val="auto"/>
          <w:sz w:val="22"/>
          <w:szCs w:val="22"/>
          <w:lang w:eastAsia="en-US"/>
        </w:rPr>
        <w:t xml:space="preserve">being committed by the male. </w:t>
      </w:r>
    </w:p>
    <w:p w14:paraId="23534F56"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As a result of the new offence of harassment being committed and the victim’s newly acquired confidence to go through with making a complaint, a statement was taken from her. Statements were also taken from family members and friends who had witnessed incidents between the victim and the male. </w:t>
      </w:r>
    </w:p>
    <w:p w14:paraId="4E175CE6"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Shortly after, the male was arrested for coercive control and harassment. He was interviewed where he denied the offences and released on bail, with conditions not to contact or approach the victim or be in the local area where she was living. </w:t>
      </w:r>
    </w:p>
    <w:p w14:paraId="7153C868"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Both offences were fully investigated and it was determined that the evidence that existed did not meet the evidential stage of the full code test. The full code test is a test used by prosecutors to determine whether a prosecution will start/continue. It is split into two stages; the evidential stage and the public interest stage. In the evidential stage the prosecutor must be satisfied that the evidence available provides a realistic prospect of conviction. The defendant’s possible defences are considered during this stage and how they are likely to affect conviction prospects (CPS, 2018). </w:t>
      </w:r>
    </w:p>
    <w:p w14:paraId="363C2A5A"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In this case the officer in the case and supervising officer determined that the behaviours and incidents the victim had described in her statement describe an aggressive man, but that in itself did not provide enough evidence that there had been coercive and controlling behaviour occurring. With regard to the harassment, it was deemed that the CCTV footage could not identify the vehicle or who was driving the vehicle and therefore did not provide sufficient evidence of harassment. </w:t>
      </w:r>
    </w:p>
    <w:p w14:paraId="3D31A02D"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FF0000"/>
          <w:sz w:val="22"/>
          <w:szCs w:val="22"/>
          <w:lang w:eastAsia="en-US"/>
        </w:rPr>
        <w:lastRenderedPageBreak/>
        <w:t xml:space="preserve"> </w:t>
      </w:r>
      <w:r w:rsidRPr="00E02F55">
        <w:rPr>
          <w:rFonts w:ascii="Calibri" w:eastAsia="Calibri" w:hAnsi="Calibri" w:cs="Times New Roman"/>
          <w:color w:val="auto"/>
          <w:sz w:val="22"/>
          <w:szCs w:val="22"/>
          <w:lang w:eastAsia="en-US"/>
        </w:rPr>
        <w:t xml:space="preserve">As a result, there was no further action taken and the male’s bail conditions were removed. The victim continued to receive domestic abuse support and was urged to report any future incidents in the hope that a course of conduct could be established which may enable a prosecution to be made.  </w:t>
      </w:r>
    </w:p>
    <w:p w14:paraId="33DAC440"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This incident clearly demonstrates the complexity of domestic abuse incidents and how difficult it can be to gain successful convictions when domestic abuse takes place in the form of coercive control. Office for National Statistics (2021) census data shows that in the year ending March 2021 the CPS charging rate for Domestic abuse decreased from 76% in 2018 to 70%. A Home Office (2021) review into the offence of coercive and controlling behaviour suggested that the requirement for proof of the suspect’s behaviour having a ‘serious effect’ on the victim proved difficult to show evidentially. </w:t>
      </w:r>
    </w:p>
    <w:p w14:paraId="6AA7A649"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This essay demonstrates that the challenges the police face when dealing with domestic abuse incidents come in two main forms; the victim not supporting a prosecution due to a large variety of reasons and evidential difficulties making it difficult to get a successful prosecution due to the nature of the offence. </w:t>
      </w:r>
    </w:p>
    <w:p w14:paraId="3CA332F5"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When I reflect on this incident it is easy to feel frustrated by the outcome. I spent a lot of time with the victim, offered her the support she needed to feel able to go forward with making a complaint, the male was arrested and unfortunately, the evidence was just not there to support a prosecution. </w:t>
      </w:r>
    </w:p>
    <w:p w14:paraId="5BE6C52F"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However, I feel I learned a great deal when dealing with this case. I gained an understanding on how critical it is to allow victims time to decide on making a complaint in such cases. Because I sat with the victim for many hours the first time the issues were brought to police attention, once she’d she left the relationship and accepted the supported offered to her she had confidence to return to police as she had been listened to the first time and given time to make her decision. Also, because I had written such a full and comprehensive update after speaking with her the first time, each officer that dealt with the case had enough information that they did not have to keep asking the victim to recount the full relationship history each time they spoke to her. </w:t>
      </w:r>
    </w:p>
    <w:p w14:paraId="3F27704B" w14:textId="777777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E02F55">
        <w:rPr>
          <w:rFonts w:ascii="Calibri" w:eastAsia="Calibri" w:hAnsi="Calibri" w:cs="Times New Roman"/>
          <w:color w:val="auto"/>
          <w:sz w:val="22"/>
          <w:szCs w:val="22"/>
          <w:lang w:eastAsia="en-US"/>
        </w:rPr>
        <w:t xml:space="preserve">Although the end result is not what the victim would have wished for, I do feel that how I personally dealt with the situation meant that the victim, who had had very little contact with police previously, had confidence that we wanted to help and support her.  </w:t>
      </w:r>
    </w:p>
    <w:p w14:paraId="670BCD61" w14:textId="4B548977" w:rsidR="00E02F55" w:rsidRPr="00E02F55" w:rsidRDefault="00E02F55" w:rsidP="00E02F5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Pr>
          <w:rFonts w:ascii="Calibri" w:eastAsia="Calibri" w:hAnsi="Calibri" w:cs="Times New Roman"/>
          <w:color w:val="auto"/>
          <w:sz w:val="22"/>
          <w:szCs w:val="22"/>
          <w:lang w:eastAsia="en-US"/>
        </w:rPr>
        <w:t xml:space="preserve">Word count: 2155 </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052A7114" w:rsidR="00025650" w:rsidRDefault="00025650" w:rsidP="0FF883D4">
      <w:pPr>
        <w:ind w:right="237"/>
        <w:jc w:val="both"/>
        <w:rPr>
          <w:color w:val="000000" w:themeColor="text1"/>
          <w:sz w:val="24"/>
          <w:szCs w:val="24"/>
        </w:rPr>
      </w:pPr>
    </w:p>
    <w:p w14:paraId="4840AD62" w14:textId="74486D61" w:rsidR="00E02F55" w:rsidRDefault="00E02F55" w:rsidP="0FF883D4">
      <w:pPr>
        <w:ind w:right="237"/>
        <w:jc w:val="both"/>
        <w:rPr>
          <w:color w:val="000000" w:themeColor="text1"/>
          <w:sz w:val="24"/>
          <w:szCs w:val="24"/>
        </w:rPr>
      </w:pPr>
    </w:p>
    <w:p w14:paraId="199907D8" w14:textId="1ECEA8A3" w:rsidR="00E02F55" w:rsidRDefault="00E02F55" w:rsidP="0FF883D4">
      <w:pPr>
        <w:ind w:right="237"/>
        <w:jc w:val="both"/>
        <w:rPr>
          <w:color w:val="000000" w:themeColor="text1"/>
          <w:sz w:val="24"/>
          <w:szCs w:val="24"/>
        </w:rPr>
      </w:pPr>
    </w:p>
    <w:p w14:paraId="79282D68" w14:textId="1562F7D4" w:rsidR="00E02F55" w:rsidRDefault="00E02F55" w:rsidP="0FF883D4">
      <w:pPr>
        <w:ind w:right="237"/>
        <w:jc w:val="both"/>
        <w:rPr>
          <w:color w:val="000000" w:themeColor="text1"/>
          <w:sz w:val="24"/>
          <w:szCs w:val="24"/>
        </w:rPr>
      </w:pPr>
    </w:p>
    <w:p w14:paraId="10CA3C09" w14:textId="396DEBB4" w:rsidR="00E02F55" w:rsidRDefault="00E02F55" w:rsidP="0FF883D4">
      <w:pPr>
        <w:ind w:right="237"/>
        <w:jc w:val="both"/>
        <w:rPr>
          <w:color w:val="000000" w:themeColor="text1"/>
          <w:sz w:val="24"/>
          <w:szCs w:val="24"/>
        </w:rPr>
      </w:pPr>
    </w:p>
    <w:p w14:paraId="48F82857" w14:textId="77777777" w:rsidR="00E02F55" w:rsidRPr="00E676F7" w:rsidRDefault="00E02F55"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F3FCEB7" w:rsidR="0FF883D4" w:rsidRDefault="5CE196A1" w:rsidP="5CE196A1">
      <w:r w:rsidRPr="5CE196A1">
        <w:rPr>
          <w:rFonts w:eastAsia="Arial"/>
          <w:b/>
          <w:bCs/>
          <w:color w:val="000000" w:themeColor="text1"/>
          <w:sz w:val="24"/>
          <w:szCs w:val="24"/>
        </w:rPr>
        <w:t xml:space="preserve">Signed: </w:t>
      </w:r>
      <w:r w:rsidR="00E02F55">
        <w:rPr>
          <w:rFonts w:eastAsia="Arial"/>
          <w:b/>
          <w:bCs/>
          <w:color w:val="000000" w:themeColor="text1"/>
          <w:sz w:val="24"/>
          <w:szCs w:val="24"/>
        </w:rPr>
        <w:t>Naomi Rees</w:t>
      </w:r>
    </w:p>
    <w:p w14:paraId="563192E7" w14:textId="7A83C86F" w:rsidR="0FF883D4" w:rsidRDefault="5CE196A1" w:rsidP="5CE196A1">
      <w:r w:rsidRPr="5CE196A1">
        <w:rPr>
          <w:rFonts w:eastAsia="Arial"/>
          <w:b/>
          <w:bCs/>
          <w:color w:val="000000" w:themeColor="text1"/>
          <w:sz w:val="24"/>
          <w:szCs w:val="24"/>
        </w:rPr>
        <w:t xml:space="preserve"> </w:t>
      </w:r>
    </w:p>
    <w:p w14:paraId="6F8F462E" w14:textId="77777777" w:rsidR="0FF883D4" w:rsidRDefault="5CE196A1" w:rsidP="00E02F55">
      <w:pPr>
        <w:rPr>
          <w:b/>
          <w:bCs/>
          <w:sz w:val="24"/>
          <w:szCs w:val="24"/>
          <w:lang w:eastAsia="zh-TW"/>
        </w:rPr>
      </w:pPr>
      <w:r w:rsidRPr="5CE196A1">
        <w:rPr>
          <w:rFonts w:eastAsia="Arial"/>
          <w:b/>
          <w:bCs/>
          <w:color w:val="000000" w:themeColor="text1"/>
          <w:sz w:val="24"/>
          <w:szCs w:val="24"/>
        </w:rPr>
        <w:t>Date:</w:t>
      </w:r>
      <w:r w:rsidR="00E02F55">
        <w:t xml:space="preserve"> </w:t>
      </w:r>
      <w:r w:rsidR="00E02F55">
        <w:rPr>
          <w:b/>
          <w:bCs/>
          <w:sz w:val="24"/>
          <w:szCs w:val="24"/>
          <w:lang w:eastAsia="zh-TW"/>
        </w:rPr>
        <w:t>10/10/2022</w:t>
      </w:r>
    </w:p>
    <w:p w14:paraId="7A44811E" w14:textId="77777777" w:rsidR="00E02F55" w:rsidRDefault="00E02F55" w:rsidP="00E02F55">
      <w:pPr>
        <w:rPr>
          <w:b/>
          <w:bCs/>
          <w:sz w:val="24"/>
          <w:szCs w:val="24"/>
          <w:lang w:eastAsia="zh-TW"/>
        </w:rPr>
      </w:pPr>
    </w:p>
    <w:p w14:paraId="482B2B3A" w14:textId="66843DD2" w:rsidR="00E02F55" w:rsidRPr="00E02F55" w:rsidRDefault="00E02F55" w:rsidP="00E02F55">
      <w:pPr>
        <w:sectPr w:rsidR="00E02F55" w:rsidRPr="00E02F55"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7330642C"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w:t>
      </w:r>
      <w:r w:rsidR="00147DE3" w:rsidRPr="00E676F7">
        <w:rPr>
          <w:sz w:val="24"/>
          <w:szCs w:val="24"/>
        </w:rPr>
        <w:lastRenderedPageBreak/>
        <w:t>that you are aware of the importance of ensuring that the work submitted is your original work</w:t>
      </w:r>
      <w:r w:rsidR="00EA28F1">
        <w:rPr>
          <w:sz w:val="24"/>
          <w:szCs w:val="24"/>
        </w:rPr>
        <w:t xml:space="preserve">. </w:t>
      </w:r>
    </w:p>
    <w:p w14:paraId="227FF2A2" w14:textId="218BF410" w:rsidR="00E02F55" w:rsidRDefault="00E02F55" w:rsidP="00EA28F1">
      <w:pPr>
        <w:keepNext/>
        <w:spacing w:before="240" w:after="60"/>
        <w:ind w:right="237"/>
        <w:jc w:val="both"/>
        <w:rPr>
          <w:sz w:val="24"/>
          <w:szCs w:val="24"/>
        </w:rPr>
      </w:pPr>
    </w:p>
    <w:p w14:paraId="111EE108" w14:textId="52437336" w:rsidR="00E02F55" w:rsidRDefault="00E02F55" w:rsidP="00EA28F1">
      <w:pPr>
        <w:keepNext/>
        <w:spacing w:before="240" w:after="60"/>
        <w:ind w:right="237"/>
        <w:jc w:val="both"/>
      </w:pPr>
      <w:r w:rsidRPr="00E02F55">
        <w:lastRenderedPageBreak/>
        <w:drawing>
          <wp:inline distT="0" distB="0" distL="0" distR="0" wp14:anchorId="7B3F0B38" wp14:editId="0CE5BD0F">
            <wp:extent cx="5731510" cy="87877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8787765"/>
                    </a:xfrm>
                    <a:prstGeom prst="rect">
                      <a:avLst/>
                    </a:prstGeom>
                    <a:noFill/>
                    <a:ln>
                      <a:noFill/>
                    </a:ln>
                  </pic:spPr>
                </pic:pic>
              </a:graphicData>
            </a:graphic>
          </wp:inline>
        </w:drawing>
      </w:r>
    </w:p>
    <w:sectPr w:rsidR="00E02F5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709991" w14:textId="77777777" w:rsidR="00E02F55" w:rsidRDefault="00E02F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7BA76" w14:textId="77777777" w:rsidR="00E02F55" w:rsidRDefault="00E02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0AE2F" w14:textId="77777777" w:rsidR="00E02F55" w:rsidRDefault="00E02F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73CF0" w14:textId="77777777" w:rsidR="00E02F55" w:rsidRDefault="00E02F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A5C4F" w14:textId="77777777" w:rsidR="00E02F55" w:rsidRDefault="00E02F55">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76C0326"/>
    <w:lvl w:ilvl="0" w:tplc="0A8CECD2">
      <w:start w:val="1"/>
      <w:numFmt w:val="decimal"/>
      <w:lvlText w:val="%1."/>
      <w:lvlJc w:val="left"/>
      <w:pPr>
        <w:ind w:left="720" w:hanging="360"/>
      </w:pPr>
    </w:lvl>
    <w:lvl w:ilvl="1" w:tplc="F452A15A">
      <w:start w:val="1"/>
      <w:numFmt w:val="lowerLetter"/>
      <w:lvlText w:val="%2."/>
      <w:lvlJc w:val="left"/>
      <w:pPr>
        <w:ind w:left="1440" w:hanging="360"/>
      </w:pPr>
    </w:lvl>
    <w:lvl w:ilvl="2" w:tplc="6786E3DC">
      <w:start w:val="1"/>
      <w:numFmt w:val="lowerRoman"/>
      <w:lvlText w:val="%3."/>
      <w:lvlJc w:val="right"/>
      <w:pPr>
        <w:ind w:left="2160" w:hanging="180"/>
      </w:pPr>
    </w:lvl>
    <w:lvl w:ilvl="3" w:tplc="1C10D29E">
      <w:start w:val="1"/>
      <w:numFmt w:val="decimal"/>
      <w:lvlText w:val="%4."/>
      <w:lvlJc w:val="left"/>
      <w:pPr>
        <w:ind w:left="2880" w:hanging="360"/>
      </w:pPr>
    </w:lvl>
    <w:lvl w:ilvl="4" w:tplc="AAAC0632">
      <w:start w:val="1"/>
      <w:numFmt w:val="lowerLetter"/>
      <w:lvlText w:val="%5."/>
      <w:lvlJc w:val="left"/>
      <w:pPr>
        <w:ind w:left="3600" w:hanging="360"/>
      </w:pPr>
    </w:lvl>
    <w:lvl w:ilvl="5" w:tplc="07164B58">
      <w:start w:val="1"/>
      <w:numFmt w:val="lowerRoman"/>
      <w:lvlText w:val="%6."/>
      <w:lvlJc w:val="right"/>
      <w:pPr>
        <w:ind w:left="4320" w:hanging="180"/>
      </w:pPr>
    </w:lvl>
    <w:lvl w:ilvl="6" w:tplc="DC6C9C44">
      <w:start w:val="1"/>
      <w:numFmt w:val="decimal"/>
      <w:lvlText w:val="%7."/>
      <w:lvlJc w:val="left"/>
      <w:pPr>
        <w:ind w:left="5040" w:hanging="360"/>
      </w:pPr>
    </w:lvl>
    <w:lvl w:ilvl="7" w:tplc="7D84C744">
      <w:start w:val="1"/>
      <w:numFmt w:val="lowerLetter"/>
      <w:lvlText w:val="%8."/>
      <w:lvlJc w:val="left"/>
      <w:pPr>
        <w:ind w:left="5760" w:hanging="360"/>
      </w:pPr>
    </w:lvl>
    <w:lvl w:ilvl="8" w:tplc="F15AD38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CEEFA78"/>
    <w:lvl w:ilvl="0" w:tplc="57887E98">
      <w:start w:val="1"/>
      <w:numFmt w:val="decimal"/>
      <w:lvlText w:val="%1."/>
      <w:lvlJc w:val="left"/>
      <w:pPr>
        <w:ind w:left="720" w:hanging="360"/>
      </w:pPr>
    </w:lvl>
    <w:lvl w:ilvl="1" w:tplc="FC866548">
      <w:start w:val="1"/>
      <w:numFmt w:val="decimal"/>
      <w:lvlText w:val="%2."/>
      <w:lvlJc w:val="left"/>
      <w:pPr>
        <w:ind w:left="1440" w:hanging="360"/>
      </w:pPr>
    </w:lvl>
    <w:lvl w:ilvl="2" w:tplc="1490592E">
      <w:start w:val="1"/>
      <w:numFmt w:val="lowerRoman"/>
      <w:lvlText w:val="%3."/>
      <w:lvlJc w:val="right"/>
      <w:pPr>
        <w:ind w:left="2160" w:hanging="180"/>
      </w:pPr>
    </w:lvl>
    <w:lvl w:ilvl="3" w:tplc="C0B433FE">
      <w:start w:val="1"/>
      <w:numFmt w:val="decimal"/>
      <w:lvlText w:val="%4."/>
      <w:lvlJc w:val="left"/>
      <w:pPr>
        <w:ind w:left="2880" w:hanging="360"/>
      </w:pPr>
    </w:lvl>
    <w:lvl w:ilvl="4" w:tplc="2304C2B8">
      <w:start w:val="1"/>
      <w:numFmt w:val="lowerLetter"/>
      <w:lvlText w:val="%5."/>
      <w:lvlJc w:val="left"/>
      <w:pPr>
        <w:ind w:left="3600" w:hanging="360"/>
      </w:pPr>
    </w:lvl>
    <w:lvl w:ilvl="5" w:tplc="C16CE26E">
      <w:start w:val="1"/>
      <w:numFmt w:val="lowerRoman"/>
      <w:lvlText w:val="%6."/>
      <w:lvlJc w:val="right"/>
      <w:pPr>
        <w:ind w:left="4320" w:hanging="180"/>
      </w:pPr>
    </w:lvl>
    <w:lvl w:ilvl="6" w:tplc="572478AC">
      <w:start w:val="1"/>
      <w:numFmt w:val="decimal"/>
      <w:lvlText w:val="%7."/>
      <w:lvlJc w:val="left"/>
      <w:pPr>
        <w:ind w:left="5040" w:hanging="360"/>
      </w:pPr>
    </w:lvl>
    <w:lvl w:ilvl="7" w:tplc="F08A7BA8">
      <w:start w:val="1"/>
      <w:numFmt w:val="lowerLetter"/>
      <w:lvlText w:val="%8."/>
      <w:lvlJc w:val="left"/>
      <w:pPr>
        <w:ind w:left="5760" w:hanging="360"/>
      </w:pPr>
    </w:lvl>
    <w:lvl w:ilvl="8" w:tplc="478EA39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2F55"/>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2.emf"/><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3852</Words>
  <Characters>21032</Characters>
  <Application>Microsoft Office Word</Application>
  <DocSecurity>0</DocSecurity>
  <Lines>175</Lines>
  <Paragraphs>49</Paragraphs>
  <ScaleCrop>false</ScaleCrop>
  <Company>Powys County Council</Company>
  <LinksUpToDate>false</LinksUpToDate>
  <CharactersWithSpaces>24835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Rees,Naomi swp6914</cp:lastModifiedBy>
  <cp:revision>54</cp:revision>
  <cp:lastPrinted>2014-08-26T08:55:00Z</cp:lastPrinted>
  <dcterms:created xsi:type="dcterms:W3CDTF">2019-02-14T13:20:00Z</dcterms:created>
  <dcterms:modified xsi:type="dcterms:W3CDTF">2022-10-10T13:06:00Z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2022-10-10T13:06:26Z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6984a98a-8663-4f41-b6ed-37e4ff024efc</vt:lpwstr>
  </property>
  <property fmtid="{D5CDD505-2E9C-101B-9397-08002B2CF9AE}" pid="9" name="MSIP_Label_66cf8fe5-b7b7-4df7-b38d-1c61ac2f6639_ContentBits">
    <vt:lpwstr>0</vt:lpwstr>
  </property>
</Properties>
</file>