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35A23" w:rsidRPr="00A35A23" w:rsidRDefault="00A35A23" w:rsidP="00A35A23">
      <w:pPr>
        <w:rPr>
          <w:u w:val="single"/>
        </w:rPr>
      </w:pPr>
      <w:r w:rsidRPr="00A35A23">
        <w:rPr>
          <w:u w:val="single"/>
        </w:rPr>
        <w:t>History of “The Irish Question” Document Analysis Assignment</w:t>
      </w:r>
    </w:p>
    <w:p w:rsidR="00202FE8" w:rsidRDefault="00A35A23">
      <w:r w:rsidRPr="00A35A23">
        <w:rPr>
          <w:u w:val="single"/>
        </w:rPr>
        <w:t>By Tobias Theodore Olds</w:t>
      </w:r>
      <w:r>
        <w:t xml:space="preserve">                                </w:t>
      </w:r>
      <w:r w:rsidRPr="00A35A23">
        <w:rPr>
          <w:u w:val="single"/>
        </w:rPr>
        <w:t>30/05/2021</w:t>
      </w:r>
    </w:p>
    <w:p w:rsidR="00A35A23" w:rsidRDefault="00A35A23"/>
    <w:p w:rsidR="000F4161" w:rsidRDefault="000F4161" w:rsidP="000F4161">
      <w:r>
        <w:t>The aim of this essay is analysis of a historical document that was a speech delivered in the House of Parliament on Thursday, the 8</w:t>
      </w:r>
      <w:r w:rsidRPr="000945DE">
        <w:rPr>
          <w:vertAlign w:val="superscript"/>
        </w:rPr>
        <w:t>th</w:t>
      </w:r>
      <w:r>
        <w:t xml:space="preserve"> April 1886 from the Victorian era, read out by British statesman, politician and four-time Prime Minister, William Ewart Gladstone. This was titled as a “Government of Ireland Bill” with a description of “Mr Gladstone, on rising to ask leave to introduce a Bill for Better government with respect to Ireland” (1886, p. 1). These speeches were intended for Parliament to consider the possibility of the Home Rule for Ireland via the second of a number of bills that were proposed throughout the Victorian and Edwardian periods. The issue of home rule via an “autonomous” parliament for Ireland had been brought to the House of Commons via the activism of Charles Parnell during a time when Irish politics had been rapidly radicalising with the figures of Daniel O’Connell championing representation and suffrage of the country’s Catholic minority (Boyce, 1988, p. 1-5). However, the issue had become more penitent within wider British politics around the time following bomb explosions and other outrages from British cities in 1867 from the Fenian Brotherhood (Boyce, 1988, p. 19-20) which had left the wider British public being more inclined to admit that an Irish policy of some kind was more desirable.</w:t>
      </w:r>
      <w:r w:rsidRPr="00174641">
        <w:t xml:space="preserve"> </w:t>
      </w:r>
      <w:r>
        <w:t xml:space="preserve">Boyce highlights that historically there was mutual animosity between majority Protestant-Britain and majority Roman Catholic Ireland – he cites that during the administration of British Prime Minister Robert Peel, where he stated he intended to pursue a stance not one of “coercion” towards Ireland, but that of reconciliation it was undone not just by “British distaste of too many concessions to Roman Catholic opinion in Ireland” as well as the Great Famine which left the question of Irish independence in limbo for 20 years (1988, p. 5). Religious identity did inform much of political feeling and non-conformists, Anglicans and Roman Catholics were as much trying to inject their particular views into political legislation (or the prevention and frustration of legislation) – and it was what many regarded as </w:t>
      </w:r>
      <w:proofErr w:type="gramStart"/>
      <w:r>
        <w:t>a</w:t>
      </w:r>
      <w:proofErr w:type="gramEnd"/>
      <w:r>
        <w:t xml:space="preserve"> unholy alliance between dissenting protestants with Roman Catholic gave thrust to Gladstone’s Liberal party (Boyce, 1988, p. 20). In the 1870s Gladstone had presided over a bill that was meant to ensure fairer rent, fixity of tenure for tenants while rent was paid and freedom for the tenant to sell his occupancy at the best market price (Boyce, 1988, p. 25). In 1871 the Irish church had also became a voluntary body – and many were questioning what that would mean for the Union between Great Britain and Ireland as well (Boyce, 1988, p. 20). By the 1880s, Gladstone had been competing against the position that Ireland should remain under general administration by the Westminster Parliament – he had nonetheless defeated the Conservatives, who Boyce states had “no interest in the Irish Question” at the polls (1988, p. 25).</w:t>
      </w:r>
      <w:r w:rsidRPr="000B35F2">
        <w:t xml:space="preserve"> </w:t>
      </w:r>
      <w:r>
        <w:t xml:space="preserve">Gladstone’s speeches were obviously intended for fellow Members of Parliament and Boyce states that to the Conservatives viewed the Irish (particularly their political leaders) as unloyal and sworn enemies of the British and their Empire, after several years of terrorism, moonlighting and agrarian agitation (1988, p. 31). </w:t>
      </w:r>
    </w:p>
    <w:p w:rsidR="000F4161" w:rsidRDefault="000F4161" w:rsidP="000F4161">
      <w:r>
        <w:t xml:space="preserve">Gladstone’s views on Irish nationalism were influenced by much literature he read on Irish eighteenth- and nineteenth-century history and particularly the writings of Edmund Burke, of whom he shared a similar theoretical view of nationality to that of Edmund Burke – that society was an organic whole best governed by a responsible aristocracy (Jennings, 2016, p. 74).  </w:t>
      </w:r>
      <w:r w:rsidRPr="00D700AB">
        <w:t>Through his reading of Burke, and through his focus on the speeches of Henry Grattan, Gladstone came to believe that Irish nationalist consciousness had come to fruition in the years of Grattan’s parliament before the imposition of the Act of Union, a time of moderate leadership and the relative absence of </w:t>
      </w:r>
      <w:bookmarkStart w:id="0" w:name="p75"/>
      <w:bookmarkEnd w:id="0"/>
      <w:r w:rsidRPr="00D700AB">
        <w:t>sectarian strife</w:t>
      </w:r>
      <w:r>
        <w:t xml:space="preserve"> (Jennings, 2016, p. 74-75)</w:t>
      </w:r>
      <w:r w:rsidRPr="00D700AB">
        <w:t>.</w:t>
      </w:r>
      <w:r>
        <w:t xml:space="preserve"> Thus, Gladstone was inclined to view the project of Irish Nationalism as one which could come to fruition if there were a moderate Irish aristocracy in charge </w:t>
      </w:r>
      <w:r>
        <w:lastRenderedPageBreak/>
        <w:t>from Dublin, of whom would concede imperial responsibilities to Westminster (Jennings, 2016, p. 75). Gladstone also intended for the State Church of Ireland to cease existing (Boyce, 1988, p. 18) which apart from addressing the discontent of the Irish Catholics whose faith was not aligned with it, was also aligned with an increasing view within British society against the notion of religious compulsion and a move towards religious de-establishment, as an increasingly larger proportion of people were alienated from the established church (Boyce, 1988, p. 19). Some more cynical commentators have also speculated whether Gladstone did go ahead with attempting to grant Ireland home rule as a way of protecting his leadership against younger radicals such as Joseph Chamberlain (Boyce, 1988, p. 28-29). However, one thing to consider that Gladstone’s understanding of Irish nationalism and socio-political evolution would not have been entirely in step with reality as Jennings (2016) highlights. For a start the view that Ireland was predominantly permeated with patriotic Protestant and Catholic gentry obfuscated the reality that within Ireland the sense of patriotism was often associated, particularly in the North of the country, with liberalism and was not at all necessarily inclined to support home rule from Britain (Jennings, 2016, p. 75).</w:t>
      </w:r>
    </w:p>
    <w:p w:rsidR="000F4161" w:rsidRDefault="000F4161" w:rsidP="000F4161">
      <w:r>
        <w:t xml:space="preserve">Gladstone acknowledges these tensions and also the prior Conservative’s antagonism to that of the insurgent nationalists’ movements by stating that “The late government… felt that they had reached the moment for decisive resolution when they had made the announcement, on the last day of their Ministerial existence that their duty compelled them to submit to Parliament further repressive criminal legislation” (1886, p. 2). Gladstone however also states that “(Parliament)… have arrived at a stage in our political transactions with Ireland where the two roads part from one another, not soon probably to meet again” (1886, p. 2). Gladstone states that an effective political solution would be that of giving Ireland better control over its own laws – “Ireland to have a domestic legislature for Irish affairs” as he otherwise put it (1886, p. 21) – as it would “liberate Parliament from the restraints it has ineffectually struggled to perform the business of the country” (1886, p. 3). Gladstone also states that his legislation would restore to its “natural, ancient, unimpeded course” (1886, p. 3). This Gladstone is implying is that the political solution he was proposing wouldn’t completely upturn the apple cart and overthrow the political status quo of the country (he was concerned with maintaining the peace of the Union in some way) </w:t>
      </w:r>
      <w:r w:rsidRPr="00275BD6">
        <w:t>(1886, p. 18)</w:t>
      </w:r>
      <w:r>
        <w:t xml:space="preserve"> – this was likely ensuring that he could effectively form cross-party cooperation as part of his attempt to get the bill through.</w:t>
      </w:r>
      <w:r w:rsidRPr="000B35F2">
        <w:t xml:space="preserve"> </w:t>
      </w:r>
      <w:r>
        <w:t xml:space="preserve">Gladstone also clarifies within the speech that while the legislative authorities within Ireland wouldn’t vote on “Imperial” concerns – it may be possible for Irish representatives to go Westminster to vote on such Imperial concerns for their relevant constituencies (if, as Gladstone highlighted, the House of Parliament could conclude they could “draw for practical purposes a distinction between affairs that are Imperial and affairs that are not Imperial”) (1886, p. 22).  </w:t>
      </w:r>
    </w:p>
    <w:p w:rsidR="000F4161" w:rsidRDefault="000F4161" w:rsidP="000F4161">
      <w:r>
        <w:t xml:space="preserve">Gladstone’s speech also defends the Irish people in a couple of key passages – he highlights how despite agrarian crimes rising in Ireland in many other significant forms of crime, such as homicide and all other serious offences were in decline – and thus the evidence indicated that Irish society in general was not entirely succumbing to a general breakdown of the “social order” (something that Gladstone, to the extent he was influenced by Burke, would be concerned about as much as the party in opposition) (1886, p. 3). In the concluding paragraphs of his speech, he tries to warn against prejudices against the Irish clouding the views of the other Members of Parliament – he suggests to consider that there was a “local patriotism” that was found within the Irish and that the Irishman is capable of “loyalty as much as any other man” (p. 51-52) – in contrast to the view many Conservative Members of Parliament would have had. </w:t>
      </w:r>
    </w:p>
    <w:p w:rsidR="000F4161" w:rsidRDefault="000F4161" w:rsidP="000F4161">
      <w:r>
        <w:t xml:space="preserve">Gladstone highlighted how that Parliament, in attempting to deal with the issue of Agrarian crime in Ireland, had only seen it worsen increasingly (1886, p. 4), utilising an analogy about how much of </w:t>
      </w:r>
      <w:r>
        <w:lastRenderedPageBreak/>
        <w:t xml:space="preserve">parliamentarian cures were worse than the actual disease itself. He argued that much of the measures taken by Parliament to repress crime where in themselves involving excessive amounts of intimidation – and though some intimidation wasn’t necessarily a bad thing and it was an occurrence throughout the union, the precious respect for the law by the people was been being deteriorated – it increasingly was losing the quality of responsibility (1886, p. 5-6). Since Parliament had found itself passing at an increasing rate – increasing over a period of 53 years starting from 1833 – that it should reassess the position it takes to Ireland (Gladstone, 1886, p. 6). “If there is to be coercion, which God forbid, it ought to be adequate to attain it end” is followed with “to attain its end… it must be maintained with a different spirit, courage and consistency” (Gladstone, 1886, p. 6-7). This a rhetorical question to which Gladstone responds that the law in Ireland has been increasingly discredited (1886, p. 7). “The English mind, by cases of this kind and by the tone of the press towards them, is estranged from that of the Irish people, and that the Irish mind is estranged from the people of England and Scotland” (1886, p. 7). </w:t>
      </w:r>
    </w:p>
    <w:p w:rsidR="000F4161" w:rsidRDefault="000F4161" w:rsidP="000F4161">
      <w:r>
        <w:t xml:space="preserve">Thus, in the speech, Gladstone advocates before increasing coercion and repression is undertaken by Parliament, they consider accepting that the Irish people have the self-belief to succeed as a nation that can govern itself (1886, p. 9). He also notes that there are several other countries – Gladstone cites Sweden and Norway and of Austria and Hungary – which have successfully managed to devolve rule of the law to other countries while maintaining the feeling of “themselves to be children of a common country” (1886, p. 9-12). Gladstone was open-minded, as indicated in his speech, to different schemes that to accommodate the protestant minority that was particularly found around Ulster in the North, to enjoy a separate autonomous administration or jurisdiction or even for separate rights for different subjects to be administered under different provincial councils (1886, p. 19-20). He also states that through this he intends to bring to Ireland what he considered the first conditions of civil life – namely, the free course of law, the liberty of every individual in the exercise of their legal right, the confidence of people in the law and their sympathy with the law (1886, p. 10). (Though one thing to note is that Gladstone also insists that he doesn’t want to put in Jeopardy that of “the unity of the Empire” </w:t>
      </w:r>
      <w:r w:rsidRPr="00275BD6">
        <w:t>(1886, p. 18)</w:t>
      </w:r>
      <w:r>
        <w:t xml:space="preserve">. Thus, the exact degree to which he would be willing to push for the civil emancipation of Ireland may had been limited as such). </w:t>
      </w:r>
    </w:p>
    <w:p w:rsidR="000F4161" w:rsidRDefault="000F4161" w:rsidP="000F4161">
      <w:r>
        <w:t>Gladstone concludes his speech by emphasising that what he describes as “local patriotism” to be a good thing (1886, p. 52) and thus capable to be trusted of civil duties as part of a union. He acknowledges around the end of his speech that he could not be certain that the Irish people would necessarily be pleased by his proposals – and if they were to reject it, it would be impossible for the British to impose it upon them (1886, p. 53). Nonetheless he emphasises that “the concession of self-government is not the way to sap or impair, but the way to consolidate and strengthen unity” – it would not undermine unity of the empire, or the social “peace” (whatever there was of it in reality (1886, p. 53-54).</w:t>
      </w:r>
    </w:p>
    <w:p w:rsidR="00A35A23" w:rsidRDefault="00A35A23"/>
    <w:p w:rsidR="00A35A23" w:rsidRDefault="00A35A23"/>
    <w:p w:rsidR="00A35A23" w:rsidRDefault="00A35A23"/>
    <w:p w:rsidR="00A35A23" w:rsidRDefault="00A35A23"/>
    <w:p w:rsidR="000F4161" w:rsidRDefault="000F4161" w:rsidP="00A35A23"/>
    <w:p w:rsidR="00C14CE0" w:rsidRDefault="00C14CE0" w:rsidP="00A35A23"/>
    <w:p w:rsidR="00C14CE0" w:rsidRDefault="00C14CE0" w:rsidP="00A35A23">
      <w:bookmarkStart w:id="1" w:name="_GoBack"/>
      <w:bookmarkEnd w:id="1"/>
    </w:p>
    <w:p w:rsidR="00A35A23" w:rsidRDefault="00A35A23" w:rsidP="00A35A23">
      <w:r w:rsidRPr="00623194">
        <w:rPr>
          <w:u w:val="single"/>
        </w:rPr>
        <w:lastRenderedPageBreak/>
        <w:t>Bibliography:</w:t>
      </w:r>
    </w:p>
    <w:p w:rsidR="00A35A23" w:rsidRDefault="00A35A23" w:rsidP="00A35A23">
      <w:pPr>
        <w:pStyle w:val="ListParagraph"/>
        <w:numPr>
          <w:ilvl w:val="0"/>
          <w:numId w:val="1"/>
        </w:numPr>
      </w:pPr>
      <w:r>
        <w:t xml:space="preserve">Boyce, D. G. (1988) </w:t>
      </w:r>
      <w:r w:rsidRPr="000F7DA1">
        <w:rPr>
          <w:i/>
        </w:rPr>
        <w:t>“The Irish Question and British Politics, 1868-1986”</w:t>
      </w:r>
      <w:r>
        <w:br/>
        <w:t xml:space="preserve">London: MacMillan Education </w:t>
      </w:r>
    </w:p>
    <w:p w:rsidR="00A35A23" w:rsidRDefault="00A35A23" w:rsidP="00A35A23">
      <w:pPr>
        <w:pStyle w:val="ListParagraph"/>
        <w:numPr>
          <w:ilvl w:val="0"/>
          <w:numId w:val="1"/>
        </w:numPr>
      </w:pPr>
      <w:r>
        <w:t xml:space="preserve">Gladstone, W. (1886) </w:t>
      </w:r>
      <w:r w:rsidRPr="00247AC5">
        <w:rPr>
          <w:i/>
        </w:rPr>
        <w:t>“Speeches on the Irish Question in 1886: With an appendix Containing the Full Text of the Government of Ireland and the Sale and Purchase of Land Bills of 1886”</w:t>
      </w:r>
      <w:r>
        <w:t xml:space="preserve">. Revised Edition. Princetown, New Jersey, USA: Princetown University. </w:t>
      </w:r>
    </w:p>
    <w:p w:rsidR="00A35A23" w:rsidRPr="00623194" w:rsidRDefault="00A35A23" w:rsidP="00A35A23">
      <w:pPr>
        <w:pStyle w:val="ListParagraph"/>
        <w:numPr>
          <w:ilvl w:val="0"/>
          <w:numId w:val="1"/>
        </w:numPr>
      </w:pPr>
      <w:r>
        <w:t xml:space="preserve">Jennings, M. L. (2016) “Gladstone and Ireland: The Perils of the Intellectual” in </w:t>
      </w:r>
      <w:r w:rsidRPr="00D700AB">
        <w:rPr>
          <w:i/>
        </w:rPr>
        <w:t>“Uncertain Futures: Essays about the Irish Past for Roy Foster”</w:t>
      </w:r>
      <w:r>
        <w:t xml:space="preserve">. Oxford: Oxford University Press  </w:t>
      </w:r>
    </w:p>
    <w:p w:rsidR="00A35A23" w:rsidRDefault="00A35A23"/>
    <w:p w:rsidR="00A35A23" w:rsidRDefault="00A35A23"/>
    <w:p w:rsidR="00A35A23" w:rsidRDefault="00A35A23"/>
    <w:p w:rsidR="00A35A23" w:rsidRDefault="00A35A23"/>
    <w:p w:rsidR="00A35A23" w:rsidRDefault="00A35A23"/>
    <w:p w:rsidR="00A35A23" w:rsidRDefault="00A35A23"/>
    <w:p w:rsidR="00A35A23" w:rsidRDefault="00A35A23"/>
    <w:p w:rsidR="00A35A23" w:rsidRDefault="00A35A23"/>
    <w:p w:rsidR="00A35A23" w:rsidRDefault="00A35A23"/>
    <w:p w:rsidR="00A35A23" w:rsidRDefault="00A35A23"/>
    <w:p w:rsidR="00A35A23" w:rsidRDefault="00A35A23"/>
    <w:p w:rsidR="00A35A23" w:rsidRDefault="00A35A23"/>
    <w:p w:rsidR="00A35A23" w:rsidRDefault="00A35A23"/>
    <w:p w:rsidR="00A35A23" w:rsidRPr="00A35A23" w:rsidRDefault="00A35A23"/>
    <w:sectPr w:rsidR="00A35A23" w:rsidRPr="00A35A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DA7F36"/>
    <w:multiLevelType w:val="hybridMultilevel"/>
    <w:tmpl w:val="CBB6964A"/>
    <w:lvl w:ilvl="0" w:tplc="62BAFB3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5A23"/>
    <w:rsid w:val="000F4161"/>
    <w:rsid w:val="00250809"/>
    <w:rsid w:val="004468FA"/>
    <w:rsid w:val="008D00F2"/>
    <w:rsid w:val="008E4B7D"/>
    <w:rsid w:val="00A35A23"/>
    <w:rsid w:val="00C14C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88476"/>
  <w15:chartTrackingRefBased/>
  <w15:docId w15:val="{607F4D2D-3AA2-4318-B9A7-D5D60ED9A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35A2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5A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4</Pages>
  <Words>1908</Words>
  <Characters>10879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Tobias Theodore Olds (1801547)</dc:creator>
  <cp:keywords/>
  <dc:description/>
  <cp:lastModifiedBy>Tobias Theodore Olds (1801547)</cp:lastModifiedBy>
  <cp:revision>6</cp:revision>
  <dcterms:created xsi:type="dcterms:W3CDTF">2021-05-30T18:08:00Z</dcterms:created>
  <dcterms:modified xsi:type="dcterms:W3CDTF">2021-05-30T21:57:00Z</dcterms:modified>
</cp:coreProperties>
</file>