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28075E3" w:rsidP="727F3008" w:rsidRDefault="628075E3" w14:paraId="6B6F07EB" w14:textId="039EB755">
      <w:pPr>
        <w:pStyle w:val="NoSpacing"/>
        <w:spacing w:line="360" w:lineRule="auto"/>
        <w:jc w:val="both"/>
        <w:rPr>
          <w:rFonts w:ascii="Arial" w:hAnsi="Arial" w:eastAsia="Arial" w:cs="Arial"/>
          <w:b w:val="1"/>
          <w:bCs w:val="1"/>
          <w:noProof w:val="0"/>
          <w:color w:val="000000" w:themeColor="text1" w:themeTint="FF" w:themeShade="FF"/>
          <w:sz w:val="22"/>
          <w:szCs w:val="22"/>
          <w:u w:val="none"/>
          <w:lang w:val="en-GB"/>
        </w:rPr>
      </w:pPr>
      <w:r w:rsidRPr="727F3008" w:rsidR="628075E3">
        <w:rPr>
          <w:rFonts w:ascii="Arial" w:hAnsi="Arial" w:eastAsia="Arial" w:cs="Arial"/>
          <w:b w:val="1"/>
          <w:bCs w:val="1"/>
          <w:noProof w:val="0"/>
          <w:color w:val="000000" w:themeColor="text1" w:themeTint="FF" w:themeShade="FF"/>
          <w:sz w:val="22"/>
          <w:szCs w:val="22"/>
          <w:u w:val="none"/>
          <w:lang w:val="en-GB"/>
        </w:rPr>
        <w:t>Comparative Report on COVID‑19 Leadership Responses</w:t>
      </w:r>
    </w:p>
    <w:p w:rsidR="628075E3" w:rsidP="727F3008" w:rsidRDefault="628075E3" w14:paraId="2CD63A22" w14:textId="6204E2F3">
      <w:pPr>
        <w:pStyle w:val="NoSpacing"/>
        <w:spacing w:line="360" w:lineRule="auto"/>
        <w:jc w:val="both"/>
        <w:rPr>
          <w:rFonts w:ascii="Arial" w:hAnsi="Arial" w:eastAsia="Arial" w:cs="Arial"/>
          <w:b w:val="0"/>
          <w:bCs w:val="0"/>
          <w:noProof w:val="0"/>
          <w:color w:val="000000" w:themeColor="text1" w:themeTint="FF" w:themeShade="FF"/>
          <w:sz w:val="22"/>
          <w:szCs w:val="22"/>
          <w:lang w:val="en-GB"/>
        </w:rPr>
      </w:pPr>
      <w:r w:rsidRPr="727F3008" w:rsidR="628075E3">
        <w:rPr>
          <w:rFonts w:ascii="Arial" w:hAnsi="Arial" w:eastAsia="Arial" w:cs="Arial"/>
          <w:b w:val="0"/>
          <w:bCs w:val="0"/>
          <w:noProof w:val="0"/>
          <w:color w:val="000000" w:themeColor="text1" w:themeTint="FF" w:themeShade="FF"/>
          <w:sz w:val="22"/>
          <w:szCs w:val="22"/>
          <w:lang w:val="en-GB"/>
        </w:rPr>
        <w:t>Student Name:</w:t>
      </w:r>
      <w:r w:rsidRPr="727F3008" w:rsidR="628075E3">
        <w:rPr>
          <w:rFonts w:ascii="Arial" w:hAnsi="Arial" w:eastAsia="Arial" w:cs="Arial"/>
          <w:b w:val="0"/>
          <w:bCs w:val="0"/>
          <w:noProof w:val="0"/>
          <w:color w:val="000000" w:themeColor="text1" w:themeTint="FF" w:themeShade="FF"/>
          <w:sz w:val="22"/>
          <w:szCs w:val="22"/>
          <w:lang w:val="en-GB"/>
        </w:rPr>
        <w:t xml:space="preserve"> Nazia A</w:t>
      </w:r>
      <w:r w:rsidRPr="727F3008" w:rsidR="6AA1831C">
        <w:rPr>
          <w:rFonts w:ascii="Arial" w:hAnsi="Arial" w:eastAsia="Arial" w:cs="Arial"/>
          <w:b w:val="0"/>
          <w:bCs w:val="0"/>
          <w:noProof w:val="0"/>
          <w:color w:val="000000" w:themeColor="text1" w:themeTint="FF" w:themeShade="FF"/>
          <w:sz w:val="22"/>
          <w:szCs w:val="22"/>
          <w:lang w:val="en-GB"/>
        </w:rPr>
        <w:t>l</w:t>
      </w:r>
      <w:r w:rsidRPr="727F3008" w:rsidR="628075E3">
        <w:rPr>
          <w:rFonts w:ascii="Arial" w:hAnsi="Arial" w:eastAsia="Arial" w:cs="Arial"/>
          <w:b w:val="0"/>
          <w:bCs w:val="0"/>
          <w:noProof w:val="0"/>
          <w:color w:val="000000" w:themeColor="text1" w:themeTint="FF" w:themeShade="FF"/>
          <w:sz w:val="22"/>
          <w:szCs w:val="22"/>
          <w:lang w:val="en-GB"/>
        </w:rPr>
        <w:t>i</w:t>
      </w:r>
      <w:r>
        <w:br/>
      </w:r>
      <w:r w:rsidRPr="727F3008" w:rsidR="628075E3">
        <w:rPr>
          <w:rFonts w:ascii="Arial" w:hAnsi="Arial" w:eastAsia="Arial" w:cs="Arial"/>
          <w:b w:val="0"/>
          <w:bCs w:val="0"/>
          <w:noProof w:val="0"/>
          <w:color w:val="000000" w:themeColor="text1" w:themeTint="FF" w:themeShade="FF"/>
          <w:sz w:val="22"/>
          <w:szCs w:val="22"/>
          <w:lang w:val="en-GB"/>
        </w:rPr>
        <w:t>Student ID:</w:t>
      </w:r>
      <w:r w:rsidRPr="727F3008" w:rsidR="628075E3">
        <w:rPr>
          <w:rFonts w:ascii="Arial" w:hAnsi="Arial" w:eastAsia="Arial" w:cs="Arial"/>
          <w:b w:val="0"/>
          <w:bCs w:val="0"/>
          <w:noProof w:val="0"/>
          <w:color w:val="000000" w:themeColor="text1" w:themeTint="FF" w:themeShade="FF"/>
          <w:sz w:val="22"/>
          <w:szCs w:val="22"/>
          <w:lang w:val="en-GB"/>
        </w:rPr>
        <w:t xml:space="preserve"> 2208450</w:t>
      </w:r>
      <w:r>
        <w:br/>
      </w:r>
      <w:r w:rsidRPr="727F3008" w:rsidR="628075E3">
        <w:rPr>
          <w:rFonts w:ascii="Arial" w:hAnsi="Arial" w:eastAsia="Arial" w:cs="Arial"/>
          <w:b w:val="0"/>
          <w:bCs w:val="0"/>
          <w:noProof w:val="0"/>
          <w:color w:val="000000" w:themeColor="text1" w:themeTint="FF" w:themeShade="FF"/>
          <w:sz w:val="22"/>
          <w:szCs w:val="22"/>
          <w:lang w:val="en-GB"/>
        </w:rPr>
        <w:t>Programme:</w:t>
      </w:r>
      <w:r w:rsidRPr="727F3008" w:rsidR="628075E3">
        <w:rPr>
          <w:rFonts w:ascii="Arial" w:hAnsi="Arial" w:eastAsia="Arial" w:cs="Arial"/>
          <w:b w:val="0"/>
          <w:bCs w:val="0"/>
          <w:noProof w:val="0"/>
          <w:color w:val="000000" w:themeColor="text1" w:themeTint="FF" w:themeShade="FF"/>
          <w:sz w:val="22"/>
          <w:szCs w:val="22"/>
          <w:lang w:val="en-GB"/>
        </w:rPr>
        <w:t xml:space="preserve"> MSc Public Health and Social Care in Practice</w:t>
      </w:r>
      <w:r>
        <w:br/>
      </w:r>
      <w:r w:rsidRPr="727F3008" w:rsidR="628075E3">
        <w:rPr>
          <w:rFonts w:ascii="Arial" w:hAnsi="Arial" w:eastAsia="Arial" w:cs="Arial"/>
          <w:b w:val="0"/>
          <w:bCs w:val="0"/>
          <w:noProof w:val="0"/>
          <w:color w:val="000000" w:themeColor="text1" w:themeTint="FF" w:themeShade="FF"/>
          <w:sz w:val="22"/>
          <w:szCs w:val="22"/>
          <w:lang w:val="en-GB"/>
        </w:rPr>
        <w:t>Module:</w:t>
      </w:r>
      <w:r w:rsidRPr="727F3008" w:rsidR="628075E3">
        <w:rPr>
          <w:rFonts w:ascii="Arial" w:hAnsi="Arial" w:eastAsia="Arial" w:cs="Arial"/>
          <w:b w:val="0"/>
          <w:bCs w:val="0"/>
          <w:noProof w:val="0"/>
          <w:color w:val="000000" w:themeColor="text1" w:themeTint="FF" w:themeShade="FF"/>
          <w:sz w:val="22"/>
          <w:szCs w:val="22"/>
          <w:lang w:val="en-GB"/>
        </w:rPr>
        <w:t xml:space="preserve"> Health Care System, Organisation and Leadership (LCHS7002)</w:t>
      </w:r>
      <w:r>
        <w:br/>
      </w:r>
      <w:r w:rsidRPr="727F3008" w:rsidR="628075E3">
        <w:rPr>
          <w:rFonts w:ascii="Arial" w:hAnsi="Arial" w:eastAsia="Arial" w:cs="Arial"/>
          <w:b w:val="0"/>
          <w:bCs w:val="0"/>
          <w:noProof w:val="0"/>
          <w:color w:val="000000" w:themeColor="text1" w:themeTint="FF" w:themeShade="FF"/>
          <w:sz w:val="22"/>
          <w:szCs w:val="22"/>
          <w:lang w:val="en-GB"/>
        </w:rPr>
        <w:t>Lecturer:</w:t>
      </w:r>
      <w:r w:rsidRPr="727F3008" w:rsidR="628075E3">
        <w:rPr>
          <w:rFonts w:ascii="Arial" w:hAnsi="Arial" w:eastAsia="Arial" w:cs="Arial"/>
          <w:b w:val="0"/>
          <w:bCs w:val="0"/>
          <w:noProof w:val="0"/>
          <w:color w:val="000000" w:themeColor="text1" w:themeTint="FF" w:themeShade="FF"/>
          <w:sz w:val="22"/>
          <w:szCs w:val="22"/>
          <w:lang w:val="en-GB"/>
        </w:rPr>
        <w:t xml:space="preserve"> Dr Fahad Khan</w:t>
      </w:r>
      <w:r>
        <w:br/>
      </w:r>
      <w:r w:rsidRPr="727F3008" w:rsidR="628075E3">
        <w:rPr>
          <w:rFonts w:ascii="Arial" w:hAnsi="Arial" w:eastAsia="Arial" w:cs="Arial"/>
          <w:b w:val="0"/>
          <w:bCs w:val="0"/>
          <w:noProof w:val="0"/>
          <w:color w:val="000000" w:themeColor="text1" w:themeTint="FF" w:themeShade="FF"/>
          <w:sz w:val="22"/>
          <w:szCs w:val="22"/>
          <w:lang w:val="en-GB"/>
        </w:rPr>
        <w:t>Assignment Title:</w:t>
      </w:r>
      <w:r w:rsidRPr="727F3008" w:rsidR="628075E3">
        <w:rPr>
          <w:rFonts w:ascii="Arial" w:hAnsi="Arial" w:eastAsia="Arial" w:cs="Arial"/>
          <w:b w:val="0"/>
          <w:bCs w:val="0"/>
          <w:noProof w:val="0"/>
          <w:color w:val="000000" w:themeColor="text1" w:themeTint="FF" w:themeShade="FF"/>
          <w:sz w:val="22"/>
          <w:szCs w:val="22"/>
          <w:lang w:val="en-GB"/>
        </w:rPr>
        <w:t xml:space="preserve"> Case Study Analysis Report: Comparative report on COVID‑19 leadership responses</w:t>
      </w:r>
    </w:p>
    <w:p w:rsidR="727F3008" w:rsidP="727F3008" w:rsidRDefault="727F3008" w14:paraId="674DDD71" w14:textId="30FC2229">
      <w:pPr>
        <w:pStyle w:val="NoSpacing"/>
        <w:spacing w:line="360" w:lineRule="auto"/>
        <w:jc w:val="both"/>
        <w:rPr>
          <w:rFonts w:ascii="Arial" w:hAnsi="Arial" w:eastAsia="Arial" w:cs="Arial"/>
          <w:b w:val="0"/>
          <w:bCs w:val="0"/>
          <w:noProof w:val="0"/>
          <w:color w:val="000000" w:themeColor="text1" w:themeTint="FF" w:themeShade="FF"/>
          <w:sz w:val="22"/>
          <w:szCs w:val="22"/>
          <w:lang w:val="en-GB"/>
        </w:rPr>
      </w:pPr>
    </w:p>
    <w:p w:rsidR="4215D4B9" w:rsidP="727F3008" w:rsidRDefault="4215D4B9" w14:paraId="1F7DE838" w14:textId="063B707A">
      <w:pPr>
        <w:pStyle w:val="NoSpacing"/>
        <w:spacing w:line="360" w:lineRule="auto"/>
        <w:jc w:val="both"/>
        <w:rPr>
          <w:rFonts w:ascii="Arial" w:hAnsi="Arial" w:eastAsia="Arial" w:cs="Arial"/>
          <w:b w:val="0"/>
          <w:bCs w:val="0"/>
          <w:noProof w:val="0"/>
          <w:color w:val="000000" w:themeColor="text1" w:themeTint="FF" w:themeShade="FF"/>
          <w:sz w:val="22"/>
          <w:szCs w:val="22"/>
          <w:lang w:val="en-GB"/>
        </w:rPr>
      </w:pPr>
      <w:r w:rsidRPr="727F3008" w:rsidR="4215D4B9">
        <w:rPr>
          <w:rFonts w:ascii="Arial" w:hAnsi="Arial" w:eastAsia="Arial" w:cs="Arial"/>
          <w:b w:val="0"/>
          <w:bCs w:val="0"/>
          <w:noProof w:val="0"/>
          <w:color w:val="000000" w:themeColor="text1" w:themeTint="FF" w:themeShade="FF"/>
          <w:sz w:val="22"/>
          <w:szCs w:val="22"/>
          <w:lang w:val="en-GB"/>
        </w:rPr>
        <w:t>Table of contents</w:t>
      </w:r>
    </w:p>
    <w:p w:rsidR="727F3008" w:rsidP="727F3008" w:rsidRDefault="727F3008" w14:paraId="3A5185C5" w14:textId="6D79750C">
      <w:pPr>
        <w:pStyle w:val="NoSpacing"/>
        <w:spacing w:line="360" w:lineRule="auto"/>
        <w:jc w:val="both"/>
        <w:rPr>
          <w:rFonts w:ascii="Arial" w:hAnsi="Arial" w:eastAsia="Arial" w:cs="Arial"/>
          <w:b w:val="0"/>
          <w:bCs w:val="0"/>
          <w:noProof w:val="0"/>
          <w:color w:val="000000" w:themeColor="text1" w:themeTint="FF" w:themeShade="FF"/>
          <w:sz w:val="22"/>
          <w:szCs w:val="22"/>
          <w:lang w:val="en-GB"/>
        </w:rPr>
      </w:pPr>
    </w:p>
    <w:sdt>
      <w:sdtPr>
        <w:id w:val="1189657475"/>
        <w:docPartObj>
          <w:docPartGallery w:val="Table of Contents"/>
          <w:docPartUnique/>
        </w:docPartObj>
      </w:sdtPr>
      <w:sdtContent>
        <w:p w:rsidR="727F3008" w:rsidP="727F3008" w:rsidRDefault="727F3008" w14:paraId="307C2FEC" w14:textId="194A47D2">
          <w:pPr>
            <w:pStyle w:val="TOC2"/>
            <w:tabs>
              <w:tab w:val="right" w:leader="dot" w:pos="9015"/>
            </w:tabs>
            <w:bidi w:val="0"/>
            <w:rPr>
              <w:rStyle w:val="Hyperlink"/>
            </w:rPr>
          </w:pPr>
          <w:r>
            <w:fldChar w:fldCharType="begin"/>
          </w:r>
          <w:r>
            <w:instrText xml:space="preserve">TOC \o \z \u \h</w:instrText>
          </w:r>
          <w:r>
            <w:fldChar w:fldCharType="separate"/>
          </w:r>
          <w:hyperlink w:anchor="_Toc1262506530">
            <w:r w:rsidRPr="727F3008" w:rsidR="727F3008">
              <w:rPr>
                <w:rStyle w:val="Hyperlink"/>
              </w:rPr>
              <w:t>Introduction</w:t>
            </w:r>
            <w:r>
              <w:tab/>
            </w:r>
            <w:r>
              <w:fldChar w:fldCharType="begin"/>
            </w:r>
            <w:r>
              <w:instrText xml:space="preserve">PAGEREF _Toc1262506530 \h</w:instrText>
            </w:r>
            <w:r>
              <w:fldChar w:fldCharType="separate"/>
            </w:r>
            <w:r w:rsidRPr="727F3008" w:rsidR="727F3008">
              <w:rPr>
                <w:rStyle w:val="Hyperlink"/>
              </w:rPr>
              <w:t>1</w:t>
            </w:r>
            <w:r>
              <w:fldChar w:fldCharType="end"/>
            </w:r>
          </w:hyperlink>
        </w:p>
        <w:p w:rsidR="727F3008" w:rsidP="727F3008" w:rsidRDefault="727F3008" w14:paraId="0C07A4F2" w14:textId="3826440A">
          <w:pPr>
            <w:pStyle w:val="TOC2"/>
            <w:tabs>
              <w:tab w:val="right" w:leader="dot" w:pos="9015"/>
            </w:tabs>
            <w:bidi w:val="0"/>
            <w:rPr>
              <w:rStyle w:val="Hyperlink"/>
            </w:rPr>
          </w:pPr>
          <w:hyperlink w:anchor="_Toc681019595">
            <w:r w:rsidRPr="727F3008" w:rsidR="727F3008">
              <w:rPr>
                <w:rStyle w:val="Hyperlink"/>
              </w:rPr>
              <w:t>Leadership Theories and Application in Pandemic Response</w:t>
            </w:r>
            <w:r>
              <w:tab/>
            </w:r>
            <w:r>
              <w:fldChar w:fldCharType="begin"/>
            </w:r>
            <w:r>
              <w:instrText xml:space="preserve">PAGEREF _Toc681019595 \h</w:instrText>
            </w:r>
            <w:r>
              <w:fldChar w:fldCharType="separate"/>
            </w:r>
            <w:r w:rsidRPr="727F3008" w:rsidR="727F3008">
              <w:rPr>
                <w:rStyle w:val="Hyperlink"/>
              </w:rPr>
              <w:t>2</w:t>
            </w:r>
            <w:r>
              <w:fldChar w:fldCharType="end"/>
            </w:r>
          </w:hyperlink>
        </w:p>
        <w:p w:rsidR="727F3008" w:rsidP="727F3008" w:rsidRDefault="727F3008" w14:paraId="25021DD0" w14:textId="63ACA236">
          <w:pPr>
            <w:pStyle w:val="TOC3"/>
            <w:tabs>
              <w:tab w:val="right" w:leader="dot" w:pos="9015"/>
            </w:tabs>
            <w:bidi w:val="0"/>
            <w:rPr>
              <w:rStyle w:val="Hyperlink"/>
            </w:rPr>
          </w:pPr>
          <w:hyperlink w:anchor="_Toc407201947">
            <w:r w:rsidRPr="727F3008" w:rsidR="727F3008">
              <w:rPr>
                <w:rStyle w:val="Hyperlink"/>
              </w:rPr>
              <w:t>Transformational Leadership</w:t>
            </w:r>
            <w:r>
              <w:tab/>
            </w:r>
            <w:r>
              <w:fldChar w:fldCharType="begin"/>
            </w:r>
            <w:r>
              <w:instrText xml:space="preserve">PAGEREF _Toc407201947 \h</w:instrText>
            </w:r>
            <w:r>
              <w:fldChar w:fldCharType="separate"/>
            </w:r>
            <w:r w:rsidRPr="727F3008" w:rsidR="727F3008">
              <w:rPr>
                <w:rStyle w:val="Hyperlink"/>
              </w:rPr>
              <w:t>2</w:t>
            </w:r>
            <w:r>
              <w:fldChar w:fldCharType="end"/>
            </w:r>
          </w:hyperlink>
        </w:p>
        <w:p w:rsidR="727F3008" w:rsidP="727F3008" w:rsidRDefault="727F3008" w14:paraId="0535FBD4" w14:textId="3E067898">
          <w:pPr>
            <w:pStyle w:val="TOC3"/>
            <w:tabs>
              <w:tab w:val="right" w:leader="dot" w:pos="9015"/>
            </w:tabs>
            <w:bidi w:val="0"/>
            <w:rPr>
              <w:rStyle w:val="Hyperlink"/>
            </w:rPr>
          </w:pPr>
          <w:hyperlink w:anchor="_Toc1052207080">
            <w:r w:rsidRPr="727F3008" w:rsidR="727F3008">
              <w:rPr>
                <w:rStyle w:val="Hyperlink"/>
              </w:rPr>
              <w:t>Situational and Adaptive Leadership</w:t>
            </w:r>
            <w:r>
              <w:tab/>
            </w:r>
            <w:r>
              <w:fldChar w:fldCharType="begin"/>
            </w:r>
            <w:r>
              <w:instrText xml:space="preserve">PAGEREF _Toc1052207080 \h</w:instrText>
            </w:r>
            <w:r>
              <w:fldChar w:fldCharType="separate"/>
            </w:r>
            <w:r w:rsidRPr="727F3008" w:rsidR="727F3008">
              <w:rPr>
                <w:rStyle w:val="Hyperlink"/>
              </w:rPr>
              <w:t>3</w:t>
            </w:r>
            <w:r>
              <w:fldChar w:fldCharType="end"/>
            </w:r>
          </w:hyperlink>
        </w:p>
        <w:p w:rsidR="727F3008" w:rsidP="727F3008" w:rsidRDefault="727F3008" w14:paraId="54215E19" w14:textId="43530E48">
          <w:pPr>
            <w:pStyle w:val="TOC3"/>
            <w:tabs>
              <w:tab w:val="right" w:leader="dot" w:pos="9015"/>
            </w:tabs>
            <w:bidi w:val="0"/>
            <w:rPr>
              <w:rStyle w:val="Hyperlink"/>
            </w:rPr>
          </w:pPr>
          <w:hyperlink w:anchor="_Toc183839062">
            <w:r w:rsidRPr="727F3008" w:rsidR="727F3008">
              <w:rPr>
                <w:rStyle w:val="Hyperlink"/>
              </w:rPr>
              <w:t>Transactional and Unifying Leadership</w:t>
            </w:r>
            <w:r>
              <w:tab/>
            </w:r>
            <w:r>
              <w:fldChar w:fldCharType="begin"/>
            </w:r>
            <w:r>
              <w:instrText xml:space="preserve">PAGEREF _Toc183839062 \h</w:instrText>
            </w:r>
            <w:r>
              <w:fldChar w:fldCharType="separate"/>
            </w:r>
            <w:r w:rsidRPr="727F3008" w:rsidR="727F3008">
              <w:rPr>
                <w:rStyle w:val="Hyperlink"/>
              </w:rPr>
              <w:t>3</w:t>
            </w:r>
            <w:r>
              <w:fldChar w:fldCharType="end"/>
            </w:r>
          </w:hyperlink>
        </w:p>
        <w:p w:rsidR="727F3008" w:rsidP="727F3008" w:rsidRDefault="727F3008" w14:paraId="4AC53A2E" w14:textId="19F75A0A">
          <w:pPr>
            <w:pStyle w:val="TOC3"/>
            <w:tabs>
              <w:tab w:val="right" w:leader="dot" w:pos="9015"/>
            </w:tabs>
            <w:bidi w:val="0"/>
            <w:rPr>
              <w:rStyle w:val="Hyperlink"/>
            </w:rPr>
          </w:pPr>
          <w:hyperlink w:anchor="_Toc1617261431">
            <w:r w:rsidRPr="727F3008" w:rsidR="727F3008">
              <w:rPr>
                <w:rStyle w:val="Hyperlink"/>
              </w:rPr>
              <w:t>Servant Leadership and Public Engagement</w:t>
            </w:r>
            <w:r>
              <w:tab/>
            </w:r>
            <w:r>
              <w:fldChar w:fldCharType="begin"/>
            </w:r>
            <w:r>
              <w:instrText xml:space="preserve">PAGEREF _Toc1617261431 \h</w:instrText>
            </w:r>
            <w:r>
              <w:fldChar w:fldCharType="separate"/>
            </w:r>
            <w:r w:rsidRPr="727F3008" w:rsidR="727F3008">
              <w:rPr>
                <w:rStyle w:val="Hyperlink"/>
              </w:rPr>
              <w:t>4</w:t>
            </w:r>
            <w:r>
              <w:fldChar w:fldCharType="end"/>
            </w:r>
          </w:hyperlink>
        </w:p>
        <w:p w:rsidR="727F3008" w:rsidP="727F3008" w:rsidRDefault="727F3008" w14:paraId="6C6B87AC" w14:textId="7E921085">
          <w:pPr>
            <w:pStyle w:val="TOC3"/>
            <w:tabs>
              <w:tab w:val="right" w:leader="dot" w:pos="9015"/>
            </w:tabs>
            <w:bidi w:val="0"/>
            <w:rPr>
              <w:rStyle w:val="Hyperlink"/>
            </w:rPr>
          </w:pPr>
          <w:hyperlink w:anchor="_Toc1539456613">
            <w:r w:rsidRPr="727F3008" w:rsidR="727F3008">
              <w:rPr>
                <w:rStyle w:val="Hyperlink"/>
              </w:rPr>
              <w:t>Comparative Evaluation</w:t>
            </w:r>
            <w:r>
              <w:tab/>
            </w:r>
            <w:r>
              <w:fldChar w:fldCharType="begin"/>
            </w:r>
            <w:r>
              <w:instrText xml:space="preserve">PAGEREF _Toc1539456613 \h</w:instrText>
            </w:r>
            <w:r>
              <w:fldChar w:fldCharType="separate"/>
            </w:r>
            <w:r w:rsidRPr="727F3008" w:rsidR="727F3008">
              <w:rPr>
                <w:rStyle w:val="Hyperlink"/>
              </w:rPr>
              <w:t>4</w:t>
            </w:r>
            <w:r>
              <w:fldChar w:fldCharType="end"/>
            </w:r>
          </w:hyperlink>
        </w:p>
        <w:p w:rsidR="727F3008" w:rsidP="727F3008" w:rsidRDefault="727F3008" w14:paraId="20C76E4D" w14:textId="612ECFAC">
          <w:pPr>
            <w:pStyle w:val="TOC3"/>
            <w:tabs>
              <w:tab w:val="right" w:leader="dot" w:pos="9015"/>
            </w:tabs>
            <w:bidi w:val="0"/>
            <w:rPr>
              <w:rStyle w:val="Hyperlink"/>
            </w:rPr>
          </w:pPr>
          <w:hyperlink w:anchor="_Toc1732871114">
            <w:r w:rsidRPr="727F3008" w:rsidR="727F3008">
              <w:rPr>
                <w:rStyle w:val="Hyperlink"/>
              </w:rPr>
              <w:t>Implications for Future Health Crises</w:t>
            </w:r>
            <w:r>
              <w:tab/>
            </w:r>
            <w:r>
              <w:fldChar w:fldCharType="begin"/>
            </w:r>
            <w:r>
              <w:instrText xml:space="preserve">PAGEREF _Toc1732871114 \h</w:instrText>
            </w:r>
            <w:r>
              <w:fldChar w:fldCharType="separate"/>
            </w:r>
            <w:r w:rsidRPr="727F3008" w:rsidR="727F3008">
              <w:rPr>
                <w:rStyle w:val="Hyperlink"/>
              </w:rPr>
              <w:t>4</w:t>
            </w:r>
            <w:r>
              <w:fldChar w:fldCharType="end"/>
            </w:r>
          </w:hyperlink>
        </w:p>
        <w:p w:rsidR="727F3008" w:rsidP="727F3008" w:rsidRDefault="727F3008" w14:paraId="508ED53A" w14:textId="7123EA8D">
          <w:pPr>
            <w:pStyle w:val="TOC2"/>
            <w:tabs>
              <w:tab w:val="right" w:leader="dot" w:pos="9015"/>
            </w:tabs>
            <w:bidi w:val="0"/>
            <w:rPr>
              <w:rStyle w:val="Hyperlink"/>
            </w:rPr>
          </w:pPr>
          <w:hyperlink w:anchor="_Toc16507895">
            <w:r w:rsidRPr="727F3008" w:rsidR="727F3008">
              <w:rPr>
                <w:rStyle w:val="Hyperlink"/>
              </w:rPr>
              <w:t>Methodology</w:t>
            </w:r>
            <w:r>
              <w:tab/>
            </w:r>
            <w:r>
              <w:fldChar w:fldCharType="begin"/>
            </w:r>
            <w:r>
              <w:instrText xml:space="preserve">PAGEREF _Toc16507895 \h</w:instrText>
            </w:r>
            <w:r>
              <w:fldChar w:fldCharType="separate"/>
            </w:r>
            <w:r w:rsidRPr="727F3008" w:rsidR="727F3008">
              <w:rPr>
                <w:rStyle w:val="Hyperlink"/>
              </w:rPr>
              <w:t>5</w:t>
            </w:r>
            <w:r>
              <w:fldChar w:fldCharType="end"/>
            </w:r>
          </w:hyperlink>
        </w:p>
        <w:p w:rsidR="727F3008" w:rsidP="727F3008" w:rsidRDefault="727F3008" w14:paraId="3DC0C86A" w14:textId="485E6F17">
          <w:pPr>
            <w:pStyle w:val="TOC2"/>
            <w:tabs>
              <w:tab w:val="right" w:leader="dot" w:pos="9015"/>
            </w:tabs>
            <w:bidi w:val="0"/>
            <w:rPr>
              <w:rStyle w:val="Hyperlink"/>
            </w:rPr>
          </w:pPr>
          <w:hyperlink w:anchor="_Toc958851853">
            <w:r w:rsidRPr="727F3008" w:rsidR="727F3008">
              <w:rPr>
                <w:rStyle w:val="Hyperlink"/>
              </w:rPr>
              <w:t>Comparative Health System Analysis</w:t>
            </w:r>
            <w:r>
              <w:tab/>
            </w:r>
            <w:r>
              <w:fldChar w:fldCharType="begin"/>
            </w:r>
            <w:r>
              <w:instrText xml:space="preserve">PAGEREF _Toc958851853 \h</w:instrText>
            </w:r>
            <w:r>
              <w:fldChar w:fldCharType="separate"/>
            </w:r>
            <w:r w:rsidRPr="727F3008" w:rsidR="727F3008">
              <w:rPr>
                <w:rStyle w:val="Hyperlink"/>
              </w:rPr>
              <w:t>6</w:t>
            </w:r>
            <w:r>
              <w:fldChar w:fldCharType="end"/>
            </w:r>
          </w:hyperlink>
        </w:p>
        <w:p w:rsidR="727F3008" w:rsidP="727F3008" w:rsidRDefault="727F3008" w14:paraId="4FBF6A7F" w14:textId="340698CE">
          <w:pPr>
            <w:pStyle w:val="TOC3"/>
            <w:tabs>
              <w:tab w:val="right" w:leader="dot" w:pos="9015"/>
            </w:tabs>
            <w:bidi w:val="0"/>
            <w:rPr>
              <w:rStyle w:val="Hyperlink"/>
            </w:rPr>
          </w:pPr>
          <w:hyperlink w:anchor="_Toc1229798040">
            <w:r w:rsidRPr="727F3008" w:rsidR="727F3008">
              <w:rPr>
                <w:rStyle w:val="Hyperlink"/>
              </w:rPr>
              <w:t>Spain</w:t>
            </w:r>
            <w:r>
              <w:tab/>
            </w:r>
            <w:r>
              <w:fldChar w:fldCharType="begin"/>
            </w:r>
            <w:r>
              <w:instrText xml:space="preserve">PAGEREF _Toc1229798040 \h</w:instrText>
            </w:r>
            <w:r>
              <w:fldChar w:fldCharType="separate"/>
            </w:r>
            <w:r w:rsidRPr="727F3008" w:rsidR="727F3008">
              <w:rPr>
                <w:rStyle w:val="Hyperlink"/>
              </w:rPr>
              <w:t>6</w:t>
            </w:r>
            <w:r>
              <w:fldChar w:fldCharType="end"/>
            </w:r>
          </w:hyperlink>
        </w:p>
        <w:p w:rsidR="727F3008" w:rsidP="727F3008" w:rsidRDefault="727F3008" w14:paraId="15CD60DC" w14:textId="7A3165A1">
          <w:pPr>
            <w:pStyle w:val="TOC3"/>
            <w:tabs>
              <w:tab w:val="right" w:leader="dot" w:pos="9015"/>
            </w:tabs>
            <w:bidi w:val="0"/>
            <w:rPr>
              <w:rStyle w:val="Hyperlink"/>
            </w:rPr>
          </w:pPr>
          <w:hyperlink w:anchor="_Toc1919192674">
            <w:r w:rsidRPr="727F3008" w:rsidR="727F3008">
              <w:rPr>
                <w:rStyle w:val="Hyperlink"/>
              </w:rPr>
              <w:t>South Korea</w:t>
            </w:r>
            <w:r>
              <w:tab/>
            </w:r>
            <w:r>
              <w:fldChar w:fldCharType="begin"/>
            </w:r>
            <w:r>
              <w:instrText xml:space="preserve">PAGEREF _Toc1919192674 \h</w:instrText>
            </w:r>
            <w:r>
              <w:fldChar w:fldCharType="separate"/>
            </w:r>
            <w:r w:rsidRPr="727F3008" w:rsidR="727F3008">
              <w:rPr>
                <w:rStyle w:val="Hyperlink"/>
              </w:rPr>
              <w:t>7</w:t>
            </w:r>
            <w:r>
              <w:fldChar w:fldCharType="end"/>
            </w:r>
          </w:hyperlink>
        </w:p>
        <w:p w:rsidR="727F3008" w:rsidP="727F3008" w:rsidRDefault="727F3008" w14:paraId="0ECE2EE1" w14:textId="2E28EBA9">
          <w:pPr>
            <w:pStyle w:val="TOC3"/>
            <w:tabs>
              <w:tab w:val="right" w:leader="dot" w:pos="9015"/>
            </w:tabs>
            <w:bidi w:val="0"/>
            <w:rPr>
              <w:rStyle w:val="Hyperlink"/>
            </w:rPr>
          </w:pPr>
          <w:hyperlink w:anchor="_Toc1723844630">
            <w:r w:rsidRPr="727F3008" w:rsidR="727F3008">
              <w:rPr>
                <w:rStyle w:val="Hyperlink"/>
              </w:rPr>
              <w:t>Canada</w:t>
            </w:r>
            <w:r>
              <w:tab/>
            </w:r>
            <w:r>
              <w:fldChar w:fldCharType="begin"/>
            </w:r>
            <w:r>
              <w:instrText xml:space="preserve">PAGEREF _Toc1723844630 \h</w:instrText>
            </w:r>
            <w:r>
              <w:fldChar w:fldCharType="separate"/>
            </w:r>
            <w:r w:rsidRPr="727F3008" w:rsidR="727F3008">
              <w:rPr>
                <w:rStyle w:val="Hyperlink"/>
              </w:rPr>
              <w:t>7</w:t>
            </w:r>
            <w:r>
              <w:fldChar w:fldCharType="end"/>
            </w:r>
          </w:hyperlink>
        </w:p>
        <w:p w:rsidR="727F3008" w:rsidP="727F3008" w:rsidRDefault="727F3008" w14:paraId="652C46F7" w14:textId="7540E4FD">
          <w:pPr>
            <w:pStyle w:val="TOC3"/>
            <w:tabs>
              <w:tab w:val="right" w:leader="dot" w:pos="9015"/>
            </w:tabs>
            <w:bidi w:val="0"/>
            <w:rPr>
              <w:rStyle w:val="Hyperlink"/>
            </w:rPr>
          </w:pPr>
          <w:hyperlink w:anchor="_Toc911024469">
            <w:r w:rsidRPr="727F3008" w:rsidR="727F3008">
              <w:rPr>
                <w:rStyle w:val="Hyperlink"/>
              </w:rPr>
              <w:t>Comparative Analysis</w:t>
            </w:r>
            <w:r>
              <w:tab/>
            </w:r>
            <w:r>
              <w:fldChar w:fldCharType="begin"/>
            </w:r>
            <w:r>
              <w:instrText xml:space="preserve">PAGEREF _Toc911024469 \h</w:instrText>
            </w:r>
            <w:r>
              <w:fldChar w:fldCharType="separate"/>
            </w:r>
            <w:r w:rsidRPr="727F3008" w:rsidR="727F3008">
              <w:rPr>
                <w:rStyle w:val="Hyperlink"/>
              </w:rPr>
              <w:t>8</w:t>
            </w:r>
            <w:r>
              <w:fldChar w:fldCharType="end"/>
            </w:r>
          </w:hyperlink>
        </w:p>
        <w:p w:rsidR="727F3008" w:rsidP="727F3008" w:rsidRDefault="727F3008" w14:paraId="4E7BE91E" w14:textId="5C55095F">
          <w:pPr>
            <w:pStyle w:val="TOC2"/>
            <w:tabs>
              <w:tab w:val="right" w:leader="dot" w:pos="9015"/>
            </w:tabs>
            <w:bidi w:val="0"/>
            <w:rPr>
              <w:rStyle w:val="Hyperlink"/>
            </w:rPr>
          </w:pPr>
          <w:hyperlink w:anchor="_Toc1713568745">
            <w:r w:rsidRPr="727F3008" w:rsidR="727F3008">
              <w:rPr>
                <w:rStyle w:val="Hyperlink"/>
              </w:rPr>
              <w:t>Leadership Analysis</w:t>
            </w:r>
            <w:r>
              <w:tab/>
            </w:r>
            <w:r>
              <w:fldChar w:fldCharType="begin"/>
            </w:r>
            <w:r>
              <w:instrText xml:space="preserve">PAGEREF _Toc1713568745 \h</w:instrText>
            </w:r>
            <w:r>
              <w:fldChar w:fldCharType="separate"/>
            </w:r>
            <w:r w:rsidRPr="727F3008" w:rsidR="727F3008">
              <w:rPr>
                <w:rStyle w:val="Hyperlink"/>
              </w:rPr>
              <w:t>8</w:t>
            </w:r>
            <w:r>
              <w:fldChar w:fldCharType="end"/>
            </w:r>
          </w:hyperlink>
        </w:p>
        <w:p w:rsidR="727F3008" w:rsidP="727F3008" w:rsidRDefault="727F3008" w14:paraId="5E4C4B2C" w14:textId="70DD7F62">
          <w:pPr>
            <w:pStyle w:val="TOC3"/>
            <w:tabs>
              <w:tab w:val="right" w:leader="dot" w:pos="9015"/>
            </w:tabs>
            <w:bidi w:val="0"/>
            <w:rPr>
              <w:rStyle w:val="Hyperlink"/>
            </w:rPr>
          </w:pPr>
          <w:hyperlink w:anchor="_Toc1106955270">
            <w:r w:rsidRPr="727F3008" w:rsidR="727F3008">
              <w:rPr>
                <w:rStyle w:val="Hyperlink"/>
              </w:rPr>
              <w:t>Spain – Salvador Illa</w:t>
            </w:r>
            <w:r>
              <w:tab/>
            </w:r>
            <w:r>
              <w:fldChar w:fldCharType="begin"/>
            </w:r>
            <w:r>
              <w:instrText xml:space="preserve">PAGEREF _Toc1106955270 \h</w:instrText>
            </w:r>
            <w:r>
              <w:fldChar w:fldCharType="separate"/>
            </w:r>
            <w:r w:rsidRPr="727F3008" w:rsidR="727F3008">
              <w:rPr>
                <w:rStyle w:val="Hyperlink"/>
              </w:rPr>
              <w:t>8</w:t>
            </w:r>
            <w:r>
              <w:fldChar w:fldCharType="end"/>
            </w:r>
          </w:hyperlink>
        </w:p>
        <w:p w:rsidR="727F3008" w:rsidP="727F3008" w:rsidRDefault="727F3008" w14:paraId="4EC1FCC1" w14:textId="22B4DC5B">
          <w:pPr>
            <w:pStyle w:val="TOC3"/>
            <w:tabs>
              <w:tab w:val="right" w:leader="dot" w:pos="9015"/>
            </w:tabs>
            <w:bidi w:val="0"/>
            <w:rPr>
              <w:rStyle w:val="Hyperlink"/>
            </w:rPr>
          </w:pPr>
          <w:hyperlink w:anchor="_Toc1020734980">
            <w:r w:rsidRPr="727F3008" w:rsidR="727F3008">
              <w:rPr>
                <w:rStyle w:val="Hyperlink"/>
              </w:rPr>
              <w:t>South Korea – Chung Sye-kyun</w:t>
            </w:r>
            <w:r>
              <w:tab/>
            </w:r>
            <w:r>
              <w:fldChar w:fldCharType="begin"/>
            </w:r>
            <w:r>
              <w:instrText xml:space="preserve">PAGEREF _Toc1020734980 \h</w:instrText>
            </w:r>
            <w:r>
              <w:fldChar w:fldCharType="separate"/>
            </w:r>
            <w:r w:rsidRPr="727F3008" w:rsidR="727F3008">
              <w:rPr>
                <w:rStyle w:val="Hyperlink"/>
              </w:rPr>
              <w:t>9</w:t>
            </w:r>
            <w:r>
              <w:fldChar w:fldCharType="end"/>
            </w:r>
          </w:hyperlink>
        </w:p>
        <w:p w:rsidR="727F3008" w:rsidP="727F3008" w:rsidRDefault="727F3008" w14:paraId="35861B0A" w14:textId="75D13F20">
          <w:pPr>
            <w:pStyle w:val="TOC3"/>
            <w:tabs>
              <w:tab w:val="right" w:leader="dot" w:pos="9015"/>
            </w:tabs>
            <w:bidi w:val="0"/>
            <w:rPr>
              <w:rStyle w:val="Hyperlink"/>
            </w:rPr>
          </w:pPr>
          <w:hyperlink w:anchor="_Toc542171154">
            <w:r w:rsidRPr="727F3008" w:rsidR="727F3008">
              <w:rPr>
                <w:rStyle w:val="Hyperlink"/>
              </w:rPr>
              <w:t>Comparative Evaluation</w:t>
            </w:r>
            <w:r>
              <w:tab/>
            </w:r>
            <w:r>
              <w:fldChar w:fldCharType="begin"/>
            </w:r>
            <w:r>
              <w:instrText xml:space="preserve">PAGEREF _Toc542171154 \h</w:instrText>
            </w:r>
            <w:r>
              <w:fldChar w:fldCharType="separate"/>
            </w:r>
            <w:r w:rsidRPr="727F3008" w:rsidR="727F3008">
              <w:rPr>
                <w:rStyle w:val="Hyperlink"/>
              </w:rPr>
              <w:t>9</w:t>
            </w:r>
            <w:r>
              <w:fldChar w:fldCharType="end"/>
            </w:r>
          </w:hyperlink>
        </w:p>
        <w:p w:rsidR="727F3008" w:rsidP="727F3008" w:rsidRDefault="727F3008" w14:paraId="545373B1" w14:textId="40209347">
          <w:pPr>
            <w:pStyle w:val="TOC2"/>
            <w:tabs>
              <w:tab w:val="right" w:leader="dot" w:pos="9015"/>
            </w:tabs>
            <w:bidi w:val="0"/>
            <w:rPr>
              <w:rStyle w:val="Hyperlink"/>
            </w:rPr>
          </w:pPr>
          <w:hyperlink w:anchor="_Toc217230662">
            <w:r w:rsidRPr="727F3008" w:rsidR="727F3008">
              <w:rPr>
                <w:rStyle w:val="Hyperlink"/>
              </w:rPr>
              <w:t>Centralisation versus Decentralisation Analysis</w:t>
            </w:r>
            <w:r>
              <w:tab/>
            </w:r>
            <w:r>
              <w:fldChar w:fldCharType="begin"/>
            </w:r>
            <w:r>
              <w:instrText xml:space="preserve">PAGEREF _Toc217230662 \h</w:instrText>
            </w:r>
            <w:r>
              <w:fldChar w:fldCharType="separate"/>
            </w:r>
            <w:r w:rsidRPr="727F3008" w:rsidR="727F3008">
              <w:rPr>
                <w:rStyle w:val="Hyperlink"/>
              </w:rPr>
              <w:t>9</w:t>
            </w:r>
            <w:r>
              <w:fldChar w:fldCharType="end"/>
            </w:r>
          </w:hyperlink>
        </w:p>
        <w:p w:rsidR="727F3008" w:rsidP="727F3008" w:rsidRDefault="727F3008" w14:paraId="05A7510B" w14:textId="60C0B367">
          <w:pPr>
            <w:pStyle w:val="TOC3"/>
            <w:tabs>
              <w:tab w:val="right" w:leader="dot" w:pos="9015"/>
            </w:tabs>
            <w:bidi w:val="0"/>
            <w:rPr>
              <w:rStyle w:val="Hyperlink"/>
            </w:rPr>
          </w:pPr>
          <w:hyperlink w:anchor="_Toc54694613">
            <w:r w:rsidRPr="727F3008" w:rsidR="727F3008">
              <w:rPr>
                <w:rStyle w:val="Hyperlink"/>
              </w:rPr>
              <w:t>Spain</w:t>
            </w:r>
            <w:r>
              <w:tab/>
            </w:r>
            <w:r>
              <w:fldChar w:fldCharType="begin"/>
            </w:r>
            <w:r>
              <w:instrText xml:space="preserve">PAGEREF _Toc54694613 \h</w:instrText>
            </w:r>
            <w:r>
              <w:fldChar w:fldCharType="separate"/>
            </w:r>
            <w:r w:rsidRPr="727F3008" w:rsidR="727F3008">
              <w:rPr>
                <w:rStyle w:val="Hyperlink"/>
              </w:rPr>
              <w:t>9</w:t>
            </w:r>
            <w:r>
              <w:fldChar w:fldCharType="end"/>
            </w:r>
          </w:hyperlink>
        </w:p>
        <w:p w:rsidR="727F3008" w:rsidP="727F3008" w:rsidRDefault="727F3008" w14:paraId="089AA466" w14:textId="07DA0EB7">
          <w:pPr>
            <w:pStyle w:val="TOC3"/>
            <w:tabs>
              <w:tab w:val="right" w:leader="dot" w:pos="9015"/>
            </w:tabs>
            <w:bidi w:val="0"/>
            <w:rPr>
              <w:rStyle w:val="Hyperlink"/>
            </w:rPr>
          </w:pPr>
          <w:hyperlink w:anchor="_Toc31832180">
            <w:r w:rsidRPr="727F3008" w:rsidR="727F3008">
              <w:rPr>
                <w:rStyle w:val="Hyperlink"/>
              </w:rPr>
              <w:t>South Korea</w:t>
            </w:r>
            <w:r>
              <w:tab/>
            </w:r>
            <w:r>
              <w:fldChar w:fldCharType="begin"/>
            </w:r>
            <w:r>
              <w:instrText xml:space="preserve">PAGEREF _Toc31832180 \h</w:instrText>
            </w:r>
            <w:r>
              <w:fldChar w:fldCharType="separate"/>
            </w:r>
            <w:r w:rsidRPr="727F3008" w:rsidR="727F3008">
              <w:rPr>
                <w:rStyle w:val="Hyperlink"/>
              </w:rPr>
              <w:t>9</w:t>
            </w:r>
            <w:r>
              <w:fldChar w:fldCharType="end"/>
            </w:r>
          </w:hyperlink>
        </w:p>
        <w:p w:rsidR="727F3008" w:rsidP="727F3008" w:rsidRDefault="727F3008" w14:paraId="620B9878" w14:textId="7568C988">
          <w:pPr>
            <w:pStyle w:val="TOC3"/>
            <w:tabs>
              <w:tab w:val="right" w:leader="dot" w:pos="9015"/>
            </w:tabs>
            <w:bidi w:val="0"/>
            <w:rPr>
              <w:rStyle w:val="Hyperlink"/>
            </w:rPr>
          </w:pPr>
          <w:hyperlink w:anchor="_Toc1265159833">
            <w:r w:rsidRPr="727F3008" w:rsidR="727F3008">
              <w:rPr>
                <w:rStyle w:val="Hyperlink"/>
              </w:rPr>
              <w:t>Canada</w:t>
            </w:r>
            <w:r>
              <w:tab/>
            </w:r>
            <w:r>
              <w:fldChar w:fldCharType="begin"/>
            </w:r>
            <w:r>
              <w:instrText xml:space="preserve">PAGEREF _Toc1265159833 \h</w:instrText>
            </w:r>
            <w:r>
              <w:fldChar w:fldCharType="separate"/>
            </w:r>
            <w:r w:rsidRPr="727F3008" w:rsidR="727F3008">
              <w:rPr>
                <w:rStyle w:val="Hyperlink"/>
              </w:rPr>
              <w:t>9</w:t>
            </w:r>
            <w:r>
              <w:fldChar w:fldCharType="end"/>
            </w:r>
          </w:hyperlink>
        </w:p>
        <w:p w:rsidR="727F3008" w:rsidP="727F3008" w:rsidRDefault="727F3008" w14:paraId="7EE13C11" w14:textId="229FA9DF">
          <w:pPr>
            <w:pStyle w:val="TOC3"/>
            <w:tabs>
              <w:tab w:val="right" w:leader="dot" w:pos="9015"/>
            </w:tabs>
            <w:bidi w:val="0"/>
            <w:rPr>
              <w:rStyle w:val="Hyperlink"/>
            </w:rPr>
          </w:pPr>
          <w:hyperlink w:anchor="_Toc379537264">
            <w:r w:rsidRPr="727F3008" w:rsidR="727F3008">
              <w:rPr>
                <w:rStyle w:val="Hyperlink"/>
              </w:rPr>
              <w:t>Comparative Insights</w:t>
            </w:r>
            <w:r>
              <w:tab/>
            </w:r>
            <w:r>
              <w:fldChar w:fldCharType="begin"/>
            </w:r>
            <w:r>
              <w:instrText xml:space="preserve">PAGEREF _Toc379537264 \h</w:instrText>
            </w:r>
            <w:r>
              <w:fldChar w:fldCharType="separate"/>
            </w:r>
            <w:r w:rsidRPr="727F3008" w:rsidR="727F3008">
              <w:rPr>
                <w:rStyle w:val="Hyperlink"/>
              </w:rPr>
              <w:t>9</w:t>
            </w:r>
            <w:r>
              <w:fldChar w:fldCharType="end"/>
            </w:r>
          </w:hyperlink>
        </w:p>
        <w:p w:rsidR="727F3008" w:rsidP="727F3008" w:rsidRDefault="727F3008" w14:paraId="01C14B2E" w14:textId="76EA5AC4">
          <w:pPr>
            <w:pStyle w:val="TOC2"/>
            <w:tabs>
              <w:tab w:val="right" w:leader="dot" w:pos="9015"/>
            </w:tabs>
            <w:bidi w:val="0"/>
            <w:rPr>
              <w:rStyle w:val="Hyperlink"/>
            </w:rPr>
          </w:pPr>
          <w:hyperlink w:anchor="_Toc406843370">
            <w:r w:rsidRPr="727F3008" w:rsidR="727F3008">
              <w:rPr>
                <w:rStyle w:val="Hyperlink"/>
              </w:rPr>
              <w:t>Vaccination Strategies and Health System Outcomes</w:t>
            </w:r>
            <w:r>
              <w:tab/>
            </w:r>
            <w:r>
              <w:fldChar w:fldCharType="begin"/>
            </w:r>
            <w:r>
              <w:instrText xml:space="preserve">PAGEREF _Toc406843370 \h</w:instrText>
            </w:r>
            <w:r>
              <w:fldChar w:fldCharType="separate"/>
            </w:r>
            <w:r w:rsidRPr="727F3008" w:rsidR="727F3008">
              <w:rPr>
                <w:rStyle w:val="Hyperlink"/>
              </w:rPr>
              <w:t>9</w:t>
            </w:r>
            <w:r>
              <w:fldChar w:fldCharType="end"/>
            </w:r>
          </w:hyperlink>
        </w:p>
        <w:p w:rsidR="727F3008" w:rsidP="727F3008" w:rsidRDefault="727F3008" w14:paraId="6440587B" w14:textId="5548BD83">
          <w:pPr>
            <w:pStyle w:val="TOC3"/>
            <w:tabs>
              <w:tab w:val="right" w:leader="dot" w:pos="9015"/>
            </w:tabs>
            <w:bidi w:val="0"/>
            <w:rPr>
              <w:rStyle w:val="Hyperlink"/>
            </w:rPr>
          </w:pPr>
          <w:hyperlink w:anchor="_Toc968924908">
            <w:r w:rsidRPr="727F3008" w:rsidR="727F3008">
              <w:rPr>
                <w:rStyle w:val="Hyperlink"/>
              </w:rPr>
              <w:t>Spain</w:t>
            </w:r>
            <w:r>
              <w:tab/>
            </w:r>
            <w:r>
              <w:fldChar w:fldCharType="begin"/>
            </w:r>
            <w:r>
              <w:instrText xml:space="preserve">PAGEREF _Toc968924908 \h</w:instrText>
            </w:r>
            <w:r>
              <w:fldChar w:fldCharType="separate"/>
            </w:r>
            <w:r w:rsidRPr="727F3008" w:rsidR="727F3008">
              <w:rPr>
                <w:rStyle w:val="Hyperlink"/>
              </w:rPr>
              <w:t>9</w:t>
            </w:r>
            <w:r>
              <w:fldChar w:fldCharType="end"/>
            </w:r>
          </w:hyperlink>
        </w:p>
        <w:p w:rsidR="727F3008" w:rsidP="727F3008" w:rsidRDefault="727F3008" w14:paraId="0C6581FD" w14:textId="54599B1C">
          <w:pPr>
            <w:pStyle w:val="TOC3"/>
            <w:tabs>
              <w:tab w:val="right" w:leader="dot" w:pos="9015"/>
            </w:tabs>
            <w:bidi w:val="0"/>
            <w:rPr>
              <w:rStyle w:val="Hyperlink"/>
            </w:rPr>
          </w:pPr>
          <w:hyperlink w:anchor="_Toc654509217">
            <w:r w:rsidRPr="727F3008" w:rsidR="727F3008">
              <w:rPr>
                <w:rStyle w:val="Hyperlink"/>
              </w:rPr>
              <w:t>South Korea</w:t>
            </w:r>
            <w:r>
              <w:tab/>
            </w:r>
            <w:r>
              <w:fldChar w:fldCharType="begin"/>
            </w:r>
            <w:r>
              <w:instrText xml:space="preserve">PAGEREF _Toc654509217 \h</w:instrText>
            </w:r>
            <w:r>
              <w:fldChar w:fldCharType="separate"/>
            </w:r>
            <w:r w:rsidRPr="727F3008" w:rsidR="727F3008">
              <w:rPr>
                <w:rStyle w:val="Hyperlink"/>
              </w:rPr>
              <w:t>9</w:t>
            </w:r>
            <w:r>
              <w:fldChar w:fldCharType="end"/>
            </w:r>
          </w:hyperlink>
        </w:p>
        <w:p w:rsidR="727F3008" w:rsidP="727F3008" w:rsidRDefault="727F3008" w14:paraId="605C0098" w14:textId="6FC220C0">
          <w:pPr>
            <w:pStyle w:val="TOC3"/>
            <w:tabs>
              <w:tab w:val="right" w:leader="dot" w:pos="9015"/>
            </w:tabs>
            <w:bidi w:val="0"/>
            <w:rPr>
              <w:rStyle w:val="Hyperlink"/>
            </w:rPr>
          </w:pPr>
          <w:hyperlink w:anchor="_Toc1961607089">
            <w:r w:rsidRPr="727F3008" w:rsidR="727F3008">
              <w:rPr>
                <w:rStyle w:val="Hyperlink"/>
              </w:rPr>
              <w:t>Canada</w:t>
            </w:r>
            <w:r>
              <w:tab/>
            </w:r>
            <w:r>
              <w:fldChar w:fldCharType="begin"/>
            </w:r>
            <w:r>
              <w:instrText xml:space="preserve">PAGEREF _Toc1961607089 \h</w:instrText>
            </w:r>
            <w:r>
              <w:fldChar w:fldCharType="separate"/>
            </w:r>
            <w:r w:rsidRPr="727F3008" w:rsidR="727F3008">
              <w:rPr>
                <w:rStyle w:val="Hyperlink"/>
              </w:rPr>
              <w:t>9</w:t>
            </w:r>
            <w:r>
              <w:fldChar w:fldCharType="end"/>
            </w:r>
          </w:hyperlink>
        </w:p>
        <w:p w:rsidR="727F3008" w:rsidP="727F3008" w:rsidRDefault="727F3008" w14:paraId="7B9FCBA7" w14:textId="4AC63755">
          <w:pPr>
            <w:pStyle w:val="TOC3"/>
            <w:tabs>
              <w:tab w:val="right" w:leader="dot" w:pos="9015"/>
            </w:tabs>
            <w:bidi w:val="0"/>
            <w:rPr>
              <w:rStyle w:val="Hyperlink"/>
            </w:rPr>
          </w:pPr>
          <w:hyperlink w:anchor="_Toc158719896">
            <w:r w:rsidRPr="727F3008" w:rsidR="727F3008">
              <w:rPr>
                <w:rStyle w:val="Hyperlink"/>
              </w:rPr>
              <w:t>Comparative Analysis</w:t>
            </w:r>
            <w:r>
              <w:tab/>
            </w:r>
            <w:r>
              <w:fldChar w:fldCharType="begin"/>
            </w:r>
            <w:r>
              <w:instrText xml:space="preserve">PAGEREF _Toc158719896 \h</w:instrText>
            </w:r>
            <w:r>
              <w:fldChar w:fldCharType="separate"/>
            </w:r>
            <w:r w:rsidRPr="727F3008" w:rsidR="727F3008">
              <w:rPr>
                <w:rStyle w:val="Hyperlink"/>
              </w:rPr>
              <w:t>9</w:t>
            </w:r>
            <w:r>
              <w:fldChar w:fldCharType="end"/>
            </w:r>
          </w:hyperlink>
        </w:p>
        <w:p w:rsidR="727F3008" w:rsidP="727F3008" w:rsidRDefault="727F3008" w14:paraId="482B63AA" w14:textId="4D80DE66">
          <w:pPr>
            <w:pStyle w:val="TOC2"/>
            <w:tabs>
              <w:tab w:val="right" w:leader="dot" w:pos="9015"/>
            </w:tabs>
            <w:bidi w:val="0"/>
            <w:rPr>
              <w:rStyle w:val="Hyperlink"/>
            </w:rPr>
          </w:pPr>
          <w:hyperlink w:anchor="_Toc1326763291">
            <w:r w:rsidRPr="727F3008" w:rsidR="727F3008">
              <w:rPr>
                <w:rStyle w:val="Hyperlink"/>
              </w:rPr>
              <w:t>Systemic Challenges and Lessons Learned</w:t>
            </w:r>
            <w:r>
              <w:tab/>
            </w:r>
            <w:r>
              <w:fldChar w:fldCharType="begin"/>
            </w:r>
            <w:r>
              <w:instrText xml:space="preserve">PAGEREF _Toc1326763291 \h</w:instrText>
            </w:r>
            <w:r>
              <w:fldChar w:fldCharType="separate"/>
            </w:r>
            <w:r w:rsidRPr="727F3008" w:rsidR="727F3008">
              <w:rPr>
                <w:rStyle w:val="Hyperlink"/>
              </w:rPr>
              <w:t>9</w:t>
            </w:r>
            <w:r>
              <w:fldChar w:fldCharType="end"/>
            </w:r>
          </w:hyperlink>
        </w:p>
        <w:p w:rsidR="727F3008" w:rsidP="727F3008" w:rsidRDefault="727F3008" w14:paraId="4FE7B8F5" w14:textId="6DE26258">
          <w:pPr>
            <w:pStyle w:val="TOC3"/>
            <w:tabs>
              <w:tab w:val="right" w:leader="dot" w:pos="9015"/>
            </w:tabs>
            <w:bidi w:val="0"/>
            <w:rPr>
              <w:rStyle w:val="Hyperlink"/>
            </w:rPr>
          </w:pPr>
          <w:hyperlink w:anchor="_Toc771036576">
            <w:r w:rsidRPr="727F3008" w:rsidR="727F3008">
              <w:rPr>
                <w:rStyle w:val="Hyperlink"/>
              </w:rPr>
              <w:t>Spain</w:t>
            </w:r>
            <w:r>
              <w:tab/>
            </w:r>
            <w:r>
              <w:fldChar w:fldCharType="begin"/>
            </w:r>
            <w:r>
              <w:instrText xml:space="preserve">PAGEREF _Toc771036576 \h</w:instrText>
            </w:r>
            <w:r>
              <w:fldChar w:fldCharType="separate"/>
            </w:r>
            <w:r w:rsidRPr="727F3008" w:rsidR="727F3008">
              <w:rPr>
                <w:rStyle w:val="Hyperlink"/>
              </w:rPr>
              <w:t>9</w:t>
            </w:r>
            <w:r>
              <w:fldChar w:fldCharType="end"/>
            </w:r>
          </w:hyperlink>
        </w:p>
        <w:p w:rsidR="727F3008" w:rsidP="727F3008" w:rsidRDefault="727F3008" w14:paraId="4386DD7A" w14:textId="01F9315F">
          <w:pPr>
            <w:pStyle w:val="TOC3"/>
            <w:tabs>
              <w:tab w:val="right" w:leader="dot" w:pos="9015"/>
            </w:tabs>
            <w:bidi w:val="0"/>
            <w:rPr>
              <w:rStyle w:val="Hyperlink"/>
            </w:rPr>
          </w:pPr>
          <w:hyperlink w:anchor="_Toc149179226">
            <w:r w:rsidRPr="727F3008" w:rsidR="727F3008">
              <w:rPr>
                <w:rStyle w:val="Hyperlink"/>
              </w:rPr>
              <w:t>South Korea</w:t>
            </w:r>
            <w:r>
              <w:tab/>
            </w:r>
            <w:r>
              <w:fldChar w:fldCharType="begin"/>
            </w:r>
            <w:r>
              <w:instrText xml:space="preserve">PAGEREF _Toc149179226 \h</w:instrText>
            </w:r>
            <w:r>
              <w:fldChar w:fldCharType="separate"/>
            </w:r>
            <w:r w:rsidRPr="727F3008" w:rsidR="727F3008">
              <w:rPr>
                <w:rStyle w:val="Hyperlink"/>
              </w:rPr>
              <w:t>9</w:t>
            </w:r>
            <w:r>
              <w:fldChar w:fldCharType="end"/>
            </w:r>
          </w:hyperlink>
        </w:p>
        <w:p w:rsidR="727F3008" w:rsidP="727F3008" w:rsidRDefault="727F3008" w14:paraId="209D00D4" w14:textId="50F495F8">
          <w:pPr>
            <w:pStyle w:val="TOC3"/>
            <w:tabs>
              <w:tab w:val="right" w:leader="dot" w:pos="9015"/>
            </w:tabs>
            <w:bidi w:val="0"/>
            <w:rPr>
              <w:rStyle w:val="Hyperlink"/>
            </w:rPr>
          </w:pPr>
          <w:hyperlink w:anchor="_Toc1451920191">
            <w:r w:rsidRPr="727F3008" w:rsidR="727F3008">
              <w:rPr>
                <w:rStyle w:val="Hyperlink"/>
              </w:rPr>
              <w:t>Canada</w:t>
            </w:r>
            <w:r>
              <w:tab/>
            </w:r>
            <w:r>
              <w:fldChar w:fldCharType="begin"/>
            </w:r>
            <w:r>
              <w:instrText xml:space="preserve">PAGEREF _Toc1451920191 \h</w:instrText>
            </w:r>
            <w:r>
              <w:fldChar w:fldCharType="separate"/>
            </w:r>
            <w:r w:rsidRPr="727F3008" w:rsidR="727F3008">
              <w:rPr>
                <w:rStyle w:val="Hyperlink"/>
              </w:rPr>
              <w:t>9</w:t>
            </w:r>
            <w:r>
              <w:fldChar w:fldCharType="end"/>
            </w:r>
          </w:hyperlink>
        </w:p>
        <w:p w:rsidR="727F3008" w:rsidP="727F3008" w:rsidRDefault="727F3008" w14:paraId="230014E5" w14:textId="18C96BA9">
          <w:pPr>
            <w:pStyle w:val="TOC3"/>
            <w:tabs>
              <w:tab w:val="right" w:leader="dot" w:pos="9015"/>
            </w:tabs>
            <w:bidi w:val="0"/>
            <w:rPr>
              <w:rStyle w:val="Hyperlink"/>
            </w:rPr>
          </w:pPr>
          <w:hyperlink w:anchor="_Toc842739784">
            <w:r w:rsidRPr="727F3008" w:rsidR="727F3008">
              <w:rPr>
                <w:rStyle w:val="Hyperlink"/>
              </w:rPr>
              <w:t>Lessons Learned</w:t>
            </w:r>
            <w:r>
              <w:tab/>
            </w:r>
            <w:r>
              <w:fldChar w:fldCharType="begin"/>
            </w:r>
            <w:r>
              <w:instrText xml:space="preserve">PAGEREF _Toc842739784 \h</w:instrText>
            </w:r>
            <w:r>
              <w:fldChar w:fldCharType="separate"/>
            </w:r>
            <w:r w:rsidRPr="727F3008" w:rsidR="727F3008">
              <w:rPr>
                <w:rStyle w:val="Hyperlink"/>
              </w:rPr>
              <w:t>9</w:t>
            </w:r>
            <w:r>
              <w:fldChar w:fldCharType="end"/>
            </w:r>
          </w:hyperlink>
        </w:p>
        <w:p w:rsidR="727F3008" w:rsidP="727F3008" w:rsidRDefault="727F3008" w14:paraId="7DF2F340" w14:textId="0920B2A8">
          <w:pPr>
            <w:pStyle w:val="TOC2"/>
            <w:tabs>
              <w:tab w:val="right" w:leader="dot" w:pos="9015"/>
            </w:tabs>
            <w:bidi w:val="0"/>
            <w:rPr>
              <w:rStyle w:val="Hyperlink"/>
            </w:rPr>
          </w:pPr>
          <w:hyperlink w:anchor="_Toc240479990">
            <w:r w:rsidRPr="727F3008" w:rsidR="727F3008">
              <w:rPr>
                <w:rStyle w:val="Hyperlink"/>
              </w:rPr>
              <w:t>Conclusions and Recommendations</w:t>
            </w:r>
            <w:r>
              <w:tab/>
            </w:r>
            <w:r>
              <w:fldChar w:fldCharType="begin"/>
            </w:r>
            <w:r>
              <w:instrText xml:space="preserve">PAGEREF _Toc240479990 \h</w:instrText>
            </w:r>
            <w:r>
              <w:fldChar w:fldCharType="separate"/>
            </w:r>
            <w:r w:rsidRPr="727F3008" w:rsidR="727F3008">
              <w:rPr>
                <w:rStyle w:val="Hyperlink"/>
              </w:rPr>
              <w:t>9</w:t>
            </w:r>
            <w:r>
              <w:fldChar w:fldCharType="end"/>
            </w:r>
          </w:hyperlink>
        </w:p>
        <w:p w:rsidR="727F3008" w:rsidP="727F3008" w:rsidRDefault="727F3008" w14:paraId="4BCAC3A5" w14:textId="1F4D7045">
          <w:pPr>
            <w:pStyle w:val="TOC3"/>
            <w:tabs>
              <w:tab w:val="right" w:leader="dot" w:pos="9015"/>
            </w:tabs>
            <w:bidi w:val="0"/>
            <w:rPr>
              <w:rStyle w:val="Hyperlink"/>
            </w:rPr>
          </w:pPr>
          <w:hyperlink w:anchor="_Toc59242735">
            <w:r w:rsidRPr="727F3008" w:rsidR="727F3008">
              <w:rPr>
                <w:rStyle w:val="Hyperlink"/>
              </w:rPr>
              <w:t>Conclusions</w:t>
            </w:r>
            <w:r>
              <w:tab/>
            </w:r>
            <w:r>
              <w:fldChar w:fldCharType="begin"/>
            </w:r>
            <w:r>
              <w:instrText xml:space="preserve">PAGEREF _Toc59242735 \h</w:instrText>
            </w:r>
            <w:r>
              <w:fldChar w:fldCharType="separate"/>
            </w:r>
            <w:r w:rsidRPr="727F3008" w:rsidR="727F3008">
              <w:rPr>
                <w:rStyle w:val="Hyperlink"/>
              </w:rPr>
              <w:t>9</w:t>
            </w:r>
            <w:r>
              <w:fldChar w:fldCharType="end"/>
            </w:r>
          </w:hyperlink>
        </w:p>
        <w:p w:rsidR="727F3008" w:rsidP="727F3008" w:rsidRDefault="727F3008" w14:paraId="60B8B634" w14:textId="401A7F18">
          <w:pPr>
            <w:pStyle w:val="TOC3"/>
            <w:tabs>
              <w:tab w:val="right" w:leader="dot" w:pos="9015"/>
            </w:tabs>
            <w:bidi w:val="0"/>
            <w:rPr>
              <w:rStyle w:val="Hyperlink"/>
            </w:rPr>
          </w:pPr>
          <w:hyperlink w:anchor="_Toc1739789858">
            <w:r w:rsidRPr="727F3008" w:rsidR="727F3008">
              <w:rPr>
                <w:rStyle w:val="Hyperlink"/>
              </w:rPr>
              <w:t>Recommendations</w:t>
            </w:r>
            <w:r>
              <w:tab/>
            </w:r>
            <w:r>
              <w:fldChar w:fldCharType="begin"/>
            </w:r>
            <w:r>
              <w:instrText xml:space="preserve">PAGEREF _Toc1739789858 \h</w:instrText>
            </w:r>
            <w:r>
              <w:fldChar w:fldCharType="separate"/>
            </w:r>
            <w:r w:rsidRPr="727F3008" w:rsidR="727F3008">
              <w:rPr>
                <w:rStyle w:val="Hyperlink"/>
              </w:rPr>
              <w:t>9</w:t>
            </w:r>
            <w:r>
              <w:fldChar w:fldCharType="end"/>
            </w:r>
          </w:hyperlink>
        </w:p>
        <w:p w:rsidR="727F3008" w:rsidP="727F3008" w:rsidRDefault="727F3008" w14:paraId="0469F414" w14:textId="63890CAC">
          <w:pPr>
            <w:pStyle w:val="TOC3"/>
            <w:tabs>
              <w:tab w:val="right" w:leader="dot" w:pos="9015"/>
            </w:tabs>
            <w:bidi w:val="0"/>
            <w:rPr>
              <w:rStyle w:val="Hyperlink"/>
            </w:rPr>
          </w:pPr>
          <w:hyperlink w:anchor="_Toc1173854987">
            <w:r w:rsidRPr="727F3008" w:rsidR="727F3008">
              <w:rPr>
                <w:rStyle w:val="Hyperlink"/>
              </w:rPr>
              <w:t>References</w:t>
            </w:r>
            <w:r>
              <w:tab/>
            </w:r>
            <w:r>
              <w:fldChar w:fldCharType="begin"/>
            </w:r>
            <w:r>
              <w:instrText xml:space="preserve">PAGEREF _Toc1173854987 \h</w:instrText>
            </w:r>
            <w:r>
              <w:fldChar w:fldCharType="separate"/>
            </w:r>
            <w:r w:rsidRPr="727F3008" w:rsidR="727F3008">
              <w:rPr>
                <w:rStyle w:val="Hyperlink"/>
              </w:rPr>
              <w:t>9</w:t>
            </w:r>
            <w:r>
              <w:fldChar w:fldCharType="end"/>
            </w:r>
          </w:hyperlink>
          <w:r>
            <w:fldChar w:fldCharType="end"/>
          </w:r>
        </w:p>
      </w:sdtContent>
    </w:sdt>
    <w:p w:rsidR="727F3008" w:rsidP="727F3008" w:rsidRDefault="727F3008" w14:paraId="7DB5F589" w14:textId="2387A08B">
      <w:pPr>
        <w:pStyle w:val="NoSpacing"/>
        <w:spacing w:line="360" w:lineRule="auto"/>
        <w:jc w:val="both"/>
        <w:rPr>
          <w:rFonts w:ascii="Arial" w:hAnsi="Arial" w:eastAsia="Arial" w:cs="Arial"/>
          <w:b w:val="0"/>
          <w:bCs w:val="0"/>
          <w:noProof w:val="0"/>
          <w:color w:val="000000" w:themeColor="text1" w:themeTint="FF" w:themeShade="FF"/>
          <w:sz w:val="22"/>
          <w:szCs w:val="22"/>
          <w:lang w:val="en-GB"/>
        </w:rPr>
      </w:pPr>
    </w:p>
    <w:p w:rsidR="0BEA3D16" w:rsidP="727F3008" w:rsidRDefault="0BEA3D16" w14:paraId="6587B01A" w14:textId="323FC8A5">
      <w:pPr>
        <w:pStyle w:val="Heading2"/>
        <w:spacing w:line="360" w:lineRule="auto"/>
        <w:jc w:val="both"/>
        <w:rPr>
          <w:rFonts w:ascii="Arial" w:hAnsi="Arial" w:eastAsia="Arial" w:cs="Arial"/>
          <w:b w:val="1"/>
          <w:bCs w:val="1"/>
          <w:noProof w:val="0"/>
          <w:color w:val="000000" w:themeColor="text1" w:themeTint="FF" w:themeShade="FF"/>
          <w:sz w:val="22"/>
          <w:szCs w:val="22"/>
          <w:lang w:val="en-GB"/>
        </w:rPr>
      </w:pPr>
      <w:bookmarkStart w:name="_Toc1262506530" w:id="115760369"/>
      <w:r w:rsidRPr="727F3008" w:rsidR="0BEA3D16">
        <w:rPr>
          <w:rFonts w:ascii="Arial" w:hAnsi="Arial" w:eastAsia="Arial" w:cs="Arial"/>
          <w:b w:val="1"/>
          <w:bCs w:val="1"/>
          <w:noProof w:val="0"/>
          <w:color w:val="000000" w:themeColor="text1" w:themeTint="FF" w:themeShade="FF"/>
          <w:sz w:val="22"/>
          <w:szCs w:val="22"/>
          <w:lang w:val="en-GB"/>
        </w:rPr>
        <w:t>Introduction</w:t>
      </w:r>
      <w:bookmarkEnd w:id="115760369"/>
    </w:p>
    <w:p w:rsidR="0BEA3D16" w:rsidP="727F3008" w:rsidRDefault="0BEA3D16" w14:paraId="6F78ADC1" w14:textId="51E6091E">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0BEA3D16">
        <w:rPr>
          <w:rFonts w:ascii="Arial" w:hAnsi="Arial" w:eastAsia="Arial" w:cs="Arial"/>
          <w:noProof w:val="0"/>
          <w:color w:val="000000" w:themeColor="text1" w:themeTint="FF" w:themeShade="FF"/>
          <w:sz w:val="22"/>
          <w:szCs w:val="22"/>
          <w:lang w:val="en-GB"/>
        </w:rPr>
        <w:t xml:space="preserve">The COVID-19 pandemic </w:t>
      </w:r>
      <w:r w:rsidRPr="727F3008" w:rsidR="0BEA3D16">
        <w:rPr>
          <w:rFonts w:ascii="Arial" w:hAnsi="Arial" w:eastAsia="Arial" w:cs="Arial"/>
          <w:noProof w:val="0"/>
          <w:color w:val="000000" w:themeColor="text1" w:themeTint="FF" w:themeShade="FF"/>
          <w:sz w:val="22"/>
          <w:szCs w:val="22"/>
          <w:lang w:val="en-GB"/>
        </w:rPr>
        <w:t>emerged</w:t>
      </w:r>
      <w:r w:rsidRPr="727F3008" w:rsidR="0BEA3D16">
        <w:rPr>
          <w:rFonts w:ascii="Arial" w:hAnsi="Arial" w:eastAsia="Arial" w:cs="Arial"/>
          <w:noProof w:val="0"/>
          <w:color w:val="000000" w:themeColor="text1" w:themeTint="FF" w:themeShade="FF"/>
          <w:sz w:val="22"/>
          <w:szCs w:val="22"/>
          <w:lang w:val="en-GB"/>
        </w:rPr>
        <w:t xml:space="preserve"> as an unprecedented global health crisis, challenging the resilience of health systems, testing governance structures, and demanding effective leadership across the world. The virus spread rapidly, overwhelming hospitals, disrupting social services, and creating profound socio-economic impacts. Governments </w:t>
      </w:r>
      <w:r w:rsidRPr="727F3008" w:rsidR="0BEA3D16">
        <w:rPr>
          <w:rFonts w:ascii="Arial" w:hAnsi="Arial" w:eastAsia="Arial" w:cs="Arial"/>
          <w:noProof w:val="0"/>
          <w:color w:val="000000" w:themeColor="text1" w:themeTint="FF" w:themeShade="FF"/>
          <w:sz w:val="22"/>
          <w:szCs w:val="22"/>
          <w:lang w:val="en-GB"/>
        </w:rPr>
        <w:t>were required</w:t>
      </w:r>
      <w:r w:rsidRPr="727F3008" w:rsidR="0BEA3D16">
        <w:rPr>
          <w:rFonts w:ascii="Arial" w:hAnsi="Arial" w:eastAsia="Arial" w:cs="Arial"/>
          <w:noProof w:val="0"/>
          <w:color w:val="000000" w:themeColor="text1" w:themeTint="FF" w:themeShade="FF"/>
          <w:sz w:val="22"/>
          <w:szCs w:val="22"/>
          <w:lang w:val="en-GB"/>
        </w:rPr>
        <w:t xml:space="preserve"> to respond swiftly, balancing public health priorities with economic considerations, and implementing interventions that ranged from lockdowns to mass vaccination campaigns. The pandemic has highlighted the centrality of leadership in public health emergencies, </w:t>
      </w:r>
      <w:r w:rsidRPr="727F3008" w:rsidR="0BEA3D16">
        <w:rPr>
          <w:rFonts w:ascii="Arial" w:hAnsi="Arial" w:eastAsia="Arial" w:cs="Arial"/>
          <w:noProof w:val="0"/>
          <w:color w:val="000000" w:themeColor="text1" w:themeTint="FF" w:themeShade="FF"/>
          <w:sz w:val="22"/>
          <w:szCs w:val="22"/>
          <w:lang w:val="en-GB"/>
        </w:rPr>
        <w:t>demonstrating</w:t>
      </w:r>
      <w:r w:rsidRPr="727F3008" w:rsidR="0BEA3D16">
        <w:rPr>
          <w:rFonts w:ascii="Arial" w:hAnsi="Arial" w:eastAsia="Arial" w:cs="Arial"/>
          <w:noProof w:val="0"/>
          <w:color w:val="000000" w:themeColor="text1" w:themeTint="FF" w:themeShade="FF"/>
          <w:sz w:val="22"/>
          <w:szCs w:val="22"/>
          <w:lang w:val="en-GB"/>
        </w:rPr>
        <w:t xml:space="preserve"> that the capacity of a health system to respond effectively is </w:t>
      </w:r>
      <w:r w:rsidRPr="727F3008" w:rsidR="0BEA3D16">
        <w:rPr>
          <w:rFonts w:ascii="Arial" w:hAnsi="Arial" w:eastAsia="Arial" w:cs="Arial"/>
          <w:noProof w:val="0"/>
          <w:color w:val="000000" w:themeColor="text1" w:themeTint="FF" w:themeShade="FF"/>
          <w:sz w:val="22"/>
          <w:szCs w:val="22"/>
          <w:lang w:val="en-GB"/>
        </w:rPr>
        <w:t>closely linked</w:t>
      </w:r>
      <w:r w:rsidRPr="727F3008" w:rsidR="0BEA3D16">
        <w:rPr>
          <w:rFonts w:ascii="Arial" w:hAnsi="Arial" w:eastAsia="Arial" w:cs="Arial"/>
          <w:noProof w:val="0"/>
          <w:color w:val="000000" w:themeColor="text1" w:themeTint="FF" w:themeShade="FF"/>
          <w:sz w:val="22"/>
          <w:szCs w:val="22"/>
          <w:lang w:val="en-GB"/>
        </w:rPr>
        <w:t xml:space="preserve"> to the decisions and strategies of those in leadership positions.</w:t>
      </w:r>
    </w:p>
    <w:p w:rsidR="0BEA3D16" w:rsidP="727F3008" w:rsidRDefault="0BEA3D16" w14:paraId="050C5BFD" w14:textId="3042897B">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0BEA3D16">
        <w:rPr>
          <w:rFonts w:ascii="Arial" w:hAnsi="Arial" w:eastAsia="Arial" w:cs="Arial"/>
          <w:noProof w:val="0"/>
          <w:color w:val="000000" w:themeColor="text1" w:themeTint="FF" w:themeShade="FF"/>
          <w:sz w:val="22"/>
          <w:szCs w:val="22"/>
          <w:lang w:val="en-GB"/>
        </w:rPr>
        <w:t xml:space="preserve">The organisation of health systems varies </w:t>
      </w:r>
      <w:r w:rsidRPr="727F3008" w:rsidR="0BEA3D16">
        <w:rPr>
          <w:rFonts w:ascii="Arial" w:hAnsi="Arial" w:eastAsia="Arial" w:cs="Arial"/>
          <w:noProof w:val="0"/>
          <w:color w:val="000000" w:themeColor="text1" w:themeTint="FF" w:themeShade="FF"/>
          <w:sz w:val="22"/>
          <w:szCs w:val="22"/>
          <w:lang w:val="en-GB"/>
        </w:rPr>
        <w:t>considerably across</w:t>
      </w:r>
      <w:r w:rsidRPr="727F3008" w:rsidR="0BEA3D16">
        <w:rPr>
          <w:rFonts w:ascii="Arial" w:hAnsi="Arial" w:eastAsia="Arial" w:cs="Arial"/>
          <w:noProof w:val="0"/>
          <w:color w:val="000000" w:themeColor="text1" w:themeTint="FF" w:themeShade="FF"/>
          <w:sz w:val="22"/>
          <w:szCs w:val="22"/>
          <w:lang w:val="en-GB"/>
        </w:rPr>
        <w:t xml:space="preserve"> countries, shaped by factors such as political structure, decentralisation of authority, and pre-existing public health infrastructure. In Spain, the health system is </w:t>
      </w:r>
      <w:r w:rsidRPr="727F3008" w:rsidR="0BEA3D16">
        <w:rPr>
          <w:rFonts w:ascii="Arial" w:hAnsi="Arial" w:eastAsia="Arial" w:cs="Arial"/>
          <w:noProof w:val="0"/>
          <w:color w:val="000000" w:themeColor="text1" w:themeTint="FF" w:themeShade="FF"/>
          <w:sz w:val="22"/>
          <w:szCs w:val="22"/>
          <w:lang w:val="en-GB"/>
        </w:rPr>
        <w:t>largely decentralised</w:t>
      </w:r>
      <w:r w:rsidRPr="727F3008" w:rsidR="0BEA3D16">
        <w:rPr>
          <w:rFonts w:ascii="Arial" w:hAnsi="Arial" w:eastAsia="Arial" w:cs="Arial"/>
          <w:noProof w:val="0"/>
          <w:color w:val="000000" w:themeColor="text1" w:themeTint="FF" w:themeShade="FF"/>
          <w:sz w:val="22"/>
          <w:szCs w:val="22"/>
          <w:lang w:val="en-GB"/>
        </w:rPr>
        <w:t xml:space="preserve">, with autonomous regions responsible for delivering healthcare, yet with centralised oversight during emergencies. This arrangement initially complicated coordinated responses during the first wave of the pandemic but later allowed for effective vaccination rollouts (Blanco, </w:t>
      </w:r>
      <w:r w:rsidRPr="727F3008" w:rsidR="0BEA3D16">
        <w:rPr>
          <w:rFonts w:ascii="Arial" w:hAnsi="Arial" w:eastAsia="Arial" w:cs="Arial"/>
          <w:noProof w:val="0"/>
          <w:color w:val="000000" w:themeColor="text1" w:themeTint="FF" w:themeShade="FF"/>
          <w:sz w:val="22"/>
          <w:szCs w:val="22"/>
          <w:lang w:val="en-GB"/>
        </w:rPr>
        <w:t>Gázquez</w:t>
      </w:r>
      <w:r w:rsidRPr="727F3008" w:rsidR="0BEA3D16">
        <w:rPr>
          <w:rFonts w:ascii="Arial" w:hAnsi="Arial" w:eastAsia="Arial" w:cs="Arial"/>
          <w:noProof w:val="0"/>
          <w:color w:val="000000" w:themeColor="text1" w:themeTint="FF" w:themeShade="FF"/>
          <w:sz w:val="22"/>
          <w:szCs w:val="22"/>
          <w:lang w:val="en-GB"/>
        </w:rPr>
        <w:t xml:space="preserve"> and Leal, 2020; </w:t>
      </w:r>
      <w:r w:rsidRPr="727F3008" w:rsidR="0BEA3D16">
        <w:rPr>
          <w:rFonts w:ascii="Arial" w:hAnsi="Arial" w:eastAsia="Arial" w:cs="Arial"/>
          <w:noProof w:val="0"/>
          <w:color w:val="000000" w:themeColor="text1" w:themeTint="FF" w:themeShade="FF"/>
          <w:sz w:val="22"/>
          <w:szCs w:val="22"/>
          <w:lang w:val="en-GB"/>
        </w:rPr>
        <w:t>Erkoreka</w:t>
      </w:r>
      <w:r w:rsidRPr="727F3008" w:rsidR="0BEA3D16">
        <w:rPr>
          <w:rFonts w:ascii="Arial" w:hAnsi="Arial" w:eastAsia="Arial" w:cs="Arial"/>
          <w:noProof w:val="0"/>
          <w:color w:val="000000" w:themeColor="text1" w:themeTint="FF" w:themeShade="FF"/>
          <w:sz w:val="22"/>
          <w:szCs w:val="22"/>
          <w:lang w:val="en-GB"/>
        </w:rPr>
        <w:t xml:space="preserve">, 2022). In contrast, South Korea exemplifies a highly centralised, integrated approach, in which national authorities collaborated closely with public health institutions to implement testing, contact tracing, and public communication measures (Hong, 2024; National Response to COVID-19 in the Republic of Korea and Lessons Learned for Other Countries, 2020). Canada, as a federal country, </w:t>
      </w:r>
      <w:r w:rsidRPr="727F3008" w:rsidR="0BEA3D16">
        <w:rPr>
          <w:rFonts w:ascii="Arial" w:hAnsi="Arial" w:eastAsia="Arial" w:cs="Arial"/>
          <w:noProof w:val="0"/>
          <w:color w:val="000000" w:themeColor="text1" w:themeTint="FF" w:themeShade="FF"/>
          <w:sz w:val="22"/>
          <w:szCs w:val="22"/>
          <w:lang w:val="en-GB"/>
        </w:rPr>
        <w:t>demonstrates</w:t>
      </w:r>
      <w:r w:rsidRPr="727F3008" w:rsidR="0BEA3D16">
        <w:rPr>
          <w:rFonts w:ascii="Arial" w:hAnsi="Arial" w:eastAsia="Arial" w:cs="Arial"/>
          <w:noProof w:val="0"/>
          <w:color w:val="000000" w:themeColor="text1" w:themeTint="FF" w:themeShade="FF"/>
          <w:sz w:val="22"/>
          <w:szCs w:val="22"/>
          <w:lang w:val="en-GB"/>
        </w:rPr>
        <w:t xml:space="preserve"> a hybrid model, where the federal government </w:t>
      </w:r>
      <w:r w:rsidRPr="727F3008" w:rsidR="0BEA3D16">
        <w:rPr>
          <w:rFonts w:ascii="Arial" w:hAnsi="Arial" w:eastAsia="Arial" w:cs="Arial"/>
          <w:noProof w:val="0"/>
          <w:color w:val="000000" w:themeColor="text1" w:themeTint="FF" w:themeShade="FF"/>
          <w:sz w:val="22"/>
          <w:szCs w:val="22"/>
          <w:lang w:val="en-GB"/>
        </w:rPr>
        <w:t>provides</w:t>
      </w:r>
      <w:r w:rsidRPr="727F3008" w:rsidR="0BEA3D16">
        <w:rPr>
          <w:rFonts w:ascii="Arial" w:hAnsi="Arial" w:eastAsia="Arial" w:cs="Arial"/>
          <w:noProof w:val="0"/>
          <w:color w:val="000000" w:themeColor="text1" w:themeTint="FF" w:themeShade="FF"/>
          <w:sz w:val="22"/>
          <w:szCs w:val="22"/>
          <w:lang w:val="en-GB"/>
        </w:rPr>
        <w:t xml:space="preserve"> overarching guidance, but provinces and territories </w:t>
      </w:r>
      <w:r w:rsidRPr="727F3008" w:rsidR="0BEA3D16">
        <w:rPr>
          <w:rFonts w:ascii="Arial" w:hAnsi="Arial" w:eastAsia="Arial" w:cs="Arial"/>
          <w:noProof w:val="0"/>
          <w:color w:val="000000" w:themeColor="text1" w:themeTint="FF" w:themeShade="FF"/>
          <w:sz w:val="22"/>
          <w:szCs w:val="22"/>
          <w:lang w:val="en-GB"/>
        </w:rPr>
        <w:t>retain</w:t>
      </w:r>
      <w:r w:rsidRPr="727F3008" w:rsidR="0BEA3D16">
        <w:rPr>
          <w:rFonts w:ascii="Arial" w:hAnsi="Arial" w:eastAsia="Arial" w:cs="Arial"/>
          <w:noProof w:val="0"/>
          <w:color w:val="000000" w:themeColor="text1" w:themeTint="FF" w:themeShade="FF"/>
          <w:sz w:val="22"/>
          <w:szCs w:val="22"/>
          <w:lang w:val="en-GB"/>
        </w:rPr>
        <w:t xml:space="preserve"> responsibility for public health delivery, leading to variability in responses and outcomes across regions (Allin et al., 2022; </w:t>
      </w:r>
      <w:r w:rsidRPr="727F3008" w:rsidR="0BEA3D16">
        <w:rPr>
          <w:rFonts w:ascii="Arial" w:hAnsi="Arial" w:eastAsia="Arial" w:cs="Arial"/>
          <w:noProof w:val="0"/>
          <w:color w:val="000000" w:themeColor="text1" w:themeTint="FF" w:themeShade="FF"/>
          <w:sz w:val="22"/>
          <w:szCs w:val="22"/>
          <w:lang w:val="en-GB"/>
        </w:rPr>
        <w:t>Broschek</w:t>
      </w:r>
      <w:r w:rsidRPr="727F3008" w:rsidR="0BEA3D16">
        <w:rPr>
          <w:rFonts w:ascii="Arial" w:hAnsi="Arial" w:eastAsia="Arial" w:cs="Arial"/>
          <w:noProof w:val="0"/>
          <w:color w:val="000000" w:themeColor="text1" w:themeTint="FF" w:themeShade="FF"/>
          <w:sz w:val="22"/>
          <w:szCs w:val="22"/>
          <w:lang w:val="en-GB"/>
        </w:rPr>
        <w:t>, 2022).</w:t>
      </w:r>
    </w:p>
    <w:p w:rsidR="0BEA3D16" w:rsidP="727F3008" w:rsidRDefault="0BEA3D16" w14:paraId="431E945D" w14:textId="05B43AE9">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0BEA3D16">
        <w:rPr>
          <w:rFonts w:ascii="Arial" w:hAnsi="Arial" w:eastAsia="Arial" w:cs="Arial"/>
          <w:noProof w:val="0"/>
          <w:color w:val="000000" w:themeColor="text1" w:themeTint="FF" w:themeShade="FF"/>
          <w:sz w:val="22"/>
          <w:szCs w:val="22"/>
          <w:lang w:val="en-GB"/>
        </w:rPr>
        <w:t>Leadership during the pandemic was pivotal in shaping outcomes, influencing not only policy implementation but also public compliance and trust. In Spain, Minister of Health Salvador Illa faced criticism for delayed initial action, yet the country achieved notable success in its vaccination strategy, positioning it as a European leader in vaccine coverage (Royo, 2020; Odone et al., 2021). South Korea’s Prime Minister Chung Sye-</w:t>
      </w:r>
      <w:r w:rsidRPr="727F3008" w:rsidR="0BEA3D16">
        <w:rPr>
          <w:rFonts w:ascii="Arial" w:hAnsi="Arial" w:eastAsia="Arial" w:cs="Arial"/>
          <w:noProof w:val="0"/>
          <w:color w:val="000000" w:themeColor="text1" w:themeTint="FF" w:themeShade="FF"/>
          <w:sz w:val="22"/>
          <w:szCs w:val="22"/>
          <w:lang w:val="en-GB"/>
        </w:rPr>
        <w:t>kyun</w:t>
      </w:r>
      <w:r w:rsidRPr="727F3008" w:rsidR="0BEA3D16">
        <w:rPr>
          <w:rFonts w:ascii="Arial" w:hAnsi="Arial" w:eastAsia="Arial" w:cs="Arial"/>
          <w:noProof w:val="0"/>
          <w:color w:val="000000" w:themeColor="text1" w:themeTint="FF" w:themeShade="FF"/>
          <w:sz w:val="22"/>
          <w:szCs w:val="22"/>
          <w:lang w:val="en-GB"/>
        </w:rPr>
        <w:t xml:space="preserve"> adopted a transparent and inclusive leadership style, </w:t>
      </w:r>
      <w:r w:rsidRPr="727F3008" w:rsidR="0BEA3D16">
        <w:rPr>
          <w:rFonts w:ascii="Arial" w:hAnsi="Arial" w:eastAsia="Arial" w:cs="Arial"/>
          <w:noProof w:val="0"/>
          <w:color w:val="000000" w:themeColor="text1" w:themeTint="FF" w:themeShade="FF"/>
          <w:sz w:val="22"/>
          <w:szCs w:val="22"/>
          <w:lang w:val="en-GB"/>
        </w:rPr>
        <w:t>facilitating</w:t>
      </w:r>
      <w:r w:rsidRPr="727F3008" w:rsidR="0BEA3D16">
        <w:rPr>
          <w:rFonts w:ascii="Arial" w:hAnsi="Arial" w:eastAsia="Arial" w:cs="Arial"/>
          <w:noProof w:val="0"/>
          <w:color w:val="000000" w:themeColor="text1" w:themeTint="FF" w:themeShade="FF"/>
          <w:sz w:val="22"/>
          <w:szCs w:val="22"/>
          <w:lang w:val="en-GB"/>
        </w:rPr>
        <w:t xml:space="preserve"> coordinated action across government agencies and </w:t>
      </w:r>
      <w:r w:rsidRPr="727F3008" w:rsidR="0BEA3D16">
        <w:rPr>
          <w:rFonts w:ascii="Arial" w:hAnsi="Arial" w:eastAsia="Arial" w:cs="Arial"/>
          <w:noProof w:val="0"/>
          <w:color w:val="000000" w:themeColor="text1" w:themeTint="FF" w:themeShade="FF"/>
          <w:sz w:val="22"/>
          <w:szCs w:val="22"/>
          <w:lang w:val="en-GB"/>
        </w:rPr>
        <w:t>maintaining</w:t>
      </w:r>
      <w:r w:rsidRPr="727F3008" w:rsidR="0BEA3D16">
        <w:rPr>
          <w:rFonts w:ascii="Arial" w:hAnsi="Arial" w:eastAsia="Arial" w:cs="Arial"/>
          <w:noProof w:val="0"/>
          <w:color w:val="000000" w:themeColor="text1" w:themeTint="FF" w:themeShade="FF"/>
          <w:sz w:val="22"/>
          <w:szCs w:val="22"/>
          <w:lang w:val="en-GB"/>
        </w:rPr>
        <w:t xml:space="preserve"> public confidence (ICNL, 2024a; Cho et al., 2020). In Canada, Prime Minister Justin Trudeau exercised unifying leadership in a decentralised federal context, navigating complex intergovernmental relations to implement vaccination programs, albeit with initial delays in distribution (Public Health Agency of Canada, 2023; Hertelendy et al., 2022). Understanding these leadership approaches through theoretical frameworks, including transformational, transactional, and situational leadership models, is essential for evaluating their effectiveness during crisis management (Rameshan and Obregon, 2024).</w:t>
      </w:r>
    </w:p>
    <w:p w:rsidR="0BEA3D16" w:rsidP="727F3008" w:rsidRDefault="0BEA3D16" w14:paraId="5DF2E1A7" w14:textId="2F33E1F5">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0BEA3D16">
        <w:rPr>
          <w:rFonts w:ascii="Arial" w:hAnsi="Arial" w:eastAsia="Arial" w:cs="Arial"/>
          <w:noProof w:val="0"/>
          <w:color w:val="000000" w:themeColor="text1" w:themeTint="FF" w:themeShade="FF"/>
          <w:sz w:val="22"/>
          <w:szCs w:val="22"/>
          <w:lang w:val="en-GB"/>
        </w:rPr>
        <w:t xml:space="preserve">The primary objective of this report is to conduct a comparative analysis of the COVID-19 responses in Spain, South Korea, and Canada, focusing on the interplay between health system organisation, centralisation versus decentralisation, and leadership strategies. This study aims to elucidate how leadership shaped the structuring and functioning of health systems during the pandemic, and to identify lessons that can inform future public health crises. By integrating systems thinking and health policy analysis, the report evaluates the successes and challenges of each country’s response, </w:t>
      </w:r>
      <w:r w:rsidRPr="727F3008" w:rsidR="0BEA3D16">
        <w:rPr>
          <w:rFonts w:ascii="Arial" w:hAnsi="Arial" w:eastAsia="Arial" w:cs="Arial"/>
          <w:noProof w:val="0"/>
          <w:color w:val="000000" w:themeColor="text1" w:themeTint="FF" w:themeShade="FF"/>
          <w:sz w:val="22"/>
          <w:szCs w:val="22"/>
          <w:lang w:val="en-GB"/>
        </w:rPr>
        <w:t>providing</w:t>
      </w:r>
      <w:r w:rsidRPr="727F3008" w:rsidR="0BEA3D16">
        <w:rPr>
          <w:rFonts w:ascii="Arial" w:hAnsi="Arial" w:eastAsia="Arial" w:cs="Arial"/>
          <w:noProof w:val="0"/>
          <w:color w:val="000000" w:themeColor="text1" w:themeTint="FF" w:themeShade="FF"/>
          <w:sz w:val="22"/>
          <w:szCs w:val="22"/>
          <w:lang w:val="en-GB"/>
        </w:rPr>
        <w:t xml:space="preserve"> evidence-based insights into the role of leadership in enhancing public health outcomes.</w:t>
      </w:r>
    </w:p>
    <w:p w:rsidR="0BEA3D16" w:rsidP="727F3008" w:rsidRDefault="0BEA3D16" w14:paraId="3EB76A48" w14:textId="6B0DDA1F">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0BEA3D16">
        <w:rPr>
          <w:rFonts w:ascii="Arial" w:hAnsi="Arial" w:eastAsia="Arial" w:cs="Arial"/>
          <w:noProof w:val="0"/>
          <w:color w:val="000000" w:themeColor="text1" w:themeTint="FF" w:themeShade="FF"/>
          <w:sz w:val="22"/>
          <w:szCs w:val="22"/>
          <w:lang w:val="en-GB"/>
        </w:rPr>
        <w:t>This comparative case study is significant for several reasons. Firstly, it addresses the critical need to understand how different governance structures influence pandemic management. Secondly, it explores the practical application of leadership theory in real-world health crises, highlighting the mechanisms through which leaders can impact system efficiency and population health outcomes. Finally, the report contributes to the broader discourse on global health security, offering recommendations for improving preparedness, coordination, and leadership capacity in future public health emergencies (WHO, 2020; OECD, 2021).</w:t>
      </w:r>
    </w:p>
    <w:p w:rsidR="1A754A47" w:rsidP="727F3008" w:rsidRDefault="1A754A47" w14:paraId="2C17B04E" w14:textId="236E6B20">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681019595" w:id="2112932519"/>
      <w:r w:rsidRPr="727F3008" w:rsidR="1A754A47">
        <w:rPr>
          <w:rFonts w:ascii="Arial" w:hAnsi="Arial" w:eastAsia="Arial" w:cs="Arial"/>
          <w:b w:val="1"/>
          <w:bCs w:val="1"/>
          <w:noProof w:val="0"/>
          <w:color w:val="000000" w:themeColor="text1" w:themeTint="FF" w:themeShade="FF"/>
          <w:sz w:val="22"/>
          <w:szCs w:val="22"/>
          <w:lang w:val="en-GB"/>
        </w:rPr>
        <w:t>Leadership Theories and Application in Pandemic Response</w:t>
      </w:r>
      <w:bookmarkEnd w:id="2112932519"/>
    </w:p>
    <w:p w:rsidR="1A754A47" w:rsidP="727F3008" w:rsidRDefault="1A754A47" w14:paraId="5C32599E" w14:textId="419F2EFF">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1A754A47">
        <w:rPr>
          <w:rFonts w:ascii="Arial" w:hAnsi="Arial" w:eastAsia="Arial" w:cs="Arial"/>
          <w:noProof w:val="0"/>
          <w:color w:val="000000" w:themeColor="text1" w:themeTint="FF" w:themeShade="FF"/>
          <w:sz w:val="22"/>
          <w:szCs w:val="22"/>
          <w:lang w:val="en-GB"/>
        </w:rPr>
        <w:t>Leadership during the COVID-19 pandemic was a decisive factor in shaping health system responses, public compliance, and overall outcomes. Applying leadership theory to the actions of key figures in Spain, South Korea, and Canada provides insight into how theoretical frameworks translate into practical effectiveness during a public health crisis.</w:t>
      </w:r>
    </w:p>
    <w:p w:rsidR="1A754A47" w:rsidP="727F3008" w:rsidRDefault="1A754A47" w14:paraId="6D4DDB30" w14:textId="369DCBFF">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407201947" w:id="1430154337"/>
      <w:r w:rsidRPr="727F3008" w:rsidR="1A754A47">
        <w:rPr>
          <w:rFonts w:ascii="Arial" w:hAnsi="Arial" w:eastAsia="Arial" w:cs="Arial"/>
          <w:b w:val="1"/>
          <w:bCs w:val="1"/>
          <w:noProof w:val="0"/>
          <w:color w:val="000000" w:themeColor="text1" w:themeTint="FF" w:themeShade="FF"/>
          <w:sz w:val="22"/>
          <w:szCs w:val="22"/>
          <w:lang w:val="en-GB"/>
        </w:rPr>
        <w:t>Transformational Leadership</w:t>
      </w:r>
      <w:bookmarkEnd w:id="1430154337"/>
    </w:p>
    <w:p w:rsidR="1A754A47" w:rsidP="727F3008" w:rsidRDefault="1A754A47" w14:paraId="1FA0BCC6" w14:textId="4D36F2E9">
      <w:pPr>
        <w:spacing w:before="240" w:beforeAutospacing="off" w:after="240" w:afterAutospacing="off" w:line="360" w:lineRule="auto"/>
        <w:jc w:val="both"/>
        <w:rPr>
          <w:rFonts w:ascii="Arial" w:hAnsi="Arial" w:eastAsia="Arial" w:cs="Arial"/>
          <w:b w:val="1"/>
          <w:bCs w:val="1"/>
          <w:noProof w:val="0"/>
          <w:color w:val="000000" w:themeColor="text1" w:themeTint="FF" w:themeShade="FF"/>
          <w:sz w:val="22"/>
          <w:szCs w:val="22"/>
          <w:lang w:val="en-GB"/>
        </w:rPr>
      </w:pPr>
      <w:r w:rsidRPr="727F3008" w:rsidR="1A754A47">
        <w:rPr>
          <w:rFonts w:ascii="Arial" w:hAnsi="Arial" w:eastAsia="Arial" w:cs="Arial"/>
          <w:noProof w:val="0"/>
          <w:color w:val="000000" w:themeColor="text1" w:themeTint="FF" w:themeShade="FF"/>
          <w:sz w:val="22"/>
          <w:szCs w:val="22"/>
          <w:lang w:val="en-GB"/>
        </w:rPr>
        <w:t xml:space="preserve">Transformational leadership, which emphasizes vision, inspiration, and motivating stakeholders to achieve collective goals, was </w:t>
      </w:r>
      <w:r w:rsidRPr="727F3008" w:rsidR="1A754A47">
        <w:rPr>
          <w:rFonts w:ascii="Arial" w:hAnsi="Arial" w:eastAsia="Arial" w:cs="Arial"/>
          <w:noProof w:val="0"/>
          <w:color w:val="000000" w:themeColor="text1" w:themeTint="FF" w:themeShade="FF"/>
          <w:sz w:val="22"/>
          <w:szCs w:val="22"/>
          <w:lang w:val="en-GB"/>
        </w:rPr>
        <w:t>evident</w:t>
      </w:r>
      <w:r w:rsidRPr="727F3008" w:rsidR="1A754A47">
        <w:rPr>
          <w:rFonts w:ascii="Arial" w:hAnsi="Arial" w:eastAsia="Arial" w:cs="Arial"/>
          <w:noProof w:val="0"/>
          <w:color w:val="000000" w:themeColor="text1" w:themeTint="FF" w:themeShade="FF"/>
          <w:sz w:val="22"/>
          <w:szCs w:val="22"/>
          <w:lang w:val="en-GB"/>
        </w:rPr>
        <w:t xml:space="preserve"> in South Korea’s pandemic response. Prime Minister Chung Sye-</w:t>
      </w:r>
      <w:r w:rsidRPr="727F3008" w:rsidR="1A754A47">
        <w:rPr>
          <w:rFonts w:ascii="Arial" w:hAnsi="Arial" w:eastAsia="Arial" w:cs="Arial"/>
          <w:noProof w:val="0"/>
          <w:color w:val="000000" w:themeColor="text1" w:themeTint="FF" w:themeShade="FF"/>
          <w:sz w:val="22"/>
          <w:szCs w:val="22"/>
          <w:lang w:val="en-GB"/>
        </w:rPr>
        <w:t>kyun</w:t>
      </w:r>
      <w:r w:rsidRPr="727F3008" w:rsidR="1A754A47">
        <w:rPr>
          <w:rFonts w:ascii="Arial" w:hAnsi="Arial" w:eastAsia="Arial" w:cs="Arial"/>
          <w:noProof w:val="0"/>
          <w:color w:val="000000" w:themeColor="text1" w:themeTint="FF" w:themeShade="FF"/>
          <w:sz w:val="22"/>
          <w:szCs w:val="22"/>
          <w:lang w:val="en-GB"/>
        </w:rPr>
        <w:t xml:space="preserve"> demonstrated transformational leadership by fostering transparency, encouraging civic responsibility, and integrating multi-sectoral collaboration between government agencies, healthcare institutions, and civil society (Hong, 2024; ICNL, 2024a). By clearly communicating the national strategy and reinforcing the collective goal of containment, South Korea achieved high compliance with social distancing, mask mandates, and vaccine uptake (Cho et al., 2020; Yoon et al., 2020). This approach reflects Bass’s (1990) assertion that transformational leaders enhance organisational effectiveness by creating trust and shared purpose, which is critical in crisis scenarios where rapid behaviour change is </w:t>
      </w:r>
      <w:r w:rsidRPr="727F3008" w:rsidR="1A754A47">
        <w:rPr>
          <w:rFonts w:ascii="Arial" w:hAnsi="Arial" w:eastAsia="Arial" w:cs="Arial"/>
          <w:noProof w:val="0"/>
          <w:color w:val="000000" w:themeColor="text1" w:themeTint="FF" w:themeShade="FF"/>
          <w:sz w:val="22"/>
          <w:szCs w:val="22"/>
          <w:lang w:val="en-GB"/>
        </w:rPr>
        <w:t>required</w:t>
      </w:r>
      <w:r w:rsidRPr="727F3008" w:rsidR="1A754A47">
        <w:rPr>
          <w:rFonts w:ascii="Arial" w:hAnsi="Arial" w:eastAsia="Arial" w:cs="Arial"/>
          <w:noProof w:val="0"/>
          <w:color w:val="000000" w:themeColor="text1" w:themeTint="FF" w:themeShade="FF"/>
          <w:sz w:val="22"/>
          <w:szCs w:val="22"/>
          <w:lang w:val="en-GB"/>
        </w:rPr>
        <w:t>.</w:t>
      </w:r>
    </w:p>
    <w:p w:rsidR="1A754A47" w:rsidP="727F3008" w:rsidRDefault="1A754A47" w14:paraId="2E40EFE1" w14:textId="262035DB">
      <w:pPr>
        <w:spacing w:before="240" w:beforeAutospacing="off" w:after="240"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1052207080" w:id="517036267"/>
      <w:r w:rsidRPr="727F3008" w:rsidR="1A754A47">
        <w:rPr>
          <w:rFonts w:ascii="Arial" w:hAnsi="Arial" w:eastAsia="Arial" w:cs="Arial"/>
          <w:b w:val="1"/>
          <w:bCs w:val="1"/>
          <w:noProof w:val="0"/>
          <w:color w:val="000000" w:themeColor="text1" w:themeTint="FF" w:themeShade="FF"/>
          <w:sz w:val="22"/>
          <w:szCs w:val="22"/>
          <w:lang w:val="en-GB"/>
        </w:rPr>
        <w:t>Situational and Adaptive Leadership</w:t>
      </w:r>
      <w:bookmarkEnd w:id="517036267"/>
    </w:p>
    <w:p w:rsidR="1A754A47" w:rsidP="727F3008" w:rsidRDefault="1A754A47" w14:paraId="241EA18F" w14:textId="71E68303">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1A754A47">
        <w:rPr>
          <w:rFonts w:ascii="Arial" w:hAnsi="Arial" w:eastAsia="Arial" w:cs="Arial"/>
          <w:noProof w:val="0"/>
          <w:color w:val="000000" w:themeColor="text1" w:themeTint="FF" w:themeShade="FF"/>
          <w:sz w:val="22"/>
          <w:szCs w:val="22"/>
          <w:lang w:val="en-GB"/>
        </w:rPr>
        <w:t xml:space="preserve">Spain’s </w:t>
      </w:r>
      <w:r w:rsidRPr="727F3008" w:rsidR="1A754A47">
        <w:rPr>
          <w:rFonts w:ascii="Arial" w:hAnsi="Arial" w:eastAsia="Arial" w:cs="Arial"/>
          <w:noProof w:val="0"/>
          <w:color w:val="000000" w:themeColor="text1" w:themeTint="FF" w:themeShade="FF"/>
          <w:sz w:val="22"/>
          <w:szCs w:val="22"/>
          <w:lang w:val="en-GB"/>
        </w:rPr>
        <w:t>early response</w:t>
      </w:r>
      <w:r w:rsidRPr="727F3008" w:rsidR="1A754A47">
        <w:rPr>
          <w:rFonts w:ascii="Arial" w:hAnsi="Arial" w:eastAsia="Arial" w:cs="Arial"/>
          <w:noProof w:val="0"/>
          <w:color w:val="000000" w:themeColor="text1" w:themeTint="FF" w:themeShade="FF"/>
          <w:sz w:val="22"/>
          <w:szCs w:val="22"/>
          <w:lang w:val="en-GB"/>
        </w:rPr>
        <w:t xml:space="preserve"> highlighted the importance of situational and adaptive leadership, particularly in decentralised systems. Minister Salvador Illa faced the challenge of aligning 17 autonomous regions, each with differing resources and capabilities, while responding to a rapidly evolving public health threat (</w:t>
      </w:r>
      <w:r w:rsidRPr="727F3008" w:rsidR="1A754A47">
        <w:rPr>
          <w:rFonts w:ascii="Arial" w:hAnsi="Arial" w:eastAsia="Arial" w:cs="Arial"/>
          <w:noProof w:val="0"/>
          <w:color w:val="000000" w:themeColor="text1" w:themeTint="FF" w:themeShade="FF"/>
          <w:sz w:val="22"/>
          <w:szCs w:val="22"/>
          <w:lang w:val="en-GB"/>
        </w:rPr>
        <w:t>Erkoreka</w:t>
      </w:r>
      <w:r w:rsidRPr="727F3008" w:rsidR="1A754A47">
        <w:rPr>
          <w:rFonts w:ascii="Arial" w:hAnsi="Arial" w:eastAsia="Arial" w:cs="Arial"/>
          <w:noProof w:val="0"/>
          <w:color w:val="000000" w:themeColor="text1" w:themeTint="FF" w:themeShade="FF"/>
          <w:sz w:val="22"/>
          <w:szCs w:val="22"/>
          <w:lang w:val="en-GB"/>
        </w:rPr>
        <w:t xml:space="preserve">, 2022; Royo, 2020). Illa’s leadership evolved throughout the pandemic: initially reactive, later transitioning to a more adaptive style that emphasised coordination, transparent communication, and strategic use of regional networks for vaccination rollout (Luque-Fernández and Tobias, 2022; Odone et al., 2021). Situational leadership theory posits that leaders must adjust their style based on context, task complexity, and follower readiness (Hersey and Blanchard, 1982). Spain’s eventual vaccination success </w:t>
      </w:r>
      <w:r w:rsidRPr="727F3008" w:rsidR="1A754A47">
        <w:rPr>
          <w:rFonts w:ascii="Arial" w:hAnsi="Arial" w:eastAsia="Arial" w:cs="Arial"/>
          <w:noProof w:val="0"/>
          <w:color w:val="000000" w:themeColor="text1" w:themeTint="FF" w:themeShade="FF"/>
          <w:sz w:val="22"/>
          <w:szCs w:val="22"/>
          <w:lang w:val="en-GB"/>
        </w:rPr>
        <w:t>demonstrates</w:t>
      </w:r>
      <w:r w:rsidRPr="727F3008" w:rsidR="1A754A47">
        <w:rPr>
          <w:rFonts w:ascii="Arial" w:hAnsi="Arial" w:eastAsia="Arial" w:cs="Arial"/>
          <w:noProof w:val="0"/>
          <w:color w:val="000000" w:themeColor="text1" w:themeTint="FF" w:themeShade="FF"/>
          <w:sz w:val="22"/>
          <w:szCs w:val="22"/>
          <w:lang w:val="en-GB"/>
        </w:rPr>
        <w:t xml:space="preserve"> how adaptive leadership can compensate for structural challenges in decentralised systems.</w:t>
      </w:r>
    </w:p>
    <w:p w:rsidR="1A754A47" w:rsidP="727F3008" w:rsidRDefault="1A754A47" w14:paraId="649D07B5" w14:textId="0611279C">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183839062" w:id="1374082443"/>
      <w:r w:rsidRPr="727F3008" w:rsidR="1A754A47">
        <w:rPr>
          <w:rFonts w:ascii="Arial" w:hAnsi="Arial" w:eastAsia="Arial" w:cs="Arial"/>
          <w:b w:val="1"/>
          <w:bCs w:val="1"/>
          <w:noProof w:val="0"/>
          <w:color w:val="000000" w:themeColor="text1" w:themeTint="FF" w:themeShade="FF"/>
          <w:sz w:val="22"/>
          <w:szCs w:val="22"/>
          <w:lang w:val="en-GB"/>
        </w:rPr>
        <w:t>Transactional and Unifying Leadership</w:t>
      </w:r>
      <w:bookmarkEnd w:id="1374082443"/>
    </w:p>
    <w:p w:rsidR="1A754A47" w:rsidP="727F3008" w:rsidRDefault="1A754A47" w14:paraId="71B1430B" w14:textId="51A0EFE7">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1A754A47">
        <w:rPr>
          <w:rFonts w:ascii="Arial" w:hAnsi="Arial" w:eastAsia="Arial" w:cs="Arial"/>
          <w:noProof w:val="0"/>
          <w:color w:val="000000" w:themeColor="text1" w:themeTint="FF" w:themeShade="FF"/>
          <w:sz w:val="22"/>
          <w:szCs w:val="22"/>
          <w:lang w:val="en-GB"/>
        </w:rPr>
        <w:t xml:space="preserve">Canada’s federal system required a combination of transactional and unifying leadership. Prime Minister Justin Trudeau coordinated with provincial leaders, negotiating responsibilities and resources while ensuring adherence to national guidelines (Allin et al., 2022; </w:t>
      </w:r>
      <w:r w:rsidRPr="727F3008" w:rsidR="1A754A47">
        <w:rPr>
          <w:rFonts w:ascii="Arial" w:hAnsi="Arial" w:eastAsia="Arial" w:cs="Arial"/>
          <w:noProof w:val="0"/>
          <w:color w:val="000000" w:themeColor="text1" w:themeTint="FF" w:themeShade="FF"/>
          <w:sz w:val="22"/>
          <w:szCs w:val="22"/>
          <w:lang w:val="en-GB"/>
        </w:rPr>
        <w:t>Broschek</w:t>
      </w:r>
      <w:r w:rsidRPr="727F3008" w:rsidR="1A754A47">
        <w:rPr>
          <w:rFonts w:ascii="Arial" w:hAnsi="Arial" w:eastAsia="Arial" w:cs="Arial"/>
          <w:noProof w:val="0"/>
          <w:color w:val="000000" w:themeColor="text1" w:themeTint="FF" w:themeShade="FF"/>
          <w:sz w:val="22"/>
          <w:szCs w:val="22"/>
          <w:lang w:val="en-GB"/>
        </w:rPr>
        <w:t xml:space="preserve">, 2022). Transactional leadership, which focuses on structure, compliance, and reward systems, was </w:t>
      </w:r>
      <w:r w:rsidRPr="727F3008" w:rsidR="1A754A47">
        <w:rPr>
          <w:rFonts w:ascii="Arial" w:hAnsi="Arial" w:eastAsia="Arial" w:cs="Arial"/>
          <w:noProof w:val="0"/>
          <w:color w:val="000000" w:themeColor="text1" w:themeTint="FF" w:themeShade="FF"/>
          <w:sz w:val="22"/>
          <w:szCs w:val="22"/>
          <w:lang w:val="en-GB"/>
        </w:rPr>
        <w:t>evident</w:t>
      </w:r>
      <w:r w:rsidRPr="727F3008" w:rsidR="1A754A47">
        <w:rPr>
          <w:rFonts w:ascii="Arial" w:hAnsi="Arial" w:eastAsia="Arial" w:cs="Arial"/>
          <w:noProof w:val="0"/>
          <w:color w:val="000000" w:themeColor="text1" w:themeTint="FF" w:themeShade="FF"/>
          <w:sz w:val="22"/>
          <w:szCs w:val="22"/>
          <w:lang w:val="en-GB"/>
        </w:rPr>
        <w:t xml:space="preserve"> in the federal procurement of vaccines, allocation strategies, and monitoring of provincial vaccination progress (Public Health Agency of Canada, 2023; Murphy et al., 2025). Simultaneously, unifying leadership was necessary to </w:t>
      </w:r>
      <w:r w:rsidRPr="727F3008" w:rsidR="1A754A47">
        <w:rPr>
          <w:rFonts w:ascii="Arial" w:hAnsi="Arial" w:eastAsia="Arial" w:cs="Arial"/>
          <w:noProof w:val="0"/>
          <w:color w:val="000000" w:themeColor="text1" w:themeTint="FF" w:themeShade="FF"/>
          <w:sz w:val="22"/>
          <w:szCs w:val="22"/>
          <w:lang w:val="en-GB"/>
        </w:rPr>
        <w:t>maintain</w:t>
      </w:r>
      <w:r w:rsidRPr="727F3008" w:rsidR="1A754A47">
        <w:rPr>
          <w:rFonts w:ascii="Arial" w:hAnsi="Arial" w:eastAsia="Arial" w:cs="Arial"/>
          <w:noProof w:val="0"/>
          <w:color w:val="000000" w:themeColor="text1" w:themeTint="FF" w:themeShade="FF"/>
          <w:sz w:val="22"/>
          <w:szCs w:val="22"/>
          <w:lang w:val="en-GB"/>
        </w:rPr>
        <w:t xml:space="preserve"> national cohesion across provinces with differing epidemiological trends and capacities. This dual approach reflects Kotter’s (1990) framework, which highlights the importance of combining structured management with a vision for collective alignment, particularly in complex, multi-jurisdictional systems.</w:t>
      </w:r>
    </w:p>
    <w:p w:rsidR="1A754A47" w:rsidP="727F3008" w:rsidRDefault="1A754A47" w14:paraId="3349C6DC" w14:textId="23770611">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1617261431" w:id="165057905"/>
      <w:r w:rsidRPr="727F3008" w:rsidR="1A754A47">
        <w:rPr>
          <w:rFonts w:ascii="Arial" w:hAnsi="Arial" w:eastAsia="Arial" w:cs="Arial"/>
          <w:b w:val="1"/>
          <w:bCs w:val="1"/>
          <w:noProof w:val="0"/>
          <w:color w:val="000000" w:themeColor="text1" w:themeTint="FF" w:themeShade="FF"/>
          <w:sz w:val="22"/>
          <w:szCs w:val="22"/>
          <w:lang w:val="en-GB"/>
        </w:rPr>
        <w:t>Servant Leadership and Public Engagement</w:t>
      </w:r>
      <w:bookmarkEnd w:id="165057905"/>
    </w:p>
    <w:p w:rsidR="1A754A47" w:rsidP="727F3008" w:rsidRDefault="1A754A47" w14:paraId="6F885589" w14:textId="378305AF">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1A754A47">
        <w:rPr>
          <w:rFonts w:ascii="Arial" w:hAnsi="Arial" w:eastAsia="Arial" w:cs="Arial"/>
          <w:noProof w:val="0"/>
          <w:color w:val="000000" w:themeColor="text1" w:themeTint="FF" w:themeShade="FF"/>
          <w:sz w:val="22"/>
          <w:szCs w:val="22"/>
          <w:lang w:val="en-GB"/>
        </w:rPr>
        <w:t xml:space="preserve">Servant leadership, prioritising the needs of others, was particularly relevant in building public trust. Across all three countries, leaders who </w:t>
      </w:r>
      <w:r w:rsidRPr="727F3008" w:rsidR="1A754A47">
        <w:rPr>
          <w:rFonts w:ascii="Arial" w:hAnsi="Arial" w:eastAsia="Arial" w:cs="Arial"/>
          <w:noProof w:val="0"/>
          <w:color w:val="000000" w:themeColor="text1" w:themeTint="FF" w:themeShade="FF"/>
          <w:sz w:val="22"/>
          <w:szCs w:val="22"/>
          <w:lang w:val="en-GB"/>
        </w:rPr>
        <w:t>demonstrated</w:t>
      </w:r>
      <w:r w:rsidRPr="727F3008" w:rsidR="1A754A47">
        <w:rPr>
          <w:rFonts w:ascii="Arial" w:hAnsi="Arial" w:eastAsia="Arial" w:cs="Arial"/>
          <w:noProof w:val="0"/>
          <w:color w:val="000000" w:themeColor="text1" w:themeTint="FF" w:themeShade="FF"/>
          <w:sz w:val="22"/>
          <w:szCs w:val="22"/>
          <w:lang w:val="en-GB"/>
        </w:rPr>
        <w:t xml:space="preserve"> empathy, transparency, and responsiveness were more successful in gaining compliance with public health measures (Sandhu et al., 2022; ICNL, 2024b). In South Korea, civil society engagement complemented centralised directives, reflecting Greenleaf’s (1977) principle that servant leaders empower stakeholders and foster collaboration. Spain’s regional authorities also </w:t>
      </w:r>
      <w:r w:rsidRPr="727F3008" w:rsidR="1A754A47">
        <w:rPr>
          <w:rFonts w:ascii="Arial" w:hAnsi="Arial" w:eastAsia="Arial" w:cs="Arial"/>
          <w:noProof w:val="0"/>
          <w:color w:val="000000" w:themeColor="text1" w:themeTint="FF" w:themeShade="FF"/>
          <w:sz w:val="22"/>
          <w:szCs w:val="22"/>
          <w:lang w:val="en-GB"/>
        </w:rPr>
        <w:t>exhibited</w:t>
      </w:r>
      <w:r w:rsidRPr="727F3008" w:rsidR="1A754A47">
        <w:rPr>
          <w:rFonts w:ascii="Arial" w:hAnsi="Arial" w:eastAsia="Arial" w:cs="Arial"/>
          <w:noProof w:val="0"/>
          <w:color w:val="000000" w:themeColor="text1" w:themeTint="FF" w:themeShade="FF"/>
          <w:sz w:val="22"/>
          <w:szCs w:val="22"/>
          <w:lang w:val="en-GB"/>
        </w:rPr>
        <w:t xml:space="preserve"> servant leadership during vaccine deployment, adapting strategies to local populations’ needs and addressing inequities (Blanco, </w:t>
      </w:r>
      <w:r w:rsidRPr="727F3008" w:rsidR="1A754A47">
        <w:rPr>
          <w:rFonts w:ascii="Arial" w:hAnsi="Arial" w:eastAsia="Arial" w:cs="Arial"/>
          <w:noProof w:val="0"/>
          <w:color w:val="000000" w:themeColor="text1" w:themeTint="FF" w:themeShade="FF"/>
          <w:sz w:val="22"/>
          <w:szCs w:val="22"/>
          <w:lang w:val="en-GB"/>
        </w:rPr>
        <w:t>Gázquez</w:t>
      </w:r>
      <w:r w:rsidRPr="727F3008" w:rsidR="1A754A47">
        <w:rPr>
          <w:rFonts w:ascii="Arial" w:hAnsi="Arial" w:eastAsia="Arial" w:cs="Arial"/>
          <w:noProof w:val="0"/>
          <w:color w:val="000000" w:themeColor="text1" w:themeTint="FF" w:themeShade="FF"/>
          <w:sz w:val="22"/>
          <w:szCs w:val="22"/>
          <w:lang w:val="en-GB"/>
        </w:rPr>
        <w:t xml:space="preserve"> and Leal, 2020; Nursing Executives’ response to COVID-19 in Spain, 2025). In Canada, provincial leaders balancing federal guidance with community-specific considerations further illustrate the practical application of servant leadership in decentralised contexts (Hertelendy et al., 2022).</w:t>
      </w:r>
    </w:p>
    <w:p w:rsidR="1A754A47" w:rsidP="727F3008" w:rsidRDefault="1A754A47" w14:paraId="418E7290" w14:textId="1564FF73">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1539456613" w:id="1505239063"/>
      <w:r w:rsidRPr="727F3008" w:rsidR="1A754A47">
        <w:rPr>
          <w:rFonts w:ascii="Arial" w:hAnsi="Arial" w:eastAsia="Arial" w:cs="Arial"/>
          <w:b w:val="1"/>
          <w:bCs w:val="1"/>
          <w:noProof w:val="0"/>
          <w:color w:val="000000" w:themeColor="text1" w:themeTint="FF" w:themeShade="FF"/>
          <w:sz w:val="22"/>
          <w:szCs w:val="22"/>
          <w:lang w:val="en-GB"/>
        </w:rPr>
        <w:t>Comparative Evaluation</w:t>
      </w:r>
      <w:bookmarkEnd w:id="1505239063"/>
    </w:p>
    <w:p w:rsidR="1A754A47" w:rsidP="727F3008" w:rsidRDefault="1A754A47" w14:paraId="6C9DDD3C" w14:textId="40C7B641">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1A754A47">
        <w:rPr>
          <w:rFonts w:ascii="Arial" w:hAnsi="Arial" w:eastAsia="Arial" w:cs="Arial"/>
          <w:noProof w:val="0"/>
          <w:color w:val="000000" w:themeColor="text1" w:themeTint="FF" w:themeShade="FF"/>
          <w:sz w:val="22"/>
          <w:szCs w:val="22"/>
          <w:lang w:val="en-GB"/>
        </w:rPr>
        <w:t xml:space="preserve">Comparing the three </w:t>
      </w:r>
      <w:r w:rsidRPr="727F3008" w:rsidR="1A754A47">
        <w:rPr>
          <w:rFonts w:ascii="Arial" w:hAnsi="Arial" w:eastAsia="Arial" w:cs="Arial"/>
          <w:noProof w:val="0"/>
          <w:color w:val="000000" w:themeColor="text1" w:themeTint="FF" w:themeShade="FF"/>
          <w:sz w:val="22"/>
          <w:szCs w:val="22"/>
          <w:lang w:val="en-GB"/>
        </w:rPr>
        <w:t>jurisdictions</w:t>
      </w:r>
      <w:r w:rsidRPr="727F3008" w:rsidR="1A754A47">
        <w:rPr>
          <w:rFonts w:ascii="Arial" w:hAnsi="Arial" w:eastAsia="Arial" w:cs="Arial"/>
          <w:noProof w:val="0"/>
          <w:color w:val="000000" w:themeColor="text1" w:themeTint="FF" w:themeShade="FF"/>
          <w:sz w:val="22"/>
          <w:szCs w:val="22"/>
          <w:lang w:val="en-GB"/>
        </w:rPr>
        <w:t xml:space="preserve"> </w:t>
      </w:r>
      <w:r w:rsidRPr="727F3008" w:rsidR="1A754A47">
        <w:rPr>
          <w:rFonts w:ascii="Arial" w:hAnsi="Arial" w:eastAsia="Arial" w:cs="Arial"/>
          <w:noProof w:val="0"/>
          <w:color w:val="000000" w:themeColor="text1" w:themeTint="FF" w:themeShade="FF"/>
          <w:sz w:val="22"/>
          <w:szCs w:val="22"/>
          <w:lang w:val="en-GB"/>
        </w:rPr>
        <w:t>demonstrates</w:t>
      </w:r>
      <w:r w:rsidRPr="727F3008" w:rsidR="1A754A47">
        <w:rPr>
          <w:rFonts w:ascii="Arial" w:hAnsi="Arial" w:eastAsia="Arial" w:cs="Arial"/>
          <w:noProof w:val="0"/>
          <w:color w:val="000000" w:themeColor="text1" w:themeTint="FF" w:themeShade="FF"/>
          <w:sz w:val="22"/>
          <w:szCs w:val="22"/>
          <w:lang w:val="en-GB"/>
        </w:rPr>
        <w:t xml:space="preserve"> that no single leadership style was universally effective; rather, effectiveness depended on the alignment between leadership style and health system structure. Centralised systems, such as South Korea, </w:t>
      </w:r>
      <w:r w:rsidRPr="727F3008" w:rsidR="1A754A47">
        <w:rPr>
          <w:rFonts w:ascii="Arial" w:hAnsi="Arial" w:eastAsia="Arial" w:cs="Arial"/>
          <w:noProof w:val="0"/>
          <w:color w:val="000000" w:themeColor="text1" w:themeTint="FF" w:themeShade="FF"/>
          <w:sz w:val="22"/>
          <w:szCs w:val="22"/>
          <w:lang w:val="en-GB"/>
        </w:rPr>
        <w:t>benefited</w:t>
      </w:r>
      <w:r w:rsidRPr="727F3008" w:rsidR="1A754A47">
        <w:rPr>
          <w:rFonts w:ascii="Arial" w:hAnsi="Arial" w:eastAsia="Arial" w:cs="Arial"/>
          <w:noProof w:val="0"/>
          <w:color w:val="000000" w:themeColor="text1" w:themeTint="FF" w:themeShade="FF"/>
          <w:sz w:val="22"/>
          <w:szCs w:val="22"/>
          <w:lang w:val="en-GB"/>
        </w:rPr>
        <w:t xml:space="preserve"> from transformational and servant leadership that maximised uniformity and compliance. Decentralised systems, like Spain and Canada, required adaptive, situational, and unifying approaches to navigate complexity and coordinate multi-level responses (Greer et al., 2022; OECD, 2021). Moreover, leaders’ ability to integrate technological tools, data-driven decision-making, and transparent communication amplified the impact of leadership across different system structures (Cho et al., 2020; Yoon et al., 2020; Luque-Fernández and Tobias, 2022).</w:t>
      </w:r>
    </w:p>
    <w:p w:rsidR="1A754A47" w:rsidP="727F3008" w:rsidRDefault="1A754A47" w14:paraId="2E9A9CAC" w14:textId="091C6D1A">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1732871114" w:id="478690629"/>
      <w:r w:rsidRPr="727F3008" w:rsidR="1A754A47">
        <w:rPr>
          <w:rFonts w:ascii="Arial" w:hAnsi="Arial" w:eastAsia="Arial" w:cs="Arial"/>
          <w:b w:val="1"/>
          <w:bCs w:val="1"/>
          <w:noProof w:val="0"/>
          <w:color w:val="000000" w:themeColor="text1" w:themeTint="FF" w:themeShade="FF"/>
          <w:sz w:val="22"/>
          <w:szCs w:val="22"/>
          <w:lang w:val="en-GB"/>
        </w:rPr>
        <w:t>Implications for Future Health Crises</w:t>
      </w:r>
      <w:bookmarkEnd w:id="478690629"/>
    </w:p>
    <w:p w:rsidR="1A754A47" w:rsidP="727F3008" w:rsidRDefault="1A754A47" w14:paraId="1403AE27" w14:textId="28D59ED1">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1A754A47">
        <w:rPr>
          <w:rFonts w:ascii="Arial" w:hAnsi="Arial" w:eastAsia="Arial" w:cs="Arial"/>
          <w:noProof w:val="0"/>
          <w:color w:val="000000" w:themeColor="text1" w:themeTint="FF" w:themeShade="FF"/>
          <w:sz w:val="22"/>
          <w:szCs w:val="22"/>
          <w:lang w:val="en-GB"/>
        </w:rPr>
        <w:t xml:space="preserve">The analysis underscores that effective crisis leadership is context-dependent and requires both theoretical understanding and practical application. Leaders must assess system structure, stakeholder readiness, and societal expectations to select </w:t>
      </w:r>
      <w:r w:rsidRPr="727F3008" w:rsidR="1A754A47">
        <w:rPr>
          <w:rFonts w:ascii="Arial" w:hAnsi="Arial" w:eastAsia="Arial" w:cs="Arial"/>
          <w:noProof w:val="0"/>
          <w:color w:val="000000" w:themeColor="text1" w:themeTint="FF" w:themeShade="FF"/>
          <w:sz w:val="22"/>
          <w:szCs w:val="22"/>
          <w:lang w:val="en-GB"/>
        </w:rPr>
        <w:t>appropriate leadership</w:t>
      </w:r>
      <w:r w:rsidRPr="727F3008" w:rsidR="1A754A47">
        <w:rPr>
          <w:rFonts w:ascii="Arial" w:hAnsi="Arial" w:eastAsia="Arial" w:cs="Arial"/>
          <w:noProof w:val="0"/>
          <w:color w:val="000000" w:themeColor="text1" w:themeTint="FF" w:themeShade="FF"/>
          <w:sz w:val="22"/>
          <w:szCs w:val="22"/>
          <w:lang w:val="en-GB"/>
        </w:rPr>
        <w:t xml:space="preserve"> approaches. For future pandemics, training programs should emphasise transformational, situational, unifying, and servant leadership skills, enabling leaders to navigate complex governance environments, foster collaboration, and enhance public trust (</w:t>
      </w:r>
      <w:r w:rsidRPr="727F3008" w:rsidR="1A754A47">
        <w:rPr>
          <w:rFonts w:ascii="Arial" w:hAnsi="Arial" w:eastAsia="Arial" w:cs="Arial"/>
          <w:noProof w:val="0"/>
          <w:color w:val="000000" w:themeColor="text1" w:themeTint="FF" w:themeShade="FF"/>
          <w:sz w:val="22"/>
          <w:szCs w:val="22"/>
          <w:lang w:val="en-GB"/>
        </w:rPr>
        <w:t>Rameshan</w:t>
      </w:r>
      <w:r w:rsidRPr="727F3008" w:rsidR="1A754A47">
        <w:rPr>
          <w:rFonts w:ascii="Arial" w:hAnsi="Arial" w:eastAsia="Arial" w:cs="Arial"/>
          <w:noProof w:val="0"/>
          <w:color w:val="000000" w:themeColor="text1" w:themeTint="FF" w:themeShade="FF"/>
          <w:sz w:val="22"/>
          <w:szCs w:val="22"/>
          <w:lang w:val="en-GB"/>
        </w:rPr>
        <w:t xml:space="preserve"> and Obregon, 2024; Sandhu et al., 2022). Integrating these leadership frameworks into emergency preparedness planning will strengthen health system resilience and improve outcomes during public health emergencies.</w:t>
      </w:r>
    </w:p>
    <w:p w:rsidR="400D300A" w:rsidP="727F3008" w:rsidRDefault="400D300A" w14:paraId="3FD3AF37" w14:textId="41BCAF2A">
      <w:pPr>
        <w:pStyle w:val="Heading2"/>
        <w:spacing w:before="240" w:beforeAutospacing="off" w:after="240"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16507895" w:id="1064488774"/>
      <w:r w:rsidRPr="727F3008" w:rsidR="400D300A">
        <w:rPr>
          <w:rFonts w:ascii="Arial" w:hAnsi="Arial" w:eastAsia="Arial" w:cs="Arial"/>
          <w:b w:val="1"/>
          <w:bCs w:val="1"/>
          <w:noProof w:val="0"/>
          <w:color w:val="000000" w:themeColor="text1" w:themeTint="FF" w:themeShade="FF"/>
          <w:sz w:val="22"/>
          <w:szCs w:val="22"/>
          <w:lang w:val="en-GB"/>
        </w:rPr>
        <w:t>Methodology</w:t>
      </w:r>
      <w:bookmarkEnd w:id="1064488774"/>
    </w:p>
    <w:p w:rsidR="400D300A" w:rsidP="727F3008" w:rsidRDefault="400D300A" w14:paraId="4C3976E1" w14:textId="64748DB4">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This report employs a comparative case study </w:t>
      </w:r>
      <w:r w:rsidRPr="727F3008" w:rsidR="400D300A">
        <w:rPr>
          <w:rFonts w:ascii="Arial" w:hAnsi="Arial" w:eastAsia="Arial" w:cs="Arial"/>
          <w:noProof w:val="0"/>
          <w:color w:val="000000" w:themeColor="text1" w:themeTint="FF" w:themeShade="FF"/>
          <w:sz w:val="22"/>
          <w:szCs w:val="22"/>
          <w:lang w:val="en-GB"/>
        </w:rPr>
        <w:t>methodology</w:t>
      </w:r>
      <w:r w:rsidRPr="727F3008" w:rsidR="400D300A">
        <w:rPr>
          <w:rFonts w:ascii="Arial" w:hAnsi="Arial" w:eastAsia="Arial" w:cs="Arial"/>
          <w:noProof w:val="0"/>
          <w:color w:val="000000" w:themeColor="text1" w:themeTint="FF" w:themeShade="FF"/>
          <w:sz w:val="22"/>
          <w:szCs w:val="22"/>
          <w:lang w:val="en-GB"/>
        </w:rPr>
        <w:t xml:space="preserve"> to analyse the COVID-19 responses of Spain, South Korea, and Canada, with a focus on the interaction between leadership strategies, health system organisation, and centralisation versus decentralisation. Comparative case studies are particularly suitable for examining complex social phenomena within real-world contexts, allowing for in-depth evaluation of both processes and outcomes (Sandhu et al., 2022). This approach enables the identification of similarities and differences across </w:t>
      </w:r>
      <w:r w:rsidRPr="727F3008" w:rsidR="400D300A">
        <w:rPr>
          <w:rFonts w:ascii="Arial" w:hAnsi="Arial" w:eastAsia="Arial" w:cs="Arial"/>
          <w:noProof w:val="0"/>
          <w:color w:val="000000" w:themeColor="text1" w:themeTint="FF" w:themeShade="FF"/>
          <w:sz w:val="22"/>
          <w:szCs w:val="22"/>
          <w:lang w:val="en-GB"/>
        </w:rPr>
        <w:t>jurisdictions</w:t>
      </w:r>
      <w:r w:rsidRPr="727F3008" w:rsidR="400D300A">
        <w:rPr>
          <w:rFonts w:ascii="Arial" w:hAnsi="Arial" w:eastAsia="Arial" w:cs="Arial"/>
          <w:noProof w:val="0"/>
          <w:color w:val="000000" w:themeColor="text1" w:themeTint="FF" w:themeShade="FF"/>
          <w:sz w:val="22"/>
          <w:szCs w:val="22"/>
          <w:lang w:val="en-GB"/>
        </w:rPr>
        <w:t>, offering insights into how leadership styles influence public health responses in diverse governance structures.</w:t>
      </w:r>
    </w:p>
    <w:p w:rsidR="400D300A" w:rsidP="727F3008" w:rsidRDefault="400D300A" w14:paraId="52312E2D" w14:textId="7BD59FB1">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The study relies primarily on secondary data sources, including peer-reviewed journal articles, government reports, institutional publications, and official statistical data. The </w:t>
      </w:r>
      <w:r w:rsidRPr="727F3008" w:rsidR="400D300A">
        <w:rPr>
          <w:rFonts w:ascii="Arial" w:hAnsi="Arial" w:eastAsia="Arial" w:cs="Arial"/>
          <w:noProof w:val="0"/>
          <w:color w:val="000000" w:themeColor="text1" w:themeTint="FF" w:themeShade="FF"/>
          <w:sz w:val="22"/>
          <w:szCs w:val="22"/>
          <w:lang w:val="en-GB"/>
        </w:rPr>
        <w:t>selection</w:t>
      </w:r>
      <w:r w:rsidRPr="727F3008" w:rsidR="400D300A">
        <w:rPr>
          <w:rFonts w:ascii="Arial" w:hAnsi="Arial" w:eastAsia="Arial" w:cs="Arial"/>
          <w:noProof w:val="0"/>
          <w:color w:val="000000" w:themeColor="text1" w:themeTint="FF" w:themeShade="FF"/>
          <w:sz w:val="22"/>
          <w:szCs w:val="22"/>
          <w:lang w:val="en-GB"/>
        </w:rPr>
        <w:t xml:space="preserve"> of sources prioritises credibility, relevance, and contemporaneity, with most references published within the last five years, while seminal works provide foundational context (European Observatory on Health Systems and Policies, 2021; WHO, 2020). Data collection focused on three domains: (1) health system organisation and capacity, (2) leadership decisions and policy implementation, and (3) centralisation or decentralisation of governance. For each country, the analysis considers the timeline of COVID-19 cases, implementation of interventions, vaccination rollout, and public compliance measures.</w:t>
      </w:r>
    </w:p>
    <w:p w:rsidR="400D300A" w:rsidP="727F3008" w:rsidRDefault="400D300A" w14:paraId="2233FCA7" w14:textId="455BF481">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To analyse leadership, the study applies established theoretical frameworks, including transformational, transactional, situational, and servant leadership models. Transformational leadership is evaluated through the ability of leaders to inspire, motivate, and drive systemic change during crisis situations. Transactional leadership is assessed based on adherence to procedures, compliance monitoring, and structured decision-making. Situational leadership is considered in terms of adaptive responses to changing pandemic conditions, while servant leadership focuses on the prioritisation of public welfare and stakeholder engagement (Rameshan and Obregon, 2024; ICNL, 2024a).</w:t>
      </w:r>
    </w:p>
    <w:p w:rsidR="400D300A" w:rsidP="727F3008" w:rsidRDefault="400D300A" w14:paraId="77F5AE39" w14:textId="092486A6">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The comparative framework involves a three-stage analytical process. First, a descriptive analysis of each country’s health system and governance structure is conducted, including examination of centralised versus decentralised decision-making and the roles of federal and regional authorities (García-Alonso and Fernández-Villaverde, 2023; Greer et al., 2022). Second, leadership responses are mapped to key pandemic phases, including early containment, escalation, and vaccination rollout, to </w:t>
      </w:r>
      <w:r w:rsidRPr="727F3008" w:rsidR="400D300A">
        <w:rPr>
          <w:rFonts w:ascii="Arial" w:hAnsi="Arial" w:eastAsia="Arial" w:cs="Arial"/>
          <w:noProof w:val="0"/>
          <w:color w:val="000000" w:themeColor="text1" w:themeTint="FF" w:themeShade="FF"/>
          <w:sz w:val="22"/>
          <w:szCs w:val="22"/>
          <w:lang w:val="en-GB"/>
        </w:rPr>
        <w:t>identify</w:t>
      </w:r>
      <w:r w:rsidRPr="727F3008" w:rsidR="400D300A">
        <w:rPr>
          <w:rFonts w:ascii="Arial" w:hAnsi="Arial" w:eastAsia="Arial" w:cs="Arial"/>
          <w:noProof w:val="0"/>
          <w:color w:val="000000" w:themeColor="text1" w:themeTint="FF" w:themeShade="FF"/>
          <w:sz w:val="22"/>
          <w:szCs w:val="22"/>
          <w:lang w:val="en-GB"/>
        </w:rPr>
        <w:t xml:space="preserve"> strategies, successes, and limitations (Allin et al., 2022; Hong, 2024). Third, cross-case synthesis is employed to </w:t>
      </w:r>
      <w:r w:rsidRPr="727F3008" w:rsidR="400D300A">
        <w:rPr>
          <w:rFonts w:ascii="Arial" w:hAnsi="Arial" w:eastAsia="Arial" w:cs="Arial"/>
          <w:noProof w:val="0"/>
          <w:color w:val="000000" w:themeColor="text1" w:themeTint="FF" w:themeShade="FF"/>
          <w:sz w:val="22"/>
          <w:szCs w:val="22"/>
          <w:lang w:val="en-GB"/>
        </w:rPr>
        <w:t>identify</w:t>
      </w:r>
      <w:r w:rsidRPr="727F3008" w:rsidR="400D300A">
        <w:rPr>
          <w:rFonts w:ascii="Arial" w:hAnsi="Arial" w:eastAsia="Arial" w:cs="Arial"/>
          <w:noProof w:val="0"/>
          <w:color w:val="000000" w:themeColor="text1" w:themeTint="FF" w:themeShade="FF"/>
          <w:sz w:val="22"/>
          <w:szCs w:val="22"/>
          <w:lang w:val="en-GB"/>
        </w:rPr>
        <w:t xml:space="preserve"> patterns, divergences, and lessons learned, emphasising the influence of leadership on system efficiency, policy effectiveness, and public health outcomes (Odone et al., 2021; Public Health Agency of Canada, 2023).</w:t>
      </w:r>
    </w:p>
    <w:p w:rsidR="400D300A" w:rsidP="727F3008" w:rsidRDefault="400D300A" w14:paraId="53C75976" w14:textId="4F4EBA78">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Ethical considerations in this study are primarily related to the use of secondary data. All sources utilised are publicly available and used </w:t>
      </w:r>
      <w:r w:rsidRPr="727F3008" w:rsidR="400D300A">
        <w:rPr>
          <w:rFonts w:ascii="Arial" w:hAnsi="Arial" w:eastAsia="Arial" w:cs="Arial"/>
          <w:noProof w:val="0"/>
          <w:color w:val="000000" w:themeColor="text1" w:themeTint="FF" w:themeShade="FF"/>
          <w:sz w:val="22"/>
          <w:szCs w:val="22"/>
          <w:lang w:val="en-GB"/>
        </w:rPr>
        <w:t>in accordance with</w:t>
      </w:r>
      <w:r w:rsidRPr="727F3008" w:rsidR="400D300A">
        <w:rPr>
          <w:rFonts w:ascii="Arial" w:hAnsi="Arial" w:eastAsia="Arial" w:cs="Arial"/>
          <w:noProof w:val="0"/>
          <w:color w:val="000000" w:themeColor="text1" w:themeTint="FF" w:themeShade="FF"/>
          <w:sz w:val="22"/>
          <w:szCs w:val="22"/>
          <w:lang w:val="en-GB"/>
        </w:rPr>
        <w:t xml:space="preserve"> academic standards, ensuring accuracy and </w:t>
      </w:r>
      <w:r w:rsidRPr="727F3008" w:rsidR="400D300A">
        <w:rPr>
          <w:rFonts w:ascii="Arial" w:hAnsi="Arial" w:eastAsia="Arial" w:cs="Arial"/>
          <w:noProof w:val="0"/>
          <w:color w:val="000000" w:themeColor="text1" w:themeTint="FF" w:themeShade="FF"/>
          <w:sz w:val="22"/>
          <w:szCs w:val="22"/>
          <w:lang w:val="en-GB"/>
        </w:rPr>
        <w:t>appropriate attribution</w:t>
      </w:r>
      <w:r w:rsidRPr="727F3008" w:rsidR="400D300A">
        <w:rPr>
          <w:rFonts w:ascii="Arial" w:hAnsi="Arial" w:eastAsia="Arial" w:cs="Arial"/>
          <w:noProof w:val="0"/>
          <w:color w:val="000000" w:themeColor="text1" w:themeTint="FF" w:themeShade="FF"/>
          <w:sz w:val="22"/>
          <w:szCs w:val="22"/>
          <w:lang w:val="en-GB"/>
        </w:rPr>
        <w:t xml:space="preserve"> (CIHI, 2022; OECD, 2021). The study acknowledges the limitations of secondary data, including potential reporting biases, inconsistencies in measurement across countries, and time-lag effects in data availability. To mitigate these limitations, triangulation of multiple data sources was undertaken, enabling a more robust and balanced analysis of health system performance and leadership impact (Murphy et al., 2025; Valls Martínez et al., 2023).</w:t>
      </w:r>
    </w:p>
    <w:p w:rsidR="400D300A" w:rsidP="727F3008" w:rsidRDefault="400D300A" w14:paraId="35F35E7D" w14:textId="2AE3C34E">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Overall, this </w:t>
      </w:r>
      <w:r w:rsidRPr="727F3008" w:rsidR="400D300A">
        <w:rPr>
          <w:rFonts w:ascii="Arial" w:hAnsi="Arial" w:eastAsia="Arial" w:cs="Arial"/>
          <w:noProof w:val="0"/>
          <w:color w:val="000000" w:themeColor="text1" w:themeTint="FF" w:themeShade="FF"/>
          <w:sz w:val="22"/>
          <w:szCs w:val="22"/>
          <w:lang w:val="en-GB"/>
        </w:rPr>
        <w:t>methodology</w:t>
      </w:r>
      <w:r w:rsidRPr="727F3008" w:rsidR="400D300A">
        <w:rPr>
          <w:rFonts w:ascii="Arial" w:hAnsi="Arial" w:eastAsia="Arial" w:cs="Arial"/>
          <w:noProof w:val="0"/>
          <w:color w:val="000000" w:themeColor="text1" w:themeTint="FF" w:themeShade="FF"/>
          <w:sz w:val="22"/>
          <w:szCs w:val="22"/>
          <w:lang w:val="en-GB"/>
        </w:rPr>
        <w:t xml:space="preserve"> provides a rigorous and systematic framework for examining the interplay between health system organisation, governance, and leadership strategies during the COVID-19 pandemic. By combining comparative case study techniques with leadership theory and evidence-based analysis, the report aims to generate actionable insights for improving public health preparedness, policy implementation, and crisis leadership in future pandemics (Blanco, </w:t>
      </w:r>
      <w:r w:rsidRPr="727F3008" w:rsidR="400D300A">
        <w:rPr>
          <w:rFonts w:ascii="Arial" w:hAnsi="Arial" w:eastAsia="Arial" w:cs="Arial"/>
          <w:noProof w:val="0"/>
          <w:color w:val="000000" w:themeColor="text1" w:themeTint="FF" w:themeShade="FF"/>
          <w:sz w:val="22"/>
          <w:szCs w:val="22"/>
          <w:lang w:val="en-GB"/>
        </w:rPr>
        <w:t>Gázquez</w:t>
      </w:r>
      <w:r w:rsidRPr="727F3008" w:rsidR="400D300A">
        <w:rPr>
          <w:rFonts w:ascii="Arial" w:hAnsi="Arial" w:eastAsia="Arial" w:cs="Arial"/>
          <w:noProof w:val="0"/>
          <w:color w:val="000000" w:themeColor="text1" w:themeTint="FF" w:themeShade="FF"/>
          <w:sz w:val="22"/>
          <w:szCs w:val="22"/>
          <w:lang w:val="en-GB"/>
        </w:rPr>
        <w:t xml:space="preserve"> and Leal, 2020; Luque-Fernández and Tobias, 2022).</w:t>
      </w:r>
    </w:p>
    <w:p w:rsidR="400D300A" w:rsidP="727F3008" w:rsidRDefault="400D300A" w14:paraId="3D8A1233" w14:textId="02B6C19E">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958851853" w:id="1013827188"/>
      <w:r w:rsidRPr="727F3008" w:rsidR="400D300A">
        <w:rPr>
          <w:rFonts w:ascii="Arial" w:hAnsi="Arial" w:eastAsia="Arial" w:cs="Arial"/>
          <w:b w:val="1"/>
          <w:bCs w:val="1"/>
          <w:noProof w:val="0"/>
          <w:color w:val="000000" w:themeColor="text1" w:themeTint="FF" w:themeShade="FF"/>
          <w:sz w:val="22"/>
          <w:szCs w:val="22"/>
          <w:lang w:val="en-GB"/>
        </w:rPr>
        <w:t>Comparative Health System Analysis</w:t>
      </w:r>
      <w:bookmarkEnd w:id="1013827188"/>
    </w:p>
    <w:p w:rsidR="400D300A" w:rsidP="727F3008" w:rsidRDefault="400D300A" w14:paraId="70481C02" w14:textId="33F4274B">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1229798040" w:id="169455359"/>
      <w:r w:rsidRPr="727F3008" w:rsidR="400D300A">
        <w:rPr>
          <w:rFonts w:ascii="Arial" w:hAnsi="Arial" w:eastAsia="Arial" w:cs="Arial"/>
          <w:b w:val="1"/>
          <w:bCs w:val="1"/>
          <w:noProof w:val="0"/>
          <w:color w:val="000000" w:themeColor="text1" w:themeTint="FF" w:themeShade="FF"/>
          <w:sz w:val="22"/>
          <w:szCs w:val="22"/>
          <w:lang w:val="en-GB"/>
        </w:rPr>
        <w:t>Spain</w:t>
      </w:r>
      <w:bookmarkEnd w:id="169455359"/>
    </w:p>
    <w:p w:rsidR="400D300A" w:rsidP="727F3008" w:rsidRDefault="400D300A" w14:paraId="50EC30F5" w14:textId="344822BC">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Spain’s health system is </w:t>
      </w:r>
      <w:r w:rsidRPr="727F3008" w:rsidR="400D300A">
        <w:rPr>
          <w:rFonts w:ascii="Arial" w:hAnsi="Arial" w:eastAsia="Arial" w:cs="Arial"/>
          <w:noProof w:val="0"/>
          <w:color w:val="000000" w:themeColor="text1" w:themeTint="FF" w:themeShade="FF"/>
          <w:sz w:val="22"/>
          <w:szCs w:val="22"/>
          <w:lang w:val="en-GB"/>
        </w:rPr>
        <w:t>largely decentralised</w:t>
      </w:r>
      <w:r w:rsidRPr="727F3008" w:rsidR="400D300A">
        <w:rPr>
          <w:rFonts w:ascii="Arial" w:hAnsi="Arial" w:eastAsia="Arial" w:cs="Arial"/>
          <w:noProof w:val="0"/>
          <w:color w:val="000000" w:themeColor="text1" w:themeTint="FF" w:themeShade="FF"/>
          <w:sz w:val="22"/>
          <w:szCs w:val="22"/>
          <w:lang w:val="en-GB"/>
        </w:rPr>
        <w:t>, organised under the framework of autonomous communities, each responsible for the delivery and administration of healthcare services. The Ministry of Health provides national guidance and coordination, particularly during emergencies, but implementation often depends on regional authorities (</w:t>
      </w:r>
      <w:r w:rsidRPr="727F3008" w:rsidR="400D300A">
        <w:rPr>
          <w:rFonts w:ascii="Arial" w:hAnsi="Arial" w:eastAsia="Arial" w:cs="Arial"/>
          <w:noProof w:val="0"/>
          <w:color w:val="000000" w:themeColor="text1" w:themeTint="FF" w:themeShade="FF"/>
          <w:sz w:val="22"/>
          <w:szCs w:val="22"/>
          <w:lang w:val="en-GB"/>
        </w:rPr>
        <w:t>Erkoreka</w:t>
      </w:r>
      <w:r w:rsidRPr="727F3008" w:rsidR="400D300A">
        <w:rPr>
          <w:rFonts w:ascii="Arial" w:hAnsi="Arial" w:eastAsia="Arial" w:cs="Arial"/>
          <w:noProof w:val="0"/>
          <w:color w:val="000000" w:themeColor="text1" w:themeTint="FF" w:themeShade="FF"/>
          <w:sz w:val="22"/>
          <w:szCs w:val="22"/>
          <w:lang w:val="en-GB"/>
        </w:rPr>
        <w:t xml:space="preserve">, 2022; Blanco, </w:t>
      </w:r>
      <w:r w:rsidRPr="727F3008" w:rsidR="400D300A">
        <w:rPr>
          <w:rFonts w:ascii="Arial" w:hAnsi="Arial" w:eastAsia="Arial" w:cs="Arial"/>
          <w:noProof w:val="0"/>
          <w:color w:val="000000" w:themeColor="text1" w:themeTint="FF" w:themeShade="FF"/>
          <w:sz w:val="22"/>
          <w:szCs w:val="22"/>
          <w:lang w:val="en-GB"/>
        </w:rPr>
        <w:t>Gázquez</w:t>
      </w:r>
      <w:r w:rsidRPr="727F3008" w:rsidR="400D300A">
        <w:rPr>
          <w:rFonts w:ascii="Arial" w:hAnsi="Arial" w:eastAsia="Arial" w:cs="Arial"/>
          <w:noProof w:val="0"/>
          <w:color w:val="000000" w:themeColor="text1" w:themeTint="FF" w:themeShade="FF"/>
          <w:sz w:val="22"/>
          <w:szCs w:val="22"/>
          <w:lang w:val="en-GB"/>
        </w:rPr>
        <w:t xml:space="preserve"> and Leal, 2020). This decentralised model allowed regions to adapt responses according to local needs; however, it also created challenges in achieving </w:t>
      </w:r>
      <w:r w:rsidRPr="727F3008" w:rsidR="400D300A">
        <w:rPr>
          <w:rFonts w:ascii="Arial" w:hAnsi="Arial" w:eastAsia="Arial" w:cs="Arial"/>
          <w:noProof w:val="0"/>
          <w:color w:val="000000" w:themeColor="text1" w:themeTint="FF" w:themeShade="FF"/>
          <w:sz w:val="22"/>
          <w:szCs w:val="22"/>
          <w:lang w:val="en-GB"/>
        </w:rPr>
        <w:t>timely</w:t>
      </w:r>
      <w:r w:rsidRPr="727F3008" w:rsidR="400D300A">
        <w:rPr>
          <w:rFonts w:ascii="Arial" w:hAnsi="Arial" w:eastAsia="Arial" w:cs="Arial"/>
          <w:noProof w:val="0"/>
          <w:color w:val="000000" w:themeColor="text1" w:themeTint="FF" w:themeShade="FF"/>
          <w:sz w:val="22"/>
          <w:szCs w:val="22"/>
          <w:lang w:val="en-GB"/>
        </w:rPr>
        <w:t xml:space="preserve"> national coordination during the </w:t>
      </w:r>
      <w:r w:rsidRPr="727F3008" w:rsidR="400D300A">
        <w:rPr>
          <w:rFonts w:ascii="Arial" w:hAnsi="Arial" w:eastAsia="Arial" w:cs="Arial"/>
          <w:noProof w:val="0"/>
          <w:color w:val="000000" w:themeColor="text1" w:themeTint="FF" w:themeShade="FF"/>
          <w:sz w:val="22"/>
          <w:szCs w:val="22"/>
          <w:lang w:val="en-GB"/>
        </w:rPr>
        <w:t>initial</w:t>
      </w:r>
      <w:r w:rsidRPr="727F3008" w:rsidR="400D300A">
        <w:rPr>
          <w:rFonts w:ascii="Arial" w:hAnsi="Arial" w:eastAsia="Arial" w:cs="Arial"/>
          <w:noProof w:val="0"/>
          <w:color w:val="000000" w:themeColor="text1" w:themeTint="FF" w:themeShade="FF"/>
          <w:sz w:val="22"/>
          <w:szCs w:val="22"/>
          <w:lang w:val="en-GB"/>
        </w:rPr>
        <w:t xml:space="preserve"> stages of the COVID-19 pandemic. Early in 2020, regional disparities in testing capacity, hospital preparedness, and the availability of personal protective equipment hindered Spain’s ability to respond rapidly to rising cases (Royo, 2020; European Observatory on Health Systems and Policies, 2021).</w:t>
      </w:r>
    </w:p>
    <w:p w:rsidR="400D300A" w:rsidP="727F3008" w:rsidRDefault="400D300A" w14:paraId="0C8DD4DF" w14:textId="3EC8F766">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Despite these challenges, Spain’s health system </w:t>
      </w:r>
      <w:r w:rsidRPr="727F3008" w:rsidR="400D300A">
        <w:rPr>
          <w:rFonts w:ascii="Arial" w:hAnsi="Arial" w:eastAsia="Arial" w:cs="Arial"/>
          <w:noProof w:val="0"/>
          <w:color w:val="000000" w:themeColor="text1" w:themeTint="FF" w:themeShade="FF"/>
          <w:sz w:val="22"/>
          <w:szCs w:val="22"/>
          <w:lang w:val="en-GB"/>
        </w:rPr>
        <w:t>demonstrated</w:t>
      </w:r>
      <w:r w:rsidRPr="727F3008" w:rsidR="400D300A">
        <w:rPr>
          <w:rFonts w:ascii="Arial" w:hAnsi="Arial" w:eastAsia="Arial" w:cs="Arial"/>
          <w:noProof w:val="0"/>
          <w:color w:val="000000" w:themeColor="text1" w:themeTint="FF" w:themeShade="FF"/>
          <w:sz w:val="22"/>
          <w:szCs w:val="22"/>
          <w:lang w:val="en-GB"/>
        </w:rPr>
        <w:t xml:space="preserve"> considerable resilience. The country leveraged its well-established primary care networks and hospital infrastructure to manage patient surges effectively. Coordination improved as the pandemic progressed, particularly with the creation of centralised monitoring and reporting mechanisms, which enabled the standardisation of protocols across regions (García-Alonso and Fernández-Villaverde, 2023). Spain’s vaccination campaign later became one of Europe’s most successful, achieving high coverage rates due to an integrated approach between central authorities and regional health services, robust supply chain management, and extensive public health communication campaigns (Odone et al., 2021; Luque-Fernández and Tobias, 2022). Nevertheless, Spain’s decentralised model underscores the need for rapid national coordination mechanisms in the context of highly contagious pandemics (Nursing Executives’ response to COVID-19 in Spain, 2025).</w:t>
      </w:r>
    </w:p>
    <w:p w:rsidR="400D300A" w:rsidP="727F3008" w:rsidRDefault="400D300A" w14:paraId="08F1D8F2" w14:textId="748EBABE">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1919192674" w:id="530387408"/>
      <w:r w:rsidRPr="727F3008" w:rsidR="400D300A">
        <w:rPr>
          <w:rFonts w:ascii="Arial" w:hAnsi="Arial" w:eastAsia="Arial" w:cs="Arial"/>
          <w:b w:val="1"/>
          <w:bCs w:val="1"/>
          <w:noProof w:val="0"/>
          <w:color w:val="000000" w:themeColor="text1" w:themeTint="FF" w:themeShade="FF"/>
          <w:sz w:val="22"/>
          <w:szCs w:val="22"/>
          <w:lang w:val="en-GB"/>
        </w:rPr>
        <w:t>South Korea</w:t>
      </w:r>
      <w:bookmarkEnd w:id="530387408"/>
    </w:p>
    <w:p w:rsidR="400D300A" w:rsidP="727F3008" w:rsidRDefault="400D300A" w14:paraId="4B6ED67C" w14:textId="28442681">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South Korea </w:t>
      </w:r>
      <w:r w:rsidRPr="727F3008" w:rsidR="400D300A">
        <w:rPr>
          <w:rFonts w:ascii="Arial" w:hAnsi="Arial" w:eastAsia="Arial" w:cs="Arial"/>
          <w:noProof w:val="0"/>
          <w:color w:val="000000" w:themeColor="text1" w:themeTint="FF" w:themeShade="FF"/>
          <w:sz w:val="22"/>
          <w:szCs w:val="22"/>
          <w:lang w:val="en-GB"/>
        </w:rPr>
        <w:t>operates</w:t>
      </w:r>
      <w:r w:rsidRPr="727F3008" w:rsidR="400D300A">
        <w:rPr>
          <w:rFonts w:ascii="Arial" w:hAnsi="Arial" w:eastAsia="Arial" w:cs="Arial"/>
          <w:noProof w:val="0"/>
          <w:color w:val="000000" w:themeColor="text1" w:themeTint="FF" w:themeShade="FF"/>
          <w:sz w:val="22"/>
          <w:szCs w:val="22"/>
          <w:lang w:val="en-GB"/>
        </w:rPr>
        <w:t xml:space="preserve"> a highly centralised and integrated health system, coordinated through the Ministry of Health and Welfare and supported by institutions such as the Korea Disease Control and Prevention Agency. The centralised governance model enabled swift decision-making, rapid mobilization of resources, and consistent communication with the public (Hong, 2024; National Response to COVID-19 in the Republic of Korea and Lessons Learned for Other Countries, 2020). Early in the pandemic, South Korea implemented a comprehensive testing and tracing strategy, combined with real-time data collection and analysis, which effectively controlled viral spread without imposing prolonged nationwide lockdowns (Cho et al., 2020; Yoon et al., 2020).</w:t>
      </w:r>
    </w:p>
    <w:p w:rsidR="400D300A" w:rsidP="727F3008" w:rsidRDefault="400D300A" w14:paraId="3F2200E7" w14:textId="22B4ABD9">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A key feature of South Korea’s health system response was the collaboration between government agencies, civil society, and private sector stakeholders, </w:t>
      </w:r>
      <w:r w:rsidRPr="727F3008" w:rsidR="400D300A">
        <w:rPr>
          <w:rFonts w:ascii="Arial" w:hAnsi="Arial" w:eastAsia="Arial" w:cs="Arial"/>
          <w:noProof w:val="0"/>
          <w:color w:val="000000" w:themeColor="text1" w:themeTint="FF" w:themeShade="FF"/>
          <w:sz w:val="22"/>
          <w:szCs w:val="22"/>
          <w:lang w:val="en-GB"/>
        </w:rPr>
        <w:t>facilitating</w:t>
      </w:r>
      <w:r w:rsidRPr="727F3008" w:rsidR="400D300A">
        <w:rPr>
          <w:rFonts w:ascii="Arial" w:hAnsi="Arial" w:eastAsia="Arial" w:cs="Arial"/>
          <w:noProof w:val="0"/>
          <w:color w:val="000000" w:themeColor="text1" w:themeTint="FF" w:themeShade="FF"/>
          <w:sz w:val="22"/>
          <w:szCs w:val="22"/>
          <w:lang w:val="en-GB"/>
        </w:rPr>
        <w:t xml:space="preserve"> rapid production and distribution of testing kits and medical supplies (ICNL, 2024a; ICNL, 2024b). The country’s universal healthcare coverage ensured </w:t>
      </w:r>
      <w:r w:rsidRPr="727F3008" w:rsidR="400D300A">
        <w:rPr>
          <w:rFonts w:ascii="Arial" w:hAnsi="Arial" w:eastAsia="Arial" w:cs="Arial"/>
          <w:noProof w:val="0"/>
          <w:color w:val="000000" w:themeColor="text1" w:themeTint="FF" w:themeShade="FF"/>
          <w:sz w:val="22"/>
          <w:szCs w:val="22"/>
          <w:lang w:val="en-GB"/>
        </w:rPr>
        <w:t>equitable</w:t>
      </w:r>
      <w:r w:rsidRPr="727F3008" w:rsidR="400D300A">
        <w:rPr>
          <w:rFonts w:ascii="Arial" w:hAnsi="Arial" w:eastAsia="Arial" w:cs="Arial"/>
          <w:noProof w:val="0"/>
          <w:color w:val="000000" w:themeColor="text1" w:themeTint="FF" w:themeShade="FF"/>
          <w:sz w:val="22"/>
          <w:szCs w:val="22"/>
          <w:lang w:val="en-GB"/>
        </w:rPr>
        <w:t xml:space="preserve"> access to testing, treatment, and vaccination. Transparency in communication and public engagement fostered </w:t>
      </w:r>
      <w:r w:rsidRPr="727F3008" w:rsidR="400D300A">
        <w:rPr>
          <w:rFonts w:ascii="Arial" w:hAnsi="Arial" w:eastAsia="Arial" w:cs="Arial"/>
          <w:noProof w:val="0"/>
          <w:color w:val="000000" w:themeColor="text1" w:themeTint="FF" w:themeShade="FF"/>
          <w:sz w:val="22"/>
          <w:szCs w:val="22"/>
          <w:lang w:val="en-GB"/>
        </w:rPr>
        <w:t>high levels</w:t>
      </w:r>
      <w:r w:rsidRPr="727F3008" w:rsidR="400D300A">
        <w:rPr>
          <w:rFonts w:ascii="Arial" w:hAnsi="Arial" w:eastAsia="Arial" w:cs="Arial"/>
          <w:noProof w:val="0"/>
          <w:color w:val="000000" w:themeColor="text1" w:themeTint="FF" w:themeShade="FF"/>
          <w:sz w:val="22"/>
          <w:szCs w:val="22"/>
          <w:lang w:val="en-GB"/>
        </w:rPr>
        <w:t xml:space="preserve"> of compliance with preventive measures, </w:t>
      </w:r>
      <w:r w:rsidRPr="727F3008" w:rsidR="400D300A">
        <w:rPr>
          <w:rFonts w:ascii="Arial" w:hAnsi="Arial" w:eastAsia="Arial" w:cs="Arial"/>
          <w:noProof w:val="0"/>
          <w:color w:val="000000" w:themeColor="text1" w:themeTint="FF" w:themeShade="FF"/>
          <w:sz w:val="22"/>
          <w:szCs w:val="22"/>
          <w:lang w:val="en-GB"/>
        </w:rPr>
        <w:t>demonstrating</w:t>
      </w:r>
      <w:r w:rsidRPr="727F3008" w:rsidR="400D300A">
        <w:rPr>
          <w:rFonts w:ascii="Arial" w:hAnsi="Arial" w:eastAsia="Arial" w:cs="Arial"/>
          <w:noProof w:val="0"/>
          <w:color w:val="000000" w:themeColor="text1" w:themeTint="FF" w:themeShade="FF"/>
          <w:sz w:val="22"/>
          <w:szCs w:val="22"/>
          <w:lang w:val="en-GB"/>
        </w:rPr>
        <w:t xml:space="preserve"> the effectiveness of centralised systems in enabling coordinated action and public trust (Hong, 2024; Cho et al., 2020). The South Korean approach highlights how centralised governance, integrated with strong institutional capacity, can enhance system efficiency during a health crisis.</w:t>
      </w:r>
    </w:p>
    <w:p w:rsidR="400D300A" w:rsidP="727F3008" w:rsidRDefault="400D300A" w14:paraId="61CE1289" w14:textId="40A9AAC3">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1723844630" w:id="2053104647"/>
      <w:r w:rsidRPr="727F3008" w:rsidR="400D300A">
        <w:rPr>
          <w:rFonts w:ascii="Arial" w:hAnsi="Arial" w:eastAsia="Arial" w:cs="Arial"/>
          <w:b w:val="1"/>
          <w:bCs w:val="1"/>
          <w:noProof w:val="0"/>
          <w:color w:val="000000" w:themeColor="text1" w:themeTint="FF" w:themeShade="FF"/>
          <w:sz w:val="22"/>
          <w:szCs w:val="22"/>
          <w:lang w:val="en-GB"/>
        </w:rPr>
        <w:t>Canada</w:t>
      </w:r>
      <w:bookmarkEnd w:id="2053104647"/>
    </w:p>
    <w:p w:rsidR="400D300A" w:rsidP="727F3008" w:rsidRDefault="400D300A" w14:paraId="2941907D" w14:textId="15B3941E">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Canada’s health system is a federal model, where the federal government provides oversight, funding, and national guidance, while provinces and territories are responsible for the delivery of health services (Allin et al., 2022; </w:t>
      </w:r>
      <w:r w:rsidRPr="727F3008" w:rsidR="400D300A">
        <w:rPr>
          <w:rFonts w:ascii="Arial" w:hAnsi="Arial" w:eastAsia="Arial" w:cs="Arial"/>
          <w:noProof w:val="0"/>
          <w:color w:val="000000" w:themeColor="text1" w:themeTint="FF" w:themeShade="FF"/>
          <w:sz w:val="22"/>
          <w:szCs w:val="22"/>
          <w:lang w:val="en-GB"/>
        </w:rPr>
        <w:t>Broschek</w:t>
      </w:r>
      <w:r w:rsidRPr="727F3008" w:rsidR="400D300A">
        <w:rPr>
          <w:rFonts w:ascii="Arial" w:hAnsi="Arial" w:eastAsia="Arial" w:cs="Arial"/>
          <w:noProof w:val="0"/>
          <w:color w:val="000000" w:themeColor="text1" w:themeTint="FF" w:themeShade="FF"/>
          <w:sz w:val="22"/>
          <w:szCs w:val="22"/>
          <w:lang w:val="en-GB"/>
        </w:rPr>
        <w:t xml:space="preserve">, 2022). This decentralised structure resulted in variability across </w:t>
      </w:r>
      <w:r w:rsidRPr="727F3008" w:rsidR="400D300A">
        <w:rPr>
          <w:rFonts w:ascii="Arial" w:hAnsi="Arial" w:eastAsia="Arial" w:cs="Arial"/>
          <w:noProof w:val="0"/>
          <w:color w:val="000000" w:themeColor="text1" w:themeTint="FF" w:themeShade="FF"/>
          <w:sz w:val="22"/>
          <w:szCs w:val="22"/>
          <w:lang w:val="en-GB"/>
        </w:rPr>
        <w:t>jurisdictions</w:t>
      </w:r>
      <w:r w:rsidRPr="727F3008" w:rsidR="400D300A">
        <w:rPr>
          <w:rFonts w:ascii="Arial" w:hAnsi="Arial" w:eastAsia="Arial" w:cs="Arial"/>
          <w:noProof w:val="0"/>
          <w:color w:val="000000" w:themeColor="text1" w:themeTint="FF" w:themeShade="FF"/>
          <w:sz w:val="22"/>
          <w:szCs w:val="22"/>
          <w:lang w:val="en-GB"/>
        </w:rPr>
        <w:t xml:space="preserve"> during the COVID-19 pandemic. While some provinces implemented rapid testing, contact tracing, and public health measures, others experienced delays in resource allocation, hospital preparedness, and vaccination rollouts (Murphy et al., 2025; Canadian Institute for Health Information, 2022).</w:t>
      </w:r>
    </w:p>
    <w:p w:rsidR="400D300A" w:rsidP="727F3008" w:rsidRDefault="400D300A" w14:paraId="6162B132" w14:textId="1313D2D1">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The federal government, led by Prime Minister Justin Trudeau, played a unifying role by coordinating vaccine procurement, providing financial support, and </w:t>
      </w:r>
      <w:r w:rsidRPr="727F3008" w:rsidR="400D300A">
        <w:rPr>
          <w:rFonts w:ascii="Arial" w:hAnsi="Arial" w:eastAsia="Arial" w:cs="Arial"/>
          <w:noProof w:val="0"/>
          <w:color w:val="000000" w:themeColor="text1" w:themeTint="FF" w:themeShade="FF"/>
          <w:sz w:val="22"/>
          <w:szCs w:val="22"/>
          <w:lang w:val="en-GB"/>
        </w:rPr>
        <w:t>establishing</w:t>
      </w:r>
      <w:r w:rsidRPr="727F3008" w:rsidR="400D300A">
        <w:rPr>
          <w:rFonts w:ascii="Arial" w:hAnsi="Arial" w:eastAsia="Arial" w:cs="Arial"/>
          <w:noProof w:val="0"/>
          <w:color w:val="000000" w:themeColor="text1" w:themeTint="FF" w:themeShade="FF"/>
          <w:sz w:val="22"/>
          <w:szCs w:val="22"/>
          <w:lang w:val="en-GB"/>
        </w:rPr>
        <w:t xml:space="preserve"> national guidance on pandemic response (Public Health Agency of Canada, 2023; Hertelendy et al., 2022). Although initial vaccination distribution was slow due to logistical challenges and intergovernmental coordination issues, Canada’s overall vaccination campaign was </w:t>
      </w:r>
      <w:r w:rsidRPr="727F3008" w:rsidR="400D300A">
        <w:rPr>
          <w:rFonts w:ascii="Arial" w:hAnsi="Arial" w:eastAsia="Arial" w:cs="Arial"/>
          <w:noProof w:val="0"/>
          <w:color w:val="000000" w:themeColor="text1" w:themeTint="FF" w:themeShade="FF"/>
          <w:sz w:val="22"/>
          <w:szCs w:val="22"/>
          <w:lang w:val="en-GB"/>
        </w:rPr>
        <w:t>ultimately successful</w:t>
      </w:r>
      <w:r w:rsidRPr="727F3008" w:rsidR="400D300A">
        <w:rPr>
          <w:rFonts w:ascii="Arial" w:hAnsi="Arial" w:eastAsia="Arial" w:cs="Arial"/>
          <w:noProof w:val="0"/>
          <w:color w:val="000000" w:themeColor="text1" w:themeTint="FF" w:themeShade="FF"/>
          <w:sz w:val="22"/>
          <w:szCs w:val="22"/>
          <w:lang w:val="en-GB"/>
        </w:rPr>
        <w:t xml:space="preserve">, </w:t>
      </w:r>
      <w:r w:rsidRPr="727F3008" w:rsidR="400D300A">
        <w:rPr>
          <w:rFonts w:ascii="Arial" w:hAnsi="Arial" w:eastAsia="Arial" w:cs="Arial"/>
          <w:noProof w:val="0"/>
          <w:color w:val="000000" w:themeColor="text1" w:themeTint="FF" w:themeShade="FF"/>
          <w:sz w:val="22"/>
          <w:szCs w:val="22"/>
          <w:lang w:val="en-GB"/>
        </w:rPr>
        <w:t>demonstrating</w:t>
      </w:r>
      <w:r w:rsidRPr="727F3008" w:rsidR="400D300A">
        <w:rPr>
          <w:rFonts w:ascii="Arial" w:hAnsi="Arial" w:eastAsia="Arial" w:cs="Arial"/>
          <w:noProof w:val="0"/>
          <w:color w:val="000000" w:themeColor="text1" w:themeTint="FF" w:themeShade="FF"/>
          <w:sz w:val="22"/>
          <w:szCs w:val="22"/>
          <w:lang w:val="en-GB"/>
        </w:rPr>
        <w:t xml:space="preserve"> the importance of federal leadership in a decentralised health system. Canada’s experience underscores the balance required between regional autonomy and centralised coordination to ensure efficient pandemic management (Allin et al., 2022; Greer et al., 2022).</w:t>
      </w:r>
    </w:p>
    <w:p w:rsidR="400D300A" w:rsidP="727F3008" w:rsidRDefault="400D300A" w14:paraId="0E9B8813" w14:textId="02A28182">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911024469" w:id="618270930"/>
      <w:r w:rsidRPr="727F3008" w:rsidR="400D300A">
        <w:rPr>
          <w:rFonts w:ascii="Arial" w:hAnsi="Arial" w:eastAsia="Arial" w:cs="Arial"/>
          <w:b w:val="1"/>
          <w:bCs w:val="1"/>
          <w:noProof w:val="0"/>
          <w:color w:val="000000" w:themeColor="text1" w:themeTint="FF" w:themeShade="FF"/>
          <w:sz w:val="22"/>
          <w:szCs w:val="22"/>
          <w:lang w:val="en-GB"/>
        </w:rPr>
        <w:t>Comparative Analysis</w:t>
      </w:r>
      <w:bookmarkEnd w:id="618270930"/>
    </w:p>
    <w:p w:rsidR="400D300A" w:rsidP="727F3008" w:rsidRDefault="400D300A" w14:paraId="6854BE6F" w14:textId="600E8FB6">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Comparing the three countries highlights the influence of health system organisation and centralisation on pandemic response. Spain’s decentralised model initially hindered rapid response but facilitated regional adaptation and effective vaccination rollout. South Korea’s centralised system enabled swift, coordinated action, comprehensive testing, and strong public compliance. Canada’s federal system faced challenges in synchronising provincial responses but </w:t>
      </w:r>
      <w:r w:rsidRPr="727F3008" w:rsidR="400D300A">
        <w:rPr>
          <w:rFonts w:ascii="Arial" w:hAnsi="Arial" w:eastAsia="Arial" w:cs="Arial"/>
          <w:noProof w:val="0"/>
          <w:color w:val="000000" w:themeColor="text1" w:themeTint="FF" w:themeShade="FF"/>
          <w:sz w:val="22"/>
          <w:szCs w:val="22"/>
          <w:lang w:val="en-GB"/>
        </w:rPr>
        <w:t>benefited</w:t>
      </w:r>
      <w:r w:rsidRPr="727F3008" w:rsidR="400D300A">
        <w:rPr>
          <w:rFonts w:ascii="Arial" w:hAnsi="Arial" w:eastAsia="Arial" w:cs="Arial"/>
          <w:noProof w:val="0"/>
          <w:color w:val="000000" w:themeColor="text1" w:themeTint="FF" w:themeShade="FF"/>
          <w:sz w:val="22"/>
          <w:szCs w:val="22"/>
          <w:lang w:val="en-GB"/>
        </w:rPr>
        <w:t xml:space="preserve"> from a unifying federal role that guided the overall strategy. The differences illustrate that both centralised and decentralised systems can achieve positive outcomes if leadership, coordination, and resource management are effectively applied (OECD, 2021; WHO, 2020; Sandhu et al., 2022).</w:t>
      </w:r>
    </w:p>
    <w:p w:rsidR="400D300A" w:rsidP="727F3008" w:rsidRDefault="400D300A" w14:paraId="71703048" w14:textId="0BFB4661">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1713568745" w:id="620196556"/>
      <w:r w:rsidRPr="727F3008" w:rsidR="400D300A">
        <w:rPr>
          <w:rFonts w:ascii="Arial" w:hAnsi="Arial" w:eastAsia="Arial" w:cs="Arial"/>
          <w:b w:val="1"/>
          <w:bCs w:val="1"/>
          <w:noProof w:val="0"/>
          <w:color w:val="000000" w:themeColor="text1" w:themeTint="FF" w:themeShade="FF"/>
          <w:sz w:val="22"/>
          <w:szCs w:val="22"/>
          <w:lang w:val="en-GB"/>
        </w:rPr>
        <w:t>Leadership Analysis</w:t>
      </w:r>
      <w:bookmarkEnd w:id="620196556"/>
    </w:p>
    <w:p w:rsidR="400D300A" w:rsidP="727F3008" w:rsidRDefault="400D300A" w14:paraId="6F1F194E" w14:textId="329926C9">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1106955270" w:id="2094390835"/>
      <w:r w:rsidRPr="727F3008" w:rsidR="400D300A">
        <w:rPr>
          <w:rFonts w:ascii="Arial" w:hAnsi="Arial" w:eastAsia="Arial" w:cs="Arial"/>
          <w:b w:val="1"/>
          <w:bCs w:val="1"/>
          <w:noProof w:val="0"/>
          <w:color w:val="000000" w:themeColor="text1" w:themeTint="FF" w:themeShade="FF"/>
          <w:sz w:val="22"/>
          <w:szCs w:val="22"/>
          <w:lang w:val="en-GB"/>
        </w:rPr>
        <w:t>Spain – Salvador Illa</w:t>
      </w:r>
      <w:bookmarkEnd w:id="2094390835"/>
    </w:p>
    <w:p w:rsidR="400D300A" w:rsidP="727F3008" w:rsidRDefault="400D300A" w14:paraId="3A498FB0" w14:textId="761F2E28">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Salvador Illa, Spain’s Minister of Health during the </w:t>
      </w:r>
      <w:r w:rsidRPr="727F3008" w:rsidR="400D300A">
        <w:rPr>
          <w:rFonts w:ascii="Arial" w:hAnsi="Arial" w:eastAsia="Arial" w:cs="Arial"/>
          <w:noProof w:val="0"/>
          <w:color w:val="000000" w:themeColor="text1" w:themeTint="FF" w:themeShade="FF"/>
          <w:sz w:val="22"/>
          <w:szCs w:val="22"/>
          <w:lang w:val="en-GB"/>
        </w:rPr>
        <w:t>early stages</w:t>
      </w:r>
      <w:r w:rsidRPr="727F3008" w:rsidR="400D300A">
        <w:rPr>
          <w:rFonts w:ascii="Arial" w:hAnsi="Arial" w:eastAsia="Arial" w:cs="Arial"/>
          <w:noProof w:val="0"/>
          <w:color w:val="000000" w:themeColor="text1" w:themeTint="FF" w:themeShade="FF"/>
          <w:sz w:val="22"/>
          <w:szCs w:val="22"/>
          <w:lang w:val="en-GB"/>
        </w:rPr>
        <w:t xml:space="preserve"> of the COVID-19 pandemic, faced significant challenges in leading a </w:t>
      </w:r>
      <w:r w:rsidRPr="727F3008" w:rsidR="400D300A">
        <w:rPr>
          <w:rFonts w:ascii="Arial" w:hAnsi="Arial" w:eastAsia="Arial" w:cs="Arial"/>
          <w:noProof w:val="0"/>
          <w:color w:val="000000" w:themeColor="text1" w:themeTint="FF" w:themeShade="FF"/>
          <w:sz w:val="22"/>
          <w:szCs w:val="22"/>
          <w:lang w:val="en-GB"/>
        </w:rPr>
        <w:t>largely decentralised</w:t>
      </w:r>
      <w:r w:rsidRPr="727F3008" w:rsidR="400D300A">
        <w:rPr>
          <w:rFonts w:ascii="Arial" w:hAnsi="Arial" w:eastAsia="Arial" w:cs="Arial"/>
          <w:noProof w:val="0"/>
          <w:color w:val="000000" w:themeColor="text1" w:themeTint="FF" w:themeShade="FF"/>
          <w:sz w:val="22"/>
          <w:szCs w:val="22"/>
          <w:lang w:val="en-GB"/>
        </w:rPr>
        <w:t xml:space="preserve"> health system. Early government responses were widely criticised as delayed and insufficient, with measures perceived as reactive rather than proactive (Royo, 2020; Odone et al., 2021). Illa’s leadership initially </w:t>
      </w:r>
      <w:r w:rsidRPr="727F3008" w:rsidR="400D300A">
        <w:rPr>
          <w:rFonts w:ascii="Arial" w:hAnsi="Arial" w:eastAsia="Arial" w:cs="Arial"/>
          <w:noProof w:val="0"/>
          <w:color w:val="000000" w:themeColor="text1" w:themeTint="FF" w:themeShade="FF"/>
          <w:sz w:val="22"/>
          <w:szCs w:val="22"/>
          <w:lang w:val="en-GB"/>
        </w:rPr>
        <w:t>demonstrated</w:t>
      </w:r>
      <w:r w:rsidRPr="727F3008" w:rsidR="400D300A">
        <w:rPr>
          <w:rFonts w:ascii="Arial" w:hAnsi="Arial" w:eastAsia="Arial" w:cs="Arial"/>
          <w:noProof w:val="0"/>
          <w:color w:val="000000" w:themeColor="text1" w:themeTint="FF" w:themeShade="FF"/>
          <w:sz w:val="22"/>
          <w:szCs w:val="22"/>
          <w:lang w:val="en-GB"/>
        </w:rPr>
        <w:t xml:space="preserve"> aspects of transactional management, emphasising adherence to existing procedures and compliance with regional authorities, but lacking the transformational vision required to mobilise national coordination rapidly (</w:t>
      </w:r>
      <w:r w:rsidRPr="727F3008" w:rsidR="400D300A">
        <w:rPr>
          <w:rFonts w:ascii="Arial" w:hAnsi="Arial" w:eastAsia="Arial" w:cs="Arial"/>
          <w:noProof w:val="0"/>
          <w:color w:val="000000" w:themeColor="text1" w:themeTint="FF" w:themeShade="FF"/>
          <w:sz w:val="22"/>
          <w:szCs w:val="22"/>
          <w:lang w:val="en-GB"/>
        </w:rPr>
        <w:t>Rameshan</w:t>
      </w:r>
      <w:r w:rsidRPr="727F3008" w:rsidR="400D300A">
        <w:rPr>
          <w:rFonts w:ascii="Arial" w:hAnsi="Arial" w:eastAsia="Arial" w:cs="Arial"/>
          <w:noProof w:val="0"/>
          <w:color w:val="000000" w:themeColor="text1" w:themeTint="FF" w:themeShade="FF"/>
          <w:sz w:val="22"/>
          <w:szCs w:val="22"/>
          <w:lang w:val="en-GB"/>
        </w:rPr>
        <w:t xml:space="preserve"> and Obregon, 2024).</w:t>
      </w:r>
    </w:p>
    <w:p w:rsidR="400D300A" w:rsidP="727F3008" w:rsidRDefault="400D300A" w14:paraId="5DA907C1" w14:textId="60F4D34D">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Despite early shortcomings, Illa played </w:t>
      </w:r>
      <w:r w:rsidRPr="727F3008" w:rsidR="400D300A">
        <w:rPr>
          <w:rFonts w:ascii="Arial" w:hAnsi="Arial" w:eastAsia="Arial" w:cs="Arial"/>
          <w:noProof w:val="0"/>
          <w:color w:val="000000" w:themeColor="text1" w:themeTint="FF" w:themeShade="FF"/>
          <w:sz w:val="22"/>
          <w:szCs w:val="22"/>
          <w:lang w:val="en-GB"/>
        </w:rPr>
        <w:t>a central role</w:t>
      </w:r>
      <w:r w:rsidRPr="727F3008" w:rsidR="400D300A">
        <w:rPr>
          <w:rFonts w:ascii="Arial" w:hAnsi="Arial" w:eastAsia="Arial" w:cs="Arial"/>
          <w:noProof w:val="0"/>
          <w:color w:val="000000" w:themeColor="text1" w:themeTint="FF" w:themeShade="FF"/>
          <w:sz w:val="22"/>
          <w:szCs w:val="22"/>
          <w:lang w:val="en-GB"/>
        </w:rPr>
        <w:t xml:space="preserve"> in Spain’s vaccination strategy, which later achieved remarkable coverage rates. This shift reflects a situational leadership approach, adapting strategies to evolving circumstances and </w:t>
      </w:r>
      <w:r w:rsidRPr="727F3008" w:rsidR="400D300A">
        <w:rPr>
          <w:rFonts w:ascii="Arial" w:hAnsi="Arial" w:eastAsia="Arial" w:cs="Arial"/>
          <w:noProof w:val="0"/>
          <w:color w:val="000000" w:themeColor="text1" w:themeTint="FF" w:themeShade="FF"/>
          <w:sz w:val="22"/>
          <w:szCs w:val="22"/>
          <w:lang w:val="en-GB"/>
        </w:rPr>
        <w:t>leveraging</w:t>
      </w:r>
      <w:r w:rsidRPr="727F3008" w:rsidR="400D300A">
        <w:rPr>
          <w:rFonts w:ascii="Arial" w:hAnsi="Arial" w:eastAsia="Arial" w:cs="Arial"/>
          <w:noProof w:val="0"/>
          <w:color w:val="000000" w:themeColor="text1" w:themeTint="FF" w:themeShade="FF"/>
          <w:sz w:val="22"/>
          <w:szCs w:val="22"/>
          <w:lang w:val="en-GB"/>
        </w:rPr>
        <w:t xml:space="preserve"> regional autonomy to optimise vaccine rollout (Blanco, </w:t>
      </w:r>
      <w:r w:rsidRPr="727F3008" w:rsidR="400D300A">
        <w:rPr>
          <w:rFonts w:ascii="Arial" w:hAnsi="Arial" w:eastAsia="Arial" w:cs="Arial"/>
          <w:noProof w:val="0"/>
          <w:color w:val="000000" w:themeColor="text1" w:themeTint="FF" w:themeShade="FF"/>
          <w:sz w:val="22"/>
          <w:szCs w:val="22"/>
          <w:lang w:val="en-GB"/>
        </w:rPr>
        <w:t>Gázquez</w:t>
      </w:r>
      <w:r w:rsidRPr="727F3008" w:rsidR="400D300A">
        <w:rPr>
          <w:rFonts w:ascii="Arial" w:hAnsi="Arial" w:eastAsia="Arial" w:cs="Arial"/>
          <w:noProof w:val="0"/>
          <w:color w:val="000000" w:themeColor="text1" w:themeTint="FF" w:themeShade="FF"/>
          <w:sz w:val="22"/>
          <w:szCs w:val="22"/>
          <w:lang w:val="en-GB"/>
        </w:rPr>
        <w:t xml:space="preserve"> and Leal, 2020; Luque-Fernández and Tobias, 2022). Illa’s eventual focus on transparent communication, engagement with regional health authorities, and data-driven decision-making </w:t>
      </w:r>
      <w:r w:rsidRPr="727F3008" w:rsidR="400D300A">
        <w:rPr>
          <w:rFonts w:ascii="Arial" w:hAnsi="Arial" w:eastAsia="Arial" w:cs="Arial"/>
          <w:noProof w:val="0"/>
          <w:color w:val="000000" w:themeColor="text1" w:themeTint="FF" w:themeShade="FF"/>
          <w:sz w:val="22"/>
          <w:szCs w:val="22"/>
          <w:lang w:val="en-GB"/>
        </w:rPr>
        <w:t>demonstrates</w:t>
      </w:r>
      <w:r w:rsidRPr="727F3008" w:rsidR="400D300A">
        <w:rPr>
          <w:rFonts w:ascii="Arial" w:hAnsi="Arial" w:eastAsia="Arial" w:cs="Arial"/>
          <w:noProof w:val="0"/>
          <w:color w:val="000000" w:themeColor="text1" w:themeTint="FF" w:themeShade="FF"/>
          <w:sz w:val="22"/>
          <w:szCs w:val="22"/>
          <w:lang w:val="en-GB"/>
        </w:rPr>
        <w:t xml:space="preserve"> the capacity of leaders to influence system performance even in complex, decentralised contexts (Nursing Executives’ response to COVID-19 in Spain, 2025). However, the </w:t>
      </w:r>
      <w:r w:rsidRPr="727F3008" w:rsidR="400D300A">
        <w:rPr>
          <w:rFonts w:ascii="Arial" w:hAnsi="Arial" w:eastAsia="Arial" w:cs="Arial"/>
          <w:noProof w:val="0"/>
          <w:color w:val="000000" w:themeColor="text1" w:themeTint="FF" w:themeShade="FF"/>
          <w:sz w:val="22"/>
          <w:szCs w:val="22"/>
          <w:lang w:val="en-GB"/>
        </w:rPr>
        <w:t>initial</w:t>
      </w:r>
      <w:r w:rsidRPr="727F3008" w:rsidR="400D300A">
        <w:rPr>
          <w:rFonts w:ascii="Arial" w:hAnsi="Arial" w:eastAsia="Arial" w:cs="Arial"/>
          <w:noProof w:val="0"/>
          <w:color w:val="000000" w:themeColor="text1" w:themeTint="FF" w:themeShade="FF"/>
          <w:sz w:val="22"/>
          <w:szCs w:val="22"/>
          <w:lang w:val="en-GB"/>
        </w:rPr>
        <w:t xml:space="preserve"> delay highlights the consequences of limited centralised authority and the importance of proactive crisis leadership in highly interconnected health systems (</w:t>
      </w:r>
      <w:r w:rsidRPr="727F3008" w:rsidR="400D300A">
        <w:rPr>
          <w:rFonts w:ascii="Arial" w:hAnsi="Arial" w:eastAsia="Arial" w:cs="Arial"/>
          <w:noProof w:val="0"/>
          <w:color w:val="000000" w:themeColor="text1" w:themeTint="FF" w:themeShade="FF"/>
          <w:sz w:val="22"/>
          <w:szCs w:val="22"/>
          <w:lang w:val="en-GB"/>
        </w:rPr>
        <w:t>Erkoreka</w:t>
      </w:r>
      <w:r w:rsidRPr="727F3008" w:rsidR="400D300A">
        <w:rPr>
          <w:rFonts w:ascii="Arial" w:hAnsi="Arial" w:eastAsia="Arial" w:cs="Arial"/>
          <w:noProof w:val="0"/>
          <w:color w:val="000000" w:themeColor="text1" w:themeTint="FF" w:themeShade="FF"/>
          <w:sz w:val="22"/>
          <w:szCs w:val="22"/>
          <w:lang w:val="en-GB"/>
        </w:rPr>
        <w:t>, 2022; García-Alonso and Fernández-Villaverde, 2023).</w:t>
      </w:r>
    </w:p>
    <w:p w:rsidR="400D300A" w:rsidP="727F3008" w:rsidRDefault="400D300A" w14:paraId="0D153197" w14:textId="06657269">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1020734980" w:id="342338217"/>
      <w:r w:rsidRPr="727F3008" w:rsidR="400D300A">
        <w:rPr>
          <w:rFonts w:ascii="Arial" w:hAnsi="Arial" w:eastAsia="Arial" w:cs="Arial"/>
          <w:b w:val="1"/>
          <w:bCs w:val="1"/>
          <w:noProof w:val="0"/>
          <w:color w:val="000000" w:themeColor="text1" w:themeTint="FF" w:themeShade="FF"/>
          <w:sz w:val="22"/>
          <w:szCs w:val="22"/>
          <w:lang w:val="en-GB"/>
        </w:rPr>
        <w:t>South Korea – Chung Sye-</w:t>
      </w:r>
      <w:r w:rsidRPr="727F3008" w:rsidR="400D300A">
        <w:rPr>
          <w:rFonts w:ascii="Arial" w:hAnsi="Arial" w:eastAsia="Arial" w:cs="Arial"/>
          <w:b w:val="1"/>
          <w:bCs w:val="1"/>
          <w:noProof w:val="0"/>
          <w:color w:val="000000" w:themeColor="text1" w:themeTint="FF" w:themeShade="FF"/>
          <w:sz w:val="22"/>
          <w:szCs w:val="22"/>
          <w:lang w:val="en-GB"/>
        </w:rPr>
        <w:t>kyun</w:t>
      </w:r>
      <w:bookmarkEnd w:id="342338217"/>
    </w:p>
    <w:p w:rsidR="400D300A" w:rsidP="727F3008" w:rsidRDefault="400D300A" w14:paraId="058821A9" w14:textId="436DDAE4">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In contrast, South Korea’s response </w:t>
      </w:r>
      <w:r w:rsidRPr="727F3008" w:rsidR="400D300A">
        <w:rPr>
          <w:rFonts w:ascii="Arial" w:hAnsi="Arial" w:eastAsia="Arial" w:cs="Arial"/>
          <w:noProof w:val="0"/>
          <w:color w:val="000000" w:themeColor="text1" w:themeTint="FF" w:themeShade="FF"/>
          <w:sz w:val="22"/>
          <w:szCs w:val="22"/>
          <w:lang w:val="en-GB"/>
        </w:rPr>
        <w:t>benefited</w:t>
      </w:r>
      <w:r w:rsidRPr="727F3008" w:rsidR="400D300A">
        <w:rPr>
          <w:rFonts w:ascii="Arial" w:hAnsi="Arial" w:eastAsia="Arial" w:cs="Arial"/>
          <w:noProof w:val="0"/>
          <w:color w:val="000000" w:themeColor="text1" w:themeTint="FF" w:themeShade="FF"/>
          <w:sz w:val="22"/>
          <w:szCs w:val="22"/>
          <w:lang w:val="en-GB"/>
        </w:rPr>
        <w:t xml:space="preserve"> from the leadership of Prime Minister Chung Sye-</w:t>
      </w:r>
      <w:r w:rsidRPr="727F3008" w:rsidR="400D300A">
        <w:rPr>
          <w:rFonts w:ascii="Arial" w:hAnsi="Arial" w:eastAsia="Arial" w:cs="Arial"/>
          <w:noProof w:val="0"/>
          <w:color w:val="000000" w:themeColor="text1" w:themeTint="FF" w:themeShade="FF"/>
          <w:sz w:val="22"/>
          <w:szCs w:val="22"/>
          <w:lang w:val="en-GB"/>
        </w:rPr>
        <w:t>kyun</w:t>
      </w:r>
      <w:r w:rsidRPr="727F3008" w:rsidR="400D300A">
        <w:rPr>
          <w:rFonts w:ascii="Arial" w:hAnsi="Arial" w:eastAsia="Arial" w:cs="Arial"/>
          <w:noProof w:val="0"/>
          <w:color w:val="000000" w:themeColor="text1" w:themeTint="FF" w:themeShade="FF"/>
          <w:sz w:val="22"/>
          <w:szCs w:val="22"/>
          <w:lang w:val="en-GB"/>
        </w:rPr>
        <w:t xml:space="preserve">, who </w:t>
      </w:r>
      <w:r w:rsidRPr="727F3008" w:rsidR="400D300A">
        <w:rPr>
          <w:rFonts w:ascii="Arial" w:hAnsi="Arial" w:eastAsia="Arial" w:cs="Arial"/>
          <w:noProof w:val="0"/>
          <w:color w:val="000000" w:themeColor="text1" w:themeTint="FF" w:themeShade="FF"/>
          <w:sz w:val="22"/>
          <w:szCs w:val="22"/>
          <w:lang w:val="en-GB"/>
        </w:rPr>
        <w:t>demonstrated</w:t>
      </w:r>
      <w:r w:rsidRPr="727F3008" w:rsidR="400D300A">
        <w:rPr>
          <w:rFonts w:ascii="Arial" w:hAnsi="Arial" w:eastAsia="Arial" w:cs="Arial"/>
          <w:noProof w:val="0"/>
          <w:color w:val="000000" w:themeColor="text1" w:themeTint="FF" w:themeShade="FF"/>
          <w:sz w:val="22"/>
          <w:szCs w:val="22"/>
          <w:lang w:val="en-GB"/>
        </w:rPr>
        <w:t xml:space="preserve"> a highly proactive and transparent approach. His leadership aligns closely with transformational theory, characterised by the ability to inspire collective action, communicate a compelling vision, and motivate adherence to public health measures (ICNL, 2024a; Hong, 2024). Chung emphasised openness, transparency, and public trust, </w:t>
      </w:r>
      <w:r w:rsidRPr="727F3008" w:rsidR="400D300A">
        <w:rPr>
          <w:rFonts w:ascii="Arial" w:hAnsi="Arial" w:eastAsia="Arial" w:cs="Arial"/>
          <w:noProof w:val="0"/>
          <w:color w:val="000000" w:themeColor="text1" w:themeTint="FF" w:themeShade="FF"/>
          <w:sz w:val="22"/>
          <w:szCs w:val="22"/>
          <w:lang w:val="en-GB"/>
        </w:rPr>
        <w:t>facilitating</w:t>
      </w:r>
      <w:r w:rsidRPr="727F3008" w:rsidR="400D300A">
        <w:rPr>
          <w:rFonts w:ascii="Arial" w:hAnsi="Arial" w:eastAsia="Arial" w:cs="Arial"/>
          <w:noProof w:val="0"/>
          <w:color w:val="000000" w:themeColor="text1" w:themeTint="FF" w:themeShade="FF"/>
          <w:sz w:val="22"/>
          <w:szCs w:val="22"/>
          <w:lang w:val="en-GB"/>
        </w:rPr>
        <w:t xml:space="preserve"> citizen compliance with testing, tracing, and mobility guidelines, while enabling government agencies to </w:t>
      </w:r>
      <w:r w:rsidRPr="727F3008" w:rsidR="400D300A">
        <w:rPr>
          <w:rFonts w:ascii="Arial" w:hAnsi="Arial" w:eastAsia="Arial" w:cs="Arial"/>
          <w:noProof w:val="0"/>
          <w:color w:val="000000" w:themeColor="text1" w:themeTint="FF" w:themeShade="FF"/>
          <w:sz w:val="22"/>
          <w:szCs w:val="22"/>
          <w:lang w:val="en-GB"/>
        </w:rPr>
        <w:t>operate</w:t>
      </w:r>
      <w:r w:rsidRPr="727F3008" w:rsidR="400D300A">
        <w:rPr>
          <w:rFonts w:ascii="Arial" w:hAnsi="Arial" w:eastAsia="Arial" w:cs="Arial"/>
          <w:noProof w:val="0"/>
          <w:color w:val="000000" w:themeColor="text1" w:themeTint="FF" w:themeShade="FF"/>
          <w:sz w:val="22"/>
          <w:szCs w:val="22"/>
          <w:lang w:val="en-GB"/>
        </w:rPr>
        <w:t xml:space="preserve"> in a coordinated and efficient manner (Cho et al., 2020; Yoon et al., 2020).</w:t>
      </w:r>
    </w:p>
    <w:p w:rsidR="400D300A" w:rsidP="727F3008" w:rsidRDefault="400D300A" w14:paraId="7CD5ADE4" w14:textId="32BAFFF6">
      <w:pPr>
        <w:spacing w:before="240" w:beforeAutospacing="off" w:after="240" w:afterAutospacing="off" w:line="360" w:lineRule="auto"/>
        <w:jc w:val="both"/>
        <w:rPr>
          <w:rFonts w:ascii="Arial" w:hAnsi="Arial" w:eastAsia="Arial" w:cs="Arial"/>
          <w:b w:val="1"/>
          <w:bCs w:val="1"/>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Chung’s approach also reflects elements of servant leadership, prioritising public welfare and stakeholder engagement. By involving civil society and private sector actors, the government expanded testing capacity, ensured </w:t>
      </w:r>
      <w:r w:rsidRPr="727F3008" w:rsidR="400D300A">
        <w:rPr>
          <w:rFonts w:ascii="Arial" w:hAnsi="Arial" w:eastAsia="Arial" w:cs="Arial"/>
          <w:noProof w:val="0"/>
          <w:color w:val="000000" w:themeColor="text1" w:themeTint="FF" w:themeShade="FF"/>
          <w:sz w:val="22"/>
          <w:szCs w:val="22"/>
          <w:lang w:val="en-GB"/>
        </w:rPr>
        <w:t>equitable</w:t>
      </w:r>
      <w:r w:rsidRPr="727F3008" w:rsidR="400D300A">
        <w:rPr>
          <w:rFonts w:ascii="Arial" w:hAnsi="Arial" w:eastAsia="Arial" w:cs="Arial"/>
          <w:noProof w:val="0"/>
          <w:color w:val="000000" w:themeColor="text1" w:themeTint="FF" w:themeShade="FF"/>
          <w:sz w:val="22"/>
          <w:szCs w:val="22"/>
          <w:lang w:val="en-GB"/>
        </w:rPr>
        <w:t xml:space="preserve"> access to resources, and </w:t>
      </w:r>
      <w:r w:rsidRPr="727F3008" w:rsidR="400D300A">
        <w:rPr>
          <w:rFonts w:ascii="Arial" w:hAnsi="Arial" w:eastAsia="Arial" w:cs="Arial"/>
          <w:noProof w:val="0"/>
          <w:color w:val="000000" w:themeColor="text1" w:themeTint="FF" w:themeShade="FF"/>
          <w:sz w:val="22"/>
          <w:szCs w:val="22"/>
          <w:lang w:val="en-GB"/>
        </w:rPr>
        <w:t>maintained</w:t>
      </w:r>
      <w:r w:rsidRPr="727F3008" w:rsidR="400D300A">
        <w:rPr>
          <w:rFonts w:ascii="Arial" w:hAnsi="Arial" w:eastAsia="Arial" w:cs="Arial"/>
          <w:noProof w:val="0"/>
          <w:color w:val="000000" w:themeColor="text1" w:themeTint="FF" w:themeShade="FF"/>
          <w:sz w:val="22"/>
          <w:szCs w:val="22"/>
          <w:lang w:val="en-GB"/>
        </w:rPr>
        <w:t xml:space="preserve"> high public confidence (ICNL, 2024b). The centralised governance structure allowed rapid deployment of policy measures, </w:t>
      </w:r>
      <w:r w:rsidRPr="727F3008" w:rsidR="400D300A">
        <w:rPr>
          <w:rFonts w:ascii="Arial" w:hAnsi="Arial" w:eastAsia="Arial" w:cs="Arial"/>
          <w:noProof w:val="0"/>
          <w:color w:val="000000" w:themeColor="text1" w:themeTint="FF" w:themeShade="FF"/>
          <w:sz w:val="22"/>
          <w:szCs w:val="22"/>
          <w:lang w:val="en-GB"/>
        </w:rPr>
        <w:t>demonstrating</w:t>
      </w:r>
      <w:r w:rsidRPr="727F3008" w:rsidR="400D300A">
        <w:rPr>
          <w:rFonts w:ascii="Arial" w:hAnsi="Arial" w:eastAsia="Arial" w:cs="Arial"/>
          <w:noProof w:val="0"/>
          <w:color w:val="000000" w:themeColor="text1" w:themeTint="FF" w:themeShade="FF"/>
          <w:sz w:val="22"/>
          <w:szCs w:val="22"/>
          <w:lang w:val="en-GB"/>
        </w:rPr>
        <w:t xml:space="preserve"> the interplay between effective leadership and systemic efficiency. The South Korean case illustrates how transformational and servant leadership can drive both compliance and operational effectiveness in a crisis (National Response to COVID-19 in the Republic of Korea and Lessons Learned for Other Countries, 2020; Hong, 2024).</w:t>
      </w:r>
    </w:p>
    <w:p w:rsidR="400D300A" w:rsidP="727F3008" w:rsidRDefault="400D300A" w14:paraId="50CF6659" w14:textId="34B878FE">
      <w:pPr>
        <w:spacing w:before="240" w:beforeAutospacing="off" w:after="240" w:afterAutospacing="off" w:line="360" w:lineRule="auto"/>
        <w:jc w:val="both"/>
        <w:rPr>
          <w:rFonts w:ascii="Arial" w:hAnsi="Arial" w:eastAsia="Arial" w:cs="Arial"/>
          <w:b w:val="1"/>
          <w:bCs w:val="1"/>
          <w:noProof w:val="0"/>
          <w:color w:val="000000" w:themeColor="text1" w:themeTint="FF" w:themeShade="FF"/>
          <w:sz w:val="22"/>
          <w:szCs w:val="22"/>
          <w:lang w:val="en-GB"/>
        </w:rPr>
      </w:pPr>
      <w:r w:rsidRPr="727F3008" w:rsidR="400D300A">
        <w:rPr>
          <w:rFonts w:ascii="Arial" w:hAnsi="Arial" w:eastAsia="Arial" w:cs="Arial"/>
          <w:b w:val="1"/>
          <w:bCs w:val="1"/>
          <w:noProof w:val="0"/>
          <w:color w:val="000000" w:themeColor="text1" w:themeTint="FF" w:themeShade="FF"/>
          <w:sz w:val="22"/>
          <w:szCs w:val="22"/>
          <w:lang w:val="en-GB"/>
        </w:rPr>
        <w:t>Canada – Justin Trudeau</w:t>
      </w:r>
    </w:p>
    <w:p w:rsidR="400D300A" w:rsidP="727F3008" w:rsidRDefault="400D300A" w14:paraId="6D13B76E" w14:textId="5075E3A1">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Canada’s federal context required a different leadership approach. Prime Minister Justin Trudeau exercised unifying leadership to coordinate a decentralised health system, balancing federal guidance with provincial autonomy (Allin et al., 2022; Broschek, 2022). Trudeau’s leadership reflects elements of situational leadership, adapting strategies to diverse provincial capacities, and transactional leadership, focusing on clear procedural guidance and the allocation of resources (Hertelendy et al., 2022; Public Health Agency of Canada, 2023).</w:t>
      </w:r>
    </w:p>
    <w:p w:rsidR="400D300A" w:rsidP="727F3008" w:rsidRDefault="400D300A" w14:paraId="6CC5FD5D" w14:textId="2CD1614F">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Trudeau’s effectiveness was evident in the vaccination campaign, which, although initially slow due to logistical challenges, ultimately achieved high coverage across provinces. His leadership facilitated intergovernmental collaboration, communication of evidence-based guidance, and mobilization of resources to address inequities in vaccine distribution (Murphy et al., 2025). The Canadian case highlights the importance of balancing autonomy and coordination in federal systems, demonstrating that effective leadership requires both strategic oversight and sensitivity to regional needs (Greer et al., 2022; Allin et al., 2022).</w:t>
      </w:r>
    </w:p>
    <w:p w:rsidR="400D300A" w:rsidP="727F3008" w:rsidRDefault="400D300A" w14:paraId="377B1F10" w14:textId="69511F31">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542171154" w:id="234966133"/>
      <w:r w:rsidRPr="727F3008" w:rsidR="400D300A">
        <w:rPr>
          <w:rFonts w:ascii="Arial" w:hAnsi="Arial" w:eastAsia="Arial" w:cs="Arial"/>
          <w:b w:val="1"/>
          <w:bCs w:val="1"/>
          <w:noProof w:val="0"/>
          <w:color w:val="000000" w:themeColor="text1" w:themeTint="FF" w:themeShade="FF"/>
          <w:sz w:val="22"/>
          <w:szCs w:val="22"/>
          <w:lang w:val="en-GB"/>
        </w:rPr>
        <w:t>Comparative Evaluation</w:t>
      </w:r>
      <w:bookmarkEnd w:id="234966133"/>
    </w:p>
    <w:p w:rsidR="400D300A" w:rsidP="727F3008" w:rsidRDefault="400D300A" w14:paraId="3F4AD7BA" w14:textId="710FB1F3">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Comparing these three leaders highlights the influence of health system structure on leadership effectiveness. In centralised systems, as in South Korea, transformational and servant leadership approaches are highly effective, enabling rapid decision-making and public compliance. In decentralised or federal systems, as in Spain and Canada, leaders must combine situational, transactional, and adaptive strategies to coordinate diverse authorities and resources (OECD, 2021; WHO, 2020). Across all cases, transparency, communication, and engagement with stakeholders emerged as critical components of successful leadership during a public health crisis (Sandhu et al., 2022; Rameshan and Obregon, 2024).</w:t>
      </w:r>
    </w:p>
    <w:p w:rsidR="400D300A" w:rsidP="727F3008" w:rsidRDefault="400D300A" w14:paraId="626E9C03" w14:textId="295137D0">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The analysis demonstrates that leadership is not solely dependent on personal traits but is closely tied to the governance context. Effective leaders align their strategies with the structural realities of the health system, adapting approaches to optimise outcomes, foster trust, and ensure the efficient delivery of services during crises. By applying leadership theory to the COVID-19 responses, this report illustrates the interplay between individual decision-making, systemic constraints, and public health outcomes, providing actionable insights for future emergency preparedness (ICNL, 2024a; Hong, 2024; Royo, 2020).</w:t>
      </w:r>
    </w:p>
    <w:p w:rsidR="400D300A" w:rsidP="727F3008" w:rsidRDefault="400D300A" w14:paraId="74465AA8" w14:textId="3371E419">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217230662" w:id="1697713615"/>
      <w:r w:rsidRPr="727F3008" w:rsidR="400D300A">
        <w:rPr>
          <w:rFonts w:ascii="Arial" w:hAnsi="Arial" w:eastAsia="Arial" w:cs="Arial"/>
          <w:b w:val="1"/>
          <w:bCs w:val="1"/>
          <w:noProof w:val="0"/>
          <w:color w:val="000000" w:themeColor="text1" w:themeTint="FF" w:themeShade="FF"/>
          <w:sz w:val="22"/>
          <w:szCs w:val="22"/>
          <w:lang w:val="en-GB"/>
        </w:rPr>
        <w:t>Centralisation versus Decentralisation Analysis</w:t>
      </w:r>
      <w:bookmarkEnd w:id="1697713615"/>
    </w:p>
    <w:p w:rsidR="400D300A" w:rsidP="727F3008" w:rsidRDefault="400D300A" w14:paraId="70E9C9AB" w14:textId="66BE1635">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The distribution of power within health systems plays a critical role in determining the effectiveness of pandemic responses. Centralisation and decentralisation affect decision-making speed, resource allocation, coordination of services, and public compliance. Examining Spain, South Korea, and Canada reveals the interplay between governance structures and health outcomes during the COVID-19 pandemic.</w:t>
      </w:r>
    </w:p>
    <w:p w:rsidR="400D300A" w:rsidP="727F3008" w:rsidRDefault="400D300A" w14:paraId="6FAF60B9" w14:textId="27F294D6">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54694613" w:id="995966394"/>
      <w:r w:rsidRPr="727F3008" w:rsidR="400D300A">
        <w:rPr>
          <w:rFonts w:ascii="Arial" w:hAnsi="Arial" w:eastAsia="Arial" w:cs="Arial"/>
          <w:b w:val="1"/>
          <w:bCs w:val="1"/>
          <w:noProof w:val="0"/>
          <w:color w:val="000000" w:themeColor="text1" w:themeTint="FF" w:themeShade="FF"/>
          <w:sz w:val="22"/>
          <w:szCs w:val="22"/>
          <w:lang w:val="en-GB"/>
        </w:rPr>
        <w:t>Spain</w:t>
      </w:r>
      <w:bookmarkEnd w:id="995966394"/>
    </w:p>
    <w:p w:rsidR="400D300A" w:rsidP="727F3008" w:rsidRDefault="400D300A" w14:paraId="07082BFD" w14:textId="73292CF7">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Spain’s health system is characterised by high decentralisation, with autonomous regions holding primary responsibility for healthcare delivery. This arrangement provides flexibility, allowing regions to tailor interventions to local epidemiological conditions. However, the COVID-19 pandemic exposed the limitations of decentralised governance during a rapidly evolving health crisis. Early in the outbreak, regional disparities in testing, hospital capacity, and resource allocation delayed effective containment (Erkoreka, 2022; González López-Valcárcel and Lopez-Casasnovas, 2025). The central government’s limited authority initially hindered national coordination, resulting in inconsistent messaging and varied implementation of containment measures (Blanco, Gázquez and Leal, 2020; Odone et al., 2021).</w:t>
      </w:r>
    </w:p>
    <w:p w:rsidR="400D300A" w:rsidP="727F3008" w:rsidRDefault="400D300A" w14:paraId="643A6FDB" w14:textId="26FA22E6">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Despite these early challenges, decentralisation later </w:t>
      </w:r>
      <w:r w:rsidRPr="727F3008" w:rsidR="400D300A">
        <w:rPr>
          <w:rFonts w:ascii="Arial" w:hAnsi="Arial" w:eastAsia="Arial" w:cs="Arial"/>
          <w:noProof w:val="0"/>
          <w:color w:val="000000" w:themeColor="text1" w:themeTint="FF" w:themeShade="FF"/>
          <w:sz w:val="22"/>
          <w:szCs w:val="22"/>
          <w:lang w:val="en-GB"/>
        </w:rPr>
        <w:t>facilitated</w:t>
      </w:r>
      <w:r w:rsidRPr="727F3008" w:rsidR="400D300A">
        <w:rPr>
          <w:rFonts w:ascii="Arial" w:hAnsi="Arial" w:eastAsia="Arial" w:cs="Arial"/>
          <w:noProof w:val="0"/>
          <w:color w:val="000000" w:themeColor="text1" w:themeTint="FF" w:themeShade="FF"/>
          <w:sz w:val="22"/>
          <w:szCs w:val="22"/>
          <w:lang w:val="en-GB"/>
        </w:rPr>
        <w:t xml:space="preserve"> an effective vaccination rollout. Regional authorities were able to </w:t>
      </w:r>
      <w:r w:rsidRPr="727F3008" w:rsidR="400D300A">
        <w:rPr>
          <w:rFonts w:ascii="Arial" w:hAnsi="Arial" w:eastAsia="Arial" w:cs="Arial"/>
          <w:noProof w:val="0"/>
          <w:color w:val="000000" w:themeColor="text1" w:themeTint="FF" w:themeShade="FF"/>
          <w:sz w:val="22"/>
          <w:szCs w:val="22"/>
          <w:lang w:val="en-GB"/>
        </w:rPr>
        <w:t>leverage</w:t>
      </w:r>
      <w:r w:rsidRPr="727F3008" w:rsidR="400D300A">
        <w:rPr>
          <w:rFonts w:ascii="Arial" w:hAnsi="Arial" w:eastAsia="Arial" w:cs="Arial"/>
          <w:noProof w:val="0"/>
          <w:color w:val="000000" w:themeColor="text1" w:themeTint="FF" w:themeShade="FF"/>
          <w:sz w:val="22"/>
          <w:szCs w:val="22"/>
          <w:lang w:val="en-GB"/>
        </w:rPr>
        <w:t xml:space="preserve"> local networks and infrastructure to distribute vaccines efficiently, </w:t>
      </w:r>
      <w:r w:rsidRPr="727F3008" w:rsidR="400D300A">
        <w:rPr>
          <w:rFonts w:ascii="Arial" w:hAnsi="Arial" w:eastAsia="Arial" w:cs="Arial"/>
          <w:noProof w:val="0"/>
          <w:color w:val="000000" w:themeColor="text1" w:themeTint="FF" w:themeShade="FF"/>
          <w:sz w:val="22"/>
          <w:szCs w:val="22"/>
          <w:lang w:val="en-GB"/>
        </w:rPr>
        <w:t>demonstrating</w:t>
      </w:r>
      <w:r w:rsidRPr="727F3008" w:rsidR="400D300A">
        <w:rPr>
          <w:rFonts w:ascii="Arial" w:hAnsi="Arial" w:eastAsia="Arial" w:cs="Arial"/>
          <w:noProof w:val="0"/>
          <w:color w:val="000000" w:themeColor="text1" w:themeTint="FF" w:themeShade="FF"/>
          <w:sz w:val="22"/>
          <w:szCs w:val="22"/>
          <w:lang w:val="en-GB"/>
        </w:rPr>
        <w:t xml:space="preserve"> that decentralised systems can be </w:t>
      </w:r>
      <w:r w:rsidRPr="727F3008" w:rsidR="400D300A">
        <w:rPr>
          <w:rFonts w:ascii="Arial" w:hAnsi="Arial" w:eastAsia="Arial" w:cs="Arial"/>
          <w:noProof w:val="0"/>
          <w:color w:val="000000" w:themeColor="text1" w:themeTint="FF" w:themeShade="FF"/>
          <w:sz w:val="22"/>
          <w:szCs w:val="22"/>
          <w:lang w:val="en-GB"/>
        </w:rPr>
        <w:t>advantageous</w:t>
      </w:r>
      <w:r w:rsidRPr="727F3008" w:rsidR="400D300A">
        <w:rPr>
          <w:rFonts w:ascii="Arial" w:hAnsi="Arial" w:eastAsia="Arial" w:cs="Arial"/>
          <w:noProof w:val="0"/>
          <w:color w:val="000000" w:themeColor="text1" w:themeTint="FF" w:themeShade="FF"/>
          <w:sz w:val="22"/>
          <w:szCs w:val="22"/>
          <w:lang w:val="en-GB"/>
        </w:rPr>
        <w:t xml:space="preserve"> when proactive coordination mechanisms are in place (Luque-Fernández and Tobias, 2022; García-Alonso and Fernández-Villaverde, 2023). Spain’s experience underscores that decentralisation can provide adaptive capacity but requires strong central oversight during emergencies to ensure uniformity in critical public health measures.</w:t>
      </w:r>
    </w:p>
    <w:p w:rsidR="400D300A" w:rsidP="727F3008" w:rsidRDefault="400D300A" w14:paraId="0CF6654A" w14:textId="5760AEE9">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31832180" w:id="116863097"/>
      <w:r w:rsidRPr="727F3008" w:rsidR="400D300A">
        <w:rPr>
          <w:rFonts w:ascii="Arial" w:hAnsi="Arial" w:eastAsia="Arial" w:cs="Arial"/>
          <w:b w:val="1"/>
          <w:bCs w:val="1"/>
          <w:noProof w:val="0"/>
          <w:color w:val="000000" w:themeColor="text1" w:themeTint="FF" w:themeShade="FF"/>
          <w:sz w:val="22"/>
          <w:szCs w:val="22"/>
          <w:lang w:val="en-GB"/>
        </w:rPr>
        <w:t>South Korea</w:t>
      </w:r>
      <w:bookmarkEnd w:id="116863097"/>
    </w:p>
    <w:p w:rsidR="400D300A" w:rsidP="727F3008" w:rsidRDefault="400D300A" w14:paraId="2F02136A" w14:textId="158B4DCE">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South Korea exemplifies a centralised governance model, where the national government </w:t>
      </w:r>
      <w:r w:rsidRPr="727F3008" w:rsidR="400D300A">
        <w:rPr>
          <w:rFonts w:ascii="Arial" w:hAnsi="Arial" w:eastAsia="Arial" w:cs="Arial"/>
          <w:noProof w:val="0"/>
          <w:color w:val="000000" w:themeColor="text1" w:themeTint="FF" w:themeShade="FF"/>
          <w:sz w:val="22"/>
          <w:szCs w:val="22"/>
          <w:lang w:val="en-GB"/>
        </w:rPr>
        <w:t>maintains</w:t>
      </w:r>
      <w:r w:rsidRPr="727F3008" w:rsidR="400D300A">
        <w:rPr>
          <w:rFonts w:ascii="Arial" w:hAnsi="Arial" w:eastAsia="Arial" w:cs="Arial"/>
          <w:noProof w:val="0"/>
          <w:color w:val="000000" w:themeColor="text1" w:themeTint="FF" w:themeShade="FF"/>
          <w:sz w:val="22"/>
          <w:szCs w:val="22"/>
          <w:lang w:val="en-GB"/>
        </w:rPr>
        <w:t xml:space="preserve"> direct control over health policy implementation. Centralised authority enabled rapid decision-making, uniform application of testing, tracing, and isolation protocols, and </w:t>
      </w:r>
      <w:r w:rsidRPr="727F3008" w:rsidR="400D300A">
        <w:rPr>
          <w:rFonts w:ascii="Arial" w:hAnsi="Arial" w:eastAsia="Arial" w:cs="Arial"/>
          <w:noProof w:val="0"/>
          <w:color w:val="000000" w:themeColor="text1" w:themeTint="FF" w:themeShade="FF"/>
          <w:sz w:val="22"/>
          <w:szCs w:val="22"/>
          <w:lang w:val="en-GB"/>
        </w:rPr>
        <w:t>timely</w:t>
      </w:r>
      <w:r w:rsidRPr="727F3008" w:rsidR="400D300A">
        <w:rPr>
          <w:rFonts w:ascii="Arial" w:hAnsi="Arial" w:eastAsia="Arial" w:cs="Arial"/>
          <w:noProof w:val="0"/>
          <w:color w:val="000000" w:themeColor="text1" w:themeTint="FF" w:themeShade="FF"/>
          <w:sz w:val="22"/>
          <w:szCs w:val="22"/>
          <w:lang w:val="en-GB"/>
        </w:rPr>
        <w:t xml:space="preserve"> communication with the public (Hong, 2024; National Response to COVID-19 in the Republic of Korea and Lessons Learned for Other Countries, 2020). The Ministry of Health and Welfare, alongside the Korea Disease Control and Prevention Agency, coordinated nationwide efforts, </w:t>
      </w:r>
      <w:r w:rsidRPr="727F3008" w:rsidR="400D300A">
        <w:rPr>
          <w:rFonts w:ascii="Arial" w:hAnsi="Arial" w:eastAsia="Arial" w:cs="Arial"/>
          <w:noProof w:val="0"/>
          <w:color w:val="000000" w:themeColor="text1" w:themeTint="FF" w:themeShade="FF"/>
          <w:sz w:val="22"/>
          <w:szCs w:val="22"/>
          <w:lang w:val="en-GB"/>
        </w:rPr>
        <w:t>facilitating</w:t>
      </w:r>
      <w:r w:rsidRPr="727F3008" w:rsidR="400D300A">
        <w:rPr>
          <w:rFonts w:ascii="Arial" w:hAnsi="Arial" w:eastAsia="Arial" w:cs="Arial"/>
          <w:noProof w:val="0"/>
          <w:color w:val="000000" w:themeColor="text1" w:themeTint="FF" w:themeShade="FF"/>
          <w:sz w:val="22"/>
          <w:szCs w:val="22"/>
          <w:lang w:val="en-GB"/>
        </w:rPr>
        <w:t xml:space="preserve"> consistent standards of care and resource distribution (ICNL, 2024a; ICNL, 2024b).</w:t>
      </w:r>
    </w:p>
    <w:p w:rsidR="400D300A" w:rsidP="727F3008" w:rsidRDefault="400D300A" w14:paraId="52634063" w14:textId="0BB78AED">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Centralisation also allowed South Korea to integrate technology into pandemic management effectively, such as digital contact tracing and real-time data dashboards, which </w:t>
      </w:r>
      <w:r w:rsidRPr="727F3008" w:rsidR="400D300A">
        <w:rPr>
          <w:rFonts w:ascii="Arial" w:hAnsi="Arial" w:eastAsia="Arial" w:cs="Arial"/>
          <w:noProof w:val="0"/>
          <w:color w:val="000000" w:themeColor="text1" w:themeTint="FF" w:themeShade="FF"/>
          <w:sz w:val="22"/>
          <w:szCs w:val="22"/>
          <w:lang w:val="en-GB"/>
        </w:rPr>
        <w:t>required</w:t>
      </w:r>
      <w:r w:rsidRPr="727F3008" w:rsidR="400D300A">
        <w:rPr>
          <w:rFonts w:ascii="Arial" w:hAnsi="Arial" w:eastAsia="Arial" w:cs="Arial"/>
          <w:noProof w:val="0"/>
          <w:color w:val="000000" w:themeColor="text1" w:themeTint="FF" w:themeShade="FF"/>
          <w:sz w:val="22"/>
          <w:szCs w:val="22"/>
          <w:lang w:val="en-GB"/>
        </w:rPr>
        <w:t xml:space="preserve"> uniform implementation across regions (Cho et al., 2020; Yoon et al., 2020). The centralised model was instrumental in </w:t>
      </w:r>
      <w:r w:rsidRPr="727F3008" w:rsidR="400D300A">
        <w:rPr>
          <w:rFonts w:ascii="Arial" w:hAnsi="Arial" w:eastAsia="Arial" w:cs="Arial"/>
          <w:noProof w:val="0"/>
          <w:color w:val="000000" w:themeColor="text1" w:themeTint="FF" w:themeShade="FF"/>
          <w:sz w:val="22"/>
          <w:szCs w:val="22"/>
          <w:lang w:val="en-GB"/>
        </w:rPr>
        <w:t>maintaining</w:t>
      </w:r>
      <w:r w:rsidRPr="727F3008" w:rsidR="400D300A">
        <w:rPr>
          <w:rFonts w:ascii="Arial" w:hAnsi="Arial" w:eastAsia="Arial" w:cs="Arial"/>
          <w:noProof w:val="0"/>
          <w:color w:val="000000" w:themeColor="text1" w:themeTint="FF" w:themeShade="FF"/>
          <w:sz w:val="22"/>
          <w:szCs w:val="22"/>
          <w:lang w:val="en-GB"/>
        </w:rPr>
        <w:t xml:space="preserve"> public trust and compliance, highlighting the advantages of concentrated decision-making authority in rapidly evolving health crises. South Korea </w:t>
      </w:r>
      <w:r w:rsidRPr="727F3008" w:rsidR="400D300A">
        <w:rPr>
          <w:rFonts w:ascii="Arial" w:hAnsi="Arial" w:eastAsia="Arial" w:cs="Arial"/>
          <w:noProof w:val="0"/>
          <w:color w:val="000000" w:themeColor="text1" w:themeTint="FF" w:themeShade="FF"/>
          <w:sz w:val="22"/>
          <w:szCs w:val="22"/>
          <w:lang w:val="en-GB"/>
        </w:rPr>
        <w:t>demonstrates</w:t>
      </w:r>
      <w:r w:rsidRPr="727F3008" w:rsidR="400D300A">
        <w:rPr>
          <w:rFonts w:ascii="Arial" w:hAnsi="Arial" w:eastAsia="Arial" w:cs="Arial"/>
          <w:noProof w:val="0"/>
          <w:color w:val="000000" w:themeColor="text1" w:themeTint="FF" w:themeShade="FF"/>
          <w:sz w:val="22"/>
          <w:szCs w:val="22"/>
          <w:lang w:val="en-GB"/>
        </w:rPr>
        <w:t xml:space="preserve"> that centralisation can enhance operational efficiency, ensure </w:t>
      </w:r>
      <w:r w:rsidRPr="727F3008" w:rsidR="400D300A">
        <w:rPr>
          <w:rFonts w:ascii="Arial" w:hAnsi="Arial" w:eastAsia="Arial" w:cs="Arial"/>
          <w:noProof w:val="0"/>
          <w:color w:val="000000" w:themeColor="text1" w:themeTint="FF" w:themeShade="FF"/>
          <w:sz w:val="22"/>
          <w:szCs w:val="22"/>
          <w:lang w:val="en-GB"/>
        </w:rPr>
        <w:t>equitable</w:t>
      </w:r>
      <w:r w:rsidRPr="727F3008" w:rsidR="400D300A">
        <w:rPr>
          <w:rFonts w:ascii="Arial" w:hAnsi="Arial" w:eastAsia="Arial" w:cs="Arial"/>
          <w:noProof w:val="0"/>
          <w:color w:val="000000" w:themeColor="text1" w:themeTint="FF" w:themeShade="FF"/>
          <w:sz w:val="22"/>
          <w:szCs w:val="22"/>
          <w:lang w:val="en-GB"/>
        </w:rPr>
        <w:t xml:space="preserve"> access to resources, and enable coordinated nationwide strategies.</w:t>
      </w:r>
    </w:p>
    <w:p w:rsidR="400D300A" w:rsidP="727F3008" w:rsidRDefault="400D300A" w14:paraId="0754CB7A" w14:textId="35F1AFDA">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1265159833" w:id="1781719887"/>
      <w:r w:rsidRPr="727F3008" w:rsidR="400D300A">
        <w:rPr>
          <w:rFonts w:ascii="Arial" w:hAnsi="Arial" w:eastAsia="Arial" w:cs="Arial"/>
          <w:b w:val="1"/>
          <w:bCs w:val="1"/>
          <w:noProof w:val="0"/>
          <w:color w:val="000000" w:themeColor="text1" w:themeTint="FF" w:themeShade="FF"/>
          <w:sz w:val="22"/>
          <w:szCs w:val="22"/>
          <w:lang w:val="en-GB"/>
        </w:rPr>
        <w:t>Canada</w:t>
      </w:r>
      <w:bookmarkEnd w:id="1781719887"/>
    </w:p>
    <w:p w:rsidR="400D300A" w:rsidP="727F3008" w:rsidRDefault="400D300A" w14:paraId="045B234E" w14:textId="3731E01C">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Canada </w:t>
      </w:r>
      <w:r w:rsidRPr="727F3008" w:rsidR="400D300A">
        <w:rPr>
          <w:rFonts w:ascii="Arial" w:hAnsi="Arial" w:eastAsia="Arial" w:cs="Arial"/>
          <w:noProof w:val="0"/>
          <w:color w:val="000000" w:themeColor="text1" w:themeTint="FF" w:themeShade="FF"/>
          <w:sz w:val="22"/>
          <w:szCs w:val="22"/>
          <w:lang w:val="en-GB"/>
        </w:rPr>
        <w:t>operates</w:t>
      </w:r>
      <w:r w:rsidRPr="727F3008" w:rsidR="400D300A">
        <w:rPr>
          <w:rFonts w:ascii="Arial" w:hAnsi="Arial" w:eastAsia="Arial" w:cs="Arial"/>
          <w:noProof w:val="0"/>
          <w:color w:val="000000" w:themeColor="text1" w:themeTint="FF" w:themeShade="FF"/>
          <w:sz w:val="22"/>
          <w:szCs w:val="22"/>
          <w:lang w:val="en-GB"/>
        </w:rPr>
        <w:t xml:space="preserve"> a federal system, with shared responsibilities between the federal government and provincial authorities. This hybrid model combines elements of centralisation and decentralisation, producing both strengths and challenges during the pandemic. Provinces were able to adapt responses to local conditions, implementing measures such as lockdowns, testing protocols, and hospital surge planning independently (Allin et al., 2022; </w:t>
      </w:r>
      <w:r w:rsidRPr="727F3008" w:rsidR="400D300A">
        <w:rPr>
          <w:rFonts w:ascii="Arial" w:hAnsi="Arial" w:eastAsia="Arial" w:cs="Arial"/>
          <w:noProof w:val="0"/>
          <w:color w:val="000000" w:themeColor="text1" w:themeTint="FF" w:themeShade="FF"/>
          <w:sz w:val="22"/>
          <w:szCs w:val="22"/>
          <w:lang w:val="en-GB"/>
        </w:rPr>
        <w:t>Broschek</w:t>
      </w:r>
      <w:r w:rsidRPr="727F3008" w:rsidR="400D300A">
        <w:rPr>
          <w:rFonts w:ascii="Arial" w:hAnsi="Arial" w:eastAsia="Arial" w:cs="Arial"/>
          <w:noProof w:val="0"/>
          <w:color w:val="000000" w:themeColor="text1" w:themeTint="FF" w:themeShade="FF"/>
          <w:sz w:val="22"/>
          <w:szCs w:val="22"/>
          <w:lang w:val="en-GB"/>
        </w:rPr>
        <w:t xml:space="preserve">, 2022). However, variability in provincial capacity led to uneven outcomes, particularly during the </w:t>
      </w:r>
      <w:r w:rsidRPr="727F3008" w:rsidR="400D300A">
        <w:rPr>
          <w:rFonts w:ascii="Arial" w:hAnsi="Arial" w:eastAsia="Arial" w:cs="Arial"/>
          <w:noProof w:val="0"/>
          <w:color w:val="000000" w:themeColor="text1" w:themeTint="FF" w:themeShade="FF"/>
          <w:sz w:val="22"/>
          <w:szCs w:val="22"/>
          <w:lang w:val="en-GB"/>
        </w:rPr>
        <w:t>initial</w:t>
      </w:r>
      <w:r w:rsidRPr="727F3008" w:rsidR="400D300A">
        <w:rPr>
          <w:rFonts w:ascii="Arial" w:hAnsi="Arial" w:eastAsia="Arial" w:cs="Arial"/>
          <w:noProof w:val="0"/>
          <w:color w:val="000000" w:themeColor="text1" w:themeTint="FF" w:themeShade="FF"/>
          <w:sz w:val="22"/>
          <w:szCs w:val="22"/>
          <w:lang w:val="en-GB"/>
        </w:rPr>
        <w:t xml:space="preserve"> vaccine rollout, when coordination and supply chain management proved challenging (Murphy et al., 2025; Canadian Institute for Health Information, 2022).</w:t>
      </w:r>
    </w:p>
    <w:p w:rsidR="400D300A" w:rsidP="727F3008" w:rsidRDefault="400D300A" w14:paraId="2F2F1E0B" w14:textId="5AA2C239">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The federal government played a crucial unifying role, </w:t>
      </w:r>
      <w:r w:rsidRPr="727F3008" w:rsidR="400D300A">
        <w:rPr>
          <w:rFonts w:ascii="Arial" w:hAnsi="Arial" w:eastAsia="Arial" w:cs="Arial"/>
          <w:noProof w:val="0"/>
          <w:color w:val="000000" w:themeColor="text1" w:themeTint="FF" w:themeShade="FF"/>
          <w:sz w:val="22"/>
          <w:szCs w:val="22"/>
          <w:lang w:val="en-GB"/>
        </w:rPr>
        <w:t>procuring</w:t>
      </w:r>
      <w:r w:rsidRPr="727F3008" w:rsidR="400D300A">
        <w:rPr>
          <w:rFonts w:ascii="Arial" w:hAnsi="Arial" w:eastAsia="Arial" w:cs="Arial"/>
          <w:noProof w:val="0"/>
          <w:color w:val="000000" w:themeColor="text1" w:themeTint="FF" w:themeShade="FF"/>
          <w:sz w:val="22"/>
          <w:szCs w:val="22"/>
          <w:lang w:val="en-GB"/>
        </w:rPr>
        <w:t xml:space="preserve"> vaccines, </w:t>
      </w:r>
      <w:r w:rsidRPr="727F3008" w:rsidR="400D300A">
        <w:rPr>
          <w:rFonts w:ascii="Arial" w:hAnsi="Arial" w:eastAsia="Arial" w:cs="Arial"/>
          <w:noProof w:val="0"/>
          <w:color w:val="000000" w:themeColor="text1" w:themeTint="FF" w:themeShade="FF"/>
          <w:sz w:val="22"/>
          <w:szCs w:val="22"/>
          <w:lang w:val="en-GB"/>
        </w:rPr>
        <w:t>providing</w:t>
      </w:r>
      <w:r w:rsidRPr="727F3008" w:rsidR="400D300A">
        <w:rPr>
          <w:rFonts w:ascii="Arial" w:hAnsi="Arial" w:eastAsia="Arial" w:cs="Arial"/>
          <w:noProof w:val="0"/>
          <w:color w:val="000000" w:themeColor="text1" w:themeTint="FF" w:themeShade="FF"/>
          <w:sz w:val="22"/>
          <w:szCs w:val="22"/>
          <w:lang w:val="en-GB"/>
        </w:rPr>
        <w:t xml:space="preserve"> national guidance, and </w:t>
      </w:r>
      <w:r w:rsidRPr="727F3008" w:rsidR="400D300A">
        <w:rPr>
          <w:rFonts w:ascii="Arial" w:hAnsi="Arial" w:eastAsia="Arial" w:cs="Arial"/>
          <w:noProof w:val="0"/>
          <w:color w:val="000000" w:themeColor="text1" w:themeTint="FF" w:themeShade="FF"/>
          <w:sz w:val="22"/>
          <w:szCs w:val="22"/>
          <w:lang w:val="en-GB"/>
        </w:rPr>
        <w:t>facilitating</w:t>
      </w:r>
      <w:r w:rsidRPr="727F3008" w:rsidR="400D300A">
        <w:rPr>
          <w:rFonts w:ascii="Arial" w:hAnsi="Arial" w:eastAsia="Arial" w:cs="Arial"/>
          <w:noProof w:val="0"/>
          <w:color w:val="000000" w:themeColor="text1" w:themeTint="FF" w:themeShade="FF"/>
          <w:sz w:val="22"/>
          <w:szCs w:val="22"/>
          <w:lang w:val="en-GB"/>
        </w:rPr>
        <w:t xml:space="preserve"> interprovincial collaboration (Public Health Agency of Canada, 2023; Hertelendy et al., 2022). This balance between decentralised operational autonomy and centralised strategic oversight was essential for achieving eventual nationwide vaccination success. Canada’s experience highlights the need for effective communication channels and collaborative governance structures to reconcile the advantages of local flexibility with the necessity for national consistency (Greer et al., 2022; Allin et al., 2022).</w:t>
      </w:r>
    </w:p>
    <w:p w:rsidR="400D300A" w:rsidP="727F3008" w:rsidRDefault="400D300A" w14:paraId="70B29334" w14:textId="6DBC3CD0">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379537264" w:id="2048757517"/>
      <w:r w:rsidRPr="727F3008" w:rsidR="400D300A">
        <w:rPr>
          <w:rFonts w:ascii="Arial" w:hAnsi="Arial" w:eastAsia="Arial" w:cs="Arial"/>
          <w:b w:val="1"/>
          <w:bCs w:val="1"/>
          <w:noProof w:val="0"/>
          <w:color w:val="000000" w:themeColor="text1" w:themeTint="FF" w:themeShade="FF"/>
          <w:sz w:val="22"/>
          <w:szCs w:val="22"/>
          <w:lang w:val="en-GB"/>
        </w:rPr>
        <w:t>Comparative Insights</w:t>
      </w:r>
      <w:bookmarkEnd w:id="2048757517"/>
    </w:p>
    <w:p w:rsidR="400D300A" w:rsidP="727F3008" w:rsidRDefault="400D300A" w14:paraId="37C7B16A" w14:textId="2F40EC93">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Comparing these three </w:t>
      </w:r>
      <w:r w:rsidRPr="727F3008" w:rsidR="400D300A">
        <w:rPr>
          <w:rFonts w:ascii="Arial" w:hAnsi="Arial" w:eastAsia="Arial" w:cs="Arial"/>
          <w:noProof w:val="0"/>
          <w:color w:val="000000" w:themeColor="text1" w:themeTint="FF" w:themeShade="FF"/>
          <w:sz w:val="22"/>
          <w:szCs w:val="22"/>
          <w:lang w:val="en-GB"/>
        </w:rPr>
        <w:t>jurisdictions</w:t>
      </w:r>
      <w:r w:rsidRPr="727F3008" w:rsidR="400D300A">
        <w:rPr>
          <w:rFonts w:ascii="Arial" w:hAnsi="Arial" w:eastAsia="Arial" w:cs="Arial"/>
          <w:noProof w:val="0"/>
          <w:color w:val="000000" w:themeColor="text1" w:themeTint="FF" w:themeShade="FF"/>
          <w:sz w:val="22"/>
          <w:szCs w:val="22"/>
          <w:lang w:val="en-GB"/>
        </w:rPr>
        <w:t xml:space="preserve"> </w:t>
      </w:r>
      <w:r w:rsidRPr="727F3008" w:rsidR="400D300A">
        <w:rPr>
          <w:rFonts w:ascii="Arial" w:hAnsi="Arial" w:eastAsia="Arial" w:cs="Arial"/>
          <w:noProof w:val="0"/>
          <w:color w:val="000000" w:themeColor="text1" w:themeTint="FF" w:themeShade="FF"/>
          <w:sz w:val="22"/>
          <w:szCs w:val="22"/>
          <w:lang w:val="en-GB"/>
        </w:rPr>
        <w:t>demonstrates</w:t>
      </w:r>
      <w:r w:rsidRPr="727F3008" w:rsidR="400D300A">
        <w:rPr>
          <w:rFonts w:ascii="Arial" w:hAnsi="Arial" w:eastAsia="Arial" w:cs="Arial"/>
          <w:noProof w:val="0"/>
          <w:color w:val="000000" w:themeColor="text1" w:themeTint="FF" w:themeShade="FF"/>
          <w:sz w:val="22"/>
          <w:szCs w:val="22"/>
          <w:lang w:val="en-GB"/>
        </w:rPr>
        <w:t xml:space="preserve"> that governance structures significantly shape pandemic responses. Decentralised systems, like Spain and Canada, offer adaptability and local responsiveness but require strong central coordination to mitigate disparities and delays. Centralised systems, like South Korea, </w:t>
      </w:r>
      <w:r w:rsidRPr="727F3008" w:rsidR="400D300A">
        <w:rPr>
          <w:rFonts w:ascii="Arial" w:hAnsi="Arial" w:eastAsia="Arial" w:cs="Arial"/>
          <w:noProof w:val="0"/>
          <w:color w:val="000000" w:themeColor="text1" w:themeTint="FF" w:themeShade="FF"/>
          <w:sz w:val="22"/>
          <w:szCs w:val="22"/>
          <w:lang w:val="en-GB"/>
        </w:rPr>
        <w:t>facilitate</w:t>
      </w:r>
      <w:r w:rsidRPr="727F3008" w:rsidR="400D300A">
        <w:rPr>
          <w:rFonts w:ascii="Arial" w:hAnsi="Arial" w:eastAsia="Arial" w:cs="Arial"/>
          <w:noProof w:val="0"/>
          <w:color w:val="000000" w:themeColor="text1" w:themeTint="FF" w:themeShade="FF"/>
          <w:sz w:val="22"/>
          <w:szCs w:val="22"/>
          <w:lang w:val="en-GB"/>
        </w:rPr>
        <w:t xml:space="preserve"> rapid, uniform responses and efficient resource allocation but may risk reduced flexibility at the local level (OECD, 2021; WHO, 2020). Effective leadership is critical in all contexts, as leaders must adapt their strategies to the degree of centralisation or decentralisation, ensuring that policy decisions are </w:t>
      </w:r>
      <w:r w:rsidRPr="727F3008" w:rsidR="400D300A">
        <w:rPr>
          <w:rFonts w:ascii="Arial" w:hAnsi="Arial" w:eastAsia="Arial" w:cs="Arial"/>
          <w:noProof w:val="0"/>
          <w:color w:val="000000" w:themeColor="text1" w:themeTint="FF" w:themeShade="FF"/>
          <w:sz w:val="22"/>
          <w:szCs w:val="22"/>
          <w:lang w:val="en-GB"/>
        </w:rPr>
        <w:t>timely</w:t>
      </w:r>
      <w:r w:rsidRPr="727F3008" w:rsidR="400D300A">
        <w:rPr>
          <w:rFonts w:ascii="Arial" w:hAnsi="Arial" w:eastAsia="Arial" w:cs="Arial"/>
          <w:noProof w:val="0"/>
          <w:color w:val="000000" w:themeColor="text1" w:themeTint="FF" w:themeShade="FF"/>
          <w:sz w:val="22"/>
          <w:szCs w:val="22"/>
          <w:lang w:val="en-GB"/>
        </w:rPr>
        <w:t>, evidence-based, and communicated clearly (Sandhu et al., 2022; Greer et al., 2022).</w:t>
      </w:r>
    </w:p>
    <w:p w:rsidR="400D300A" w:rsidP="727F3008" w:rsidRDefault="400D300A" w14:paraId="3F5D5521" w14:textId="38118966">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This analysis highlights that the </w:t>
      </w:r>
      <w:r w:rsidRPr="727F3008" w:rsidR="400D300A">
        <w:rPr>
          <w:rFonts w:ascii="Arial" w:hAnsi="Arial" w:eastAsia="Arial" w:cs="Arial"/>
          <w:noProof w:val="0"/>
          <w:color w:val="000000" w:themeColor="text1" w:themeTint="FF" w:themeShade="FF"/>
          <w:sz w:val="22"/>
          <w:szCs w:val="22"/>
          <w:lang w:val="en-GB"/>
        </w:rPr>
        <w:t>optimal</w:t>
      </w:r>
      <w:r w:rsidRPr="727F3008" w:rsidR="400D300A">
        <w:rPr>
          <w:rFonts w:ascii="Arial" w:hAnsi="Arial" w:eastAsia="Arial" w:cs="Arial"/>
          <w:noProof w:val="0"/>
          <w:color w:val="000000" w:themeColor="text1" w:themeTint="FF" w:themeShade="FF"/>
          <w:sz w:val="22"/>
          <w:szCs w:val="22"/>
          <w:lang w:val="en-GB"/>
        </w:rPr>
        <w:t xml:space="preserve"> pandemic response does not rely solely on centralisation or decentralisation but on the alignment of governance structures with leadership approaches, system capacity, and stakeholder engagement. Successful outcomes depend on the ability to integrate national guidance with local implementation, </w:t>
      </w:r>
      <w:r w:rsidRPr="727F3008" w:rsidR="400D300A">
        <w:rPr>
          <w:rFonts w:ascii="Arial" w:hAnsi="Arial" w:eastAsia="Arial" w:cs="Arial"/>
          <w:noProof w:val="0"/>
          <w:color w:val="000000" w:themeColor="text1" w:themeTint="FF" w:themeShade="FF"/>
          <w:sz w:val="22"/>
          <w:szCs w:val="22"/>
          <w:lang w:val="en-GB"/>
        </w:rPr>
        <w:t>maintain</w:t>
      </w:r>
      <w:r w:rsidRPr="727F3008" w:rsidR="400D300A">
        <w:rPr>
          <w:rFonts w:ascii="Arial" w:hAnsi="Arial" w:eastAsia="Arial" w:cs="Arial"/>
          <w:noProof w:val="0"/>
          <w:color w:val="000000" w:themeColor="text1" w:themeTint="FF" w:themeShade="FF"/>
          <w:sz w:val="22"/>
          <w:szCs w:val="22"/>
          <w:lang w:val="en-GB"/>
        </w:rPr>
        <w:t xml:space="preserve"> transparent communication, and mobilise resources efficiently across </w:t>
      </w:r>
      <w:r w:rsidRPr="727F3008" w:rsidR="400D300A">
        <w:rPr>
          <w:rFonts w:ascii="Arial" w:hAnsi="Arial" w:eastAsia="Arial" w:cs="Arial"/>
          <w:noProof w:val="0"/>
          <w:color w:val="000000" w:themeColor="text1" w:themeTint="FF" w:themeShade="FF"/>
          <w:sz w:val="22"/>
          <w:szCs w:val="22"/>
          <w:lang w:val="en-GB"/>
        </w:rPr>
        <w:t>jurisdictions</w:t>
      </w:r>
      <w:r w:rsidRPr="727F3008" w:rsidR="400D300A">
        <w:rPr>
          <w:rFonts w:ascii="Arial" w:hAnsi="Arial" w:eastAsia="Arial" w:cs="Arial"/>
          <w:noProof w:val="0"/>
          <w:color w:val="000000" w:themeColor="text1" w:themeTint="FF" w:themeShade="FF"/>
          <w:sz w:val="22"/>
          <w:szCs w:val="22"/>
          <w:lang w:val="en-GB"/>
        </w:rPr>
        <w:t xml:space="preserve"> (OECD, 2021; WHO, 2020; Allin et al., 2022).</w:t>
      </w:r>
    </w:p>
    <w:p w:rsidR="400D300A" w:rsidP="727F3008" w:rsidRDefault="400D300A" w14:paraId="249E84D8" w14:textId="2009597F">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406843370" w:id="1473475692"/>
      <w:r w:rsidRPr="727F3008" w:rsidR="400D300A">
        <w:rPr>
          <w:rFonts w:ascii="Arial" w:hAnsi="Arial" w:eastAsia="Arial" w:cs="Arial"/>
          <w:b w:val="1"/>
          <w:bCs w:val="1"/>
          <w:noProof w:val="0"/>
          <w:color w:val="000000" w:themeColor="text1" w:themeTint="FF" w:themeShade="FF"/>
          <w:sz w:val="22"/>
          <w:szCs w:val="22"/>
          <w:lang w:val="en-GB"/>
        </w:rPr>
        <w:t>Vaccination Strategies and Health System Outcomes</w:t>
      </w:r>
      <w:bookmarkEnd w:id="1473475692"/>
    </w:p>
    <w:p w:rsidR="400D300A" w:rsidP="727F3008" w:rsidRDefault="400D300A" w14:paraId="49A2E9A7" w14:textId="74ACE524">
      <w:pPr>
        <w:spacing w:before="240" w:beforeAutospacing="off" w:after="240" w:afterAutospacing="off" w:line="360" w:lineRule="auto"/>
        <w:jc w:val="both"/>
        <w:rPr>
          <w:rFonts w:ascii="Arial" w:hAnsi="Arial" w:eastAsia="Arial" w:cs="Arial"/>
          <w:b w:val="1"/>
          <w:bCs w:val="1"/>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Vaccination campaigns were </w:t>
      </w:r>
      <w:r w:rsidRPr="727F3008" w:rsidR="400D300A">
        <w:rPr>
          <w:rFonts w:ascii="Arial" w:hAnsi="Arial" w:eastAsia="Arial" w:cs="Arial"/>
          <w:noProof w:val="0"/>
          <w:color w:val="000000" w:themeColor="text1" w:themeTint="FF" w:themeShade="FF"/>
          <w:sz w:val="22"/>
          <w:szCs w:val="22"/>
          <w:lang w:val="en-GB"/>
        </w:rPr>
        <w:t>a central component</w:t>
      </w:r>
      <w:r w:rsidRPr="727F3008" w:rsidR="400D300A">
        <w:rPr>
          <w:rFonts w:ascii="Arial" w:hAnsi="Arial" w:eastAsia="Arial" w:cs="Arial"/>
          <w:noProof w:val="0"/>
          <w:color w:val="000000" w:themeColor="text1" w:themeTint="FF" w:themeShade="FF"/>
          <w:sz w:val="22"/>
          <w:szCs w:val="22"/>
          <w:lang w:val="en-GB"/>
        </w:rPr>
        <w:t xml:space="preserve"> of national strategies to mitigate COVID-19, and the effectiveness of these programs was </w:t>
      </w:r>
      <w:r w:rsidRPr="727F3008" w:rsidR="400D300A">
        <w:rPr>
          <w:rFonts w:ascii="Arial" w:hAnsi="Arial" w:eastAsia="Arial" w:cs="Arial"/>
          <w:noProof w:val="0"/>
          <w:color w:val="000000" w:themeColor="text1" w:themeTint="FF" w:themeShade="FF"/>
          <w:sz w:val="22"/>
          <w:szCs w:val="22"/>
          <w:lang w:val="en-GB"/>
        </w:rPr>
        <w:t>closely linked</w:t>
      </w:r>
      <w:r w:rsidRPr="727F3008" w:rsidR="400D300A">
        <w:rPr>
          <w:rFonts w:ascii="Arial" w:hAnsi="Arial" w:eastAsia="Arial" w:cs="Arial"/>
          <w:noProof w:val="0"/>
          <w:color w:val="000000" w:themeColor="text1" w:themeTint="FF" w:themeShade="FF"/>
          <w:sz w:val="22"/>
          <w:szCs w:val="22"/>
          <w:lang w:val="en-GB"/>
        </w:rPr>
        <w:t xml:space="preserve"> to health system organisation, leadership, and governance structures. Examining Spain, South Korea, and Canada highlights both the challenges and successes in vaccination rollout, as well as the impact on public health outcomes.</w:t>
      </w:r>
    </w:p>
    <w:p w:rsidR="400D300A" w:rsidP="727F3008" w:rsidRDefault="400D300A" w14:paraId="1C1966D3" w14:textId="4579A80C">
      <w:pPr>
        <w:spacing w:before="240" w:beforeAutospacing="off" w:after="240"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968924908" w:id="1317259585"/>
      <w:r w:rsidRPr="727F3008" w:rsidR="400D300A">
        <w:rPr>
          <w:rFonts w:ascii="Arial" w:hAnsi="Arial" w:eastAsia="Arial" w:cs="Arial"/>
          <w:b w:val="1"/>
          <w:bCs w:val="1"/>
          <w:noProof w:val="0"/>
          <w:color w:val="000000" w:themeColor="text1" w:themeTint="FF" w:themeShade="FF"/>
          <w:sz w:val="22"/>
          <w:szCs w:val="22"/>
          <w:lang w:val="en-GB"/>
        </w:rPr>
        <w:t>Spain</w:t>
      </w:r>
      <w:bookmarkEnd w:id="1317259585"/>
    </w:p>
    <w:p w:rsidR="400D300A" w:rsidP="727F3008" w:rsidRDefault="400D300A" w14:paraId="374E9A4E" w14:textId="68A1FBFF">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Spain’s vaccination strategy benefitted from a decentralised health system, which allowed regional authorities to implement context-specific approaches. Despite </w:t>
      </w:r>
      <w:r w:rsidRPr="727F3008" w:rsidR="400D300A">
        <w:rPr>
          <w:rFonts w:ascii="Arial" w:hAnsi="Arial" w:eastAsia="Arial" w:cs="Arial"/>
          <w:noProof w:val="0"/>
          <w:color w:val="000000" w:themeColor="text1" w:themeTint="FF" w:themeShade="FF"/>
          <w:sz w:val="22"/>
          <w:szCs w:val="22"/>
          <w:lang w:val="en-GB"/>
        </w:rPr>
        <w:t>initial</w:t>
      </w:r>
      <w:r w:rsidRPr="727F3008" w:rsidR="400D300A">
        <w:rPr>
          <w:rFonts w:ascii="Arial" w:hAnsi="Arial" w:eastAsia="Arial" w:cs="Arial"/>
          <w:noProof w:val="0"/>
          <w:color w:val="000000" w:themeColor="text1" w:themeTint="FF" w:themeShade="FF"/>
          <w:sz w:val="22"/>
          <w:szCs w:val="22"/>
          <w:lang w:val="en-GB"/>
        </w:rPr>
        <w:t xml:space="preserve"> challenges in pandemic response, Spain became a leader in vaccination coverage across Europe. Coordination between the Ministry of Health and autonomous communities was crucial to distributing vaccines efficiently and equitably (Odone et al., 2021; Luque-Fernández and Tobias, 2022). Key success factors included robust supply chain management, utilisation of primary care networks, and transparent public communication strategies (Blanco, </w:t>
      </w:r>
      <w:r w:rsidRPr="727F3008" w:rsidR="400D300A">
        <w:rPr>
          <w:rFonts w:ascii="Arial" w:hAnsi="Arial" w:eastAsia="Arial" w:cs="Arial"/>
          <w:noProof w:val="0"/>
          <w:color w:val="000000" w:themeColor="text1" w:themeTint="FF" w:themeShade="FF"/>
          <w:sz w:val="22"/>
          <w:szCs w:val="22"/>
          <w:lang w:val="en-GB"/>
        </w:rPr>
        <w:t>Gázquez</w:t>
      </w:r>
      <w:r w:rsidRPr="727F3008" w:rsidR="400D300A">
        <w:rPr>
          <w:rFonts w:ascii="Arial" w:hAnsi="Arial" w:eastAsia="Arial" w:cs="Arial"/>
          <w:noProof w:val="0"/>
          <w:color w:val="000000" w:themeColor="text1" w:themeTint="FF" w:themeShade="FF"/>
          <w:sz w:val="22"/>
          <w:szCs w:val="22"/>
          <w:lang w:val="en-GB"/>
        </w:rPr>
        <w:t xml:space="preserve"> and Leal, 2020; García-Alonso and Fernández-Villaverde, 2023).</w:t>
      </w:r>
    </w:p>
    <w:p w:rsidR="400D300A" w:rsidP="727F3008" w:rsidRDefault="400D300A" w14:paraId="03CE9C90" w14:textId="6B52BDC1">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Minister Salvador Illa’s situational leadership played a pivotal role in guiding vaccination efforts. By aligning regional authorities with national </w:t>
      </w:r>
      <w:r w:rsidRPr="727F3008" w:rsidR="400D300A">
        <w:rPr>
          <w:rFonts w:ascii="Arial" w:hAnsi="Arial" w:eastAsia="Arial" w:cs="Arial"/>
          <w:noProof w:val="0"/>
          <w:color w:val="000000" w:themeColor="text1" w:themeTint="FF" w:themeShade="FF"/>
          <w:sz w:val="22"/>
          <w:szCs w:val="22"/>
          <w:lang w:val="en-GB"/>
        </w:rPr>
        <w:t>objectives</w:t>
      </w:r>
      <w:r w:rsidRPr="727F3008" w:rsidR="400D300A">
        <w:rPr>
          <w:rFonts w:ascii="Arial" w:hAnsi="Arial" w:eastAsia="Arial" w:cs="Arial"/>
          <w:noProof w:val="0"/>
          <w:color w:val="000000" w:themeColor="text1" w:themeTint="FF" w:themeShade="FF"/>
          <w:sz w:val="22"/>
          <w:szCs w:val="22"/>
          <w:lang w:val="en-GB"/>
        </w:rPr>
        <w:t xml:space="preserve"> and adapting strategies to evolving circumstances, Spain achieved high vaccination uptake, particularly among vulnerable populations (Nursing Executives’ response to COVID-19 in Spain, 2025; Luque-Fernández and Tobias, 2022). The Spanish case illustrates how decentralisation, when coupled with adaptive leadership and strong coordination mechanisms, can enhance the efficiency and effectiveness of public health interventions.</w:t>
      </w:r>
    </w:p>
    <w:p w:rsidR="400D300A" w:rsidP="727F3008" w:rsidRDefault="400D300A" w14:paraId="42FC6C8E" w14:textId="5F62A5F8">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654509217" w:id="191254470"/>
      <w:r w:rsidRPr="727F3008" w:rsidR="400D300A">
        <w:rPr>
          <w:rFonts w:ascii="Arial" w:hAnsi="Arial" w:eastAsia="Arial" w:cs="Arial"/>
          <w:b w:val="1"/>
          <w:bCs w:val="1"/>
          <w:noProof w:val="0"/>
          <w:color w:val="000000" w:themeColor="text1" w:themeTint="FF" w:themeShade="FF"/>
          <w:sz w:val="22"/>
          <w:szCs w:val="22"/>
          <w:lang w:val="en-GB"/>
        </w:rPr>
        <w:t>South Korea</w:t>
      </w:r>
      <w:bookmarkEnd w:id="191254470"/>
    </w:p>
    <w:p w:rsidR="400D300A" w:rsidP="727F3008" w:rsidRDefault="400D300A" w14:paraId="724E5DE9" w14:textId="082306ED">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South Korea’s vaccination program was embedded within a highly centralised and technologically advanced health system. Early in the pandemic, the government prioritised testing, tracing, and containment; later, vaccine rollout was coordinated centrally to ensure </w:t>
      </w:r>
      <w:r w:rsidRPr="727F3008" w:rsidR="400D300A">
        <w:rPr>
          <w:rFonts w:ascii="Arial" w:hAnsi="Arial" w:eastAsia="Arial" w:cs="Arial"/>
          <w:noProof w:val="0"/>
          <w:color w:val="000000" w:themeColor="text1" w:themeTint="FF" w:themeShade="FF"/>
          <w:sz w:val="22"/>
          <w:szCs w:val="22"/>
          <w:lang w:val="en-GB"/>
        </w:rPr>
        <w:t>equitable</w:t>
      </w:r>
      <w:r w:rsidRPr="727F3008" w:rsidR="400D300A">
        <w:rPr>
          <w:rFonts w:ascii="Arial" w:hAnsi="Arial" w:eastAsia="Arial" w:cs="Arial"/>
          <w:noProof w:val="0"/>
          <w:color w:val="000000" w:themeColor="text1" w:themeTint="FF" w:themeShade="FF"/>
          <w:sz w:val="22"/>
          <w:szCs w:val="22"/>
          <w:lang w:val="en-GB"/>
        </w:rPr>
        <w:t xml:space="preserve"> access across regions (Hong, 2024; ICNL, 2024b). Centralised decision-making enabled rapid procurement of vaccines, prioritisation of high-risk populations, and uniform distribution, while integrated digital systems </w:t>
      </w:r>
      <w:r w:rsidRPr="727F3008" w:rsidR="400D300A">
        <w:rPr>
          <w:rFonts w:ascii="Arial" w:hAnsi="Arial" w:eastAsia="Arial" w:cs="Arial"/>
          <w:noProof w:val="0"/>
          <w:color w:val="000000" w:themeColor="text1" w:themeTint="FF" w:themeShade="FF"/>
          <w:sz w:val="22"/>
          <w:szCs w:val="22"/>
          <w:lang w:val="en-GB"/>
        </w:rPr>
        <w:t>facilitated</w:t>
      </w:r>
      <w:r w:rsidRPr="727F3008" w:rsidR="400D300A">
        <w:rPr>
          <w:rFonts w:ascii="Arial" w:hAnsi="Arial" w:eastAsia="Arial" w:cs="Arial"/>
          <w:noProof w:val="0"/>
          <w:color w:val="000000" w:themeColor="text1" w:themeTint="FF" w:themeShade="FF"/>
          <w:sz w:val="22"/>
          <w:szCs w:val="22"/>
          <w:lang w:val="en-GB"/>
        </w:rPr>
        <w:t xml:space="preserve"> appointment scheduling and monitoring of vaccination coverage (Cho et al., 2020; Yoon et al., 2020).</w:t>
      </w:r>
    </w:p>
    <w:p w:rsidR="400D300A" w:rsidP="727F3008" w:rsidRDefault="400D300A" w14:paraId="6663803E" w14:textId="2BF1DA7A">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Prime Minister Chung Sye-</w:t>
      </w:r>
      <w:r w:rsidRPr="727F3008" w:rsidR="400D300A">
        <w:rPr>
          <w:rFonts w:ascii="Arial" w:hAnsi="Arial" w:eastAsia="Arial" w:cs="Arial"/>
          <w:noProof w:val="0"/>
          <w:color w:val="000000" w:themeColor="text1" w:themeTint="FF" w:themeShade="FF"/>
          <w:sz w:val="22"/>
          <w:szCs w:val="22"/>
          <w:lang w:val="en-GB"/>
        </w:rPr>
        <w:t>kyun’s</w:t>
      </w:r>
      <w:r w:rsidRPr="727F3008" w:rsidR="400D300A">
        <w:rPr>
          <w:rFonts w:ascii="Arial" w:hAnsi="Arial" w:eastAsia="Arial" w:cs="Arial"/>
          <w:noProof w:val="0"/>
          <w:color w:val="000000" w:themeColor="text1" w:themeTint="FF" w:themeShade="FF"/>
          <w:sz w:val="22"/>
          <w:szCs w:val="22"/>
          <w:lang w:val="en-GB"/>
        </w:rPr>
        <w:t xml:space="preserve"> transformational leadership ensured strong public trust and compliance with vaccination campaigns. By engaging stakeholders across government agencies, private sectors, and civil society, South Korea achieved high coverage and mitigated disparities in vaccine access (ICNL, 2024a; National Response to COVID-19 in the Republic of Korea and Lessons Learned for Other Countries, 2020). South Korea’s experience </w:t>
      </w:r>
      <w:r w:rsidRPr="727F3008" w:rsidR="400D300A">
        <w:rPr>
          <w:rFonts w:ascii="Arial" w:hAnsi="Arial" w:eastAsia="Arial" w:cs="Arial"/>
          <w:noProof w:val="0"/>
          <w:color w:val="000000" w:themeColor="text1" w:themeTint="FF" w:themeShade="FF"/>
          <w:sz w:val="22"/>
          <w:szCs w:val="22"/>
          <w:lang w:val="en-GB"/>
        </w:rPr>
        <w:t>demonstrates</w:t>
      </w:r>
      <w:r w:rsidRPr="727F3008" w:rsidR="400D300A">
        <w:rPr>
          <w:rFonts w:ascii="Arial" w:hAnsi="Arial" w:eastAsia="Arial" w:cs="Arial"/>
          <w:noProof w:val="0"/>
          <w:color w:val="000000" w:themeColor="text1" w:themeTint="FF" w:themeShade="FF"/>
          <w:sz w:val="22"/>
          <w:szCs w:val="22"/>
          <w:lang w:val="en-GB"/>
        </w:rPr>
        <w:t xml:space="preserve"> that centralisation, combined with transparent leadership and data-driven policy, can optimise vaccination </w:t>
      </w:r>
      <w:r w:rsidRPr="727F3008" w:rsidR="400D300A">
        <w:rPr>
          <w:rFonts w:ascii="Arial" w:hAnsi="Arial" w:eastAsia="Arial" w:cs="Arial"/>
          <w:noProof w:val="0"/>
          <w:color w:val="000000" w:themeColor="text1" w:themeTint="FF" w:themeShade="FF"/>
          <w:sz w:val="22"/>
          <w:szCs w:val="22"/>
          <w:lang w:val="en-GB"/>
        </w:rPr>
        <w:t>outcomes</w:t>
      </w:r>
      <w:r w:rsidRPr="727F3008" w:rsidR="400D300A">
        <w:rPr>
          <w:rFonts w:ascii="Arial" w:hAnsi="Arial" w:eastAsia="Arial" w:cs="Arial"/>
          <w:noProof w:val="0"/>
          <w:color w:val="000000" w:themeColor="text1" w:themeTint="FF" w:themeShade="FF"/>
          <w:sz w:val="22"/>
          <w:szCs w:val="22"/>
          <w:lang w:val="en-GB"/>
        </w:rPr>
        <w:t xml:space="preserve"> and reinforce public confidence in health systems.</w:t>
      </w:r>
    </w:p>
    <w:p w:rsidR="400D300A" w:rsidP="727F3008" w:rsidRDefault="400D300A" w14:paraId="747AAB97" w14:textId="538373D5">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1961607089" w:id="911443860"/>
      <w:r w:rsidRPr="727F3008" w:rsidR="400D300A">
        <w:rPr>
          <w:rFonts w:ascii="Arial" w:hAnsi="Arial" w:eastAsia="Arial" w:cs="Arial"/>
          <w:b w:val="1"/>
          <w:bCs w:val="1"/>
          <w:noProof w:val="0"/>
          <w:color w:val="000000" w:themeColor="text1" w:themeTint="FF" w:themeShade="FF"/>
          <w:sz w:val="22"/>
          <w:szCs w:val="22"/>
          <w:lang w:val="en-GB"/>
        </w:rPr>
        <w:t>Canada</w:t>
      </w:r>
      <w:bookmarkEnd w:id="911443860"/>
    </w:p>
    <w:p w:rsidR="400D300A" w:rsidP="727F3008" w:rsidRDefault="400D300A" w14:paraId="78F2BD75" w14:textId="05C6AC01">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Canada’s federal system </w:t>
      </w:r>
      <w:r w:rsidRPr="727F3008" w:rsidR="400D300A">
        <w:rPr>
          <w:rFonts w:ascii="Arial" w:hAnsi="Arial" w:eastAsia="Arial" w:cs="Arial"/>
          <w:noProof w:val="0"/>
          <w:color w:val="000000" w:themeColor="text1" w:themeTint="FF" w:themeShade="FF"/>
          <w:sz w:val="22"/>
          <w:szCs w:val="22"/>
          <w:lang w:val="en-GB"/>
        </w:rPr>
        <w:t>necessitated</w:t>
      </w:r>
      <w:r w:rsidRPr="727F3008" w:rsidR="400D300A">
        <w:rPr>
          <w:rFonts w:ascii="Arial" w:hAnsi="Arial" w:eastAsia="Arial" w:cs="Arial"/>
          <w:noProof w:val="0"/>
          <w:color w:val="000000" w:themeColor="text1" w:themeTint="FF" w:themeShade="FF"/>
          <w:sz w:val="22"/>
          <w:szCs w:val="22"/>
          <w:lang w:val="en-GB"/>
        </w:rPr>
        <w:t xml:space="preserve"> collaboration between federal and provincial authorities for vaccine rollout. While decentralisation allowed provinces to tailor strategies to local conditions, variability in implementation initially slowed coverage (Allin et al., 2022; </w:t>
      </w:r>
      <w:r w:rsidRPr="727F3008" w:rsidR="400D300A">
        <w:rPr>
          <w:rFonts w:ascii="Arial" w:hAnsi="Arial" w:eastAsia="Arial" w:cs="Arial"/>
          <w:noProof w:val="0"/>
          <w:color w:val="000000" w:themeColor="text1" w:themeTint="FF" w:themeShade="FF"/>
          <w:sz w:val="22"/>
          <w:szCs w:val="22"/>
          <w:lang w:val="en-GB"/>
        </w:rPr>
        <w:t>Broschek</w:t>
      </w:r>
      <w:r w:rsidRPr="727F3008" w:rsidR="400D300A">
        <w:rPr>
          <w:rFonts w:ascii="Arial" w:hAnsi="Arial" w:eastAsia="Arial" w:cs="Arial"/>
          <w:noProof w:val="0"/>
          <w:color w:val="000000" w:themeColor="text1" w:themeTint="FF" w:themeShade="FF"/>
          <w:sz w:val="22"/>
          <w:szCs w:val="22"/>
          <w:lang w:val="en-GB"/>
        </w:rPr>
        <w:t xml:space="preserve">, 2022). Federal leadership, particularly under Prime Minister Justin Trudeau, focused on vaccine procurement, distribution guidance, and coordination of interprovincial </w:t>
      </w:r>
      <w:r w:rsidRPr="727F3008" w:rsidR="400D300A">
        <w:rPr>
          <w:rFonts w:ascii="Arial" w:hAnsi="Arial" w:eastAsia="Arial" w:cs="Arial"/>
          <w:noProof w:val="0"/>
          <w:color w:val="000000" w:themeColor="text1" w:themeTint="FF" w:themeShade="FF"/>
          <w:sz w:val="22"/>
          <w:szCs w:val="22"/>
          <w:lang w:val="en-GB"/>
        </w:rPr>
        <w:t>logistics</w:t>
      </w:r>
      <w:r w:rsidRPr="727F3008" w:rsidR="400D300A">
        <w:rPr>
          <w:rFonts w:ascii="Arial" w:hAnsi="Arial" w:eastAsia="Arial" w:cs="Arial"/>
          <w:noProof w:val="0"/>
          <w:color w:val="000000" w:themeColor="text1" w:themeTint="FF" w:themeShade="FF"/>
          <w:sz w:val="22"/>
          <w:szCs w:val="22"/>
          <w:lang w:val="en-GB"/>
        </w:rPr>
        <w:t xml:space="preserve"> (Public Health Agency of Canada, 2023; Hertelendy et al., 2022).</w:t>
      </w:r>
    </w:p>
    <w:p w:rsidR="400D300A" w:rsidP="727F3008" w:rsidRDefault="400D300A" w14:paraId="1EE65944" w14:textId="4B517298">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Despite early challenges, Canada’s vaccination program </w:t>
      </w:r>
      <w:r w:rsidRPr="727F3008" w:rsidR="400D300A">
        <w:rPr>
          <w:rFonts w:ascii="Arial" w:hAnsi="Arial" w:eastAsia="Arial" w:cs="Arial"/>
          <w:noProof w:val="0"/>
          <w:color w:val="000000" w:themeColor="text1" w:themeTint="FF" w:themeShade="FF"/>
          <w:sz w:val="22"/>
          <w:szCs w:val="22"/>
          <w:lang w:val="en-GB"/>
        </w:rPr>
        <w:t>ultimately succeeded</w:t>
      </w:r>
      <w:r w:rsidRPr="727F3008" w:rsidR="400D300A">
        <w:rPr>
          <w:rFonts w:ascii="Arial" w:hAnsi="Arial" w:eastAsia="Arial" w:cs="Arial"/>
          <w:noProof w:val="0"/>
          <w:color w:val="000000" w:themeColor="text1" w:themeTint="FF" w:themeShade="FF"/>
          <w:sz w:val="22"/>
          <w:szCs w:val="22"/>
          <w:lang w:val="en-GB"/>
        </w:rPr>
        <w:t xml:space="preserve"> in achieving high coverage nationally, highlighting the importance of unifying leadership in a decentralised system (Murphy et al., 2025; CIHI, 2022). The Canadian example </w:t>
      </w:r>
      <w:r w:rsidRPr="727F3008" w:rsidR="400D300A">
        <w:rPr>
          <w:rFonts w:ascii="Arial" w:hAnsi="Arial" w:eastAsia="Arial" w:cs="Arial"/>
          <w:noProof w:val="0"/>
          <w:color w:val="000000" w:themeColor="text1" w:themeTint="FF" w:themeShade="FF"/>
          <w:sz w:val="22"/>
          <w:szCs w:val="22"/>
          <w:lang w:val="en-GB"/>
        </w:rPr>
        <w:t>demonstrates</w:t>
      </w:r>
      <w:r w:rsidRPr="727F3008" w:rsidR="400D300A">
        <w:rPr>
          <w:rFonts w:ascii="Arial" w:hAnsi="Arial" w:eastAsia="Arial" w:cs="Arial"/>
          <w:noProof w:val="0"/>
          <w:color w:val="000000" w:themeColor="text1" w:themeTint="FF" w:themeShade="FF"/>
          <w:sz w:val="22"/>
          <w:szCs w:val="22"/>
          <w:lang w:val="en-GB"/>
        </w:rPr>
        <w:t xml:space="preserve"> the need for balance between local autonomy and centralised coordination, particularly in ensuring </w:t>
      </w:r>
      <w:r w:rsidRPr="727F3008" w:rsidR="400D300A">
        <w:rPr>
          <w:rFonts w:ascii="Arial" w:hAnsi="Arial" w:eastAsia="Arial" w:cs="Arial"/>
          <w:noProof w:val="0"/>
          <w:color w:val="000000" w:themeColor="text1" w:themeTint="FF" w:themeShade="FF"/>
          <w:sz w:val="22"/>
          <w:szCs w:val="22"/>
          <w:lang w:val="en-GB"/>
        </w:rPr>
        <w:t>equitable</w:t>
      </w:r>
      <w:r w:rsidRPr="727F3008" w:rsidR="400D300A">
        <w:rPr>
          <w:rFonts w:ascii="Arial" w:hAnsi="Arial" w:eastAsia="Arial" w:cs="Arial"/>
          <w:noProof w:val="0"/>
          <w:color w:val="000000" w:themeColor="text1" w:themeTint="FF" w:themeShade="FF"/>
          <w:sz w:val="22"/>
          <w:szCs w:val="22"/>
          <w:lang w:val="en-GB"/>
        </w:rPr>
        <w:t xml:space="preserve"> access and </w:t>
      </w:r>
      <w:r w:rsidRPr="727F3008" w:rsidR="400D300A">
        <w:rPr>
          <w:rFonts w:ascii="Arial" w:hAnsi="Arial" w:eastAsia="Arial" w:cs="Arial"/>
          <w:noProof w:val="0"/>
          <w:color w:val="000000" w:themeColor="text1" w:themeTint="FF" w:themeShade="FF"/>
          <w:sz w:val="22"/>
          <w:szCs w:val="22"/>
          <w:lang w:val="en-GB"/>
        </w:rPr>
        <w:t>timely</w:t>
      </w:r>
      <w:r w:rsidRPr="727F3008" w:rsidR="400D300A">
        <w:rPr>
          <w:rFonts w:ascii="Arial" w:hAnsi="Arial" w:eastAsia="Arial" w:cs="Arial"/>
          <w:noProof w:val="0"/>
          <w:color w:val="000000" w:themeColor="text1" w:themeTint="FF" w:themeShade="FF"/>
          <w:sz w:val="22"/>
          <w:szCs w:val="22"/>
          <w:lang w:val="en-GB"/>
        </w:rPr>
        <w:t xml:space="preserve"> delivery of vaccines.</w:t>
      </w:r>
    </w:p>
    <w:p w:rsidR="400D300A" w:rsidP="727F3008" w:rsidRDefault="400D300A" w14:paraId="77A8F8BF" w14:textId="39B7D8BD">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158719896" w:id="1271855082"/>
      <w:r w:rsidRPr="727F3008" w:rsidR="400D300A">
        <w:rPr>
          <w:rFonts w:ascii="Arial" w:hAnsi="Arial" w:eastAsia="Arial" w:cs="Arial"/>
          <w:b w:val="1"/>
          <w:bCs w:val="1"/>
          <w:noProof w:val="0"/>
          <w:color w:val="000000" w:themeColor="text1" w:themeTint="FF" w:themeShade="FF"/>
          <w:sz w:val="22"/>
          <w:szCs w:val="22"/>
          <w:lang w:val="en-GB"/>
        </w:rPr>
        <w:t>Comparative Analysis</w:t>
      </w:r>
      <w:bookmarkEnd w:id="1271855082"/>
    </w:p>
    <w:p w:rsidR="400D300A" w:rsidP="727F3008" w:rsidRDefault="400D300A" w14:paraId="246E7D1C" w14:textId="24E5B4A2">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Across the three countries, several common factors </w:t>
      </w:r>
      <w:r w:rsidRPr="727F3008" w:rsidR="400D300A">
        <w:rPr>
          <w:rFonts w:ascii="Arial" w:hAnsi="Arial" w:eastAsia="Arial" w:cs="Arial"/>
          <w:noProof w:val="0"/>
          <w:color w:val="000000" w:themeColor="text1" w:themeTint="FF" w:themeShade="FF"/>
          <w:sz w:val="22"/>
          <w:szCs w:val="22"/>
          <w:lang w:val="en-GB"/>
        </w:rPr>
        <w:t>emerge</w:t>
      </w:r>
      <w:r w:rsidRPr="727F3008" w:rsidR="400D300A">
        <w:rPr>
          <w:rFonts w:ascii="Arial" w:hAnsi="Arial" w:eastAsia="Arial" w:cs="Arial"/>
          <w:noProof w:val="0"/>
          <w:color w:val="000000" w:themeColor="text1" w:themeTint="FF" w:themeShade="FF"/>
          <w:sz w:val="22"/>
          <w:szCs w:val="22"/>
          <w:lang w:val="en-GB"/>
        </w:rPr>
        <w:t>. Effective vaccination strategies relied on leadership that could adapt to system structures: situational leadership in Spain, transformational and servant leadership in South Korea, and a combination of transactional and unifying leadership in Canada (</w:t>
      </w:r>
      <w:r w:rsidRPr="727F3008" w:rsidR="400D300A">
        <w:rPr>
          <w:rFonts w:ascii="Arial" w:hAnsi="Arial" w:eastAsia="Arial" w:cs="Arial"/>
          <w:noProof w:val="0"/>
          <w:color w:val="000000" w:themeColor="text1" w:themeTint="FF" w:themeShade="FF"/>
          <w:sz w:val="22"/>
          <w:szCs w:val="22"/>
          <w:lang w:val="en-GB"/>
        </w:rPr>
        <w:t>Rameshan</w:t>
      </w:r>
      <w:r w:rsidRPr="727F3008" w:rsidR="400D300A">
        <w:rPr>
          <w:rFonts w:ascii="Arial" w:hAnsi="Arial" w:eastAsia="Arial" w:cs="Arial"/>
          <w:noProof w:val="0"/>
          <w:color w:val="000000" w:themeColor="text1" w:themeTint="FF" w:themeShade="FF"/>
          <w:sz w:val="22"/>
          <w:szCs w:val="22"/>
          <w:lang w:val="en-GB"/>
        </w:rPr>
        <w:t xml:space="preserve"> and Obregon, 2024; ICNL, 2024a). System organisation also influenced operational success, with centralised systems enabling rapid nationwide implementation and decentralised systems offering flexibility for local adaptation (OECD, 2021; WHO, 2020).</w:t>
      </w:r>
    </w:p>
    <w:p w:rsidR="400D300A" w:rsidP="727F3008" w:rsidRDefault="400D300A" w14:paraId="501A18C7" w14:textId="50222A75">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Vaccination outcomes were </w:t>
      </w:r>
      <w:r w:rsidRPr="727F3008" w:rsidR="400D300A">
        <w:rPr>
          <w:rFonts w:ascii="Arial" w:hAnsi="Arial" w:eastAsia="Arial" w:cs="Arial"/>
          <w:noProof w:val="0"/>
          <w:color w:val="000000" w:themeColor="text1" w:themeTint="FF" w:themeShade="FF"/>
          <w:sz w:val="22"/>
          <w:szCs w:val="22"/>
          <w:lang w:val="en-GB"/>
        </w:rPr>
        <w:t>closely linked</w:t>
      </w:r>
      <w:r w:rsidRPr="727F3008" w:rsidR="400D300A">
        <w:rPr>
          <w:rFonts w:ascii="Arial" w:hAnsi="Arial" w:eastAsia="Arial" w:cs="Arial"/>
          <w:noProof w:val="0"/>
          <w:color w:val="000000" w:themeColor="text1" w:themeTint="FF" w:themeShade="FF"/>
          <w:sz w:val="22"/>
          <w:szCs w:val="22"/>
          <w:lang w:val="en-GB"/>
        </w:rPr>
        <w:t xml:space="preserve"> to public trust, communication strategies, and coordination between government levels. Countries that integrated leadership, governance, and technological solutions achieved more efficient and </w:t>
      </w:r>
      <w:r w:rsidRPr="727F3008" w:rsidR="400D300A">
        <w:rPr>
          <w:rFonts w:ascii="Arial" w:hAnsi="Arial" w:eastAsia="Arial" w:cs="Arial"/>
          <w:noProof w:val="0"/>
          <w:color w:val="000000" w:themeColor="text1" w:themeTint="FF" w:themeShade="FF"/>
          <w:sz w:val="22"/>
          <w:szCs w:val="22"/>
          <w:lang w:val="en-GB"/>
        </w:rPr>
        <w:t>equitable</w:t>
      </w:r>
      <w:r w:rsidRPr="727F3008" w:rsidR="400D300A">
        <w:rPr>
          <w:rFonts w:ascii="Arial" w:hAnsi="Arial" w:eastAsia="Arial" w:cs="Arial"/>
          <w:noProof w:val="0"/>
          <w:color w:val="000000" w:themeColor="text1" w:themeTint="FF" w:themeShade="FF"/>
          <w:sz w:val="22"/>
          <w:szCs w:val="22"/>
          <w:lang w:val="en-GB"/>
        </w:rPr>
        <w:t xml:space="preserve"> vaccination coverage, </w:t>
      </w:r>
      <w:r w:rsidRPr="727F3008" w:rsidR="400D300A">
        <w:rPr>
          <w:rFonts w:ascii="Arial" w:hAnsi="Arial" w:eastAsia="Arial" w:cs="Arial"/>
          <w:noProof w:val="0"/>
          <w:color w:val="000000" w:themeColor="text1" w:themeTint="FF" w:themeShade="FF"/>
          <w:sz w:val="22"/>
          <w:szCs w:val="22"/>
          <w:lang w:val="en-GB"/>
        </w:rPr>
        <w:t>ultimately contributing</w:t>
      </w:r>
      <w:r w:rsidRPr="727F3008" w:rsidR="400D300A">
        <w:rPr>
          <w:rFonts w:ascii="Arial" w:hAnsi="Arial" w:eastAsia="Arial" w:cs="Arial"/>
          <w:noProof w:val="0"/>
          <w:color w:val="000000" w:themeColor="text1" w:themeTint="FF" w:themeShade="FF"/>
          <w:sz w:val="22"/>
          <w:szCs w:val="22"/>
          <w:lang w:val="en-GB"/>
        </w:rPr>
        <w:t xml:space="preserve"> to reduced morbidity and mortality rates (Sandhu et al., 2022; Allin et al., 2022; García-Alonso and Fernández-Villaverde, 2023). These lessons emphasise the importance of aligning leadership strategies with system structures to optimise public health interventions during crises.</w:t>
      </w:r>
    </w:p>
    <w:p w:rsidR="400D300A" w:rsidP="727F3008" w:rsidRDefault="400D300A" w14:paraId="64B881C4" w14:textId="04C34158">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1326763291" w:id="851637868"/>
      <w:r w:rsidRPr="727F3008" w:rsidR="400D300A">
        <w:rPr>
          <w:rFonts w:ascii="Arial" w:hAnsi="Arial" w:eastAsia="Arial" w:cs="Arial"/>
          <w:b w:val="1"/>
          <w:bCs w:val="1"/>
          <w:noProof w:val="0"/>
          <w:color w:val="000000" w:themeColor="text1" w:themeTint="FF" w:themeShade="FF"/>
          <w:sz w:val="22"/>
          <w:szCs w:val="22"/>
          <w:lang w:val="en-GB"/>
        </w:rPr>
        <w:t>Systemic Challenges and Lessons Learned</w:t>
      </w:r>
      <w:bookmarkEnd w:id="851637868"/>
    </w:p>
    <w:p w:rsidR="400D300A" w:rsidP="727F3008" w:rsidRDefault="400D300A" w14:paraId="5F04B6D2" w14:textId="04613D9C">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The COVID-19 pandemic revealed structural strengths and weaknesses across health systems globally. Spain, South Korea, and Canada faced unique challenges influenced by governance models, leadership strategies, and health system capacities. Understanding these challenges offers valuable lessons for future public health crises.</w:t>
      </w:r>
    </w:p>
    <w:p w:rsidR="400D300A" w:rsidP="727F3008" w:rsidRDefault="400D300A" w14:paraId="0CCA5DEB" w14:textId="1F45EA31">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771036576" w:id="480839432"/>
      <w:r w:rsidRPr="727F3008" w:rsidR="400D300A">
        <w:rPr>
          <w:rFonts w:ascii="Arial" w:hAnsi="Arial" w:eastAsia="Arial" w:cs="Arial"/>
          <w:b w:val="1"/>
          <w:bCs w:val="1"/>
          <w:noProof w:val="0"/>
          <w:color w:val="000000" w:themeColor="text1" w:themeTint="FF" w:themeShade="FF"/>
          <w:sz w:val="22"/>
          <w:szCs w:val="22"/>
          <w:lang w:val="en-GB"/>
        </w:rPr>
        <w:t>Spain</w:t>
      </w:r>
      <w:bookmarkEnd w:id="480839432"/>
    </w:p>
    <w:p w:rsidR="400D300A" w:rsidP="727F3008" w:rsidRDefault="400D300A" w14:paraId="4A1664F1" w14:textId="1D4A7AD9">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Spain’s decentralised system faced significant early challenges, including regional disparities in healthcare capacity, uneven testing availability, and fragmented communication (</w:t>
      </w:r>
      <w:r w:rsidRPr="727F3008" w:rsidR="400D300A">
        <w:rPr>
          <w:rFonts w:ascii="Arial" w:hAnsi="Arial" w:eastAsia="Arial" w:cs="Arial"/>
          <w:noProof w:val="0"/>
          <w:color w:val="000000" w:themeColor="text1" w:themeTint="FF" w:themeShade="FF"/>
          <w:sz w:val="22"/>
          <w:szCs w:val="22"/>
          <w:lang w:val="en-GB"/>
        </w:rPr>
        <w:t>Erkoreka</w:t>
      </w:r>
      <w:r w:rsidRPr="727F3008" w:rsidR="400D300A">
        <w:rPr>
          <w:rFonts w:ascii="Arial" w:hAnsi="Arial" w:eastAsia="Arial" w:cs="Arial"/>
          <w:noProof w:val="0"/>
          <w:color w:val="000000" w:themeColor="text1" w:themeTint="FF" w:themeShade="FF"/>
          <w:sz w:val="22"/>
          <w:szCs w:val="22"/>
          <w:lang w:val="en-GB"/>
        </w:rPr>
        <w:t>, 2022; Royo, 2020). Coordination between central and regional authorities was initially insufficient, leading to delays in implementing national containment strategies. These systemic weaknesses highlighted the tension between local autonomy and the need for rapid, centralised decision-making during emergencies (García-Alonso and Fernández-Villaverde, 2023; González López-Valcárcel and Lopez-Casasnovas, 2025).</w:t>
      </w:r>
    </w:p>
    <w:p w:rsidR="400D300A" w:rsidP="727F3008" w:rsidRDefault="400D300A" w14:paraId="74FC19BA" w14:textId="454F18D8">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However, Spain’s strong primary care networks and regional health infrastructure </w:t>
      </w:r>
      <w:r w:rsidRPr="727F3008" w:rsidR="400D300A">
        <w:rPr>
          <w:rFonts w:ascii="Arial" w:hAnsi="Arial" w:eastAsia="Arial" w:cs="Arial"/>
          <w:noProof w:val="0"/>
          <w:color w:val="000000" w:themeColor="text1" w:themeTint="FF" w:themeShade="FF"/>
          <w:sz w:val="22"/>
          <w:szCs w:val="22"/>
          <w:lang w:val="en-GB"/>
        </w:rPr>
        <w:t>facilitated</w:t>
      </w:r>
      <w:r w:rsidRPr="727F3008" w:rsidR="400D300A">
        <w:rPr>
          <w:rFonts w:ascii="Arial" w:hAnsi="Arial" w:eastAsia="Arial" w:cs="Arial"/>
          <w:noProof w:val="0"/>
          <w:color w:val="000000" w:themeColor="text1" w:themeTint="FF" w:themeShade="FF"/>
          <w:sz w:val="22"/>
          <w:szCs w:val="22"/>
          <w:lang w:val="en-GB"/>
        </w:rPr>
        <w:t xml:space="preserve"> adaptive responses once coordination improved, particularly during the vaccination campaign (Odone et al., 2021; Luque-Fernández and Tobias, 2022). The Spanish experience underscores the importance of </w:t>
      </w:r>
      <w:r w:rsidRPr="727F3008" w:rsidR="400D300A">
        <w:rPr>
          <w:rFonts w:ascii="Arial" w:hAnsi="Arial" w:eastAsia="Arial" w:cs="Arial"/>
          <w:noProof w:val="0"/>
          <w:color w:val="000000" w:themeColor="text1" w:themeTint="FF" w:themeShade="FF"/>
          <w:sz w:val="22"/>
          <w:szCs w:val="22"/>
          <w:lang w:val="en-GB"/>
        </w:rPr>
        <w:t>establishing</w:t>
      </w:r>
      <w:r w:rsidRPr="727F3008" w:rsidR="400D300A">
        <w:rPr>
          <w:rFonts w:ascii="Arial" w:hAnsi="Arial" w:eastAsia="Arial" w:cs="Arial"/>
          <w:noProof w:val="0"/>
          <w:color w:val="000000" w:themeColor="text1" w:themeTint="FF" w:themeShade="FF"/>
          <w:sz w:val="22"/>
          <w:szCs w:val="22"/>
          <w:lang w:val="en-GB"/>
        </w:rPr>
        <w:t xml:space="preserve"> pre-existing mechanisms for interregional collaboration and emergency governance, ensuring that decentralised systems can respond swiftly while </w:t>
      </w:r>
      <w:r w:rsidRPr="727F3008" w:rsidR="400D300A">
        <w:rPr>
          <w:rFonts w:ascii="Arial" w:hAnsi="Arial" w:eastAsia="Arial" w:cs="Arial"/>
          <w:noProof w:val="0"/>
          <w:color w:val="000000" w:themeColor="text1" w:themeTint="FF" w:themeShade="FF"/>
          <w:sz w:val="22"/>
          <w:szCs w:val="22"/>
          <w:lang w:val="en-GB"/>
        </w:rPr>
        <w:t>maintaining</w:t>
      </w:r>
      <w:r w:rsidRPr="727F3008" w:rsidR="400D300A">
        <w:rPr>
          <w:rFonts w:ascii="Arial" w:hAnsi="Arial" w:eastAsia="Arial" w:cs="Arial"/>
          <w:noProof w:val="0"/>
          <w:color w:val="000000" w:themeColor="text1" w:themeTint="FF" w:themeShade="FF"/>
          <w:sz w:val="22"/>
          <w:szCs w:val="22"/>
          <w:lang w:val="en-GB"/>
        </w:rPr>
        <w:t xml:space="preserve"> equity and efficiency (Blanco, </w:t>
      </w:r>
      <w:r w:rsidRPr="727F3008" w:rsidR="400D300A">
        <w:rPr>
          <w:rFonts w:ascii="Arial" w:hAnsi="Arial" w:eastAsia="Arial" w:cs="Arial"/>
          <w:noProof w:val="0"/>
          <w:color w:val="000000" w:themeColor="text1" w:themeTint="FF" w:themeShade="FF"/>
          <w:sz w:val="22"/>
          <w:szCs w:val="22"/>
          <w:lang w:val="en-GB"/>
        </w:rPr>
        <w:t>Gázquez</w:t>
      </w:r>
      <w:r w:rsidRPr="727F3008" w:rsidR="400D300A">
        <w:rPr>
          <w:rFonts w:ascii="Arial" w:hAnsi="Arial" w:eastAsia="Arial" w:cs="Arial"/>
          <w:noProof w:val="0"/>
          <w:color w:val="000000" w:themeColor="text1" w:themeTint="FF" w:themeShade="FF"/>
          <w:sz w:val="22"/>
          <w:szCs w:val="22"/>
          <w:lang w:val="en-GB"/>
        </w:rPr>
        <w:t xml:space="preserve"> and Leal, 2020; Nursing Executives’ response to COVID-19 in Spain, 2025).</w:t>
      </w:r>
    </w:p>
    <w:p w:rsidR="400D300A" w:rsidP="727F3008" w:rsidRDefault="400D300A" w14:paraId="703727B8" w14:textId="531F763B">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149179226" w:id="1105007122"/>
      <w:r w:rsidRPr="727F3008" w:rsidR="400D300A">
        <w:rPr>
          <w:rFonts w:ascii="Arial" w:hAnsi="Arial" w:eastAsia="Arial" w:cs="Arial"/>
          <w:b w:val="1"/>
          <w:bCs w:val="1"/>
          <w:noProof w:val="0"/>
          <w:color w:val="000000" w:themeColor="text1" w:themeTint="FF" w:themeShade="FF"/>
          <w:sz w:val="22"/>
          <w:szCs w:val="22"/>
          <w:lang w:val="en-GB"/>
        </w:rPr>
        <w:t>South Korea</w:t>
      </w:r>
      <w:bookmarkEnd w:id="1105007122"/>
    </w:p>
    <w:p w:rsidR="400D300A" w:rsidP="727F3008" w:rsidRDefault="400D300A" w14:paraId="2C8A0564" w14:textId="7BDEE3A7">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South Korea’s centralised governance allowed rapid mobilisation of resources and consistent public health measures. Nevertheless, systemic challenges included balancing individual privacy with public health monitoring, managing public fatigue from prolonged preventive measures, and ensuring </w:t>
      </w:r>
      <w:r w:rsidRPr="727F3008" w:rsidR="400D300A">
        <w:rPr>
          <w:rFonts w:ascii="Arial" w:hAnsi="Arial" w:eastAsia="Arial" w:cs="Arial"/>
          <w:noProof w:val="0"/>
          <w:color w:val="000000" w:themeColor="text1" w:themeTint="FF" w:themeShade="FF"/>
          <w:sz w:val="22"/>
          <w:szCs w:val="22"/>
          <w:lang w:val="en-GB"/>
        </w:rPr>
        <w:t>equitable</w:t>
      </w:r>
      <w:r w:rsidRPr="727F3008" w:rsidR="400D300A">
        <w:rPr>
          <w:rFonts w:ascii="Arial" w:hAnsi="Arial" w:eastAsia="Arial" w:cs="Arial"/>
          <w:noProof w:val="0"/>
          <w:color w:val="000000" w:themeColor="text1" w:themeTint="FF" w:themeShade="FF"/>
          <w:sz w:val="22"/>
          <w:szCs w:val="22"/>
          <w:lang w:val="en-GB"/>
        </w:rPr>
        <w:t xml:space="preserve"> access to medical resources across urban and rural areas (Hong, 2024; ICNL, 2024a). While South Korea’s integrated digital systems </w:t>
      </w:r>
      <w:r w:rsidRPr="727F3008" w:rsidR="400D300A">
        <w:rPr>
          <w:rFonts w:ascii="Arial" w:hAnsi="Arial" w:eastAsia="Arial" w:cs="Arial"/>
          <w:noProof w:val="0"/>
          <w:color w:val="000000" w:themeColor="text1" w:themeTint="FF" w:themeShade="FF"/>
          <w:sz w:val="22"/>
          <w:szCs w:val="22"/>
          <w:lang w:val="en-GB"/>
        </w:rPr>
        <w:t>facilitated</w:t>
      </w:r>
      <w:r w:rsidRPr="727F3008" w:rsidR="400D300A">
        <w:rPr>
          <w:rFonts w:ascii="Arial" w:hAnsi="Arial" w:eastAsia="Arial" w:cs="Arial"/>
          <w:noProof w:val="0"/>
          <w:color w:val="000000" w:themeColor="text1" w:themeTint="FF" w:themeShade="FF"/>
          <w:sz w:val="22"/>
          <w:szCs w:val="22"/>
          <w:lang w:val="en-GB"/>
        </w:rPr>
        <w:t xml:space="preserve"> contact tracing and vaccination scheduling, reliance on technological solutions posed risks for vulnerable populations with limited digital access (Cho et al., 2020; Yoon et al., 2020).</w:t>
      </w:r>
    </w:p>
    <w:p w:rsidR="400D300A" w:rsidP="727F3008" w:rsidRDefault="400D300A" w14:paraId="7C8F7B37" w14:textId="66DD3DF3">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The South Korean case </w:t>
      </w:r>
      <w:r w:rsidRPr="727F3008" w:rsidR="400D300A">
        <w:rPr>
          <w:rFonts w:ascii="Arial" w:hAnsi="Arial" w:eastAsia="Arial" w:cs="Arial"/>
          <w:noProof w:val="0"/>
          <w:color w:val="000000" w:themeColor="text1" w:themeTint="FF" w:themeShade="FF"/>
          <w:sz w:val="22"/>
          <w:szCs w:val="22"/>
          <w:lang w:val="en-GB"/>
        </w:rPr>
        <w:t>demonstrates</w:t>
      </w:r>
      <w:r w:rsidRPr="727F3008" w:rsidR="400D300A">
        <w:rPr>
          <w:rFonts w:ascii="Arial" w:hAnsi="Arial" w:eastAsia="Arial" w:cs="Arial"/>
          <w:noProof w:val="0"/>
          <w:color w:val="000000" w:themeColor="text1" w:themeTint="FF" w:themeShade="FF"/>
          <w:sz w:val="22"/>
          <w:szCs w:val="22"/>
          <w:lang w:val="en-GB"/>
        </w:rPr>
        <w:t xml:space="preserve"> that even centralised, high-capacity systems must </w:t>
      </w:r>
      <w:r w:rsidRPr="727F3008" w:rsidR="400D300A">
        <w:rPr>
          <w:rFonts w:ascii="Arial" w:hAnsi="Arial" w:eastAsia="Arial" w:cs="Arial"/>
          <w:noProof w:val="0"/>
          <w:color w:val="000000" w:themeColor="text1" w:themeTint="FF" w:themeShade="FF"/>
          <w:sz w:val="22"/>
          <w:szCs w:val="22"/>
          <w:lang w:val="en-GB"/>
        </w:rPr>
        <w:t>anticipate</w:t>
      </w:r>
      <w:r w:rsidRPr="727F3008" w:rsidR="400D300A">
        <w:rPr>
          <w:rFonts w:ascii="Arial" w:hAnsi="Arial" w:eastAsia="Arial" w:cs="Arial"/>
          <w:noProof w:val="0"/>
          <w:color w:val="000000" w:themeColor="text1" w:themeTint="FF" w:themeShade="FF"/>
          <w:sz w:val="22"/>
          <w:szCs w:val="22"/>
          <w:lang w:val="en-GB"/>
        </w:rPr>
        <w:t xml:space="preserve"> socio-technical constraints and public compliance issues. Leadership played a key role in addressing these challenges by emphasising transparency, stakeholder engagement, and trust-building, illustrating the importance of aligning leadership strategies with systemic capabilities (ICNL, 2024b; National Response to COVID-19 in the Republic of Korea and Lessons Learned for Other Countries, 2020).</w:t>
      </w:r>
    </w:p>
    <w:p w:rsidR="400D300A" w:rsidP="727F3008" w:rsidRDefault="400D300A" w14:paraId="5A0232E3" w14:textId="105D2E60">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1451920191" w:id="1083490224"/>
      <w:r w:rsidRPr="727F3008" w:rsidR="400D300A">
        <w:rPr>
          <w:rFonts w:ascii="Arial" w:hAnsi="Arial" w:eastAsia="Arial" w:cs="Arial"/>
          <w:b w:val="1"/>
          <w:bCs w:val="1"/>
          <w:noProof w:val="0"/>
          <w:color w:val="000000" w:themeColor="text1" w:themeTint="FF" w:themeShade="FF"/>
          <w:sz w:val="22"/>
          <w:szCs w:val="22"/>
          <w:lang w:val="en-GB"/>
        </w:rPr>
        <w:t>Canada</w:t>
      </w:r>
      <w:bookmarkEnd w:id="1083490224"/>
    </w:p>
    <w:p w:rsidR="400D300A" w:rsidP="727F3008" w:rsidRDefault="400D300A" w14:paraId="7A437F89" w14:textId="0E948544">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Canada’s federal system presented a distinct set of challenges. While provincial autonomy allowed tailored responses, variability in resources, public health capacity, and vaccination </w:t>
      </w:r>
      <w:r w:rsidRPr="727F3008" w:rsidR="400D300A">
        <w:rPr>
          <w:rFonts w:ascii="Arial" w:hAnsi="Arial" w:eastAsia="Arial" w:cs="Arial"/>
          <w:noProof w:val="0"/>
          <w:color w:val="000000" w:themeColor="text1" w:themeTint="FF" w:themeShade="FF"/>
          <w:sz w:val="22"/>
          <w:szCs w:val="22"/>
          <w:lang w:val="en-GB"/>
        </w:rPr>
        <w:t>logistics</w:t>
      </w:r>
      <w:r w:rsidRPr="727F3008" w:rsidR="400D300A">
        <w:rPr>
          <w:rFonts w:ascii="Arial" w:hAnsi="Arial" w:eastAsia="Arial" w:cs="Arial"/>
          <w:noProof w:val="0"/>
          <w:color w:val="000000" w:themeColor="text1" w:themeTint="FF" w:themeShade="FF"/>
          <w:sz w:val="22"/>
          <w:szCs w:val="22"/>
          <w:lang w:val="en-GB"/>
        </w:rPr>
        <w:t xml:space="preserve"> created uneven outcomes across </w:t>
      </w:r>
      <w:r w:rsidRPr="727F3008" w:rsidR="400D300A">
        <w:rPr>
          <w:rFonts w:ascii="Arial" w:hAnsi="Arial" w:eastAsia="Arial" w:cs="Arial"/>
          <w:noProof w:val="0"/>
          <w:color w:val="000000" w:themeColor="text1" w:themeTint="FF" w:themeShade="FF"/>
          <w:sz w:val="22"/>
          <w:szCs w:val="22"/>
          <w:lang w:val="en-GB"/>
        </w:rPr>
        <w:t>jurisdictions</w:t>
      </w:r>
      <w:r w:rsidRPr="727F3008" w:rsidR="400D300A">
        <w:rPr>
          <w:rFonts w:ascii="Arial" w:hAnsi="Arial" w:eastAsia="Arial" w:cs="Arial"/>
          <w:noProof w:val="0"/>
          <w:color w:val="000000" w:themeColor="text1" w:themeTint="FF" w:themeShade="FF"/>
          <w:sz w:val="22"/>
          <w:szCs w:val="22"/>
          <w:lang w:val="en-GB"/>
        </w:rPr>
        <w:t xml:space="preserve"> (Allin et al., 2022; </w:t>
      </w:r>
      <w:r w:rsidRPr="727F3008" w:rsidR="400D300A">
        <w:rPr>
          <w:rFonts w:ascii="Arial" w:hAnsi="Arial" w:eastAsia="Arial" w:cs="Arial"/>
          <w:noProof w:val="0"/>
          <w:color w:val="000000" w:themeColor="text1" w:themeTint="FF" w:themeShade="FF"/>
          <w:sz w:val="22"/>
          <w:szCs w:val="22"/>
          <w:lang w:val="en-GB"/>
        </w:rPr>
        <w:t>Broschek</w:t>
      </w:r>
      <w:r w:rsidRPr="727F3008" w:rsidR="400D300A">
        <w:rPr>
          <w:rFonts w:ascii="Arial" w:hAnsi="Arial" w:eastAsia="Arial" w:cs="Arial"/>
          <w:noProof w:val="0"/>
          <w:color w:val="000000" w:themeColor="text1" w:themeTint="FF" w:themeShade="FF"/>
          <w:sz w:val="22"/>
          <w:szCs w:val="22"/>
          <w:lang w:val="en-GB"/>
        </w:rPr>
        <w:t>, 2022). The federal government’s role in coordinating procurement and distribution was critical, yet intergovernmental coordination issues initially slowed the national vaccination rollout (Murphy et al., 2025; Public Health Agency of Canada, 2023).</w:t>
      </w:r>
    </w:p>
    <w:p w:rsidR="400D300A" w:rsidP="727F3008" w:rsidRDefault="400D300A" w14:paraId="5D8F5F33" w14:textId="30534934">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Canada’s experience highlights the importance of </w:t>
      </w:r>
      <w:r w:rsidRPr="727F3008" w:rsidR="400D300A">
        <w:rPr>
          <w:rFonts w:ascii="Arial" w:hAnsi="Arial" w:eastAsia="Arial" w:cs="Arial"/>
          <w:noProof w:val="0"/>
          <w:color w:val="000000" w:themeColor="text1" w:themeTint="FF" w:themeShade="FF"/>
          <w:sz w:val="22"/>
          <w:szCs w:val="22"/>
          <w:lang w:val="en-GB"/>
        </w:rPr>
        <w:t>strong communication</w:t>
      </w:r>
      <w:r w:rsidRPr="727F3008" w:rsidR="400D300A">
        <w:rPr>
          <w:rFonts w:ascii="Arial" w:hAnsi="Arial" w:eastAsia="Arial" w:cs="Arial"/>
          <w:noProof w:val="0"/>
          <w:color w:val="000000" w:themeColor="text1" w:themeTint="FF" w:themeShade="FF"/>
          <w:sz w:val="22"/>
          <w:szCs w:val="22"/>
          <w:lang w:val="en-GB"/>
        </w:rPr>
        <w:t xml:space="preserve"> channels, federal-provincial collaboration, and clear delineation of responsibilities in decentralised or federal systems. The pandemic emphasised that leadership effectiveness depends on the ability to reconcile local flexibility with national consistency, ensuring </w:t>
      </w:r>
      <w:r w:rsidRPr="727F3008" w:rsidR="400D300A">
        <w:rPr>
          <w:rFonts w:ascii="Arial" w:hAnsi="Arial" w:eastAsia="Arial" w:cs="Arial"/>
          <w:noProof w:val="0"/>
          <w:color w:val="000000" w:themeColor="text1" w:themeTint="FF" w:themeShade="FF"/>
          <w:sz w:val="22"/>
          <w:szCs w:val="22"/>
          <w:lang w:val="en-GB"/>
        </w:rPr>
        <w:t>equitable</w:t>
      </w:r>
      <w:r w:rsidRPr="727F3008" w:rsidR="400D300A">
        <w:rPr>
          <w:rFonts w:ascii="Arial" w:hAnsi="Arial" w:eastAsia="Arial" w:cs="Arial"/>
          <w:noProof w:val="0"/>
          <w:color w:val="000000" w:themeColor="text1" w:themeTint="FF" w:themeShade="FF"/>
          <w:sz w:val="22"/>
          <w:szCs w:val="22"/>
          <w:lang w:val="en-GB"/>
        </w:rPr>
        <w:t xml:space="preserve"> access to care and efficient deployment of resources (Hertelendy et al., 2022; Greer et al., 2022).</w:t>
      </w:r>
    </w:p>
    <w:p w:rsidR="400D300A" w:rsidP="727F3008" w:rsidRDefault="400D300A" w14:paraId="0D01AFB4" w14:textId="022A58E6">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842739784" w:id="1187609961"/>
      <w:r w:rsidRPr="727F3008" w:rsidR="400D300A">
        <w:rPr>
          <w:rFonts w:ascii="Arial" w:hAnsi="Arial" w:eastAsia="Arial" w:cs="Arial"/>
          <w:b w:val="1"/>
          <w:bCs w:val="1"/>
          <w:noProof w:val="0"/>
          <w:color w:val="000000" w:themeColor="text1" w:themeTint="FF" w:themeShade="FF"/>
          <w:sz w:val="22"/>
          <w:szCs w:val="22"/>
          <w:lang w:val="en-GB"/>
        </w:rPr>
        <w:t>Lessons Learned</w:t>
      </w:r>
      <w:bookmarkEnd w:id="1187609961"/>
    </w:p>
    <w:p w:rsidR="400D300A" w:rsidP="727F3008" w:rsidRDefault="400D300A" w14:paraId="6A4A3B2C" w14:textId="79C039AF">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Across the three </w:t>
      </w:r>
      <w:r w:rsidRPr="727F3008" w:rsidR="400D300A">
        <w:rPr>
          <w:rFonts w:ascii="Arial" w:hAnsi="Arial" w:eastAsia="Arial" w:cs="Arial"/>
          <w:noProof w:val="0"/>
          <w:color w:val="000000" w:themeColor="text1" w:themeTint="FF" w:themeShade="FF"/>
          <w:sz w:val="22"/>
          <w:szCs w:val="22"/>
          <w:lang w:val="en-GB"/>
        </w:rPr>
        <w:t>jurisdictions</w:t>
      </w:r>
      <w:r w:rsidRPr="727F3008" w:rsidR="400D300A">
        <w:rPr>
          <w:rFonts w:ascii="Arial" w:hAnsi="Arial" w:eastAsia="Arial" w:cs="Arial"/>
          <w:noProof w:val="0"/>
          <w:color w:val="000000" w:themeColor="text1" w:themeTint="FF" w:themeShade="FF"/>
          <w:sz w:val="22"/>
          <w:szCs w:val="22"/>
          <w:lang w:val="en-GB"/>
        </w:rPr>
        <w:t xml:space="preserve">, several lessons </w:t>
      </w:r>
      <w:r w:rsidRPr="727F3008" w:rsidR="400D300A">
        <w:rPr>
          <w:rFonts w:ascii="Arial" w:hAnsi="Arial" w:eastAsia="Arial" w:cs="Arial"/>
          <w:noProof w:val="0"/>
          <w:color w:val="000000" w:themeColor="text1" w:themeTint="FF" w:themeShade="FF"/>
          <w:sz w:val="22"/>
          <w:szCs w:val="22"/>
          <w:lang w:val="en-GB"/>
        </w:rPr>
        <w:t>emerge</w:t>
      </w:r>
      <w:r w:rsidRPr="727F3008" w:rsidR="400D300A">
        <w:rPr>
          <w:rFonts w:ascii="Arial" w:hAnsi="Arial" w:eastAsia="Arial" w:cs="Arial"/>
          <w:noProof w:val="0"/>
          <w:color w:val="000000" w:themeColor="text1" w:themeTint="FF" w:themeShade="FF"/>
          <w:sz w:val="22"/>
          <w:szCs w:val="22"/>
          <w:lang w:val="en-GB"/>
        </w:rPr>
        <w:t>:</w:t>
      </w:r>
    </w:p>
    <w:p w:rsidR="400D300A" w:rsidP="727F3008" w:rsidRDefault="400D300A" w14:paraId="6853FCE4" w14:textId="183E3446">
      <w:pPr>
        <w:pStyle w:val="ListParagraph"/>
        <w:numPr>
          <w:ilvl w:val="0"/>
          <w:numId w:val="27"/>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b w:val="1"/>
          <w:bCs w:val="1"/>
          <w:noProof w:val="0"/>
          <w:color w:val="000000" w:themeColor="text1" w:themeTint="FF" w:themeShade="FF"/>
          <w:sz w:val="22"/>
          <w:szCs w:val="22"/>
          <w:lang w:val="en-GB"/>
        </w:rPr>
        <w:t>Alignment of Leadership and Governance:</w:t>
      </w:r>
      <w:r w:rsidRPr="727F3008" w:rsidR="400D300A">
        <w:rPr>
          <w:rFonts w:ascii="Arial" w:hAnsi="Arial" w:eastAsia="Arial" w:cs="Arial"/>
          <w:noProof w:val="0"/>
          <w:color w:val="000000" w:themeColor="text1" w:themeTint="FF" w:themeShade="FF"/>
          <w:sz w:val="22"/>
          <w:szCs w:val="22"/>
          <w:lang w:val="en-GB"/>
        </w:rPr>
        <w:t xml:space="preserve"> The effectiveness of pandemic response is </w:t>
      </w:r>
      <w:r w:rsidRPr="727F3008" w:rsidR="400D300A">
        <w:rPr>
          <w:rFonts w:ascii="Arial" w:hAnsi="Arial" w:eastAsia="Arial" w:cs="Arial"/>
          <w:noProof w:val="0"/>
          <w:color w:val="000000" w:themeColor="text1" w:themeTint="FF" w:themeShade="FF"/>
          <w:sz w:val="22"/>
          <w:szCs w:val="22"/>
          <w:lang w:val="en-GB"/>
        </w:rPr>
        <w:t>closely linked</w:t>
      </w:r>
      <w:r w:rsidRPr="727F3008" w:rsidR="400D300A">
        <w:rPr>
          <w:rFonts w:ascii="Arial" w:hAnsi="Arial" w:eastAsia="Arial" w:cs="Arial"/>
          <w:noProof w:val="0"/>
          <w:color w:val="000000" w:themeColor="text1" w:themeTint="FF" w:themeShade="FF"/>
          <w:sz w:val="22"/>
          <w:szCs w:val="22"/>
          <w:lang w:val="en-GB"/>
        </w:rPr>
        <w:t xml:space="preserve"> to the alignment of leadership strategies with system structures. Centralised systems </w:t>
      </w:r>
      <w:r w:rsidRPr="727F3008" w:rsidR="400D300A">
        <w:rPr>
          <w:rFonts w:ascii="Arial" w:hAnsi="Arial" w:eastAsia="Arial" w:cs="Arial"/>
          <w:noProof w:val="0"/>
          <w:color w:val="000000" w:themeColor="text1" w:themeTint="FF" w:themeShade="FF"/>
          <w:sz w:val="22"/>
          <w:szCs w:val="22"/>
          <w:lang w:val="en-GB"/>
        </w:rPr>
        <w:t>benefit</w:t>
      </w:r>
      <w:r w:rsidRPr="727F3008" w:rsidR="400D300A">
        <w:rPr>
          <w:rFonts w:ascii="Arial" w:hAnsi="Arial" w:eastAsia="Arial" w:cs="Arial"/>
          <w:noProof w:val="0"/>
          <w:color w:val="000000" w:themeColor="text1" w:themeTint="FF" w:themeShade="FF"/>
          <w:sz w:val="22"/>
          <w:szCs w:val="22"/>
          <w:lang w:val="en-GB"/>
        </w:rPr>
        <w:t xml:space="preserve"> from transformational leadership and rapid decision-making, </w:t>
      </w:r>
      <w:r w:rsidRPr="727F3008" w:rsidR="400D300A">
        <w:rPr>
          <w:rFonts w:ascii="Arial" w:hAnsi="Arial" w:eastAsia="Arial" w:cs="Arial"/>
          <w:noProof w:val="0"/>
          <w:color w:val="000000" w:themeColor="text1" w:themeTint="FF" w:themeShade="FF"/>
          <w:sz w:val="22"/>
          <w:szCs w:val="22"/>
          <w:lang w:val="en-GB"/>
        </w:rPr>
        <w:t>whereas</w:t>
      </w:r>
      <w:r w:rsidRPr="727F3008" w:rsidR="400D300A">
        <w:rPr>
          <w:rFonts w:ascii="Arial" w:hAnsi="Arial" w:eastAsia="Arial" w:cs="Arial"/>
          <w:noProof w:val="0"/>
          <w:color w:val="000000" w:themeColor="text1" w:themeTint="FF" w:themeShade="FF"/>
          <w:sz w:val="22"/>
          <w:szCs w:val="22"/>
          <w:lang w:val="en-GB"/>
        </w:rPr>
        <w:t xml:space="preserve"> decentralised or federal systems require adaptive, situational, and unifying leadership approaches (</w:t>
      </w:r>
      <w:r w:rsidRPr="727F3008" w:rsidR="400D300A">
        <w:rPr>
          <w:rFonts w:ascii="Arial" w:hAnsi="Arial" w:eastAsia="Arial" w:cs="Arial"/>
          <w:noProof w:val="0"/>
          <w:color w:val="000000" w:themeColor="text1" w:themeTint="FF" w:themeShade="FF"/>
          <w:sz w:val="22"/>
          <w:szCs w:val="22"/>
          <w:lang w:val="en-GB"/>
        </w:rPr>
        <w:t>Rameshan</w:t>
      </w:r>
      <w:r w:rsidRPr="727F3008" w:rsidR="400D300A">
        <w:rPr>
          <w:rFonts w:ascii="Arial" w:hAnsi="Arial" w:eastAsia="Arial" w:cs="Arial"/>
          <w:noProof w:val="0"/>
          <w:color w:val="000000" w:themeColor="text1" w:themeTint="FF" w:themeShade="FF"/>
          <w:sz w:val="22"/>
          <w:szCs w:val="22"/>
          <w:lang w:val="en-GB"/>
        </w:rPr>
        <w:t xml:space="preserve"> and Obregon, 2024; OECD, 2021).</w:t>
      </w:r>
    </w:p>
    <w:p w:rsidR="400D300A" w:rsidP="727F3008" w:rsidRDefault="400D300A" w14:paraId="6CF83184" w14:textId="17C323A0">
      <w:pPr>
        <w:pStyle w:val="ListParagraph"/>
        <w:numPr>
          <w:ilvl w:val="0"/>
          <w:numId w:val="27"/>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b w:val="1"/>
          <w:bCs w:val="1"/>
          <w:noProof w:val="0"/>
          <w:color w:val="000000" w:themeColor="text1" w:themeTint="FF" w:themeShade="FF"/>
          <w:sz w:val="22"/>
          <w:szCs w:val="22"/>
          <w:lang w:val="en-GB"/>
        </w:rPr>
        <w:t>Importance of Coordination:</w:t>
      </w:r>
      <w:r w:rsidRPr="727F3008" w:rsidR="400D300A">
        <w:rPr>
          <w:rFonts w:ascii="Arial" w:hAnsi="Arial" w:eastAsia="Arial" w:cs="Arial"/>
          <w:noProof w:val="0"/>
          <w:color w:val="000000" w:themeColor="text1" w:themeTint="FF" w:themeShade="FF"/>
          <w:sz w:val="22"/>
          <w:szCs w:val="22"/>
          <w:lang w:val="en-GB"/>
        </w:rPr>
        <w:t xml:space="preserve"> Intergovernmental coordination mechanisms are crucial in both decentralised and federal systems. Spain and Canada </w:t>
      </w:r>
      <w:r w:rsidRPr="727F3008" w:rsidR="400D300A">
        <w:rPr>
          <w:rFonts w:ascii="Arial" w:hAnsi="Arial" w:eastAsia="Arial" w:cs="Arial"/>
          <w:noProof w:val="0"/>
          <w:color w:val="000000" w:themeColor="text1" w:themeTint="FF" w:themeShade="FF"/>
          <w:sz w:val="22"/>
          <w:szCs w:val="22"/>
          <w:lang w:val="en-GB"/>
        </w:rPr>
        <w:t>demonstrated</w:t>
      </w:r>
      <w:r w:rsidRPr="727F3008" w:rsidR="400D300A">
        <w:rPr>
          <w:rFonts w:ascii="Arial" w:hAnsi="Arial" w:eastAsia="Arial" w:cs="Arial"/>
          <w:noProof w:val="0"/>
          <w:color w:val="000000" w:themeColor="text1" w:themeTint="FF" w:themeShade="FF"/>
          <w:sz w:val="22"/>
          <w:szCs w:val="22"/>
          <w:lang w:val="en-GB"/>
        </w:rPr>
        <w:t xml:space="preserve"> that initial delays can be mitigated through pre-established communication channels and emergency governance frameworks (Greer et al., 2022; WHO, 2020).</w:t>
      </w:r>
    </w:p>
    <w:p w:rsidR="400D300A" w:rsidP="727F3008" w:rsidRDefault="400D300A" w14:paraId="2A86FF35" w14:textId="1394653B">
      <w:pPr>
        <w:pStyle w:val="ListParagraph"/>
        <w:numPr>
          <w:ilvl w:val="0"/>
          <w:numId w:val="27"/>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b w:val="1"/>
          <w:bCs w:val="1"/>
          <w:noProof w:val="0"/>
          <w:color w:val="000000" w:themeColor="text1" w:themeTint="FF" w:themeShade="FF"/>
          <w:sz w:val="22"/>
          <w:szCs w:val="22"/>
          <w:lang w:val="en-GB"/>
        </w:rPr>
        <w:t>Public Trust and Communication:</w:t>
      </w:r>
      <w:r w:rsidRPr="727F3008" w:rsidR="400D300A">
        <w:rPr>
          <w:rFonts w:ascii="Arial" w:hAnsi="Arial" w:eastAsia="Arial" w:cs="Arial"/>
          <w:noProof w:val="0"/>
          <w:color w:val="000000" w:themeColor="text1" w:themeTint="FF" w:themeShade="FF"/>
          <w:sz w:val="22"/>
          <w:szCs w:val="22"/>
          <w:lang w:val="en-GB"/>
        </w:rPr>
        <w:t xml:space="preserve"> Transparent, consistent, and culturally sensitive communication fosters compliance and enhances the effectiveness of public health measures. Leaders who prioritised trust-building, such as in South Korea, achieved higher adherence to preventive and vaccination measures (Sandhu et al., 2022; ICNL, 2024a).</w:t>
      </w:r>
    </w:p>
    <w:p w:rsidR="400D300A" w:rsidP="727F3008" w:rsidRDefault="400D300A" w14:paraId="267F7F8F" w14:textId="7AF08BF7">
      <w:pPr>
        <w:pStyle w:val="ListParagraph"/>
        <w:numPr>
          <w:ilvl w:val="0"/>
          <w:numId w:val="27"/>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b w:val="1"/>
          <w:bCs w:val="1"/>
          <w:noProof w:val="0"/>
          <w:color w:val="000000" w:themeColor="text1" w:themeTint="FF" w:themeShade="FF"/>
          <w:sz w:val="22"/>
          <w:szCs w:val="22"/>
          <w:lang w:val="en-GB"/>
        </w:rPr>
        <w:t>Flexibility and Adaptive Capacity:</w:t>
      </w:r>
      <w:r w:rsidRPr="727F3008" w:rsidR="400D300A">
        <w:rPr>
          <w:rFonts w:ascii="Arial" w:hAnsi="Arial" w:eastAsia="Arial" w:cs="Arial"/>
          <w:noProof w:val="0"/>
          <w:color w:val="000000" w:themeColor="text1" w:themeTint="FF" w:themeShade="FF"/>
          <w:sz w:val="22"/>
          <w:szCs w:val="22"/>
          <w:lang w:val="en-GB"/>
        </w:rPr>
        <w:t xml:space="preserve"> Health systems must be capable of rapidly reallocating resources and adapting protocols. Spain’s vaccination success exemplifies how decentralised systems can </w:t>
      </w:r>
      <w:r w:rsidRPr="727F3008" w:rsidR="400D300A">
        <w:rPr>
          <w:rFonts w:ascii="Arial" w:hAnsi="Arial" w:eastAsia="Arial" w:cs="Arial"/>
          <w:noProof w:val="0"/>
          <w:color w:val="000000" w:themeColor="text1" w:themeTint="FF" w:themeShade="FF"/>
          <w:sz w:val="22"/>
          <w:szCs w:val="22"/>
          <w:lang w:val="en-GB"/>
        </w:rPr>
        <w:t>leverage</w:t>
      </w:r>
      <w:r w:rsidRPr="727F3008" w:rsidR="400D300A">
        <w:rPr>
          <w:rFonts w:ascii="Arial" w:hAnsi="Arial" w:eastAsia="Arial" w:cs="Arial"/>
          <w:noProof w:val="0"/>
          <w:color w:val="000000" w:themeColor="text1" w:themeTint="FF" w:themeShade="FF"/>
          <w:sz w:val="22"/>
          <w:szCs w:val="22"/>
          <w:lang w:val="en-GB"/>
        </w:rPr>
        <w:t xml:space="preserve"> local networks while </w:t>
      </w:r>
      <w:r w:rsidRPr="727F3008" w:rsidR="400D300A">
        <w:rPr>
          <w:rFonts w:ascii="Arial" w:hAnsi="Arial" w:eastAsia="Arial" w:cs="Arial"/>
          <w:noProof w:val="0"/>
          <w:color w:val="000000" w:themeColor="text1" w:themeTint="FF" w:themeShade="FF"/>
          <w:sz w:val="22"/>
          <w:szCs w:val="22"/>
          <w:lang w:val="en-GB"/>
        </w:rPr>
        <w:t>maintaining</w:t>
      </w:r>
      <w:r w:rsidRPr="727F3008" w:rsidR="400D300A">
        <w:rPr>
          <w:rFonts w:ascii="Arial" w:hAnsi="Arial" w:eastAsia="Arial" w:cs="Arial"/>
          <w:noProof w:val="0"/>
          <w:color w:val="000000" w:themeColor="text1" w:themeTint="FF" w:themeShade="FF"/>
          <w:sz w:val="22"/>
          <w:szCs w:val="22"/>
          <w:lang w:val="en-GB"/>
        </w:rPr>
        <w:t xml:space="preserve"> national oversight (Luque-Fernández and Tobias, 2022; Blanco, </w:t>
      </w:r>
      <w:r w:rsidRPr="727F3008" w:rsidR="400D300A">
        <w:rPr>
          <w:rFonts w:ascii="Arial" w:hAnsi="Arial" w:eastAsia="Arial" w:cs="Arial"/>
          <w:noProof w:val="0"/>
          <w:color w:val="000000" w:themeColor="text1" w:themeTint="FF" w:themeShade="FF"/>
          <w:sz w:val="22"/>
          <w:szCs w:val="22"/>
          <w:lang w:val="en-GB"/>
        </w:rPr>
        <w:t>Gázquez</w:t>
      </w:r>
      <w:r w:rsidRPr="727F3008" w:rsidR="400D300A">
        <w:rPr>
          <w:rFonts w:ascii="Arial" w:hAnsi="Arial" w:eastAsia="Arial" w:cs="Arial"/>
          <w:noProof w:val="0"/>
          <w:color w:val="000000" w:themeColor="text1" w:themeTint="FF" w:themeShade="FF"/>
          <w:sz w:val="22"/>
          <w:szCs w:val="22"/>
          <w:lang w:val="en-GB"/>
        </w:rPr>
        <w:t xml:space="preserve"> and Leal, 2020).</w:t>
      </w:r>
    </w:p>
    <w:p w:rsidR="400D300A" w:rsidP="727F3008" w:rsidRDefault="400D300A" w14:paraId="4FBF5022" w14:textId="6C422859">
      <w:pPr>
        <w:pStyle w:val="ListParagraph"/>
        <w:numPr>
          <w:ilvl w:val="0"/>
          <w:numId w:val="27"/>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b w:val="1"/>
          <w:bCs w:val="1"/>
          <w:noProof w:val="0"/>
          <w:color w:val="000000" w:themeColor="text1" w:themeTint="FF" w:themeShade="FF"/>
          <w:sz w:val="22"/>
          <w:szCs w:val="22"/>
          <w:lang w:val="en-GB"/>
        </w:rPr>
        <w:t>Technology Integration:</w:t>
      </w:r>
      <w:r w:rsidRPr="727F3008" w:rsidR="400D300A">
        <w:rPr>
          <w:rFonts w:ascii="Arial" w:hAnsi="Arial" w:eastAsia="Arial" w:cs="Arial"/>
          <w:noProof w:val="0"/>
          <w:color w:val="000000" w:themeColor="text1" w:themeTint="FF" w:themeShade="FF"/>
          <w:sz w:val="22"/>
          <w:szCs w:val="22"/>
          <w:lang w:val="en-GB"/>
        </w:rPr>
        <w:t xml:space="preserve"> Digital tools for contact tracing, data collection, and vaccination scheduling enhance efficiency but require careful management to avoid inequities, as seen in South Korea (Yoon et al., 2020; Cho et al., 2020).</w:t>
      </w:r>
    </w:p>
    <w:p w:rsidR="400D300A" w:rsidP="727F3008" w:rsidRDefault="400D300A" w14:paraId="20E4761C" w14:textId="63157879">
      <w:pPr>
        <w:pStyle w:val="ListParagraph"/>
        <w:numPr>
          <w:ilvl w:val="0"/>
          <w:numId w:val="27"/>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b w:val="1"/>
          <w:bCs w:val="1"/>
          <w:noProof w:val="0"/>
          <w:color w:val="000000" w:themeColor="text1" w:themeTint="FF" w:themeShade="FF"/>
          <w:sz w:val="22"/>
          <w:szCs w:val="22"/>
          <w:lang w:val="en-GB"/>
        </w:rPr>
        <w:t>Equity Considerations:</w:t>
      </w:r>
      <w:r w:rsidRPr="727F3008" w:rsidR="400D300A">
        <w:rPr>
          <w:rFonts w:ascii="Arial" w:hAnsi="Arial" w:eastAsia="Arial" w:cs="Arial"/>
          <w:noProof w:val="0"/>
          <w:color w:val="000000" w:themeColor="text1" w:themeTint="FF" w:themeShade="FF"/>
          <w:sz w:val="22"/>
          <w:szCs w:val="22"/>
          <w:lang w:val="en-GB"/>
        </w:rPr>
        <w:t xml:space="preserve"> Equity in access to care, testing, and vaccination is critical. Canada’s federal approach highlighted challenges in ensuring consistency across provinces, emphasising the need for targeted strategies to reach vulnerable populations (Murphy et al., 2025; CIHI, 2022).</w:t>
      </w:r>
    </w:p>
    <w:p w:rsidR="400D300A" w:rsidP="727F3008" w:rsidRDefault="400D300A" w14:paraId="1EB3658F" w14:textId="2C4FF115">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By synthesising these lessons, </w:t>
      </w:r>
      <w:r w:rsidRPr="727F3008" w:rsidR="16D055CE">
        <w:rPr>
          <w:rFonts w:ascii="Arial" w:hAnsi="Arial" w:eastAsia="Arial" w:cs="Arial"/>
          <w:noProof w:val="0"/>
          <w:color w:val="000000" w:themeColor="text1" w:themeTint="FF" w:themeShade="FF"/>
          <w:sz w:val="22"/>
          <w:szCs w:val="22"/>
          <w:lang w:val="en-GB"/>
        </w:rPr>
        <w:t>future</w:t>
      </w:r>
      <w:r w:rsidRPr="727F3008" w:rsidR="400D300A">
        <w:rPr>
          <w:rFonts w:ascii="Arial" w:hAnsi="Arial" w:eastAsia="Arial" w:cs="Arial"/>
          <w:noProof w:val="0"/>
          <w:color w:val="000000" w:themeColor="text1" w:themeTint="FF" w:themeShade="FF"/>
          <w:sz w:val="22"/>
          <w:szCs w:val="22"/>
          <w:lang w:val="en-GB"/>
        </w:rPr>
        <w:t xml:space="preserve"> pandemic preparedness requires a combination of strong leadership, flexible yet coordinated governance, technological integration, and equity-focused strategies. Systems that can adapt while </w:t>
      </w:r>
      <w:r w:rsidRPr="727F3008" w:rsidR="400D300A">
        <w:rPr>
          <w:rFonts w:ascii="Arial" w:hAnsi="Arial" w:eastAsia="Arial" w:cs="Arial"/>
          <w:noProof w:val="0"/>
          <w:color w:val="000000" w:themeColor="text1" w:themeTint="FF" w:themeShade="FF"/>
          <w:sz w:val="22"/>
          <w:szCs w:val="22"/>
          <w:lang w:val="en-GB"/>
        </w:rPr>
        <w:t>maintaining</w:t>
      </w:r>
      <w:r w:rsidRPr="727F3008" w:rsidR="400D300A">
        <w:rPr>
          <w:rFonts w:ascii="Arial" w:hAnsi="Arial" w:eastAsia="Arial" w:cs="Arial"/>
          <w:noProof w:val="0"/>
          <w:color w:val="000000" w:themeColor="text1" w:themeTint="FF" w:themeShade="FF"/>
          <w:sz w:val="22"/>
          <w:szCs w:val="22"/>
          <w:lang w:val="en-GB"/>
        </w:rPr>
        <w:t xml:space="preserve"> consistency, guided by informed and transparent leadership, are most likely to achieve </w:t>
      </w:r>
      <w:r w:rsidRPr="727F3008" w:rsidR="400D300A">
        <w:rPr>
          <w:rFonts w:ascii="Arial" w:hAnsi="Arial" w:eastAsia="Arial" w:cs="Arial"/>
          <w:noProof w:val="0"/>
          <w:color w:val="000000" w:themeColor="text1" w:themeTint="FF" w:themeShade="FF"/>
          <w:sz w:val="22"/>
          <w:szCs w:val="22"/>
          <w:lang w:val="en-GB"/>
        </w:rPr>
        <w:t>optimal</w:t>
      </w:r>
      <w:r w:rsidRPr="727F3008" w:rsidR="400D300A">
        <w:rPr>
          <w:rFonts w:ascii="Arial" w:hAnsi="Arial" w:eastAsia="Arial" w:cs="Arial"/>
          <w:noProof w:val="0"/>
          <w:color w:val="000000" w:themeColor="text1" w:themeTint="FF" w:themeShade="FF"/>
          <w:sz w:val="22"/>
          <w:szCs w:val="22"/>
          <w:lang w:val="en-GB"/>
        </w:rPr>
        <w:t xml:space="preserve"> health outcomes during crises.</w:t>
      </w:r>
    </w:p>
    <w:p w:rsidR="400D300A" w:rsidP="727F3008" w:rsidRDefault="400D300A" w14:paraId="08950F4C" w14:textId="75922924">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240479990" w:id="2061941860"/>
      <w:r w:rsidRPr="727F3008" w:rsidR="400D300A">
        <w:rPr>
          <w:rFonts w:ascii="Arial" w:hAnsi="Arial" w:eastAsia="Arial" w:cs="Arial"/>
          <w:b w:val="1"/>
          <w:bCs w:val="1"/>
          <w:noProof w:val="0"/>
          <w:color w:val="000000" w:themeColor="text1" w:themeTint="FF" w:themeShade="FF"/>
          <w:sz w:val="22"/>
          <w:szCs w:val="22"/>
          <w:lang w:val="en-GB"/>
        </w:rPr>
        <w:t>Conclusions and Recommendations</w:t>
      </w:r>
      <w:bookmarkEnd w:id="2061941860"/>
    </w:p>
    <w:p w:rsidR="400D300A" w:rsidP="727F3008" w:rsidRDefault="400D300A" w14:paraId="1CA26368" w14:textId="2886F818">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noProof w:val="0"/>
          <w:color w:val="000000" w:themeColor="text1" w:themeTint="FF" w:themeShade="FF"/>
          <w:sz w:val="22"/>
          <w:szCs w:val="22"/>
          <w:lang w:val="en-GB"/>
        </w:rPr>
        <w:t xml:space="preserve">The comparative analysis of Spain, South Korea, and Canada </w:t>
      </w:r>
      <w:r w:rsidRPr="727F3008" w:rsidR="400D300A">
        <w:rPr>
          <w:rFonts w:ascii="Arial" w:hAnsi="Arial" w:eastAsia="Arial" w:cs="Arial"/>
          <w:noProof w:val="0"/>
          <w:color w:val="000000" w:themeColor="text1" w:themeTint="FF" w:themeShade="FF"/>
          <w:sz w:val="22"/>
          <w:szCs w:val="22"/>
          <w:lang w:val="en-GB"/>
        </w:rPr>
        <w:t>demonstrates</w:t>
      </w:r>
      <w:r w:rsidRPr="727F3008" w:rsidR="400D300A">
        <w:rPr>
          <w:rFonts w:ascii="Arial" w:hAnsi="Arial" w:eastAsia="Arial" w:cs="Arial"/>
          <w:noProof w:val="0"/>
          <w:color w:val="000000" w:themeColor="text1" w:themeTint="FF" w:themeShade="FF"/>
          <w:sz w:val="22"/>
          <w:szCs w:val="22"/>
          <w:lang w:val="en-GB"/>
        </w:rPr>
        <w:t xml:space="preserve"> that leadership effectiveness, health system organisation, and governance structures were critical determinants of the COVID-19 pandemic response. While each country faced unique challenges, several overarching conclusions can be drawn </w:t>
      </w:r>
      <w:r w:rsidRPr="727F3008" w:rsidR="400D300A">
        <w:rPr>
          <w:rFonts w:ascii="Arial" w:hAnsi="Arial" w:eastAsia="Arial" w:cs="Arial"/>
          <w:noProof w:val="0"/>
          <w:color w:val="000000" w:themeColor="text1" w:themeTint="FF" w:themeShade="FF"/>
          <w:sz w:val="22"/>
          <w:szCs w:val="22"/>
          <w:lang w:val="en-GB"/>
        </w:rPr>
        <w:t>regarding</w:t>
      </w:r>
      <w:r w:rsidRPr="727F3008" w:rsidR="400D300A">
        <w:rPr>
          <w:rFonts w:ascii="Arial" w:hAnsi="Arial" w:eastAsia="Arial" w:cs="Arial"/>
          <w:noProof w:val="0"/>
          <w:color w:val="000000" w:themeColor="text1" w:themeTint="FF" w:themeShade="FF"/>
          <w:sz w:val="22"/>
          <w:szCs w:val="22"/>
          <w:lang w:val="en-GB"/>
        </w:rPr>
        <w:t xml:space="preserve"> leadership, centralisation, and health system outcomes.</w:t>
      </w:r>
    </w:p>
    <w:p w:rsidR="400D300A" w:rsidP="727F3008" w:rsidRDefault="400D300A" w14:paraId="33C878D6" w14:textId="70F8F055">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59242735" w:id="1959686683"/>
      <w:r w:rsidRPr="727F3008" w:rsidR="400D300A">
        <w:rPr>
          <w:rFonts w:ascii="Arial" w:hAnsi="Arial" w:eastAsia="Arial" w:cs="Arial"/>
          <w:b w:val="1"/>
          <w:bCs w:val="1"/>
          <w:noProof w:val="0"/>
          <w:color w:val="000000" w:themeColor="text1" w:themeTint="FF" w:themeShade="FF"/>
          <w:sz w:val="22"/>
          <w:szCs w:val="22"/>
          <w:lang w:val="en-GB"/>
        </w:rPr>
        <w:t>Conclusions</w:t>
      </w:r>
      <w:bookmarkEnd w:id="1959686683"/>
    </w:p>
    <w:p w:rsidR="400D300A" w:rsidP="727F3008" w:rsidRDefault="400D300A" w14:paraId="53B6174B" w14:textId="3BD9A608">
      <w:pPr>
        <w:pStyle w:val="ListParagraph"/>
        <w:numPr>
          <w:ilvl w:val="0"/>
          <w:numId w:val="28"/>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b w:val="1"/>
          <w:bCs w:val="1"/>
          <w:noProof w:val="0"/>
          <w:color w:val="000000" w:themeColor="text1" w:themeTint="FF" w:themeShade="FF"/>
          <w:sz w:val="22"/>
          <w:szCs w:val="22"/>
          <w:lang w:val="en-GB"/>
        </w:rPr>
        <w:t>Leadership Styles Shape System Responses:</w:t>
      </w:r>
      <w:r>
        <w:br/>
      </w:r>
      <w:r w:rsidRPr="727F3008" w:rsidR="400D300A">
        <w:rPr>
          <w:rFonts w:ascii="Arial" w:hAnsi="Arial" w:eastAsia="Arial" w:cs="Arial"/>
          <w:noProof w:val="0"/>
          <w:color w:val="000000" w:themeColor="text1" w:themeTint="FF" w:themeShade="FF"/>
          <w:sz w:val="22"/>
          <w:szCs w:val="22"/>
          <w:lang w:val="en-GB"/>
        </w:rPr>
        <w:t xml:space="preserve"> Leadership approaches significantly influenced the effectiveness of pandemic responses. Transformational and servant leadership, as </w:t>
      </w:r>
      <w:r w:rsidRPr="727F3008" w:rsidR="400D300A">
        <w:rPr>
          <w:rFonts w:ascii="Arial" w:hAnsi="Arial" w:eastAsia="Arial" w:cs="Arial"/>
          <w:noProof w:val="0"/>
          <w:color w:val="000000" w:themeColor="text1" w:themeTint="FF" w:themeShade="FF"/>
          <w:sz w:val="22"/>
          <w:szCs w:val="22"/>
          <w:lang w:val="en-GB"/>
        </w:rPr>
        <w:t>demonstrated</w:t>
      </w:r>
      <w:r w:rsidRPr="727F3008" w:rsidR="400D300A">
        <w:rPr>
          <w:rFonts w:ascii="Arial" w:hAnsi="Arial" w:eastAsia="Arial" w:cs="Arial"/>
          <w:noProof w:val="0"/>
          <w:color w:val="000000" w:themeColor="text1" w:themeTint="FF" w:themeShade="FF"/>
          <w:sz w:val="22"/>
          <w:szCs w:val="22"/>
          <w:lang w:val="en-GB"/>
        </w:rPr>
        <w:t xml:space="preserve"> by South Korea, </w:t>
      </w:r>
      <w:r w:rsidRPr="727F3008" w:rsidR="400D300A">
        <w:rPr>
          <w:rFonts w:ascii="Arial" w:hAnsi="Arial" w:eastAsia="Arial" w:cs="Arial"/>
          <w:noProof w:val="0"/>
          <w:color w:val="000000" w:themeColor="text1" w:themeTint="FF" w:themeShade="FF"/>
          <w:sz w:val="22"/>
          <w:szCs w:val="22"/>
          <w:lang w:val="en-GB"/>
        </w:rPr>
        <w:t>facilitated</w:t>
      </w:r>
      <w:r w:rsidRPr="727F3008" w:rsidR="400D300A">
        <w:rPr>
          <w:rFonts w:ascii="Arial" w:hAnsi="Arial" w:eastAsia="Arial" w:cs="Arial"/>
          <w:noProof w:val="0"/>
          <w:color w:val="000000" w:themeColor="text1" w:themeTint="FF" w:themeShade="FF"/>
          <w:sz w:val="22"/>
          <w:szCs w:val="22"/>
          <w:lang w:val="en-GB"/>
        </w:rPr>
        <w:t xml:space="preserve"> rapid, coordinated, and transparent interventions. Situational and adaptive leadership, as seen in Spain and Canada, allowed for flexible responses in decentralised or federal systems but required strong coordination mechanisms to mitigate delays and inconsistencies (</w:t>
      </w:r>
      <w:r w:rsidRPr="727F3008" w:rsidR="400D300A">
        <w:rPr>
          <w:rFonts w:ascii="Arial" w:hAnsi="Arial" w:eastAsia="Arial" w:cs="Arial"/>
          <w:noProof w:val="0"/>
          <w:color w:val="000000" w:themeColor="text1" w:themeTint="FF" w:themeShade="FF"/>
          <w:sz w:val="22"/>
          <w:szCs w:val="22"/>
          <w:lang w:val="en-GB"/>
        </w:rPr>
        <w:t>Rameshan</w:t>
      </w:r>
      <w:r w:rsidRPr="727F3008" w:rsidR="400D300A">
        <w:rPr>
          <w:rFonts w:ascii="Arial" w:hAnsi="Arial" w:eastAsia="Arial" w:cs="Arial"/>
          <w:noProof w:val="0"/>
          <w:color w:val="000000" w:themeColor="text1" w:themeTint="FF" w:themeShade="FF"/>
          <w:sz w:val="22"/>
          <w:szCs w:val="22"/>
          <w:lang w:val="en-GB"/>
        </w:rPr>
        <w:t xml:space="preserve"> and Obregon, 2024; ICNL, 2024a; Odone et al., 2021).</w:t>
      </w:r>
    </w:p>
    <w:p w:rsidR="400D300A" w:rsidP="727F3008" w:rsidRDefault="400D300A" w14:paraId="49664BA5" w14:textId="5B600D22">
      <w:pPr>
        <w:pStyle w:val="ListParagraph"/>
        <w:numPr>
          <w:ilvl w:val="0"/>
          <w:numId w:val="28"/>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b w:val="1"/>
          <w:bCs w:val="1"/>
          <w:noProof w:val="0"/>
          <w:color w:val="000000" w:themeColor="text1" w:themeTint="FF" w:themeShade="FF"/>
          <w:sz w:val="22"/>
          <w:szCs w:val="22"/>
          <w:lang w:val="en-GB"/>
        </w:rPr>
        <w:t>Governance Structures Affect Agility and Equity:</w:t>
      </w:r>
      <w:r>
        <w:br/>
      </w:r>
      <w:r w:rsidRPr="727F3008" w:rsidR="400D300A">
        <w:rPr>
          <w:rFonts w:ascii="Arial" w:hAnsi="Arial" w:eastAsia="Arial" w:cs="Arial"/>
          <w:noProof w:val="0"/>
          <w:color w:val="000000" w:themeColor="text1" w:themeTint="FF" w:themeShade="FF"/>
          <w:sz w:val="22"/>
          <w:szCs w:val="22"/>
          <w:lang w:val="en-GB"/>
        </w:rPr>
        <w:t xml:space="preserve"> Centralised systems enabled swift decision-making, consistent public messaging, and efficient deployment of resources, while decentralised or federal systems provided flexibility and local adaptability. However, decentralised systems faced initial challenges in coordination and equity, highlighting the need for pre-established emergency governance frameworks (</w:t>
      </w:r>
      <w:r w:rsidRPr="727F3008" w:rsidR="400D300A">
        <w:rPr>
          <w:rFonts w:ascii="Arial" w:hAnsi="Arial" w:eastAsia="Arial" w:cs="Arial"/>
          <w:noProof w:val="0"/>
          <w:color w:val="000000" w:themeColor="text1" w:themeTint="FF" w:themeShade="FF"/>
          <w:sz w:val="22"/>
          <w:szCs w:val="22"/>
          <w:lang w:val="en-GB"/>
        </w:rPr>
        <w:t>Erkoreka</w:t>
      </w:r>
      <w:r w:rsidRPr="727F3008" w:rsidR="400D300A">
        <w:rPr>
          <w:rFonts w:ascii="Arial" w:hAnsi="Arial" w:eastAsia="Arial" w:cs="Arial"/>
          <w:noProof w:val="0"/>
          <w:color w:val="000000" w:themeColor="text1" w:themeTint="FF" w:themeShade="FF"/>
          <w:sz w:val="22"/>
          <w:szCs w:val="22"/>
          <w:lang w:val="en-GB"/>
        </w:rPr>
        <w:t>, 2022; Allin et al., 2022; OECD, 2021).</w:t>
      </w:r>
    </w:p>
    <w:p w:rsidR="400D300A" w:rsidP="727F3008" w:rsidRDefault="400D300A" w14:paraId="0104E487" w14:textId="66C92EC6">
      <w:pPr>
        <w:pStyle w:val="ListParagraph"/>
        <w:numPr>
          <w:ilvl w:val="0"/>
          <w:numId w:val="28"/>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b w:val="1"/>
          <w:bCs w:val="1"/>
          <w:noProof w:val="0"/>
          <w:color w:val="000000" w:themeColor="text1" w:themeTint="FF" w:themeShade="FF"/>
          <w:sz w:val="22"/>
          <w:szCs w:val="22"/>
          <w:lang w:val="en-GB"/>
        </w:rPr>
        <w:t>Coordination and Communication Are Critical:</w:t>
      </w:r>
      <w:r>
        <w:br/>
      </w:r>
      <w:r w:rsidRPr="727F3008" w:rsidR="400D300A">
        <w:rPr>
          <w:rFonts w:ascii="Arial" w:hAnsi="Arial" w:eastAsia="Arial" w:cs="Arial"/>
          <w:noProof w:val="0"/>
          <w:color w:val="000000" w:themeColor="text1" w:themeTint="FF" w:themeShade="FF"/>
          <w:sz w:val="22"/>
          <w:szCs w:val="22"/>
          <w:lang w:val="en-GB"/>
        </w:rPr>
        <w:t xml:space="preserve"> Across all </w:t>
      </w:r>
      <w:r w:rsidRPr="727F3008" w:rsidR="400D300A">
        <w:rPr>
          <w:rFonts w:ascii="Arial" w:hAnsi="Arial" w:eastAsia="Arial" w:cs="Arial"/>
          <w:noProof w:val="0"/>
          <w:color w:val="000000" w:themeColor="text1" w:themeTint="FF" w:themeShade="FF"/>
          <w:sz w:val="22"/>
          <w:szCs w:val="22"/>
          <w:lang w:val="en-GB"/>
        </w:rPr>
        <w:t>jurisdictions</w:t>
      </w:r>
      <w:r w:rsidRPr="727F3008" w:rsidR="400D300A">
        <w:rPr>
          <w:rFonts w:ascii="Arial" w:hAnsi="Arial" w:eastAsia="Arial" w:cs="Arial"/>
          <w:noProof w:val="0"/>
          <w:color w:val="000000" w:themeColor="text1" w:themeTint="FF" w:themeShade="FF"/>
          <w:sz w:val="22"/>
          <w:szCs w:val="22"/>
          <w:lang w:val="en-GB"/>
        </w:rPr>
        <w:t>, transparent communication and stakeholder engagement were essential for public compliance and trust. South Korea’s centralised approach and Canada’s federal coordination efforts illustrate that effective communication strategies enhance vaccination uptake and adherence to public health measures (ICNL, 2024b; Sandhu et al., 2022; Public Health Agency of Canada, 2023).</w:t>
      </w:r>
    </w:p>
    <w:p w:rsidR="400D300A" w:rsidP="727F3008" w:rsidRDefault="400D300A" w14:paraId="19FE84E9" w14:textId="24847FA7">
      <w:pPr>
        <w:pStyle w:val="ListParagraph"/>
        <w:numPr>
          <w:ilvl w:val="0"/>
          <w:numId w:val="28"/>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b w:val="1"/>
          <w:bCs w:val="1"/>
          <w:noProof w:val="0"/>
          <w:color w:val="000000" w:themeColor="text1" w:themeTint="FF" w:themeShade="FF"/>
          <w:sz w:val="22"/>
          <w:szCs w:val="22"/>
          <w:lang w:val="en-GB"/>
        </w:rPr>
        <w:t>System Capacity and Technological Integration Matter:</w:t>
      </w:r>
      <w:r>
        <w:br/>
      </w:r>
      <w:r w:rsidRPr="727F3008" w:rsidR="400D300A">
        <w:rPr>
          <w:rFonts w:ascii="Arial" w:hAnsi="Arial" w:eastAsia="Arial" w:cs="Arial"/>
          <w:noProof w:val="0"/>
          <w:color w:val="000000" w:themeColor="text1" w:themeTint="FF" w:themeShade="FF"/>
          <w:sz w:val="22"/>
          <w:szCs w:val="22"/>
          <w:lang w:val="en-GB"/>
        </w:rPr>
        <w:t xml:space="preserve"> Health system preparedness, including resource allocation, primary care infrastructure, and digital tools, influenced pandemic outcomes. Spain </w:t>
      </w:r>
      <w:r w:rsidRPr="727F3008" w:rsidR="400D300A">
        <w:rPr>
          <w:rFonts w:ascii="Arial" w:hAnsi="Arial" w:eastAsia="Arial" w:cs="Arial"/>
          <w:noProof w:val="0"/>
          <w:color w:val="000000" w:themeColor="text1" w:themeTint="FF" w:themeShade="FF"/>
          <w:sz w:val="22"/>
          <w:szCs w:val="22"/>
          <w:lang w:val="en-GB"/>
        </w:rPr>
        <w:t>leveraged</w:t>
      </w:r>
      <w:r w:rsidRPr="727F3008" w:rsidR="400D300A">
        <w:rPr>
          <w:rFonts w:ascii="Arial" w:hAnsi="Arial" w:eastAsia="Arial" w:cs="Arial"/>
          <w:noProof w:val="0"/>
          <w:color w:val="000000" w:themeColor="text1" w:themeTint="FF" w:themeShade="FF"/>
          <w:sz w:val="22"/>
          <w:szCs w:val="22"/>
          <w:lang w:val="en-GB"/>
        </w:rPr>
        <w:t xml:space="preserve"> regional networks for vaccination efficiency, South Korea integrated digital solutions for tracing and scheduling, and Canada coordinated provincial resources through federal leadership (Luque-Fernández and Tobias, 2022; Cho et al., 2020; CIHI, 2022).</w:t>
      </w:r>
    </w:p>
    <w:p w:rsidR="400D300A" w:rsidP="727F3008" w:rsidRDefault="400D300A" w14:paraId="3F74C85B" w14:textId="0FD9D176">
      <w:pPr>
        <w:pStyle w:val="ListParagraph"/>
        <w:numPr>
          <w:ilvl w:val="0"/>
          <w:numId w:val="28"/>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b w:val="1"/>
          <w:bCs w:val="1"/>
          <w:noProof w:val="0"/>
          <w:color w:val="000000" w:themeColor="text1" w:themeTint="FF" w:themeShade="FF"/>
          <w:sz w:val="22"/>
          <w:szCs w:val="22"/>
          <w:lang w:val="en-GB"/>
        </w:rPr>
        <w:t>Equity Must Be Prioritised:</w:t>
      </w:r>
      <w:r>
        <w:br/>
      </w:r>
      <w:r w:rsidRPr="727F3008" w:rsidR="400D300A">
        <w:rPr>
          <w:rFonts w:ascii="Arial" w:hAnsi="Arial" w:eastAsia="Arial" w:cs="Arial"/>
          <w:noProof w:val="0"/>
          <w:color w:val="000000" w:themeColor="text1" w:themeTint="FF" w:themeShade="FF"/>
          <w:sz w:val="22"/>
          <w:szCs w:val="22"/>
          <w:lang w:val="en-GB"/>
        </w:rPr>
        <w:t xml:space="preserve"> Ensuring </w:t>
      </w:r>
      <w:r w:rsidRPr="727F3008" w:rsidR="400D300A">
        <w:rPr>
          <w:rFonts w:ascii="Arial" w:hAnsi="Arial" w:eastAsia="Arial" w:cs="Arial"/>
          <w:noProof w:val="0"/>
          <w:color w:val="000000" w:themeColor="text1" w:themeTint="FF" w:themeShade="FF"/>
          <w:sz w:val="22"/>
          <w:szCs w:val="22"/>
          <w:lang w:val="en-GB"/>
        </w:rPr>
        <w:t>equitable</w:t>
      </w:r>
      <w:r w:rsidRPr="727F3008" w:rsidR="400D300A">
        <w:rPr>
          <w:rFonts w:ascii="Arial" w:hAnsi="Arial" w:eastAsia="Arial" w:cs="Arial"/>
          <w:noProof w:val="0"/>
          <w:color w:val="000000" w:themeColor="text1" w:themeTint="FF" w:themeShade="FF"/>
          <w:sz w:val="22"/>
          <w:szCs w:val="22"/>
          <w:lang w:val="en-GB"/>
        </w:rPr>
        <w:t xml:space="preserve"> access to care and vaccines </w:t>
      </w:r>
      <w:r w:rsidRPr="727F3008" w:rsidR="400D300A">
        <w:rPr>
          <w:rFonts w:ascii="Arial" w:hAnsi="Arial" w:eastAsia="Arial" w:cs="Arial"/>
          <w:noProof w:val="0"/>
          <w:color w:val="000000" w:themeColor="text1" w:themeTint="FF" w:themeShade="FF"/>
          <w:sz w:val="22"/>
          <w:szCs w:val="22"/>
          <w:lang w:val="en-GB"/>
        </w:rPr>
        <w:t>remains</w:t>
      </w:r>
      <w:r w:rsidRPr="727F3008" w:rsidR="400D300A">
        <w:rPr>
          <w:rFonts w:ascii="Arial" w:hAnsi="Arial" w:eastAsia="Arial" w:cs="Arial"/>
          <w:noProof w:val="0"/>
          <w:color w:val="000000" w:themeColor="text1" w:themeTint="FF" w:themeShade="FF"/>
          <w:sz w:val="22"/>
          <w:szCs w:val="22"/>
          <w:lang w:val="en-GB"/>
        </w:rPr>
        <w:t xml:space="preserve"> a critical lesson. Federal and decentralised systems must actively address disparities to avoid unequal outcomes, particularly for vulnerable populations (Murphy et al., 2025; Blanco, </w:t>
      </w:r>
      <w:r w:rsidRPr="727F3008" w:rsidR="400D300A">
        <w:rPr>
          <w:rFonts w:ascii="Arial" w:hAnsi="Arial" w:eastAsia="Arial" w:cs="Arial"/>
          <w:noProof w:val="0"/>
          <w:color w:val="000000" w:themeColor="text1" w:themeTint="FF" w:themeShade="FF"/>
          <w:sz w:val="22"/>
          <w:szCs w:val="22"/>
          <w:lang w:val="en-GB"/>
        </w:rPr>
        <w:t>Gázquez</w:t>
      </w:r>
      <w:r w:rsidRPr="727F3008" w:rsidR="400D300A">
        <w:rPr>
          <w:rFonts w:ascii="Arial" w:hAnsi="Arial" w:eastAsia="Arial" w:cs="Arial"/>
          <w:noProof w:val="0"/>
          <w:color w:val="000000" w:themeColor="text1" w:themeTint="FF" w:themeShade="FF"/>
          <w:sz w:val="22"/>
          <w:szCs w:val="22"/>
          <w:lang w:val="en-GB"/>
        </w:rPr>
        <w:t xml:space="preserve"> and Leal, 2020).</w:t>
      </w:r>
    </w:p>
    <w:p w:rsidR="400D300A" w:rsidP="727F3008" w:rsidRDefault="400D300A" w14:paraId="5CF6E635" w14:textId="6F03798E">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1739789858" w:id="669771113"/>
      <w:r w:rsidRPr="727F3008" w:rsidR="400D300A">
        <w:rPr>
          <w:rFonts w:ascii="Arial" w:hAnsi="Arial" w:eastAsia="Arial" w:cs="Arial"/>
          <w:b w:val="1"/>
          <w:bCs w:val="1"/>
          <w:noProof w:val="0"/>
          <w:color w:val="000000" w:themeColor="text1" w:themeTint="FF" w:themeShade="FF"/>
          <w:sz w:val="22"/>
          <w:szCs w:val="22"/>
          <w:lang w:val="en-GB"/>
        </w:rPr>
        <w:t>Recommendations</w:t>
      </w:r>
      <w:bookmarkEnd w:id="669771113"/>
    </w:p>
    <w:p w:rsidR="400D300A" w:rsidP="727F3008" w:rsidRDefault="400D300A" w14:paraId="151641BF" w14:textId="6A05707B">
      <w:pPr>
        <w:pStyle w:val="ListParagraph"/>
        <w:numPr>
          <w:ilvl w:val="0"/>
          <w:numId w:val="29"/>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b w:val="1"/>
          <w:bCs w:val="1"/>
          <w:noProof w:val="0"/>
          <w:color w:val="000000" w:themeColor="text1" w:themeTint="FF" w:themeShade="FF"/>
          <w:sz w:val="22"/>
          <w:szCs w:val="22"/>
          <w:lang w:val="en-GB"/>
        </w:rPr>
        <w:t>Strengthen Intergovernmental Coordination Mechanisms:</w:t>
      </w:r>
      <w:r>
        <w:br/>
      </w:r>
      <w:r w:rsidRPr="727F3008" w:rsidR="400D300A">
        <w:rPr>
          <w:rFonts w:ascii="Arial" w:hAnsi="Arial" w:eastAsia="Arial" w:cs="Arial"/>
          <w:noProof w:val="0"/>
          <w:color w:val="000000" w:themeColor="text1" w:themeTint="FF" w:themeShade="FF"/>
          <w:sz w:val="22"/>
          <w:szCs w:val="22"/>
          <w:lang w:val="en-GB"/>
        </w:rPr>
        <w:t xml:space="preserve"> Decentralised and federal systems should </w:t>
      </w:r>
      <w:r w:rsidRPr="727F3008" w:rsidR="400D300A">
        <w:rPr>
          <w:rFonts w:ascii="Arial" w:hAnsi="Arial" w:eastAsia="Arial" w:cs="Arial"/>
          <w:noProof w:val="0"/>
          <w:color w:val="000000" w:themeColor="text1" w:themeTint="FF" w:themeShade="FF"/>
          <w:sz w:val="22"/>
          <w:szCs w:val="22"/>
          <w:lang w:val="en-GB"/>
        </w:rPr>
        <w:t>establish</w:t>
      </w:r>
      <w:r w:rsidRPr="727F3008" w:rsidR="400D300A">
        <w:rPr>
          <w:rFonts w:ascii="Arial" w:hAnsi="Arial" w:eastAsia="Arial" w:cs="Arial"/>
          <w:noProof w:val="0"/>
          <w:color w:val="000000" w:themeColor="text1" w:themeTint="FF" w:themeShade="FF"/>
          <w:sz w:val="22"/>
          <w:szCs w:val="22"/>
          <w:lang w:val="en-GB"/>
        </w:rPr>
        <w:t xml:space="preserve"> pre-defined protocols for emergency coordination to ensure </w:t>
      </w:r>
      <w:r w:rsidRPr="727F3008" w:rsidR="400D300A">
        <w:rPr>
          <w:rFonts w:ascii="Arial" w:hAnsi="Arial" w:eastAsia="Arial" w:cs="Arial"/>
          <w:noProof w:val="0"/>
          <w:color w:val="000000" w:themeColor="text1" w:themeTint="FF" w:themeShade="FF"/>
          <w:sz w:val="22"/>
          <w:szCs w:val="22"/>
          <w:lang w:val="en-GB"/>
        </w:rPr>
        <w:t>timely</w:t>
      </w:r>
      <w:r w:rsidRPr="727F3008" w:rsidR="400D300A">
        <w:rPr>
          <w:rFonts w:ascii="Arial" w:hAnsi="Arial" w:eastAsia="Arial" w:cs="Arial"/>
          <w:noProof w:val="0"/>
          <w:color w:val="000000" w:themeColor="text1" w:themeTint="FF" w:themeShade="FF"/>
          <w:sz w:val="22"/>
          <w:szCs w:val="22"/>
          <w:lang w:val="en-GB"/>
        </w:rPr>
        <w:t xml:space="preserve">, consistent, and </w:t>
      </w:r>
      <w:r w:rsidRPr="727F3008" w:rsidR="400D300A">
        <w:rPr>
          <w:rFonts w:ascii="Arial" w:hAnsi="Arial" w:eastAsia="Arial" w:cs="Arial"/>
          <w:noProof w:val="0"/>
          <w:color w:val="000000" w:themeColor="text1" w:themeTint="FF" w:themeShade="FF"/>
          <w:sz w:val="22"/>
          <w:szCs w:val="22"/>
          <w:lang w:val="en-GB"/>
        </w:rPr>
        <w:t>equitable</w:t>
      </w:r>
      <w:r w:rsidRPr="727F3008" w:rsidR="400D300A">
        <w:rPr>
          <w:rFonts w:ascii="Arial" w:hAnsi="Arial" w:eastAsia="Arial" w:cs="Arial"/>
          <w:noProof w:val="0"/>
          <w:color w:val="000000" w:themeColor="text1" w:themeTint="FF" w:themeShade="FF"/>
          <w:sz w:val="22"/>
          <w:szCs w:val="22"/>
          <w:lang w:val="en-GB"/>
        </w:rPr>
        <w:t xml:space="preserve"> responses across regions (García-Alonso and Fernández-Villaverde, 2023; Greer et al., 2022).</w:t>
      </w:r>
    </w:p>
    <w:p w:rsidR="400D300A" w:rsidP="727F3008" w:rsidRDefault="400D300A" w14:paraId="218CB3E4" w14:textId="52893F78">
      <w:pPr>
        <w:pStyle w:val="ListParagraph"/>
        <w:numPr>
          <w:ilvl w:val="0"/>
          <w:numId w:val="29"/>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b w:val="1"/>
          <w:bCs w:val="1"/>
          <w:noProof w:val="0"/>
          <w:color w:val="000000" w:themeColor="text1" w:themeTint="FF" w:themeShade="FF"/>
          <w:sz w:val="22"/>
          <w:szCs w:val="22"/>
          <w:lang w:val="en-GB"/>
        </w:rPr>
        <w:t>Enhance Leadership Training for Crisis Management:</w:t>
      </w:r>
      <w:r>
        <w:br/>
      </w:r>
      <w:r w:rsidRPr="727F3008" w:rsidR="400D300A">
        <w:rPr>
          <w:rFonts w:ascii="Arial" w:hAnsi="Arial" w:eastAsia="Arial" w:cs="Arial"/>
          <w:noProof w:val="0"/>
          <w:color w:val="000000" w:themeColor="text1" w:themeTint="FF" w:themeShade="FF"/>
          <w:sz w:val="22"/>
          <w:szCs w:val="22"/>
          <w:lang w:val="en-GB"/>
        </w:rPr>
        <w:t xml:space="preserve"> Governments should invest in leadership development programs that emphasise adaptive, situational, and transformational approaches, equipping leaders to respond effectively in complex, rapidly evolving crises (</w:t>
      </w:r>
      <w:r w:rsidRPr="727F3008" w:rsidR="400D300A">
        <w:rPr>
          <w:rFonts w:ascii="Arial" w:hAnsi="Arial" w:eastAsia="Arial" w:cs="Arial"/>
          <w:noProof w:val="0"/>
          <w:color w:val="000000" w:themeColor="text1" w:themeTint="FF" w:themeShade="FF"/>
          <w:sz w:val="22"/>
          <w:szCs w:val="22"/>
          <w:lang w:val="en-GB"/>
        </w:rPr>
        <w:t>Rameshan</w:t>
      </w:r>
      <w:r w:rsidRPr="727F3008" w:rsidR="400D300A">
        <w:rPr>
          <w:rFonts w:ascii="Arial" w:hAnsi="Arial" w:eastAsia="Arial" w:cs="Arial"/>
          <w:noProof w:val="0"/>
          <w:color w:val="000000" w:themeColor="text1" w:themeTint="FF" w:themeShade="FF"/>
          <w:sz w:val="22"/>
          <w:szCs w:val="22"/>
          <w:lang w:val="en-GB"/>
        </w:rPr>
        <w:t xml:space="preserve"> and Obregon, 2024; Hertelendy et al., 2022).</w:t>
      </w:r>
    </w:p>
    <w:p w:rsidR="400D300A" w:rsidP="727F3008" w:rsidRDefault="400D300A" w14:paraId="7B88936E" w14:textId="0D173C84">
      <w:pPr>
        <w:pStyle w:val="ListParagraph"/>
        <w:numPr>
          <w:ilvl w:val="0"/>
          <w:numId w:val="29"/>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b w:val="1"/>
          <w:bCs w:val="1"/>
          <w:noProof w:val="0"/>
          <w:color w:val="000000" w:themeColor="text1" w:themeTint="FF" w:themeShade="FF"/>
          <w:sz w:val="22"/>
          <w:szCs w:val="22"/>
          <w:lang w:val="en-GB"/>
        </w:rPr>
        <w:t>Integrate Technology with Accessibility Considerations:</w:t>
      </w:r>
      <w:r>
        <w:br/>
      </w:r>
      <w:r w:rsidRPr="727F3008" w:rsidR="400D300A">
        <w:rPr>
          <w:rFonts w:ascii="Arial" w:hAnsi="Arial" w:eastAsia="Arial" w:cs="Arial"/>
          <w:noProof w:val="0"/>
          <w:color w:val="000000" w:themeColor="text1" w:themeTint="FF" w:themeShade="FF"/>
          <w:sz w:val="22"/>
          <w:szCs w:val="22"/>
          <w:lang w:val="en-GB"/>
        </w:rPr>
        <w:t xml:space="preserve"> Digital solutions for tracking, scheduling, and communication should be deployed alongside measures to ensure accessibility for all populations, reducing inequities in health service delivery (Cho et al., 2020; Yoon et al., 2020).</w:t>
      </w:r>
    </w:p>
    <w:p w:rsidR="400D300A" w:rsidP="727F3008" w:rsidRDefault="400D300A" w14:paraId="399BB5AC" w14:textId="4EDFC850">
      <w:pPr>
        <w:pStyle w:val="ListParagraph"/>
        <w:numPr>
          <w:ilvl w:val="0"/>
          <w:numId w:val="29"/>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b w:val="1"/>
          <w:bCs w:val="1"/>
          <w:noProof w:val="0"/>
          <w:color w:val="000000" w:themeColor="text1" w:themeTint="FF" w:themeShade="FF"/>
          <w:sz w:val="22"/>
          <w:szCs w:val="22"/>
          <w:lang w:val="en-GB"/>
        </w:rPr>
        <w:t>Prioritise Public Trust and Transparent Communication:</w:t>
      </w:r>
      <w:r>
        <w:br/>
      </w:r>
      <w:r w:rsidRPr="727F3008" w:rsidR="400D300A">
        <w:rPr>
          <w:rFonts w:ascii="Arial" w:hAnsi="Arial" w:eastAsia="Arial" w:cs="Arial"/>
          <w:noProof w:val="0"/>
          <w:color w:val="000000" w:themeColor="text1" w:themeTint="FF" w:themeShade="FF"/>
          <w:sz w:val="22"/>
          <w:szCs w:val="22"/>
          <w:lang w:val="en-GB"/>
        </w:rPr>
        <w:t xml:space="preserve"> Continuous, transparent communication and engagement with stakeholders, including civil society, are essential to foster compliance, manage misinformation, and </w:t>
      </w:r>
      <w:r w:rsidRPr="727F3008" w:rsidR="400D300A">
        <w:rPr>
          <w:rFonts w:ascii="Arial" w:hAnsi="Arial" w:eastAsia="Arial" w:cs="Arial"/>
          <w:noProof w:val="0"/>
          <w:color w:val="000000" w:themeColor="text1" w:themeTint="FF" w:themeShade="FF"/>
          <w:sz w:val="22"/>
          <w:szCs w:val="22"/>
          <w:lang w:val="en-GB"/>
        </w:rPr>
        <w:t>maintain</w:t>
      </w:r>
      <w:r w:rsidRPr="727F3008" w:rsidR="400D300A">
        <w:rPr>
          <w:rFonts w:ascii="Arial" w:hAnsi="Arial" w:eastAsia="Arial" w:cs="Arial"/>
          <w:noProof w:val="0"/>
          <w:color w:val="000000" w:themeColor="text1" w:themeTint="FF" w:themeShade="FF"/>
          <w:sz w:val="22"/>
          <w:szCs w:val="22"/>
          <w:lang w:val="en-GB"/>
        </w:rPr>
        <w:t xml:space="preserve"> public confidence (ICNL, 2024a; Sandhu et al., 2022).</w:t>
      </w:r>
    </w:p>
    <w:p w:rsidR="400D300A" w:rsidP="727F3008" w:rsidRDefault="400D300A" w14:paraId="0185AF8C" w14:textId="1C691AE7">
      <w:pPr>
        <w:pStyle w:val="ListParagraph"/>
        <w:numPr>
          <w:ilvl w:val="0"/>
          <w:numId w:val="29"/>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b w:val="1"/>
          <w:bCs w:val="1"/>
          <w:noProof w:val="0"/>
          <w:color w:val="000000" w:themeColor="text1" w:themeTint="FF" w:themeShade="FF"/>
          <w:sz w:val="22"/>
          <w:szCs w:val="22"/>
          <w:lang w:val="en-GB"/>
        </w:rPr>
        <w:t>Invest in Health System Resilience:</w:t>
      </w:r>
      <w:r>
        <w:br/>
      </w:r>
      <w:r w:rsidRPr="727F3008" w:rsidR="400D300A">
        <w:rPr>
          <w:rFonts w:ascii="Arial" w:hAnsi="Arial" w:eastAsia="Arial" w:cs="Arial"/>
          <w:noProof w:val="0"/>
          <w:color w:val="000000" w:themeColor="text1" w:themeTint="FF" w:themeShade="FF"/>
          <w:sz w:val="22"/>
          <w:szCs w:val="22"/>
          <w:lang w:val="en-GB"/>
        </w:rPr>
        <w:t xml:space="preserve"> Strengthening primary care networks, surge capacity, and supply chain resilience enhances adaptability and preparedness for future pandemics (Luque-Fernández and Tobias, 2022; WHO, 2020; CIHI, 2022).</w:t>
      </w:r>
    </w:p>
    <w:p w:rsidR="400D300A" w:rsidP="727F3008" w:rsidRDefault="400D300A" w14:paraId="6DEE64FC" w14:textId="3F55D5EC">
      <w:pPr>
        <w:pStyle w:val="ListParagraph"/>
        <w:numPr>
          <w:ilvl w:val="0"/>
          <w:numId w:val="29"/>
        </w:num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27F3008" w:rsidR="400D300A">
        <w:rPr>
          <w:rFonts w:ascii="Arial" w:hAnsi="Arial" w:eastAsia="Arial" w:cs="Arial"/>
          <w:b w:val="1"/>
          <w:bCs w:val="1"/>
          <w:noProof w:val="0"/>
          <w:color w:val="000000" w:themeColor="text1" w:themeTint="FF" w:themeShade="FF"/>
          <w:sz w:val="22"/>
          <w:szCs w:val="22"/>
          <w:lang w:val="en-GB"/>
        </w:rPr>
        <w:t>Implement Equity-Focused Policies:</w:t>
      </w:r>
      <w:r>
        <w:br/>
      </w:r>
      <w:r w:rsidRPr="727F3008" w:rsidR="400D300A">
        <w:rPr>
          <w:rFonts w:ascii="Arial" w:hAnsi="Arial" w:eastAsia="Arial" w:cs="Arial"/>
          <w:noProof w:val="0"/>
          <w:color w:val="000000" w:themeColor="text1" w:themeTint="FF" w:themeShade="FF"/>
          <w:sz w:val="22"/>
          <w:szCs w:val="22"/>
          <w:lang w:val="en-GB"/>
        </w:rPr>
        <w:t xml:space="preserve"> Policies should target vulnerable populations to ensure fair access to healthcare and vaccination, addressing social determinants that </w:t>
      </w:r>
      <w:r w:rsidRPr="727F3008" w:rsidR="400D300A">
        <w:rPr>
          <w:rFonts w:ascii="Arial" w:hAnsi="Arial" w:eastAsia="Arial" w:cs="Arial"/>
          <w:noProof w:val="0"/>
          <w:color w:val="000000" w:themeColor="text1" w:themeTint="FF" w:themeShade="FF"/>
          <w:sz w:val="22"/>
          <w:szCs w:val="22"/>
          <w:lang w:val="en-GB"/>
        </w:rPr>
        <w:t>exacerbate</w:t>
      </w:r>
      <w:r w:rsidRPr="727F3008" w:rsidR="400D300A">
        <w:rPr>
          <w:rFonts w:ascii="Arial" w:hAnsi="Arial" w:eastAsia="Arial" w:cs="Arial"/>
          <w:noProof w:val="0"/>
          <w:color w:val="000000" w:themeColor="text1" w:themeTint="FF" w:themeShade="FF"/>
          <w:sz w:val="22"/>
          <w:szCs w:val="22"/>
          <w:lang w:val="en-GB"/>
        </w:rPr>
        <w:t xml:space="preserve"> health disparities during crises (Murphy et al., 2025; Blanco, </w:t>
      </w:r>
      <w:r w:rsidRPr="727F3008" w:rsidR="400D300A">
        <w:rPr>
          <w:rFonts w:ascii="Arial" w:hAnsi="Arial" w:eastAsia="Arial" w:cs="Arial"/>
          <w:noProof w:val="0"/>
          <w:color w:val="000000" w:themeColor="text1" w:themeTint="FF" w:themeShade="FF"/>
          <w:sz w:val="22"/>
          <w:szCs w:val="22"/>
          <w:lang w:val="en-GB"/>
        </w:rPr>
        <w:t>Gázquez</w:t>
      </w:r>
      <w:r w:rsidRPr="727F3008" w:rsidR="400D300A">
        <w:rPr>
          <w:rFonts w:ascii="Arial" w:hAnsi="Arial" w:eastAsia="Arial" w:cs="Arial"/>
          <w:noProof w:val="0"/>
          <w:color w:val="000000" w:themeColor="text1" w:themeTint="FF" w:themeShade="FF"/>
          <w:sz w:val="22"/>
          <w:szCs w:val="22"/>
          <w:lang w:val="en-GB"/>
        </w:rPr>
        <w:t xml:space="preserve"> and Leal, 2020).</w:t>
      </w:r>
    </w:p>
    <w:p w:rsidR="727F3008" w:rsidP="727F3008" w:rsidRDefault="727F3008" w14:paraId="475ACF06" w14:textId="26CA338B">
      <w:pPr>
        <w:pStyle w:val="ListParagraph"/>
        <w:spacing w:before="240" w:beforeAutospacing="off" w:after="240" w:afterAutospacing="off" w:line="360" w:lineRule="auto"/>
        <w:ind w:left="720"/>
        <w:jc w:val="both"/>
        <w:rPr>
          <w:rFonts w:ascii="Arial" w:hAnsi="Arial" w:eastAsia="Arial" w:cs="Arial"/>
          <w:noProof w:val="0"/>
          <w:color w:val="000000" w:themeColor="text1" w:themeTint="FF" w:themeShade="FF"/>
          <w:sz w:val="22"/>
          <w:szCs w:val="22"/>
          <w:lang w:val="en-GB"/>
        </w:rPr>
      </w:pPr>
    </w:p>
    <w:p w:rsidR="43CB5BE6" w:rsidP="727F3008" w:rsidRDefault="43CB5BE6" w14:paraId="061C3A3A" w14:textId="29A18457">
      <w:pPr>
        <w:pStyle w:val="Heading3"/>
        <w:spacing w:line="360" w:lineRule="auto"/>
        <w:jc w:val="both"/>
        <w:rPr>
          <w:rFonts w:ascii="Arial" w:hAnsi="Arial" w:eastAsia="Arial" w:cs="Arial"/>
          <w:b w:val="1"/>
          <w:bCs w:val="1"/>
          <w:noProof w:val="0"/>
          <w:color w:val="000000" w:themeColor="text1" w:themeTint="FF" w:themeShade="FF"/>
          <w:sz w:val="22"/>
          <w:szCs w:val="22"/>
          <w:lang w:val="en-GB"/>
        </w:rPr>
      </w:pPr>
      <w:bookmarkStart w:name="_Toc1173854987" w:id="6456261"/>
      <w:r w:rsidRPr="727F3008" w:rsidR="43CB5BE6">
        <w:rPr>
          <w:rFonts w:ascii="Arial" w:hAnsi="Arial" w:eastAsia="Arial" w:cs="Arial"/>
          <w:b w:val="1"/>
          <w:bCs w:val="1"/>
          <w:noProof w:val="0"/>
          <w:color w:val="000000" w:themeColor="text1" w:themeTint="FF" w:themeShade="FF"/>
          <w:sz w:val="22"/>
          <w:szCs w:val="22"/>
          <w:lang w:val="en-GB"/>
        </w:rPr>
        <w:t>References</w:t>
      </w:r>
      <w:bookmarkEnd w:id="6456261"/>
    </w:p>
    <w:p w:rsidR="43CB5BE6" w:rsidP="727F3008" w:rsidRDefault="43CB5BE6" w14:paraId="69BDA291" w14:textId="4E91362B">
      <w:pPr>
        <w:spacing w:before="240" w:beforeAutospacing="off" w:after="240" w:afterAutospacing="off"/>
      </w:pPr>
      <w:r w:rsidRPr="727F3008" w:rsidR="43CB5BE6">
        <w:rPr>
          <w:noProof w:val="0"/>
          <w:lang w:val="en-GB"/>
        </w:rPr>
        <w:t xml:space="preserve">Allin, S., Fitzpatrick, T., Marchildon, G.P. &amp; Quesnel‑Vallée, A. (2022) ‘The federal government and Canada’s COVID-19 responses: from “we’re ready … ” to “fires are burning”’, </w:t>
      </w:r>
      <w:r w:rsidRPr="727F3008" w:rsidR="43CB5BE6">
        <w:rPr>
          <w:i w:val="1"/>
          <w:iCs w:val="1"/>
          <w:noProof w:val="0"/>
          <w:lang w:val="en-GB"/>
        </w:rPr>
        <w:t>Health Economics, Policy and Law</w:t>
      </w:r>
      <w:r w:rsidRPr="727F3008" w:rsidR="43CB5BE6">
        <w:rPr>
          <w:noProof w:val="0"/>
          <w:lang w:val="en-GB"/>
        </w:rPr>
        <w:t xml:space="preserve">, 17(1), pp. 76–94. Available at: </w:t>
      </w:r>
      <w:hyperlink r:id="Rae8f9467b6c24b38">
        <w:r w:rsidRPr="727F3008" w:rsidR="43CB5BE6">
          <w:rPr>
            <w:rStyle w:val="Hyperlink"/>
            <w:noProof w:val="0"/>
            <w:lang w:val="en-GB"/>
          </w:rPr>
          <w:t>https://doi.org/10.1017/S1744133121000220</w:t>
        </w:r>
      </w:hyperlink>
      <w:r w:rsidRPr="727F3008" w:rsidR="43CB5BE6">
        <w:rPr>
          <w:noProof w:val="0"/>
          <w:lang w:val="en-GB"/>
        </w:rPr>
        <w:t xml:space="preserve"> (Accessed 15 October 2025).</w:t>
      </w:r>
    </w:p>
    <w:p w:rsidR="43CB5BE6" w:rsidP="727F3008" w:rsidRDefault="43CB5BE6" w14:paraId="3B5B640F" w14:textId="58166528">
      <w:pPr>
        <w:spacing w:before="240" w:beforeAutospacing="off" w:after="240" w:afterAutospacing="off"/>
      </w:pPr>
      <w:r w:rsidRPr="727F3008" w:rsidR="43CB5BE6">
        <w:rPr>
          <w:noProof w:val="0"/>
          <w:lang w:val="en-GB"/>
        </w:rPr>
        <w:t xml:space="preserve">Blanco, V., Gázquez, R. &amp; Leal, M. (2020) ‘Reallocating and Sharing Health Equipments in Sanitary Emergency Situations: The COVID‑19 Case in Spain’, </w:t>
      </w:r>
      <w:r w:rsidRPr="727F3008" w:rsidR="43CB5BE6">
        <w:rPr>
          <w:i w:val="1"/>
          <w:iCs w:val="1"/>
          <w:noProof w:val="0"/>
          <w:lang w:val="en-GB"/>
        </w:rPr>
        <w:t>arXiv</w:t>
      </w:r>
      <w:r w:rsidRPr="727F3008" w:rsidR="43CB5BE6">
        <w:rPr>
          <w:noProof w:val="0"/>
          <w:lang w:val="en-GB"/>
        </w:rPr>
        <w:t xml:space="preserve">. Available at: </w:t>
      </w:r>
      <w:hyperlink r:id="R3f7248acd448439b">
        <w:r w:rsidRPr="727F3008" w:rsidR="43CB5BE6">
          <w:rPr>
            <w:rStyle w:val="Hyperlink"/>
            <w:noProof w:val="0"/>
            <w:lang w:val="en-GB"/>
          </w:rPr>
          <w:t>https://arxiv.org/abs/2012.02062</w:t>
        </w:r>
      </w:hyperlink>
      <w:r w:rsidRPr="727F3008" w:rsidR="43CB5BE6">
        <w:rPr>
          <w:noProof w:val="0"/>
          <w:lang w:val="en-GB"/>
        </w:rPr>
        <w:t xml:space="preserve"> (Accessed 27 September 2025).</w:t>
      </w:r>
    </w:p>
    <w:p w:rsidR="43CB5BE6" w:rsidP="727F3008" w:rsidRDefault="43CB5BE6" w14:paraId="7F2D092D" w14:textId="5796E632">
      <w:pPr>
        <w:spacing w:before="240" w:beforeAutospacing="off" w:after="240" w:afterAutospacing="off"/>
      </w:pPr>
      <w:r w:rsidRPr="727F3008" w:rsidR="43CB5BE6">
        <w:rPr>
          <w:noProof w:val="0"/>
          <w:lang w:val="en-GB"/>
        </w:rPr>
        <w:t xml:space="preserve">Broschek, J. (2022) ‘Federalism, political leadership and the COVID-19 pandemic’, </w:t>
      </w:r>
      <w:r w:rsidRPr="727F3008" w:rsidR="43CB5BE6">
        <w:rPr>
          <w:i w:val="1"/>
          <w:iCs w:val="1"/>
          <w:noProof w:val="0"/>
          <w:lang w:val="en-GB"/>
        </w:rPr>
        <w:t>Regional &amp; Federal Studies</w:t>
      </w:r>
      <w:r w:rsidRPr="727F3008" w:rsidR="43CB5BE6">
        <w:rPr>
          <w:noProof w:val="0"/>
          <w:lang w:val="en-GB"/>
        </w:rPr>
        <w:t xml:space="preserve">, 32(1), pp. 1–19. Available at: </w:t>
      </w:r>
      <w:hyperlink r:id="Re76dafd9d02b415d">
        <w:r w:rsidRPr="727F3008" w:rsidR="43CB5BE6">
          <w:rPr>
            <w:rStyle w:val="Hyperlink"/>
            <w:noProof w:val="0"/>
            <w:lang w:val="en-GB"/>
          </w:rPr>
          <w:t>https://doi.org/10.1080/13597566.2021.1976730</w:t>
        </w:r>
      </w:hyperlink>
      <w:r w:rsidRPr="727F3008" w:rsidR="43CB5BE6">
        <w:rPr>
          <w:noProof w:val="0"/>
          <w:lang w:val="en-GB"/>
        </w:rPr>
        <w:t xml:space="preserve"> (Accessed 29 September 2025).</w:t>
      </w:r>
    </w:p>
    <w:p w:rsidR="43CB5BE6" w:rsidP="727F3008" w:rsidRDefault="43CB5BE6" w14:paraId="757801D3" w14:textId="6BDF7C7E">
      <w:pPr>
        <w:spacing w:before="240" w:beforeAutospacing="off" w:after="240" w:afterAutospacing="off"/>
      </w:pPr>
      <w:r w:rsidRPr="727F3008" w:rsidR="43CB5BE6">
        <w:rPr>
          <w:noProof w:val="0"/>
          <w:lang w:val="en-GB"/>
        </w:rPr>
        <w:t xml:space="preserve">Canadian Institute for Health Information (CIHI) (2022) </w:t>
      </w:r>
      <w:r w:rsidRPr="727F3008" w:rsidR="43CB5BE6">
        <w:rPr>
          <w:i w:val="1"/>
          <w:iCs w:val="1"/>
          <w:noProof w:val="0"/>
          <w:lang w:val="en-GB"/>
        </w:rPr>
        <w:t>Pandemic Experience in the Hospital Sector: How COVID-19 Affected Hospital Use in Canada</w:t>
      </w:r>
      <w:r w:rsidRPr="727F3008" w:rsidR="43CB5BE6">
        <w:rPr>
          <w:noProof w:val="0"/>
          <w:lang w:val="en-GB"/>
        </w:rPr>
        <w:t xml:space="preserve">. CIHI Report. Available at: </w:t>
      </w:r>
      <w:hyperlink r:id="Ra9cdf9a7c87d4138">
        <w:r w:rsidRPr="727F3008" w:rsidR="43CB5BE6">
          <w:rPr>
            <w:rStyle w:val="Hyperlink"/>
            <w:noProof w:val="0"/>
            <w:lang w:val="en-GB"/>
          </w:rPr>
          <w:t>https://www.cihi.ca/en/covid-19-hospital-sector-report</w:t>
        </w:r>
      </w:hyperlink>
      <w:r w:rsidRPr="727F3008" w:rsidR="43CB5BE6">
        <w:rPr>
          <w:noProof w:val="0"/>
          <w:lang w:val="en-GB"/>
        </w:rPr>
        <w:t xml:space="preserve"> (Accessed 23 October 2025).</w:t>
      </w:r>
    </w:p>
    <w:p w:rsidR="43CB5BE6" w:rsidP="727F3008" w:rsidRDefault="43CB5BE6" w14:paraId="3D600F52" w14:textId="211E3F69">
      <w:pPr>
        <w:spacing w:before="240" w:beforeAutospacing="off" w:after="240" w:afterAutospacing="off"/>
      </w:pPr>
      <w:r w:rsidRPr="727F3008" w:rsidR="43CB5BE6">
        <w:rPr>
          <w:noProof w:val="0"/>
          <w:lang w:val="en-GB"/>
        </w:rPr>
        <w:t xml:space="preserve">Cho, J., Shin, Y., Kim, N., Oh, S., Yoon, Y., Kim, S. &amp; Cho, H. (2020) ‘Running the COVID-19 marathon: the behavioural adaptations in mobility and facemask over 27 weeks of pandemic in Seoul, South Korea’, </w:t>
      </w:r>
      <w:r w:rsidRPr="727F3008" w:rsidR="43CB5BE6">
        <w:rPr>
          <w:i w:val="1"/>
          <w:iCs w:val="1"/>
          <w:noProof w:val="0"/>
          <w:lang w:val="en-GB"/>
        </w:rPr>
        <w:t>arXiv</w:t>
      </w:r>
      <w:r w:rsidRPr="727F3008" w:rsidR="43CB5BE6">
        <w:rPr>
          <w:noProof w:val="0"/>
          <w:lang w:val="en-GB"/>
        </w:rPr>
        <w:t xml:space="preserve">. Available at: </w:t>
      </w:r>
      <w:hyperlink r:id="R1c6f060581484481">
        <w:r w:rsidRPr="727F3008" w:rsidR="43CB5BE6">
          <w:rPr>
            <w:rStyle w:val="Hyperlink"/>
            <w:noProof w:val="0"/>
            <w:lang w:val="en-GB"/>
          </w:rPr>
          <w:t>https://arxiv.org/abs/2009.09073</w:t>
        </w:r>
      </w:hyperlink>
      <w:r w:rsidRPr="727F3008" w:rsidR="43CB5BE6">
        <w:rPr>
          <w:noProof w:val="0"/>
          <w:lang w:val="en-GB"/>
        </w:rPr>
        <w:t xml:space="preserve"> (Accessed 3 October 2025).</w:t>
      </w:r>
    </w:p>
    <w:p w:rsidR="43CB5BE6" w:rsidP="727F3008" w:rsidRDefault="43CB5BE6" w14:paraId="6748695B" w14:textId="058A01E3">
      <w:pPr>
        <w:spacing w:before="240" w:beforeAutospacing="off" w:after="240" w:afterAutospacing="off"/>
      </w:pPr>
      <w:r w:rsidRPr="727F3008" w:rsidR="43CB5BE6">
        <w:rPr>
          <w:noProof w:val="0"/>
          <w:lang w:val="en-GB"/>
        </w:rPr>
        <w:t xml:space="preserve">Erkoreka, M. (2022) ‘Decentralization: A handicap in fighting the COVID‑19 pandemic? The response of the regional governments in Spain’, </w:t>
      </w:r>
      <w:r w:rsidRPr="727F3008" w:rsidR="43CB5BE6">
        <w:rPr>
          <w:i w:val="1"/>
          <w:iCs w:val="1"/>
          <w:noProof w:val="0"/>
          <w:lang w:val="en-GB"/>
        </w:rPr>
        <w:t>PubMed / Public Administration</w:t>
      </w:r>
      <w:r w:rsidRPr="727F3008" w:rsidR="43CB5BE6">
        <w:rPr>
          <w:noProof w:val="0"/>
          <w:lang w:val="en-GB"/>
        </w:rPr>
        <w:t xml:space="preserve">. Available at: </w:t>
      </w:r>
      <w:hyperlink r:id="Rdf26d2fd20884adc">
        <w:r w:rsidRPr="727F3008" w:rsidR="43CB5BE6">
          <w:rPr>
            <w:rStyle w:val="Hyperlink"/>
            <w:noProof w:val="0"/>
            <w:lang w:val="en-GB"/>
          </w:rPr>
          <w:t>https://pubmed.ncbi.nlm.nih.gov/35942434/</w:t>
        </w:r>
      </w:hyperlink>
      <w:r w:rsidRPr="727F3008" w:rsidR="43CB5BE6">
        <w:rPr>
          <w:noProof w:val="0"/>
          <w:lang w:val="en-GB"/>
        </w:rPr>
        <w:t xml:space="preserve"> (Accessed 12 November 2025).</w:t>
      </w:r>
    </w:p>
    <w:p w:rsidR="43CB5BE6" w:rsidP="727F3008" w:rsidRDefault="43CB5BE6" w14:paraId="6054E445" w14:textId="6821D630">
      <w:pPr>
        <w:spacing w:before="240" w:beforeAutospacing="off" w:after="240" w:afterAutospacing="off"/>
      </w:pPr>
      <w:r w:rsidRPr="727F3008" w:rsidR="43CB5BE6">
        <w:rPr>
          <w:noProof w:val="0"/>
          <w:lang w:val="en-GB"/>
        </w:rPr>
        <w:t xml:space="preserve">European Observatory on Health Systems and Policies (2021) </w:t>
      </w:r>
      <w:r w:rsidRPr="727F3008" w:rsidR="43CB5BE6">
        <w:rPr>
          <w:i w:val="1"/>
          <w:iCs w:val="1"/>
          <w:noProof w:val="0"/>
          <w:lang w:val="en-GB"/>
        </w:rPr>
        <w:t>COVID-19 Health System Response Monitor: Spain</w:t>
      </w:r>
      <w:r w:rsidRPr="727F3008" w:rsidR="43CB5BE6">
        <w:rPr>
          <w:noProof w:val="0"/>
          <w:lang w:val="en-GB"/>
        </w:rPr>
        <w:t xml:space="preserve">. European Observatory / WHO. Available at: </w:t>
      </w:r>
      <w:hyperlink r:id="Rafa161c18edb48b7">
        <w:r w:rsidRPr="727F3008" w:rsidR="43CB5BE6">
          <w:rPr>
            <w:rStyle w:val="Hyperlink"/>
            <w:noProof w:val="0"/>
            <w:lang w:val="en-GB"/>
          </w:rPr>
          <w:t>https://www.who.int/europe/publications/i/item/covid-19-health-system-response-monitor</w:t>
        </w:r>
      </w:hyperlink>
      <w:r w:rsidRPr="727F3008" w:rsidR="43CB5BE6">
        <w:rPr>
          <w:noProof w:val="0"/>
          <w:lang w:val="en-GB"/>
        </w:rPr>
        <w:t xml:space="preserve"> (Accessed 7 September 2025).</w:t>
      </w:r>
    </w:p>
    <w:p w:rsidR="43CB5BE6" w:rsidP="727F3008" w:rsidRDefault="43CB5BE6" w14:paraId="0317FD92" w14:textId="4E2B5C67">
      <w:pPr>
        <w:spacing w:before="240" w:beforeAutospacing="off" w:after="240" w:afterAutospacing="off"/>
      </w:pPr>
      <w:r w:rsidRPr="727F3008" w:rsidR="43CB5BE6">
        <w:rPr>
          <w:noProof w:val="0"/>
          <w:lang w:val="en-GB"/>
        </w:rPr>
        <w:t xml:space="preserve">García‑Alonso, M. &amp; Fernández‑Villaverde, J. (2023) ‘COVID-19 Lockdowns and Public Health Outcomes in Spain: Lessons on Fiscal Decentralization’, </w:t>
      </w:r>
      <w:r w:rsidRPr="727F3008" w:rsidR="43CB5BE6">
        <w:rPr>
          <w:i w:val="1"/>
          <w:iCs w:val="1"/>
          <w:noProof w:val="0"/>
          <w:lang w:val="en-GB"/>
        </w:rPr>
        <w:t>Journal of Public Economics</w:t>
      </w:r>
      <w:r w:rsidRPr="727F3008" w:rsidR="43CB5BE6">
        <w:rPr>
          <w:noProof w:val="0"/>
          <w:lang w:val="en-GB"/>
        </w:rPr>
        <w:t xml:space="preserve">. Available at: </w:t>
      </w:r>
      <w:hyperlink r:id="Rbaddfca4dd414127">
        <w:r w:rsidRPr="727F3008" w:rsidR="43CB5BE6">
          <w:rPr>
            <w:rStyle w:val="Hyperlink"/>
            <w:noProof w:val="0"/>
            <w:lang w:val="en-GB"/>
          </w:rPr>
          <w:t>https://doi.org/10.1016/j.jpubeco.2023.104879</w:t>
        </w:r>
      </w:hyperlink>
      <w:r w:rsidRPr="727F3008" w:rsidR="43CB5BE6">
        <w:rPr>
          <w:noProof w:val="0"/>
          <w:lang w:val="en-GB"/>
        </w:rPr>
        <w:t xml:space="preserve"> (Accessed 20 October 2025).</w:t>
      </w:r>
    </w:p>
    <w:p w:rsidR="43CB5BE6" w:rsidP="727F3008" w:rsidRDefault="43CB5BE6" w14:paraId="0B298B56" w14:textId="2FD622FD">
      <w:pPr>
        <w:spacing w:before="240" w:beforeAutospacing="off" w:after="240" w:afterAutospacing="off"/>
      </w:pPr>
      <w:r w:rsidRPr="727F3008" w:rsidR="43CB5BE6">
        <w:rPr>
          <w:noProof w:val="0"/>
          <w:lang w:val="en-GB"/>
        </w:rPr>
        <w:t xml:space="preserve">González López‑Valcárcel, B. &amp; Lopez‑Casasnovas, G. (2025) ‘Has regional decentralisation saved lives during the COVID‑19 pandemic?’, </w:t>
      </w:r>
      <w:r w:rsidRPr="727F3008" w:rsidR="43CB5BE6">
        <w:rPr>
          <w:i w:val="1"/>
          <w:iCs w:val="1"/>
          <w:noProof w:val="0"/>
          <w:lang w:val="en-GB"/>
        </w:rPr>
        <w:t>Health Economics, Policy and Law</w:t>
      </w:r>
      <w:r w:rsidRPr="727F3008" w:rsidR="43CB5BE6">
        <w:rPr>
          <w:noProof w:val="0"/>
          <w:lang w:val="en-GB"/>
        </w:rPr>
        <w:t xml:space="preserve">. Available at: </w:t>
      </w:r>
      <w:hyperlink r:id="R4b6298870be34e47">
        <w:r w:rsidRPr="727F3008" w:rsidR="43CB5BE6">
          <w:rPr>
            <w:rStyle w:val="Hyperlink"/>
            <w:noProof w:val="0"/>
            <w:lang w:val="en-GB"/>
          </w:rPr>
          <w:t>https://www.cambridge.org/core/journals/health-economics-policy-and-law/article/has-regional-decentralisation-saved-lives-during-the-covid19-pandemic/C53418B2D35E6A33B95B7FF1F07DACD7</w:t>
        </w:r>
      </w:hyperlink>
      <w:r w:rsidRPr="727F3008" w:rsidR="43CB5BE6">
        <w:rPr>
          <w:noProof w:val="0"/>
          <w:lang w:val="en-GB"/>
        </w:rPr>
        <w:t xml:space="preserve"> (Accessed 2 November 2025).</w:t>
      </w:r>
    </w:p>
    <w:p w:rsidR="43CB5BE6" w:rsidP="727F3008" w:rsidRDefault="43CB5BE6" w14:paraId="096EA056" w14:textId="2BFC63C7">
      <w:pPr>
        <w:spacing w:before="240" w:beforeAutospacing="off" w:after="240" w:afterAutospacing="off"/>
      </w:pPr>
      <w:r w:rsidRPr="727F3008" w:rsidR="43CB5BE6">
        <w:rPr>
          <w:noProof w:val="0"/>
          <w:lang w:val="en-GB"/>
        </w:rPr>
        <w:t xml:space="preserve">Greer, S.L., et al. (2022) ‘Centralizing and decentralizing governance in the COVID-19 pandemic: The politics of multilevel governance’, </w:t>
      </w:r>
      <w:r w:rsidRPr="727F3008" w:rsidR="43CB5BE6">
        <w:rPr>
          <w:i w:val="1"/>
          <w:iCs w:val="1"/>
          <w:noProof w:val="0"/>
          <w:lang w:val="en-GB"/>
        </w:rPr>
        <w:t>Social Science &amp; Medicine</w:t>
      </w:r>
      <w:r w:rsidRPr="727F3008" w:rsidR="43CB5BE6">
        <w:rPr>
          <w:noProof w:val="0"/>
          <w:lang w:val="en-GB"/>
        </w:rPr>
        <w:t xml:space="preserve">, 302, 114952. Available at: </w:t>
      </w:r>
      <w:hyperlink r:id="R70338acb5320446a">
        <w:r w:rsidRPr="727F3008" w:rsidR="43CB5BE6">
          <w:rPr>
            <w:rStyle w:val="Hyperlink"/>
            <w:noProof w:val="0"/>
            <w:lang w:val="en-GB"/>
          </w:rPr>
          <w:t>https://doi.org/10.1016/j.socscimed.2022.114952</w:t>
        </w:r>
      </w:hyperlink>
      <w:r w:rsidRPr="727F3008" w:rsidR="43CB5BE6">
        <w:rPr>
          <w:noProof w:val="0"/>
          <w:lang w:val="en-GB"/>
        </w:rPr>
        <w:t xml:space="preserve"> (Accessed 5 October 2025).</w:t>
      </w:r>
    </w:p>
    <w:p w:rsidR="43CB5BE6" w:rsidP="727F3008" w:rsidRDefault="43CB5BE6" w14:paraId="64A477D5" w14:textId="5AA8C0E6">
      <w:pPr>
        <w:spacing w:before="240" w:beforeAutospacing="off" w:after="240" w:afterAutospacing="off"/>
      </w:pPr>
      <w:r w:rsidRPr="727F3008" w:rsidR="43CB5BE6">
        <w:rPr>
          <w:noProof w:val="0"/>
          <w:lang w:val="en-GB"/>
        </w:rPr>
        <w:t xml:space="preserve">Hertelendy, A.J., et al. (2022) ‘Preparing for the next COVID-19 wave in Canada: bridging the gap in emergency management competencies’, </w:t>
      </w:r>
      <w:r w:rsidRPr="727F3008" w:rsidR="43CB5BE6">
        <w:rPr>
          <w:i w:val="1"/>
          <w:iCs w:val="1"/>
          <w:noProof w:val="0"/>
          <w:lang w:val="en-GB"/>
        </w:rPr>
        <w:t>BMJ Leader</w:t>
      </w:r>
      <w:r w:rsidRPr="727F3008" w:rsidR="43CB5BE6">
        <w:rPr>
          <w:noProof w:val="0"/>
          <w:lang w:val="en-GB"/>
        </w:rPr>
        <w:t xml:space="preserve">, 6(2), pp. 121–124. Available at: </w:t>
      </w:r>
      <w:hyperlink r:id="Rc30adb1ba21543fb">
        <w:r w:rsidRPr="727F3008" w:rsidR="43CB5BE6">
          <w:rPr>
            <w:rStyle w:val="Hyperlink"/>
            <w:noProof w:val="0"/>
            <w:lang w:val="en-GB"/>
          </w:rPr>
          <w:t>https://doi.org/10.1136/leader-2022-000474</w:t>
        </w:r>
      </w:hyperlink>
      <w:r w:rsidRPr="727F3008" w:rsidR="43CB5BE6">
        <w:rPr>
          <w:noProof w:val="0"/>
          <w:lang w:val="en-GB"/>
        </w:rPr>
        <w:t xml:space="preserve"> (Accessed 28 September 2025).</w:t>
      </w:r>
    </w:p>
    <w:p w:rsidR="43CB5BE6" w:rsidP="727F3008" w:rsidRDefault="43CB5BE6" w14:paraId="6D568113" w14:textId="482E127C">
      <w:pPr>
        <w:spacing w:before="240" w:beforeAutospacing="off" w:after="240" w:afterAutospacing="off"/>
      </w:pPr>
      <w:r w:rsidRPr="727F3008" w:rsidR="43CB5BE6">
        <w:rPr>
          <w:noProof w:val="0"/>
          <w:lang w:val="en-GB"/>
        </w:rPr>
        <w:t xml:space="preserve">Hong, S.A. (2024) ‘Toward better pandemic governance and preparedness: South Korea’s whole‑of‑nation approach to COVID‑19’, </w:t>
      </w:r>
      <w:r w:rsidRPr="727F3008" w:rsidR="43CB5BE6">
        <w:rPr>
          <w:i w:val="1"/>
          <w:iCs w:val="1"/>
          <w:noProof w:val="0"/>
          <w:lang w:val="en-GB"/>
        </w:rPr>
        <w:t>BMC Public Health</w:t>
      </w:r>
      <w:r w:rsidRPr="727F3008" w:rsidR="43CB5BE6">
        <w:rPr>
          <w:noProof w:val="0"/>
          <w:lang w:val="en-GB"/>
        </w:rPr>
        <w:t xml:space="preserve">, 24, Article 2126. Available at: </w:t>
      </w:r>
      <w:hyperlink r:id="R3f9678d394864d91">
        <w:r w:rsidRPr="727F3008" w:rsidR="43CB5BE6">
          <w:rPr>
            <w:rStyle w:val="Hyperlink"/>
            <w:noProof w:val="0"/>
            <w:lang w:val="en-GB"/>
          </w:rPr>
          <w:t>https://bmcpublichealth.biomedcentral.com/articles/10.1186/s12889-024-19655-8</w:t>
        </w:r>
      </w:hyperlink>
      <w:r w:rsidRPr="727F3008" w:rsidR="43CB5BE6">
        <w:rPr>
          <w:noProof w:val="0"/>
          <w:lang w:val="en-GB"/>
        </w:rPr>
        <w:t xml:space="preserve"> (Accessed 18 October 2025).</w:t>
      </w:r>
    </w:p>
    <w:p w:rsidR="43CB5BE6" w:rsidP="727F3008" w:rsidRDefault="43CB5BE6" w14:paraId="705BBAFE" w14:textId="7C6A43DD">
      <w:pPr>
        <w:spacing w:before="240" w:beforeAutospacing="off" w:after="240" w:afterAutospacing="off"/>
      </w:pPr>
      <w:r w:rsidRPr="727F3008" w:rsidR="43CB5BE6">
        <w:rPr>
          <w:noProof w:val="0"/>
          <w:lang w:val="en-GB"/>
        </w:rPr>
        <w:t xml:space="preserve">ICNL (2024a) </w:t>
      </w:r>
      <w:r w:rsidRPr="727F3008" w:rsidR="43CB5BE6">
        <w:rPr>
          <w:i w:val="1"/>
          <w:iCs w:val="1"/>
          <w:noProof w:val="0"/>
          <w:lang w:val="en-GB"/>
        </w:rPr>
        <w:t>The Collaboration Dynamics of Government and Civil Society During COVID-19 in South Korea</w:t>
      </w:r>
      <w:r w:rsidRPr="727F3008" w:rsidR="43CB5BE6">
        <w:rPr>
          <w:noProof w:val="0"/>
          <w:lang w:val="en-GB"/>
        </w:rPr>
        <w:t xml:space="preserve">. International Center for Not-for-Profit Law. Available at: </w:t>
      </w:r>
      <w:hyperlink r:id="Ra8be14d411cc4502">
        <w:r w:rsidRPr="727F3008" w:rsidR="43CB5BE6">
          <w:rPr>
            <w:rStyle w:val="Hyperlink"/>
            <w:noProof w:val="0"/>
            <w:lang w:val="en-GB"/>
          </w:rPr>
          <w:t>https://www.icnl.org/wp-content/uploads/2024-Korea-Pandemic-Report-vf.pdf</w:t>
        </w:r>
      </w:hyperlink>
      <w:r w:rsidRPr="727F3008" w:rsidR="43CB5BE6">
        <w:rPr>
          <w:noProof w:val="0"/>
          <w:lang w:val="en-GB"/>
        </w:rPr>
        <w:t xml:space="preserve"> (Accessed 14 September 2025).</w:t>
      </w:r>
    </w:p>
    <w:p w:rsidR="43CB5BE6" w:rsidP="727F3008" w:rsidRDefault="43CB5BE6" w14:paraId="49BFE217" w14:textId="1D4CEE47">
      <w:pPr>
        <w:spacing w:before="240" w:beforeAutospacing="off" w:after="240" w:afterAutospacing="off"/>
      </w:pPr>
      <w:r w:rsidRPr="727F3008" w:rsidR="43CB5BE6">
        <w:rPr>
          <w:noProof w:val="0"/>
          <w:lang w:val="en-GB"/>
        </w:rPr>
        <w:t xml:space="preserve">ICNL (2024b) </w:t>
      </w:r>
      <w:r w:rsidRPr="727F3008" w:rsidR="43CB5BE6">
        <w:rPr>
          <w:i w:val="1"/>
          <w:iCs w:val="1"/>
          <w:noProof w:val="0"/>
          <w:lang w:val="en-GB"/>
        </w:rPr>
        <w:t>COVID-19 in South Korea – Pandemic Governance</w:t>
      </w:r>
      <w:r w:rsidRPr="727F3008" w:rsidR="43CB5BE6">
        <w:rPr>
          <w:noProof w:val="0"/>
          <w:lang w:val="en-GB"/>
        </w:rPr>
        <w:t xml:space="preserve">. Available at: </w:t>
      </w:r>
      <w:hyperlink r:id="R0dee41ff6bf84407">
        <w:r w:rsidRPr="727F3008" w:rsidR="43CB5BE6">
          <w:rPr>
            <w:rStyle w:val="Hyperlink"/>
            <w:noProof w:val="0"/>
            <w:lang w:val="en-GB"/>
          </w:rPr>
          <w:t>https://www.icnl.org/post/report/pandemic-governance-in-south-korea</w:t>
        </w:r>
      </w:hyperlink>
      <w:r w:rsidRPr="727F3008" w:rsidR="43CB5BE6">
        <w:rPr>
          <w:noProof w:val="0"/>
          <w:lang w:val="en-GB"/>
        </w:rPr>
        <w:t xml:space="preserve"> (Accessed 9 November 2025).</w:t>
      </w:r>
    </w:p>
    <w:p w:rsidR="43CB5BE6" w:rsidP="727F3008" w:rsidRDefault="43CB5BE6" w14:paraId="38E3A516" w14:textId="07F85CB0">
      <w:pPr>
        <w:spacing w:before="240" w:beforeAutospacing="off" w:after="240" w:afterAutospacing="off"/>
      </w:pPr>
      <w:r w:rsidRPr="727F3008" w:rsidR="43CB5BE6">
        <w:rPr>
          <w:noProof w:val="0"/>
          <w:lang w:val="en-GB"/>
        </w:rPr>
        <w:t xml:space="preserve">Kwuimy, C.A.K., Nazari, F., Jiao, X., Rohani, P. &amp; Nataraj, C. (2020) ‘Nonlinear dynamic analysis of an epidemiological model for COVID-19 including public behaviour and government action’, </w:t>
      </w:r>
      <w:r w:rsidRPr="727F3008" w:rsidR="43CB5BE6">
        <w:rPr>
          <w:i w:val="1"/>
          <w:iCs w:val="1"/>
          <w:noProof w:val="0"/>
          <w:lang w:val="en-GB"/>
        </w:rPr>
        <w:t>arXiv</w:t>
      </w:r>
      <w:r w:rsidRPr="727F3008" w:rsidR="43CB5BE6">
        <w:rPr>
          <w:noProof w:val="0"/>
          <w:lang w:val="en-GB"/>
        </w:rPr>
        <w:t xml:space="preserve">. Available at: </w:t>
      </w:r>
      <w:hyperlink r:id="R102eecc979ae41b3">
        <w:r w:rsidRPr="727F3008" w:rsidR="43CB5BE6">
          <w:rPr>
            <w:rStyle w:val="Hyperlink"/>
            <w:noProof w:val="0"/>
            <w:lang w:val="en-GB"/>
          </w:rPr>
          <w:t>https://arxiv.org/abs/2006.09530</w:t>
        </w:r>
      </w:hyperlink>
      <w:r w:rsidRPr="727F3008" w:rsidR="43CB5BE6">
        <w:rPr>
          <w:noProof w:val="0"/>
          <w:lang w:val="en-GB"/>
        </w:rPr>
        <w:t xml:space="preserve"> (Accessed 22 October 2025).</w:t>
      </w:r>
    </w:p>
    <w:p w:rsidR="43CB5BE6" w:rsidP="727F3008" w:rsidRDefault="43CB5BE6" w14:paraId="4D1EC8B0" w14:textId="338D2F6C">
      <w:pPr>
        <w:spacing w:before="240" w:beforeAutospacing="off" w:after="240" w:afterAutospacing="off"/>
      </w:pPr>
      <w:r w:rsidRPr="727F3008" w:rsidR="43CB5BE6">
        <w:rPr>
          <w:noProof w:val="0"/>
          <w:lang w:val="en-GB"/>
        </w:rPr>
        <w:t xml:space="preserve">Leading through the first wave of COVID: a Canadian action research study (2021) </w:t>
      </w:r>
      <w:r w:rsidRPr="727F3008" w:rsidR="43CB5BE6">
        <w:rPr>
          <w:i w:val="1"/>
          <w:iCs w:val="1"/>
          <w:noProof w:val="0"/>
          <w:lang w:val="en-GB"/>
        </w:rPr>
        <w:t>Health Leaders</w:t>
      </w:r>
      <w:r w:rsidRPr="727F3008" w:rsidR="43CB5BE6">
        <w:rPr>
          <w:noProof w:val="0"/>
          <w:lang w:val="en-GB"/>
        </w:rPr>
        <w:t xml:space="preserve">. Available at: </w:t>
      </w:r>
      <w:hyperlink r:id="R4aa3a212b945433a">
        <w:r w:rsidRPr="727F3008" w:rsidR="43CB5BE6">
          <w:rPr>
            <w:rStyle w:val="Hyperlink"/>
            <w:noProof w:val="0"/>
            <w:lang w:val="en-GB"/>
          </w:rPr>
          <w:t>https://pubmed.ncbi.nlm.nih.gov/34898142/</w:t>
        </w:r>
      </w:hyperlink>
      <w:r w:rsidRPr="727F3008" w:rsidR="43CB5BE6">
        <w:rPr>
          <w:noProof w:val="0"/>
          <w:lang w:val="en-GB"/>
        </w:rPr>
        <w:t xml:space="preserve"> (Accessed 14 November 2025).</w:t>
      </w:r>
    </w:p>
    <w:p w:rsidR="43CB5BE6" w:rsidP="727F3008" w:rsidRDefault="43CB5BE6" w14:paraId="41E56765" w14:textId="4B1345CF">
      <w:pPr>
        <w:spacing w:before="240" w:beforeAutospacing="off" w:after="240" w:afterAutospacing="off"/>
      </w:pPr>
      <w:r w:rsidRPr="727F3008" w:rsidR="43CB5BE6">
        <w:rPr>
          <w:noProof w:val="0"/>
          <w:lang w:val="en-GB"/>
        </w:rPr>
        <w:t xml:space="preserve">Luque‑Fernández, M.A. &amp; Tobias, A. (2022) ‘The Management of the COVID-19 Pandemic Evidences the Need to Transform Spain’s Public Health Education’, </w:t>
      </w:r>
      <w:r w:rsidRPr="727F3008" w:rsidR="43CB5BE6">
        <w:rPr>
          <w:i w:val="1"/>
          <w:iCs w:val="1"/>
          <w:noProof w:val="0"/>
          <w:lang w:val="en-GB"/>
        </w:rPr>
        <w:t>International Journal of Public Health</w:t>
      </w:r>
      <w:r w:rsidRPr="727F3008" w:rsidR="43CB5BE6">
        <w:rPr>
          <w:noProof w:val="0"/>
          <w:lang w:val="en-GB"/>
        </w:rPr>
        <w:t xml:space="preserve">, 67. Available at: </w:t>
      </w:r>
      <w:hyperlink r:id="R67a82f9cd58a4b81">
        <w:r w:rsidRPr="727F3008" w:rsidR="43CB5BE6">
          <w:rPr>
            <w:rStyle w:val="Hyperlink"/>
            <w:noProof w:val="0"/>
            <w:lang w:val="en-GB"/>
          </w:rPr>
          <w:t>https://www.ssph-journal.org/journals/international-journal-of-public-health/articles/10.3389/ijph.2022.1604907/full</w:t>
        </w:r>
      </w:hyperlink>
      <w:r w:rsidRPr="727F3008" w:rsidR="43CB5BE6">
        <w:rPr>
          <w:noProof w:val="0"/>
          <w:lang w:val="en-GB"/>
        </w:rPr>
        <w:t xml:space="preserve"> (Accessed 30 September 2025).</w:t>
      </w:r>
    </w:p>
    <w:p w:rsidR="43CB5BE6" w:rsidP="727F3008" w:rsidRDefault="43CB5BE6" w14:paraId="17656570" w14:textId="60F58455">
      <w:pPr>
        <w:spacing w:before="240" w:beforeAutospacing="off" w:after="240" w:afterAutospacing="off"/>
      </w:pPr>
      <w:r w:rsidRPr="727F3008" w:rsidR="43CB5BE6">
        <w:rPr>
          <w:noProof w:val="0"/>
          <w:lang w:val="en-GB"/>
        </w:rPr>
        <w:t xml:space="preserve">Murphy, G.T., et al. (2025) ‘Impact of the COVID-19 pandemic on the Canadian healthcare workforce: A rapid evidence synthesis’, </w:t>
      </w:r>
      <w:r w:rsidRPr="727F3008" w:rsidR="43CB5BE6">
        <w:rPr>
          <w:i w:val="1"/>
          <w:iCs w:val="1"/>
          <w:noProof w:val="0"/>
          <w:lang w:val="en-GB"/>
        </w:rPr>
        <w:t>Health Research Policy and Systems</w:t>
      </w:r>
      <w:r w:rsidRPr="727F3008" w:rsidR="43CB5BE6">
        <w:rPr>
          <w:noProof w:val="0"/>
          <w:lang w:val="en-GB"/>
        </w:rPr>
        <w:t xml:space="preserve">, 23, 13. Available at: </w:t>
      </w:r>
      <w:hyperlink r:id="Rd63f40b2df544934">
        <w:r w:rsidRPr="727F3008" w:rsidR="43CB5BE6">
          <w:rPr>
            <w:rStyle w:val="Hyperlink"/>
            <w:noProof w:val="0"/>
            <w:lang w:val="en-GB"/>
          </w:rPr>
          <w:t>https://doi.org/10.1186/s12961-024-01052-1</w:t>
        </w:r>
      </w:hyperlink>
      <w:r w:rsidRPr="727F3008" w:rsidR="43CB5BE6">
        <w:rPr>
          <w:noProof w:val="0"/>
          <w:lang w:val="en-GB"/>
        </w:rPr>
        <w:t xml:space="preserve"> (Accessed 6 October 2025).</w:t>
      </w:r>
    </w:p>
    <w:p w:rsidR="43CB5BE6" w:rsidP="727F3008" w:rsidRDefault="43CB5BE6" w14:paraId="4C6C2402" w14:textId="40E4D974">
      <w:pPr>
        <w:spacing w:before="240" w:beforeAutospacing="off" w:after="240" w:afterAutospacing="off"/>
      </w:pPr>
      <w:r w:rsidRPr="727F3008" w:rsidR="43CB5BE6">
        <w:rPr>
          <w:noProof w:val="0"/>
          <w:lang w:val="en-GB"/>
        </w:rPr>
        <w:t xml:space="preserve">National Response to COVID-19 in the Republic of Korea and Lessons Learned for Other Countries (2020) </w:t>
      </w:r>
      <w:r w:rsidRPr="727F3008" w:rsidR="43CB5BE6">
        <w:rPr>
          <w:i w:val="1"/>
          <w:iCs w:val="1"/>
          <w:noProof w:val="0"/>
          <w:lang w:val="en-GB"/>
        </w:rPr>
        <w:t>Journal Article Summary</w:t>
      </w:r>
      <w:r w:rsidRPr="727F3008" w:rsidR="43CB5BE6">
        <w:rPr>
          <w:noProof w:val="0"/>
          <w:lang w:val="en-GB"/>
        </w:rPr>
        <w:t xml:space="preserve">. Available at: </w:t>
      </w:r>
      <w:hyperlink r:id="Rb6a94b4f8d1f4ee9">
        <w:r w:rsidRPr="727F3008" w:rsidR="43CB5BE6">
          <w:rPr>
            <w:rStyle w:val="Hyperlink"/>
            <w:noProof w:val="0"/>
            <w:lang w:val="en-GB"/>
          </w:rPr>
          <w:t>https://pubmed.ncbi.nlm.nih.gov/32347772/</w:t>
        </w:r>
      </w:hyperlink>
      <w:r w:rsidRPr="727F3008" w:rsidR="43CB5BE6">
        <w:rPr>
          <w:noProof w:val="0"/>
          <w:lang w:val="en-GB"/>
        </w:rPr>
        <w:t xml:space="preserve"> (Accessed 25 September 2025).</w:t>
      </w:r>
    </w:p>
    <w:p w:rsidR="43CB5BE6" w:rsidP="727F3008" w:rsidRDefault="43CB5BE6" w14:paraId="7A46AB53" w14:textId="01996536">
      <w:pPr>
        <w:spacing w:before="240" w:beforeAutospacing="off" w:after="240" w:afterAutospacing="off"/>
      </w:pPr>
      <w:r w:rsidRPr="727F3008" w:rsidR="43CB5BE6">
        <w:rPr>
          <w:noProof w:val="0"/>
          <w:lang w:val="en-GB"/>
        </w:rPr>
        <w:t xml:space="preserve">Nursing Executives’ response to COVID-19 in Spain: an ethnographic study (2025) </w:t>
      </w:r>
      <w:r w:rsidRPr="727F3008" w:rsidR="43CB5BE6">
        <w:rPr>
          <w:i w:val="1"/>
          <w:iCs w:val="1"/>
          <w:noProof w:val="0"/>
          <w:lang w:val="en-GB"/>
        </w:rPr>
        <w:t>PubMed</w:t>
      </w:r>
      <w:r w:rsidRPr="727F3008" w:rsidR="43CB5BE6">
        <w:rPr>
          <w:noProof w:val="0"/>
          <w:lang w:val="en-GB"/>
        </w:rPr>
        <w:t xml:space="preserve">. Available at: </w:t>
      </w:r>
      <w:hyperlink r:id="R36ae574e055140c6">
        <w:r w:rsidRPr="727F3008" w:rsidR="43CB5BE6">
          <w:rPr>
            <w:rStyle w:val="Hyperlink"/>
            <w:noProof w:val="0"/>
            <w:lang w:val="en-GB"/>
          </w:rPr>
          <w:t>https://pubmed.ncbi.nlm.nih.gov/41197873/</w:t>
        </w:r>
      </w:hyperlink>
      <w:r w:rsidRPr="727F3008" w:rsidR="43CB5BE6">
        <w:rPr>
          <w:noProof w:val="0"/>
          <w:lang w:val="en-GB"/>
        </w:rPr>
        <w:t xml:space="preserve"> (Accessed 12 October 2025).</w:t>
      </w:r>
    </w:p>
    <w:p w:rsidR="43CB5BE6" w:rsidP="727F3008" w:rsidRDefault="43CB5BE6" w14:paraId="783A83C1" w14:textId="18E80254">
      <w:pPr>
        <w:spacing w:before="240" w:beforeAutospacing="off" w:after="240" w:afterAutospacing="off"/>
      </w:pPr>
      <w:r w:rsidRPr="727F3008" w:rsidR="43CB5BE6">
        <w:rPr>
          <w:noProof w:val="0"/>
          <w:lang w:val="en-GB"/>
        </w:rPr>
        <w:t xml:space="preserve">Odone, A., et al. (2021) ‘COVID‑SCORE Spain: public perceptions of key government COVID‑19 control measures’, </w:t>
      </w:r>
      <w:r w:rsidRPr="727F3008" w:rsidR="43CB5BE6">
        <w:rPr>
          <w:i w:val="1"/>
          <w:iCs w:val="1"/>
          <w:noProof w:val="0"/>
          <w:lang w:val="en-GB"/>
        </w:rPr>
        <w:t>European Journal of Public Health</w:t>
      </w:r>
      <w:r w:rsidRPr="727F3008" w:rsidR="43CB5BE6">
        <w:rPr>
          <w:noProof w:val="0"/>
          <w:lang w:val="en-GB"/>
        </w:rPr>
        <w:t xml:space="preserve">, 31(5), pp. 1095–1102. Available at: </w:t>
      </w:r>
      <w:hyperlink r:id="Rb8cbda6b84f1455f">
        <w:r w:rsidRPr="727F3008" w:rsidR="43CB5BE6">
          <w:rPr>
            <w:rStyle w:val="Hyperlink"/>
            <w:noProof w:val="0"/>
            <w:lang w:val="en-GB"/>
          </w:rPr>
          <w:t>https://academic.oup.com/eurpub/article/31/5/1095/6238158</w:t>
        </w:r>
      </w:hyperlink>
      <w:r w:rsidRPr="727F3008" w:rsidR="43CB5BE6">
        <w:rPr>
          <w:noProof w:val="0"/>
          <w:lang w:val="en-GB"/>
        </w:rPr>
        <w:t xml:space="preserve"> (Accessed 21 November 2025).</w:t>
      </w:r>
    </w:p>
    <w:p w:rsidR="43CB5BE6" w:rsidP="727F3008" w:rsidRDefault="43CB5BE6" w14:paraId="089D840A" w14:textId="15DAEB16">
      <w:pPr>
        <w:spacing w:before="240" w:beforeAutospacing="off" w:after="240" w:afterAutospacing="off"/>
      </w:pPr>
      <w:r w:rsidRPr="727F3008" w:rsidR="43CB5BE6">
        <w:rPr>
          <w:noProof w:val="0"/>
          <w:lang w:val="en-GB"/>
        </w:rPr>
        <w:t xml:space="preserve">OECD (2021) </w:t>
      </w:r>
      <w:r w:rsidRPr="727F3008" w:rsidR="43CB5BE6">
        <w:rPr>
          <w:i w:val="1"/>
          <w:iCs w:val="1"/>
          <w:noProof w:val="0"/>
          <w:lang w:val="en-GB"/>
        </w:rPr>
        <w:t>Coordination and Governance of COVID-19 Responses: Lessons from OECD Countries</w:t>
      </w:r>
      <w:r w:rsidRPr="727F3008" w:rsidR="43CB5BE6">
        <w:rPr>
          <w:noProof w:val="0"/>
          <w:lang w:val="en-GB"/>
        </w:rPr>
        <w:t xml:space="preserve">. OECD Policy Report. Available at: </w:t>
      </w:r>
      <w:hyperlink r:id="Rce33888d99af43eb">
        <w:r w:rsidRPr="727F3008" w:rsidR="43CB5BE6">
          <w:rPr>
            <w:rStyle w:val="Hyperlink"/>
            <w:noProof w:val="0"/>
            <w:lang w:val="en-GB"/>
          </w:rPr>
          <w:t>https://www.oecd.org/coronavirus/policy-responses/coordination-and-governance-of-covid-19-responses-lessons-from-oecd-countries-9a9b7b6a/</w:t>
        </w:r>
      </w:hyperlink>
      <w:r w:rsidRPr="727F3008" w:rsidR="43CB5BE6">
        <w:rPr>
          <w:noProof w:val="0"/>
          <w:lang w:val="en-GB"/>
        </w:rPr>
        <w:t xml:space="preserve"> (Accessed 3 November 2025).</w:t>
      </w:r>
    </w:p>
    <w:p w:rsidR="43CB5BE6" w:rsidP="727F3008" w:rsidRDefault="43CB5BE6" w14:paraId="53170D38" w14:textId="324D5757">
      <w:pPr>
        <w:spacing w:before="240" w:beforeAutospacing="off" w:after="240" w:afterAutospacing="off"/>
      </w:pPr>
      <w:r w:rsidRPr="727F3008" w:rsidR="43CB5BE6">
        <w:rPr>
          <w:noProof w:val="0"/>
          <w:lang w:val="en-GB"/>
        </w:rPr>
        <w:t xml:space="preserve">Public Health Agency of Canada (2023) </w:t>
      </w:r>
      <w:r w:rsidRPr="727F3008" w:rsidR="43CB5BE6">
        <w:rPr>
          <w:i w:val="1"/>
          <w:iCs w:val="1"/>
          <w:noProof w:val="0"/>
          <w:lang w:val="en-GB"/>
        </w:rPr>
        <w:t>Public Health Agency of Canada’s COVID‑19 Response: Lessons Learned</w:t>
      </w:r>
      <w:r w:rsidRPr="727F3008" w:rsidR="43CB5BE6">
        <w:rPr>
          <w:noProof w:val="0"/>
          <w:lang w:val="en-GB"/>
        </w:rPr>
        <w:t xml:space="preserve">. Government of Canada. Available at: </w:t>
      </w:r>
      <w:hyperlink r:id="Rda420fc283594cc3">
        <w:r w:rsidRPr="727F3008" w:rsidR="43CB5BE6">
          <w:rPr>
            <w:rStyle w:val="Hyperlink"/>
            <w:noProof w:val="0"/>
            <w:lang w:val="en-GB"/>
          </w:rPr>
          <w:t>https://www.canada.ca/en/public-health/corporate/transparency/corporate-management-reporting/evaluation/covid-19-response-lessons-learned-summary.html</w:t>
        </w:r>
      </w:hyperlink>
      <w:r w:rsidRPr="727F3008" w:rsidR="43CB5BE6">
        <w:rPr>
          <w:noProof w:val="0"/>
          <w:lang w:val="en-GB"/>
        </w:rPr>
        <w:t xml:space="preserve"> (Accessed 10 September 2025).</w:t>
      </w:r>
    </w:p>
    <w:p w:rsidR="43CB5BE6" w:rsidP="727F3008" w:rsidRDefault="43CB5BE6" w14:paraId="284DB677" w14:textId="4F66C215">
      <w:pPr>
        <w:spacing w:before="240" w:beforeAutospacing="off" w:after="240" w:afterAutospacing="off"/>
      </w:pPr>
      <w:r w:rsidRPr="727F3008" w:rsidR="43CB5BE6">
        <w:rPr>
          <w:noProof w:val="0"/>
          <w:lang w:val="en-GB"/>
        </w:rPr>
        <w:t xml:space="preserve">Rameshan, P. &amp; Obregon, N. (2024) ‘Leadership Behaviour in COVID‑19 Crisis Response: A Personal Strategy Proposition’, </w:t>
      </w:r>
      <w:r w:rsidRPr="727F3008" w:rsidR="43CB5BE6">
        <w:rPr>
          <w:i w:val="1"/>
          <w:iCs w:val="1"/>
          <w:noProof w:val="0"/>
          <w:lang w:val="en-GB"/>
        </w:rPr>
        <w:t>Journal of Global Security Studies</w:t>
      </w:r>
      <w:r w:rsidRPr="727F3008" w:rsidR="43CB5BE6">
        <w:rPr>
          <w:noProof w:val="0"/>
          <w:lang w:val="en-GB"/>
        </w:rPr>
        <w:t xml:space="preserve">. Available at: </w:t>
      </w:r>
      <w:hyperlink r:id="R306abcc8ef5248ad">
        <w:r w:rsidRPr="727F3008" w:rsidR="43CB5BE6">
          <w:rPr>
            <w:rStyle w:val="Hyperlink"/>
            <w:noProof w:val="0"/>
            <w:lang w:val="en-GB"/>
          </w:rPr>
          <w:t>https://doi.org/10.1093/jogss/ogad017</w:t>
        </w:r>
      </w:hyperlink>
      <w:r w:rsidRPr="727F3008" w:rsidR="43CB5BE6">
        <w:rPr>
          <w:noProof w:val="0"/>
          <w:lang w:val="en-GB"/>
        </w:rPr>
        <w:t xml:space="preserve"> (Accessed 16 October 2025).</w:t>
      </w:r>
    </w:p>
    <w:p w:rsidR="43CB5BE6" w:rsidP="727F3008" w:rsidRDefault="43CB5BE6" w14:paraId="6A182DA7" w14:textId="36799591">
      <w:pPr>
        <w:spacing w:before="240" w:beforeAutospacing="off" w:after="240" w:afterAutospacing="off"/>
      </w:pPr>
      <w:r w:rsidRPr="727F3008" w:rsidR="43CB5BE6">
        <w:rPr>
          <w:noProof w:val="0"/>
          <w:lang w:val="en-GB"/>
        </w:rPr>
        <w:t xml:space="preserve">Royo, S. (2020) ‘Responding to COVID‑19: The Case of Spain’, </w:t>
      </w:r>
      <w:r w:rsidRPr="727F3008" w:rsidR="43CB5BE6">
        <w:rPr>
          <w:i w:val="1"/>
          <w:iCs w:val="1"/>
          <w:noProof w:val="0"/>
          <w:lang w:val="en-GB"/>
        </w:rPr>
        <w:t>Public Administration Review</w:t>
      </w:r>
      <w:r w:rsidRPr="727F3008" w:rsidR="43CB5BE6">
        <w:rPr>
          <w:noProof w:val="0"/>
          <w:lang w:val="en-GB"/>
        </w:rPr>
        <w:t xml:space="preserve">, 80(5), pp. 899–905. Available at: </w:t>
      </w:r>
      <w:hyperlink r:id="Re1a2db4295e8407e">
        <w:r w:rsidRPr="727F3008" w:rsidR="43CB5BE6">
          <w:rPr>
            <w:rStyle w:val="Hyperlink"/>
            <w:noProof w:val="0"/>
            <w:lang w:val="en-GB"/>
          </w:rPr>
          <w:t>https://doi.org/10.1111/puar.13247</w:t>
        </w:r>
      </w:hyperlink>
      <w:r w:rsidRPr="727F3008" w:rsidR="43CB5BE6">
        <w:rPr>
          <w:noProof w:val="0"/>
          <w:lang w:val="en-GB"/>
        </w:rPr>
        <w:t xml:space="preserve"> (Accessed 1 November 2025).</w:t>
      </w:r>
    </w:p>
    <w:p w:rsidR="43CB5BE6" w:rsidP="727F3008" w:rsidRDefault="43CB5BE6" w14:paraId="1190F372" w14:textId="68EB4CFD">
      <w:pPr>
        <w:spacing w:before="240" w:beforeAutospacing="off" w:after="240" w:afterAutospacing="off"/>
      </w:pPr>
      <w:r w:rsidRPr="727F3008" w:rsidR="43CB5BE6">
        <w:rPr>
          <w:noProof w:val="0"/>
          <w:lang w:val="en-GB"/>
        </w:rPr>
        <w:t xml:space="preserve">Sandhu, H.S., et al. (2022) ‘Early Impacts of the COVID-19 Pandemic on Public Health Systems and Workforce in High‑Income Countries: A Scoping Review’, </w:t>
      </w:r>
      <w:r w:rsidRPr="727F3008" w:rsidR="43CB5BE6">
        <w:rPr>
          <w:i w:val="1"/>
          <w:iCs w:val="1"/>
          <w:noProof w:val="0"/>
          <w:lang w:val="en-GB"/>
        </w:rPr>
        <w:t>Journal of Public Health Management &amp; Practice</w:t>
      </w:r>
      <w:r w:rsidRPr="727F3008" w:rsidR="43CB5BE6">
        <w:rPr>
          <w:noProof w:val="0"/>
          <w:lang w:val="en-GB"/>
        </w:rPr>
        <w:t xml:space="preserve">, 28(6), pp. 634–640. Available at: </w:t>
      </w:r>
      <w:hyperlink r:id="R7fb718f8edc44177">
        <w:r w:rsidRPr="727F3008" w:rsidR="43CB5BE6">
          <w:rPr>
            <w:rStyle w:val="Hyperlink"/>
            <w:noProof w:val="0"/>
            <w:lang w:val="en-GB"/>
          </w:rPr>
          <w:t>https://journals.lww.com/jphmp/fulltext/2022/11000/early_impacts_of_the_covid_19_pandemic_on_public.16.aspx</w:t>
        </w:r>
      </w:hyperlink>
      <w:r w:rsidRPr="727F3008" w:rsidR="43CB5BE6">
        <w:rPr>
          <w:noProof w:val="0"/>
          <w:lang w:val="en-GB"/>
        </w:rPr>
        <w:t xml:space="preserve"> (Accessed 19 October 2025).</w:t>
      </w:r>
    </w:p>
    <w:p w:rsidR="43CB5BE6" w:rsidP="727F3008" w:rsidRDefault="43CB5BE6" w14:paraId="27FBCA53" w14:textId="1A30962B">
      <w:pPr>
        <w:spacing w:before="240" w:beforeAutospacing="off" w:after="240" w:afterAutospacing="off"/>
      </w:pPr>
      <w:r w:rsidRPr="727F3008" w:rsidR="43CB5BE6">
        <w:rPr>
          <w:noProof w:val="0"/>
          <w:lang w:val="en-GB"/>
        </w:rPr>
        <w:t xml:space="preserve">Valls Martínez, M. del C., Santos‑Jaén, J.M., Valls‑Úbeda, R.F. &amp; Soriano Román, R. (2023) ‘COVID-19 and Public Health Spending; Effects on the Economic Sustainability of the Spanish Private Healthcare System’, </w:t>
      </w:r>
      <w:r w:rsidRPr="727F3008" w:rsidR="43CB5BE6">
        <w:rPr>
          <w:i w:val="1"/>
          <w:iCs w:val="1"/>
          <w:noProof w:val="0"/>
          <w:lang w:val="en-GB"/>
        </w:rPr>
        <w:t>International Journal of Environmental Research and Public Health</w:t>
      </w:r>
      <w:r w:rsidRPr="727F3008" w:rsidR="43CB5BE6">
        <w:rPr>
          <w:noProof w:val="0"/>
          <w:lang w:val="en-GB"/>
        </w:rPr>
        <w:t xml:space="preserve">, 20(2), 1585. Available at: </w:t>
      </w:r>
      <w:hyperlink r:id="R2eb8ad4bb959497d">
        <w:r w:rsidRPr="727F3008" w:rsidR="43CB5BE6">
          <w:rPr>
            <w:rStyle w:val="Hyperlink"/>
            <w:noProof w:val="0"/>
            <w:lang w:val="en-GB"/>
          </w:rPr>
          <w:t>https://www.mdpi.com/1660-4601/20/2/1585</w:t>
        </w:r>
      </w:hyperlink>
      <w:r w:rsidRPr="727F3008" w:rsidR="43CB5BE6">
        <w:rPr>
          <w:noProof w:val="0"/>
          <w:lang w:val="en-GB"/>
        </w:rPr>
        <w:t xml:space="preserve"> (Accessed 5 October 2025).</w:t>
      </w:r>
    </w:p>
    <w:p w:rsidR="43CB5BE6" w:rsidP="727F3008" w:rsidRDefault="43CB5BE6" w14:paraId="126228A2" w14:textId="5F14C083">
      <w:pPr>
        <w:spacing w:before="240" w:beforeAutospacing="off" w:after="240" w:afterAutospacing="off"/>
      </w:pPr>
      <w:r w:rsidRPr="727F3008" w:rsidR="43CB5BE6">
        <w:rPr>
          <w:noProof w:val="0"/>
          <w:lang w:val="en-GB"/>
        </w:rPr>
        <w:t xml:space="preserve">WHO (2020) </w:t>
      </w:r>
      <w:r w:rsidRPr="727F3008" w:rsidR="43CB5BE6">
        <w:rPr>
          <w:i w:val="1"/>
          <w:iCs w:val="1"/>
          <w:noProof w:val="0"/>
          <w:lang w:val="en-GB"/>
        </w:rPr>
        <w:t>Strengthening and Adapting Health Systems During COVID-19: Lessons from Around the World</w:t>
      </w:r>
      <w:r w:rsidRPr="727F3008" w:rsidR="43CB5BE6">
        <w:rPr>
          <w:noProof w:val="0"/>
          <w:lang w:val="en-GB"/>
        </w:rPr>
        <w:t xml:space="preserve">. WHO Report. Available at: </w:t>
      </w:r>
      <w:hyperlink r:id="R208265fad2e441b8">
        <w:r w:rsidRPr="727F3008" w:rsidR="43CB5BE6">
          <w:rPr>
            <w:rStyle w:val="Hyperlink"/>
            <w:noProof w:val="0"/>
            <w:lang w:val="en-GB"/>
          </w:rPr>
          <w:t>https://www.who.int/publications/i/item/9789240010458</w:t>
        </w:r>
      </w:hyperlink>
      <w:r w:rsidRPr="727F3008" w:rsidR="43CB5BE6">
        <w:rPr>
          <w:noProof w:val="0"/>
          <w:lang w:val="en-GB"/>
        </w:rPr>
        <w:t xml:space="preserve"> (Accessed 8 November 2025).</w:t>
      </w:r>
    </w:p>
    <w:p w:rsidR="43CB5BE6" w:rsidP="727F3008" w:rsidRDefault="43CB5BE6" w14:paraId="69924AF7" w14:textId="5CDD72E2">
      <w:pPr>
        <w:spacing w:before="240" w:beforeAutospacing="off" w:after="240" w:afterAutospacing="off"/>
      </w:pPr>
      <w:r w:rsidRPr="727F3008" w:rsidR="43CB5BE6">
        <w:rPr>
          <w:noProof w:val="0"/>
          <w:lang w:val="en-GB"/>
        </w:rPr>
        <w:t xml:space="preserve">Yoon, Y., Oh, S., Cho, J., Shin, Y., Kim, S., Kim, N. &amp; Cho, H. (2020) ‘The effect of adaptive mobility policy to the spread of COVID‑19 in urban environment: intervention analysis of Seoul, South Korea’, </w:t>
      </w:r>
      <w:r w:rsidRPr="727F3008" w:rsidR="43CB5BE6">
        <w:rPr>
          <w:i w:val="1"/>
          <w:iCs w:val="1"/>
          <w:noProof w:val="0"/>
          <w:lang w:val="en-GB"/>
        </w:rPr>
        <w:t>arXiv</w:t>
      </w:r>
      <w:r w:rsidRPr="727F3008" w:rsidR="43CB5BE6">
        <w:rPr>
          <w:noProof w:val="0"/>
          <w:lang w:val="en-GB"/>
        </w:rPr>
        <w:t xml:space="preserve">. Available at: </w:t>
      </w:r>
      <w:hyperlink r:id="R9ff084c2bd8b4064">
        <w:r w:rsidRPr="727F3008" w:rsidR="43CB5BE6">
          <w:rPr>
            <w:rStyle w:val="Hyperlink"/>
            <w:noProof w:val="0"/>
            <w:lang w:val="en-GB"/>
          </w:rPr>
          <w:t>https://arxiv.org/abs/2006.10526</w:t>
        </w:r>
      </w:hyperlink>
      <w:r w:rsidRPr="727F3008" w:rsidR="43CB5BE6">
        <w:rPr>
          <w:noProof w:val="0"/>
          <w:lang w:val="en-GB"/>
        </w:rPr>
        <w:t xml:space="preserve"> (Accessed 11 September 2025).</w:t>
      </w:r>
    </w:p>
    <w:p w:rsidR="727F3008" w:rsidRDefault="727F3008" w14:paraId="3E8CB561" w14:textId="2D214D9F"/>
    <w:p w:rsidR="727F3008" w:rsidP="727F3008" w:rsidRDefault="727F3008" w14:paraId="374D4F60" w14:textId="0F2470C0">
      <w:pPr>
        <w:pStyle w:val="ListParagraph"/>
        <w:spacing w:before="240" w:beforeAutospacing="off" w:after="240" w:afterAutospacing="off"/>
        <w:ind w:left="720"/>
        <w:jc w:val="left"/>
        <w:rPr>
          <w:rFonts w:ascii="Arial" w:hAnsi="Arial" w:eastAsia="Arial" w:cs="Arial"/>
          <w:noProof w:val="0"/>
          <w:sz w:val="22"/>
          <w:szCs w:val="22"/>
          <w:lang w:val="en-GB"/>
        </w:rPr>
      </w:pPr>
    </w:p>
    <w:p w:rsidR="727F3008" w:rsidP="727F3008" w:rsidRDefault="727F3008" w14:paraId="30E1A638" w14:textId="2E1CF085">
      <w:pPr>
        <w:spacing w:before="240" w:beforeAutospacing="off" w:after="240" w:afterAutospacing="off"/>
        <w:jc w:val="left"/>
        <w:rPr>
          <w:rFonts w:ascii="Arial" w:hAnsi="Arial" w:eastAsia="Arial" w:cs="Arial"/>
          <w:noProof w:val="0"/>
          <w:sz w:val="22"/>
          <w:szCs w:val="22"/>
          <w:lang w:val="en-GB"/>
        </w:rPr>
      </w:pPr>
    </w:p>
    <w:p w:rsidR="727F3008" w:rsidP="727F3008" w:rsidRDefault="727F3008" w14:paraId="52E6884B" w14:textId="3788C59D">
      <w:pPr>
        <w:pStyle w:val="Normal"/>
        <w:spacing w:before="240" w:beforeAutospacing="off" w:after="240" w:afterAutospacing="off"/>
        <w:ind w:left="0"/>
        <w:jc w:val="left"/>
        <w:rPr>
          <w:rFonts w:ascii="Arial" w:hAnsi="Arial" w:eastAsia="Arial" w:cs="Arial"/>
          <w:noProof w:val="0"/>
          <w:sz w:val="22"/>
          <w:szCs w:val="22"/>
          <w:lang w:val="en-GB"/>
        </w:rPr>
      </w:pPr>
    </w:p>
    <w:p w:rsidR="727F3008" w:rsidP="727F3008" w:rsidRDefault="727F3008" w14:paraId="1D0F2978" w14:textId="67DE6291">
      <w:pPr>
        <w:jc w:val="left"/>
      </w:pPr>
    </w:p>
    <w:p w:rsidR="727F3008" w:rsidP="727F3008" w:rsidRDefault="727F3008" w14:paraId="2F0ECDB9" w14:textId="284A39FD">
      <w:pPr>
        <w:pStyle w:val="Normal"/>
        <w:spacing w:before="240" w:beforeAutospacing="off" w:after="240" w:afterAutospacing="off"/>
        <w:ind w:left="0"/>
        <w:jc w:val="left"/>
        <w:rPr>
          <w:rFonts w:ascii="Arial" w:hAnsi="Arial" w:eastAsia="Arial" w:cs="Arial"/>
          <w:noProof w:val="0"/>
          <w:sz w:val="22"/>
          <w:szCs w:val="22"/>
          <w:lang w:val="en-GB"/>
        </w:rPr>
      </w:pPr>
    </w:p>
    <w:p w:rsidR="727F3008" w:rsidP="727F3008" w:rsidRDefault="727F3008" w14:paraId="59621059" w14:textId="154753DA">
      <w:pPr>
        <w:jc w:val="left"/>
      </w:pPr>
    </w:p>
    <w:p w:rsidR="727F3008" w:rsidP="727F3008" w:rsidRDefault="727F3008" w14:paraId="2259D1F1" w14:textId="76B7DC67">
      <w:pPr>
        <w:spacing w:before="240" w:beforeAutospacing="off" w:after="240" w:afterAutospacing="off"/>
        <w:jc w:val="left"/>
        <w:rPr>
          <w:rFonts w:ascii="Arial" w:hAnsi="Arial" w:eastAsia="Arial" w:cs="Arial"/>
          <w:noProof w:val="0"/>
          <w:sz w:val="22"/>
          <w:szCs w:val="22"/>
          <w:lang w:val="en-GB"/>
        </w:rPr>
      </w:pPr>
    </w:p>
    <w:p w:rsidR="727F3008" w:rsidP="727F3008" w:rsidRDefault="727F3008" w14:paraId="4E991AEC" w14:textId="3A81F963">
      <w:pPr>
        <w:spacing w:before="240" w:beforeAutospacing="off" w:after="240" w:afterAutospacing="off" w:line="360" w:lineRule="auto"/>
        <w:jc w:val="left"/>
        <w:rPr>
          <w:rFonts w:ascii="Arial" w:hAnsi="Arial" w:eastAsia="Arial" w:cs="Arial"/>
          <w:noProof w:val="0"/>
          <w:sz w:val="22"/>
          <w:szCs w:val="22"/>
          <w:lang w:val="en-GB"/>
        </w:rPr>
      </w:pPr>
    </w:p>
    <w:p w:rsidR="333F4AF6" w:rsidP="727F3008" w:rsidRDefault="333F4AF6" w14:paraId="6B600E69" w14:textId="2BE52170" w14:noSpellErr="1">
      <w:pPr>
        <w:spacing w:before="240" w:beforeAutospacing="off" w:after="240" w:afterAutospacing="off" w:line="360" w:lineRule="auto"/>
        <w:jc w:val="left"/>
        <w:rPr>
          <w:rFonts w:ascii="Arial" w:hAnsi="Arial" w:eastAsia="Arial" w:cs="Arial"/>
          <w:noProof w:val="0"/>
          <w:color w:val="000000" w:themeColor="text1" w:themeTint="FF" w:themeShade="FF"/>
          <w:sz w:val="22"/>
          <w:szCs w:val="22"/>
          <w:lang w:val="en-GB"/>
        </w:rPr>
      </w:pPr>
    </w:p>
    <w:p w:rsidR="333F4AF6" w:rsidP="727F3008" w:rsidRDefault="333F4AF6" w14:paraId="6D3FBC85" w14:textId="346DE28C" w14:noSpellErr="1">
      <w:pPr>
        <w:jc w:val="left"/>
      </w:pPr>
    </w:p>
    <w:p w:rsidR="333F4AF6" w:rsidP="727F3008" w:rsidRDefault="333F4AF6" w14:paraId="14026D94" w14:textId="7ECAE586" w14:noSpellErr="1">
      <w:pPr>
        <w:pStyle w:val="Normal"/>
        <w:spacing w:before="240" w:beforeAutospacing="off" w:after="240" w:afterAutospacing="off" w:line="360" w:lineRule="auto"/>
        <w:jc w:val="left"/>
        <w:rPr>
          <w:rFonts w:ascii="Arial" w:hAnsi="Arial" w:eastAsia="Arial" w:cs="Arial"/>
          <w:b w:val="0"/>
          <w:bCs w:val="0"/>
          <w:noProof w:val="0"/>
          <w:color w:val="000000" w:themeColor="text1" w:themeTint="FF" w:themeShade="FF"/>
          <w:sz w:val="22"/>
          <w:szCs w:val="22"/>
          <w:lang w:val="en-GB"/>
        </w:rPr>
      </w:pPr>
    </w:p>
    <w:p w:rsidR="333F4AF6" w:rsidP="727F3008" w:rsidRDefault="333F4AF6" w14:paraId="6A991218" w14:textId="154C4CA8" w14:noSpellErr="1">
      <w:pPr>
        <w:spacing w:before="240" w:beforeAutospacing="off" w:after="240" w:afterAutospacing="off"/>
        <w:jc w:val="left"/>
        <w:rPr>
          <w:rFonts w:ascii="Arial" w:hAnsi="Arial" w:eastAsia="Arial" w:cs="Arial"/>
          <w:b w:val="0"/>
          <w:bCs w:val="0"/>
          <w:noProof w:val="0"/>
          <w:color w:val="000000" w:themeColor="text1" w:themeTint="FF" w:themeShade="FF"/>
          <w:sz w:val="22"/>
          <w:szCs w:val="22"/>
          <w:lang w:val="en-GB"/>
        </w:rPr>
      </w:pPr>
    </w:p>
    <w:p w:rsidR="333F4AF6" w:rsidP="727F3008" w:rsidRDefault="333F4AF6" w14:paraId="76B78E65" w14:textId="1E4E37BA" w14:noSpellErr="1">
      <w:pPr>
        <w:spacing w:before="240" w:beforeAutospacing="off" w:after="240" w:afterAutospacing="off"/>
        <w:jc w:val="left"/>
        <w:rPr>
          <w:rFonts w:ascii="Arial" w:hAnsi="Arial" w:eastAsia="Arial" w:cs="Arial"/>
          <w:b w:val="0"/>
          <w:bCs w:val="0"/>
          <w:noProof w:val="0"/>
          <w:color w:val="000000" w:themeColor="text1" w:themeTint="FF" w:themeShade="FF"/>
          <w:sz w:val="22"/>
          <w:szCs w:val="22"/>
          <w:lang w:val="en-GB"/>
        </w:rPr>
      </w:pPr>
    </w:p>
    <w:p w:rsidR="333F4AF6" w:rsidP="727F3008" w:rsidRDefault="333F4AF6" w14:paraId="344FA432" w14:textId="56AEFA1B" w14:noSpellErr="1">
      <w:pPr>
        <w:pStyle w:val="Heading3"/>
        <w:spacing w:before="240" w:beforeAutospacing="off" w:after="240" w:afterAutospacing="off"/>
        <w:jc w:val="left"/>
        <w:rPr>
          <w:rFonts w:ascii="Arial" w:hAnsi="Arial" w:eastAsia="Arial" w:cs="Arial"/>
          <w:b w:val="1"/>
          <w:bCs w:val="1"/>
          <w:noProof w:val="0"/>
          <w:color w:val="000000" w:themeColor="text1" w:themeTint="FF" w:themeShade="FF"/>
          <w:sz w:val="22"/>
          <w:szCs w:val="22"/>
          <w:lang w:val="en-GB"/>
        </w:rPr>
      </w:pPr>
    </w:p>
    <w:p w:rsidR="333F4AF6" w:rsidP="727F3008" w:rsidRDefault="333F4AF6" w14:paraId="24762A8D" w14:textId="16C3B078" w14:noSpellErr="1">
      <w:pPr>
        <w:jc w:val="left"/>
      </w:pPr>
      <w:r>
        <w:br w:type="page"/>
      </w:r>
    </w:p>
    <w:p w:rsidR="333F4AF6" w:rsidP="333F4AF6" w:rsidRDefault="333F4AF6" w14:paraId="26F303F6" w14:textId="7AAD6054">
      <w:pPr>
        <w:spacing w:before="240" w:beforeAutospacing="off" w:after="240" w:afterAutospacing="off"/>
        <w:jc w:val="left"/>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headerReference w:type="default" r:id="R0729599bfeb64299"/>
      <w:footerReference w:type="default" r:id="Ra1086a8e6f8f4f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33F4AF6" w:rsidTr="333F4AF6" w14:paraId="22F3AC40">
      <w:trPr>
        <w:trHeight w:val="300"/>
      </w:trPr>
      <w:tc>
        <w:tcPr>
          <w:tcW w:w="3005" w:type="dxa"/>
          <w:tcMar/>
        </w:tcPr>
        <w:p w:rsidR="333F4AF6" w:rsidP="333F4AF6" w:rsidRDefault="333F4AF6" w14:paraId="29607881" w14:textId="3B554F62">
          <w:pPr>
            <w:pStyle w:val="Header"/>
            <w:bidi w:val="0"/>
            <w:ind w:left="-115"/>
            <w:jc w:val="left"/>
          </w:pPr>
        </w:p>
      </w:tc>
      <w:tc>
        <w:tcPr>
          <w:tcW w:w="3005" w:type="dxa"/>
          <w:tcMar/>
        </w:tcPr>
        <w:p w:rsidR="333F4AF6" w:rsidP="333F4AF6" w:rsidRDefault="333F4AF6" w14:paraId="29D89E38" w14:textId="0F014C51">
          <w:pPr>
            <w:pStyle w:val="Header"/>
            <w:bidi w:val="0"/>
            <w:jc w:val="center"/>
          </w:pPr>
        </w:p>
      </w:tc>
      <w:tc>
        <w:tcPr>
          <w:tcW w:w="3005" w:type="dxa"/>
          <w:tcMar/>
        </w:tcPr>
        <w:p w:rsidR="333F4AF6" w:rsidP="333F4AF6" w:rsidRDefault="333F4AF6" w14:paraId="56C78DF0" w14:textId="671DB23F">
          <w:pPr>
            <w:pStyle w:val="Header"/>
            <w:bidi w:val="0"/>
            <w:ind w:right="-115"/>
            <w:jc w:val="right"/>
          </w:pPr>
        </w:p>
      </w:tc>
    </w:tr>
  </w:tbl>
  <w:p w:rsidR="333F4AF6" w:rsidP="333F4AF6" w:rsidRDefault="333F4AF6" w14:paraId="705CBC87" w14:textId="36F9262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33F4AF6" w:rsidTr="333F4AF6" w14:paraId="65062421">
      <w:trPr>
        <w:trHeight w:val="300"/>
      </w:trPr>
      <w:tc>
        <w:tcPr>
          <w:tcW w:w="3005" w:type="dxa"/>
          <w:tcMar/>
        </w:tcPr>
        <w:p w:rsidR="333F4AF6" w:rsidP="333F4AF6" w:rsidRDefault="333F4AF6" w14:paraId="2A7E4D72" w14:textId="36DA882D">
          <w:pPr>
            <w:pStyle w:val="Header"/>
            <w:bidi w:val="0"/>
            <w:ind w:left="-115"/>
            <w:jc w:val="left"/>
          </w:pPr>
          <w:r>
            <w:fldChar w:fldCharType="begin"/>
          </w:r>
          <w:r>
            <w:instrText xml:space="preserve">PAGE</w:instrText>
          </w:r>
          <w:r>
            <w:fldChar w:fldCharType="separate"/>
          </w:r>
          <w:r>
            <w:fldChar w:fldCharType="end"/>
          </w:r>
        </w:p>
      </w:tc>
      <w:tc>
        <w:tcPr>
          <w:tcW w:w="3005" w:type="dxa"/>
          <w:tcMar/>
        </w:tcPr>
        <w:p w:rsidR="333F4AF6" w:rsidP="333F4AF6" w:rsidRDefault="333F4AF6" w14:paraId="13F9DB04" w14:textId="02C03600">
          <w:pPr>
            <w:pStyle w:val="Header"/>
            <w:bidi w:val="0"/>
            <w:jc w:val="center"/>
          </w:pPr>
        </w:p>
      </w:tc>
      <w:tc>
        <w:tcPr>
          <w:tcW w:w="3005" w:type="dxa"/>
          <w:tcMar/>
        </w:tcPr>
        <w:p w:rsidR="333F4AF6" w:rsidP="333F4AF6" w:rsidRDefault="333F4AF6" w14:paraId="053A2EFA" w14:textId="79FFE39E">
          <w:pPr>
            <w:pStyle w:val="Header"/>
            <w:bidi w:val="0"/>
            <w:ind w:right="-115"/>
            <w:jc w:val="right"/>
          </w:pPr>
        </w:p>
      </w:tc>
    </w:tr>
  </w:tbl>
  <w:p w:rsidR="333F4AF6" w:rsidP="333F4AF6" w:rsidRDefault="333F4AF6" w14:paraId="18C8DDAD" w14:textId="76BC7CB2">
    <w:pPr>
      <w:pStyle w:val="Header"/>
      <w:bidi w:val="0"/>
    </w:pPr>
  </w:p>
</w:hdr>
</file>

<file path=word/intelligence2.xml><?xml version="1.0" encoding="utf-8"?>
<int2:intelligence xmlns:int2="http://schemas.microsoft.com/office/intelligence/2020/intelligence">
  <int2:observations>
    <int2:textHash int2:hashCode="q+iAZqIpVCGjXg" int2:id="RtDAnMhO">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0">
    <w:nsid w:val="3290b8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110d33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b8b73f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fe4a9d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385ed9c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42135a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211691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67bf5a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fb19d7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4941fd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1ca4e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17a08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37a5bf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8a1a5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4de75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8e156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fa5f6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bbc40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932b2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e7bb7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e1f47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e0e44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d4397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9ed48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6b19c3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2fde1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7731b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b2f47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1e5e6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d9fc1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650DDA"/>
    <w:rsid w:val="0223383A"/>
    <w:rsid w:val="02C42F1A"/>
    <w:rsid w:val="02E34318"/>
    <w:rsid w:val="0346B274"/>
    <w:rsid w:val="039DADFB"/>
    <w:rsid w:val="03C6B161"/>
    <w:rsid w:val="05365896"/>
    <w:rsid w:val="05AD0786"/>
    <w:rsid w:val="06C64543"/>
    <w:rsid w:val="06FBADC1"/>
    <w:rsid w:val="0739AD38"/>
    <w:rsid w:val="074B483C"/>
    <w:rsid w:val="0788F446"/>
    <w:rsid w:val="0A3AF648"/>
    <w:rsid w:val="0AE1EB1B"/>
    <w:rsid w:val="0B0D62B9"/>
    <w:rsid w:val="0BEA3D16"/>
    <w:rsid w:val="0E2C6213"/>
    <w:rsid w:val="0E93083A"/>
    <w:rsid w:val="11EDFAE5"/>
    <w:rsid w:val="120A76B5"/>
    <w:rsid w:val="120A76B5"/>
    <w:rsid w:val="1252EEC0"/>
    <w:rsid w:val="12D4F318"/>
    <w:rsid w:val="13650DDA"/>
    <w:rsid w:val="140DA433"/>
    <w:rsid w:val="1426A7E4"/>
    <w:rsid w:val="15E4AC2D"/>
    <w:rsid w:val="1626417B"/>
    <w:rsid w:val="16D055CE"/>
    <w:rsid w:val="1745FB31"/>
    <w:rsid w:val="18043E31"/>
    <w:rsid w:val="1839DCDD"/>
    <w:rsid w:val="19275E8B"/>
    <w:rsid w:val="1A0DCDDD"/>
    <w:rsid w:val="1A2C6EA2"/>
    <w:rsid w:val="1A754A47"/>
    <w:rsid w:val="1A777FC3"/>
    <w:rsid w:val="1E96A6B6"/>
    <w:rsid w:val="1EA5B927"/>
    <w:rsid w:val="1ED40731"/>
    <w:rsid w:val="1EE4A5FB"/>
    <w:rsid w:val="1F616A16"/>
    <w:rsid w:val="1F7B3FFA"/>
    <w:rsid w:val="20351D5F"/>
    <w:rsid w:val="20FF6764"/>
    <w:rsid w:val="21065AB1"/>
    <w:rsid w:val="215498AC"/>
    <w:rsid w:val="21FA4872"/>
    <w:rsid w:val="223BB914"/>
    <w:rsid w:val="22BEA8F9"/>
    <w:rsid w:val="240E9703"/>
    <w:rsid w:val="25C3ECA5"/>
    <w:rsid w:val="2716BDF3"/>
    <w:rsid w:val="28129441"/>
    <w:rsid w:val="283A200A"/>
    <w:rsid w:val="288C70D0"/>
    <w:rsid w:val="291BE584"/>
    <w:rsid w:val="29F0B6CB"/>
    <w:rsid w:val="2B0A27F9"/>
    <w:rsid w:val="2B6D8F08"/>
    <w:rsid w:val="2C7DAEFE"/>
    <w:rsid w:val="2CF1677C"/>
    <w:rsid w:val="2D7D9A22"/>
    <w:rsid w:val="2DB8B18A"/>
    <w:rsid w:val="2E51B2D5"/>
    <w:rsid w:val="2FB56782"/>
    <w:rsid w:val="3179185D"/>
    <w:rsid w:val="333F4AF6"/>
    <w:rsid w:val="33634DC5"/>
    <w:rsid w:val="33DF48E0"/>
    <w:rsid w:val="33E2E879"/>
    <w:rsid w:val="33E2E879"/>
    <w:rsid w:val="345138B8"/>
    <w:rsid w:val="35E9C08A"/>
    <w:rsid w:val="3702D14E"/>
    <w:rsid w:val="37339F39"/>
    <w:rsid w:val="3826237E"/>
    <w:rsid w:val="39305FE2"/>
    <w:rsid w:val="393F0898"/>
    <w:rsid w:val="39BA3253"/>
    <w:rsid w:val="3A5732C6"/>
    <w:rsid w:val="3A6B8E16"/>
    <w:rsid w:val="3B4EED65"/>
    <w:rsid w:val="3D1FFBB7"/>
    <w:rsid w:val="3D7C2BCB"/>
    <w:rsid w:val="3DC4BA67"/>
    <w:rsid w:val="3EBD9DDE"/>
    <w:rsid w:val="3FE898A0"/>
    <w:rsid w:val="400D300A"/>
    <w:rsid w:val="4061D7E4"/>
    <w:rsid w:val="41B4BD72"/>
    <w:rsid w:val="4215D4B9"/>
    <w:rsid w:val="428D8FE2"/>
    <w:rsid w:val="43039CAB"/>
    <w:rsid w:val="43CB5BE6"/>
    <w:rsid w:val="445214FF"/>
    <w:rsid w:val="44584FEC"/>
    <w:rsid w:val="450351AF"/>
    <w:rsid w:val="4524636A"/>
    <w:rsid w:val="45B6211D"/>
    <w:rsid w:val="4648175E"/>
    <w:rsid w:val="46A6F951"/>
    <w:rsid w:val="46DA0AC9"/>
    <w:rsid w:val="47036755"/>
    <w:rsid w:val="47161B23"/>
    <w:rsid w:val="47D176FE"/>
    <w:rsid w:val="4883EBB7"/>
    <w:rsid w:val="49322B17"/>
    <w:rsid w:val="4AD6BE6C"/>
    <w:rsid w:val="4AF524E0"/>
    <w:rsid w:val="4B29B565"/>
    <w:rsid w:val="4B59A30A"/>
    <w:rsid w:val="4BE5E434"/>
    <w:rsid w:val="4BF1E7AC"/>
    <w:rsid w:val="4CFE18BA"/>
    <w:rsid w:val="4E44C920"/>
    <w:rsid w:val="4F174836"/>
    <w:rsid w:val="4FAE7E7E"/>
    <w:rsid w:val="50E4D07A"/>
    <w:rsid w:val="519E218E"/>
    <w:rsid w:val="51C89639"/>
    <w:rsid w:val="5307A12B"/>
    <w:rsid w:val="5307A12B"/>
    <w:rsid w:val="532AD535"/>
    <w:rsid w:val="53E77B76"/>
    <w:rsid w:val="549FF05D"/>
    <w:rsid w:val="557629F2"/>
    <w:rsid w:val="55B64EBE"/>
    <w:rsid w:val="55B85420"/>
    <w:rsid w:val="56213BD6"/>
    <w:rsid w:val="567B240B"/>
    <w:rsid w:val="579A867D"/>
    <w:rsid w:val="5AB3BCAD"/>
    <w:rsid w:val="5CDE2076"/>
    <w:rsid w:val="5DE357BD"/>
    <w:rsid w:val="5E278EBA"/>
    <w:rsid w:val="5FAFFF4B"/>
    <w:rsid w:val="60DA0F95"/>
    <w:rsid w:val="616B78DA"/>
    <w:rsid w:val="62367DC5"/>
    <w:rsid w:val="6246CF88"/>
    <w:rsid w:val="628075E3"/>
    <w:rsid w:val="632EFE1C"/>
    <w:rsid w:val="633A46C2"/>
    <w:rsid w:val="6381AADF"/>
    <w:rsid w:val="641FA613"/>
    <w:rsid w:val="6667C648"/>
    <w:rsid w:val="667DBFB0"/>
    <w:rsid w:val="6735EC29"/>
    <w:rsid w:val="688C3D41"/>
    <w:rsid w:val="6897AFA9"/>
    <w:rsid w:val="68E829AC"/>
    <w:rsid w:val="69FA7552"/>
    <w:rsid w:val="6AA1831C"/>
    <w:rsid w:val="6B8C3693"/>
    <w:rsid w:val="6C6955CA"/>
    <w:rsid w:val="6C8500D5"/>
    <w:rsid w:val="6CE444DF"/>
    <w:rsid w:val="6DC86EDE"/>
    <w:rsid w:val="6E56CBEE"/>
    <w:rsid w:val="710C5A50"/>
    <w:rsid w:val="71117BCD"/>
    <w:rsid w:val="719E9367"/>
    <w:rsid w:val="7230EA1D"/>
    <w:rsid w:val="727F3008"/>
    <w:rsid w:val="72ED0704"/>
    <w:rsid w:val="736D732B"/>
    <w:rsid w:val="73992061"/>
    <w:rsid w:val="73C55E28"/>
    <w:rsid w:val="77934824"/>
    <w:rsid w:val="787A8403"/>
    <w:rsid w:val="794D0014"/>
    <w:rsid w:val="798B07E2"/>
    <w:rsid w:val="7A43325B"/>
    <w:rsid w:val="7A9DC143"/>
    <w:rsid w:val="7AD5D3D4"/>
    <w:rsid w:val="7CD615F5"/>
    <w:rsid w:val="7D1772CD"/>
    <w:rsid w:val="7D233D33"/>
    <w:rsid w:val="7E14CF5C"/>
    <w:rsid w:val="7E4437BD"/>
    <w:rsid w:val="7EBE23F2"/>
    <w:rsid w:val="7FFC38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50DDA"/>
  <w15:chartTrackingRefBased/>
  <w15:docId w15:val="{B2AADD68-15AF-44C0-A020-211BB8ECDC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333F4AF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33F4AF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33F4AF6"/>
    <w:pPr>
      <w:spacing/>
      <w:ind w:left="720"/>
      <w:contextualSpacing/>
    </w:pPr>
  </w:style>
  <w:style w:type="character" w:styleId="Hyperlink">
    <w:uiPriority w:val="99"/>
    <w:name w:val="Hyperlink"/>
    <w:basedOn w:val="DefaultParagraphFont"/>
    <w:unhideWhenUsed/>
    <w:rsid w:val="333F4AF6"/>
    <w:rPr>
      <w:color w:val="467886"/>
      <w:u w:val="single"/>
    </w:rPr>
  </w:style>
  <w:style w:type="paragraph" w:styleId="Heading1">
    <w:uiPriority w:val="9"/>
    <w:name w:val="heading 1"/>
    <w:basedOn w:val="Normal"/>
    <w:next w:val="Normal"/>
    <w:qFormat/>
    <w:rsid w:val="333F4AF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OC1">
    <w:uiPriority w:val="39"/>
    <w:name w:val="toc 1"/>
    <w:basedOn w:val="Normal"/>
    <w:next w:val="Normal"/>
    <w:unhideWhenUsed/>
    <w:rsid w:val="333F4AF6"/>
    <w:pPr>
      <w:spacing w:after="100"/>
    </w:pPr>
  </w:style>
  <w:style w:type="paragraph" w:styleId="TOC2">
    <w:uiPriority w:val="39"/>
    <w:name w:val="toc 2"/>
    <w:basedOn w:val="Normal"/>
    <w:next w:val="Normal"/>
    <w:unhideWhenUsed/>
    <w:rsid w:val="333F4AF6"/>
    <w:pPr>
      <w:spacing w:after="100"/>
      <w:ind w:left="220"/>
    </w:pPr>
  </w:style>
  <w:style w:type="paragraph" w:styleId="TOC3">
    <w:uiPriority w:val="39"/>
    <w:name w:val="toc 3"/>
    <w:basedOn w:val="Normal"/>
    <w:next w:val="Normal"/>
    <w:unhideWhenUsed/>
    <w:rsid w:val="333F4AF6"/>
    <w:pPr>
      <w:spacing w:after="100"/>
      <w:ind w:left="440"/>
    </w:pPr>
  </w:style>
  <w:style w:type="paragraph" w:styleId="Header">
    <w:uiPriority w:val="99"/>
    <w:name w:val="header"/>
    <w:basedOn w:val="Normal"/>
    <w:unhideWhenUsed/>
    <w:rsid w:val="333F4AF6"/>
    <w:pPr>
      <w:tabs>
        <w:tab w:val="center" w:leader="none" w:pos="4680"/>
        <w:tab w:val="right" w:leader="none" w:pos="9360"/>
      </w:tabs>
      <w:spacing w:after="0" w:line="240" w:lineRule="auto"/>
    </w:pPr>
  </w:style>
  <w:style w:type="paragraph" w:styleId="Footer">
    <w:uiPriority w:val="99"/>
    <w:name w:val="footer"/>
    <w:basedOn w:val="Normal"/>
    <w:unhideWhenUsed/>
    <w:rsid w:val="333F4AF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NoSpacing">
    <w:uiPriority w:val="1"/>
    <w:name w:val="No Spacing"/>
    <w:qFormat/>
    <w:rsid w:val="727F300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729599bfeb64299" /><Relationship Type="http://schemas.openxmlformats.org/officeDocument/2006/relationships/footer" Target="/word/footer.xml" Id="Ra1086a8e6f8f4f00" /><Relationship Type="http://schemas.openxmlformats.org/officeDocument/2006/relationships/numbering" Target="/word/numbering.xml" Id="R2c0c3483aad94fd9" /><Relationship Type="http://schemas.openxmlformats.org/officeDocument/2006/relationships/hyperlink" Target="https://doi.org/10.1017/S1744133121000220" TargetMode="External" Id="Rae8f9467b6c24b38" /><Relationship Type="http://schemas.openxmlformats.org/officeDocument/2006/relationships/hyperlink" Target="https://arxiv.org/abs/2012.02062" TargetMode="External" Id="R3f7248acd448439b" /><Relationship Type="http://schemas.openxmlformats.org/officeDocument/2006/relationships/hyperlink" Target="https://doi.org/10.1080/13597566.2021.1976730" TargetMode="External" Id="Re76dafd9d02b415d" /><Relationship Type="http://schemas.openxmlformats.org/officeDocument/2006/relationships/hyperlink" Target="https://www.cihi.ca/en/covid-19-hospital-sector-report" TargetMode="External" Id="Ra9cdf9a7c87d4138" /><Relationship Type="http://schemas.openxmlformats.org/officeDocument/2006/relationships/hyperlink" Target="https://arxiv.org/abs/2009.09073" TargetMode="External" Id="R1c6f060581484481" /><Relationship Type="http://schemas.openxmlformats.org/officeDocument/2006/relationships/hyperlink" Target="https://pubmed.ncbi.nlm.nih.gov/35942434/" TargetMode="External" Id="Rdf26d2fd20884adc" /><Relationship Type="http://schemas.openxmlformats.org/officeDocument/2006/relationships/hyperlink" Target="https://www.who.int/europe/publications/i/item/covid-19-health-system-response-monitor" TargetMode="External" Id="Rafa161c18edb48b7" /><Relationship Type="http://schemas.openxmlformats.org/officeDocument/2006/relationships/hyperlink" Target="https://doi.org/10.1016/j.jpubeco.2023.104879" TargetMode="External" Id="Rbaddfca4dd414127" /><Relationship Type="http://schemas.openxmlformats.org/officeDocument/2006/relationships/hyperlink" Target="https://www.cambridge.org/core/journals/health-economics-policy-and-law/article/has-regional-decentralisation-saved-lives-during-the-covid19-pandemic/C53418B2D35E6A33B95B7FF1F07DACD7" TargetMode="External" Id="R4b6298870be34e47" /><Relationship Type="http://schemas.openxmlformats.org/officeDocument/2006/relationships/hyperlink" Target="https://doi.org/10.1016/j.socscimed.2022.114952" TargetMode="External" Id="R70338acb5320446a" /><Relationship Type="http://schemas.openxmlformats.org/officeDocument/2006/relationships/hyperlink" Target="https://doi.org/10.1136/leader-2022-000474" TargetMode="External" Id="Rc30adb1ba21543fb" /><Relationship Type="http://schemas.openxmlformats.org/officeDocument/2006/relationships/hyperlink" Target="https://bmcpublichealth.biomedcentral.com/articles/10.1186/s12889-024-19655-8" TargetMode="External" Id="R3f9678d394864d91" /><Relationship Type="http://schemas.openxmlformats.org/officeDocument/2006/relationships/hyperlink" Target="https://www.icnl.org/wp-content/uploads/2024-Korea-Pandemic-Report-vf.pdf" TargetMode="External" Id="Ra8be14d411cc4502" /><Relationship Type="http://schemas.openxmlformats.org/officeDocument/2006/relationships/hyperlink" Target="https://www.icnl.org/post/report/pandemic-governance-in-south-korea" TargetMode="External" Id="R0dee41ff6bf84407" /><Relationship Type="http://schemas.openxmlformats.org/officeDocument/2006/relationships/hyperlink" Target="https://arxiv.org/abs/2006.09530" TargetMode="External" Id="R102eecc979ae41b3" /><Relationship Type="http://schemas.openxmlformats.org/officeDocument/2006/relationships/hyperlink" Target="https://pubmed.ncbi.nlm.nih.gov/34898142/" TargetMode="External" Id="R4aa3a212b945433a" /><Relationship Type="http://schemas.openxmlformats.org/officeDocument/2006/relationships/hyperlink" Target="https://www.ssph-journal.org/journals/international-journal-of-public-health/articles/10.3389/ijph.2022.1604907/full" TargetMode="External" Id="R67a82f9cd58a4b81" /><Relationship Type="http://schemas.openxmlformats.org/officeDocument/2006/relationships/hyperlink" Target="https://doi.org/10.1186/s12961-024-01052-1" TargetMode="External" Id="Rd63f40b2df544934" /><Relationship Type="http://schemas.openxmlformats.org/officeDocument/2006/relationships/hyperlink" Target="https://pubmed.ncbi.nlm.nih.gov/32347772/" TargetMode="External" Id="Rb6a94b4f8d1f4ee9" /><Relationship Type="http://schemas.openxmlformats.org/officeDocument/2006/relationships/hyperlink" Target="https://pubmed.ncbi.nlm.nih.gov/41197873/" TargetMode="External" Id="R36ae574e055140c6" /><Relationship Type="http://schemas.openxmlformats.org/officeDocument/2006/relationships/hyperlink" Target="https://academic.oup.com/eurpub/article/31/5/1095/6238158" TargetMode="External" Id="Rb8cbda6b84f1455f" /><Relationship Type="http://schemas.openxmlformats.org/officeDocument/2006/relationships/hyperlink" Target="https://www.oecd.org/coronavirus/policy-responses/coordination-and-governance-of-covid-19-responses-lessons-from-oecd-countries-9a9b7b6a/" TargetMode="External" Id="Rce33888d99af43eb" /><Relationship Type="http://schemas.openxmlformats.org/officeDocument/2006/relationships/hyperlink" Target="https://www.canada.ca/en/public-health/corporate/transparency/corporate-management-reporting/evaluation/covid-19-response-lessons-learned-summary.html" TargetMode="External" Id="Rda420fc283594cc3" /><Relationship Type="http://schemas.openxmlformats.org/officeDocument/2006/relationships/hyperlink" Target="https://doi.org/10.1093/jogss/ogad017" TargetMode="External" Id="R306abcc8ef5248ad" /><Relationship Type="http://schemas.openxmlformats.org/officeDocument/2006/relationships/hyperlink" Target="https://doi.org/10.1111/puar.13247" TargetMode="External" Id="Re1a2db4295e8407e" /><Relationship Type="http://schemas.openxmlformats.org/officeDocument/2006/relationships/hyperlink" Target="https://journals.lww.com/jphmp/fulltext/2022/11000/early_impacts_of_the_covid_19_pandemic_on_public.16.aspx" TargetMode="External" Id="R7fb718f8edc44177" /><Relationship Type="http://schemas.openxmlformats.org/officeDocument/2006/relationships/hyperlink" Target="https://www.mdpi.com/1660-4601/20/2/1585" TargetMode="External" Id="R2eb8ad4bb959497d" /><Relationship Type="http://schemas.openxmlformats.org/officeDocument/2006/relationships/hyperlink" Target="https://www.who.int/publications/i/item/9789240010458" TargetMode="External" Id="R208265fad2e441b8" /><Relationship Type="http://schemas.openxmlformats.org/officeDocument/2006/relationships/hyperlink" Target="https://arxiv.org/abs/2006.10526" TargetMode="External" Id="R9ff084c2bd8b4064" /><Relationship Type="http://schemas.microsoft.com/office/2020/10/relationships/intelligence" Target="/word/intelligence2.xml" Id="R1c1176e26a2d40b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Nazia Ali (2208450)</dc:creator>
  <keywords/>
  <dc:description/>
  <lastModifiedBy>Nazia Ali (2208450)</lastModifiedBy>
  <revision>3</revision>
  <dcterms:created xsi:type="dcterms:W3CDTF">2025-11-12T14:58:37.7929498Z</dcterms:created>
  <dcterms:modified xsi:type="dcterms:W3CDTF">2025-11-21T18:29:44.7645861Z</dcterms:modified>
</coreProperties>
</file>