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BC2CF1" w:rsidP="00BC2CF1" w:rsidRDefault="00BC2CF1" w14:paraId="5C9B4D42" w14:textId="46165DDF">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57CE31CB" w14:textId="70D2FBFA">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67855626" w14:textId="6FB4C3BC">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24A39CEA" w14:textId="688D7BBD">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14D43259" w14:textId="64D2F1C8">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66C70BDA" w14:textId="0297F8DD">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00BC2CF1" w:rsidP="00BC2CF1" w:rsidRDefault="00BC2CF1" w14:paraId="5D05E7CC" w14:textId="071BC857">
      <w:pPr>
        <w:pStyle w:val="Heading3"/>
        <w:spacing w:before="281" w:beforeAutospacing="off" w:after="281" w:afterAutospacing="off" w:line="360" w:lineRule="auto"/>
        <w:jc w:val="both"/>
        <w:rPr>
          <w:rFonts w:ascii="Arial" w:hAnsi="Arial" w:eastAsia="Arial" w:cs="Arial"/>
          <w:b w:val="1"/>
          <w:bCs w:val="1"/>
          <w:noProof w:val="0"/>
          <w:color w:val="auto"/>
          <w:sz w:val="32"/>
          <w:szCs w:val="32"/>
          <w:lang w:val="en-GB"/>
        </w:rPr>
      </w:pPr>
    </w:p>
    <w:p w:rsidR="1CBF32C0" w:rsidP="00BC2CF1" w:rsidRDefault="1CBF32C0" w14:paraId="2AF8F931" w14:textId="72C91024">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BC2CF1" w:rsidR="1CBF32C0">
        <w:rPr>
          <w:rFonts w:ascii="Arial" w:hAnsi="Arial" w:eastAsia="Arial" w:cs="Arial"/>
          <w:b w:val="1"/>
          <w:bCs w:val="1"/>
          <w:i w:val="0"/>
          <w:iCs w:val="0"/>
          <w:caps w:val="0"/>
          <w:smallCaps w:val="0"/>
          <w:noProof w:val="0"/>
          <w:color w:val="000000" w:themeColor="text1" w:themeTint="FF" w:themeShade="FF"/>
          <w:sz w:val="22"/>
          <w:szCs w:val="22"/>
          <w:lang w:val="en-GB"/>
        </w:rPr>
        <w:t>Student Nam</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a: Nazma Raza (2515554)</w:t>
      </w:r>
    </w:p>
    <w:p w:rsidR="1CBF32C0" w:rsidP="00BC2CF1" w:rsidRDefault="1CBF32C0" w14:paraId="3852643B" w14:textId="26DBE78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BC2CF1" w:rsidR="1CBF32C0">
        <w:rPr>
          <w:rFonts w:ascii="Arial" w:hAnsi="Arial" w:eastAsia="Arial" w:cs="Arial"/>
          <w:b w:val="1"/>
          <w:bCs w:val="1"/>
          <w:i w:val="0"/>
          <w:iCs w:val="0"/>
          <w:caps w:val="0"/>
          <w:smallCaps w:val="0"/>
          <w:noProof w:val="0"/>
          <w:color w:val="000000" w:themeColor="text1" w:themeTint="FF" w:themeShade="FF"/>
          <w:sz w:val="22"/>
          <w:szCs w:val="22"/>
          <w:lang w:val="en-GB"/>
        </w:rPr>
        <w:t>Module Code</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 LCHS4007</w:t>
      </w:r>
    </w:p>
    <w:p w:rsidR="1CBF32C0" w:rsidP="00BC2CF1" w:rsidRDefault="1CBF32C0" w14:paraId="4CDE4527" w14:textId="19BAF986">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BC2CF1" w:rsidR="1CBF32C0">
        <w:rPr>
          <w:rFonts w:ascii="Arial" w:hAnsi="Arial" w:eastAsia="Arial" w:cs="Arial"/>
          <w:b w:val="1"/>
          <w:bCs w:val="1"/>
          <w:i w:val="0"/>
          <w:iCs w:val="0"/>
          <w:caps w:val="0"/>
          <w:smallCaps w:val="0"/>
          <w:noProof w:val="0"/>
          <w:color w:val="000000" w:themeColor="text1" w:themeTint="FF" w:themeShade="FF"/>
          <w:sz w:val="22"/>
          <w:szCs w:val="22"/>
          <w:lang w:val="en-GB"/>
        </w:rPr>
        <w:t>Module title</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 Digital Skills and Research Methods</w:t>
      </w:r>
    </w:p>
    <w:p w:rsidR="1CBF32C0" w:rsidP="00BC2CF1" w:rsidRDefault="1CBF32C0" w14:paraId="13ED53AF" w14:textId="6E4A1CD3">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BC2CF1" w:rsidR="1CBF32C0">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 xml:space="preserve"> 2-Research Report</w:t>
      </w:r>
    </w:p>
    <w:p w:rsidR="1CBF32C0" w:rsidP="00BC2CF1" w:rsidRDefault="1CBF32C0" w14:paraId="0A94D0A1" w14:textId="5A7B83F8">
      <w:pPr>
        <w:spacing w:line="360" w:lineRule="auto"/>
        <w:jc w:val="center"/>
        <w:rPr>
          <w:rFonts w:ascii="Arial" w:hAnsi="Arial" w:eastAsia="Arial" w:cs="Arial"/>
          <w:b w:val="1"/>
          <w:bCs w:val="1"/>
          <w:noProof w:val="0"/>
          <w:color w:val="auto"/>
          <w:sz w:val="32"/>
          <w:szCs w:val="32"/>
          <w:lang w:val="en-GB"/>
        </w:rPr>
      </w:pPr>
      <w:r w:rsidRPr="00BC2CF1" w:rsidR="1CBF32C0">
        <w:rPr>
          <w:rFonts w:ascii="Arial" w:hAnsi="Arial" w:eastAsia="Arial" w:cs="Arial"/>
          <w:b w:val="1"/>
          <w:bCs w:val="1"/>
          <w:i w:val="0"/>
          <w:iCs w:val="0"/>
          <w:caps w:val="0"/>
          <w:smallCaps w:val="0"/>
          <w:noProof w:val="0"/>
          <w:color w:val="000000" w:themeColor="text1" w:themeTint="FF" w:themeShade="FF"/>
          <w:sz w:val="22"/>
          <w:szCs w:val="22"/>
          <w:lang w:val="en-GB"/>
        </w:rPr>
        <w:t>Lecturers Nam</w:t>
      </w:r>
      <w:r w:rsidRPr="00BC2CF1" w:rsidR="1CBF32C0">
        <w:rPr>
          <w:rFonts w:ascii="Arial" w:hAnsi="Arial" w:eastAsia="Arial" w:cs="Arial"/>
          <w:b w:val="0"/>
          <w:bCs w:val="0"/>
          <w:i w:val="0"/>
          <w:iCs w:val="0"/>
          <w:caps w:val="0"/>
          <w:smallCaps w:val="0"/>
          <w:noProof w:val="0"/>
          <w:color w:val="000000" w:themeColor="text1" w:themeTint="FF" w:themeShade="FF"/>
          <w:sz w:val="22"/>
          <w:szCs w:val="22"/>
          <w:lang w:val="en-GB"/>
        </w:rPr>
        <w:t>e: Anika Tahsin Ahme</w:t>
      </w:r>
    </w:p>
    <w:p w:rsidR="00BC2CF1" w:rsidP="00BC2CF1" w:rsidRDefault="00BC2CF1" w14:paraId="70A11AD8" w14:textId="54E6FD29">
      <w:pPr>
        <w:spacing w:line="360" w:lineRule="auto"/>
        <w:jc w:val="center"/>
        <w:rPr>
          <w:rFonts w:ascii="Arial" w:hAnsi="Arial" w:eastAsia="Arial" w:cs="Arial"/>
          <w:b w:val="1"/>
          <w:bCs w:val="1"/>
          <w:noProof w:val="0"/>
          <w:color w:val="auto"/>
          <w:sz w:val="32"/>
          <w:szCs w:val="32"/>
          <w:lang w:val="en-GB"/>
        </w:rPr>
      </w:pPr>
    </w:p>
    <w:p w:rsidR="00BC2CF1" w:rsidP="00BC2CF1" w:rsidRDefault="00BC2CF1" w14:paraId="51066327" w14:textId="3F8FC92E">
      <w:pPr>
        <w:spacing w:line="360" w:lineRule="auto"/>
        <w:jc w:val="center"/>
        <w:rPr>
          <w:rFonts w:ascii="Arial" w:hAnsi="Arial" w:eastAsia="Arial" w:cs="Arial"/>
          <w:b w:val="1"/>
          <w:bCs w:val="1"/>
          <w:noProof w:val="0"/>
          <w:color w:val="auto"/>
          <w:sz w:val="32"/>
          <w:szCs w:val="32"/>
          <w:lang w:val="en-GB"/>
        </w:rPr>
      </w:pPr>
    </w:p>
    <w:p w:rsidR="00BC2CF1" w:rsidP="00BC2CF1" w:rsidRDefault="00BC2CF1" w14:paraId="39E91C52" w14:textId="2257C9D6">
      <w:pPr>
        <w:spacing w:line="360" w:lineRule="auto"/>
        <w:jc w:val="center"/>
        <w:rPr>
          <w:rFonts w:ascii="Arial" w:hAnsi="Arial" w:eastAsia="Arial" w:cs="Arial"/>
          <w:b w:val="1"/>
          <w:bCs w:val="1"/>
          <w:noProof w:val="0"/>
          <w:color w:val="auto"/>
          <w:sz w:val="32"/>
          <w:szCs w:val="32"/>
          <w:lang w:val="en-GB"/>
        </w:rPr>
      </w:pPr>
    </w:p>
    <w:p w:rsidR="00BC2CF1" w:rsidP="00BC2CF1" w:rsidRDefault="00BC2CF1" w14:paraId="17BB5001" w14:textId="53CDF654">
      <w:pPr>
        <w:spacing w:line="360" w:lineRule="auto"/>
        <w:jc w:val="center"/>
        <w:rPr>
          <w:rFonts w:ascii="Arial" w:hAnsi="Arial" w:eastAsia="Arial" w:cs="Arial"/>
          <w:b w:val="1"/>
          <w:bCs w:val="1"/>
          <w:noProof w:val="0"/>
          <w:color w:val="auto"/>
          <w:sz w:val="32"/>
          <w:szCs w:val="32"/>
          <w:lang w:val="en-GB"/>
        </w:rPr>
      </w:pPr>
    </w:p>
    <w:p w:rsidR="00BC2CF1" w:rsidP="00BC2CF1" w:rsidRDefault="00BC2CF1" w14:paraId="7F0AC477" w14:textId="200CD65C">
      <w:pPr>
        <w:spacing w:line="360" w:lineRule="auto"/>
        <w:jc w:val="both"/>
        <w:rPr>
          <w:rFonts w:ascii="Arial" w:hAnsi="Arial" w:eastAsia="Arial" w:cs="Arial"/>
          <w:b w:val="1"/>
          <w:bCs w:val="1"/>
          <w:noProof w:val="0"/>
          <w:color w:val="auto"/>
          <w:sz w:val="22"/>
          <w:szCs w:val="22"/>
          <w:lang w:val="en-GB"/>
        </w:rPr>
      </w:pPr>
    </w:p>
    <w:p w:rsidR="00BC2CF1" w:rsidP="00BC2CF1" w:rsidRDefault="00BC2CF1" w14:paraId="3CF5E7F7" w14:textId="2A47FC29">
      <w:pPr>
        <w:spacing w:line="360" w:lineRule="auto"/>
        <w:jc w:val="both"/>
        <w:rPr>
          <w:rFonts w:ascii="Arial" w:hAnsi="Arial" w:eastAsia="Arial" w:cs="Arial"/>
          <w:b w:val="1"/>
          <w:bCs w:val="1"/>
          <w:noProof w:val="0"/>
          <w:color w:val="auto"/>
          <w:sz w:val="28"/>
          <w:szCs w:val="28"/>
          <w:lang w:val="en-GB"/>
        </w:rPr>
      </w:pPr>
    </w:p>
    <w:p w:rsidR="00BC2CF1" w:rsidP="00BC2CF1" w:rsidRDefault="00BC2CF1" w14:paraId="7C149CDD" w14:textId="78F2A359">
      <w:pPr>
        <w:spacing w:line="360" w:lineRule="auto"/>
        <w:jc w:val="both"/>
        <w:rPr>
          <w:rFonts w:ascii="Arial" w:hAnsi="Arial" w:eastAsia="Arial" w:cs="Arial"/>
          <w:b w:val="1"/>
          <w:bCs w:val="1"/>
          <w:noProof w:val="0"/>
          <w:color w:val="auto"/>
          <w:sz w:val="28"/>
          <w:szCs w:val="28"/>
          <w:lang w:val="en-GB"/>
        </w:rPr>
      </w:pPr>
    </w:p>
    <w:p w:rsidR="00BC2CF1" w:rsidP="00BC2CF1" w:rsidRDefault="00BC2CF1" w14:paraId="1F9A671B" w14:textId="06B6B698">
      <w:pPr>
        <w:spacing w:line="360" w:lineRule="auto"/>
        <w:jc w:val="both"/>
        <w:rPr>
          <w:rFonts w:ascii="Arial" w:hAnsi="Arial" w:eastAsia="Arial" w:cs="Arial"/>
          <w:b w:val="1"/>
          <w:bCs w:val="1"/>
          <w:noProof w:val="0"/>
          <w:color w:val="auto"/>
          <w:sz w:val="28"/>
          <w:szCs w:val="28"/>
          <w:lang w:val="en-GB"/>
        </w:rPr>
      </w:pPr>
    </w:p>
    <w:p w:rsidR="00BC2CF1" w:rsidP="00BC2CF1" w:rsidRDefault="00BC2CF1" w14:paraId="02E808BE" w14:textId="29CD96F7">
      <w:pPr>
        <w:spacing w:line="360" w:lineRule="auto"/>
        <w:jc w:val="both"/>
        <w:rPr>
          <w:rFonts w:ascii="Arial" w:hAnsi="Arial" w:eastAsia="Arial" w:cs="Arial"/>
          <w:b w:val="1"/>
          <w:bCs w:val="1"/>
          <w:noProof w:val="0"/>
          <w:color w:val="auto"/>
          <w:sz w:val="28"/>
          <w:szCs w:val="28"/>
          <w:lang w:val="en-GB"/>
        </w:rPr>
      </w:pPr>
    </w:p>
    <w:p w:rsidR="05EEB0DB" w:rsidP="00BC2CF1" w:rsidRDefault="05EEB0DB" w14:paraId="09B64D02" w14:textId="2CC476F5">
      <w:pPr>
        <w:spacing w:line="360" w:lineRule="auto"/>
        <w:jc w:val="both"/>
        <w:rPr>
          <w:rFonts w:ascii="Arial" w:hAnsi="Arial" w:eastAsia="Arial" w:cs="Arial"/>
          <w:b w:val="1"/>
          <w:bCs w:val="1"/>
          <w:noProof w:val="0"/>
          <w:color w:val="auto"/>
          <w:sz w:val="28"/>
          <w:szCs w:val="28"/>
          <w:lang w:val="en-GB"/>
        </w:rPr>
      </w:pPr>
      <w:r w:rsidRPr="00BC2CF1" w:rsidR="05EEB0DB">
        <w:rPr>
          <w:rFonts w:ascii="Arial" w:hAnsi="Arial" w:eastAsia="Arial" w:cs="Arial"/>
          <w:b w:val="1"/>
          <w:bCs w:val="1"/>
          <w:noProof w:val="0"/>
          <w:color w:val="auto"/>
          <w:sz w:val="28"/>
          <w:szCs w:val="28"/>
          <w:lang w:val="en-GB"/>
        </w:rPr>
        <w:t>S</w:t>
      </w:r>
      <w:r w:rsidRPr="00BC2CF1" w:rsidR="3FEF2B18">
        <w:rPr>
          <w:rFonts w:ascii="Arial" w:hAnsi="Arial" w:eastAsia="Arial" w:cs="Arial"/>
          <w:b w:val="1"/>
          <w:bCs w:val="1"/>
          <w:noProof w:val="0"/>
          <w:color w:val="auto"/>
          <w:sz w:val="28"/>
          <w:szCs w:val="28"/>
          <w:lang w:val="en-GB"/>
        </w:rPr>
        <w:t>mall</w:t>
      </w:r>
      <w:r w:rsidRPr="00BC2CF1" w:rsidR="3FEF2B18">
        <w:rPr>
          <w:rFonts w:ascii="Arial" w:hAnsi="Arial" w:eastAsia="Arial" w:cs="Arial"/>
          <w:b w:val="1"/>
          <w:bCs w:val="1"/>
          <w:noProof w:val="0"/>
          <w:color w:val="auto"/>
          <w:sz w:val="28"/>
          <w:szCs w:val="28"/>
          <w:lang w:val="en-GB"/>
        </w:rPr>
        <w:t xml:space="preserve"> Fibre Neuropathy: A Growing Challenge in Health and Social Care</w:t>
      </w:r>
    </w:p>
    <w:p w:rsidR="00BC2CF1" w:rsidP="00BC2CF1" w:rsidRDefault="00BC2CF1" w14:paraId="38E2FB40" w14:textId="13E00CA2">
      <w:pPr>
        <w:pStyle w:val="Heading4"/>
        <w:spacing w:before="319" w:beforeAutospacing="off" w:after="319" w:afterAutospacing="off" w:line="360" w:lineRule="auto"/>
        <w:jc w:val="both"/>
        <w:rPr>
          <w:rFonts w:ascii="Arial" w:hAnsi="Arial" w:eastAsia="Arial" w:cs="Arial"/>
          <w:b w:val="1"/>
          <w:bCs w:val="1"/>
          <w:i w:val="0"/>
          <w:iCs w:val="0"/>
          <w:noProof w:val="0"/>
          <w:color w:val="auto"/>
          <w:sz w:val="28"/>
          <w:szCs w:val="28"/>
          <w:lang w:val="en-GB"/>
        </w:rPr>
      </w:pPr>
    </w:p>
    <w:p w:rsidR="3FEF2B18" w:rsidP="00BC2CF1" w:rsidRDefault="3FEF2B18" w14:paraId="158CA962" w14:textId="102483AB">
      <w:pPr>
        <w:pStyle w:val="Heading4"/>
        <w:spacing w:before="319" w:beforeAutospacing="off" w:after="319" w:afterAutospacing="off" w:line="360" w:lineRule="auto"/>
        <w:jc w:val="both"/>
        <w:rPr>
          <w:rFonts w:ascii="Arial" w:hAnsi="Arial" w:eastAsia="Arial" w:cs="Arial"/>
          <w:b w:val="1"/>
          <w:bCs w:val="1"/>
          <w:i w:val="0"/>
          <w:iCs w:val="0"/>
          <w:noProof w:val="0"/>
          <w:color w:val="auto"/>
          <w:sz w:val="28"/>
          <w:szCs w:val="28"/>
          <w:lang w:val="en-GB"/>
        </w:rPr>
      </w:pPr>
      <w:r w:rsidRPr="00BC2CF1" w:rsidR="3FEF2B18">
        <w:rPr>
          <w:rFonts w:ascii="Arial" w:hAnsi="Arial" w:eastAsia="Arial" w:cs="Arial"/>
          <w:b w:val="1"/>
          <w:bCs w:val="1"/>
          <w:i w:val="0"/>
          <w:iCs w:val="0"/>
          <w:noProof w:val="0"/>
          <w:color w:val="auto"/>
          <w:sz w:val="28"/>
          <w:szCs w:val="28"/>
          <w:lang w:val="en-GB"/>
        </w:rPr>
        <w:t>I</w:t>
      </w:r>
      <w:r w:rsidRPr="00BC2CF1" w:rsidR="3FEF2B18">
        <w:rPr>
          <w:rFonts w:ascii="Arial" w:hAnsi="Arial" w:eastAsia="Arial" w:cs="Arial"/>
          <w:b w:val="1"/>
          <w:bCs w:val="1"/>
          <w:i w:val="0"/>
          <w:iCs w:val="0"/>
          <w:noProof w:val="0"/>
          <w:color w:val="auto"/>
          <w:sz w:val="28"/>
          <w:szCs w:val="28"/>
          <w:lang w:val="en-GB"/>
        </w:rPr>
        <w:t>ntroduction</w:t>
      </w:r>
    </w:p>
    <w:p w:rsidR="0B434B3C" w:rsidP="00BC2CF1" w:rsidRDefault="0B434B3C" w14:paraId="37FCF9AC" w14:textId="26756DE1">
      <w:pPr>
        <w:pStyle w:val="Normal"/>
        <w:spacing w:line="360" w:lineRule="auto"/>
        <w:rPr>
          <w:rFonts w:ascii="Arial" w:hAnsi="Arial" w:eastAsia="Arial" w:cs="Arial"/>
          <w:noProof w:val="0"/>
          <w:sz w:val="22"/>
          <w:szCs w:val="22"/>
          <w:lang w:val="en-GB"/>
        </w:rPr>
      </w:pPr>
      <w:r w:rsidRPr="00BC2CF1" w:rsidR="0B434B3C">
        <w:rPr>
          <w:rFonts w:ascii="Arial" w:hAnsi="Arial" w:eastAsia="Arial" w:cs="Arial"/>
          <w:noProof w:val="0"/>
          <w:sz w:val="22"/>
          <w:szCs w:val="22"/>
          <w:lang w:val="en-GB"/>
        </w:rPr>
        <w:t xml:space="preserve">Small Fibre Neuropathy (SFN), a neurological condition that is increasingly being recognised, manifests as significant pain, sensory abnormalities, and autonomic dysfunction. It primarily affects certain autonomic functions, as well as the tiny unmyelinated C fibres and thinly myelinated </w:t>
      </w:r>
      <w:r w:rsidRPr="00BC2CF1" w:rsidR="0B434B3C">
        <w:rPr>
          <w:rFonts w:ascii="Arial" w:hAnsi="Arial" w:eastAsia="Arial" w:cs="Arial"/>
          <w:noProof w:val="0"/>
          <w:sz w:val="22"/>
          <w:szCs w:val="22"/>
          <w:lang w:val="en-GB"/>
        </w:rPr>
        <w:t>Aδ</w:t>
      </w:r>
      <w:r w:rsidRPr="00BC2CF1" w:rsidR="0B434B3C">
        <w:rPr>
          <w:rFonts w:ascii="Arial" w:hAnsi="Arial" w:eastAsia="Arial" w:cs="Arial"/>
          <w:noProof w:val="0"/>
          <w:sz w:val="22"/>
          <w:szCs w:val="22"/>
          <w:lang w:val="en-GB"/>
        </w:rPr>
        <w:t xml:space="preserve"> axons that sense temperature and pain (</w:t>
      </w:r>
      <w:r w:rsidRPr="00BC2CF1" w:rsidR="0B434B3C">
        <w:rPr>
          <w:rFonts w:ascii="Arial" w:hAnsi="Arial" w:eastAsia="Arial" w:cs="Arial"/>
          <w:noProof w:val="0"/>
          <w:sz w:val="22"/>
          <w:szCs w:val="22"/>
          <w:lang w:val="en-GB"/>
        </w:rPr>
        <w:t>Üçeyler</w:t>
      </w:r>
      <w:r w:rsidRPr="00BC2CF1" w:rsidR="0B434B3C">
        <w:rPr>
          <w:rFonts w:ascii="Arial" w:hAnsi="Arial" w:eastAsia="Arial" w:cs="Arial"/>
          <w:noProof w:val="0"/>
          <w:sz w:val="22"/>
          <w:szCs w:val="22"/>
          <w:lang w:val="en-GB"/>
        </w:rPr>
        <w:t xml:space="preserve"> &amp; Sommer, 2018). SFN often goes undiagnosed despite its impact on patients' quality of life due to its mild presentation and limitations in traditional nerve conduction investigations (</w:t>
      </w:r>
      <w:r w:rsidRPr="00BC2CF1" w:rsidR="0B434B3C">
        <w:rPr>
          <w:rFonts w:ascii="Arial" w:hAnsi="Arial" w:eastAsia="Arial" w:cs="Arial"/>
          <w:noProof w:val="0"/>
          <w:sz w:val="22"/>
          <w:szCs w:val="22"/>
          <w:lang w:val="en-GB"/>
        </w:rPr>
        <w:t>Oaklander</w:t>
      </w:r>
      <w:r w:rsidRPr="00BC2CF1" w:rsidR="0B434B3C">
        <w:rPr>
          <w:rFonts w:ascii="Arial" w:hAnsi="Arial" w:eastAsia="Arial" w:cs="Arial"/>
          <w:noProof w:val="0"/>
          <w:sz w:val="22"/>
          <w:szCs w:val="22"/>
          <w:lang w:val="en-GB"/>
        </w:rPr>
        <w:t xml:space="preserve"> &amp; Klein, 2013). SFN is a developing issue that requires focused research in the domains of health and social care due to the rising prevalence of diabetes, autoimmune diseases, and idiopathic neuropathies (Selvarajah &amp; Tesfaye, 2012).</w:t>
      </w:r>
      <w:r w:rsidRPr="00BC2CF1" w:rsidR="0D55D7EC">
        <w:rPr>
          <w:rFonts w:ascii="Arial" w:hAnsi="Arial" w:eastAsia="Arial" w:cs="Arial"/>
          <w:noProof w:val="0"/>
          <w:sz w:val="22"/>
          <w:szCs w:val="22"/>
          <w:lang w:val="en-GB"/>
        </w:rPr>
        <w:t xml:space="preserve"> This study aims to explore the diagnostic challenges, clinical implications, and management strategies associated with SFN </w:t>
      </w:r>
      <w:r w:rsidRPr="00BC2CF1" w:rsidR="0D55D7EC">
        <w:rPr>
          <w:rFonts w:ascii="Arial" w:hAnsi="Arial" w:eastAsia="Arial" w:cs="Arial"/>
          <w:noProof w:val="0"/>
          <w:sz w:val="22"/>
          <w:szCs w:val="22"/>
          <w:lang w:val="en-GB"/>
        </w:rPr>
        <w:t>to</w:t>
      </w:r>
      <w:r w:rsidRPr="00BC2CF1" w:rsidR="0D55D7EC">
        <w:rPr>
          <w:rFonts w:ascii="Arial" w:hAnsi="Arial" w:eastAsia="Arial" w:cs="Arial"/>
          <w:noProof w:val="0"/>
          <w:sz w:val="22"/>
          <w:szCs w:val="22"/>
          <w:lang w:val="en-GB"/>
        </w:rPr>
        <w:t xml:space="preserve"> enhance patient outcomes and healthcare practices.</w:t>
      </w:r>
    </w:p>
    <w:p w:rsidR="355AA799" w:rsidP="00BC2CF1" w:rsidRDefault="355AA799" w14:paraId="02AD226C" w14:textId="302E0F2B">
      <w:pPr>
        <w:pStyle w:val="Heading4"/>
        <w:spacing w:before="319" w:beforeAutospacing="off" w:after="319" w:afterAutospacing="off" w:line="360" w:lineRule="auto"/>
        <w:jc w:val="both"/>
        <w:rPr>
          <w:rFonts w:ascii="Arial" w:hAnsi="Arial" w:eastAsia="Arial" w:cs="Arial"/>
          <w:b w:val="1"/>
          <w:bCs w:val="1"/>
          <w:i w:val="0"/>
          <w:iCs w:val="0"/>
          <w:noProof w:val="0"/>
          <w:color w:val="auto"/>
          <w:sz w:val="28"/>
          <w:szCs w:val="28"/>
          <w:lang w:val="en-GB"/>
        </w:rPr>
      </w:pPr>
      <w:r w:rsidRPr="00BC2CF1" w:rsidR="355AA799">
        <w:rPr>
          <w:rFonts w:ascii="Arial" w:hAnsi="Arial" w:eastAsia="Arial" w:cs="Arial"/>
          <w:b w:val="1"/>
          <w:bCs w:val="1"/>
          <w:i w:val="0"/>
          <w:iCs w:val="0"/>
          <w:noProof w:val="0"/>
          <w:color w:val="auto"/>
          <w:sz w:val="28"/>
          <w:szCs w:val="28"/>
          <w:lang w:val="en-GB"/>
        </w:rPr>
        <w:t>The Issue and Who It Affects</w:t>
      </w:r>
    </w:p>
    <w:p w:rsidR="745A0862" w:rsidP="00BC2CF1" w:rsidRDefault="745A0862" w14:paraId="1755C287" w14:textId="553076E5">
      <w:pPr>
        <w:pStyle w:val="Normal"/>
        <w:spacing w:line="360" w:lineRule="auto"/>
        <w:rPr>
          <w:rFonts w:ascii="Arial" w:hAnsi="Arial" w:eastAsia="Arial" w:cs="Arial"/>
          <w:noProof w:val="0"/>
          <w:sz w:val="22"/>
          <w:szCs w:val="22"/>
          <w:lang w:val="en-GB"/>
        </w:rPr>
      </w:pPr>
      <w:r w:rsidRPr="00BC2CF1" w:rsidR="745A0862">
        <w:rPr>
          <w:rFonts w:ascii="Arial" w:hAnsi="Arial" w:eastAsia="Arial" w:cs="Arial"/>
          <w:noProof w:val="0"/>
          <w:sz w:val="22"/>
          <w:szCs w:val="22"/>
          <w:lang w:val="en-GB"/>
        </w:rPr>
        <w:t xml:space="preserve">SFN affects people of all ages, but it is more common in adults with chronic conditions like diabetes, autoimmune diseases, sarcoidosis, or infections like HIV and hepatitis C (Lauria, </w:t>
      </w:r>
      <w:r w:rsidRPr="00BC2CF1" w:rsidR="745A0862">
        <w:rPr>
          <w:rFonts w:ascii="Arial" w:hAnsi="Arial" w:eastAsia="Arial" w:cs="Arial"/>
          <w:noProof w:val="0"/>
          <w:sz w:val="22"/>
          <w:szCs w:val="22"/>
          <w:lang w:val="en-GB"/>
        </w:rPr>
        <w:t>Merkies</w:t>
      </w:r>
      <w:r w:rsidRPr="00BC2CF1" w:rsidR="745A0862">
        <w:rPr>
          <w:rFonts w:ascii="Arial" w:hAnsi="Arial" w:eastAsia="Arial" w:cs="Arial"/>
          <w:noProof w:val="0"/>
          <w:sz w:val="22"/>
          <w:szCs w:val="22"/>
          <w:lang w:val="en-GB"/>
        </w:rPr>
        <w:t xml:space="preserve"> &amp; Faber, 2012). Additionally, it may develop idiopathically, which complicates diagnosis because the cause is unknown. Symptoms that typically begin in the hands and feet include burning pain, numbness, tingling, or sensations like electric shocks. Patients </w:t>
      </w:r>
      <w:r w:rsidRPr="00BC2CF1" w:rsidR="745A0862">
        <w:rPr>
          <w:rFonts w:ascii="Arial" w:hAnsi="Arial" w:eastAsia="Arial" w:cs="Arial"/>
          <w:noProof w:val="0"/>
          <w:sz w:val="22"/>
          <w:szCs w:val="22"/>
          <w:lang w:val="en-GB"/>
        </w:rPr>
        <w:t>frequently</w:t>
      </w:r>
      <w:r w:rsidRPr="00BC2CF1" w:rsidR="745A0862">
        <w:rPr>
          <w:rFonts w:ascii="Arial" w:hAnsi="Arial" w:eastAsia="Arial" w:cs="Arial"/>
          <w:noProof w:val="0"/>
          <w:sz w:val="22"/>
          <w:szCs w:val="22"/>
          <w:lang w:val="en-GB"/>
        </w:rPr>
        <w:t xml:space="preserve"> experience autonomic dysfunction, which presents as abnormal sweating, irregular heartbeats, and gastrointestinal issues (</w:t>
      </w:r>
      <w:r w:rsidRPr="00BC2CF1" w:rsidR="745A0862">
        <w:rPr>
          <w:rFonts w:ascii="Arial" w:hAnsi="Arial" w:eastAsia="Arial" w:cs="Arial"/>
          <w:noProof w:val="0"/>
          <w:sz w:val="22"/>
          <w:szCs w:val="22"/>
          <w:lang w:val="en-GB"/>
        </w:rPr>
        <w:t>Üçeyler</w:t>
      </w:r>
      <w:r w:rsidRPr="00BC2CF1" w:rsidR="745A0862">
        <w:rPr>
          <w:rFonts w:ascii="Arial" w:hAnsi="Arial" w:eastAsia="Arial" w:cs="Arial"/>
          <w:noProof w:val="0"/>
          <w:sz w:val="22"/>
          <w:szCs w:val="22"/>
          <w:lang w:val="en-GB"/>
        </w:rPr>
        <w:t xml:space="preserve"> &amp; Sommer, 2018).</w:t>
      </w:r>
      <w:r w:rsidRPr="00BC2CF1" w:rsidR="0D02A021">
        <w:rPr>
          <w:rFonts w:ascii="Arial" w:hAnsi="Arial" w:eastAsia="Arial" w:cs="Arial"/>
          <w:noProof w:val="0"/>
          <w:sz w:val="22"/>
          <w:szCs w:val="22"/>
          <w:lang w:val="en-GB"/>
        </w:rPr>
        <w:t xml:space="preserve"> </w:t>
      </w:r>
    </w:p>
    <w:p w:rsidR="0D02A021" w:rsidP="00BC2CF1" w:rsidRDefault="0D02A021" w14:paraId="25EF608C" w14:textId="30ED1A60">
      <w:pPr>
        <w:pStyle w:val="Normal"/>
        <w:spacing w:line="360" w:lineRule="auto"/>
        <w:rPr>
          <w:rFonts w:ascii="Arial" w:hAnsi="Arial" w:eastAsia="Arial" w:cs="Arial"/>
          <w:noProof w:val="0"/>
          <w:sz w:val="22"/>
          <w:szCs w:val="22"/>
          <w:lang w:val="en-GB"/>
        </w:rPr>
      </w:pPr>
      <w:r w:rsidRPr="00BC2CF1" w:rsidR="0D02A021">
        <w:rPr>
          <w:rFonts w:ascii="Arial" w:hAnsi="Arial" w:eastAsia="Arial" w:cs="Arial"/>
          <w:noProof w:val="0"/>
          <w:sz w:val="22"/>
          <w:szCs w:val="22"/>
          <w:lang w:val="en-GB"/>
        </w:rPr>
        <w:t>The effects of SFN are not limited to physical discomfort. Persistent symptoms and uncertainty about a diagnosis often lead to anxiety, depression, and sleep disturbances (</w:t>
      </w:r>
      <w:r w:rsidRPr="00BC2CF1" w:rsidR="0D02A021">
        <w:rPr>
          <w:rFonts w:ascii="Arial" w:hAnsi="Arial" w:eastAsia="Arial" w:cs="Arial"/>
          <w:noProof w:val="0"/>
          <w:sz w:val="22"/>
          <w:szCs w:val="22"/>
          <w:lang w:val="en-GB"/>
        </w:rPr>
        <w:t>Oaklander</w:t>
      </w:r>
      <w:r w:rsidRPr="00BC2CF1" w:rsidR="0D02A021">
        <w:rPr>
          <w:rFonts w:ascii="Arial" w:hAnsi="Arial" w:eastAsia="Arial" w:cs="Arial"/>
          <w:noProof w:val="0"/>
          <w:sz w:val="22"/>
          <w:szCs w:val="22"/>
          <w:lang w:val="en-GB"/>
        </w:rPr>
        <w:t xml:space="preserve"> &amp; Klein, 2013). These disorders impair social interaction, quality of life, and the ability to work or perform daily tasks. Because standard nerve conduction tests </w:t>
      </w:r>
      <w:r w:rsidRPr="00BC2CF1" w:rsidR="0D02A021">
        <w:rPr>
          <w:rFonts w:ascii="Arial" w:hAnsi="Arial" w:eastAsia="Arial" w:cs="Arial"/>
          <w:noProof w:val="0"/>
          <w:sz w:val="22"/>
          <w:szCs w:val="22"/>
          <w:lang w:val="en-GB"/>
        </w:rPr>
        <w:t>frequently</w:t>
      </w:r>
      <w:r w:rsidRPr="00BC2CF1" w:rsidR="0D02A021">
        <w:rPr>
          <w:rFonts w:ascii="Arial" w:hAnsi="Arial" w:eastAsia="Arial" w:cs="Arial"/>
          <w:noProof w:val="0"/>
          <w:sz w:val="22"/>
          <w:szCs w:val="22"/>
          <w:lang w:val="en-GB"/>
        </w:rPr>
        <w:t xml:space="preserve"> yield normal results, SFN is often misdiagnosed, delaying treatment and frustrating patients (</w:t>
      </w:r>
      <w:r w:rsidRPr="00BC2CF1" w:rsidR="0D02A021">
        <w:rPr>
          <w:rFonts w:ascii="Arial" w:hAnsi="Arial" w:eastAsia="Arial" w:cs="Arial"/>
          <w:noProof w:val="0"/>
          <w:sz w:val="22"/>
          <w:szCs w:val="22"/>
          <w:lang w:val="en-GB"/>
        </w:rPr>
        <w:t>Devigili</w:t>
      </w:r>
      <w:r w:rsidRPr="00BC2CF1" w:rsidR="0D02A021">
        <w:rPr>
          <w:rFonts w:ascii="Arial" w:hAnsi="Arial" w:eastAsia="Arial" w:cs="Arial"/>
          <w:noProof w:val="0"/>
          <w:sz w:val="22"/>
          <w:szCs w:val="22"/>
          <w:lang w:val="en-GB"/>
        </w:rPr>
        <w:t xml:space="preserve"> et al., 2019).</w:t>
      </w:r>
    </w:p>
    <w:p w:rsidR="0D02A021" w:rsidP="00BC2CF1" w:rsidRDefault="0D02A021" w14:paraId="3EACE2AC" w14:textId="65794D01">
      <w:pPr>
        <w:pStyle w:val="Normal"/>
        <w:spacing w:line="360" w:lineRule="auto"/>
        <w:rPr>
          <w:rFonts w:ascii="Arial" w:hAnsi="Arial" w:eastAsia="Arial" w:cs="Arial"/>
          <w:noProof w:val="0"/>
          <w:sz w:val="22"/>
          <w:szCs w:val="22"/>
          <w:lang w:val="en-GB"/>
        </w:rPr>
      </w:pPr>
      <w:r w:rsidRPr="00BC2CF1" w:rsidR="0D02A021">
        <w:rPr>
          <w:rFonts w:ascii="Arial" w:hAnsi="Arial" w:eastAsia="Arial" w:cs="Arial"/>
          <w:noProof w:val="0"/>
          <w:sz w:val="22"/>
          <w:szCs w:val="22"/>
          <w:lang w:val="en-GB"/>
        </w:rPr>
        <w:t>SFN increases healthcare costs because of unnecessary testing, ineffective treatments, and frequent consultations. Patients with severe symptoms who require long-term care, disability benefits, or living space modifications may put additional strain on social care systems (Lauria, Merkies &amp; Faber, 2012). Because of this, SFN is a medical and socioeconomic problem that requires social care and health services to work together.</w:t>
      </w:r>
    </w:p>
    <w:p w:rsidR="320FF947" w:rsidP="00BC2CF1" w:rsidRDefault="320FF947" w14:paraId="1A003198" w14:textId="11AC704F">
      <w:pPr>
        <w:pStyle w:val="Normal"/>
        <w:spacing w:line="360" w:lineRule="auto"/>
        <w:jc w:val="both"/>
        <w:rPr>
          <w:rFonts w:ascii="Arial" w:hAnsi="Arial" w:eastAsia="Arial" w:cs="Arial"/>
          <w:b w:val="1"/>
          <w:bCs w:val="1"/>
          <w:noProof w:val="0"/>
          <w:sz w:val="28"/>
          <w:szCs w:val="28"/>
          <w:lang w:val="en-GB"/>
        </w:rPr>
      </w:pPr>
      <w:r w:rsidRPr="00BC2CF1" w:rsidR="320FF947">
        <w:rPr>
          <w:rFonts w:ascii="Arial" w:hAnsi="Arial" w:eastAsia="Arial" w:cs="Arial"/>
          <w:b w:val="1"/>
          <w:bCs w:val="1"/>
          <w:noProof w:val="0"/>
          <w:sz w:val="28"/>
          <w:szCs w:val="28"/>
          <w:lang w:val="en-GB"/>
        </w:rPr>
        <w:t>Justification for Research</w:t>
      </w:r>
    </w:p>
    <w:p w:rsidR="01FF38D1" w:rsidP="00BC2CF1" w:rsidRDefault="01FF38D1" w14:paraId="37677942" w14:textId="103D7C1A">
      <w:pPr>
        <w:pStyle w:val="Normal"/>
        <w:spacing w:line="360" w:lineRule="auto"/>
        <w:jc w:val="both"/>
        <w:rPr>
          <w:rFonts w:ascii="Arial" w:hAnsi="Arial" w:eastAsia="Arial" w:cs="Arial"/>
          <w:noProof w:val="0"/>
          <w:sz w:val="22"/>
          <w:szCs w:val="22"/>
          <w:lang w:val="en-GB"/>
        </w:rPr>
      </w:pPr>
      <w:r w:rsidRPr="00BC2CF1" w:rsidR="01FF38D1">
        <w:rPr>
          <w:rFonts w:ascii="Arial" w:hAnsi="Arial" w:eastAsia="Arial" w:cs="Arial"/>
          <w:noProof w:val="0"/>
          <w:sz w:val="22"/>
          <w:szCs w:val="22"/>
          <w:lang w:val="en-GB"/>
        </w:rPr>
        <w:t xml:space="preserve">SFN needs more study for several reasons. First, the true prevalence of SFN is </w:t>
      </w:r>
      <w:r w:rsidRPr="00BC2CF1" w:rsidR="01FF38D1">
        <w:rPr>
          <w:rFonts w:ascii="Arial" w:hAnsi="Arial" w:eastAsia="Arial" w:cs="Arial"/>
          <w:noProof w:val="0"/>
          <w:sz w:val="22"/>
          <w:szCs w:val="22"/>
          <w:lang w:val="en-GB"/>
        </w:rPr>
        <w:t>likely underestimated</w:t>
      </w:r>
      <w:r w:rsidRPr="00BC2CF1" w:rsidR="01FF38D1">
        <w:rPr>
          <w:rFonts w:ascii="Arial" w:hAnsi="Arial" w:eastAsia="Arial" w:cs="Arial"/>
          <w:noProof w:val="0"/>
          <w:sz w:val="22"/>
          <w:szCs w:val="22"/>
          <w:lang w:val="en-GB"/>
        </w:rPr>
        <w:t xml:space="preserve"> due to diagnostic constraints. Studies show that many people with unexplained chronic pain may </w:t>
      </w:r>
      <w:r w:rsidRPr="00BC2CF1" w:rsidR="048CD8C7">
        <w:rPr>
          <w:rFonts w:ascii="Arial" w:hAnsi="Arial" w:eastAsia="Arial" w:cs="Arial"/>
          <w:noProof w:val="0"/>
          <w:sz w:val="22"/>
          <w:szCs w:val="22"/>
          <w:lang w:val="en-GB"/>
        </w:rPr>
        <w:t>have</w:t>
      </w:r>
      <w:r w:rsidRPr="00BC2CF1" w:rsidR="01FF38D1">
        <w:rPr>
          <w:rFonts w:ascii="Arial" w:hAnsi="Arial" w:eastAsia="Arial" w:cs="Arial"/>
          <w:noProof w:val="0"/>
          <w:sz w:val="22"/>
          <w:szCs w:val="22"/>
          <w:lang w:val="en-GB"/>
        </w:rPr>
        <w:t xml:space="preserve"> undiagnosed SFN (</w:t>
      </w:r>
      <w:r w:rsidRPr="00BC2CF1" w:rsidR="01FF38D1">
        <w:rPr>
          <w:rFonts w:ascii="Arial" w:hAnsi="Arial" w:eastAsia="Arial" w:cs="Arial"/>
          <w:noProof w:val="0"/>
          <w:sz w:val="22"/>
          <w:szCs w:val="22"/>
          <w:lang w:val="en-GB"/>
        </w:rPr>
        <w:t>Oaklander</w:t>
      </w:r>
      <w:r w:rsidRPr="00BC2CF1" w:rsidR="01FF38D1">
        <w:rPr>
          <w:rFonts w:ascii="Arial" w:hAnsi="Arial" w:eastAsia="Arial" w:cs="Arial"/>
          <w:noProof w:val="0"/>
          <w:sz w:val="22"/>
          <w:szCs w:val="22"/>
          <w:lang w:val="en-GB"/>
        </w:rPr>
        <w:t xml:space="preserve"> &amp; Klein, 2013). Promoting early diagnosis and preventing complications could be achieved by increasing awareness and developing readily available screening tools.</w:t>
      </w:r>
    </w:p>
    <w:p w:rsidR="01FF38D1" w:rsidP="00BC2CF1" w:rsidRDefault="01FF38D1" w14:paraId="174B308E" w14:textId="1A7BE6E3">
      <w:pPr>
        <w:pStyle w:val="Normal"/>
        <w:spacing w:line="360" w:lineRule="auto"/>
        <w:jc w:val="both"/>
        <w:rPr>
          <w:rFonts w:ascii="Arial" w:hAnsi="Arial" w:eastAsia="Arial" w:cs="Arial"/>
          <w:noProof w:val="0"/>
          <w:sz w:val="22"/>
          <w:szCs w:val="22"/>
          <w:lang w:val="en-GB"/>
        </w:rPr>
      </w:pPr>
      <w:r w:rsidRPr="00BC2CF1" w:rsidR="01FF38D1">
        <w:rPr>
          <w:rFonts w:ascii="Arial" w:hAnsi="Arial" w:eastAsia="Arial" w:cs="Arial"/>
          <w:noProof w:val="0"/>
          <w:sz w:val="22"/>
          <w:szCs w:val="22"/>
          <w:lang w:val="en-GB"/>
        </w:rPr>
        <w:t xml:space="preserve">Second, there are significant differences in diagnosis techniques between healthcare settings. Not everyone has access to the gold-standard methods for </w:t>
      </w:r>
      <w:r w:rsidRPr="00BC2CF1" w:rsidR="01FF38D1">
        <w:rPr>
          <w:rFonts w:ascii="Arial" w:hAnsi="Arial" w:eastAsia="Arial" w:cs="Arial"/>
          <w:noProof w:val="0"/>
          <w:sz w:val="22"/>
          <w:szCs w:val="22"/>
          <w:lang w:val="en-GB"/>
        </w:rPr>
        <w:t>determining</w:t>
      </w:r>
      <w:r w:rsidRPr="00BC2CF1" w:rsidR="01FF38D1">
        <w:rPr>
          <w:rFonts w:ascii="Arial" w:hAnsi="Arial" w:eastAsia="Arial" w:cs="Arial"/>
          <w:noProof w:val="0"/>
          <w:sz w:val="22"/>
          <w:szCs w:val="22"/>
          <w:lang w:val="en-GB"/>
        </w:rPr>
        <w:t xml:space="preserve"> intraepidermal nerve fibre density, such as skin biopsies and quantitative sensory testing (</w:t>
      </w:r>
      <w:r w:rsidRPr="00BC2CF1" w:rsidR="01FF38D1">
        <w:rPr>
          <w:rFonts w:ascii="Arial" w:hAnsi="Arial" w:eastAsia="Arial" w:cs="Arial"/>
          <w:noProof w:val="0"/>
          <w:sz w:val="22"/>
          <w:szCs w:val="22"/>
          <w:lang w:val="en-GB"/>
        </w:rPr>
        <w:t>Devigili</w:t>
      </w:r>
      <w:r w:rsidRPr="00BC2CF1" w:rsidR="01FF38D1">
        <w:rPr>
          <w:rFonts w:ascii="Arial" w:hAnsi="Arial" w:eastAsia="Arial" w:cs="Arial"/>
          <w:noProof w:val="0"/>
          <w:sz w:val="22"/>
          <w:szCs w:val="22"/>
          <w:lang w:val="en-GB"/>
        </w:rPr>
        <w:t xml:space="preserve"> et al., 2019). This inconsistency leads to unequal access to care and delays in diagnosis. Research is needed to </w:t>
      </w:r>
      <w:r w:rsidRPr="00BC2CF1" w:rsidR="01FF38D1">
        <w:rPr>
          <w:rFonts w:ascii="Arial" w:hAnsi="Arial" w:eastAsia="Arial" w:cs="Arial"/>
          <w:noProof w:val="0"/>
          <w:sz w:val="22"/>
          <w:szCs w:val="22"/>
          <w:lang w:val="en-GB"/>
        </w:rPr>
        <w:t>determine</w:t>
      </w:r>
      <w:r w:rsidRPr="00BC2CF1" w:rsidR="01FF38D1">
        <w:rPr>
          <w:rFonts w:ascii="Arial" w:hAnsi="Arial" w:eastAsia="Arial" w:cs="Arial"/>
          <w:noProof w:val="0"/>
          <w:sz w:val="22"/>
          <w:szCs w:val="22"/>
          <w:lang w:val="en-GB"/>
        </w:rPr>
        <w:t xml:space="preserve"> the cost-effectiveness of these tests and develop standardised diagnostic pathways to improve consistency and equity in healthcare delivery.</w:t>
      </w:r>
    </w:p>
    <w:p w:rsidR="3E78DD28" w:rsidP="00BC2CF1" w:rsidRDefault="3E78DD28" w14:paraId="070AA00C" w14:textId="799E6991">
      <w:pPr>
        <w:pStyle w:val="Normal"/>
        <w:spacing w:line="360" w:lineRule="auto"/>
        <w:jc w:val="both"/>
        <w:rPr>
          <w:rFonts w:ascii="Arial" w:hAnsi="Arial" w:eastAsia="Arial" w:cs="Arial"/>
          <w:noProof w:val="0"/>
          <w:sz w:val="22"/>
          <w:szCs w:val="22"/>
          <w:lang w:val="en-GB"/>
        </w:rPr>
      </w:pPr>
      <w:r w:rsidRPr="00BC2CF1" w:rsidR="3E78DD28">
        <w:rPr>
          <w:rFonts w:ascii="Arial" w:hAnsi="Arial" w:eastAsia="Arial" w:cs="Arial"/>
          <w:noProof w:val="0"/>
          <w:sz w:val="22"/>
          <w:szCs w:val="22"/>
          <w:lang w:val="en-GB"/>
        </w:rPr>
        <w:t xml:space="preserve">Thirdly, there </w:t>
      </w:r>
      <w:r w:rsidRPr="00BC2CF1" w:rsidR="3E78DD28">
        <w:rPr>
          <w:rFonts w:ascii="Arial" w:hAnsi="Arial" w:eastAsia="Arial" w:cs="Arial"/>
          <w:noProof w:val="0"/>
          <w:sz w:val="22"/>
          <w:szCs w:val="22"/>
          <w:lang w:val="en-GB"/>
        </w:rPr>
        <w:t>aren't</w:t>
      </w:r>
      <w:r w:rsidRPr="00BC2CF1" w:rsidR="3E78DD28">
        <w:rPr>
          <w:rFonts w:ascii="Arial" w:hAnsi="Arial" w:eastAsia="Arial" w:cs="Arial"/>
          <w:noProof w:val="0"/>
          <w:sz w:val="22"/>
          <w:szCs w:val="22"/>
          <w:lang w:val="en-GB"/>
        </w:rPr>
        <w:t xml:space="preserve"> many options for treatment, and </w:t>
      </w:r>
      <w:bookmarkStart w:name="_Int_I1ANQuWv" w:id="1260214030"/>
      <w:r w:rsidRPr="00BC2CF1" w:rsidR="3E78DD28">
        <w:rPr>
          <w:rFonts w:ascii="Arial" w:hAnsi="Arial" w:eastAsia="Arial" w:cs="Arial"/>
          <w:noProof w:val="0"/>
          <w:sz w:val="22"/>
          <w:szCs w:val="22"/>
          <w:lang w:val="en-GB"/>
        </w:rPr>
        <w:t>the majority of</w:t>
      </w:r>
      <w:bookmarkEnd w:id="1260214030"/>
      <w:r w:rsidRPr="00BC2CF1" w:rsidR="3E78DD28">
        <w:rPr>
          <w:rFonts w:ascii="Arial" w:hAnsi="Arial" w:eastAsia="Arial" w:cs="Arial"/>
          <w:noProof w:val="0"/>
          <w:sz w:val="22"/>
          <w:szCs w:val="22"/>
          <w:lang w:val="en-GB"/>
        </w:rPr>
        <w:t xml:space="preserve"> them focus more on symptom management than underlying causes. Two examples of drugs that often result in side effects and only partial relief are antidepressants and anticonvulsants (</w:t>
      </w:r>
      <w:r w:rsidRPr="00BC2CF1" w:rsidR="3E78DD28">
        <w:rPr>
          <w:rFonts w:ascii="Arial" w:hAnsi="Arial" w:eastAsia="Arial" w:cs="Arial"/>
          <w:noProof w:val="0"/>
          <w:sz w:val="22"/>
          <w:szCs w:val="22"/>
          <w:lang w:val="en-GB"/>
        </w:rPr>
        <w:t>Üçeyler</w:t>
      </w:r>
      <w:r w:rsidRPr="00BC2CF1" w:rsidR="3E78DD28">
        <w:rPr>
          <w:rFonts w:ascii="Arial" w:hAnsi="Arial" w:eastAsia="Arial" w:cs="Arial"/>
          <w:noProof w:val="0"/>
          <w:sz w:val="22"/>
          <w:szCs w:val="22"/>
          <w:lang w:val="en-GB"/>
        </w:rPr>
        <w:t xml:space="preserve"> &amp; Sommer, 2018). New integrative and disease-modifying treatments that may enhance results include physical therapy, lifestyle modifications, and psychological support (</w:t>
      </w:r>
      <w:r w:rsidRPr="00BC2CF1" w:rsidR="3E78DD28">
        <w:rPr>
          <w:rFonts w:ascii="Arial" w:hAnsi="Arial" w:eastAsia="Arial" w:cs="Arial"/>
          <w:noProof w:val="0"/>
          <w:sz w:val="22"/>
          <w:szCs w:val="22"/>
          <w:lang w:val="en-GB"/>
        </w:rPr>
        <w:t>Üçeyler</w:t>
      </w:r>
      <w:r w:rsidRPr="00BC2CF1" w:rsidR="3E78DD28">
        <w:rPr>
          <w:rFonts w:ascii="Arial" w:hAnsi="Arial" w:eastAsia="Arial" w:cs="Arial"/>
          <w:noProof w:val="0"/>
          <w:sz w:val="22"/>
          <w:szCs w:val="22"/>
          <w:lang w:val="en-GB"/>
        </w:rPr>
        <w:t xml:space="preserve"> &amp; Sommer, 2018). Further research on these models could improve clinical management and patient quality of life.</w:t>
      </w:r>
    </w:p>
    <w:p w:rsidR="4E991008" w:rsidP="00BC2CF1" w:rsidRDefault="4E991008" w14:paraId="6972DEA5" w14:textId="60995258">
      <w:pPr>
        <w:pStyle w:val="Normal"/>
        <w:spacing w:line="360" w:lineRule="auto"/>
        <w:jc w:val="both"/>
        <w:rPr>
          <w:rFonts w:ascii="Arial" w:hAnsi="Arial" w:eastAsia="Arial" w:cs="Arial"/>
          <w:noProof w:val="0"/>
          <w:sz w:val="22"/>
          <w:szCs w:val="22"/>
          <w:lang w:val="en-GB"/>
        </w:rPr>
      </w:pPr>
      <w:r w:rsidRPr="00BC2CF1" w:rsidR="4E991008">
        <w:rPr>
          <w:rFonts w:ascii="Arial" w:hAnsi="Arial" w:eastAsia="Arial" w:cs="Arial"/>
          <w:noProof w:val="0"/>
          <w:sz w:val="22"/>
          <w:szCs w:val="22"/>
          <w:lang w:val="en-GB"/>
        </w:rPr>
        <w:t xml:space="preserve">Finally, SFN affects not just health but also the social and economic domains. Chronic neuropathic pain </w:t>
      </w:r>
      <w:r w:rsidRPr="00BC2CF1" w:rsidR="4E991008">
        <w:rPr>
          <w:rFonts w:ascii="Arial" w:hAnsi="Arial" w:eastAsia="Arial" w:cs="Arial"/>
          <w:noProof w:val="0"/>
          <w:sz w:val="22"/>
          <w:szCs w:val="22"/>
          <w:lang w:val="en-GB"/>
        </w:rPr>
        <w:t>frequently</w:t>
      </w:r>
      <w:r w:rsidRPr="00BC2CF1" w:rsidR="4E991008">
        <w:rPr>
          <w:rFonts w:ascii="Arial" w:hAnsi="Arial" w:eastAsia="Arial" w:cs="Arial"/>
          <w:noProof w:val="0"/>
          <w:sz w:val="22"/>
          <w:szCs w:val="22"/>
          <w:lang w:val="en-GB"/>
        </w:rPr>
        <w:t xml:space="preserve"> makes a person more dependent on social services and restricts their capacity to work (Lauria, </w:t>
      </w:r>
      <w:r w:rsidRPr="00BC2CF1" w:rsidR="4E991008">
        <w:rPr>
          <w:rFonts w:ascii="Arial" w:hAnsi="Arial" w:eastAsia="Arial" w:cs="Arial"/>
          <w:noProof w:val="0"/>
          <w:sz w:val="22"/>
          <w:szCs w:val="22"/>
          <w:lang w:val="en-GB"/>
        </w:rPr>
        <w:t>Merkies</w:t>
      </w:r>
      <w:r w:rsidRPr="00BC2CF1" w:rsidR="4E991008">
        <w:rPr>
          <w:rFonts w:ascii="Arial" w:hAnsi="Arial" w:eastAsia="Arial" w:cs="Arial"/>
          <w:noProof w:val="0"/>
          <w:sz w:val="22"/>
          <w:szCs w:val="22"/>
          <w:lang w:val="en-GB"/>
        </w:rPr>
        <w:t xml:space="preserve"> &amp; Faber, 2012). Examining these wider effects may help develop interdisciplinary approaches that include medical, psychological, and social support. These studies could improve long-term care for affected individuals and help shape policy.</w:t>
      </w:r>
    </w:p>
    <w:p w:rsidR="00BC2CF1" w:rsidP="00BC2CF1" w:rsidRDefault="00BC2CF1" w14:paraId="0288B418" w14:textId="75701F83">
      <w:pPr>
        <w:pStyle w:val="Normal"/>
        <w:spacing w:line="360" w:lineRule="auto"/>
        <w:jc w:val="both"/>
        <w:rPr>
          <w:rFonts w:ascii="Arial" w:hAnsi="Arial" w:eastAsia="Arial" w:cs="Arial"/>
          <w:b w:val="1"/>
          <w:bCs w:val="1"/>
          <w:noProof w:val="0"/>
          <w:sz w:val="28"/>
          <w:szCs w:val="28"/>
          <w:lang w:val="en-GB"/>
        </w:rPr>
      </w:pPr>
    </w:p>
    <w:p w:rsidR="00BC2CF1" w:rsidP="00BC2CF1" w:rsidRDefault="00BC2CF1" w14:paraId="465AE67B" w14:textId="46BC0F34">
      <w:pPr>
        <w:pStyle w:val="Normal"/>
        <w:spacing w:line="360" w:lineRule="auto"/>
        <w:jc w:val="both"/>
        <w:rPr>
          <w:rFonts w:ascii="Arial" w:hAnsi="Arial" w:eastAsia="Arial" w:cs="Arial"/>
          <w:b w:val="1"/>
          <w:bCs w:val="1"/>
          <w:noProof w:val="0"/>
          <w:sz w:val="28"/>
          <w:szCs w:val="28"/>
          <w:lang w:val="en-GB"/>
        </w:rPr>
      </w:pPr>
    </w:p>
    <w:p w:rsidR="00BC2CF1" w:rsidP="00BC2CF1" w:rsidRDefault="00BC2CF1" w14:paraId="3D0572C1" w14:textId="22E45A12">
      <w:pPr>
        <w:pStyle w:val="Normal"/>
        <w:spacing w:line="360" w:lineRule="auto"/>
        <w:jc w:val="both"/>
        <w:rPr>
          <w:rFonts w:ascii="Arial" w:hAnsi="Arial" w:eastAsia="Arial" w:cs="Arial"/>
          <w:b w:val="1"/>
          <w:bCs w:val="1"/>
          <w:noProof w:val="0"/>
          <w:sz w:val="28"/>
          <w:szCs w:val="28"/>
          <w:lang w:val="en-GB"/>
        </w:rPr>
      </w:pPr>
    </w:p>
    <w:p w:rsidR="6C88EAEA" w:rsidP="00BC2CF1" w:rsidRDefault="6C88EAEA" w14:paraId="2F24FFC1" w14:textId="409A4D74">
      <w:pPr>
        <w:pStyle w:val="Normal"/>
        <w:spacing w:line="360" w:lineRule="auto"/>
        <w:jc w:val="both"/>
        <w:rPr>
          <w:rFonts w:ascii="Arial" w:hAnsi="Arial" w:eastAsia="Arial" w:cs="Arial"/>
          <w:b w:val="1"/>
          <w:bCs w:val="1"/>
          <w:noProof w:val="0"/>
          <w:sz w:val="28"/>
          <w:szCs w:val="28"/>
          <w:lang w:val="en-GB"/>
        </w:rPr>
      </w:pPr>
      <w:r w:rsidRPr="00BC2CF1" w:rsidR="6C88EAEA">
        <w:rPr>
          <w:rFonts w:ascii="Arial" w:hAnsi="Arial" w:eastAsia="Arial" w:cs="Arial"/>
          <w:b w:val="1"/>
          <w:bCs w:val="1"/>
          <w:noProof w:val="0"/>
          <w:sz w:val="28"/>
          <w:szCs w:val="28"/>
          <w:lang w:val="en-GB"/>
        </w:rPr>
        <w:t>Relevant Information Sources</w:t>
      </w:r>
    </w:p>
    <w:p w:rsidR="5FF3FF63" w:rsidP="00BC2CF1" w:rsidRDefault="5FF3FF63" w14:paraId="525E42AE" w14:textId="2A542F55">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 xml:space="preserve">1. </w:t>
      </w:r>
      <w:r w:rsidRPr="00BC2CF1" w:rsidR="5FF3FF63">
        <w:rPr>
          <w:rFonts w:ascii="Arial" w:hAnsi="Arial" w:eastAsia="Arial" w:cs="Arial"/>
          <w:b w:val="1"/>
          <w:bCs w:val="1"/>
          <w:noProof w:val="0"/>
          <w:sz w:val="22"/>
          <w:szCs w:val="22"/>
          <w:lang w:val="en-GB"/>
        </w:rPr>
        <w:t>Oaklander</w:t>
      </w:r>
      <w:r w:rsidRPr="00BC2CF1" w:rsidR="5FF3FF63">
        <w:rPr>
          <w:rFonts w:ascii="Arial" w:hAnsi="Arial" w:eastAsia="Arial" w:cs="Arial"/>
          <w:b w:val="1"/>
          <w:bCs w:val="1"/>
          <w:noProof w:val="0"/>
          <w:sz w:val="22"/>
          <w:szCs w:val="22"/>
          <w:lang w:val="en-GB"/>
        </w:rPr>
        <w:t>, A. L., &amp; Klein, M. M. (2013).</w:t>
      </w:r>
      <w:r w:rsidRPr="00BC2CF1" w:rsidR="5FF3FF63">
        <w:rPr>
          <w:rFonts w:ascii="Arial" w:hAnsi="Arial" w:eastAsia="Arial" w:cs="Arial"/>
          <w:noProof w:val="0"/>
          <w:sz w:val="22"/>
          <w:szCs w:val="22"/>
          <w:lang w:val="en-GB"/>
        </w:rPr>
        <w:t xml:space="preserve"> Evidence of small-</w:t>
      </w:r>
      <w:r w:rsidRPr="00BC2CF1" w:rsidR="5FF3FF63">
        <w:rPr>
          <w:rFonts w:ascii="Arial" w:hAnsi="Arial" w:eastAsia="Arial" w:cs="Arial"/>
          <w:noProof w:val="0"/>
          <w:sz w:val="22"/>
          <w:szCs w:val="22"/>
          <w:lang w:val="en-GB"/>
        </w:rPr>
        <w:t>fiber</w:t>
      </w:r>
      <w:r w:rsidRPr="00BC2CF1" w:rsidR="5FF3FF63">
        <w:rPr>
          <w:rFonts w:ascii="Arial" w:hAnsi="Arial" w:eastAsia="Arial" w:cs="Arial"/>
          <w:noProof w:val="0"/>
          <w:sz w:val="22"/>
          <w:szCs w:val="22"/>
          <w:lang w:val="en-GB"/>
        </w:rPr>
        <w:t xml:space="preserve"> polyneuropathy in unexplained, widespread chronic pain. </w:t>
      </w:r>
      <w:r w:rsidRPr="00BC2CF1" w:rsidR="5FF3FF63">
        <w:rPr>
          <w:rFonts w:ascii="Arial" w:hAnsi="Arial" w:eastAsia="Arial" w:cs="Arial"/>
          <w:i w:val="1"/>
          <w:iCs w:val="1"/>
          <w:noProof w:val="0"/>
          <w:sz w:val="22"/>
          <w:szCs w:val="22"/>
          <w:lang w:val="en-GB"/>
        </w:rPr>
        <w:t>Pain, 154</w:t>
      </w:r>
      <w:r w:rsidRPr="00BC2CF1" w:rsidR="5FF3FF63">
        <w:rPr>
          <w:rFonts w:ascii="Arial" w:hAnsi="Arial" w:eastAsia="Arial" w:cs="Arial"/>
          <w:noProof w:val="0"/>
          <w:sz w:val="22"/>
          <w:szCs w:val="22"/>
          <w:lang w:val="en-GB"/>
        </w:rPr>
        <w:t>(11), 2310–2316.</w:t>
      </w:r>
      <w:r>
        <w:br/>
      </w:r>
      <w:r w:rsidRPr="00BC2CF1" w:rsidR="5FF3FF63">
        <w:rPr>
          <w:rFonts w:ascii="Arial" w:hAnsi="Arial" w:eastAsia="Arial" w:cs="Arial"/>
          <w:noProof w:val="0"/>
          <w:sz w:val="22"/>
          <w:szCs w:val="22"/>
          <w:lang w:val="en-GB"/>
        </w:rPr>
        <w:t xml:space="preserve"> This study found that many patients with chronic, unexplained pain had biopsy-confirmed SFN, highlighting the diagnostic gap in pain management.</w:t>
      </w:r>
      <w:r>
        <w:br/>
      </w:r>
      <w:r w:rsidRPr="00BC2CF1" w:rsidR="5FF3FF63">
        <w:rPr>
          <w:rFonts w:ascii="Arial" w:hAnsi="Arial" w:eastAsia="Arial" w:cs="Arial"/>
          <w:noProof w:val="0"/>
          <w:sz w:val="22"/>
          <w:szCs w:val="22"/>
          <w:lang w:val="en-GB"/>
        </w:rPr>
        <w:t xml:space="preserve"> </w:t>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underscores the need for greater diagnostic awareness and the use of advanced techniques to </w:t>
      </w:r>
      <w:r w:rsidRPr="00BC2CF1" w:rsidR="5FF3FF63">
        <w:rPr>
          <w:rFonts w:ascii="Arial" w:hAnsi="Arial" w:eastAsia="Arial" w:cs="Arial"/>
          <w:noProof w:val="0"/>
          <w:sz w:val="22"/>
          <w:szCs w:val="22"/>
          <w:lang w:val="en-GB"/>
        </w:rPr>
        <w:t>identify</w:t>
      </w:r>
      <w:r w:rsidRPr="00BC2CF1" w:rsidR="5FF3FF63">
        <w:rPr>
          <w:rFonts w:ascii="Arial" w:hAnsi="Arial" w:eastAsia="Arial" w:cs="Arial"/>
          <w:noProof w:val="0"/>
          <w:sz w:val="22"/>
          <w:szCs w:val="22"/>
          <w:lang w:val="en-GB"/>
        </w:rPr>
        <w:t xml:space="preserve"> SFN in patients with persistent pain.</w:t>
      </w:r>
    </w:p>
    <w:p w:rsidR="5FF3FF63" w:rsidP="00BC2CF1" w:rsidRDefault="5FF3FF63" w14:paraId="69E5D091" w14:textId="5C6AADA6">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2. Selvarajah, D., &amp; Tesfaye, S. (2012).</w:t>
      </w:r>
      <w:r w:rsidRPr="00BC2CF1" w:rsidR="5FF3FF63">
        <w:rPr>
          <w:rFonts w:ascii="Arial" w:hAnsi="Arial" w:eastAsia="Arial" w:cs="Arial"/>
          <w:noProof w:val="0"/>
          <w:sz w:val="22"/>
          <w:szCs w:val="22"/>
          <w:lang w:val="en-GB"/>
        </w:rPr>
        <w:t xml:space="preserve"> Advances in diabetic peripheral neuropathy’s pathophysiology, epidemiology, and treatment. </w:t>
      </w:r>
      <w:r w:rsidRPr="00BC2CF1" w:rsidR="5FF3FF63">
        <w:rPr>
          <w:rFonts w:ascii="Arial" w:hAnsi="Arial" w:eastAsia="Arial" w:cs="Arial"/>
          <w:i w:val="1"/>
          <w:iCs w:val="1"/>
          <w:noProof w:val="0"/>
          <w:sz w:val="22"/>
          <w:szCs w:val="22"/>
          <w:lang w:val="en-GB"/>
        </w:rPr>
        <w:t>Diabetes Care, 35</w:t>
      </w:r>
      <w:r w:rsidRPr="00BC2CF1" w:rsidR="5FF3FF63">
        <w:rPr>
          <w:rFonts w:ascii="Arial" w:hAnsi="Arial" w:eastAsia="Arial" w:cs="Arial"/>
          <w:noProof w:val="0"/>
          <w:sz w:val="22"/>
          <w:szCs w:val="22"/>
          <w:lang w:val="en-GB"/>
        </w:rPr>
        <w:t>(12), 2451–2458.</w:t>
      </w:r>
      <w:r>
        <w:br/>
      </w:r>
      <w:r w:rsidRPr="00BC2CF1" w:rsidR="5FF3FF63">
        <w:rPr>
          <w:rFonts w:ascii="Arial" w:hAnsi="Arial" w:eastAsia="Arial" w:cs="Arial"/>
          <w:noProof w:val="0"/>
          <w:sz w:val="22"/>
          <w:szCs w:val="22"/>
          <w:lang w:val="en-GB"/>
        </w:rPr>
        <w:t xml:space="preserve"> This comprehensive review focuses on diabetic neuropathy and the mechanisms of small fibre involvement, including</w:t>
      </w:r>
      <w:r w:rsidRPr="00BC2CF1" w:rsidR="7FC571DF">
        <w:rPr>
          <w:rFonts w:ascii="Arial" w:hAnsi="Arial" w:eastAsia="Arial" w:cs="Arial"/>
          <w:noProof w:val="0"/>
          <w:sz w:val="22"/>
          <w:szCs w:val="22"/>
          <w:lang w:val="en-GB"/>
        </w:rPr>
        <w:t xml:space="preserve"> </w:t>
      </w:r>
      <w:r w:rsidRPr="00BC2CF1" w:rsidR="5FF3FF63">
        <w:rPr>
          <w:rFonts w:ascii="Arial" w:hAnsi="Arial" w:eastAsia="Arial" w:cs="Arial"/>
          <w:noProof w:val="0"/>
          <w:sz w:val="22"/>
          <w:szCs w:val="22"/>
          <w:lang w:val="en-GB"/>
        </w:rPr>
        <w:t>oxidative stress and metabolic dysfunction.</w:t>
      </w:r>
      <w:r>
        <w:br/>
      </w:r>
      <w:r w:rsidRPr="00BC2CF1" w:rsidR="5FF3FF63">
        <w:rPr>
          <w:rFonts w:ascii="Arial" w:hAnsi="Arial" w:eastAsia="Arial" w:cs="Arial"/>
          <w:noProof w:val="0"/>
          <w:sz w:val="22"/>
          <w:szCs w:val="22"/>
          <w:lang w:val="en-GB"/>
        </w:rPr>
        <w:t xml:space="preserve"> </w:t>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w:t>
      </w:r>
      <w:r w:rsidRPr="00BC2CF1" w:rsidR="5FF3FF63">
        <w:rPr>
          <w:rFonts w:ascii="Arial" w:hAnsi="Arial" w:eastAsia="Arial" w:cs="Arial"/>
          <w:noProof w:val="0"/>
          <w:sz w:val="22"/>
          <w:szCs w:val="22"/>
          <w:lang w:val="en-GB"/>
        </w:rPr>
        <w:t>establishes</w:t>
      </w:r>
      <w:r w:rsidRPr="00BC2CF1" w:rsidR="5FF3FF63">
        <w:rPr>
          <w:rFonts w:ascii="Arial" w:hAnsi="Arial" w:eastAsia="Arial" w:cs="Arial"/>
          <w:noProof w:val="0"/>
          <w:sz w:val="22"/>
          <w:szCs w:val="22"/>
          <w:lang w:val="en-GB"/>
        </w:rPr>
        <w:t xml:space="preserve"> diabetes as a leading cause of SFN and supports the case for early detection and preventive interventions in diabetic populations.</w:t>
      </w:r>
    </w:p>
    <w:p w:rsidR="5FF3FF63" w:rsidP="00BC2CF1" w:rsidRDefault="5FF3FF63" w14:paraId="622FA371" w14:textId="702545A6">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 xml:space="preserve">3. </w:t>
      </w:r>
      <w:r w:rsidRPr="00BC2CF1" w:rsidR="5FF3FF63">
        <w:rPr>
          <w:rFonts w:ascii="Arial" w:hAnsi="Arial" w:eastAsia="Arial" w:cs="Arial"/>
          <w:b w:val="1"/>
          <w:bCs w:val="1"/>
          <w:noProof w:val="0"/>
          <w:sz w:val="22"/>
          <w:szCs w:val="22"/>
          <w:lang w:val="en-GB"/>
        </w:rPr>
        <w:t>Devigili</w:t>
      </w:r>
      <w:r w:rsidRPr="00BC2CF1" w:rsidR="5FF3FF63">
        <w:rPr>
          <w:rFonts w:ascii="Arial" w:hAnsi="Arial" w:eastAsia="Arial" w:cs="Arial"/>
          <w:b w:val="1"/>
          <w:bCs w:val="1"/>
          <w:noProof w:val="0"/>
          <w:sz w:val="22"/>
          <w:szCs w:val="22"/>
          <w:lang w:val="en-GB"/>
        </w:rPr>
        <w:t>, G., Rinaldo, S., Lombardi, R., et al. (2019).</w:t>
      </w:r>
      <w:r w:rsidRPr="00BC2CF1" w:rsidR="5FF3FF63">
        <w:rPr>
          <w:rFonts w:ascii="Arial" w:hAnsi="Arial" w:eastAsia="Arial" w:cs="Arial"/>
          <w:noProof w:val="0"/>
          <w:sz w:val="22"/>
          <w:szCs w:val="22"/>
          <w:lang w:val="en-GB"/>
        </w:rPr>
        <w:t xml:space="preserve"> Diagnostic criteria for small fibre neuropathy in clinical practice and research. </w:t>
      </w:r>
      <w:r w:rsidRPr="00BC2CF1" w:rsidR="5FF3FF63">
        <w:rPr>
          <w:rFonts w:ascii="Arial" w:hAnsi="Arial" w:eastAsia="Arial" w:cs="Arial"/>
          <w:i w:val="1"/>
          <w:iCs w:val="1"/>
          <w:noProof w:val="0"/>
          <w:sz w:val="22"/>
          <w:szCs w:val="22"/>
          <w:lang w:val="en-GB"/>
        </w:rPr>
        <w:t>Brain, 142</w:t>
      </w:r>
      <w:r w:rsidRPr="00BC2CF1" w:rsidR="5FF3FF63">
        <w:rPr>
          <w:rFonts w:ascii="Arial" w:hAnsi="Arial" w:eastAsia="Arial" w:cs="Arial"/>
          <w:noProof w:val="0"/>
          <w:sz w:val="22"/>
          <w:szCs w:val="22"/>
          <w:lang w:val="en-GB"/>
        </w:rPr>
        <w:t>(12), 3728–3736.</w:t>
      </w:r>
      <w:r>
        <w:br/>
      </w:r>
      <w:r w:rsidRPr="00BC2CF1" w:rsidR="5FF3FF63">
        <w:rPr>
          <w:rFonts w:ascii="Arial" w:hAnsi="Arial" w:eastAsia="Arial" w:cs="Arial"/>
          <w:noProof w:val="0"/>
          <w:sz w:val="22"/>
          <w:szCs w:val="22"/>
          <w:lang w:val="en-GB"/>
        </w:rPr>
        <w:t xml:space="preserve"> This publication defines standardised diagnostic criteria combining symptoms, quantitative sensory testing, and skin biopsy findings.</w:t>
      </w:r>
      <w:r>
        <w:br/>
      </w:r>
      <w:r w:rsidRPr="00BC2CF1" w:rsidR="5FF3FF63">
        <w:rPr>
          <w:rFonts w:ascii="Arial" w:hAnsi="Arial" w:eastAsia="Arial" w:cs="Arial"/>
          <w:noProof w:val="0"/>
          <w:sz w:val="22"/>
          <w:szCs w:val="22"/>
          <w:lang w:val="en-GB"/>
        </w:rPr>
        <w:t xml:space="preserve"> </w:t>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addresses the lack of consistency in SFN diagnosis and provides a foundation for evidence-based diagnostic pathways.</w:t>
      </w:r>
    </w:p>
    <w:p w:rsidR="5FF3FF63" w:rsidP="00BC2CF1" w:rsidRDefault="5FF3FF63" w14:paraId="31572AC5" w14:textId="2753DCF9">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 xml:space="preserve">4. </w:t>
      </w:r>
      <w:r w:rsidRPr="00BC2CF1" w:rsidR="5FF3FF63">
        <w:rPr>
          <w:rFonts w:ascii="Arial" w:hAnsi="Arial" w:eastAsia="Arial" w:cs="Arial"/>
          <w:b w:val="1"/>
          <w:bCs w:val="1"/>
          <w:noProof w:val="0"/>
          <w:sz w:val="22"/>
          <w:szCs w:val="22"/>
          <w:lang w:val="en-GB"/>
        </w:rPr>
        <w:t>Üçeyler</w:t>
      </w:r>
      <w:r w:rsidRPr="00BC2CF1" w:rsidR="5FF3FF63">
        <w:rPr>
          <w:rFonts w:ascii="Arial" w:hAnsi="Arial" w:eastAsia="Arial" w:cs="Arial"/>
          <w:b w:val="1"/>
          <w:bCs w:val="1"/>
          <w:noProof w:val="0"/>
          <w:sz w:val="22"/>
          <w:szCs w:val="22"/>
          <w:lang w:val="en-GB"/>
        </w:rPr>
        <w:t>, N., &amp; Sommer, C. (2018).</w:t>
      </w:r>
      <w:r w:rsidRPr="00BC2CF1" w:rsidR="5FF3FF63">
        <w:rPr>
          <w:rFonts w:ascii="Arial" w:hAnsi="Arial" w:eastAsia="Arial" w:cs="Arial"/>
          <w:noProof w:val="0"/>
          <w:sz w:val="22"/>
          <w:szCs w:val="22"/>
          <w:lang w:val="en-GB"/>
        </w:rPr>
        <w:t xml:space="preserve"> Small fibre pathology—A culprit for many painful disorders? </w:t>
      </w:r>
      <w:r w:rsidRPr="00BC2CF1" w:rsidR="5FF3FF63">
        <w:rPr>
          <w:rFonts w:ascii="Arial" w:hAnsi="Arial" w:eastAsia="Arial" w:cs="Arial"/>
          <w:i w:val="1"/>
          <w:iCs w:val="1"/>
          <w:noProof w:val="0"/>
          <w:sz w:val="22"/>
          <w:szCs w:val="22"/>
          <w:lang w:val="en-GB"/>
        </w:rPr>
        <w:t>Nature Reviews Neurology, 14</w:t>
      </w:r>
      <w:r w:rsidRPr="00BC2CF1" w:rsidR="5FF3FF63">
        <w:rPr>
          <w:rFonts w:ascii="Arial" w:hAnsi="Arial" w:eastAsia="Arial" w:cs="Arial"/>
          <w:noProof w:val="0"/>
          <w:sz w:val="22"/>
          <w:szCs w:val="22"/>
          <w:lang w:val="en-GB"/>
        </w:rPr>
        <w:t>(9), 523–532.</w:t>
      </w:r>
      <w:r>
        <w:br/>
      </w:r>
      <w:r w:rsidRPr="00BC2CF1" w:rsidR="5FF3FF63">
        <w:rPr>
          <w:rFonts w:ascii="Arial" w:hAnsi="Arial" w:eastAsia="Arial" w:cs="Arial"/>
          <w:noProof w:val="0"/>
          <w:sz w:val="22"/>
          <w:szCs w:val="22"/>
          <w:lang w:val="en-GB"/>
        </w:rPr>
        <w:t xml:space="preserve"> This review summarises findings linking small fibre pathology to chronic pain syndromes, including fibromyalgia and diabetic neuropathy.</w:t>
      </w:r>
      <w:r>
        <w:br/>
      </w:r>
      <w:r w:rsidRPr="00BC2CF1" w:rsidR="5FF3FF63">
        <w:rPr>
          <w:rFonts w:ascii="Arial" w:hAnsi="Arial" w:eastAsia="Arial" w:cs="Arial"/>
          <w:noProof w:val="0"/>
          <w:sz w:val="22"/>
          <w:szCs w:val="22"/>
          <w:lang w:val="en-GB"/>
        </w:rPr>
        <w:t xml:space="preserve"> </w:t>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emphasises SFN’s broader role in chronic pain disorders and the need for improved recognition and treatment approaches.</w:t>
      </w:r>
    </w:p>
    <w:p w:rsidR="5FF3FF63" w:rsidP="00BC2CF1" w:rsidRDefault="5FF3FF63" w14:paraId="50ED603B" w14:textId="7340C7F9">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 xml:space="preserve">5. Lauria, G., </w:t>
      </w:r>
      <w:r w:rsidRPr="00BC2CF1" w:rsidR="5FF3FF63">
        <w:rPr>
          <w:rFonts w:ascii="Arial" w:hAnsi="Arial" w:eastAsia="Arial" w:cs="Arial"/>
          <w:b w:val="1"/>
          <w:bCs w:val="1"/>
          <w:noProof w:val="0"/>
          <w:sz w:val="22"/>
          <w:szCs w:val="22"/>
          <w:lang w:val="en-GB"/>
        </w:rPr>
        <w:t>Merkies</w:t>
      </w:r>
      <w:r w:rsidRPr="00BC2CF1" w:rsidR="5FF3FF63">
        <w:rPr>
          <w:rFonts w:ascii="Arial" w:hAnsi="Arial" w:eastAsia="Arial" w:cs="Arial"/>
          <w:b w:val="1"/>
          <w:bCs w:val="1"/>
          <w:noProof w:val="0"/>
          <w:sz w:val="22"/>
          <w:szCs w:val="22"/>
          <w:lang w:val="en-GB"/>
        </w:rPr>
        <w:t>, I. S. J., &amp; Faber, C. G. (2012).</w:t>
      </w:r>
      <w:r w:rsidRPr="00BC2CF1" w:rsidR="5FF3FF63">
        <w:rPr>
          <w:rFonts w:ascii="Arial" w:hAnsi="Arial" w:eastAsia="Arial" w:cs="Arial"/>
          <w:noProof w:val="0"/>
          <w:sz w:val="22"/>
          <w:szCs w:val="22"/>
          <w:lang w:val="en-GB"/>
        </w:rPr>
        <w:t xml:space="preserve"> Small fibre neuropathy. </w:t>
      </w:r>
      <w:r w:rsidRPr="00BC2CF1" w:rsidR="5FF3FF63">
        <w:rPr>
          <w:rFonts w:ascii="Arial" w:hAnsi="Arial" w:eastAsia="Arial" w:cs="Arial"/>
          <w:i w:val="1"/>
          <w:iCs w:val="1"/>
          <w:noProof w:val="0"/>
          <w:sz w:val="22"/>
          <w:szCs w:val="22"/>
          <w:lang w:val="en-GB"/>
        </w:rPr>
        <w:t>Current Opinion in Neurology, 25</w:t>
      </w:r>
      <w:r w:rsidRPr="00BC2CF1" w:rsidR="5FF3FF63">
        <w:rPr>
          <w:rFonts w:ascii="Arial" w:hAnsi="Arial" w:eastAsia="Arial" w:cs="Arial"/>
          <w:noProof w:val="0"/>
          <w:sz w:val="22"/>
          <w:szCs w:val="22"/>
          <w:lang w:val="en-GB"/>
        </w:rPr>
        <w:t>(5), 542–549.</w:t>
      </w:r>
      <w:r>
        <w:br/>
      </w:r>
      <w:r w:rsidRPr="00BC2CF1" w:rsidR="5FF3FF63">
        <w:rPr>
          <w:rFonts w:ascii="Arial" w:hAnsi="Arial" w:eastAsia="Arial" w:cs="Arial"/>
          <w:noProof w:val="0"/>
          <w:sz w:val="22"/>
          <w:szCs w:val="22"/>
          <w:lang w:val="en-GB"/>
        </w:rPr>
        <w:t xml:space="preserve"> This article reviews the epidemiology, clinical features, and diagnostic methods used in SFN, highlighting advances in genetic research and the use of skin biopsy.</w:t>
      </w:r>
      <w:r>
        <w:br/>
      </w:r>
      <w:r w:rsidRPr="00BC2CF1" w:rsidR="5FF3FF63">
        <w:rPr>
          <w:rFonts w:ascii="Arial" w:hAnsi="Arial" w:eastAsia="Arial" w:cs="Arial"/>
          <w:noProof w:val="0"/>
          <w:sz w:val="22"/>
          <w:szCs w:val="22"/>
          <w:lang w:val="en-GB"/>
        </w:rPr>
        <w:t xml:space="preserve"> </w:t>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supports the integration of clinical, neurophysiological, and genetic evidence to enhance diagnostic accuracy.</w:t>
      </w:r>
    </w:p>
    <w:p w:rsidR="5FF3FF63" w:rsidP="00BC2CF1" w:rsidRDefault="5FF3FF63" w14:paraId="5F922B7B" w14:textId="56DBC2DD">
      <w:pPr>
        <w:pStyle w:val="Normal"/>
        <w:spacing w:before="240" w:beforeAutospacing="off" w:after="240" w:afterAutospacing="off" w:line="360" w:lineRule="auto"/>
        <w:jc w:val="both"/>
        <w:rPr>
          <w:rFonts w:ascii="Arial" w:hAnsi="Arial" w:eastAsia="Arial" w:cs="Arial"/>
          <w:noProof w:val="0"/>
          <w:sz w:val="22"/>
          <w:szCs w:val="22"/>
          <w:lang w:val="en-GB"/>
        </w:rPr>
      </w:pPr>
      <w:r w:rsidRPr="00BC2CF1" w:rsidR="5FF3FF63">
        <w:rPr>
          <w:rFonts w:ascii="Arial" w:hAnsi="Arial" w:eastAsia="Arial" w:cs="Arial"/>
          <w:b w:val="1"/>
          <w:bCs w:val="1"/>
          <w:noProof w:val="0"/>
          <w:sz w:val="22"/>
          <w:szCs w:val="22"/>
          <w:lang w:val="en-GB"/>
        </w:rPr>
        <w:t xml:space="preserve">6. Doppler, K., Rittner, H. L., </w:t>
      </w:r>
      <w:r w:rsidRPr="00BC2CF1" w:rsidR="5FF3FF63">
        <w:rPr>
          <w:rFonts w:ascii="Arial" w:hAnsi="Arial" w:eastAsia="Arial" w:cs="Arial"/>
          <w:b w:val="1"/>
          <w:bCs w:val="1"/>
          <w:noProof w:val="0"/>
          <w:sz w:val="22"/>
          <w:szCs w:val="22"/>
          <w:lang w:val="en-GB"/>
        </w:rPr>
        <w:t>Deckart</w:t>
      </w:r>
      <w:r w:rsidRPr="00BC2CF1" w:rsidR="5FF3FF63">
        <w:rPr>
          <w:rFonts w:ascii="Arial" w:hAnsi="Arial" w:eastAsia="Arial" w:cs="Arial"/>
          <w:b w:val="1"/>
          <w:bCs w:val="1"/>
          <w:noProof w:val="0"/>
          <w:sz w:val="22"/>
          <w:szCs w:val="22"/>
          <w:lang w:val="en-GB"/>
        </w:rPr>
        <w:t>, M., &amp; Sommer, C. (2015).</w:t>
      </w:r>
      <w:r w:rsidRPr="00BC2CF1" w:rsidR="5FF3FF63">
        <w:rPr>
          <w:rFonts w:ascii="Arial" w:hAnsi="Arial" w:eastAsia="Arial" w:cs="Arial"/>
          <w:noProof w:val="0"/>
          <w:sz w:val="22"/>
          <w:szCs w:val="22"/>
          <w:lang w:val="en-GB"/>
        </w:rPr>
        <w:t xml:space="preserve"> Reduced dermal nerve fibre density in patients with fibromyalgia. </w:t>
      </w:r>
      <w:r w:rsidRPr="00BC2CF1" w:rsidR="5FF3FF63">
        <w:rPr>
          <w:rFonts w:ascii="Arial" w:hAnsi="Arial" w:eastAsia="Arial" w:cs="Arial"/>
          <w:i w:val="1"/>
          <w:iCs w:val="1"/>
          <w:noProof w:val="0"/>
          <w:sz w:val="22"/>
          <w:szCs w:val="22"/>
          <w:lang w:val="en-GB"/>
        </w:rPr>
        <w:t>Pain, 156</w:t>
      </w:r>
      <w:r w:rsidRPr="00BC2CF1" w:rsidR="5FF3FF63">
        <w:rPr>
          <w:rFonts w:ascii="Arial" w:hAnsi="Arial" w:eastAsia="Arial" w:cs="Arial"/>
          <w:noProof w:val="0"/>
          <w:sz w:val="22"/>
          <w:szCs w:val="22"/>
          <w:lang w:val="en-GB"/>
        </w:rPr>
        <w:t>(11), 2319–2325.</w:t>
      </w:r>
      <w:r>
        <w:br/>
      </w:r>
      <w:r w:rsidRPr="00BC2CF1" w:rsidR="5FF3FF63">
        <w:rPr>
          <w:rFonts w:ascii="Arial" w:hAnsi="Arial" w:eastAsia="Arial" w:cs="Arial"/>
          <w:noProof w:val="0"/>
          <w:sz w:val="22"/>
          <w:szCs w:val="22"/>
          <w:lang w:val="en-GB"/>
        </w:rPr>
        <w:t xml:space="preserve"> This study </w:t>
      </w:r>
      <w:r w:rsidRPr="00BC2CF1" w:rsidR="5FF3FF63">
        <w:rPr>
          <w:rFonts w:ascii="Arial" w:hAnsi="Arial" w:eastAsia="Arial" w:cs="Arial"/>
          <w:noProof w:val="0"/>
          <w:sz w:val="22"/>
          <w:szCs w:val="22"/>
          <w:lang w:val="en-GB"/>
        </w:rPr>
        <w:t>demonstrates</w:t>
      </w:r>
      <w:r w:rsidRPr="00BC2CF1" w:rsidR="5FF3FF63">
        <w:rPr>
          <w:rFonts w:ascii="Arial" w:hAnsi="Arial" w:eastAsia="Arial" w:cs="Arial"/>
          <w:noProof w:val="0"/>
          <w:sz w:val="22"/>
          <w:szCs w:val="22"/>
          <w:lang w:val="en-GB"/>
        </w:rPr>
        <w:t xml:space="preserve"> reduced small fibre density in fibromyalgia patients, </w:t>
      </w:r>
      <w:r w:rsidRPr="00BC2CF1" w:rsidR="5FF3FF63">
        <w:rPr>
          <w:rFonts w:ascii="Arial" w:hAnsi="Arial" w:eastAsia="Arial" w:cs="Arial"/>
          <w:noProof w:val="0"/>
          <w:sz w:val="22"/>
          <w:szCs w:val="22"/>
          <w:lang w:val="en-GB"/>
        </w:rPr>
        <w:t>indicating</w:t>
      </w:r>
      <w:r w:rsidRPr="00BC2CF1" w:rsidR="5FF3FF63">
        <w:rPr>
          <w:rFonts w:ascii="Arial" w:hAnsi="Arial" w:eastAsia="Arial" w:cs="Arial"/>
          <w:noProof w:val="0"/>
          <w:sz w:val="22"/>
          <w:szCs w:val="22"/>
          <w:lang w:val="en-GB"/>
        </w:rPr>
        <w:t xml:space="preserve"> overlap between SFN and chronic widespread pain.</w:t>
      </w:r>
      <w:r>
        <w:br/>
      </w:r>
      <w:r w:rsidRPr="00BC2CF1" w:rsidR="5FF3FF63">
        <w:rPr>
          <w:rFonts w:ascii="Arial" w:hAnsi="Arial" w:eastAsia="Arial" w:cs="Arial"/>
          <w:b w:val="1"/>
          <w:bCs w:val="1"/>
          <w:noProof w:val="0"/>
          <w:sz w:val="22"/>
          <w:szCs w:val="22"/>
          <w:lang w:val="en-GB"/>
        </w:rPr>
        <w:t>Relevance:</w:t>
      </w:r>
      <w:r w:rsidRPr="00BC2CF1" w:rsidR="5FF3FF63">
        <w:rPr>
          <w:rFonts w:ascii="Arial" w:hAnsi="Arial" w:eastAsia="Arial" w:cs="Arial"/>
          <w:noProof w:val="0"/>
          <w:sz w:val="22"/>
          <w:szCs w:val="22"/>
          <w:lang w:val="en-GB"/>
        </w:rPr>
        <w:t xml:space="preserve"> It broadens understanding of SFN’s clinical spectrum and highlights its association with other chronic pain conditions.</w:t>
      </w:r>
    </w:p>
    <w:p w:rsidR="00BC2CF1" w:rsidP="00BC2CF1" w:rsidRDefault="00BC2CF1" w14:paraId="0C368D87" w14:textId="64037461">
      <w:pPr>
        <w:pStyle w:val="Normal"/>
        <w:spacing w:line="360" w:lineRule="auto"/>
        <w:jc w:val="both"/>
        <w:rPr>
          <w:rFonts w:ascii="Arial" w:hAnsi="Arial" w:eastAsia="Arial" w:cs="Arial"/>
          <w:noProof w:val="0"/>
          <w:sz w:val="22"/>
          <w:szCs w:val="22"/>
          <w:lang w:val="en-GB"/>
        </w:rPr>
      </w:pPr>
    </w:p>
    <w:p w:rsidR="68CF467D" w:rsidP="00BC2CF1" w:rsidRDefault="68CF467D" w14:paraId="207A0340" w14:textId="7A6F26B7">
      <w:pPr>
        <w:pStyle w:val="Normal"/>
        <w:spacing w:line="360" w:lineRule="auto"/>
        <w:jc w:val="both"/>
        <w:rPr>
          <w:rFonts w:ascii="Arial" w:hAnsi="Arial" w:eastAsia="Arial" w:cs="Arial"/>
          <w:b w:val="1"/>
          <w:bCs w:val="1"/>
          <w:noProof w:val="0"/>
          <w:sz w:val="28"/>
          <w:szCs w:val="28"/>
          <w:lang w:val="en-GB"/>
        </w:rPr>
      </w:pPr>
      <w:r w:rsidRPr="00BC2CF1" w:rsidR="68CF467D">
        <w:rPr>
          <w:rFonts w:ascii="Arial" w:hAnsi="Arial" w:eastAsia="Arial" w:cs="Arial"/>
          <w:b w:val="1"/>
          <w:bCs w:val="1"/>
          <w:noProof w:val="0"/>
          <w:sz w:val="28"/>
          <w:szCs w:val="28"/>
          <w:lang w:val="en-GB"/>
        </w:rPr>
        <w:t>Research Methodologies</w:t>
      </w:r>
    </w:p>
    <w:p w:rsidR="6E48C24A" w:rsidP="00BC2CF1" w:rsidRDefault="6E48C24A" w14:paraId="16798545" w14:textId="40723850">
      <w:pPr>
        <w:spacing w:line="360" w:lineRule="auto"/>
        <w:jc w:val="both"/>
        <w:rPr>
          <w:rFonts w:ascii="Arial" w:hAnsi="Arial" w:eastAsia="Arial" w:cs="Arial"/>
          <w:noProof w:val="0"/>
          <w:sz w:val="22"/>
          <w:szCs w:val="22"/>
          <w:lang w:val="en-GB"/>
        </w:rPr>
      </w:pPr>
      <w:r w:rsidRPr="00BC2CF1" w:rsidR="6E48C24A">
        <w:rPr>
          <w:rFonts w:ascii="Arial" w:hAnsi="Arial" w:eastAsia="Arial" w:cs="Arial"/>
          <w:noProof w:val="0"/>
          <w:sz w:val="22"/>
          <w:szCs w:val="22"/>
          <w:lang w:val="en-GB"/>
        </w:rPr>
        <w:t xml:space="preserve">Health and social care research often employs both quantitative and qualitative approaches, each with its own characteristics and </w:t>
      </w:r>
      <w:r w:rsidRPr="00BC2CF1" w:rsidR="6E48C24A">
        <w:rPr>
          <w:rFonts w:ascii="Arial" w:hAnsi="Arial" w:eastAsia="Arial" w:cs="Arial"/>
          <w:noProof w:val="0"/>
          <w:sz w:val="22"/>
          <w:szCs w:val="22"/>
          <w:lang w:val="en-GB"/>
        </w:rPr>
        <w:t>objectives</w:t>
      </w:r>
      <w:r w:rsidRPr="00BC2CF1" w:rsidR="6E48C24A">
        <w:rPr>
          <w:rFonts w:ascii="Arial" w:hAnsi="Arial" w:eastAsia="Arial" w:cs="Arial"/>
          <w:noProof w:val="0"/>
          <w:sz w:val="22"/>
          <w:szCs w:val="22"/>
          <w:lang w:val="en-GB"/>
        </w:rPr>
        <w:t xml:space="preserve">. The main topics of quantitative research are measurable variables, statistical analysis, and numerical data. It looks for patterns, connections, and causal links using structured methods such as surveys, experiments, or clinical evaluations. Evidence-based practice can be guided by the </w:t>
      </w:r>
      <w:r w:rsidRPr="00BC2CF1" w:rsidR="6E48C24A">
        <w:rPr>
          <w:rFonts w:ascii="Arial" w:hAnsi="Arial" w:eastAsia="Arial" w:cs="Arial"/>
          <w:noProof w:val="0"/>
          <w:sz w:val="22"/>
          <w:szCs w:val="22"/>
          <w:lang w:val="en-GB"/>
        </w:rPr>
        <w:t>broadly applicable</w:t>
      </w:r>
      <w:r w:rsidRPr="00BC2CF1" w:rsidR="6E48C24A">
        <w:rPr>
          <w:rFonts w:ascii="Arial" w:hAnsi="Arial" w:eastAsia="Arial" w:cs="Arial"/>
          <w:noProof w:val="0"/>
          <w:sz w:val="22"/>
          <w:szCs w:val="22"/>
          <w:lang w:val="en-GB"/>
        </w:rPr>
        <w:t xml:space="preserve"> results that this approach produces.</w:t>
      </w:r>
    </w:p>
    <w:p w:rsidR="6E48C24A" w:rsidP="00BC2CF1" w:rsidRDefault="6E48C24A" w14:paraId="1BFCB50C" w14:textId="5CD49959">
      <w:pPr>
        <w:pStyle w:val="Normal"/>
        <w:spacing w:line="360" w:lineRule="auto"/>
        <w:jc w:val="both"/>
        <w:rPr>
          <w:rFonts w:ascii="Arial" w:hAnsi="Arial" w:eastAsia="Arial" w:cs="Arial"/>
          <w:noProof w:val="0"/>
          <w:sz w:val="22"/>
          <w:szCs w:val="22"/>
          <w:lang w:val="en-GB"/>
        </w:rPr>
      </w:pPr>
      <w:r w:rsidRPr="00BC2CF1" w:rsidR="6E48C24A">
        <w:rPr>
          <w:rFonts w:ascii="Arial" w:hAnsi="Arial" w:eastAsia="Arial" w:cs="Arial"/>
          <w:noProof w:val="0"/>
          <w:sz w:val="22"/>
          <w:szCs w:val="22"/>
          <w:lang w:val="en-GB"/>
        </w:rPr>
        <w:t xml:space="preserve">In contrast, qualitative research explores subjective experiences, </w:t>
      </w:r>
      <w:r w:rsidRPr="00BC2CF1" w:rsidR="6E48C24A">
        <w:rPr>
          <w:rFonts w:ascii="Arial" w:hAnsi="Arial" w:eastAsia="Arial" w:cs="Arial"/>
          <w:noProof w:val="0"/>
          <w:sz w:val="22"/>
          <w:szCs w:val="22"/>
          <w:lang w:val="en-GB"/>
        </w:rPr>
        <w:t>perceptions</w:t>
      </w:r>
      <w:r w:rsidRPr="00BC2CF1" w:rsidR="6E48C24A">
        <w:rPr>
          <w:rFonts w:ascii="Arial" w:hAnsi="Arial" w:eastAsia="Arial" w:cs="Arial"/>
          <w:noProof w:val="0"/>
          <w:sz w:val="22"/>
          <w:szCs w:val="22"/>
          <w:lang w:val="en-GB"/>
        </w:rPr>
        <w:t xml:space="preserve">, and meanings through methods like focus groups, interviews, and theme analysis. According to Lauria, </w:t>
      </w:r>
      <w:r w:rsidRPr="00BC2CF1" w:rsidR="6E48C24A">
        <w:rPr>
          <w:rFonts w:ascii="Arial" w:hAnsi="Arial" w:eastAsia="Arial" w:cs="Arial"/>
          <w:noProof w:val="0"/>
          <w:sz w:val="22"/>
          <w:szCs w:val="22"/>
          <w:lang w:val="en-GB"/>
        </w:rPr>
        <w:t>Merkies</w:t>
      </w:r>
      <w:r w:rsidRPr="00BC2CF1" w:rsidR="6E48C24A">
        <w:rPr>
          <w:rFonts w:ascii="Arial" w:hAnsi="Arial" w:eastAsia="Arial" w:cs="Arial"/>
          <w:noProof w:val="0"/>
          <w:sz w:val="22"/>
          <w:szCs w:val="22"/>
          <w:lang w:val="en-GB"/>
        </w:rPr>
        <w:t xml:space="preserve">, and Faber (2012), it seeks to </w:t>
      </w:r>
      <w:r w:rsidRPr="00BC2CF1" w:rsidR="6E48C24A">
        <w:rPr>
          <w:rFonts w:ascii="Arial" w:hAnsi="Arial" w:eastAsia="Arial" w:cs="Arial"/>
          <w:noProof w:val="0"/>
          <w:sz w:val="22"/>
          <w:szCs w:val="22"/>
          <w:lang w:val="en-GB"/>
        </w:rPr>
        <w:t>comprehend</w:t>
      </w:r>
      <w:r w:rsidRPr="00BC2CF1" w:rsidR="6E48C24A">
        <w:rPr>
          <w:rFonts w:ascii="Arial" w:hAnsi="Arial" w:eastAsia="Arial" w:cs="Arial"/>
          <w:noProof w:val="0"/>
          <w:sz w:val="22"/>
          <w:szCs w:val="22"/>
          <w:lang w:val="en-GB"/>
        </w:rPr>
        <w:t xml:space="preserve"> the human aspects of health and care, such as how individuals handle illness, treatment, or interactions with medical professionals. Despite producing rich insights, its conclusions are </w:t>
      </w:r>
      <w:r w:rsidRPr="00BC2CF1" w:rsidR="6E48C24A">
        <w:rPr>
          <w:rFonts w:ascii="Arial" w:hAnsi="Arial" w:eastAsia="Arial" w:cs="Arial"/>
          <w:noProof w:val="0"/>
          <w:sz w:val="22"/>
          <w:szCs w:val="22"/>
          <w:lang w:val="en-GB"/>
        </w:rPr>
        <w:t>frequently</w:t>
      </w:r>
      <w:r w:rsidRPr="00BC2CF1" w:rsidR="6E48C24A">
        <w:rPr>
          <w:rFonts w:ascii="Arial" w:hAnsi="Arial" w:eastAsia="Arial" w:cs="Arial"/>
          <w:noProof w:val="0"/>
          <w:sz w:val="22"/>
          <w:szCs w:val="22"/>
          <w:lang w:val="en-GB"/>
        </w:rPr>
        <w:t xml:space="preserve"> context-specific and have a narrower applicability than quantitative findings.</w:t>
      </w:r>
    </w:p>
    <w:p w:rsidR="0B1E26A2" w:rsidP="00BC2CF1" w:rsidRDefault="0B1E26A2" w14:paraId="1F2899D5" w14:textId="243009B0">
      <w:pPr>
        <w:pStyle w:val="Normal"/>
        <w:spacing w:line="360" w:lineRule="auto"/>
        <w:jc w:val="both"/>
        <w:rPr>
          <w:rFonts w:ascii="Arial" w:hAnsi="Arial" w:eastAsia="Arial" w:cs="Arial"/>
          <w:noProof w:val="0"/>
          <w:sz w:val="22"/>
          <w:szCs w:val="22"/>
          <w:lang w:val="en-GB"/>
        </w:rPr>
      </w:pPr>
      <w:r w:rsidRPr="00BC2CF1" w:rsidR="0B1E26A2">
        <w:rPr>
          <w:rFonts w:ascii="Arial" w:hAnsi="Arial" w:eastAsia="Arial" w:cs="Arial"/>
          <w:noProof w:val="0"/>
          <w:sz w:val="22"/>
          <w:szCs w:val="22"/>
          <w:lang w:val="en-GB"/>
        </w:rPr>
        <w:t>This study of SFN will employ a mixed-methods approach. This integrates quantitative data, such as symptom severity scores or diagnostic test results, with qualitative information from patient interviews and clinician perspectives (</w:t>
      </w:r>
      <w:r w:rsidRPr="00BC2CF1" w:rsidR="0B1E26A2">
        <w:rPr>
          <w:rFonts w:ascii="Arial" w:hAnsi="Arial" w:eastAsia="Arial" w:cs="Arial"/>
          <w:noProof w:val="0"/>
          <w:sz w:val="22"/>
          <w:szCs w:val="22"/>
          <w:lang w:val="en-GB"/>
        </w:rPr>
        <w:t>Devigili</w:t>
      </w:r>
      <w:r w:rsidRPr="00BC2CF1" w:rsidR="0B1E26A2">
        <w:rPr>
          <w:rFonts w:ascii="Arial" w:hAnsi="Arial" w:eastAsia="Arial" w:cs="Arial"/>
          <w:noProof w:val="0"/>
          <w:sz w:val="22"/>
          <w:szCs w:val="22"/>
          <w:lang w:val="en-GB"/>
        </w:rPr>
        <w:t xml:space="preserve"> et al., 2019). The quantitative </w:t>
      </w:r>
      <w:r w:rsidRPr="00BC2CF1" w:rsidR="0B1E26A2">
        <w:rPr>
          <w:rFonts w:ascii="Arial" w:hAnsi="Arial" w:eastAsia="Arial" w:cs="Arial"/>
          <w:noProof w:val="0"/>
          <w:sz w:val="22"/>
          <w:szCs w:val="22"/>
          <w:lang w:val="en-GB"/>
        </w:rPr>
        <w:t>component</w:t>
      </w:r>
      <w:r w:rsidRPr="00BC2CF1" w:rsidR="0B1E26A2">
        <w:rPr>
          <w:rFonts w:ascii="Arial" w:hAnsi="Arial" w:eastAsia="Arial" w:cs="Arial"/>
          <w:noProof w:val="0"/>
          <w:sz w:val="22"/>
          <w:szCs w:val="22"/>
          <w:lang w:val="en-GB"/>
        </w:rPr>
        <w:t xml:space="preserve"> will help </w:t>
      </w:r>
      <w:r w:rsidRPr="00BC2CF1" w:rsidR="0B1E26A2">
        <w:rPr>
          <w:rFonts w:ascii="Arial" w:hAnsi="Arial" w:eastAsia="Arial" w:cs="Arial"/>
          <w:noProof w:val="0"/>
          <w:sz w:val="22"/>
          <w:szCs w:val="22"/>
          <w:lang w:val="en-GB"/>
        </w:rPr>
        <w:t>identify</w:t>
      </w:r>
      <w:r w:rsidRPr="00BC2CF1" w:rsidR="0B1E26A2">
        <w:rPr>
          <w:rFonts w:ascii="Arial" w:hAnsi="Arial" w:eastAsia="Arial" w:cs="Arial"/>
          <w:noProof w:val="0"/>
          <w:sz w:val="22"/>
          <w:szCs w:val="22"/>
          <w:lang w:val="en-GB"/>
        </w:rPr>
        <w:t xml:space="preserve"> prevalence rates, diagnostic trends, and correlations between symptoms and underlying conditions. Meanwhile, the qualitative </w:t>
      </w:r>
      <w:r w:rsidRPr="00BC2CF1" w:rsidR="0B1E26A2">
        <w:rPr>
          <w:rFonts w:ascii="Arial" w:hAnsi="Arial" w:eastAsia="Arial" w:cs="Arial"/>
          <w:noProof w:val="0"/>
          <w:sz w:val="22"/>
          <w:szCs w:val="22"/>
          <w:lang w:val="en-GB"/>
        </w:rPr>
        <w:t>component</w:t>
      </w:r>
      <w:r w:rsidRPr="00BC2CF1" w:rsidR="0B1E26A2">
        <w:rPr>
          <w:rFonts w:ascii="Arial" w:hAnsi="Arial" w:eastAsia="Arial" w:cs="Arial"/>
          <w:noProof w:val="0"/>
          <w:sz w:val="22"/>
          <w:szCs w:val="22"/>
          <w:lang w:val="en-GB"/>
        </w:rPr>
        <w:t xml:space="preserve"> will investigate </w:t>
      </w:r>
      <w:r w:rsidRPr="00BC2CF1" w:rsidR="0B1E26A2">
        <w:rPr>
          <w:rFonts w:ascii="Arial" w:hAnsi="Arial" w:eastAsia="Arial" w:cs="Arial"/>
          <w:noProof w:val="0"/>
          <w:sz w:val="22"/>
          <w:szCs w:val="22"/>
          <w:lang w:val="en-GB"/>
        </w:rPr>
        <w:t>patients'</w:t>
      </w:r>
      <w:r w:rsidRPr="00BC2CF1" w:rsidR="0B1E26A2">
        <w:rPr>
          <w:rFonts w:ascii="Arial" w:hAnsi="Arial" w:eastAsia="Arial" w:cs="Arial"/>
          <w:noProof w:val="0"/>
          <w:sz w:val="22"/>
          <w:szCs w:val="22"/>
          <w:lang w:val="en-GB"/>
        </w:rPr>
        <w:t xml:space="preserve"> lived experiences, difficulties in getting a diagnosis, and how SFN affects daily life (</w:t>
      </w:r>
      <w:r w:rsidRPr="00BC2CF1" w:rsidR="0B1E26A2">
        <w:rPr>
          <w:rFonts w:ascii="Arial" w:hAnsi="Arial" w:eastAsia="Arial" w:cs="Arial"/>
          <w:noProof w:val="0"/>
          <w:sz w:val="22"/>
          <w:szCs w:val="22"/>
          <w:lang w:val="en-GB"/>
        </w:rPr>
        <w:t>Oaklander</w:t>
      </w:r>
      <w:r w:rsidRPr="00BC2CF1" w:rsidR="0B1E26A2">
        <w:rPr>
          <w:rFonts w:ascii="Arial" w:hAnsi="Arial" w:eastAsia="Arial" w:cs="Arial"/>
          <w:noProof w:val="0"/>
          <w:sz w:val="22"/>
          <w:szCs w:val="22"/>
          <w:lang w:val="en-GB"/>
        </w:rPr>
        <w:t xml:space="preserve"> &amp; Klein, 2013).</w:t>
      </w:r>
    </w:p>
    <w:p w:rsidR="0B1E26A2" w:rsidP="00BC2CF1" w:rsidRDefault="0B1E26A2" w14:paraId="5ACFD0AC" w14:textId="20731EA4">
      <w:pPr>
        <w:pStyle w:val="Normal"/>
        <w:spacing w:line="360" w:lineRule="auto"/>
        <w:jc w:val="both"/>
        <w:rPr>
          <w:rFonts w:ascii="Arial" w:hAnsi="Arial" w:eastAsia="Arial" w:cs="Arial"/>
          <w:noProof w:val="0"/>
          <w:sz w:val="22"/>
          <w:szCs w:val="22"/>
          <w:lang w:val="en-GB"/>
        </w:rPr>
      </w:pPr>
      <w:r w:rsidRPr="00BC2CF1" w:rsidR="0B1E26A2">
        <w:rPr>
          <w:rFonts w:ascii="Arial" w:hAnsi="Arial" w:eastAsia="Arial" w:cs="Arial"/>
          <w:noProof w:val="0"/>
          <w:sz w:val="22"/>
          <w:szCs w:val="22"/>
          <w:lang w:val="en-GB"/>
        </w:rPr>
        <w:t xml:space="preserve">A thorough understanding of SFN is enabled </w:t>
      </w:r>
      <w:r w:rsidRPr="00BC2CF1" w:rsidR="0B1E26A2">
        <w:rPr>
          <w:rFonts w:ascii="Arial" w:hAnsi="Arial" w:eastAsia="Arial" w:cs="Arial"/>
          <w:noProof w:val="0"/>
          <w:sz w:val="22"/>
          <w:szCs w:val="22"/>
          <w:lang w:val="en-GB"/>
        </w:rPr>
        <w:t>by the use of</w:t>
      </w:r>
      <w:r w:rsidRPr="00BC2CF1" w:rsidR="0B1E26A2">
        <w:rPr>
          <w:rFonts w:ascii="Arial" w:hAnsi="Arial" w:eastAsia="Arial" w:cs="Arial"/>
          <w:noProof w:val="0"/>
          <w:sz w:val="22"/>
          <w:szCs w:val="22"/>
          <w:lang w:val="en-GB"/>
        </w:rPr>
        <w:t xml:space="preserve"> a mixed-methods approach, which incorporates both measurable data and individual experiences. This strategy ensures that the study captures the wider social and emotional impacts of the illness on patients and their support systems in addition to clinical and diagnostic concerns (</w:t>
      </w:r>
      <w:r w:rsidRPr="00BC2CF1" w:rsidR="0B1E26A2">
        <w:rPr>
          <w:rFonts w:ascii="Arial" w:hAnsi="Arial" w:eastAsia="Arial" w:cs="Arial"/>
          <w:noProof w:val="0"/>
          <w:sz w:val="22"/>
          <w:szCs w:val="22"/>
          <w:lang w:val="en-GB"/>
        </w:rPr>
        <w:t>Üçeyler</w:t>
      </w:r>
      <w:r w:rsidRPr="00BC2CF1" w:rsidR="0B1E26A2">
        <w:rPr>
          <w:rFonts w:ascii="Arial" w:hAnsi="Arial" w:eastAsia="Arial" w:cs="Arial"/>
          <w:noProof w:val="0"/>
          <w:sz w:val="22"/>
          <w:szCs w:val="22"/>
          <w:lang w:val="en-GB"/>
        </w:rPr>
        <w:t xml:space="preserve"> &amp; Sommer, 2018).</w:t>
      </w:r>
    </w:p>
    <w:p w:rsidR="00BC2CF1" w:rsidP="00BC2CF1" w:rsidRDefault="00BC2CF1" w14:paraId="0F0A89E2" w14:textId="57E5BFA9">
      <w:pPr>
        <w:pStyle w:val="Normal"/>
        <w:spacing w:line="360" w:lineRule="auto"/>
        <w:jc w:val="both"/>
        <w:rPr>
          <w:rFonts w:ascii="Arial" w:hAnsi="Arial" w:eastAsia="Arial" w:cs="Arial"/>
          <w:b w:val="1"/>
          <w:bCs w:val="1"/>
          <w:noProof w:val="0"/>
          <w:sz w:val="28"/>
          <w:szCs w:val="28"/>
          <w:lang w:val="en-GB"/>
        </w:rPr>
      </w:pPr>
    </w:p>
    <w:p w:rsidR="2FD7FC84" w:rsidP="00BC2CF1" w:rsidRDefault="2FD7FC84" w14:paraId="3631D772" w14:textId="3EFF1291">
      <w:pPr>
        <w:pStyle w:val="Normal"/>
        <w:spacing w:line="360" w:lineRule="auto"/>
        <w:jc w:val="both"/>
        <w:rPr>
          <w:rFonts w:ascii="Arial" w:hAnsi="Arial" w:eastAsia="Arial" w:cs="Arial"/>
          <w:noProof w:val="0"/>
          <w:sz w:val="28"/>
          <w:szCs w:val="28"/>
          <w:lang w:val="en-GB"/>
        </w:rPr>
      </w:pPr>
      <w:r w:rsidRPr="00BC2CF1" w:rsidR="2FD7FC84">
        <w:rPr>
          <w:rFonts w:ascii="Arial" w:hAnsi="Arial" w:eastAsia="Arial" w:cs="Arial"/>
          <w:b w:val="1"/>
          <w:bCs w:val="1"/>
          <w:noProof w:val="0"/>
          <w:sz w:val="28"/>
          <w:szCs w:val="28"/>
          <w:lang w:val="en-GB"/>
        </w:rPr>
        <w:t>Conclusion</w:t>
      </w:r>
    </w:p>
    <w:p w:rsidR="05B3309E" w:rsidP="00BC2CF1" w:rsidRDefault="05B3309E" w14:paraId="506BEF4F" w14:textId="4089AD7C">
      <w:pPr>
        <w:pStyle w:val="Normal"/>
        <w:spacing w:line="360" w:lineRule="auto"/>
        <w:jc w:val="both"/>
        <w:rPr>
          <w:rFonts w:ascii="Arial" w:hAnsi="Arial" w:eastAsia="Arial" w:cs="Arial"/>
          <w:noProof w:val="0"/>
          <w:sz w:val="22"/>
          <w:szCs w:val="22"/>
          <w:lang w:val="en-GB"/>
        </w:rPr>
      </w:pPr>
      <w:r w:rsidRPr="00BC2CF1" w:rsidR="05B3309E">
        <w:rPr>
          <w:rFonts w:ascii="Arial" w:hAnsi="Arial" w:eastAsia="Arial" w:cs="Arial"/>
          <w:noProof w:val="0"/>
          <w:sz w:val="22"/>
          <w:szCs w:val="22"/>
          <w:lang w:val="en-GB"/>
        </w:rPr>
        <w:t xml:space="preserve">A new neurological condition that presents serious difficulties for the health and social care systems is small fibre neuropathy (SFN). It primarily affects people with diabetes, autoimmune diseases, or idiopathic pain syndromes, causing autonomic dysfunction, sensory abnormalities, and chronic pain. The limitations of traditional nerve conduction studies and the subtle and varied presentation of SFN </w:t>
      </w:r>
      <w:r w:rsidRPr="00BC2CF1" w:rsidR="05B3309E">
        <w:rPr>
          <w:rFonts w:ascii="Arial" w:hAnsi="Arial" w:eastAsia="Arial" w:cs="Arial"/>
          <w:noProof w:val="0"/>
          <w:sz w:val="22"/>
          <w:szCs w:val="22"/>
          <w:lang w:val="en-GB"/>
        </w:rPr>
        <w:t>frequently</w:t>
      </w:r>
      <w:r w:rsidRPr="00BC2CF1" w:rsidR="05B3309E">
        <w:rPr>
          <w:rFonts w:ascii="Arial" w:hAnsi="Arial" w:eastAsia="Arial" w:cs="Arial"/>
          <w:noProof w:val="0"/>
          <w:sz w:val="22"/>
          <w:szCs w:val="22"/>
          <w:lang w:val="en-GB"/>
        </w:rPr>
        <w:t xml:space="preserve"> result in missed or delayed diagnoses, which worsens patient distress and lowers quality of life. Research highlights the necessity of both standardised diagnostic criteria and sophisticated diagnostic methods, such as skin biopsy and quantitative sensory testing, </w:t>
      </w:r>
      <w:r w:rsidRPr="00BC2CF1" w:rsidR="05B3309E">
        <w:rPr>
          <w:rFonts w:ascii="Arial" w:hAnsi="Arial" w:eastAsia="Arial" w:cs="Arial"/>
          <w:noProof w:val="0"/>
          <w:sz w:val="22"/>
          <w:szCs w:val="22"/>
          <w:lang w:val="en-GB"/>
        </w:rPr>
        <w:t>in order to</w:t>
      </w:r>
      <w:r w:rsidRPr="00BC2CF1" w:rsidR="05B3309E">
        <w:rPr>
          <w:rFonts w:ascii="Arial" w:hAnsi="Arial" w:eastAsia="Arial" w:cs="Arial"/>
          <w:noProof w:val="0"/>
          <w:sz w:val="22"/>
          <w:szCs w:val="22"/>
          <w:lang w:val="en-GB"/>
        </w:rPr>
        <w:t xml:space="preserve"> </w:t>
      </w:r>
      <w:r w:rsidRPr="00BC2CF1" w:rsidR="05B3309E">
        <w:rPr>
          <w:rFonts w:ascii="Arial" w:hAnsi="Arial" w:eastAsia="Arial" w:cs="Arial"/>
          <w:noProof w:val="0"/>
          <w:sz w:val="22"/>
          <w:szCs w:val="22"/>
          <w:lang w:val="en-GB"/>
        </w:rPr>
        <w:t>facilitate</w:t>
      </w:r>
      <w:r w:rsidRPr="00BC2CF1" w:rsidR="05B3309E">
        <w:rPr>
          <w:rFonts w:ascii="Arial" w:hAnsi="Arial" w:eastAsia="Arial" w:cs="Arial"/>
          <w:noProof w:val="0"/>
          <w:sz w:val="22"/>
          <w:szCs w:val="22"/>
          <w:lang w:val="en-GB"/>
        </w:rPr>
        <w:t xml:space="preserve"> early and precise identification. An integrated strategy that incorporates social care interventions, physical therapy, psychological support, and pharmaceutical treatment is necessary for effective management. By supporting patients' everyday functioning, mental health, and long-term independence, a comprehensive approach to SFN not only enhances clinical outcomes but also lessens the social and financial burden.</w:t>
      </w:r>
    </w:p>
    <w:p w:rsidR="00BC2CF1" w:rsidP="00BC2CF1" w:rsidRDefault="00BC2CF1" w14:paraId="4D8A3937" w14:textId="3B4B123B">
      <w:pPr>
        <w:pStyle w:val="Normal"/>
        <w:spacing w:line="360" w:lineRule="auto"/>
        <w:jc w:val="both"/>
        <w:rPr>
          <w:rFonts w:ascii="Arial" w:hAnsi="Arial" w:eastAsia="Arial" w:cs="Arial"/>
          <w:noProof w:val="0"/>
          <w:sz w:val="22"/>
          <w:szCs w:val="22"/>
          <w:lang w:val="en-GB"/>
        </w:rPr>
      </w:pPr>
    </w:p>
    <w:p w:rsidR="00BC2CF1" w:rsidP="00BC2CF1" w:rsidRDefault="00BC2CF1" w14:paraId="518DEEEA" w14:textId="2021A57A">
      <w:pPr>
        <w:pStyle w:val="Normal"/>
        <w:spacing w:line="360" w:lineRule="auto"/>
        <w:jc w:val="both"/>
        <w:rPr>
          <w:rFonts w:ascii="Arial" w:hAnsi="Arial" w:eastAsia="Arial" w:cs="Arial"/>
          <w:noProof w:val="0"/>
          <w:sz w:val="22"/>
          <w:szCs w:val="22"/>
          <w:lang w:val="en-GB"/>
        </w:rPr>
      </w:pPr>
    </w:p>
    <w:p w:rsidR="00BC2CF1" w:rsidP="00BC2CF1" w:rsidRDefault="00BC2CF1" w14:paraId="52D32E8E" w14:textId="185DAAE4">
      <w:pPr>
        <w:pStyle w:val="Normal"/>
        <w:spacing w:line="360" w:lineRule="auto"/>
        <w:jc w:val="both"/>
        <w:rPr>
          <w:rFonts w:ascii="Arial" w:hAnsi="Arial" w:eastAsia="Arial" w:cs="Arial"/>
          <w:b w:val="1"/>
          <w:bCs w:val="1"/>
          <w:noProof w:val="0"/>
          <w:sz w:val="28"/>
          <w:szCs w:val="28"/>
          <w:lang w:val="en-GB"/>
        </w:rPr>
      </w:pPr>
    </w:p>
    <w:p w:rsidR="3C43C26A" w:rsidP="00BC2CF1" w:rsidRDefault="3C43C26A" w14:paraId="07635F02" w14:textId="56119FF0">
      <w:pPr>
        <w:pStyle w:val="Normal"/>
        <w:spacing w:line="360" w:lineRule="auto"/>
        <w:jc w:val="both"/>
        <w:rPr>
          <w:rFonts w:ascii="Arial" w:hAnsi="Arial" w:eastAsia="Arial" w:cs="Arial"/>
          <w:b w:val="1"/>
          <w:bCs w:val="1"/>
          <w:noProof w:val="0"/>
          <w:sz w:val="28"/>
          <w:szCs w:val="28"/>
          <w:lang w:val="en-GB"/>
        </w:rPr>
      </w:pPr>
      <w:r w:rsidRPr="00BC2CF1" w:rsidR="3C43C26A">
        <w:rPr>
          <w:rFonts w:ascii="Arial" w:hAnsi="Arial" w:eastAsia="Arial" w:cs="Arial"/>
          <w:b w:val="1"/>
          <w:bCs w:val="1"/>
          <w:noProof w:val="0"/>
          <w:sz w:val="28"/>
          <w:szCs w:val="28"/>
          <w:lang w:val="en-GB"/>
        </w:rPr>
        <w:t xml:space="preserve">Reference List </w:t>
      </w:r>
    </w:p>
    <w:p w:rsidR="3C43C26A" w:rsidP="00BC2CF1" w:rsidRDefault="3C43C26A" w14:paraId="7EF09662" w14:textId="29B8B3E8">
      <w:pPr>
        <w:pStyle w:val="ListParagraph"/>
        <w:numPr>
          <w:ilvl w:val="0"/>
          <w:numId w:val="3"/>
        </w:numPr>
        <w:spacing w:line="360" w:lineRule="auto"/>
        <w:jc w:val="both"/>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Devigili</w:t>
      </w:r>
      <w:r w:rsidRPr="00BC2CF1" w:rsidR="3C43C26A">
        <w:rPr>
          <w:rFonts w:ascii="Arial" w:hAnsi="Arial" w:eastAsia="Arial" w:cs="Arial"/>
          <w:noProof w:val="0"/>
          <w:sz w:val="22"/>
          <w:szCs w:val="22"/>
          <w:lang w:val="en-GB"/>
        </w:rPr>
        <w:t xml:space="preserve">, G., Rinaldo, S., Lombardi, R., et al. (2019) ‘Diagnostic criteria for small fibre neuropathy in clinical practice and research’, </w:t>
      </w:r>
      <w:r w:rsidRPr="00BC2CF1" w:rsidR="3C43C26A">
        <w:rPr>
          <w:rFonts w:ascii="Arial" w:hAnsi="Arial" w:eastAsia="Arial" w:cs="Arial"/>
          <w:i w:val="1"/>
          <w:iCs w:val="1"/>
          <w:noProof w:val="0"/>
          <w:sz w:val="22"/>
          <w:szCs w:val="22"/>
          <w:lang w:val="en-GB"/>
        </w:rPr>
        <w:t>Brain</w:t>
      </w:r>
      <w:r w:rsidRPr="00BC2CF1" w:rsidR="3C43C26A">
        <w:rPr>
          <w:rFonts w:ascii="Arial" w:hAnsi="Arial" w:eastAsia="Arial" w:cs="Arial"/>
          <w:noProof w:val="0"/>
          <w:sz w:val="22"/>
          <w:szCs w:val="22"/>
          <w:lang w:val="en-GB"/>
        </w:rPr>
        <w:t>, 142(12), pp. 3728–3736.</w:t>
      </w:r>
    </w:p>
    <w:p w:rsidR="3C43C26A" w:rsidP="00BC2CF1" w:rsidRDefault="3C43C26A" w14:paraId="7C1162AD" w14:textId="2CCD336D">
      <w:pPr>
        <w:pStyle w:val="ListParagraph"/>
        <w:numPr>
          <w:ilvl w:val="0"/>
          <w:numId w:val="3"/>
        </w:numPr>
        <w:spacing w:before="240" w:beforeAutospacing="off" w:after="240" w:afterAutospacing="off" w:line="360" w:lineRule="auto"/>
        <w:jc w:val="left"/>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 xml:space="preserve">Doppler, K., Rittner, H.L., </w:t>
      </w:r>
      <w:r w:rsidRPr="00BC2CF1" w:rsidR="3C43C26A">
        <w:rPr>
          <w:rFonts w:ascii="Arial" w:hAnsi="Arial" w:eastAsia="Arial" w:cs="Arial"/>
          <w:noProof w:val="0"/>
          <w:sz w:val="22"/>
          <w:szCs w:val="22"/>
          <w:lang w:val="en-GB"/>
        </w:rPr>
        <w:t>Deckart</w:t>
      </w:r>
      <w:r w:rsidRPr="00BC2CF1" w:rsidR="3C43C26A">
        <w:rPr>
          <w:rFonts w:ascii="Arial" w:hAnsi="Arial" w:eastAsia="Arial" w:cs="Arial"/>
          <w:noProof w:val="0"/>
          <w:sz w:val="22"/>
          <w:szCs w:val="22"/>
          <w:lang w:val="en-GB"/>
        </w:rPr>
        <w:t xml:space="preserve">, M. &amp; Sommer, C. (2015) ‘Reduced dermal nerve fibre density in patients with fibromyalgia’, </w:t>
      </w:r>
      <w:r w:rsidRPr="00BC2CF1" w:rsidR="3C43C26A">
        <w:rPr>
          <w:rFonts w:ascii="Arial" w:hAnsi="Arial" w:eastAsia="Arial" w:cs="Arial"/>
          <w:i w:val="1"/>
          <w:iCs w:val="1"/>
          <w:noProof w:val="0"/>
          <w:sz w:val="22"/>
          <w:szCs w:val="22"/>
          <w:lang w:val="en-GB"/>
        </w:rPr>
        <w:t>Pain</w:t>
      </w:r>
      <w:r w:rsidRPr="00BC2CF1" w:rsidR="3C43C26A">
        <w:rPr>
          <w:rFonts w:ascii="Arial" w:hAnsi="Arial" w:eastAsia="Arial" w:cs="Arial"/>
          <w:noProof w:val="0"/>
          <w:sz w:val="22"/>
          <w:szCs w:val="22"/>
          <w:lang w:val="en-GB"/>
        </w:rPr>
        <w:t>, 156(11), pp. 2319–2325.</w:t>
      </w:r>
    </w:p>
    <w:p w:rsidR="3C43C26A" w:rsidP="00BC2CF1" w:rsidRDefault="3C43C26A" w14:paraId="7C38909A" w14:textId="27FB415B">
      <w:pPr>
        <w:pStyle w:val="ListParagraph"/>
        <w:numPr>
          <w:ilvl w:val="0"/>
          <w:numId w:val="3"/>
        </w:numPr>
        <w:spacing w:before="240" w:beforeAutospacing="off" w:after="240" w:afterAutospacing="off" w:line="360" w:lineRule="auto"/>
        <w:jc w:val="left"/>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 xml:space="preserve">Lauria, G., </w:t>
      </w:r>
      <w:r w:rsidRPr="00BC2CF1" w:rsidR="3C43C26A">
        <w:rPr>
          <w:rFonts w:ascii="Arial" w:hAnsi="Arial" w:eastAsia="Arial" w:cs="Arial"/>
          <w:noProof w:val="0"/>
          <w:sz w:val="22"/>
          <w:szCs w:val="22"/>
          <w:lang w:val="en-GB"/>
        </w:rPr>
        <w:t>Merkies</w:t>
      </w:r>
      <w:r w:rsidRPr="00BC2CF1" w:rsidR="3C43C26A">
        <w:rPr>
          <w:rFonts w:ascii="Arial" w:hAnsi="Arial" w:eastAsia="Arial" w:cs="Arial"/>
          <w:noProof w:val="0"/>
          <w:sz w:val="22"/>
          <w:szCs w:val="22"/>
          <w:lang w:val="en-GB"/>
        </w:rPr>
        <w:t xml:space="preserve">, I.S.J. &amp; Faber, C.G. (2012) ‘Small fibre neuropathy’, </w:t>
      </w:r>
      <w:r w:rsidRPr="00BC2CF1" w:rsidR="3C43C26A">
        <w:rPr>
          <w:rFonts w:ascii="Arial" w:hAnsi="Arial" w:eastAsia="Arial" w:cs="Arial"/>
          <w:i w:val="1"/>
          <w:iCs w:val="1"/>
          <w:noProof w:val="0"/>
          <w:sz w:val="22"/>
          <w:szCs w:val="22"/>
          <w:lang w:val="en-GB"/>
        </w:rPr>
        <w:t>Current Opinion in Neurology</w:t>
      </w:r>
      <w:r w:rsidRPr="00BC2CF1" w:rsidR="3C43C26A">
        <w:rPr>
          <w:rFonts w:ascii="Arial" w:hAnsi="Arial" w:eastAsia="Arial" w:cs="Arial"/>
          <w:noProof w:val="0"/>
          <w:sz w:val="22"/>
          <w:szCs w:val="22"/>
          <w:lang w:val="en-GB"/>
        </w:rPr>
        <w:t>, 25(5), pp. 542–549.</w:t>
      </w:r>
    </w:p>
    <w:p w:rsidR="3C43C26A" w:rsidP="00BC2CF1" w:rsidRDefault="3C43C26A" w14:paraId="4D806185" w14:textId="1A187341">
      <w:pPr>
        <w:pStyle w:val="ListParagraph"/>
        <w:numPr>
          <w:ilvl w:val="0"/>
          <w:numId w:val="3"/>
        </w:numPr>
        <w:spacing w:before="240" w:beforeAutospacing="off" w:after="240" w:afterAutospacing="off" w:line="360" w:lineRule="auto"/>
        <w:jc w:val="left"/>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Oaklander</w:t>
      </w:r>
      <w:r w:rsidRPr="00BC2CF1" w:rsidR="3C43C26A">
        <w:rPr>
          <w:rFonts w:ascii="Arial" w:hAnsi="Arial" w:eastAsia="Arial" w:cs="Arial"/>
          <w:noProof w:val="0"/>
          <w:sz w:val="22"/>
          <w:szCs w:val="22"/>
          <w:lang w:val="en-GB"/>
        </w:rPr>
        <w:t>, A.L. &amp; Klein, M.M. (2013) ‘Evidence of small-</w:t>
      </w:r>
      <w:r w:rsidRPr="00BC2CF1" w:rsidR="3C43C26A">
        <w:rPr>
          <w:rFonts w:ascii="Arial" w:hAnsi="Arial" w:eastAsia="Arial" w:cs="Arial"/>
          <w:noProof w:val="0"/>
          <w:sz w:val="22"/>
          <w:szCs w:val="22"/>
          <w:lang w:val="en-GB"/>
        </w:rPr>
        <w:t>fiber</w:t>
      </w:r>
      <w:r w:rsidRPr="00BC2CF1" w:rsidR="3C43C26A">
        <w:rPr>
          <w:rFonts w:ascii="Arial" w:hAnsi="Arial" w:eastAsia="Arial" w:cs="Arial"/>
          <w:noProof w:val="0"/>
          <w:sz w:val="22"/>
          <w:szCs w:val="22"/>
          <w:lang w:val="en-GB"/>
        </w:rPr>
        <w:t xml:space="preserve"> polyneuropathy in unexplained, widespread chronic pain’, </w:t>
      </w:r>
      <w:r w:rsidRPr="00BC2CF1" w:rsidR="3C43C26A">
        <w:rPr>
          <w:rFonts w:ascii="Arial" w:hAnsi="Arial" w:eastAsia="Arial" w:cs="Arial"/>
          <w:i w:val="1"/>
          <w:iCs w:val="1"/>
          <w:noProof w:val="0"/>
          <w:sz w:val="22"/>
          <w:szCs w:val="22"/>
          <w:lang w:val="en-GB"/>
        </w:rPr>
        <w:t>Pain</w:t>
      </w:r>
      <w:r w:rsidRPr="00BC2CF1" w:rsidR="3C43C26A">
        <w:rPr>
          <w:rFonts w:ascii="Arial" w:hAnsi="Arial" w:eastAsia="Arial" w:cs="Arial"/>
          <w:noProof w:val="0"/>
          <w:sz w:val="22"/>
          <w:szCs w:val="22"/>
          <w:lang w:val="en-GB"/>
        </w:rPr>
        <w:t>, 154(11), pp. 2310–2316.</w:t>
      </w:r>
    </w:p>
    <w:p w:rsidR="3C43C26A" w:rsidP="00BC2CF1" w:rsidRDefault="3C43C26A" w14:paraId="4553862A" w14:textId="17E9D319">
      <w:pPr>
        <w:pStyle w:val="ListParagraph"/>
        <w:numPr>
          <w:ilvl w:val="0"/>
          <w:numId w:val="3"/>
        </w:numPr>
        <w:spacing w:before="240" w:beforeAutospacing="off" w:after="240" w:afterAutospacing="off" w:line="360" w:lineRule="auto"/>
        <w:jc w:val="left"/>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 xml:space="preserve">Selvarajah, D. &amp; Tesfaye, S. (2012) ‘Advances in diabetic peripheral neuropathy’s pathophysiology, epidemiology, and treatment’, </w:t>
      </w:r>
      <w:r w:rsidRPr="00BC2CF1" w:rsidR="3C43C26A">
        <w:rPr>
          <w:rFonts w:ascii="Arial" w:hAnsi="Arial" w:eastAsia="Arial" w:cs="Arial"/>
          <w:i w:val="1"/>
          <w:iCs w:val="1"/>
          <w:noProof w:val="0"/>
          <w:sz w:val="22"/>
          <w:szCs w:val="22"/>
          <w:lang w:val="en-GB"/>
        </w:rPr>
        <w:t>Diabetes Care</w:t>
      </w:r>
      <w:r w:rsidRPr="00BC2CF1" w:rsidR="3C43C26A">
        <w:rPr>
          <w:rFonts w:ascii="Arial" w:hAnsi="Arial" w:eastAsia="Arial" w:cs="Arial"/>
          <w:noProof w:val="0"/>
          <w:sz w:val="22"/>
          <w:szCs w:val="22"/>
          <w:lang w:val="en-GB"/>
        </w:rPr>
        <w:t>, 35(12), pp. 2451–2458.</w:t>
      </w:r>
    </w:p>
    <w:p w:rsidR="3C43C26A" w:rsidP="00BC2CF1" w:rsidRDefault="3C43C26A" w14:paraId="5AAEF712" w14:textId="7365C406">
      <w:pPr>
        <w:pStyle w:val="ListParagraph"/>
        <w:numPr>
          <w:ilvl w:val="0"/>
          <w:numId w:val="3"/>
        </w:numPr>
        <w:spacing w:before="240" w:beforeAutospacing="off" w:after="240" w:afterAutospacing="off" w:line="360" w:lineRule="auto"/>
        <w:jc w:val="left"/>
        <w:rPr>
          <w:rFonts w:ascii="Arial" w:hAnsi="Arial" w:eastAsia="Arial" w:cs="Arial"/>
          <w:noProof w:val="0"/>
          <w:sz w:val="22"/>
          <w:szCs w:val="22"/>
          <w:lang w:val="en-GB"/>
        </w:rPr>
      </w:pPr>
      <w:r w:rsidRPr="00BC2CF1" w:rsidR="3C43C26A">
        <w:rPr>
          <w:rFonts w:ascii="Arial" w:hAnsi="Arial" w:eastAsia="Arial" w:cs="Arial"/>
          <w:noProof w:val="0"/>
          <w:sz w:val="22"/>
          <w:szCs w:val="22"/>
          <w:lang w:val="en-GB"/>
        </w:rPr>
        <w:t>Üçeyler</w:t>
      </w:r>
      <w:r w:rsidRPr="00BC2CF1" w:rsidR="3C43C26A">
        <w:rPr>
          <w:rFonts w:ascii="Arial" w:hAnsi="Arial" w:eastAsia="Arial" w:cs="Arial"/>
          <w:noProof w:val="0"/>
          <w:sz w:val="22"/>
          <w:szCs w:val="22"/>
          <w:lang w:val="en-GB"/>
        </w:rPr>
        <w:t xml:space="preserve">, N. &amp; Sommer, C. (2018) ‘Small fibre pathology—A culprit for many painful disorders?’, </w:t>
      </w:r>
      <w:r w:rsidRPr="00BC2CF1" w:rsidR="3C43C26A">
        <w:rPr>
          <w:rFonts w:ascii="Arial" w:hAnsi="Arial" w:eastAsia="Arial" w:cs="Arial"/>
          <w:i w:val="1"/>
          <w:iCs w:val="1"/>
          <w:noProof w:val="0"/>
          <w:sz w:val="22"/>
          <w:szCs w:val="22"/>
          <w:lang w:val="en-GB"/>
        </w:rPr>
        <w:t>Nature Reviews Neurology</w:t>
      </w:r>
      <w:r w:rsidRPr="00BC2CF1" w:rsidR="3C43C26A">
        <w:rPr>
          <w:rFonts w:ascii="Arial" w:hAnsi="Arial" w:eastAsia="Arial" w:cs="Arial"/>
          <w:noProof w:val="0"/>
          <w:sz w:val="22"/>
          <w:szCs w:val="22"/>
          <w:lang w:val="en-GB"/>
        </w:rPr>
        <w:t>, 14(9), pp. 523–532.</w:t>
      </w:r>
    </w:p>
    <w:p w:rsidR="00BC2CF1" w:rsidP="00BC2CF1" w:rsidRDefault="00BC2CF1" w14:paraId="1E848FC6" w14:textId="3AD14939">
      <w:pPr>
        <w:pStyle w:val="Normal"/>
        <w:spacing w:line="360" w:lineRule="auto"/>
        <w:jc w:val="both"/>
        <w:rPr>
          <w:rFonts w:ascii="Arial" w:hAnsi="Arial" w:eastAsia="Arial" w:cs="Arial"/>
          <w:noProof w:val="0"/>
          <w:sz w:val="22"/>
          <w:szCs w:val="22"/>
          <w:lang w:val="en-GB"/>
        </w:rPr>
      </w:pPr>
    </w:p>
    <w:p w:rsidR="00BC2CF1" w:rsidP="00BC2CF1" w:rsidRDefault="00BC2CF1" w14:paraId="6F9A3137" w14:textId="4588CC5F">
      <w:pPr>
        <w:pStyle w:val="Normal"/>
        <w:spacing w:line="360" w:lineRule="auto"/>
        <w:jc w:val="both"/>
        <w:rPr>
          <w:rFonts w:ascii="Arial" w:hAnsi="Arial" w:eastAsia="Arial" w:cs="Arial"/>
          <w:noProof w:val="0"/>
          <w:sz w:val="22"/>
          <w:szCs w:val="22"/>
          <w:lang w:val="en-GB"/>
        </w:rPr>
      </w:pPr>
    </w:p>
    <w:p w:rsidR="00BC2CF1" w:rsidP="00BC2CF1" w:rsidRDefault="00BC2CF1" w14:paraId="06A01147" w14:textId="5F633BA7">
      <w:pPr>
        <w:pStyle w:val="Normal"/>
        <w:spacing w:line="360" w:lineRule="auto"/>
        <w:jc w:val="both"/>
        <w:rPr>
          <w:rFonts w:ascii="Arial" w:hAnsi="Arial" w:eastAsia="Arial" w:cs="Arial"/>
          <w:noProof w:val="0"/>
          <w:sz w:val="22"/>
          <w:szCs w:val="22"/>
          <w:lang w:val="en-GB"/>
        </w:rPr>
      </w:pPr>
    </w:p>
    <w:p w:rsidR="00BC2CF1" w:rsidP="00BC2CF1" w:rsidRDefault="00BC2CF1" w14:paraId="28143F38" w14:textId="61E4DE5B">
      <w:pPr>
        <w:pStyle w:val="Normal"/>
        <w:spacing w:line="360" w:lineRule="auto"/>
        <w:jc w:val="both"/>
        <w:rPr>
          <w:rFonts w:ascii="Arial" w:hAnsi="Arial" w:eastAsia="Arial" w:cs="Arial"/>
          <w:noProof w:val="0"/>
          <w:sz w:val="22"/>
          <w:szCs w:val="22"/>
          <w:lang w:val="en-GB"/>
        </w:rPr>
      </w:pPr>
    </w:p>
    <w:p w:rsidR="00BC2CF1" w:rsidP="00BC2CF1" w:rsidRDefault="00BC2CF1" w14:paraId="4C996E1C" w14:textId="6387E393">
      <w:pPr>
        <w:pStyle w:val="Normal"/>
        <w:spacing w:line="360" w:lineRule="auto"/>
        <w:jc w:val="both"/>
        <w:rPr>
          <w:rFonts w:ascii="Arial" w:hAnsi="Arial" w:eastAsia="Arial" w:cs="Arial"/>
          <w:noProof w:val="0"/>
          <w:sz w:val="22"/>
          <w:szCs w:val="22"/>
          <w:lang w:val="en-GB"/>
        </w:rPr>
      </w:pPr>
    </w:p>
    <w:p w:rsidR="00BC2CF1" w:rsidP="00BC2CF1" w:rsidRDefault="00BC2CF1" w14:paraId="60A66AEB" w14:textId="42767376">
      <w:pPr>
        <w:pStyle w:val="Normal"/>
        <w:spacing w:line="360" w:lineRule="auto"/>
        <w:jc w:val="both"/>
        <w:rPr>
          <w:rFonts w:ascii="Arial" w:hAnsi="Arial" w:eastAsia="Arial" w:cs="Arial"/>
          <w:noProof w:val="0"/>
          <w:sz w:val="22"/>
          <w:szCs w:val="22"/>
          <w:lang w:val="en-GB"/>
        </w:rPr>
      </w:pPr>
    </w:p>
    <w:p w:rsidR="00BC2CF1" w:rsidP="00BC2CF1" w:rsidRDefault="00BC2CF1" w14:paraId="521903B5" w14:textId="4E4F5B30">
      <w:pPr>
        <w:pStyle w:val="Normal"/>
        <w:spacing w:line="360" w:lineRule="auto"/>
        <w:jc w:val="both"/>
        <w:rPr>
          <w:rFonts w:ascii="Arial" w:hAnsi="Arial" w:eastAsia="Arial" w:cs="Arial"/>
          <w:noProof w:val="0"/>
          <w:sz w:val="22"/>
          <w:szCs w:val="22"/>
          <w:lang w:val="en-GB"/>
        </w:rPr>
      </w:pPr>
    </w:p>
    <w:p w:rsidR="00BC2CF1" w:rsidP="00BC2CF1" w:rsidRDefault="00BC2CF1" w14:paraId="04C8B5F3" w14:textId="6FE01609">
      <w:pPr>
        <w:pStyle w:val="Normal"/>
        <w:spacing w:line="360" w:lineRule="auto"/>
        <w:jc w:val="both"/>
        <w:rPr>
          <w:rFonts w:ascii="Arial" w:hAnsi="Arial" w:eastAsia="Arial" w:cs="Arial"/>
          <w:noProof w:val="0"/>
          <w:sz w:val="22"/>
          <w:szCs w:val="22"/>
          <w:lang w:val="en-GB"/>
        </w:rPr>
      </w:pPr>
    </w:p>
    <w:p w:rsidR="00BC2CF1" w:rsidP="00BC2CF1" w:rsidRDefault="00BC2CF1" w14:paraId="42A2ACAD" w14:textId="41323EA1">
      <w:pPr>
        <w:pStyle w:val="Normal"/>
        <w:spacing w:line="360" w:lineRule="auto"/>
        <w:jc w:val="both"/>
        <w:rPr>
          <w:rFonts w:ascii="Arial" w:hAnsi="Arial" w:eastAsia="Arial" w:cs="Arial"/>
          <w:noProof w:val="0"/>
          <w:sz w:val="22"/>
          <w:szCs w:val="22"/>
          <w:lang w:val="en-GB"/>
        </w:rPr>
      </w:pPr>
    </w:p>
    <w:p w:rsidR="00BC2CF1" w:rsidP="00BC2CF1" w:rsidRDefault="00BC2CF1" w14:paraId="3C5BF7CE" w14:textId="55F7F595">
      <w:pPr>
        <w:pStyle w:val="Normal"/>
        <w:spacing w:line="360" w:lineRule="auto"/>
        <w:jc w:val="both"/>
        <w:rPr>
          <w:rFonts w:ascii="Arial" w:hAnsi="Arial" w:eastAsia="Arial" w:cs="Arial"/>
          <w:noProof w:val="0"/>
          <w:sz w:val="22"/>
          <w:szCs w:val="22"/>
          <w:lang w:val="en-GB"/>
        </w:rPr>
      </w:pPr>
    </w:p>
    <w:p w:rsidR="00BC2CF1" w:rsidP="00BC2CF1" w:rsidRDefault="00BC2CF1" w14:paraId="4A7BA0A9" w14:textId="5D985D68">
      <w:pPr>
        <w:pStyle w:val="Normal"/>
        <w:spacing w:line="360" w:lineRule="auto"/>
        <w:jc w:val="both"/>
        <w:rPr>
          <w:rFonts w:ascii="Arial" w:hAnsi="Arial" w:eastAsia="Arial" w:cs="Arial"/>
          <w:noProof w:val="0"/>
          <w:sz w:val="22"/>
          <w:szCs w:val="22"/>
          <w:lang w:val="en-GB"/>
        </w:rPr>
      </w:pPr>
    </w:p>
    <w:p w:rsidR="00BC2CF1" w:rsidP="00BC2CF1" w:rsidRDefault="00BC2CF1" w14:paraId="20436639" w14:textId="0F9FF201">
      <w:pPr>
        <w:pStyle w:val="Normal"/>
        <w:spacing w:line="360" w:lineRule="auto"/>
        <w:jc w:val="both"/>
        <w:rPr>
          <w:rFonts w:ascii="Arial" w:hAnsi="Arial" w:eastAsia="Arial" w:cs="Arial"/>
          <w:noProof w:val="0"/>
          <w:sz w:val="22"/>
          <w:szCs w:val="22"/>
          <w:lang w:val="en-GB"/>
        </w:rPr>
      </w:pPr>
    </w:p>
    <w:p w:rsidR="00BC2CF1" w:rsidP="00BC2CF1" w:rsidRDefault="00BC2CF1" w14:paraId="60D8EFC1" w14:textId="27B2A13E">
      <w:pPr>
        <w:pStyle w:val="Normal"/>
        <w:spacing w:line="360" w:lineRule="auto"/>
        <w:jc w:val="both"/>
        <w:rPr>
          <w:rFonts w:ascii="Arial" w:hAnsi="Arial" w:eastAsia="Arial" w:cs="Arial"/>
          <w:noProof w:val="0"/>
          <w:sz w:val="22"/>
          <w:szCs w:val="22"/>
          <w:lang w:val="en-GB"/>
        </w:rPr>
      </w:pPr>
    </w:p>
    <w:p w:rsidR="00BC2CF1" w:rsidP="00BC2CF1" w:rsidRDefault="00BC2CF1" w14:paraId="76A4A269" w14:textId="75EF2440">
      <w:pPr>
        <w:pStyle w:val="Normal"/>
        <w:spacing w:line="360" w:lineRule="auto"/>
        <w:jc w:val="both"/>
        <w:rPr>
          <w:rFonts w:ascii="Arial" w:hAnsi="Arial" w:eastAsia="Arial" w:cs="Arial"/>
          <w:noProof w:val="0"/>
          <w:sz w:val="22"/>
          <w:szCs w:val="22"/>
          <w:lang w:val="en-GB"/>
        </w:rPr>
      </w:pPr>
    </w:p>
    <w:p w:rsidR="00BC2CF1" w:rsidP="00BC2CF1" w:rsidRDefault="00BC2CF1" w14:paraId="6ACA0B40" w14:textId="0A326955">
      <w:pPr>
        <w:pStyle w:val="Normal"/>
        <w:spacing w:line="360" w:lineRule="auto"/>
        <w:jc w:val="both"/>
        <w:rPr>
          <w:rFonts w:ascii="Arial" w:hAnsi="Arial" w:eastAsia="Arial" w:cs="Arial"/>
          <w:noProof w:val="0"/>
          <w:sz w:val="22"/>
          <w:szCs w:val="22"/>
          <w:lang w:val="en-GB"/>
        </w:rPr>
      </w:pPr>
    </w:p>
    <w:p w:rsidR="00BC2CF1" w:rsidP="00BC2CF1" w:rsidRDefault="00BC2CF1" w14:paraId="0DB1068E" w14:textId="1EB075F2">
      <w:pPr>
        <w:pStyle w:val="Normal"/>
        <w:spacing w:line="360" w:lineRule="auto"/>
        <w:jc w:val="both"/>
        <w:rPr>
          <w:rFonts w:ascii="Arial" w:hAnsi="Arial" w:eastAsia="Arial" w:cs="Arial"/>
          <w:noProof w:val="0"/>
          <w:sz w:val="22"/>
          <w:szCs w:val="22"/>
          <w:lang w:val="en-GB"/>
        </w:rPr>
      </w:pPr>
    </w:p>
    <w:p w:rsidR="00BC2CF1" w:rsidP="00BC2CF1" w:rsidRDefault="00BC2CF1" w14:paraId="47A5854E" w14:textId="38524532">
      <w:pPr>
        <w:pStyle w:val="Normal"/>
        <w:spacing w:line="360" w:lineRule="auto"/>
        <w:jc w:val="both"/>
        <w:rPr>
          <w:rFonts w:ascii="Arial" w:hAnsi="Arial" w:eastAsia="Arial" w:cs="Arial"/>
          <w:noProof w:val="0"/>
          <w:sz w:val="22"/>
          <w:szCs w:val="22"/>
          <w:lang w:val="en-GB"/>
        </w:rPr>
      </w:pPr>
    </w:p>
    <w:p w:rsidR="00BC2CF1" w:rsidP="00BC2CF1" w:rsidRDefault="00BC2CF1" w14:paraId="0837CA4A" w14:textId="1120A845">
      <w:pPr>
        <w:pStyle w:val="Normal"/>
        <w:spacing w:line="360" w:lineRule="auto"/>
        <w:jc w:val="both"/>
        <w:rPr>
          <w:rFonts w:ascii="Arial" w:hAnsi="Arial" w:eastAsia="Arial" w:cs="Arial"/>
          <w:noProof w:val="0"/>
          <w:sz w:val="22"/>
          <w:szCs w:val="22"/>
          <w:lang w:val="en-GB"/>
        </w:rPr>
      </w:pPr>
    </w:p>
    <w:p w:rsidR="00BC2CF1" w:rsidP="00BC2CF1" w:rsidRDefault="00BC2CF1" w14:paraId="5E5DA7C7" w14:textId="3DFA62DE">
      <w:pPr>
        <w:pStyle w:val="Normal"/>
        <w:spacing w:line="360" w:lineRule="auto"/>
        <w:jc w:val="left"/>
        <w:rPr>
          <w:rFonts w:ascii="Arial" w:hAnsi="Arial" w:eastAsia="Arial" w:cs="Arial"/>
          <w:b w:val="1"/>
          <w:bCs w:val="1"/>
          <w:noProof w:val="0"/>
          <w:color w:val="auto"/>
          <w:sz w:val="22"/>
          <w:szCs w:val="22"/>
          <w:lang w:val="en-GB"/>
        </w:rPr>
      </w:pPr>
    </w:p>
    <w:p w:rsidR="00BC2CF1" w:rsidP="00BC2CF1" w:rsidRDefault="00BC2CF1" w14:paraId="36AD1439" w14:textId="7D546C27">
      <w:pPr>
        <w:pStyle w:val="Normal"/>
        <w:spacing w:line="360" w:lineRule="auto"/>
        <w:jc w:val="left"/>
        <w:rPr>
          <w:rFonts w:ascii="Arial" w:hAnsi="Arial" w:eastAsia="Arial" w:cs="Arial"/>
          <w:b w:val="1"/>
          <w:bCs w:val="1"/>
          <w:noProof w:val="0"/>
          <w:color w:val="auto"/>
          <w:sz w:val="22"/>
          <w:szCs w:val="22"/>
          <w:lang w:val="en-GB"/>
        </w:rPr>
      </w:pPr>
    </w:p>
    <w:p w:rsidR="00BC2CF1" w:rsidP="00BC2CF1" w:rsidRDefault="00BC2CF1" w14:paraId="38CB40F5" w14:textId="700795E9">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36C5457E" w14:textId="54A61481">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5238F93B" w14:textId="7B091DE2">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3404D37E" w14:textId="02CE416E">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1ABF295C" w14:textId="41289DE9">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5FF55323" w14:textId="7FA7683A">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0EFC49DA" w14:textId="0D50D22D">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140CB4D3" w14:textId="3F71820B">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66C920DA" w14:textId="4E9F9DF9">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07F54DD7" w14:textId="2A28B23C">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219E6A85" w14:textId="4A66ED3D">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69410931" w14:textId="5599B453">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4E05A123" w14:textId="4B2C5E93">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4670CD58" w14:textId="38522F3B">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0F2DA606" w14:textId="71315C2C">
      <w:pPr>
        <w:pStyle w:val="Normal"/>
        <w:spacing w:line="360" w:lineRule="auto"/>
        <w:jc w:val="both"/>
        <w:rPr>
          <w:rFonts w:ascii="Arial" w:hAnsi="Arial" w:eastAsia="Arial" w:cs="Arial"/>
          <w:b w:val="1"/>
          <w:bCs w:val="1"/>
          <w:noProof w:val="0"/>
          <w:sz w:val="32"/>
          <w:szCs w:val="32"/>
          <w:lang w:val="en-GB"/>
        </w:rPr>
      </w:pPr>
    </w:p>
    <w:p w:rsidR="00BC2CF1" w:rsidP="00BC2CF1" w:rsidRDefault="00BC2CF1" w14:paraId="2DE174CC" w14:textId="698AA5EF">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PIAs3+iJIs6ms" int2:id="4F2dfK0q">
      <int2:state int2:type="spell" int2:value="Rejected"/>
    </int2:textHash>
    <int2:textHash int2:hashCode="L00t5oOQlnC6Vv" int2:id="d6aQJy8l">
      <int2:state int2:type="spell" int2:value="Rejected"/>
    </int2:textHash>
    <int2:textHash int2:hashCode="YstBLe6uJM1bqV" int2:id="WaLRJ2BB">
      <int2:state int2:type="spell" int2:value="Rejected"/>
    </int2:textHash>
    <int2:textHash int2:hashCode="KrY0pCDA92mxjg" int2:id="HE6GxbF3">
      <int2:state int2:type="spell" int2:value="Rejected"/>
    </int2:textHash>
    <int2:textHash int2:hashCode="j2KQmLikav4MzI" int2:id="delAYjKF">
      <int2:state int2:type="spell" int2:value="Rejected"/>
    </int2:textHash>
    <int2:bookmark int2:bookmarkName="_Int_I1ANQuWv" int2:invalidationBookmarkName="" int2:hashCode="ZD4DPyxyvbq3AT" int2:id="oJAdMU2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2526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8704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cf1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7E80BF"/>
    <w:rsid w:val="00BC2CF1"/>
    <w:rsid w:val="01270288"/>
    <w:rsid w:val="01FF38D1"/>
    <w:rsid w:val="025D6D93"/>
    <w:rsid w:val="02680A75"/>
    <w:rsid w:val="02753A9B"/>
    <w:rsid w:val="02E16F59"/>
    <w:rsid w:val="045A8AFB"/>
    <w:rsid w:val="048CD8C7"/>
    <w:rsid w:val="05B3309E"/>
    <w:rsid w:val="05EEB0DB"/>
    <w:rsid w:val="0704ED5B"/>
    <w:rsid w:val="07687CCC"/>
    <w:rsid w:val="0874A086"/>
    <w:rsid w:val="08946EBC"/>
    <w:rsid w:val="0900A6E3"/>
    <w:rsid w:val="09FFC129"/>
    <w:rsid w:val="0A4D2459"/>
    <w:rsid w:val="0B1E26A2"/>
    <w:rsid w:val="0B434B3C"/>
    <w:rsid w:val="0CB6EDAD"/>
    <w:rsid w:val="0D02A021"/>
    <w:rsid w:val="0D55D7EC"/>
    <w:rsid w:val="0E2CFB18"/>
    <w:rsid w:val="0F882E3D"/>
    <w:rsid w:val="10CF792E"/>
    <w:rsid w:val="12508563"/>
    <w:rsid w:val="129B77FD"/>
    <w:rsid w:val="140AA976"/>
    <w:rsid w:val="1466C944"/>
    <w:rsid w:val="15B0CC63"/>
    <w:rsid w:val="15CC4224"/>
    <w:rsid w:val="16539DEA"/>
    <w:rsid w:val="17418800"/>
    <w:rsid w:val="1897A185"/>
    <w:rsid w:val="18C2B865"/>
    <w:rsid w:val="18E0E49D"/>
    <w:rsid w:val="1926B80D"/>
    <w:rsid w:val="19683E92"/>
    <w:rsid w:val="1A42CEDF"/>
    <w:rsid w:val="1C72C0BC"/>
    <w:rsid w:val="1CBF32C0"/>
    <w:rsid w:val="1D3245E9"/>
    <w:rsid w:val="1E19E6F6"/>
    <w:rsid w:val="1E2F24D5"/>
    <w:rsid w:val="1E670FB8"/>
    <w:rsid w:val="1E9CD694"/>
    <w:rsid w:val="1F991E30"/>
    <w:rsid w:val="1FAC98AD"/>
    <w:rsid w:val="2029C977"/>
    <w:rsid w:val="20EE29DF"/>
    <w:rsid w:val="22B4A96D"/>
    <w:rsid w:val="22D219CB"/>
    <w:rsid w:val="233E1810"/>
    <w:rsid w:val="2347955A"/>
    <w:rsid w:val="237D9233"/>
    <w:rsid w:val="23FB1775"/>
    <w:rsid w:val="24E94AE8"/>
    <w:rsid w:val="250A4951"/>
    <w:rsid w:val="253C4AB7"/>
    <w:rsid w:val="267E1AE3"/>
    <w:rsid w:val="29D18237"/>
    <w:rsid w:val="2AAB44A7"/>
    <w:rsid w:val="2AFA209B"/>
    <w:rsid w:val="2B555E5E"/>
    <w:rsid w:val="2B869A9E"/>
    <w:rsid w:val="2C22488C"/>
    <w:rsid w:val="2DC6C2C5"/>
    <w:rsid w:val="2FD7FC84"/>
    <w:rsid w:val="30A39FB1"/>
    <w:rsid w:val="320FF947"/>
    <w:rsid w:val="33BE9D1D"/>
    <w:rsid w:val="3431A5D9"/>
    <w:rsid w:val="355AA799"/>
    <w:rsid w:val="36969F95"/>
    <w:rsid w:val="39FBA046"/>
    <w:rsid w:val="3B8EC31D"/>
    <w:rsid w:val="3BFB5E22"/>
    <w:rsid w:val="3C43C26A"/>
    <w:rsid w:val="3C77C9D6"/>
    <w:rsid w:val="3CA2CB18"/>
    <w:rsid w:val="3D470CCE"/>
    <w:rsid w:val="3E78DD28"/>
    <w:rsid w:val="3F486787"/>
    <w:rsid w:val="3FBCAB92"/>
    <w:rsid w:val="3FC7B04A"/>
    <w:rsid w:val="3FEF2B18"/>
    <w:rsid w:val="40DADB8D"/>
    <w:rsid w:val="4101B3EC"/>
    <w:rsid w:val="417F6653"/>
    <w:rsid w:val="41A65D85"/>
    <w:rsid w:val="42166DC1"/>
    <w:rsid w:val="43351622"/>
    <w:rsid w:val="440588FD"/>
    <w:rsid w:val="45620C07"/>
    <w:rsid w:val="46BD35C8"/>
    <w:rsid w:val="47332E77"/>
    <w:rsid w:val="49F7334B"/>
    <w:rsid w:val="4A04B7C6"/>
    <w:rsid w:val="4BE9FBF3"/>
    <w:rsid w:val="4E991008"/>
    <w:rsid w:val="4F7C2C6C"/>
    <w:rsid w:val="503628C7"/>
    <w:rsid w:val="5055F808"/>
    <w:rsid w:val="53C07B6B"/>
    <w:rsid w:val="54229676"/>
    <w:rsid w:val="545947D0"/>
    <w:rsid w:val="5479CD35"/>
    <w:rsid w:val="55F87B73"/>
    <w:rsid w:val="567585B1"/>
    <w:rsid w:val="56F0ADDA"/>
    <w:rsid w:val="56F91ADF"/>
    <w:rsid w:val="57491E44"/>
    <w:rsid w:val="5999EEED"/>
    <w:rsid w:val="5A281AB8"/>
    <w:rsid w:val="5AD475DD"/>
    <w:rsid w:val="5CC1D8D5"/>
    <w:rsid w:val="5D3D055E"/>
    <w:rsid w:val="5ECF780C"/>
    <w:rsid w:val="5EE785BC"/>
    <w:rsid w:val="5FB370ED"/>
    <w:rsid w:val="5FE43272"/>
    <w:rsid w:val="5FF3FF63"/>
    <w:rsid w:val="603FA4FB"/>
    <w:rsid w:val="610BE966"/>
    <w:rsid w:val="62B002E3"/>
    <w:rsid w:val="62B309D6"/>
    <w:rsid w:val="62FFABE2"/>
    <w:rsid w:val="638E98BD"/>
    <w:rsid w:val="651EBC99"/>
    <w:rsid w:val="65C36DB4"/>
    <w:rsid w:val="66376D84"/>
    <w:rsid w:val="6862A7BB"/>
    <w:rsid w:val="68744B27"/>
    <w:rsid w:val="68CD9B3E"/>
    <w:rsid w:val="68CF467D"/>
    <w:rsid w:val="6915C501"/>
    <w:rsid w:val="6ADFFE6D"/>
    <w:rsid w:val="6BF10EB3"/>
    <w:rsid w:val="6C88EAEA"/>
    <w:rsid w:val="6D979C65"/>
    <w:rsid w:val="6E2B8FFB"/>
    <w:rsid w:val="6E3E7236"/>
    <w:rsid w:val="6E48C24A"/>
    <w:rsid w:val="6F7306E8"/>
    <w:rsid w:val="727E80BF"/>
    <w:rsid w:val="745A0862"/>
    <w:rsid w:val="76A603C2"/>
    <w:rsid w:val="7762AAC5"/>
    <w:rsid w:val="77C951D6"/>
    <w:rsid w:val="784A375B"/>
    <w:rsid w:val="787A5DFE"/>
    <w:rsid w:val="7A03A91E"/>
    <w:rsid w:val="7A11A256"/>
    <w:rsid w:val="7A39D5E5"/>
    <w:rsid w:val="7BB7CF67"/>
    <w:rsid w:val="7BDB08B9"/>
    <w:rsid w:val="7E8F2E61"/>
    <w:rsid w:val="7E90255D"/>
    <w:rsid w:val="7F16C4D9"/>
    <w:rsid w:val="7FC5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E80BF"/>
  <w15:chartTrackingRefBased/>
  <w15:docId w15:val="{1E1ED40C-5E71-4950-A44B-354E73A5BA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0BC2CF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f18cfe2a4174210" /><Relationship Type="http://schemas.openxmlformats.org/officeDocument/2006/relationships/numbering" Target="/word/numbering.xml" Id="Rf5240445e9f64f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Naseem Raza (2515554)</dc:creator>
  <keywords/>
  <dc:description/>
  <lastModifiedBy>Nazma Naseem Raza (2515554)</lastModifiedBy>
  <revision>2</revision>
  <dcterms:created xsi:type="dcterms:W3CDTF">2025-11-05T17:59:52.7207676Z</dcterms:created>
  <dcterms:modified xsi:type="dcterms:W3CDTF">2025-11-09T21:33:34.1218516Z</dcterms:modified>
</coreProperties>
</file>