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556AED4" w14:textId="6C966320" w:rsidR="005C1776" w:rsidRDefault="005C1776" w:rsidP="002A44F6">
      <w:pPr>
        <w:pStyle w:val="s3"/>
        <w:spacing w:before="0" w:beforeAutospacing="0" w:after="45" w:afterAutospacing="0"/>
        <w:rPr>
          <w:rFonts w:ascii="-webkit-standard" w:hAnsi="-webkit-standard"/>
          <w:color w:val="000000"/>
          <w:sz w:val="27"/>
          <w:szCs w:val="27"/>
        </w:rPr>
      </w:pPr>
      <w:r>
        <w:rPr>
          <w:rStyle w:val="s4"/>
          <w:rFonts w:ascii="-webkit-standard" w:hAnsi="-webkit-standard"/>
          <w:b/>
          <w:bCs/>
          <w:color w:val="000000"/>
          <w:sz w:val="18"/>
          <w:szCs w:val="18"/>
        </w:rPr>
        <w:t xml:space="preserve"> </w:t>
      </w:r>
    </w:p>
    <w:p w14:paraId="61D9EFB6" w14:textId="6149659C" w:rsidR="00AC26E6" w:rsidRPr="00AC26E6" w:rsidRDefault="00AC26E6" w:rsidP="00AC26E6">
      <w:pPr>
        <w:spacing w:line="360" w:lineRule="auto"/>
        <w:rPr>
          <w:b/>
          <w:bCs/>
          <w:sz w:val="24"/>
          <w:szCs w:val="24"/>
        </w:rPr>
      </w:pPr>
    </w:p>
    <w:p w14:paraId="04E2903C" w14:textId="18D9DA7A" w:rsidR="00AC26E6" w:rsidRPr="00AC26E6" w:rsidRDefault="00AC26E6" w:rsidP="00AC26E6">
      <w:pPr>
        <w:pStyle w:val="Title"/>
        <w:spacing w:line="360" w:lineRule="auto"/>
        <w:jc w:val="center"/>
        <w:rPr>
          <w:b/>
          <w:bCs/>
          <w:sz w:val="24"/>
          <w:szCs w:val="24"/>
        </w:rPr>
      </w:pPr>
      <w:bookmarkStart w:id="0" w:name="_365dkakgqsog" w:colFirst="0" w:colLast="0"/>
      <w:bookmarkEnd w:id="0"/>
      <w:r w:rsidRPr="00AC26E6">
        <w:rPr>
          <w:b/>
          <w:bCs/>
          <w:noProof/>
          <w:sz w:val="24"/>
          <w:szCs w:val="24"/>
        </w:rPr>
        <w:drawing>
          <wp:inline distT="0" distB="0" distL="0" distR="0" wp14:anchorId="789F3895" wp14:editId="10318D1C">
            <wp:extent cx="2057399" cy="862405"/>
            <wp:effectExtent l="0" t="0" r="635" b="1270"/>
            <wp:docPr id="142482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825560" name=""/>
                    <pic:cNvPicPr/>
                  </pic:nvPicPr>
                  <pic:blipFill rotWithShape="1">
                    <a:blip r:embed="rId5"/>
                    <a:srcRect t="-23017" b="-1"/>
                    <a:stretch>
                      <a:fillRect/>
                    </a:stretch>
                  </pic:blipFill>
                  <pic:spPr bwMode="auto">
                    <a:xfrm>
                      <a:off x="0" y="0"/>
                      <a:ext cx="2057578" cy="862480"/>
                    </a:xfrm>
                    <a:prstGeom prst="rect">
                      <a:avLst/>
                    </a:prstGeom>
                    <a:ln>
                      <a:noFill/>
                    </a:ln>
                    <a:extLst>
                      <a:ext uri="{53640926-AAD7-44D8-BBD7-CCE9431645EC}">
                        <a14:shadowObscured xmlns:a14="http://schemas.microsoft.com/office/drawing/2010/main"/>
                      </a:ext>
                    </a:extLst>
                  </pic:spPr>
                </pic:pic>
              </a:graphicData>
            </a:graphic>
          </wp:inline>
        </w:drawing>
      </w:r>
    </w:p>
    <w:p w14:paraId="761F115F" w14:textId="77777777" w:rsidR="00EB2519" w:rsidRPr="004A2FAD" w:rsidRDefault="00EB2519">
      <w:pPr>
        <w:pStyle w:val="s3"/>
        <w:spacing w:before="0" w:beforeAutospacing="0" w:after="45" w:afterAutospacing="0"/>
        <w:jc w:val="center"/>
        <w:rPr>
          <w:rFonts w:ascii="-webkit-standard" w:hAnsi="-webkit-standard"/>
          <w:color w:val="000000"/>
          <w:sz w:val="36"/>
          <w:szCs w:val="36"/>
        </w:rPr>
      </w:pPr>
      <w:r w:rsidRPr="004A2FAD">
        <w:rPr>
          <w:rStyle w:val="s4"/>
          <w:rFonts w:ascii="-webkit-standard" w:hAnsi="-webkit-standard"/>
          <w:b/>
          <w:bCs/>
          <w:color w:val="000000"/>
          <w:sz w:val="36"/>
          <w:szCs w:val="36"/>
        </w:rPr>
        <w:t>Disability and Health Inequalities in the United Kingdom</w:t>
      </w:r>
    </w:p>
    <w:p w14:paraId="2D898B8F" w14:textId="77777777" w:rsidR="00651ED4" w:rsidRPr="00651ED4" w:rsidRDefault="00651ED4" w:rsidP="00651ED4">
      <w:pPr>
        <w:pStyle w:val="p1"/>
        <w:jc w:val="center"/>
        <w:rPr>
          <w:sz w:val="36"/>
          <w:szCs w:val="36"/>
        </w:rPr>
      </w:pPr>
      <w:r w:rsidRPr="00651ED4">
        <w:rPr>
          <w:rStyle w:val="s1"/>
          <w:sz w:val="36"/>
          <w:szCs w:val="36"/>
        </w:rPr>
        <w:t>Module Code: LCHS7000</w:t>
      </w:r>
    </w:p>
    <w:p w14:paraId="10BBBACE" w14:textId="77777777" w:rsidR="00651ED4" w:rsidRPr="00651ED4" w:rsidRDefault="00651ED4" w:rsidP="00651ED4">
      <w:pPr>
        <w:pStyle w:val="p1"/>
        <w:jc w:val="center"/>
        <w:rPr>
          <w:sz w:val="36"/>
          <w:szCs w:val="36"/>
        </w:rPr>
      </w:pPr>
      <w:r w:rsidRPr="00651ED4">
        <w:rPr>
          <w:rStyle w:val="s1"/>
          <w:sz w:val="36"/>
          <w:szCs w:val="36"/>
        </w:rPr>
        <w:t>Module Name: Social Epidemiology and Public Health Development</w:t>
      </w:r>
    </w:p>
    <w:p w14:paraId="0CFA19C0" w14:textId="24600D10" w:rsidR="00651ED4" w:rsidRPr="00651ED4" w:rsidRDefault="00651ED4" w:rsidP="00651ED4">
      <w:pPr>
        <w:pStyle w:val="p1"/>
        <w:jc w:val="center"/>
        <w:rPr>
          <w:sz w:val="36"/>
          <w:szCs w:val="36"/>
        </w:rPr>
      </w:pPr>
      <w:r w:rsidRPr="00651ED4">
        <w:rPr>
          <w:rStyle w:val="s1"/>
          <w:sz w:val="36"/>
          <w:szCs w:val="36"/>
        </w:rPr>
        <w:t>Assignment Title</w:t>
      </w:r>
      <w:r>
        <w:rPr>
          <w:rStyle w:val="s1"/>
          <w:sz w:val="36"/>
          <w:szCs w:val="36"/>
        </w:rPr>
        <w:t>:</w:t>
      </w:r>
      <w:r w:rsidRPr="00651ED4">
        <w:rPr>
          <w:rFonts w:ascii="Arial" w:eastAsia="Times New Roman" w:hAnsi="Arial" w:cs="Arial"/>
          <w:b/>
          <w:bCs/>
          <w:color w:val="000000"/>
          <w:sz w:val="17"/>
          <w:szCs w:val="17"/>
        </w:rPr>
        <w:t xml:space="preserve"> </w:t>
      </w:r>
      <w:r w:rsidRPr="00651ED4">
        <w:rPr>
          <w:rFonts w:ascii="Arial" w:eastAsia="Times New Roman" w:hAnsi="Arial" w:cs="Arial"/>
          <w:color w:val="000000"/>
          <w:sz w:val="36"/>
          <w:szCs w:val="36"/>
        </w:rPr>
        <w:t>Analytical Report</w:t>
      </w:r>
    </w:p>
    <w:p w14:paraId="71BA94F7" w14:textId="05C70F61" w:rsidR="00651ED4" w:rsidRPr="00651ED4" w:rsidRDefault="00651ED4" w:rsidP="00651ED4">
      <w:pPr>
        <w:pStyle w:val="p1"/>
        <w:jc w:val="center"/>
        <w:rPr>
          <w:sz w:val="36"/>
          <w:szCs w:val="36"/>
        </w:rPr>
      </w:pPr>
      <w:r w:rsidRPr="00651ED4">
        <w:rPr>
          <w:rStyle w:val="s1"/>
          <w:sz w:val="36"/>
          <w:szCs w:val="36"/>
        </w:rPr>
        <w:t xml:space="preserve">Student Name: ABIN </w:t>
      </w:r>
      <w:proofErr w:type="spellStart"/>
      <w:r w:rsidRPr="00651ED4">
        <w:rPr>
          <w:rStyle w:val="s1"/>
          <w:sz w:val="36"/>
          <w:szCs w:val="36"/>
        </w:rPr>
        <w:t>CHERUKUNNEL</w:t>
      </w:r>
      <w:proofErr w:type="spellEnd"/>
      <w:r w:rsidRPr="00651ED4">
        <w:rPr>
          <w:rStyle w:val="s1"/>
          <w:sz w:val="36"/>
          <w:szCs w:val="36"/>
        </w:rPr>
        <w:t xml:space="preserve"> AJI</w:t>
      </w:r>
    </w:p>
    <w:p w14:paraId="1DF1CD1B" w14:textId="7AAA0764" w:rsidR="00651ED4" w:rsidRPr="00651ED4" w:rsidRDefault="00651ED4" w:rsidP="00651ED4">
      <w:pPr>
        <w:pStyle w:val="p1"/>
        <w:jc w:val="center"/>
        <w:rPr>
          <w:sz w:val="36"/>
          <w:szCs w:val="36"/>
        </w:rPr>
      </w:pPr>
      <w:r w:rsidRPr="00651ED4">
        <w:rPr>
          <w:rStyle w:val="s1"/>
          <w:sz w:val="36"/>
          <w:szCs w:val="36"/>
        </w:rPr>
        <w:t xml:space="preserve">Student ID: </w:t>
      </w:r>
      <w:r w:rsidRPr="00651ED4">
        <w:rPr>
          <w:rStyle w:val="s1"/>
          <w:sz w:val="36"/>
          <w:szCs w:val="36"/>
        </w:rPr>
        <w:t>2535941</w:t>
      </w:r>
    </w:p>
    <w:p w14:paraId="60564492" w14:textId="77777777" w:rsidR="00651ED4" w:rsidRPr="00651ED4" w:rsidRDefault="00651ED4" w:rsidP="00651ED4">
      <w:pPr>
        <w:pStyle w:val="p1"/>
        <w:jc w:val="center"/>
        <w:rPr>
          <w:sz w:val="36"/>
          <w:szCs w:val="36"/>
        </w:rPr>
      </w:pPr>
      <w:r w:rsidRPr="00651ED4">
        <w:rPr>
          <w:rStyle w:val="s1"/>
          <w:sz w:val="36"/>
          <w:szCs w:val="36"/>
        </w:rPr>
        <w:t>Lecturer: Dr Junaid Shaikh</w:t>
      </w:r>
    </w:p>
    <w:p w14:paraId="689184FB" w14:textId="072343A6" w:rsidR="00651ED4" w:rsidRPr="00651ED4" w:rsidRDefault="00651ED4" w:rsidP="00651ED4">
      <w:pPr>
        <w:pStyle w:val="p1"/>
        <w:jc w:val="center"/>
        <w:rPr>
          <w:sz w:val="36"/>
          <w:szCs w:val="36"/>
        </w:rPr>
      </w:pPr>
      <w:r w:rsidRPr="00651ED4">
        <w:rPr>
          <w:rStyle w:val="s1"/>
          <w:sz w:val="36"/>
          <w:szCs w:val="36"/>
        </w:rPr>
        <w:t>Submission Date: 22</w:t>
      </w:r>
      <w:r>
        <w:rPr>
          <w:rStyle w:val="s1"/>
          <w:sz w:val="36"/>
          <w:szCs w:val="36"/>
        </w:rPr>
        <w:t>/7/2026</w:t>
      </w:r>
    </w:p>
    <w:p w14:paraId="6DD01C11" w14:textId="77777777" w:rsidR="003B6BC2" w:rsidRPr="004A2FAD" w:rsidRDefault="003B6BC2" w:rsidP="00AC26E6">
      <w:pPr>
        <w:pStyle w:val="TOCHeading"/>
        <w:spacing w:line="360" w:lineRule="auto"/>
        <w:jc w:val="center"/>
        <w:rPr>
          <w:rFonts w:ascii="Arial" w:eastAsia="Arial" w:hAnsi="Arial" w:cs="Arial"/>
          <w:color w:val="auto"/>
          <w:sz w:val="36"/>
          <w:szCs w:val="36"/>
          <w:lang w:val="en" w:eastAsia="en-IN"/>
        </w:rPr>
      </w:pPr>
    </w:p>
    <w:p w14:paraId="00504AC4"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750C5A44"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6DA4D151"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45BC4A0E" w14:textId="77777777" w:rsidR="00677488" w:rsidRDefault="00677488" w:rsidP="00677488"/>
    <w:p w14:paraId="2013C481" w14:textId="77777777" w:rsidR="00677488" w:rsidRDefault="00677488" w:rsidP="00677488"/>
    <w:p w14:paraId="3F588B66" w14:textId="77777777" w:rsidR="00677488" w:rsidRDefault="00677488" w:rsidP="00677488"/>
    <w:p w14:paraId="730A6F2D" w14:textId="77777777" w:rsidR="00677488" w:rsidRPr="00677488" w:rsidRDefault="00677488" w:rsidP="00677488"/>
    <w:p w14:paraId="365F3EEC" w14:textId="77777777" w:rsidR="003B6BC2" w:rsidRDefault="003B6BC2" w:rsidP="002A44F6">
      <w:pPr>
        <w:pStyle w:val="TOCHeading"/>
        <w:spacing w:line="360" w:lineRule="auto"/>
        <w:rPr>
          <w:rFonts w:ascii="Arial" w:eastAsia="Arial" w:hAnsi="Arial" w:cs="Arial"/>
          <w:color w:val="auto"/>
          <w:sz w:val="24"/>
          <w:szCs w:val="24"/>
          <w:lang w:val="en" w:eastAsia="en-IN"/>
        </w:rPr>
      </w:pPr>
    </w:p>
    <w:p w14:paraId="4B2FBEA0" w14:textId="77777777" w:rsidR="002A44F6" w:rsidRPr="002A44F6" w:rsidRDefault="002A44F6" w:rsidP="002A44F6"/>
    <w:p w14:paraId="669B0ADE"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512079AF"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373CA475"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p w14:paraId="769728B1" w14:textId="77777777" w:rsidR="003B6BC2" w:rsidRDefault="003B6BC2" w:rsidP="00AC26E6">
      <w:pPr>
        <w:pStyle w:val="TOCHeading"/>
        <w:spacing w:line="360" w:lineRule="auto"/>
        <w:jc w:val="center"/>
        <w:rPr>
          <w:rFonts w:ascii="Arial" w:eastAsia="Arial" w:hAnsi="Arial" w:cs="Arial"/>
          <w:color w:val="auto"/>
          <w:sz w:val="24"/>
          <w:szCs w:val="24"/>
          <w:lang w:val="en" w:eastAsia="en-IN"/>
        </w:rPr>
      </w:pPr>
    </w:p>
    <w:sdt>
      <w:sdtPr>
        <w:rPr>
          <w:rFonts w:ascii="Arial" w:eastAsia="Arial" w:hAnsi="Arial" w:cs="Arial"/>
          <w:color w:val="auto"/>
          <w:sz w:val="24"/>
          <w:szCs w:val="24"/>
          <w:lang w:val="en" w:eastAsia="en-IN"/>
        </w:rPr>
        <w:id w:val="-235786402"/>
        <w:docPartObj>
          <w:docPartGallery w:val="Table of Contents"/>
          <w:docPartUnique/>
        </w:docPartObj>
      </w:sdtPr>
      <w:sdtEndPr>
        <w:rPr>
          <w:b/>
          <w:bCs/>
          <w:noProof/>
        </w:rPr>
      </w:sdtEndPr>
      <w:sdtContent>
        <w:p w14:paraId="40E18EA6" w14:textId="2000FBA0" w:rsidR="00AC26E6" w:rsidRPr="00AC26E6" w:rsidRDefault="00AC26E6" w:rsidP="00AC26E6">
          <w:pPr>
            <w:pStyle w:val="TOCHeading"/>
            <w:spacing w:line="360" w:lineRule="auto"/>
            <w:jc w:val="center"/>
            <w:rPr>
              <w:rFonts w:ascii="Arial" w:hAnsi="Arial" w:cs="Arial"/>
              <w:b/>
              <w:bCs/>
              <w:color w:val="auto"/>
              <w:sz w:val="24"/>
              <w:szCs w:val="24"/>
            </w:rPr>
          </w:pPr>
          <w:r w:rsidRPr="00AC26E6">
            <w:rPr>
              <w:rFonts w:ascii="Arial" w:hAnsi="Arial" w:cs="Arial"/>
              <w:b/>
              <w:bCs/>
              <w:color w:val="auto"/>
              <w:sz w:val="24"/>
              <w:szCs w:val="24"/>
            </w:rPr>
            <w:t>Table of Contents</w:t>
          </w:r>
        </w:p>
        <w:p w14:paraId="74ED552E" w14:textId="1C2790E7" w:rsidR="00AC26E6" w:rsidRPr="00AC26E6" w:rsidRDefault="00AC26E6" w:rsidP="00AC26E6">
          <w:pPr>
            <w:pStyle w:val="TOC1"/>
            <w:tabs>
              <w:tab w:val="right" w:leader="dot" w:pos="9350"/>
            </w:tabs>
            <w:spacing w:line="360" w:lineRule="auto"/>
            <w:rPr>
              <w:noProof/>
              <w:sz w:val="24"/>
              <w:szCs w:val="24"/>
            </w:rPr>
          </w:pPr>
          <w:r w:rsidRPr="00AC26E6">
            <w:rPr>
              <w:sz w:val="24"/>
              <w:szCs w:val="24"/>
            </w:rPr>
            <w:fldChar w:fldCharType="begin"/>
          </w:r>
          <w:r w:rsidRPr="00AC26E6">
            <w:rPr>
              <w:sz w:val="24"/>
              <w:szCs w:val="24"/>
            </w:rPr>
            <w:instrText xml:space="preserve"> TOC \o "1-3" \h \z \u </w:instrText>
          </w:r>
          <w:r w:rsidRPr="00AC26E6">
            <w:rPr>
              <w:sz w:val="24"/>
              <w:szCs w:val="24"/>
            </w:rPr>
            <w:fldChar w:fldCharType="separate"/>
          </w:r>
          <w:hyperlink w:anchor="_Toc235531739" w:history="1">
            <w:r w:rsidRPr="00AC26E6">
              <w:rPr>
                <w:rStyle w:val="Hyperlink"/>
                <w:b/>
                <w:bCs/>
                <w:noProof/>
                <w:sz w:val="24"/>
                <w:szCs w:val="24"/>
              </w:rPr>
              <w:t>1. Introduction</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_Toc235531739 \h </w:instrText>
            </w:r>
            <w:r w:rsidRPr="00AC26E6">
              <w:rPr>
                <w:noProof/>
                <w:webHidden/>
                <w:sz w:val="24"/>
                <w:szCs w:val="24"/>
              </w:rPr>
            </w:r>
            <w:r w:rsidRPr="00AC26E6">
              <w:rPr>
                <w:noProof/>
                <w:webHidden/>
                <w:sz w:val="24"/>
                <w:szCs w:val="24"/>
              </w:rPr>
              <w:fldChar w:fldCharType="separate"/>
            </w:r>
            <w:r w:rsidRPr="00AC26E6">
              <w:rPr>
                <w:noProof/>
                <w:webHidden/>
                <w:sz w:val="24"/>
                <w:szCs w:val="24"/>
              </w:rPr>
              <w:t>4</w:t>
            </w:r>
            <w:r w:rsidRPr="00AC26E6">
              <w:rPr>
                <w:noProof/>
                <w:webHidden/>
                <w:sz w:val="24"/>
                <w:szCs w:val="24"/>
              </w:rPr>
              <w:fldChar w:fldCharType="end"/>
            </w:r>
          </w:hyperlink>
        </w:p>
        <w:p w14:paraId="4FE9B461" w14:textId="45E860DE" w:rsidR="00AC26E6" w:rsidRPr="00AC26E6" w:rsidRDefault="00AC26E6" w:rsidP="00AC26E6">
          <w:pPr>
            <w:pStyle w:val="TOC1"/>
            <w:tabs>
              <w:tab w:val="right" w:leader="dot" w:pos="9350"/>
            </w:tabs>
            <w:spacing w:line="360" w:lineRule="auto"/>
            <w:rPr>
              <w:noProof/>
              <w:sz w:val="24"/>
              <w:szCs w:val="24"/>
            </w:rPr>
          </w:pPr>
          <w:hyperlink w:anchor="_Toc235531740" w:history="1">
            <w:r w:rsidRPr="00AC26E6">
              <w:rPr>
                <w:rStyle w:val="Hyperlink"/>
                <w:b/>
                <w:bCs/>
                <w:noProof/>
                <w:sz w:val="24"/>
                <w:szCs w:val="24"/>
              </w:rPr>
              <w:t>2. Contextual Background and Underlying Factors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_Toc235531740 \h </w:instrText>
            </w:r>
            <w:r w:rsidRPr="00AC26E6">
              <w:rPr>
                <w:noProof/>
                <w:webHidden/>
                <w:sz w:val="24"/>
                <w:szCs w:val="24"/>
              </w:rPr>
            </w:r>
            <w:r w:rsidRPr="00AC26E6">
              <w:rPr>
                <w:noProof/>
                <w:webHidden/>
                <w:sz w:val="24"/>
                <w:szCs w:val="24"/>
              </w:rPr>
              <w:fldChar w:fldCharType="separate"/>
            </w:r>
            <w:r w:rsidRPr="00AC26E6">
              <w:rPr>
                <w:noProof/>
                <w:webHidden/>
                <w:sz w:val="24"/>
                <w:szCs w:val="24"/>
              </w:rPr>
              <w:t>4</w:t>
            </w:r>
            <w:r w:rsidRPr="00AC26E6">
              <w:rPr>
                <w:noProof/>
                <w:webHidden/>
                <w:sz w:val="24"/>
                <w:szCs w:val="24"/>
              </w:rPr>
              <w:fldChar w:fldCharType="end"/>
            </w:r>
          </w:hyperlink>
        </w:p>
        <w:p w14:paraId="53B9D204" w14:textId="63F5C69C" w:rsidR="00AC26E6" w:rsidRPr="00AC26E6" w:rsidRDefault="00AC26E6" w:rsidP="00AC26E6">
          <w:pPr>
            <w:pStyle w:val="TOC2"/>
            <w:tabs>
              <w:tab w:val="right" w:leader="dot" w:pos="9350"/>
            </w:tabs>
            <w:spacing w:line="360" w:lineRule="auto"/>
            <w:rPr>
              <w:noProof/>
              <w:sz w:val="24"/>
              <w:szCs w:val="24"/>
            </w:rPr>
          </w:pPr>
          <w:hyperlink w:anchor="_Toc235531741" w:history="1">
            <w:r w:rsidRPr="00AC26E6">
              <w:rPr>
                <w:rStyle w:val="Hyperlink"/>
                <w:b/>
                <w:bCs/>
                <w:noProof/>
                <w:sz w:val="24"/>
                <w:szCs w:val="24"/>
              </w:rPr>
              <w:t>2.1 Disease Issue One: Type 2 Diabetes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_Toc235531741 \h </w:instrText>
            </w:r>
            <w:r w:rsidRPr="00AC26E6">
              <w:rPr>
                <w:noProof/>
                <w:webHidden/>
                <w:sz w:val="24"/>
                <w:szCs w:val="24"/>
              </w:rPr>
            </w:r>
            <w:r w:rsidRPr="00AC26E6">
              <w:rPr>
                <w:noProof/>
                <w:webHidden/>
                <w:sz w:val="24"/>
                <w:szCs w:val="24"/>
              </w:rPr>
              <w:fldChar w:fldCharType="separate"/>
            </w:r>
            <w:r w:rsidRPr="00AC26E6">
              <w:rPr>
                <w:noProof/>
                <w:webHidden/>
                <w:sz w:val="24"/>
                <w:szCs w:val="24"/>
              </w:rPr>
              <w:t>4</w:t>
            </w:r>
            <w:r w:rsidRPr="00AC26E6">
              <w:rPr>
                <w:noProof/>
                <w:webHidden/>
                <w:sz w:val="24"/>
                <w:szCs w:val="24"/>
              </w:rPr>
              <w:fldChar w:fldCharType="end"/>
            </w:r>
          </w:hyperlink>
        </w:p>
        <w:p w14:paraId="1ABAC90F" w14:textId="02426D4C" w:rsidR="00AC26E6" w:rsidRPr="00AC26E6" w:rsidRDefault="00AC26E6" w:rsidP="00AC26E6">
          <w:pPr>
            <w:pStyle w:val="TOC2"/>
            <w:tabs>
              <w:tab w:val="right" w:leader="dot" w:pos="9350"/>
            </w:tabs>
            <w:spacing w:line="360" w:lineRule="auto"/>
            <w:rPr>
              <w:noProof/>
              <w:sz w:val="24"/>
              <w:szCs w:val="24"/>
            </w:rPr>
          </w:pPr>
          <w:hyperlink w:anchor="_Toc235531742" w:history="1">
            <w:r w:rsidRPr="00AC26E6">
              <w:rPr>
                <w:rStyle w:val="Hyperlink"/>
                <w:b/>
                <w:bCs/>
                <w:noProof/>
                <w:sz w:val="24"/>
                <w:szCs w:val="24"/>
              </w:rPr>
              <w:t>2.2 Disease Issue Two: Cardiovascular Disease</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_Toc235531742 \h </w:instrText>
            </w:r>
            <w:r w:rsidRPr="00AC26E6">
              <w:rPr>
                <w:noProof/>
                <w:webHidden/>
                <w:sz w:val="24"/>
                <w:szCs w:val="24"/>
              </w:rPr>
            </w:r>
            <w:r w:rsidRPr="00AC26E6">
              <w:rPr>
                <w:noProof/>
                <w:webHidden/>
                <w:sz w:val="24"/>
                <w:szCs w:val="24"/>
              </w:rPr>
              <w:fldChar w:fldCharType="separate"/>
            </w:r>
            <w:r w:rsidRPr="00AC26E6">
              <w:rPr>
                <w:noProof/>
                <w:webHidden/>
                <w:sz w:val="24"/>
                <w:szCs w:val="24"/>
              </w:rPr>
              <w:t>5</w:t>
            </w:r>
            <w:r w:rsidRPr="00AC26E6">
              <w:rPr>
                <w:noProof/>
                <w:webHidden/>
                <w:sz w:val="24"/>
                <w:szCs w:val="24"/>
              </w:rPr>
              <w:fldChar w:fldCharType="end"/>
            </w:r>
          </w:hyperlink>
        </w:p>
        <w:p w14:paraId="0AC0039E" w14:textId="2C143410" w:rsidR="00AC26E6" w:rsidRPr="00AC26E6" w:rsidRDefault="00AC26E6" w:rsidP="00AC26E6">
          <w:pPr>
            <w:pStyle w:val="TOC2"/>
            <w:tabs>
              <w:tab w:val="right" w:leader="dot" w:pos="9350"/>
            </w:tabs>
            <w:spacing w:line="360" w:lineRule="auto"/>
            <w:rPr>
              <w:noProof/>
              <w:sz w:val="24"/>
              <w:szCs w:val="24"/>
            </w:rPr>
          </w:pPr>
          <w:hyperlink w:anchor="_Toc235531743" w:history="1">
            <w:r w:rsidRPr="00AC26E6">
              <w:rPr>
                <w:rStyle w:val="Hyperlink"/>
                <w:b/>
                <w:bCs/>
                <w:noProof/>
                <w:sz w:val="24"/>
                <w:szCs w:val="24"/>
              </w:rPr>
              <w:t>2.3 Disease Issue Three: Chronic Kidney Disease</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_Toc235531743 \h </w:instrText>
            </w:r>
            <w:r w:rsidRPr="00AC26E6">
              <w:rPr>
                <w:noProof/>
                <w:webHidden/>
                <w:sz w:val="24"/>
                <w:szCs w:val="24"/>
              </w:rPr>
            </w:r>
            <w:r w:rsidRPr="00AC26E6">
              <w:rPr>
                <w:noProof/>
                <w:webHidden/>
                <w:sz w:val="24"/>
                <w:szCs w:val="24"/>
              </w:rPr>
              <w:fldChar w:fldCharType="separate"/>
            </w:r>
            <w:r w:rsidRPr="00AC26E6">
              <w:rPr>
                <w:noProof/>
                <w:webHidden/>
                <w:sz w:val="24"/>
                <w:szCs w:val="24"/>
              </w:rPr>
              <w:t>6</w:t>
            </w:r>
            <w:r w:rsidRPr="00AC26E6">
              <w:rPr>
                <w:noProof/>
                <w:webHidden/>
                <w:sz w:val="24"/>
                <w:szCs w:val="24"/>
              </w:rPr>
              <w:fldChar w:fldCharType="end"/>
            </w:r>
          </w:hyperlink>
        </w:p>
        <w:p w14:paraId="03577C99" w14:textId="015F5C7B" w:rsidR="00AC26E6" w:rsidRPr="00AC26E6" w:rsidRDefault="00AC26E6" w:rsidP="00AC26E6">
          <w:pPr>
            <w:pStyle w:val="TOC2"/>
            <w:tabs>
              <w:tab w:val="right" w:leader="dot" w:pos="9350"/>
            </w:tabs>
            <w:spacing w:line="360" w:lineRule="auto"/>
            <w:rPr>
              <w:noProof/>
              <w:sz w:val="24"/>
              <w:szCs w:val="24"/>
            </w:rPr>
          </w:pPr>
          <w:hyperlink w:anchor="_Toc235531744" w:history="1">
            <w:r w:rsidRPr="00AC26E6">
              <w:rPr>
                <w:rStyle w:val="Hyperlink"/>
                <w:b/>
                <w:bCs/>
                <w:noProof/>
                <w:sz w:val="24"/>
                <w:szCs w:val="24"/>
              </w:rPr>
              <w:t>2.4 Social Issue One: Socioeconomic Deprivation</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_Toc235531744 \h </w:instrText>
            </w:r>
            <w:r w:rsidRPr="00AC26E6">
              <w:rPr>
                <w:noProof/>
                <w:webHidden/>
                <w:sz w:val="24"/>
                <w:szCs w:val="24"/>
              </w:rPr>
            </w:r>
            <w:r w:rsidRPr="00AC26E6">
              <w:rPr>
                <w:noProof/>
                <w:webHidden/>
                <w:sz w:val="24"/>
                <w:szCs w:val="24"/>
              </w:rPr>
              <w:fldChar w:fldCharType="separate"/>
            </w:r>
            <w:r w:rsidRPr="00AC26E6">
              <w:rPr>
                <w:noProof/>
                <w:webHidden/>
                <w:sz w:val="24"/>
                <w:szCs w:val="24"/>
              </w:rPr>
              <w:t>7</w:t>
            </w:r>
            <w:r w:rsidRPr="00AC26E6">
              <w:rPr>
                <w:noProof/>
                <w:webHidden/>
                <w:sz w:val="24"/>
                <w:szCs w:val="24"/>
              </w:rPr>
              <w:fldChar w:fldCharType="end"/>
            </w:r>
          </w:hyperlink>
        </w:p>
        <w:p w14:paraId="4E53B5E6" w14:textId="303A0F19" w:rsidR="00AC26E6" w:rsidRPr="00AC26E6" w:rsidRDefault="00AC26E6" w:rsidP="00AC26E6">
          <w:pPr>
            <w:pStyle w:val="TOC2"/>
            <w:tabs>
              <w:tab w:val="right" w:leader="dot" w:pos="9350"/>
            </w:tabs>
            <w:spacing w:line="360" w:lineRule="auto"/>
            <w:rPr>
              <w:noProof/>
              <w:sz w:val="24"/>
              <w:szCs w:val="24"/>
            </w:rPr>
          </w:pPr>
          <w:hyperlink w:anchor="_Toc235531745" w:history="1">
            <w:r w:rsidRPr="00AC26E6">
              <w:rPr>
                <w:rStyle w:val="Hyperlink"/>
                <w:b/>
                <w:bCs/>
                <w:noProof/>
                <w:sz w:val="24"/>
                <w:szCs w:val="24"/>
              </w:rPr>
              <w:t>2.5 Social Issue Two: Ethnic Inequalities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_Toc235531745 \h </w:instrText>
            </w:r>
            <w:r w:rsidRPr="00AC26E6">
              <w:rPr>
                <w:noProof/>
                <w:webHidden/>
                <w:sz w:val="24"/>
                <w:szCs w:val="24"/>
              </w:rPr>
            </w:r>
            <w:r w:rsidRPr="00AC26E6">
              <w:rPr>
                <w:noProof/>
                <w:webHidden/>
                <w:sz w:val="24"/>
                <w:szCs w:val="24"/>
              </w:rPr>
              <w:fldChar w:fldCharType="separate"/>
            </w:r>
            <w:r w:rsidRPr="00AC26E6">
              <w:rPr>
                <w:noProof/>
                <w:webHidden/>
                <w:sz w:val="24"/>
                <w:szCs w:val="24"/>
              </w:rPr>
              <w:t>7</w:t>
            </w:r>
            <w:r w:rsidRPr="00AC26E6">
              <w:rPr>
                <w:noProof/>
                <w:webHidden/>
                <w:sz w:val="24"/>
                <w:szCs w:val="24"/>
              </w:rPr>
              <w:fldChar w:fldCharType="end"/>
            </w:r>
          </w:hyperlink>
        </w:p>
        <w:p w14:paraId="7C761ADB" w14:textId="5242307A" w:rsidR="00AC26E6" w:rsidRPr="00AC26E6" w:rsidRDefault="00AC26E6" w:rsidP="00AC26E6">
          <w:pPr>
            <w:pStyle w:val="TOC2"/>
            <w:tabs>
              <w:tab w:val="right" w:leader="dot" w:pos="9350"/>
            </w:tabs>
            <w:spacing w:line="360" w:lineRule="auto"/>
            <w:rPr>
              <w:noProof/>
              <w:sz w:val="24"/>
              <w:szCs w:val="24"/>
            </w:rPr>
          </w:pPr>
          <w:hyperlink w:anchor="_Toc235531746" w:history="1">
            <w:r w:rsidRPr="00AC26E6">
              <w:rPr>
                <w:rStyle w:val="Hyperlink"/>
                <w:b/>
                <w:bCs/>
                <w:noProof/>
                <w:sz w:val="24"/>
                <w:szCs w:val="24"/>
              </w:rPr>
              <w:t>2.6 Social Issue Three: Health Literacy</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_Toc235531746 \h </w:instrText>
            </w:r>
            <w:r w:rsidRPr="00AC26E6">
              <w:rPr>
                <w:noProof/>
                <w:webHidden/>
                <w:sz w:val="24"/>
                <w:szCs w:val="24"/>
              </w:rPr>
            </w:r>
            <w:r w:rsidRPr="00AC26E6">
              <w:rPr>
                <w:noProof/>
                <w:webHidden/>
                <w:sz w:val="24"/>
                <w:szCs w:val="24"/>
              </w:rPr>
              <w:fldChar w:fldCharType="separate"/>
            </w:r>
            <w:r w:rsidRPr="00AC26E6">
              <w:rPr>
                <w:noProof/>
                <w:webHidden/>
                <w:sz w:val="24"/>
                <w:szCs w:val="24"/>
              </w:rPr>
              <w:t>7</w:t>
            </w:r>
            <w:r w:rsidRPr="00AC26E6">
              <w:rPr>
                <w:noProof/>
                <w:webHidden/>
                <w:sz w:val="24"/>
                <w:szCs w:val="24"/>
              </w:rPr>
              <w:fldChar w:fldCharType="end"/>
            </w:r>
          </w:hyperlink>
        </w:p>
        <w:p w14:paraId="59F14FC0" w14:textId="5626D3F7" w:rsidR="00AC26E6" w:rsidRPr="00AC26E6" w:rsidRDefault="00AC26E6" w:rsidP="00AC26E6">
          <w:pPr>
            <w:pStyle w:val="TOC1"/>
            <w:tabs>
              <w:tab w:val="right" w:leader="dot" w:pos="9350"/>
            </w:tabs>
            <w:spacing w:line="360" w:lineRule="auto"/>
            <w:rPr>
              <w:noProof/>
              <w:sz w:val="24"/>
              <w:szCs w:val="24"/>
            </w:rPr>
          </w:pPr>
          <w:hyperlink w:anchor="_Toc235531747" w:history="1">
            <w:r w:rsidRPr="00AC26E6">
              <w:rPr>
                <w:rStyle w:val="Hyperlink"/>
                <w:b/>
                <w:bCs/>
                <w:noProof/>
                <w:sz w:val="24"/>
                <w:szCs w:val="24"/>
              </w:rPr>
              <w:t>3. National Response to Reduce Health Inequalities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_Toc235531747 \h </w:instrText>
            </w:r>
            <w:r w:rsidRPr="00AC26E6">
              <w:rPr>
                <w:noProof/>
                <w:webHidden/>
                <w:sz w:val="24"/>
                <w:szCs w:val="24"/>
              </w:rPr>
            </w:r>
            <w:r w:rsidRPr="00AC26E6">
              <w:rPr>
                <w:noProof/>
                <w:webHidden/>
                <w:sz w:val="24"/>
                <w:szCs w:val="24"/>
              </w:rPr>
              <w:fldChar w:fldCharType="separate"/>
            </w:r>
            <w:r w:rsidRPr="00AC26E6">
              <w:rPr>
                <w:noProof/>
                <w:webHidden/>
                <w:sz w:val="24"/>
                <w:szCs w:val="24"/>
              </w:rPr>
              <w:t>8</w:t>
            </w:r>
            <w:r w:rsidRPr="00AC26E6">
              <w:rPr>
                <w:noProof/>
                <w:webHidden/>
                <w:sz w:val="24"/>
                <w:szCs w:val="24"/>
              </w:rPr>
              <w:fldChar w:fldCharType="end"/>
            </w:r>
          </w:hyperlink>
        </w:p>
        <w:p w14:paraId="198D4CE6" w14:textId="1EE61FFD" w:rsidR="00AC26E6" w:rsidRPr="00AC26E6" w:rsidRDefault="00AC26E6" w:rsidP="00AC26E6">
          <w:pPr>
            <w:pStyle w:val="TOC1"/>
            <w:tabs>
              <w:tab w:val="right" w:leader="dot" w:pos="9350"/>
            </w:tabs>
            <w:spacing w:line="360" w:lineRule="auto"/>
            <w:rPr>
              <w:noProof/>
              <w:sz w:val="24"/>
              <w:szCs w:val="24"/>
            </w:rPr>
          </w:pPr>
          <w:hyperlink w:anchor="_Toc235531748" w:history="1">
            <w:r w:rsidRPr="00AC26E6">
              <w:rPr>
                <w:rStyle w:val="Hyperlink"/>
                <w:b/>
                <w:bCs/>
                <w:noProof/>
                <w:sz w:val="24"/>
                <w:szCs w:val="24"/>
              </w:rPr>
              <w:t>4. Organization Supporting the Chosen Group</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_Toc235531748 \h </w:instrText>
            </w:r>
            <w:r w:rsidRPr="00AC26E6">
              <w:rPr>
                <w:noProof/>
                <w:webHidden/>
                <w:sz w:val="24"/>
                <w:szCs w:val="24"/>
              </w:rPr>
            </w:r>
            <w:r w:rsidRPr="00AC26E6">
              <w:rPr>
                <w:noProof/>
                <w:webHidden/>
                <w:sz w:val="24"/>
                <w:szCs w:val="24"/>
              </w:rPr>
              <w:fldChar w:fldCharType="separate"/>
            </w:r>
            <w:r w:rsidRPr="00AC26E6">
              <w:rPr>
                <w:noProof/>
                <w:webHidden/>
                <w:sz w:val="24"/>
                <w:szCs w:val="24"/>
              </w:rPr>
              <w:t>8</w:t>
            </w:r>
            <w:r w:rsidRPr="00AC26E6">
              <w:rPr>
                <w:noProof/>
                <w:webHidden/>
                <w:sz w:val="24"/>
                <w:szCs w:val="24"/>
              </w:rPr>
              <w:fldChar w:fldCharType="end"/>
            </w:r>
          </w:hyperlink>
        </w:p>
        <w:p w14:paraId="5CCBC65B" w14:textId="4AAE2CFF" w:rsidR="00AC26E6" w:rsidRPr="00AC26E6" w:rsidRDefault="00AC26E6" w:rsidP="00AC26E6">
          <w:pPr>
            <w:pStyle w:val="TOC1"/>
            <w:tabs>
              <w:tab w:val="right" w:leader="dot" w:pos="9350"/>
            </w:tabs>
            <w:spacing w:line="360" w:lineRule="auto"/>
            <w:rPr>
              <w:noProof/>
              <w:sz w:val="24"/>
              <w:szCs w:val="24"/>
            </w:rPr>
          </w:pPr>
          <w:hyperlink w:anchor="_Toc235531749" w:history="1">
            <w:r w:rsidRPr="00AC26E6">
              <w:rPr>
                <w:rStyle w:val="Hyperlink"/>
                <w:b/>
                <w:bCs/>
                <w:noProof/>
                <w:sz w:val="24"/>
                <w:szCs w:val="24"/>
              </w:rPr>
              <w:t>5. Conclusion</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_Toc235531749 \h </w:instrText>
            </w:r>
            <w:r w:rsidRPr="00AC26E6">
              <w:rPr>
                <w:noProof/>
                <w:webHidden/>
                <w:sz w:val="24"/>
                <w:szCs w:val="24"/>
              </w:rPr>
            </w:r>
            <w:r w:rsidRPr="00AC26E6">
              <w:rPr>
                <w:noProof/>
                <w:webHidden/>
                <w:sz w:val="24"/>
                <w:szCs w:val="24"/>
              </w:rPr>
              <w:fldChar w:fldCharType="separate"/>
            </w:r>
            <w:r w:rsidRPr="00AC26E6">
              <w:rPr>
                <w:noProof/>
                <w:webHidden/>
                <w:sz w:val="24"/>
                <w:szCs w:val="24"/>
              </w:rPr>
              <w:t>8</w:t>
            </w:r>
            <w:r w:rsidRPr="00AC26E6">
              <w:rPr>
                <w:noProof/>
                <w:webHidden/>
                <w:sz w:val="24"/>
                <w:szCs w:val="24"/>
              </w:rPr>
              <w:fldChar w:fldCharType="end"/>
            </w:r>
          </w:hyperlink>
        </w:p>
        <w:p w14:paraId="108570BF" w14:textId="1D797F4E" w:rsidR="00AC26E6" w:rsidRPr="00AC26E6" w:rsidRDefault="00AC26E6" w:rsidP="00AC26E6">
          <w:pPr>
            <w:pStyle w:val="TOC1"/>
            <w:tabs>
              <w:tab w:val="right" w:leader="dot" w:pos="9350"/>
            </w:tabs>
            <w:spacing w:line="360" w:lineRule="auto"/>
            <w:rPr>
              <w:noProof/>
              <w:sz w:val="24"/>
              <w:szCs w:val="24"/>
            </w:rPr>
          </w:pPr>
          <w:hyperlink w:anchor="_Toc235531750" w:history="1">
            <w:r w:rsidRPr="00AC26E6">
              <w:rPr>
                <w:rStyle w:val="Hyperlink"/>
                <w:b/>
                <w:bCs/>
                <w:noProof/>
                <w:sz w:val="24"/>
                <w:szCs w:val="24"/>
              </w:rPr>
              <w:t>REFERNCE</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_Toc235531750 \h </w:instrText>
            </w:r>
            <w:r w:rsidRPr="00AC26E6">
              <w:rPr>
                <w:noProof/>
                <w:webHidden/>
                <w:sz w:val="24"/>
                <w:szCs w:val="24"/>
              </w:rPr>
            </w:r>
            <w:r w:rsidRPr="00AC26E6">
              <w:rPr>
                <w:noProof/>
                <w:webHidden/>
                <w:sz w:val="24"/>
                <w:szCs w:val="24"/>
              </w:rPr>
              <w:fldChar w:fldCharType="separate"/>
            </w:r>
            <w:r w:rsidRPr="00AC26E6">
              <w:rPr>
                <w:noProof/>
                <w:webHidden/>
                <w:sz w:val="24"/>
                <w:szCs w:val="24"/>
              </w:rPr>
              <w:t>10</w:t>
            </w:r>
            <w:r w:rsidRPr="00AC26E6">
              <w:rPr>
                <w:noProof/>
                <w:webHidden/>
                <w:sz w:val="24"/>
                <w:szCs w:val="24"/>
              </w:rPr>
              <w:fldChar w:fldCharType="end"/>
            </w:r>
          </w:hyperlink>
        </w:p>
        <w:p w14:paraId="6A430123" w14:textId="2E093B63" w:rsidR="00AC26E6" w:rsidRPr="00AC26E6" w:rsidRDefault="00AC26E6" w:rsidP="00AC26E6">
          <w:pPr>
            <w:pStyle w:val="TOC1"/>
            <w:tabs>
              <w:tab w:val="right" w:leader="dot" w:pos="9350"/>
            </w:tabs>
            <w:spacing w:line="360" w:lineRule="auto"/>
            <w:rPr>
              <w:noProof/>
              <w:sz w:val="24"/>
              <w:szCs w:val="24"/>
            </w:rPr>
          </w:pPr>
          <w:hyperlink w:anchor="_Toc235531751" w:history="1">
            <w:r w:rsidRPr="00AC26E6">
              <w:rPr>
                <w:rStyle w:val="Hyperlink"/>
                <w:b/>
                <w:bCs/>
                <w:noProof/>
                <w:sz w:val="24"/>
                <w:szCs w:val="24"/>
              </w:rPr>
              <w:t>1. Introduction</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_Toc235531751 \h </w:instrText>
            </w:r>
            <w:r w:rsidRPr="00AC26E6">
              <w:rPr>
                <w:noProof/>
                <w:webHidden/>
                <w:sz w:val="24"/>
                <w:szCs w:val="24"/>
              </w:rPr>
            </w:r>
            <w:r w:rsidRPr="00AC26E6">
              <w:rPr>
                <w:noProof/>
                <w:webHidden/>
                <w:sz w:val="24"/>
                <w:szCs w:val="24"/>
              </w:rPr>
              <w:fldChar w:fldCharType="separate"/>
            </w:r>
            <w:r w:rsidRPr="00AC26E6">
              <w:rPr>
                <w:noProof/>
                <w:webHidden/>
                <w:sz w:val="24"/>
                <w:szCs w:val="24"/>
              </w:rPr>
              <w:t>12</w:t>
            </w:r>
            <w:r w:rsidRPr="00AC26E6">
              <w:rPr>
                <w:noProof/>
                <w:webHidden/>
                <w:sz w:val="24"/>
                <w:szCs w:val="24"/>
              </w:rPr>
              <w:fldChar w:fldCharType="end"/>
            </w:r>
          </w:hyperlink>
        </w:p>
        <w:p w14:paraId="278F8CEF" w14:textId="06A748B1" w:rsidR="00AC26E6" w:rsidRPr="00AC26E6" w:rsidRDefault="00AC26E6" w:rsidP="00AC26E6">
          <w:pPr>
            <w:pStyle w:val="TOC1"/>
            <w:tabs>
              <w:tab w:val="right" w:leader="dot" w:pos="9350"/>
            </w:tabs>
            <w:spacing w:line="360" w:lineRule="auto"/>
            <w:rPr>
              <w:noProof/>
              <w:sz w:val="24"/>
              <w:szCs w:val="24"/>
            </w:rPr>
          </w:pPr>
          <w:hyperlink w:anchor="_Toc235531752" w:history="1">
            <w:r w:rsidRPr="00AC26E6">
              <w:rPr>
                <w:rStyle w:val="Hyperlink"/>
                <w:b/>
                <w:bCs/>
                <w:noProof/>
                <w:sz w:val="24"/>
                <w:szCs w:val="24"/>
              </w:rPr>
              <w:t>2. Public Health Measures Using the Three Ps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_Toc235531752 \h </w:instrText>
            </w:r>
            <w:r w:rsidRPr="00AC26E6">
              <w:rPr>
                <w:noProof/>
                <w:webHidden/>
                <w:sz w:val="24"/>
                <w:szCs w:val="24"/>
              </w:rPr>
            </w:r>
            <w:r w:rsidRPr="00AC26E6">
              <w:rPr>
                <w:noProof/>
                <w:webHidden/>
                <w:sz w:val="24"/>
                <w:szCs w:val="24"/>
              </w:rPr>
              <w:fldChar w:fldCharType="separate"/>
            </w:r>
            <w:r w:rsidRPr="00AC26E6">
              <w:rPr>
                <w:noProof/>
                <w:webHidden/>
                <w:sz w:val="24"/>
                <w:szCs w:val="24"/>
              </w:rPr>
              <w:t>12</w:t>
            </w:r>
            <w:r w:rsidRPr="00AC26E6">
              <w:rPr>
                <w:noProof/>
                <w:webHidden/>
                <w:sz w:val="24"/>
                <w:szCs w:val="24"/>
              </w:rPr>
              <w:fldChar w:fldCharType="end"/>
            </w:r>
          </w:hyperlink>
        </w:p>
        <w:p w14:paraId="491E71E8" w14:textId="3A7736F3" w:rsidR="00AC26E6" w:rsidRPr="00AC26E6" w:rsidRDefault="00AC26E6" w:rsidP="00AC26E6">
          <w:pPr>
            <w:pStyle w:val="TOC1"/>
            <w:tabs>
              <w:tab w:val="right" w:leader="dot" w:pos="9350"/>
            </w:tabs>
            <w:spacing w:line="360" w:lineRule="auto"/>
            <w:rPr>
              <w:noProof/>
              <w:sz w:val="24"/>
              <w:szCs w:val="24"/>
            </w:rPr>
          </w:pPr>
          <w:hyperlink w:anchor="_Toc235531753" w:history="1">
            <w:r w:rsidRPr="00AC26E6">
              <w:rPr>
                <w:rStyle w:val="Hyperlink"/>
                <w:b/>
                <w:bCs/>
                <w:noProof/>
                <w:sz w:val="24"/>
                <w:szCs w:val="24"/>
              </w:rPr>
              <w:t>3. Determinants and Risk Factors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_Toc235531753 \h </w:instrText>
            </w:r>
            <w:r w:rsidRPr="00AC26E6">
              <w:rPr>
                <w:noProof/>
                <w:webHidden/>
                <w:sz w:val="24"/>
                <w:szCs w:val="24"/>
              </w:rPr>
            </w:r>
            <w:r w:rsidRPr="00AC26E6">
              <w:rPr>
                <w:noProof/>
                <w:webHidden/>
                <w:sz w:val="24"/>
                <w:szCs w:val="24"/>
              </w:rPr>
              <w:fldChar w:fldCharType="separate"/>
            </w:r>
            <w:r w:rsidRPr="00AC26E6">
              <w:rPr>
                <w:noProof/>
                <w:webHidden/>
                <w:sz w:val="24"/>
                <w:szCs w:val="24"/>
              </w:rPr>
              <w:t>14</w:t>
            </w:r>
            <w:r w:rsidRPr="00AC26E6">
              <w:rPr>
                <w:noProof/>
                <w:webHidden/>
                <w:sz w:val="24"/>
                <w:szCs w:val="24"/>
              </w:rPr>
              <w:fldChar w:fldCharType="end"/>
            </w:r>
          </w:hyperlink>
        </w:p>
        <w:p w14:paraId="3004BD41" w14:textId="01F65A05" w:rsidR="00AC26E6" w:rsidRPr="00AC26E6" w:rsidRDefault="00AC26E6" w:rsidP="00AC26E6">
          <w:pPr>
            <w:pStyle w:val="TOC1"/>
            <w:tabs>
              <w:tab w:val="right" w:leader="dot" w:pos="9350"/>
            </w:tabs>
            <w:spacing w:line="360" w:lineRule="auto"/>
            <w:rPr>
              <w:noProof/>
              <w:sz w:val="24"/>
              <w:szCs w:val="24"/>
            </w:rPr>
          </w:pPr>
          <w:hyperlink w:anchor="_Toc235531754" w:history="1">
            <w:r w:rsidRPr="00AC26E6">
              <w:rPr>
                <w:rStyle w:val="Hyperlink"/>
                <w:b/>
                <w:bCs/>
                <w:noProof/>
                <w:sz w:val="24"/>
                <w:szCs w:val="24"/>
              </w:rPr>
              <w:t>4. Epidemiological Studies and Health Needs Assessment</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_Toc235531754 \h </w:instrText>
            </w:r>
            <w:r w:rsidRPr="00AC26E6">
              <w:rPr>
                <w:noProof/>
                <w:webHidden/>
                <w:sz w:val="24"/>
                <w:szCs w:val="24"/>
              </w:rPr>
            </w:r>
            <w:r w:rsidRPr="00AC26E6">
              <w:rPr>
                <w:noProof/>
                <w:webHidden/>
                <w:sz w:val="24"/>
                <w:szCs w:val="24"/>
              </w:rPr>
              <w:fldChar w:fldCharType="separate"/>
            </w:r>
            <w:r w:rsidRPr="00AC26E6">
              <w:rPr>
                <w:noProof/>
                <w:webHidden/>
                <w:sz w:val="24"/>
                <w:szCs w:val="24"/>
              </w:rPr>
              <w:t>14</w:t>
            </w:r>
            <w:r w:rsidRPr="00AC26E6">
              <w:rPr>
                <w:noProof/>
                <w:webHidden/>
                <w:sz w:val="24"/>
                <w:szCs w:val="24"/>
              </w:rPr>
              <w:fldChar w:fldCharType="end"/>
            </w:r>
          </w:hyperlink>
        </w:p>
        <w:p w14:paraId="40DD36A3" w14:textId="004A3026" w:rsidR="00AC26E6" w:rsidRPr="00AC26E6" w:rsidRDefault="00AC26E6" w:rsidP="00AC26E6">
          <w:pPr>
            <w:pStyle w:val="TOC1"/>
            <w:tabs>
              <w:tab w:val="right" w:leader="dot" w:pos="9350"/>
            </w:tabs>
            <w:spacing w:line="360" w:lineRule="auto"/>
            <w:rPr>
              <w:noProof/>
              <w:sz w:val="24"/>
              <w:szCs w:val="24"/>
            </w:rPr>
          </w:pPr>
          <w:hyperlink w:anchor="_Toc235531755" w:history="1">
            <w:r w:rsidRPr="00AC26E6">
              <w:rPr>
                <w:rStyle w:val="Hyperlink"/>
                <w:b/>
                <w:bCs/>
                <w:noProof/>
                <w:sz w:val="24"/>
                <w:szCs w:val="24"/>
              </w:rPr>
              <w:t>5. Disease Surveillance and Monitoring</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_Toc235531755 \h </w:instrText>
            </w:r>
            <w:r w:rsidRPr="00AC26E6">
              <w:rPr>
                <w:noProof/>
                <w:webHidden/>
                <w:sz w:val="24"/>
                <w:szCs w:val="24"/>
              </w:rPr>
            </w:r>
            <w:r w:rsidRPr="00AC26E6">
              <w:rPr>
                <w:noProof/>
                <w:webHidden/>
                <w:sz w:val="24"/>
                <w:szCs w:val="24"/>
              </w:rPr>
              <w:fldChar w:fldCharType="separate"/>
            </w:r>
            <w:r w:rsidRPr="00AC26E6">
              <w:rPr>
                <w:noProof/>
                <w:webHidden/>
                <w:sz w:val="24"/>
                <w:szCs w:val="24"/>
              </w:rPr>
              <w:t>15</w:t>
            </w:r>
            <w:r w:rsidRPr="00AC26E6">
              <w:rPr>
                <w:noProof/>
                <w:webHidden/>
                <w:sz w:val="24"/>
                <w:szCs w:val="24"/>
              </w:rPr>
              <w:fldChar w:fldCharType="end"/>
            </w:r>
          </w:hyperlink>
        </w:p>
        <w:p w14:paraId="0185E4C2" w14:textId="787A3F19" w:rsidR="00AC26E6" w:rsidRPr="00AC26E6" w:rsidRDefault="00AC26E6" w:rsidP="00AC26E6">
          <w:pPr>
            <w:pStyle w:val="TOC1"/>
            <w:tabs>
              <w:tab w:val="right" w:leader="dot" w:pos="9350"/>
            </w:tabs>
            <w:spacing w:line="360" w:lineRule="auto"/>
            <w:rPr>
              <w:noProof/>
              <w:sz w:val="24"/>
              <w:szCs w:val="24"/>
            </w:rPr>
          </w:pPr>
          <w:hyperlink w:anchor="_Toc235531756" w:history="1">
            <w:r w:rsidRPr="00AC26E6">
              <w:rPr>
                <w:rStyle w:val="Hyperlink"/>
                <w:b/>
                <w:bCs/>
                <w:noProof/>
                <w:sz w:val="24"/>
                <w:szCs w:val="24"/>
              </w:rPr>
              <w:t>6. Public Health Impact and Consequences</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_Toc235531756 \h </w:instrText>
            </w:r>
            <w:r w:rsidRPr="00AC26E6">
              <w:rPr>
                <w:noProof/>
                <w:webHidden/>
                <w:sz w:val="24"/>
                <w:szCs w:val="24"/>
              </w:rPr>
            </w:r>
            <w:r w:rsidRPr="00AC26E6">
              <w:rPr>
                <w:noProof/>
                <w:webHidden/>
                <w:sz w:val="24"/>
                <w:szCs w:val="24"/>
              </w:rPr>
              <w:fldChar w:fldCharType="separate"/>
            </w:r>
            <w:r w:rsidRPr="00AC26E6">
              <w:rPr>
                <w:noProof/>
                <w:webHidden/>
                <w:sz w:val="24"/>
                <w:szCs w:val="24"/>
              </w:rPr>
              <w:t>16</w:t>
            </w:r>
            <w:r w:rsidRPr="00AC26E6">
              <w:rPr>
                <w:noProof/>
                <w:webHidden/>
                <w:sz w:val="24"/>
                <w:szCs w:val="24"/>
              </w:rPr>
              <w:fldChar w:fldCharType="end"/>
            </w:r>
          </w:hyperlink>
        </w:p>
        <w:p w14:paraId="08A59C47" w14:textId="450B8771" w:rsidR="00AC26E6" w:rsidRPr="00AC26E6" w:rsidRDefault="00AC26E6" w:rsidP="00AC26E6">
          <w:pPr>
            <w:pStyle w:val="TOC1"/>
            <w:tabs>
              <w:tab w:val="right" w:leader="dot" w:pos="9350"/>
            </w:tabs>
            <w:spacing w:line="360" w:lineRule="auto"/>
            <w:rPr>
              <w:noProof/>
              <w:sz w:val="24"/>
              <w:szCs w:val="24"/>
            </w:rPr>
          </w:pPr>
          <w:hyperlink w:anchor="_Toc235531757" w:history="1">
            <w:r w:rsidRPr="00AC26E6">
              <w:rPr>
                <w:rStyle w:val="Hyperlink"/>
                <w:b/>
                <w:bCs/>
                <w:noProof/>
                <w:sz w:val="24"/>
                <w:szCs w:val="24"/>
              </w:rPr>
              <w:t>7. Proposed Health Intervention Programmed</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_Toc235531757 \h </w:instrText>
            </w:r>
            <w:r w:rsidRPr="00AC26E6">
              <w:rPr>
                <w:noProof/>
                <w:webHidden/>
                <w:sz w:val="24"/>
                <w:szCs w:val="24"/>
              </w:rPr>
            </w:r>
            <w:r w:rsidRPr="00AC26E6">
              <w:rPr>
                <w:noProof/>
                <w:webHidden/>
                <w:sz w:val="24"/>
                <w:szCs w:val="24"/>
              </w:rPr>
              <w:fldChar w:fldCharType="separate"/>
            </w:r>
            <w:r w:rsidRPr="00AC26E6">
              <w:rPr>
                <w:noProof/>
                <w:webHidden/>
                <w:sz w:val="24"/>
                <w:szCs w:val="24"/>
              </w:rPr>
              <w:t>16</w:t>
            </w:r>
            <w:r w:rsidRPr="00AC26E6">
              <w:rPr>
                <w:noProof/>
                <w:webHidden/>
                <w:sz w:val="24"/>
                <w:szCs w:val="24"/>
              </w:rPr>
              <w:fldChar w:fldCharType="end"/>
            </w:r>
          </w:hyperlink>
        </w:p>
        <w:p w14:paraId="5469134E" w14:textId="54542D62" w:rsidR="00AC26E6" w:rsidRPr="00AC26E6" w:rsidRDefault="00AC26E6" w:rsidP="00AC26E6">
          <w:pPr>
            <w:pStyle w:val="TOC1"/>
            <w:tabs>
              <w:tab w:val="right" w:leader="dot" w:pos="9350"/>
            </w:tabs>
            <w:spacing w:line="360" w:lineRule="auto"/>
            <w:rPr>
              <w:noProof/>
              <w:sz w:val="24"/>
              <w:szCs w:val="24"/>
            </w:rPr>
          </w:pPr>
          <w:hyperlink w:anchor="_Toc235531758" w:history="1">
            <w:r w:rsidRPr="00AC26E6">
              <w:rPr>
                <w:rStyle w:val="Hyperlink"/>
                <w:b/>
                <w:bCs/>
                <w:noProof/>
                <w:sz w:val="24"/>
                <w:szCs w:val="24"/>
              </w:rPr>
              <w:t>8. Strengths and Weaknesses of the Epidemiological Approach</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_Toc235531758 \h </w:instrText>
            </w:r>
            <w:r w:rsidRPr="00AC26E6">
              <w:rPr>
                <w:noProof/>
                <w:webHidden/>
                <w:sz w:val="24"/>
                <w:szCs w:val="24"/>
              </w:rPr>
            </w:r>
            <w:r w:rsidRPr="00AC26E6">
              <w:rPr>
                <w:noProof/>
                <w:webHidden/>
                <w:sz w:val="24"/>
                <w:szCs w:val="24"/>
              </w:rPr>
              <w:fldChar w:fldCharType="separate"/>
            </w:r>
            <w:r w:rsidRPr="00AC26E6">
              <w:rPr>
                <w:noProof/>
                <w:webHidden/>
                <w:sz w:val="24"/>
                <w:szCs w:val="24"/>
              </w:rPr>
              <w:t>17</w:t>
            </w:r>
            <w:r w:rsidRPr="00AC26E6">
              <w:rPr>
                <w:noProof/>
                <w:webHidden/>
                <w:sz w:val="24"/>
                <w:szCs w:val="24"/>
              </w:rPr>
              <w:fldChar w:fldCharType="end"/>
            </w:r>
          </w:hyperlink>
        </w:p>
        <w:p w14:paraId="5E166F90" w14:textId="7C5411B9" w:rsidR="00AC26E6" w:rsidRPr="00AC26E6" w:rsidRDefault="00AC26E6" w:rsidP="00AC26E6">
          <w:pPr>
            <w:pStyle w:val="TOC1"/>
            <w:tabs>
              <w:tab w:val="right" w:leader="dot" w:pos="9350"/>
            </w:tabs>
            <w:spacing w:line="360" w:lineRule="auto"/>
            <w:rPr>
              <w:noProof/>
              <w:sz w:val="24"/>
              <w:szCs w:val="24"/>
            </w:rPr>
          </w:pPr>
          <w:hyperlink w:anchor="_Toc235531759" w:history="1">
            <w:r w:rsidRPr="00AC26E6">
              <w:rPr>
                <w:rStyle w:val="Hyperlink"/>
                <w:b/>
                <w:bCs/>
                <w:noProof/>
                <w:sz w:val="24"/>
                <w:szCs w:val="24"/>
              </w:rPr>
              <w:t>9. Conclusion</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_Toc235531759 \h </w:instrText>
            </w:r>
            <w:r w:rsidRPr="00AC26E6">
              <w:rPr>
                <w:noProof/>
                <w:webHidden/>
                <w:sz w:val="24"/>
                <w:szCs w:val="24"/>
              </w:rPr>
            </w:r>
            <w:r w:rsidRPr="00AC26E6">
              <w:rPr>
                <w:noProof/>
                <w:webHidden/>
                <w:sz w:val="24"/>
                <w:szCs w:val="24"/>
              </w:rPr>
              <w:fldChar w:fldCharType="separate"/>
            </w:r>
            <w:r w:rsidRPr="00AC26E6">
              <w:rPr>
                <w:noProof/>
                <w:webHidden/>
                <w:sz w:val="24"/>
                <w:szCs w:val="24"/>
              </w:rPr>
              <w:t>17</w:t>
            </w:r>
            <w:r w:rsidRPr="00AC26E6">
              <w:rPr>
                <w:noProof/>
                <w:webHidden/>
                <w:sz w:val="24"/>
                <w:szCs w:val="24"/>
              </w:rPr>
              <w:fldChar w:fldCharType="end"/>
            </w:r>
          </w:hyperlink>
        </w:p>
        <w:p w14:paraId="1DC2CFC4" w14:textId="618D403B" w:rsidR="00AC26E6" w:rsidRPr="00AC26E6" w:rsidRDefault="00AC26E6" w:rsidP="00AC26E6">
          <w:pPr>
            <w:pStyle w:val="TOC1"/>
            <w:tabs>
              <w:tab w:val="right" w:leader="dot" w:pos="9350"/>
            </w:tabs>
            <w:spacing w:line="360" w:lineRule="auto"/>
            <w:rPr>
              <w:noProof/>
              <w:sz w:val="24"/>
              <w:szCs w:val="24"/>
            </w:rPr>
          </w:pPr>
          <w:hyperlink w:anchor="_Toc235531760" w:history="1">
            <w:r w:rsidRPr="00AC26E6">
              <w:rPr>
                <w:rStyle w:val="Hyperlink"/>
                <w:b/>
                <w:bCs/>
                <w:noProof/>
                <w:sz w:val="24"/>
                <w:szCs w:val="24"/>
              </w:rPr>
              <w:t>REFERNCE</w:t>
            </w:r>
            <w:r w:rsidRPr="00AC26E6">
              <w:rPr>
                <w:noProof/>
                <w:webHidden/>
                <w:sz w:val="24"/>
                <w:szCs w:val="24"/>
              </w:rPr>
              <w:tab/>
            </w:r>
            <w:r w:rsidRPr="00AC26E6">
              <w:rPr>
                <w:noProof/>
                <w:webHidden/>
                <w:sz w:val="24"/>
                <w:szCs w:val="24"/>
              </w:rPr>
              <w:fldChar w:fldCharType="begin"/>
            </w:r>
            <w:r w:rsidRPr="00AC26E6">
              <w:rPr>
                <w:noProof/>
                <w:webHidden/>
                <w:sz w:val="24"/>
                <w:szCs w:val="24"/>
              </w:rPr>
              <w:instrText xml:space="preserve"> PAGEREF _Toc235531760 \h </w:instrText>
            </w:r>
            <w:r w:rsidRPr="00AC26E6">
              <w:rPr>
                <w:noProof/>
                <w:webHidden/>
                <w:sz w:val="24"/>
                <w:szCs w:val="24"/>
              </w:rPr>
            </w:r>
            <w:r w:rsidRPr="00AC26E6">
              <w:rPr>
                <w:noProof/>
                <w:webHidden/>
                <w:sz w:val="24"/>
                <w:szCs w:val="24"/>
              </w:rPr>
              <w:fldChar w:fldCharType="separate"/>
            </w:r>
            <w:r w:rsidRPr="00AC26E6">
              <w:rPr>
                <w:noProof/>
                <w:webHidden/>
                <w:sz w:val="24"/>
                <w:szCs w:val="24"/>
              </w:rPr>
              <w:t>18</w:t>
            </w:r>
            <w:r w:rsidRPr="00AC26E6">
              <w:rPr>
                <w:noProof/>
                <w:webHidden/>
                <w:sz w:val="24"/>
                <w:szCs w:val="24"/>
              </w:rPr>
              <w:fldChar w:fldCharType="end"/>
            </w:r>
          </w:hyperlink>
        </w:p>
        <w:p w14:paraId="282A3ADE" w14:textId="02E613AB" w:rsidR="00AC26E6" w:rsidRPr="00AC26E6" w:rsidRDefault="00AC26E6" w:rsidP="00AC26E6">
          <w:pPr>
            <w:spacing w:line="360" w:lineRule="auto"/>
            <w:rPr>
              <w:sz w:val="24"/>
              <w:szCs w:val="24"/>
            </w:rPr>
          </w:pPr>
          <w:r w:rsidRPr="00AC26E6">
            <w:rPr>
              <w:b/>
              <w:bCs/>
              <w:noProof/>
              <w:sz w:val="24"/>
              <w:szCs w:val="24"/>
            </w:rPr>
            <w:fldChar w:fldCharType="end"/>
          </w:r>
        </w:p>
      </w:sdtContent>
    </w:sdt>
    <w:p w14:paraId="3AD06D0B" w14:textId="77777777" w:rsidR="00AC26E6" w:rsidRPr="00AC26E6" w:rsidRDefault="00AC26E6" w:rsidP="00AC26E6">
      <w:pPr>
        <w:spacing w:line="360" w:lineRule="auto"/>
        <w:rPr>
          <w:b/>
          <w:bCs/>
          <w:sz w:val="24"/>
          <w:szCs w:val="24"/>
        </w:rPr>
      </w:pPr>
      <w:r w:rsidRPr="00AC26E6">
        <w:rPr>
          <w:b/>
          <w:bCs/>
          <w:sz w:val="24"/>
          <w:szCs w:val="24"/>
        </w:rPr>
        <w:br w:type="page"/>
      </w:r>
    </w:p>
    <w:p w14:paraId="00000003" w14:textId="43B611AA" w:rsidR="00764C0E" w:rsidRPr="00AC26E6" w:rsidRDefault="00651ED4" w:rsidP="00AC26E6">
      <w:pPr>
        <w:spacing w:line="360" w:lineRule="auto"/>
        <w:rPr>
          <w:b/>
          <w:bCs/>
          <w:sz w:val="24"/>
          <w:szCs w:val="24"/>
        </w:rPr>
      </w:pPr>
      <w:r w:rsidRPr="00AC26E6">
        <w:rPr>
          <w:b/>
          <w:bCs/>
          <w:sz w:val="24"/>
          <w:szCs w:val="24"/>
        </w:rPr>
        <w:lastRenderedPageBreak/>
        <w:t>Task 1: Health Inequalities in People with Type 2 Diabetes, Cardiovascular Disease and Chronic Kidney Disease</w:t>
      </w:r>
    </w:p>
    <w:p w14:paraId="00000004" w14:textId="7BFC46B4" w:rsidR="00764C0E" w:rsidRPr="00AC26E6" w:rsidRDefault="00651ED4" w:rsidP="00AC26E6">
      <w:pPr>
        <w:pStyle w:val="Heading1"/>
        <w:spacing w:line="360" w:lineRule="auto"/>
        <w:rPr>
          <w:b/>
          <w:bCs/>
          <w:sz w:val="24"/>
          <w:szCs w:val="24"/>
        </w:rPr>
      </w:pPr>
      <w:bookmarkStart w:id="1" w:name="_sfuznggawc05" w:colFirst="0" w:colLast="0"/>
      <w:bookmarkStart w:id="2" w:name="_Toc235531739"/>
      <w:bookmarkEnd w:id="1"/>
      <w:r w:rsidRPr="00AC26E6">
        <w:rPr>
          <w:b/>
          <w:bCs/>
          <w:sz w:val="24"/>
          <w:szCs w:val="24"/>
        </w:rPr>
        <w:t>1. Introduction</w:t>
      </w:r>
      <w:bookmarkEnd w:id="2"/>
      <w:r w:rsidRPr="00AC26E6">
        <w:rPr>
          <w:b/>
          <w:bCs/>
          <w:sz w:val="24"/>
          <w:szCs w:val="24"/>
        </w:rPr>
        <w:t xml:space="preserve"> </w:t>
      </w:r>
    </w:p>
    <w:p w14:paraId="00000005" w14:textId="23D4343C" w:rsidR="00764C0E" w:rsidRPr="00AC26E6" w:rsidRDefault="0015639F" w:rsidP="00AC26E6">
      <w:pPr>
        <w:spacing w:line="360" w:lineRule="auto"/>
        <w:jc w:val="both"/>
        <w:rPr>
          <w:sz w:val="24"/>
          <w:szCs w:val="24"/>
        </w:rPr>
      </w:pPr>
      <w:r w:rsidRPr="00AC26E6">
        <w:rPr>
          <w:sz w:val="24"/>
          <w:szCs w:val="24"/>
        </w:rPr>
        <w:t>The identified target population consists of adults with Type 2 Diabetes (T2D), Cardiovascular Disease (CVD) and Chronic Kidney Disease (CKD) in the United Kingdom (UK) region. Chronic conditions tend to cluster, and tend to be more common in those living in socioeconomically disadvantaged communities as well as some ethnic minority groups (</w:t>
      </w:r>
      <w:proofErr w:type="spellStart"/>
      <w:r w:rsidRPr="00AC26E6">
        <w:rPr>
          <w:sz w:val="24"/>
          <w:szCs w:val="24"/>
        </w:rPr>
        <w:t>Hayanga</w:t>
      </w:r>
      <w:proofErr w:type="spellEnd"/>
      <w:r w:rsidRPr="00AC26E6">
        <w:rPr>
          <w:sz w:val="24"/>
          <w:szCs w:val="24"/>
        </w:rPr>
        <w:t xml:space="preserve"> et al., 2023). Health inequalities exist between groups of people and are unjust and preventable inequalities in health, access to health care and health outcomes. But disparities for those with T2D, CVD and CKD exist, based on poverty, unhealthy lifestyles, poor access to health care and lifestyle risk factors (Teagle et al., 2022). These conditions are </w:t>
      </w:r>
      <w:proofErr w:type="spellStart"/>
      <w:r w:rsidRPr="00AC26E6">
        <w:rPr>
          <w:sz w:val="24"/>
          <w:szCs w:val="24"/>
        </w:rPr>
        <w:t>analysed</w:t>
      </w:r>
      <w:proofErr w:type="spellEnd"/>
      <w:r w:rsidRPr="00AC26E6">
        <w:rPr>
          <w:sz w:val="24"/>
          <w:szCs w:val="24"/>
        </w:rPr>
        <w:t xml:space="preserve"> and the social determinants of inequalities are discussed, as well as the national response and what help is on offer from </w:t>
      </w:r>
      <w:proofErr w:type="spellStart"/>
      <w:r w:rsidRPr="00AC26E6">
        <w:rPr>
          <w:sz w:val="24"/>
          <w:szCs w:val="24"/>
        </w:rPr>
        <w:t>organisations</w:t>
      </w:r>
      <w:proofErr w:type="spellEnd"/>
      <w:r w:rsidRPr="00AC26E6">
        <w:rPr>
          <w:sz w:val="24"/>
          <w:szCs w:val="24"/>
        </w:rPr>
        <w:t xml:space="preserve"> in the UK.</w:t>
      </w:r>
    </w:p>
    <w:p w14:paraId="00000007" w14:textId="3785E4D1" w:rsidR="00764C0E" w:rsidRPr="00AC26E6" w:rsidRDefault="00651ED4" w:rsidP="00AC26E6">
      <w:pPr>
        <w:pStyle w:val="Heading1"/>
        <w:spacing w:line="360" w:lineRule="auto"/>
        <w:rPr>
          <w:b/>
          <w:bCs/>
          <w:sz w:val="24"/>
          <w:szCs w:val="24"/>
        </w:rPr>
      </w:pPr>
      <w:bookmarkStart w:id="3" w:name="_w1oyqoklrdw5" w:colFirst="0" w:colLast="0"/>
      <w:bookmarkStart w:id="4" w:name="_Toc235531740"/>
      <w:bookmarkEnd w:id="3"/>
      <w:r w:rsidRPr="00AC26E6">
        <w:rPr>
          <w:b/>
          <w:bCs/>
          <w:sz w:val="24"/>
          <w:szCs w:val="24"/>
        </w:rPr>
        <w:t>2. Contextual Background and Underlying Factors</w:t>
      </w:r>
      <w:bookmarkEnd w:id="4"/>
      <w:r w:rsidRPr="00AC26E6">
        <w:rPr>
          <w:b/>
          <w:bCs/>
          <w:sz w:val="24"/>
          <w:szCs w:val="24"/>
        </w:rPr>
        <w:t xml:space="preserve"> </w:t>
      </w:r>
    </w:p>
    <w:p w14:paraId="00000008" w14:textId="179193E5" w:rsidR="00764C0E" w:rsidRPr="00AC26E6" w:rsidRDefault="0015639F" w:rsidP="00AC26E6">
      <w:pPr>
        <w:spacing w:line="360" w:lineRule="auto"/>
        <w:jc w:val="both"/>
        <w:rPr>
          <w:sz w:val="24"/>
          <w:szCs w:val="24"/>
        </w:rPr>
      </w:pPr>
      <w:r w:rsidRPr="00AC26E6">
        <w:rPr>
          <w:sz w:val="24"/>
          <w:szCs w:val="24"/>
        </w:rPr>
        <w:t>In people with T2D, CVD and CKD there are several health inequalities that are strongly affected by the social determinants of health, such as income, education, employment, housing, ethnicity and access to healthcare (Casey et al., 2024). Each of these leads to increased exposure to behavioral risk factors, delayed diagnoses, decreased treatment adherence and sub-optimal long-term outcomes.</w:t>
      </w:r>
    </w:p>
    <w:p w14:paraId="00000009" w14:textId="26A7EADD" w:rsidR="00764C0E" w:rsidRPr="00AC26E6" w:rsidRDefault="00651ED4" w:rsidP="00AC26E6">
      <w:pPr>
        <w:pStyle w:val="Heading2"/>
        <w:spacing w:line="360" w:lineRule="auto"/>
        <w:rPr>
          <w:b/>
          <w:bCs/>
          <w:sz w:val="24"/>
          <w:szCs w:val="24"/>
        </w:rPr>
      </w:pPr>
      <w:bookmarkStart w:id="5" w:name="_egbkuc3d93qx" w:colFirst="0" w:colLast="0"/>
      <w:bookmarkStart w:id="6" w:name="_Toc235531741"/>
      <w:bookmarkEnd w:id="5"/>
      <w:r w:rsidRPr="00AC26E6">
        <w:rPr>
          <w:b/>
          <w:bCs/>
          <w:sz w:val="24"/>
          <w:szCs w:val="24"/>
        </w:rPr>
        <w:t>2.1 Disease Issue One: Type 2 Diabetes</w:t>
      </w:r>
      <w:bookmarkEnd w:id="6"/>
      <w:r w:rsidRPr="00AC26E6">
        <w:rPr>
          <w:b/>
          <w:bCs/>
          <w:sz w:val="24"/>
          <w:szCs w:val="24"/>
        </w:rPr>
        <w:t xml:space="preserve"> </w:t>
      </w:r>
    </w:p>
    <w:p w14:paraId="0000000A" w14:textId="4FCFA052" w:rsidR="00764C0E" w:rsidRPr="00AC26E6" w:rsidRDefault="0015639F" w:rsidP="00AC26E6">
      <w:pPr>
        <w:spacing w:line="360" w:lineRule="auto"/>
        <w:jc w:val="both"/>
        <w:rPr>
          <w:sz w:val="24"/>
          <w:szCs w:val="24"/>
        </w:rPr>
      </w:pPr>
      <w:r w:rsidRPr="00AC26E6">
        <w:rPr>
          <w:sz w:val="24"/>
          <w:szCs w:val="24"/>
        </w:rPr>
        <w:t xml:space="preserve">There are over 4.3 million people with diabetes in the UK, most of whom (90%) have Type 2 diabetes. There is an increased risk of T2D in deprived communities and for minority ethnic groups, especially South Asian (Kilvert and Fox, 2023). Diet, obesity, lack of physical exercise and restricted opportunities for the provision of preventive health services are risk factors. If it is not diagnosed in a timely manner, it can have serious consequences. Improving early screening, education in a culturally appropriate way and </w:t>
      </w:r>
      <w:r w:rsidRPr="00AC26E6">
        <w:rPr>
          <w:sz w:val="24"/>
          <w:szCs w:val="24"/>
        </w:rPr>
        <w:lastRenderedPageBreak/>
        <w:t>encouraging healthy lifestyles could mitigate inequalities and enhance disease management.</w:t>
      </w:r>
    </w:p>
    <w:p w14:paraId="7045E493" w14:textId="1852E5FA" w:rsidR="00914AE7" w:rsidRPr="00AC26E6" w:rsidRDefault="00914AE7" w:rsidP="00AC26E6">
      <w:pPr>
        <w:spacing w:line="360" w:lineRule="auto"/>
        <w:jc w:val="center"/>
        <w:rPr>
          <w:sz w:val="24"/>
          <w:szCs w:val="24"/>
        </w:rPr>
      </w:pPr>
      <w:r w:rsidRPr="00AC26E6">
        <w:rPr>
          <w:noProof/>
          <w:sz w:val="24"/>
          <w:szCs w:val="24"/>
        </w:rPr>
        <w:drawing>
          <wp:inline distT="0" distB="0" distL="0" distR="0" wp14:anchorId="43272942" wp14:editId="0A952FAE">
            <wp:extent cx="2334260" cy="1960245"/>
            <wp:effectExtent l="0" t="0" r="8890" b="1905"/>
            <wp:docPr id="1066311634" name="Picture 1" descr="Type 2 diabetes can lead to serious health complications if left untreated.  Finding out your risk only takes a few minutes using the Diabetes UK risk  tool – it could be th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Type 2 diabetes can lead to serious health complications if left untreated.  Finding out your risk only takes a few minutes using the Diabetes UK risk  tool – it could be th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34260" cy="1960245"/>
                    </a:xfrm>
                    <a:prstGeom prst="rect">
                      <a:avLst/>
                    </a:prstGeom>
                    <a:noFill/>
                    <a:ln>
                      <a:noFill/>
                    </a:ln>
                  </pic:spPr>
                </pic:pic>
              </a:graphicData>
            </a:graphic>
          </wp:inline>
        </w:drawing>
      </w:r>
    </w:p>
    <w:p w14:paraId="049D4C56" w14:textId="53976E7A" w:rsidR="00914AE7" w:rsidRPr="00AC26E6" w:rsidRDefault="00914AE7" w:rsidP="00AC26E6">
      <w:pPr>
        <w:spacing w:line="360" w:lineRule="auto"/>
        <w:jc w:val="center"/>
        <w:rPr>
          <w:b/>
          <w:bCs/>
          <w:sz w:val="24"/>
          <w:szCs w:val="24"/>
        </w:rPr>
      </w:pPr>
      <w:r w:rsidRPr="00AC26E6">
        <w:rPr>
          <w:b/>
          <w:bCs/>
          <w:sz w:val="24"/>
          <w:szCs w:val="24"/>
        </w:rPr>
        <w:t xml:space="preserve">Figure: </w:t>
      </w:r>
      <w:r w:rsidR="00AC26E6" w:rsidRPr="00AC26E6">
        <w:rPr>
          <w:b/>
          <w:bCs/>
          <w:sz w:val="24"/>
          <w:szCs w:val="24"/>
        </w:rPr>
        <w:t>Type 2 diabetes complications infographic blood sugar obesity NHS</w:t>
      </w:r>
    </w:p>
    <w:p w14:paraId="60EE03AE" w14:textId="7376105D" w:rsidR="00914AE7" w:rsidRPr="00AC26E6" w:rsidRDefault="00914AE7" w:rsidP="00AC26E6">
      <w:pPr>
        <w:spacing w:line="360" w:lineRule="auto"/>
        <w:jc w:val="center"/>
        <w:rPr>
          <w:sz w:val="24"/>
          <w:szCs w:val="24"/>
        </w:rPr>
      </w:pPr>
      <w:r w:rsidRPr="00AC26E6">
        <w:rPr>
          <w:sz w:val="24"/>
          <w:szCs w:val="24"/>
        </w:rPr>
        <w:t xml:space="preserve">(Source: </w:t>
      </w:r>
      <w:r w:rsidR="00AC26E6" w:rsidRPr="00AC26E6">
        <w:rPr>
          <w:sz w:val="24"/>
          <w:szCs w:val="24"/>
        </w:rPr>
        <w:t>Kilvert and Fox, 2023</w:t>
      </w:r>
      <w:r w:rsidRPr="00AC26E6">
        <w:rPr>
          <w:sz w:val="24"/>
          <w:szCs w:val="24"/>
        </w:rPr>
        <w:t>)</w:t>
      </w:r>
    </w:p>
    <w:p w14:paraId="0000000B" w14:textId="300EAA45" w:rsidR="00764C0E" w:rsidRPr="00AC26E6" w:rsidRDefault="00651ED4" w:rsidP="00AC26E6">
      <w:pPr>
        <w:pStyle w:val="Heading2"/>
        <w:spacing w:line="360" w:lineRule="auto"/>
        <w:rPr>
          <w:b/>
          <w:bCs/>
          <w:sz w:val="24"/>
          <w:szCs w:val="24"/>
        </w:rPr>
      </w:pPr>
      <w:bookmarkStart w:id="7" w:name="_x0t3nnmfkjt" w:colFirst="0" w:colLast="0"/>
      <w:bookmarkStart w:id="8" w:name="_Toc235531742"/>
      <w:bookmarkEnd w:id="7"/>
      <w:r w:rsidRPr="00AC26E6">
        <w:rPr>
          <w:b/>
          <w:bCs/>
          <w:sz w:val="24"/>
          <w:szCs w:val="24"/>
        </w:rPr>
        <w:t>2.2 Disease Issue Two: Cardiovascular Disease</w:t>
      </w:r>
      <w:bookmarkEnd w:id="8"/>
      <w:r w:rsidRPr="00AC26E6">
        <w:rPr>
          <w:b/>
          <w:bCs/>
          <w:sz w:val="24"/>
          <w:szCs w:val="24"/>
        </w:rPr>
        <w:t xml:space="preserve"> </w:t>
      </w:r>
    </w:p>
    <w:p w14:paraId="0000000C" w14:textId="0E2D90B9" w:rsidR="00764C0E" w:rsidRPr="00AC26E6" w:rsidRDefault="0015639F" w:rsidP="00AC26E6">
      <w:pPr>
        <w:spacing w:line="360" w:lineRule="auto"/>
        <w:jc w:val="both"/>
        <w:rPr>
          <w:sz w:val="24"/>
          <w:szCs w:val="24"/>
        </w:rPr>
      </w:pPr>
      <w:r w:rsidRPr="00AC26E6">
        <w:rPr>
          <w:sz w:val="24"/>
          <w:szCs w:val="24"/>
        </w:rPr>
        <w:t>In the UK one of the most common causes of death will be cardiovascular disease with the estimated death toll being about 160000 deaths per year. Cardiovascular risk is considerably higher in people with diabetes, as a result of the damage to blood vessels due to chronic hyperglycemia. Other factors, such as smoking, high blood pressure, being overweight, and deprivation, also exacerbate outcomes (Phillips et al., 2024). The distinctiveness in access to preventive services accounts for some of the differences in mortality rates among disadvantaged groups. Community-based prevention programmers, smoking cessation and blood pressure and cholesterol management programs are effective interventions.</w:t>
      </w:r>
    </w:p>
    <w:p w14:paraId="345FC596" w14:textId="0B1741AA" w:rsidR="00AC26E6" w:rsidRPr="00AC26E6" w:rsidRDefault="00AC26E6" w:rsidP="00AC26E6">
      <w:pPr>
        <w:spacing w:line="360" w:lineRule="auto"/>
        <w:jc w:val="center"/>
        <w:rPr>
          <w:sz w:val="24"/>
          <w:szCs w:val="24"/>
        </w:rPr>
      </w:pPr>
      <w:r w:rsidRPr="00AC26E6">
        <w:rPr>
          <w:noProof/>
          <w:sz w:val="24"/>
          <w:szCs w:val="24"/>
        </w:rPr>
        <w:lastRenderedPageBreak/>
        <w:drawing>
          <wp:inline distT="0" distB="0" distL="0" distR="0" wp14:anchorId="0D16EA78" wp14:editId="6ADB0C58">
            <wp:extent cx="2506933" cy="3151909"/>
            <wp:effectExtent l="0" t="0" r="8255" b="0"/>
            <wp:docPr id="662523037" name="Picture 2" descr="Your heart health matters and prevention starts with awareness. Know the risk  factors, understand the complications, and take small, consistent steps to  keep your heart strong. #ShelbysHeart #HeartHealth #Healthy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Your heart health matters and prevention starts with awareness. Know the risk  factors, understand the complications, and take small, consistent steps to  keep your heart strong. #ShelbysHeart #HeartHealth #HealthyCommun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12296" cy="3158652"/>
                    </a:xfrm>
                    <a:prstGeom prst="rect">
                      <a:avLst/>
                    </a:prstGeom>
                    <a:noFill/>
                    <a:ln>
                      <a:noFill/>
                    </a:ln>
                  </pic:spPr>
                </pic:pic>
              </a:graphicData>
            </a:graphic>
          </wp:inline>
        </w:drawing>
      </w:r>
    </w:p>
    <w:p w14:paraId="044BDC95" w14:textId="4227D02E" w:rsidR="00AC26E6" w:rsidRPr="00AC26E6" w:rsidRDefault="00AC26E6" w:rsidP="00AC26E6">
      <w:pPr>
        <w:spacing w:line="360" w:lineRule="auto"/>
        <w:jc w:val="center"/>
        <w:rPr>
          <w:b/>
          <w:bCs/>
          <w:sz w:val="24"/>
          <w:szCs w:val="24"/>
        </w:rPr>
      </w:pPr>
      <w:r w:rsidRPr="00AC26E6">
        <w:rPr>
          <w:b/>
          <w:bCs/>
          <w:sz w:val="24"/>
          <w:szCs w:val="24"/>
        </w:rPr>
        <w:t>Figure: Cardiovascular disease risk factors</w:t>
      </w:r>
    </w:p>
    <w:p w14:paraId="1D62936B" w14:textId="3A41E5DB" w:rsidR="00AC26E6" w:rsidRPr="00AC26E6" w:rsidRDefault="00AC26E6" w:rsidP="00AC26E6">
      <w:pPr>
        <w:spacing w:line="360" w:lineRule="auto"/>
        <w:jc w:val="center"/>
        <w:rPr>
          <w:sz w:val="24"/>
          <w:szCs w:val="24"/>
        </w:rPr>
      </w:pPr>
      <w:r w:rsidRPr="00AC26E6">
        <w:rPr>
          <w:sz w:val="24"/>
          <w:szCs w:val="24"/>
        </w:rPr>
        <w:t>(Source: Phillips et al., 2024)</w:t>
      </w:r>
    </w:p>
    <w:p w14:paraId="0000000D" w14:textId="58F16A23" w:rsidR="00764C0E" w:rsidRPr="00AC26E6" w:rsidRDefault="00651ED4" w:rsidP="00AC26E6">
      <w:pPr>
        <w:pStyle w:val="Heading2"/>
        <w:spacing w:line="360" w:lineRule="auto"/>
        <w:rPr>
          <w:b/>
          <w:bCs/>
          <w:sz w:val="24"/>
          <w:szCs w:val="24"/>
        </w:rPr>
      </w:pPr>
      <w:bookmarkStart w:id="9" w:name="_ars8zmm2pceu" w:colFirst="0" w:colLast="0"/>
      <w:bookmarkStart w:id="10" w:name="_Toc235531743"/>
      <w:bookmarkEnd w:id="9"/>
      <w:r w:rsidRPr="00AC26E6">
        <w:rPr>
          <w:b/>
          <w:bCs/>
          <w:sz w:val="24"/>
          <w:szCs w:val="24"/>
        </w:rPr>
        <w:t>2.3 Disease Issue Three: Chronic Kidney Disease</w:t>
      </w:r>
      <w:bookmarkEnd w:id="10"/>
      <w:r w:rsidRPr="00AC26E6">
        <w:rPr>
          <w:b/>
          <w:bCs/>
          <w:sz w:val="24"/>
          <w:szCs w:val="24"/>
        </w:rPr>
        <w:t xml:space="preserve"> </w:t>
      </w:r>
    </w:p>
    <w:p w14:paraId="0000000E" w14:textId="36CF15E4" w:rsidR="00764C0E" w:rsidRPr="00AC26E6" w:rsidRDefault="0015639F" w:rsidP="00AC26E6">
      <w:pPr>
        <w:spacing w:line="360" w:lineRule="auto"/>
        <w:jc w:val="both"/>
        <w:rPr>
          <w:sz w:val="24"/>
          <w:szCs w:val="24"/>
        </w:rPr>
      </w:pPr>
      <w:r w:rsidRPr="00AC26E6">
        <w:rPr>
          <w:sz w:val="24"/>
          <w:szCs w:val="24"/>
        </w:rPr>
        <w:t xml:space="preserve">Chronic kidney disease (CKD) is a frequent condition in adults in the UK, affecting around 10% of the population and is mainly caused by diabetes and high blood pressure (Grant et al, 2023). CKD is more prevalent in older people, deprived population, ethnic minorities due to delayed diagnosis and sub-optimal control of the disease. As the kidney damages step up, the chances of heart and blood vessel problems and early death rise. Monitoring of kidney function, comprehensive diabetes care, prompt referral to nephrology services and public education can help to </w:t>
      </w:r>
      <w:proofErr w:type="spellStart"/>
      <w:r w:rsidRPr="00AC26E6">
        <w:rPr>
          <w:sz w:val="24"/>
          <w:szCs w:val="24"/>
        </w:rPr>
        <w:t>minimise</w:t>
      </w:r>
      <w:proofErr w:type="spellEnd"/>
      <w:r w:rsidRPr="00AC26E6">
        <w:rPr>
          <w:sz w:val="24"/>
          <w:szCs w:val="24"/>
        </w:rPr>
        <w:t xml:space="preserve"> progression of the disease and its inequalities.</w:t>
      </w:r>
    </w:p>
    <w:p w14:paraId="67653119" w14:textId="5E580133" w:rsidR="00AC26E6" w:rsidRPr="00AC26E6" w:rsidRDefault="00AC26E6" w:rsidP="00AC26E6">
      <w:pPr>
        <w:spacing w:line="360" w:lineRule="auto"/>
        <w:jc w:val="center"/>
        <w:rPr>
          <w:sz w:val="24"/>
          <w:szCs w:val="24"/>
        </w:rPr>
      </w:pPr>
      <w:r w:rsidRPr="00AC26E6">
        <w:rPr>
          <w:noProof/>
          <w:sz w:val="24"/>
          <w:szCs w:val="24"/>
        </w:rPr>
        <w:drawing>
          <wp:inline distT="0" distB="0" distL="0" distR="0" wp14:anchorId="78374F3C" wp14:editId="6A23B02F">
            <wp:extent cx="3609109" cy="1929100"/>
            <wp:effectExtent l="0" t="0" r="0" b="0"/>
            <wp:docPr id="1203129372" name="Picture 3" descr="Social Determinants of Health | Public Health Gateway | C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Social Determinants of Health | Public Health Gateway | CD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15959" cy="1932761"/>
                    </a:xfrm>
                    <a:prstGeom prst="rect">
                      <a:avLst/>
                    </a:prstGeom>
                    <a:noFill/>
                    <a:ln>
                      <a:noFill/>
                    </a:ln>
                  </pic:spPr>
                </pic:pic>
              </a:graphicData>
            </a:graphic>
          </wp:inline>
        </w:drawing>
      </w:r>
    </w:p>
    <w:p w14:paraId="5AAF91A9" w14:textId="2890FC5E" w:rsidR="00AC26E6" w:rsidRPr="00AC26E6" w:rsidRDefault="00AC26E6" w:rsidP="00AC26E6">
      <w:pPr>
        <w:spacing w:line="360" w:lineRule="auto"/>
        <w:jc w:val="center"/>
        <w:rPr>
          <w:b/>
          <w:bCs/>
          <w:sz w:val="24"/>
          <w:szCs w:val="24"/>
        </w:rPr>
      </w:pPr>
      <w:r w:rsidRPr="00AC26E6">
        <w:rPr>
          <w:b/>
          <w:bCs/>
          <w:sz w:val="24"/>
          <w:szCs w:val="24"/>
        </w:rPr>
        <w:lastRenderedPageBreak/>
        <w:t>Figure: Social determinants of health infographic WHO health inequalities</w:t>
      </w:r>
    </w:p>
    <w:p w14:paraId="27CC5054" w14:textId="24B36B71" w:rsidR="00AC26E6" w:rsidRPr="00AC26E6" w:rsidRDefault="00AC26E6" w:rsidP="00AC26E6">
      <w:pPr>
        <w:spacing w:line="360" w:lineRule="auto"/>
        <w:jc w:val="center"/>
        <w:rPr>
          <w:sz w:val="24"/>
          <w:szCs w:val="24"/>
        </w:rPr>
      </w:pPr>
      <w:r w:rsidRPr="00AC26E6">
        <w:rPr>
          <w:sz w:val="24"/>
          <w:szCs w:val="24"/>
        </w:rPr>
        <w:t>(Source: Grant et al, 2023)</w:t>
      </w:r>
    </w:p>
    <w:p w14:paraId="0000000F" w14:textId="2BF9460A" w:rsidR="00764C0E" w:rsidRPr="00AC26E6" w:rsidRDefault="00651ED4" w:rsidP="00AC26E6">
      <w:pPr>
        <w:pStyle w:val="Heading2"/>
        <w:spacing w:line="360" w:lineRule="auto"/>
        <w:rPr>
          <w:b/>
          <w:bCs/>
          <w:sz w:val="24"/>
          <w:szCs w:val="24"/>
        </w:rPr>
      </w:pPr>
      <w:bookmarkStart w:id="11" w:name="_kzc8s9reeid8" w:colFirst="0" w:colLast="0"/>
      <w:bookmarkStart w:id="12" w:name="_Toc235531744"/>
      <w:bookmarkEnd w:id="11"/>
      <w:r w:rsidRPr="00AC26E6">
        <w:rPr>
          <w:b/>
          <w:bCs/>
          <w:sz w:val="24"/>
          <w:szCs w:val="24"/>
        </w:rPr>
        <w:t>2.4 Social Issue One: Socioeconomic Deprivation</w:t>
      </w:r>
      <w:bookmarkEnd w:id="12"/>
      <w:r w:rsidRPr="00AC26E6">
        <w:rPr>
          <w:b/>
          <w:bCs/>
          <w:sz w:val="24"/>
          <w:szCs w:val="24"/>
        </w:rPr>
        <w:t xml:space="preserve"> </w:t>
      </w:r>
    </w:p>
    <w:p w14:paraId="00000010" w14:textId="143FA200" w:rsidR="00764C0E" w:rsidRPr="00AC26E6" w:rsidRDefault="0015639F" w:rsidP="00AC26E6">
      <w:pPr>
        <w:spacing w:line="360" w:lineRule="auto"/>
        <w:jc w:val="both"/>
        <w:rPr>
          <w:sz w:val="24"/>
          <w:szCs w:val="24"/>
        </w:rPr>
      </w:pPr>
      <w:r w:rsidRPr="00AC26E6">
        <w:rPr>
          <w:sz w:val="24"/>
          <w:szCs w:val="24"/>
        </w:rPr>
        <w:t>Among other important determinants of health inequality is socio-economic deprivation. The nutrition, job opportunities, health literacy, and health care services available to people in poorer areas are not as good (Zhong et al., 2024). Evidence of increased prevalence of diabetes, CVD and CKD across the UK is consistent for the most deprived communities. Countries need to put in place policies to address poverty and job creation, affordability of healthy food and availability of primary health care services to remove these inequities.</w:t>
      </w:r>
    </w:p>
    <w:p w14:paraId="00000011" w14:textId="4A3AC6EB" w:rsidR="00764C0E" w:rsidRPr="00AC26E6" w:rsidRDefault="00651ED4" w:rsidP="00AC26E6">
      <w:pPr>
        <w:pStyle w:val="Heading2"/>
        <w:spacing w:line="360" w:lineRule="auto"/>
        <w:rPr>
          <w:b/>
          <w:bCs/>
          <w:sz w:val="24"/>
          <w:szCs w:val="24"/>
        </w:rPr>
      </w:pPr>
      <w:bookmarkStart w:id="13" w:name="_5ur69fnz4p7n" w:colFirst="0" w:colLast="0"/>
      <w:bookmarkStart w:id="14" w:name="_Toc235531745"/>
      <w:bookmarkEnd w:id="13"/>
      <w:r w:rsidRPr="00AC26E6">
        <w:rPr>
          <w:b/>
          <w:bCs/>
          <w:sz w:val="24"/>
          <w:szCs w:val="24"/>
        </w:rPr>
        <w:t>2.5 Social Issue Two: Ethnic Inequalities</w:t>
      </w:r>
      <w:bookmarkEnd w:id="14"/>
    </w:p>
    <w:p w14:paraId="00000012" w14:textId="2FE46A8F" w:rsidR="00764C0E" w:rsidRPr="00AC26E6" w:rsidRDefault="0015639F" w:rsidP="00AC26E6">
      <w:pPr>
        <w:spacing w:line="360" w:lineRule="auto"/>
        <w:jc w:val="both"/>
        <w:rPr>
          <w:sz w:val="24"/>
          <w:szCs w:val="24"/>
        </w:rPr>
      </w:pPr>
      <w:r w:rsidRPr="00AC26E6">
        <w:rPr>
          <w:sz w:val="24"/>
          <w:szCs w:val="24"/>
        </w:rPr>
        <w:t>Ethnic minority populations have higher prevalence of T2D and CKD, due to genetic susceptibility, cultural diet habits, language barrier, unequal access to healthcare etc. South Asian adults tend to be at an early age with low BMI when compared to White populations for developing Type 2 Diabetes (Wang et al., 2023). These differences result in earlier complications and poorer outcomes. Interpretation services and targeted screening programmers increase access to health and disease prevention, and culturally responsive health education.</w:t>
      </w:r>
    </w:p>
    <w:p w14:paraId="00000013" w14:textId="0342395B" w:rsidR="00764C0E" w:rsidRPr="00AC26E6" w:rsidRDefault="00651ED4" w:rsidP="00AC26E6">
      <w:pPr>
        <w:pStyle w:val="Heading2"/>
        <w:spacing w:line="360" w:lineRule="auto"/>
        <w:rPr>
          <w:b/>
          <w:bCs/>
          <w:sz w:val="24"/>
          <w:szCs w:val="24"/>
        </w:rPr>
      </w:pPr>
      <w:bookmarkStart w:id="15" w:name="_ywqt2qrunmwn" w:colFirst="0" w:colLast="0"/>
      <w:bookmarkStart w:id="16" w:name="_Toc235531746"/>
      <w:bookmarkEnd w:id="15"/>
      <w:r w:rsidRPr="00AC26E6">
        <w:rPr>
          <w:b/>
          <w:bCs/>
          <w:sz w:val="24"/>
          <w:szCs w:val="24"/>
        </w:rPr>
        <w:t>2.6 Social Issue Three: Health Literacy</w:t>
      </w:r>
      <w:bookmarkEnd w:id="16"/>
    </w:p>
    <w:p w14:paraId="00000015" w14:textId="645DFDA4" w:rsidR="00764C0E" w:rsidRPr="00AC26E6" w:rsidRDefault="0015639F" w:rsidP="00AC26E6">
      <w:pPr>
        <w:spacing w:line="360" w:lineRule="auto"/>
        <w:jc w:val="both"/>
        <w:rPr>
          <w:sz w:val="24"/>
          <w:szCs w:val="24"/>
        </w:rPr>
      </w:pPr>
      <w:r w:rsidRPr="00AC26E6">
        <w:rPr>
          <w:sz w:val="24"/>
          <w:szCs w:val="24"/>
        </w:rPr>
        <w:t>Low health literacy makes it challenging for the individual to understand health information, manage medications and engage in healthful activities.Low health literacy reduces people's ability to comprehend health information, self-manage medications, and healthy activities (Francis et al., 2024). Less educated people have lower rates of having a screening appointment and awareness of early signs of chronic disease. Low health literacy is linked to a delay in accessing health care, unnecessary hospitalizations, and disease progression (</w:t>
      </w:r>
      <w:proofErr w:type="spellStart"/>
      <w:r w:rsidRPr="00AC26E6">
        <w:rPr>
          <w:sz w:val="24"/>
          <w:szCs w:val="24"/>
        </w:rPr>
        <w:t>Lübker</w:t>
      </w:r>
      <w:proofErr w:type="spellEnd"/>
      <w:r w:rsidRPr="00AC26E6">
        <w:rPr>
          <w:sz w:val="24"/>
          <w:szCs w:val="24"/>
        </w:rPr>
        <w:t xml:space="preserve"> et al., 2026). Digital health and health literacy programs can help to decrease health inequities by making health information more simplified, digital inclusion and by providing personalized patient education..</w:t>
      </w:r>
    </w:p>
    <w:p w14:paraId="00000016" w14:textId="1E9F0551" w:rsidR="00764C0E" w:rsidRPr="00AC26E6" w:rsidRDefault="00651ED4" w:rsidP="00AC26E6">
      <w:pPr>
        <w:pStyle w:val="Heading1"/>
        <w:spacing w:line="360" w:lineRule="auto"/>
        <w:rPr>
          <w:b/>
          <w:bCs/>
          <w:sz w:val="24"/>
          <w:szCs w:val="24"/>
        </w:rPr>
      </w:pPr>
      <w:bookmarkStart w:id="17" w:name="_wirjw9tw0obi" w:colFirst="0" w:colLast="0"/>
      <w:bookmarkStart w:id="18" w:name="_Toc235531747"/>
      <w:bookmarkEnd w:id="17"/>
      <w:r w:rsidRPr="00AC26E6">
        <w:rPr>
          <w:b/>
          <w:bCs/>
          <w:sz w:val="24"/>
          <w:szCs w:val="24"/>
        </w:rPr>
        <w:lastRenderedPageBreak/>
        <w:t>3. National Response to Reduce Health Inequalities</w:t>
      </w:r>
      <w:bookmarkEnd w:id="18"/>
      <w:r w:rsidRPr="00AC26E6">
        <w:rPr>
          <w:b/>
          <w:bCs/>
          <w:sz w:val="24"/>
          <w:szCs w:val="24"/>
        </w:rPr>
        <w:t xml:space="preserve"> </w:t>
      </w:r>
    </w:p>
    <w:p w14:paraId="00000018" w14:textId="52387FBA" w:rsidR="00764C0E" w:rsidRPr="00AC26E6" w:rsidRDefault="0015639F" w:rsidP="00AC26E6">
      <w:pPr>
        <w:spacing w:line="360" w:lineRule="auto"/>
        <w:jc w:val="both"/>
        <w:rPr>
          <w:sz w:val="24"/>
          <w:szCs w:val="24"/>
        </w:rPr>
      </w:pPr>
      <w:r w:rsidRPr="00AC26E6">
        <w:rPr>
          <w:sz w:val="24"/>
          <w:szCs w:val="24"/>
        </w:rPr>
        <w:t>The NHS Long Term Plan sets out to tackle health inequalities by making sure that people are diagnosed, treated and managed earlier, differently and more effectively; and that people in disadvantaged communities are better supported to prevent ill health. (Sawhney et al., 2023). It provides assistance to cardiovascular prevention programmers and improved diabetes services. Further, the Core20PLUS5 Programmed prioritizes vulnerable groups and the most deprived 20% of the population to increase access to health services and decrease disparities (Kunnath et al., 2024). Although these programs have resulted in increased screening and preventive care adoption, workforce shortages, geographic service disparities and socioeconomic inequities have limited the effectiveness of these programs, and continued investment and outreach to communities is needed.</w:t>
      </w:r>
    </w:p>
    <w:p w14:paraId="00000019" w14:textId="2220882A" w:rsidR="00764C0E" w:rsidRPr="00AC26E6" w:rsidRDefault="00651ED4" w:rsidP="00AC26E6">
      <w:pPr>
        <w:pStyle w:val="Heading1"/>
        <w:spacing w:line="360" w:lineRule="auto"/>
        <w:rPr>
          <w:b/>
          <w:bCs/>
          <w:sz w:val="24"/>
          <w:szCs w:val="24"/>
        </w:rPr>
      </w:pPr>
      <w:bookmarkStart w:id="19" w:name="_sd5pu9pg6jj0" w:colFirst="0" w:colLast="0"/>
      <w:bookmarkStart w:id="20" w:name="_Toc235531748"/>
      <w:bookmarkEnd w:id="19"/>
      <w:r w:rsidRPr="00AC26E6">
        <w:rPr>
          <w:b/>
          <w:bCs/>
          <w:sz w:val="24"/>
          <w:szCs w:val="24"/>
        </w:rPr>
        <w:t xml:space="preserve">4. </w:t>
      </w:r>
      <w:r w:rsidR="009A2005" w:rsidRPr="00AC26E6">
        <w:rPr>
          <w:b/>
          <w:bCs/>
          <w:sz w:val="24"/>
          <w:szCs w:val="24"/>
        </w:rPr>
        <w:t>Organization</w:t>
      </w:r>
      <w:r w:rsidRPr="00AC26E6">
        <w:rPr>
          <w:b/>
          <w:bCs/>
          <w:sz w:val="24"/>
          <w:szCs w:val="24"/>
        </w:rPr>
        <w:t xml:space="preserve"> Supporting the Chosen Group</w:t>
      </w:r>
      <w:bookmarkEnd w:id="20"/>
      <w:r w:rsidRPr="00AC26E6">
        <w:rPr>
          <w:b/>
          <w:bCs/>
          <w:sz w:val="24"/>
          <w:szCs w:val="24"/>
        </w:rPr>
        <w:t xml:space="preserve"> </w:t>
      </w:r>
    </w:p>
    <w:p w14:paraId="0000001B" w14:textId="74E6D2D8" w:rsidR="00764C0E" w:rsidRPr="00AC26E6" w:rsidRDefault="00914AE7" w:rsidP="00AC26E6">
      <w:pPr>
        <w:spacing w:line="360" w:lineRule="auto"/>
        <w:jc w:val="both"/>
        <w:rPr>
          <w:sz w:val="24"/>
          <w:szCs w:val="24"/>
        </w:rPr>
      </w:pPr>
      <w:r w:rsidRPr="00AC26E6">
        <w:rPr>
          <w:sz w:val="24"/>
          <w:szCs w:val="24"/>
        </w:rPr>
        <w:t>Diabetes UK is the UK's largest diabetes charity which supports people that have diabetes and diabetes related issues. It is charged with the task of improving care, funding research, shaping national policy and public awareness (Au-Yeung et al., 2024). The organization aims to develop educational programs, provides emotional support, advocates, helplines and community programmers, and provides funding for research for better prevention and treatment. While Diabetes UK makes a considerable contribution to support and awareness of patients, this effectiveness relies on a long-term partnership with NHS services as well as sufficient funding from the Government to tackle the growing health inequalities.</w:t>
      </w:r>
      <w:bookmarkStart w:id="21" w:name="_ljglkrc7ukht" w:colFirst="0" w:colLast="0"/>
      <w:bookmarkEnd w:id="21"/>
    </w:p>
    <w:p w14:paraId="0000001C" w14:textId="499C31C5" w:rsidR="00764C0E" w:rsidRPr="00AC26E6" w:rsidRDefault="00651ED4" w:rsidP="00AC26E6">
      <w:pPr>
        <w:pStyle w:val="Heading1"/>
        <w:spacing w:line="360" w:lineRule="auto"/>
        <w:rPr>
          <w:b/>
          <w:bCs/>
          <w:sz w:val="24"/>
          <w:szCs w:val="24"/>
        </w:rPr>
      </w:pPr>
      <w:bookmarkStart w:id="22" w:name="_f9t7h9gc0cx2" w:colFirst="0" w:colLast="0"/>
      <w:bookmarkStart w:id="23" w:name="_Toc235531749"/>
      <w:bookmarkEnd w:id="22"/>
      <w:r w:rsidRPr="00AC26E6">
        <w:rPr>
          <w:b/>
          <w:bCs/>
          <w:sz w:val="24"/>
          <w:szCs w:val="24"/>
        </w:rPr>
        <w:t>5. Conclusion</w:t>
      </w:r>
      <w:bookmarkEnd w:id="23"/>
    </w:p>
    <w:p w14:paraId="0000001D" w14:textId="62B8BDDE" w:rsidR="00764C0E" w:rsidRPr="00AC26E6" w:rsidRDefault="00914AE7" w:rsidP="00AC26E6">
      <w:pPr>
        <w:spacing w:line="360" w:lineRule="auto"/>
        <w:jc w:val="both"/>
        <w:rPr>
          <w:sz w:val="24"/>
          <w:szCs w:val="24"/>
        </w:rPr>
      </w:pPr>
      <w:bookmarkStart w:id="24" w:name="_anlr86a4yryj" w:colFirst="0" w:colLast="0"/>
      <w:bookmarkEnd w:id="24"/>
      <w:r w:rsidRPr="00AC26E6">
        <w:rPr>
          <w:sz w:val="24"/>
          <w:szCs w:val="24"/>
        </w:rPr>
        <w:t xml:space="preserve">People with Type 2 diabetes, cardiovascular disease and chronic kidney disease experience health inequalities due to: socioeconomic deprivation, ethnicity and low health literacy. These are all factors that affect health and health care access. Last but not least, continued public health action and national policies and importantly, the support and </w:t>
      </w:r>
      <w:r w:rsidRPr="00AC26E6">
        <w:rPr>
          <w:sz w:val="24"/>
          <w:szCs w:val="24"/>
        </w:rPr>
        <w:lastRenderedPageBreak/>
        <w:t>cooperation from health bodies is still critical in tackling inequalities and improving the health of the whole population in the long run.</w:t>
      </w:r>
    </w:p>
    <w:p w14:paraId="6DEBE924" w14:textId="77777777" w:rsidR="009A2005" w:rsidRPr="00AC26E6" w:rsidRDefault="009A2005" w:rsidP="00AC26E6">
      <w:pPr>
        <w:spacing w:line="360" w:lineRule="auto"/>
        <w:jc w:val="both"/>
        <w:rPr>
          <w:sz w:val="24"/>
          <w:szCs w:val="24"/>
        </w:rPr>
      </w:pPr>
      <w:r w:rsidRPr="00AC26E6">
        <w:rPr>
          <w:sz w:val="24"/>
          <w:szCs w:val="24"/>
        </w:rPr>
        <w:br w:type="page"/>
      </w:r>
    </w:p>
    <w:p w14:paraId="0000001E" w14:textId="082E291D" w:rsidR="00764C0E" w:rsidRPr="00AC26E6" w:rsidRDefault="00651ED4" w:rsidP="00AC26E6">
      <w:pPr>
        <w:pStyle w:val="Heading1"/>
        <w:spacing w:line="360" w:lineRule="auto"/>
        <w:rPr>
          <w:b/>
          <w:bCs/>
          <w:sz w:val="24"/>
          <w:szCs w:val="24"/>
        </w:rPr>
      </w:pPr>
      <w:bookmarkStart w:id="25" w:name="_Toc235531750"/>
      <w:r w:rsidRPr="00AC26E6">
        <w:rPr>
          <w:b/>
          <w:bCs/>
          <w:sz w:val="24"/>
          <w:szCs w:val="24"/>
        </w:rPr>
        <w:lastRenderedPageBreak/>
        <w:t>REFERNCE</w:t>
      </w:r>
      <w:bookmarkEnd w:id="25"/>
      <w:r w:rsidRPr="00AC26E6">
        <w:rPr>
          <w:b/>
          <w:bCs/>
          <w:sz w:val="24"/>
          <w:szCs w:val="24"/>
        </w:rPr>
        <w:t xml:space="preserve">  </w:t>
      </w:r>
    </w:p>
    <w:p w14:paraId="0000001F"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Hayanga, B., Stafford, M. and Bécares, L., 2023. Ethnic inequalities in multiple long-term health conditions in the United Kingdom: a systematic review and narrative synthesis. </w:t>
      </w:r>
      <w:r w:rsidRPr="00AC26E6">
        <w:rPr>
          <w:i/>
          <w:iCs/>
          <w:color w:val="222222"/>
          <w:sz w:val="24"/>
          <w:szCs w:val="24"/>
          <w:highlight w:val="white"/>
        </w:rPr>
        <w:t>BMC Public Health</w:t>
      </w:r>
      <w:r w:rsidRPr="00AC26E6">
        <w:rPr>
          <w:color w:val="222222"/>
          <w:sz w:val="24"/>
          <w:szCs w:val="24"/>
          <w:highlight w:val="white"/>
        </w:rPr>
        <w:t xml:space="preserve">, </w:t>
      </w:r>
      <w:r w:rsidRPr="00AC26E6">
        <w:rPr>
          <w:i/>
          <w:iCs/>
          <w:color w:val="222222"/>
          <w:sz w:val="24"/>
          <w:szCs w:val="24"/>
          <w:highlight w:val="white"/>
        </w:rPr>
        <w:t>23</w:t>
      </w:r>
      <w:r w:rsidRPr="00AC26E6">
        <w:rPr>
          <w:color w:val="222222"/>
          <w:sz w:val="24"/>
          <w:szCs w:val="24"/>
          <w:highlight w:val="white"/>
        </w:rPr>
        <w:t>(1), p.178.</w:t>
      </w:r>
      <w:r w:rsidRPr="00AC26E6">
        <w:rPr>
          <w:sz w:val="24"/>
          <w:szCs w:val="24"/>
        </w:rPr>
        <w:t xml:space="preserve"> </w:t>
      </w:r>
      <w:hyperlink r:id="rId9">
        <w:r w:rsidR="00764C0E" w:rsidRPr="00AC26E6">
          <w:rPr>
            <w:color w:val="1155CC"/>
            <w:sz w:val="24"/>
            <w:szCs w:val="24"/>
            <w:u w:val="single"/>
          </w:rPr>
          <w:t>https://link.springer.com/article/10.1186/s12889-022-14940-w</w:t>
        </w:r>
      </w:hyperlink>
    </w:p>
    <w:p w14:paraId="00000020"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Casey, C., Buckley, C.M., Kearney, P.M., Griffin, M.D., Dinneen, S.F. and Griffin, T.P., 2024. Social deprivation and diabetic kidney disease: A European view. </w:t>
      </w:r>
      <w:r w:rsidRPr="00AC26E6">
        <w:rPr>
          <w:i/>
          <w:iCs/>
          <w:color w:val="222222"/>
          <w:sz w:val="24"/>
          <w:szCs w:val="24"/>
          <w:highlight w:val="white"/>
        </w:rPr>
        <w:t>Journal of Diabetes Investigation</w:t>
      </w:r>
      <w:r w:rsidRPr="00AC26E6">
        <w:rPr>
          <w:color w:val="222222"/>
          <w:sz w:val="24"/>
          <w:szCs w:val="24"/>
          <w:highlight w:val="white"/>
        </w:rPr>
        <w:t xml:space="preserve">, </w:t>
      </w:r>
      <w:r w:rsidRPr="00AC26E6">
        <w:rPr>
          <w:i/>
          <w:iCs/>
          <w:color w:val="222222"/>
          <w:sz w:val="24"/>
          <w:szCs w:val="24"/>
          <w:highlight w:val="white"/>
        </w:rPr>
        <w:t>15</w:t>
      </w:r>
      <w:r w:rsidRPr="00AC26E6">
        <w:rPr>
          <w:color w:val="222222"/>
          <w:sz w:val="24"/>
          <w:szCs w:val="24"/>
          <w:highlight w:val="white"/>
        </w:rPr>
        <w:t>(5), pp.541-556.</w:t>
      </w:r>
      <w:r w:rsidRPr="00AC26E6">
        <w:rPr>
          <w:sz w:val="24"/>
          <w:szCs w:val="24"/>
        </w:rPr>
        <w:t xml:space="preserve"> </w:t>
      </w:r>
      <w:hyperlink r:id="rId10">
        <w:r w:rsidR="00764C0E" w:rsidRPr="00AC26E6">
          <w:rPr>
            <w:color w:val="1155CC"/>
            <w:sz w:val="24"/>
            <w:szCs w:val="24"/>
            <w:u w:val="single"/>
          </w:rPr>
          <w:t>https://onlinelibrary.wiley.com/doi/abs/10.1111/jdi.14156</w:t>
        </w:r>
      </w:hyperlink>
    </w:p>
    <w:p w14:paraId="00000021" w14:textId="77777777" w:rsidR="00764C0E" w:rsidRPr="00AC26E6" w:rsidRDefault="00651ED4" w:rsidP="00AC26E6">
      <w:pPr>
        <w:spacing w:line="360" w:lineRule="auto"/>
        <w:jc w:val="both"/>
        <w:rPr>
          <w:sz w:val="24"/>
          <w:szCs w:val="24"/>
        </w:rPr>
      </w:pPr>
      <w:r w:rsidRPr="00AC26E6">
        <w:rPr>
          <w:color w:val="222222"/>
          <w:sz w:val="24"/>
          <w:szCs w:val="24"/>
          <w:highlight w:val="white"/>
        </w:rPr>
        <w:t xml:space="preserve">Kilvert, A. and Fox, C., 2023. Health inequalities and diabetes. </w:t>
      </w:r>
      <w:r w:rsidRPr="00AC26E6">
        <w:rPr>
          <w:i/>
          <w:iCs/>
          <w:color w:val="222222"/>
          <w:sz w:val="24"/>
          <w:szCs w:val="24"/>
          <w:highlight w:val="white"/>
        </w:rPr>
        <w:t>Practical Diabetes</w:t>
      </w:r>
      <w:r w:rsidRPr="00AC26E6">
        <w:rPr>
          <w:color w:val="222222"/>
          <w:sz w:val="24"/>
          <w:szCs w:val="24"/>
          <w:highlight w:val="white"/>
        </w:rPr>
        <w:t xml:space="preserve">, </w:t>
      </w:r>
      <w:r w:rsidRPr="00AC26E6">
        <w:rPr>
          <w:i/>
          <w:iCs/>
          <w:color w:val="222222"/>
          <w:sz w:val="24"/>
          <w:szCs w:val="24"/>
          <w:highlight w:val="white"/>
        </w:rPr>
        <w:t>40</w:t>
      </w:r>
      <w:r w:rsidRPr="00AC26E6">
        <w:rPr>
          <w:color w:val="222222"/>
          <w:sz w:val="24"/>
          <w:szCs w:val="24"/>
          <w:highlight w:val="white"/>
        </w:rPr>
        <w:t>(1), pp.19-24a.</w:t>
      </w:r>
      <w:r w:rsidRPr="00AC26E6">
        <w:rPr>
          <w:sz w:val="24"/>
          <w:szCs w:val="24"/>
        </w:rPr>
        <w:t xml:space="preserve"> </w:t>
      </w:r>
      <w:hyperlink r:id="rId11">
        <w:r w:rsidR="00764C0E" w:rsidRPr="00AC26E6">
          <w:rPr>
            <w:color w:val="1155CC"/>
            <w:sz w:val="24"/>
            <w:szCs w:val="24"/>
            <w:u w:val="single"/>
          </w:rPr>
          <w:t>https://wchh.onlinelibrary.wiley.com/doi/abs/10.1002/pdi.2435</w:t>
        </w:r>
      </w:hyperlink>
    </w:p>
    <w:p w14:paraId="00000022" w14:textId="77777777" w:rsidR="00764C0E" w:rsidRPr="00AC26E6" w:rsidRDefault="00651ED4" w:rsidP="00AC26E6">
      <w:pPr>
        <w:spacing w:line="360" w:lineRule="auto"/>
        <w:jc w:val="both"/>
        <w:rPr>
          <w:sz w:val="24"/>
          <w:szCs w:val="24"/>
        </w:rPr>
      </w:pPr>
      <w:r w:rsidRPr="00AC26E6">
        <w:rPr>
          <w:color w:val="222222"/>
          <w:sz w:val="24"/>
          <w:szCs w:val="24"/>
          <w:highlight w:val="white"/>
        </w:rPr>
        <w:t>Phillips, K., Hazlehurst, J.M., Sheppard, C., Bellary, S., Hanif, W., Karamat, M.A., Crowe, F.L., Stone, A., Thomas, G.N., Peracha, J. and Fenton, A., 2024. Inequalities in the management of diabetic kidney disease in UK primary care: a cross</w:t>
      </w:r>
      <w:r w:rsidRPr="00AC26E6">
        <w:rPr>
          <w:rFonts w:ascii="Cambria Math" w:hAnsi="Cambria Math" w:cs="Cambria Math"/>
          <w:color w:val="222222"/>
          <w:sz w:val="24"/>
          <w:szCs w:val="24"/>
          <w:highlight w:val="white"/>
        </w:rPr>
        <w:t>‐</w:t>
      </w:r>
      <w:r w:rsidRPr="00AC26E6">
        <w:rPr>
          <w:color w:val="222222"/>
          <w:sz w:val="24"/>
          <w:szCs w:val="24"/>
          <w:highlight w:val="white"/>
        </w:rPr>
        <w:t xml:space="preserve">sectional analysis of a large primary care database. </w:t>
      </w:r>
      <w:r w:rsidRPr="00AC26E6">
        <w:rPr>
          <w:i/>
          <w:iCs/>
          <w:color w:val="222222"/>
          <w:sz w:val="24"/>
          <w:szCs w:val="24"/>
          <w:highlight w:val="white"/>
        </w:rPr>
        <w:t>Diabetic medicine</w:t>
      </w:r>
      <w:r w:rsidRPr="00AC26E6">
        <w:rPr>
          <w:color w:val="222222"/>
          <w:sz w:val="24"/>
          <w:szCs w:val="24"/>
          <w:highlight w:val="white"/>
        </w:rPr>
        <w:t xml:space="preserve">, </w:t>
      </w:r>
      <w:r w:rsidRPr="00AC26E6">
        <w:rPr>
          <w:i/>
          <w:iCs/>
          <w:color w:val="222222"/>
          <w:sz w:val="24"/>
          <w:szCs w:val="24"/>
          <w:highlight w:val="white"/>
        </w:rPr>
        <w:t>41</w:t>
      </w:r>
      <w:r w:rsidRPr="00AC26E6">
        <w:rPr>
          <w:color w:val="222222"/>
          <w:sz w:val="24"/>
          <w:szCs w:val="24"/>
          <w:highlight w:val="white"/>
        </w:rPr>
        <w:t>(1), p.e15153.</w:t>
      </w:r>
      <w:r w:rsidRPr="00AC26E6">
        <w:rPr>
          <w:sz w:val="24"/>
          <w:szCs w:val="24"/>
        </w:rPr>
        <w:t xml:space="preserve"> </w:t>
      </w:r>
      <w:hyperlink r:id="rId12">
        <w:r w:rsidR="00764C0E" w:rsidRPr="00AC26E6">
          <w:rPr>
            <w:color w:val="1155CC"/>
            <w:sz w:val="24"/>
            <w:szCs w:val="24"/>
            <w:u w:val="single"/>
          </w:rPr>
          <w:t>https://onlinelibrary.wiley.com/doi/abs/10.1111/dme.15153</w:t>
        </w:r>
      </w:hyperlink>
    </w:p>
    <w:p w14:paraId="00000023" w14:textId="77777777" w:rsidR="00764C0E" w:rsidRPr="00AC26E6" w:rsidRDefault="00651ED4" w:rsidP="00AC26E6">
      <w:pPr>
        <w:spacing w:line="360" w:lineRule="auto"/>
        <w:jc w:val="both"/>
        <w:rPr>
          <w:sz w:val="24"/>
          <w:szCs w:val="24"/>
        </w:rPr>
      </w:pPr>
      <w:r w:rsidRPr="00AC26E6">
        <w:rPr>
          <w:color w:val="222222"/>
          <w:sz w:val="24"/>
          <w:szCs w:val="24"/>
          <w:highlight w:val="white"/>
        </w:rPr>
        <w:t xml:space="preserve">Grant, C.H., Salim, E., Lees, J.S. and Stevens, K.I., 2023. Deprivation and chronic kidney disease—a review of the evidence. </w:t>
      </w:r>
      <w:r w:rsidRPr="00AC26E6">
        <w:rPr>
          <w:i/>
          <w:iCs/>
          <w:color w:val="222222"/>
          <w:sz w:val="24"/>
          <w:szCs w:val="24"/>
          <w:highlight w:val="white"/>
        </w:rPr>
        <w:t>Clinical Kidney Journal</w:t>
      </w:r>
      <w:r w:rsidRPr="00AC26E6">
        <w:rPr>
          <w:color w:val="222222"/>
          <w:sz w:val="24"/>
          <w:szCs w:val="24"/>
          <w:highlight w:val="white"/>
        </w:rPr>
        <w:t xml:space="preserve">, </w:t>
      </w:r>
      <w:r w:rsidRPr="00AC26E6">
        <w:rPr>
          <w:i/>
          <w:iCs/>
          <w:color w:val="222222"/>
          <w:sz w:val="24"/>
          <w:szCs w:val="24"/>
          <w:highlight w:val="white"/>
        </w:rPr>
        <w:t>16</w:t>
      </w:r>
      <w:r w:rsidRPr="00AC26E6">
        <w:rPr>
          <w:color w:val="222222"/>
          <w:sz w:val="24"/>
          <w:szCs w:val="24"/>
          <w:highlight w:val="white"/>
        </w:rPr>
        <w:t>(7), pp.1081-1091.</w:t>
      </w:r>
      <w:r w:rsidRPr="00AC26E6">
        <w:rPr>
          <w:sz w:val="24"/>
          <w:szCs w:val="24"/>
        </w:rPr>
        <w:t xml:space="preserve"> </w:t>
      </w:r>
      <w:hyperlink r:id="rId13">
        <w:r w:rsidR="00764C0E" w:rsidRPr="00AC26E6">
          <w:rPr>
            <w:color w:val="1155CC"/>
            <w:sz w:val="24"/>
            <w:szCs w:val="24"/>
            <w:u w:val="single"/>
          </w:rPr>
          <w:t>https://academic.oup.com/ckj/article-abstract/16/7/1081/7060399</w:t>
        </w:r>
      </w:hyperlink>
    </w:p>
    <w:p w14:paraId="00000024" w14:textId="77777777" w:rsidR="00764C0E" w:rsidRPr="00AC26E6" w:rsidRDefault="00651ED4" w:rsidP="00AC26E6">
      <w:pPr>
        <w:spacing w:line="360" w:lineRule="auto"/>
        <w:jc w:val="both"/>
        <w:rPr>
          <w:sz w:val="24"/>
          <w:szCs w:val="24"/>
        </w:rPr>
      </w:pPr>
      <w:r w:rsidRPr="00AC26E6">
        <w:rPr>
          <w:color w:val="222222"/>
          <w:sz w:val="24"/>
          <w:szCs w:val="24"/>
          <w:highlight w:val="white"/>
        </w:rPr>
        <w:t xml:space="preserve">Zhong, J., Zhang, Y., Zhu, K., Li, R., Zhou, X., Yao, P., Franco, O.H., Manson, J.E., Pan, A. and Liu, G., 2024. Associations of social determinants of health with life expectancy and future health risks among individuals with type 2 diabetes: two nationwide cohort studies in the UK and USA. </w:t>
      </w:r>
      <w:r w:rsidRPr="00AC26E6">
        <w:rPr>
          <w:i/>
          <w:iCs/>
          <w:color w:val="222222"/>
          <w:sz w:val="24"/>
          <w:szCs w:val="24"/>
          <w:highlight w:val="white"/>
        </w:rPr>
        <w:t>The Lancet Healthy Longevity</w:t>
      </w:r>
      <w:r w:rsidRPr="00AC26E6">
        <w:rPr>
          <w:color w:val="222222"/>
          <w:sz w:val="24"/>
          <w:szCs w:val="24"/>
          <w:highlight w:val="white"/>
        </w:rPr>
        <w:t xml:space="preserve">, </w:t>
      </w:r>
      <w:r w:rsidRPr="00AC26E6">
        <w:rPr>
          <w:i/>
          <w:iCs/>
          <w:color w:val="222222"/>
          <w:sz w:val="24"/>
          <w:szCs w:val="24"/>
          <w:highlight w:val="white"/>
        </w:rPr>
        <w:t>5</w:t>
      </w:r>
      <w:r w:rsidRPr="00AC26E6">
        <w:rPr>
          <w:color w:val="222222"/>
          <w:sz w:val="24"/>
          <w:szCs w:val="24"/>
          <w:highlight w:val="white"/>
        </w:rPr>
        <w:t>(8), pp.e542-e551.</w:t>
      </w:r>
      <w:r w:rsidRPr="00AC26E6">
        <w:rPr>
          <w:sz w:val="24"/>
          <w:szCs w:val="24"/>
        </w:rPr>
        <w:t xml:space="preserve"> </w:t>
      </w:r>
      <w:hyperlink r:id="rId14">
        <w:r w:rsidR="00764C0E" w:rsidRPr="00AC26E6">
          <w:rPr>
            <w:color w:val="1155CC"/>
            <w:sz w:val="24"/>
            <w:szCs w:val="24"/>
            <w:u w:val="single"/>
          </w:rPr>
          <w:t>https://www.thelancet.com/journals/lanhl/article/PIIS2666-7568(24)00116-8/fulltext</w:t>
        </w:r>
      </w:hyperlink>
    </w:p>
    <w:p w14:paraId="00000025"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Wang, X., Ma, H., Li, X., Heianza, Y., Manson, J.E., Franco, O.H. and Qi, L., 2023. Association of cardiovascular health with life expectancy free of cardiovascular disease, diabetes, cancer, and dementia in UK adults. </w:t>
      </w:r>
      <w:r w:rsidRPr="00AC26E6">
        <w:rPr>
          <w:i/>
          <w:iCs/>
          <w:color w:val="222222"/>
          <w:sz w:val="24"/>
          <w:szCs w:val="24"/>
          <w:highlight w:val="white"/>
        </w:rPr>
        <w:t>JAMA internal medicine</w:t>
      </w:r>
      <w:r w:rsidRPr="00AC26E6">
        <w:rPr>
          <w:color w:val="222222"/>
          <w:sz w:val="24"/>
          <w:szCs w:val="24"/>
          <w:highlight w:val="white"/>
        </w:rPr>
        <w:t xml:space="preserve">, </w:t>
      </w:r>
      <w:r w:rsidRPr="00AC26E6">
        <w:rPr>
          <w:i/>
          <w:iCs/>
          <w:color w:val="222222"/>
          <w:sz w:val="24"/>
          <w:szCs w:val="24"/>
          <w:highlight w:val="white"/>
        </w:rPr>
        <w:t>183</w:t>
      </w:r>
      <w:r w:rsidRPr="00AC26E6">
        <w:rPr>
          <w:color w:val="222222"/>
          <w:sz w:val="24"/>
          <w:szCs w:val="24"/>
          <w:highlight w:val="white"/>
        </w:rPr>
        <w:t xml:space="preserve">(4), pp.340-349. </w:t>
      </w:r>
      <w:hyperlink r:id="rId15">
        <w:r w:rsidR="00764C0E" w:rsidRPr="00AC26E6">
          <w:rPr>
            <w:color w:val="1155CC"/>
            <w:sz w:val="24"/>
            <w:szCs w:val="24"/>
            <w:highlight w:val="white"/>
            <w:u w:val="single"/>
          </w:rPr>
          <w:t>https://jamanetwork.com/journals/jamainternalmedicine/article-abstract/2801750</w:t>
        </w:r>
      </w:hyperlink>
    </w:p>
    <w:p w14:paraId="00000026"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Francis, A., Harhay, M.N., Ong, A.C., Tummalapalli, S.L., Ortiz, A., Fogo, A.B., Fliser, D., Roy-Chaudhury, P., Fontana, M., Nangaku, M. and Wanner, C., 2024. Chronic kidney </w:t>
      </w:r>
      <w:r w:rsidRPr="00AC26E6">
        <w:rPr>
          <w:color w:val="222222"/>
          <w:sz w:val="24"/>
          <w:szCs w:val="24"/>
          <w:highlight w:val="white"/>
        </w:rPr>
        <w:lastRenderedPageBreak/>
        <w:t xml:space="preserve">disease and the global public health agenda: an international consensus. </w:t>
      </w:r>
      <w:r w:rsidRPr="00AC26E6">
        <w:rPr>
          <w:i/>
          <w:iCs/>
          <w:color w:val="222222"/>
          <w:sz w:val="24"/>
          <w:szCs w:val="24"/>
          <w:highlight w:val="white"/>
        </w:rPr>
        <w:t>Nature Reviews Nephrology</w:t>
      </w:r>
      <w:r w:rsidRPr="00AC26E6">
        <w:rPr>
          <w:color w:val="222222"/>
          <w:sz w:val="24"/>
          <w:szCs w:val="24"/>
          <w:highlight w:val="white"/>
        </w:rPr>
        <w:t xml:space="preserve">, </w:t>
      </w:r>
      <w:r w:rsidRPr="00AC26E6">
        <w:rPr>
          <w:i/>
          <w:iCs/>
          <w:color w:val="222222"/>
          <w:sz w:val="24"/>
          <w:szCs w:val="24"/>
          <w:highlight w:val="white"/>
        </w:rPr>
        <w:t>20</w:t>
      </w:r>
      <w:r w:rsidRPr="00AC26E6">
        <w:rPr>
          <w:color w:val="222222"/>
          <w:sz w:val="24"/>
          <w:szCs w:val="24"/>
          <w:highlight w:val="white"/>
        </w:rPr>
        <w:t xml:space="preserve">(7), pp.473-485. </w:t>
      </w:r>
      <w:hyperlink r:id="rId16">
        <w:r w:rsidR="00764C0E" w:rsidRPr="00AC26E6">
          <w:rPr>
            <w:color w:val="1155CC"/>
            <w:sz w:val="24"/>
            <w:szCs w:val="24"/>
            <w:highlight w:val="white"/>
            <w:u w:val="single"/>
          </w:rPr>
          <w:t>https://www.nature.com/articles/s41581-024-00820-6</w:t>
        </w:r>
      </w:hyperlink>
    </w:p>
    <w:p w14:paraId="00000027"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Sawhney, S., Blakeman, T., Blana, D., Boyers, D., Fluck, N., Nath, M., Methven, S., Rzewuska, M. and Black, C., 2023. Care processes and outcomes of deprivation across the clinical course of kidney disease: findings from a high-income country with universal healthcare. </w:t>
      </w:r>
      <w:r w:rsidRPr="00AC26E6">
        <w:rPr>
          <w:i/>
          <w:iCs/>
          <w:color w:val="222222"/>
          <w:sz w:val="24"/>
          <w:szCs w:val="24"/>
          <w:highlight w:val="white"/>
        </w:rPr>
        <w:t>Nephrology Dialysis Transplantation</w:t>
      </w:r>
      <w:r w:rsidRPr="00AC26E6">
        <w:rPr>
          <w:color w:val="222222"/>
          <w:sz w:val="24"/>
          <w:szCs w:val="24"/>
          <w:highlight w:val="white"/>
        </w:rPr>
        <w:t xml:space="preserve">, </w:t>
      </w:r>
      <w:r w:rsidRPr="00AC26E6">
        <w:rPr>
          <w:i/>
          <w:iCs/>
          <w:color w:val="222222"/>
          <w:sz w:val="24"/>
          <w:szCs w:val="24"/>
          <w:highlight w:val="white"/>
        </w:rPr>
        <w:t>38</w:t>
      </w:r>
      <w:r w:rsidRPr="00AC26E6">
        <w:rPr>
          <w:color w:val="222222"/>
          <w:sz w:val="24"/>
          <w:szCs w:val="24"/>
          <w:highlight w:val="white"/>
        </w:rPr>
        <w:t xml:space="preserve">(5), pp.1170-1182. </w:t>
      </w:r>
      <w:hyperlink r:id="rId17">
        <w:r w:rsidR="00764C0E" w:rsidRPr="00AC26E6">
          <w:rPr>
            <w:color w:val="1155CC"/>
            <w:sz w:val="24"/>
            <w:szCs w:val="24"/>
            <w:highlight w:val="white"/>
            <w:u w:val="single"/>
          </w:rPr>
          <w:t>https://academic.oup.com/ndt/article-abstract/38/5/1170/6649218</w:t>
        </w:r>
      </w:hyperlink>
    </w:p>
    <w:p w14:paraId="00000028"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Au-Yeung, C.H., Ellis, D., Dallaway, A., Riley, J., Varney, J. and Howell-Jones, R., 2024. Socioeconomic and ethnic inequalities increase the risk of type 2 diabetes: an analysis of NHS health check attendees in Birmingham. </w:t>
      </w:r>
      <w:r w:rsidRPr="00AC26E6">
        <w:rPr>
          <w:i/>
          <w:iCs/>
          <w:color w:val="222222"/>
          <w:sz w:val="24"/>
          <w:szCs w:val="24"/>
          <w:highlight w:val="white"/>
        </w:rPr>
        <w:t>Frontiers in Public Health</w:t>
      </w:r>
      <w:r w:rsidRPr="00AC26E6">
        <w:rPr>
          <w:color w:val="222222"/>
          <w:sz w:val="24"/>
          <w:szCs w:val="24"/>
          <w:highlight w:val="white"/>
        </w:rPr>
        <w:t xml:space="preserve">, </w:t>
      </w:r>
      <w:r w:rsidRPr="00AC26E6">
        <w:rPr>
          <w:i/>
          <w:iCs/>
          <w:color w:val="222222"/>
          <w:sz w:val="24"/>
          <w:szCs w:val="24"/>
          <w:highlight w:val="white"/>
        </w:rPr>
        <w:t>12</w:t>
      </w:r>
      <w:r w:rsidRPr="00AC26E6">
        <w:rPr>
          <w:color w:val="222222"/>
          <w:sz w:val="24"/>
          <w:szCs w:val="24"/>
          <w:highlight w:val="white"/>
        </w:rPr>
        <w:t>,p.1477418 .</w:t>
      </w:r>
      <w:hyperlink r:id="rId18">
        <w:r w:rsidR="00764C0E" w:rsidRPr="00AC26E6">
          <w:rPr>
            <w:color w:val="1155CC"/>
            <w:sz w:val="24"/>
            <w:szCs w:val="24"/>
            <w:highlight w:val="white"/>
            <w:u w:val="single"/>
          </w:rPr>
          <w:t>https://www.frontiersin.org/journals/public-health/articles/10.3389/fpubh.2024.1477418/full</w:t>
        </w:r>
      </w:hyperlink>
    </w:p>
    <w:p w14:paraId="00000029"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Teagle, W.L., Norris, E.T., Rishishwar, L., Nagar, S.D., Jordan, I.K. and Mariño-Ramírez, L., 2022. Comorbidities and ethnic health disparities in the UK biobank. </w:t>
      </w:r>
      <w:r w:rsidRPr="00AC26E6">
        <w:rPr>
          <w:i/>
          <w:iCs/>
          <w:color w:val="222222"/>
          <w:sz w:val="24"/>
          <w:szCs w:val="24"/>
          <w:highlight w:val="white"/>
        </w:rPr>
        <w:t>JAMIA open</w:t>
      </w:r>
      <w:r w:rsidRPr="00AC26E6">
        <w:rPr>
          <w:color w:val="222222"/>
          <w:sz w:val="24"/>
          <w:szCs w:val="24"/>
          <w:highlight w:val="white"/>
        </w:rPr>
        <w:t xml:space="preserve">, </w:t>
      </w:r>
      <w:r w:rsidRPr="00AC26E6">
        <w:rPr>
          <w:i/>
          <w:iCs/>
          <w:color w:val="222222"/>
          <w:sz w:val="24"/>
          <w:szCs w:val="24"/>
          <w:highlight w:val="white"/>
        </w:rPr>
        <w:t>5</w:t>
      </w:r>
      <w:r w:rsidRPr="00AC26E6">
        <w:rPr>
          <w:color w:val="222222"/>
          <w:sz w:val="24"/>
          <w:szCs w:val="24"/>
          <w:highlight w:val="white"/>
        </w:rPr>
        <w:t xml:space="preserve">(3), p.ooac057. </w:t>
      </w:r>
      <w:hyperlink r:id="rId19">
        <w:r w:rsidR="00764C0E" w:rsidRPr="00AC26E6">
          <w:rPr>
            <w:color w:val="1155CC"/>
            <w:sz w:val="24"/>
            <w:szCs w:val="24"/>
            <w:highlight w:val="white"/>
            <w:u w:val="single"/>
          </w:rPr>
          <w:t>https://academic.oup.com/jamiaopen/article-abstract/5/3/ooac057/6639675</w:t>
        </w:r>
      </w:hyperlink>
    </w:p>
    <w:p w14:paraId="0000002A"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Lübker, C., Holloway, S., Gregg, E. and Pearson-Stuttard, J., 2026. Inequality in obesity complications, multimorbidity and healthcare costs by deprivation group among people living with obesity: a UK observational study. </w:t>
      </w:r>
      <w:r w:rsidRPr="00AC26E6">
        <w:rPr>
          <w:i/>
          <w:iCs/>
          <w:color w:val="222222"/>
          <w:sz w:val="24"/>
          <w:szCs w:val="24"/>
          <w:highlight w:val="white"/>
        </w:rPr>
        <w:t>Journal of Epidemiology and Community Health</w:t>
      </w:r>
      <w:r w:rsidRPr="00AC26E6">
        <w:rPr>
          <w:color w:val="222222"/>
          <w:sz w:val="24"/>
          <w:szCs w:val="24"/>
          <w:highlight w:val="white"/>
        </w:rPr>
        <w:t xml:space="preserve">, </w:t>
      </w:r>
      <w:r w:rsidRPr="00AC26E6">
        <w:rPr>
          <w:i/>
          <w:iCs/>
          <w:color w:val="222222"/>
          <w:sz w:val="24"/>
          <w:szCs w:val="24"/>
          <w:highlight w:val="white"/>
        </w:rPr>
        <w:t>80</w:t>
      </w:r>
      <w:r w:rsidRPr="00AC26E6">
        <w:rPr>
          <w:color w:val="222222"/>
          <w:sz w:val="24"/>
          <w:szCs w:val="24"/>
          <w:highlight w:val="white"/>
        </w:rPr>
        <w:t xml:space="preserve">(8), pp.608-616. </w:t>
      </w:r>
      <w:hyperlink r:id="rId20">
        <w:r w:rsidR="00764C0E" w:rsidRPr="00AC26E6">
          <w:rPr>
            <w:color w:val="1155CC"/>
            <w:sz w:val="24"/>
            <w:szCs w:val="24"/>
            <w:highlight w:val="white"/>
            <w:u w:val="single"/>
          </w:rPr>
          <w:t>https://jech.bmj.com/content/80/8/608.abstract</w:t>
        </w:r>
      </w:hyperlink>
    </w:p>
    <w:p w14:paraId="0000002B"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Kunnath, A.J., Sack, D.E. and Wilkins, C.H., 2024. Relative predictive value of sociodemographic factors for chronic diseases among All of Us participants: a descriptive analysis. </w:t>
      </w:r>
      <w:r w:rsidRPr="00AC26E6">
        <w:rPr>
          <w:i/>
          <w:iCs/>
          <w:color w:val="222222"/>
          <w:sz w:val="24"/>
          <w:szCs w:val="24"/>
          <w:highlight w:val="white"/>
        </w:rPr>
        <w:t>BMC Public Health</w:t>
      </w:r>
      <w:r w:rsidRPr="00AC26E6">
        <w:rPr>
          <w:color w:val="222222"/>
          <w:sz w:val="24"/>
          <w:szCs w:val="24"/>
          <w:highlight w:val="white"/>
        </w:rPr>
        <w:t xml:space="preserve">, </w:t>
      </w:r>
      <w:r w:rsidRPr="00AC26E6">
        <w:rPr>
          <w:i/>
          <w:iCs/>
          <w:color w:val="222222"/>
          <w:sz w:val="24"/>
          <w:szCs w:val="24"/>
          <w:highlight w:val="white"/>
        </w:rPr>
        <w:t>24</w:t>
      </w:r>
      <w:r w:rsidRPr="00AC26E6">
        <w:rPr>
          <w:color w:val="222222"/>
          <w:sz w:val="24"/>
          <w:szCs w:val="24"/>
          <w:highlight w:val="white"/>
        </w:rPr>
        <w:t xml:space="preserve">(1), p.405. </w:t>
      </w:r>
      <w:hyperlink r:id="rId21">
        <w:r w:rsidR="00764C0E" w:rsidRPr="00AC26E6">
          <w:rPr>
            <w:color w:val="1155CC"/>
            <w:sz w:val="24"/>
            <w:szCs w:val="24"/>
            <w:highlight w:val="white"/>
            <w:u w:val="single"/>
          </w:rPr>
          <w:t>https://link.springer.com/article/10.1186/s12889-024-17834-1</w:t>
        </w:r>
      </w:hyperlink>
    </w:p>
    <w:p w14:paraId="6D289091" w14:textId="77777777" w:rsidR="009A2005" w:rsidRPr="00AC26E6" w:rsidRDefault="009A2005" w:rsidP="00AC26E6">
      <w:pPr>
        <w:spacing w:line="360" w:lineRule="auto"/>
        <w:rPr>
          <w:sz w:val="24"/>
          <w:szCs w:val="24"/>
        </w:rPr>
      </w:pPr>
      <w:bookmarkStart w:id="26" w:name="_l0y526256bcz" w:colFirst="0" w:colLast="0"/>
      <w:bookmarkEnd w:id="26"/>
      <w:r w:rsidRPr="00AC26E6">
        <w:rPr>
          <w:sz w:val="24"/>
          <w:szCs w:val="24"/>
        </w:rPr>
        <w:br w:type="page"/>
      </w:r>
    </w:p>
    <w:p w14:paraId="00000036" w14:textId="6CA0BABB" w:rsidR="00764C0E" w:rsidRPr="00AC26E6" w:rsidRDefault="00651ED4" w:rsidP="00AC26E6">
      <w:pPr>
        <w:pStyle w:val="Title"/>
        <w:spacing w:line="360" w:lineRule="auto"/>
        <w:rPr>
          <w:b/>
          <w:bCs/>
          <w:sz w:val="24"/>
          <w:szCs w:val="24"/>
        </w:rPr>
      </w:pPr>
      <w:r w:rsidRPr="00AC26E6">
        <w:rPr>
          <w:b/>
          <w:bCs/>
          <w:sz w:val="24"/>
          <w:szCs w:val="24"/>
        </w:rPr>
        <w:lastRenderedPageBreak/>
        <w:t>Task 2: Epidemiological Analysis of Parkinson's Disease</w:t>
      </w:r>
    </w:p>
    <w:p w14:paraId="00000037" w14:textId="32264FB9" w:rsidR="00764C0E" w:rsidRPr="00AC26E6" w:rsidRDefault="00651ED4" w:rsidP="00AC26E6">
      <w:pPr>
        <w:pStyle w:val="Heading1"/>
        <w:spacing w:line="360" w:lineRule="auto"/>
        <w:rPr>
          <w:b/>
          <w:bCs/>
          <w:sz w:val="24"/>
          <w:szCs w:val="24"/>
        </w:rPr>
      </w:pPr>
      <w:bookmarkStart w:id="27" w:name="_7ubugzamj568" w:colFirst="0" w:colLast="0"/>
      <w:bookmarkStart w:id="28" w:name="_Toc235531751"/>
      <w:bookmarkEnd w:id="27"/>
      <w:r w:rsidRPr="00AC26E6">
        <w:rPr>
          <w:b/>
          <w:bCs/>
          <w:sz w:val="24"/>
          <w:szCs w:val="24"/>
        </w:rPr>
        <w:t>1. Introduction</w:t>
      </w:r>
      <w:bookmarkEnd w:id="28"/>
    </w:p>
    <w:p w14:paraId="00000039" w14:textId="38DD7019" w:rsidR="00764C0E" w:rsidRPr="00AC26E6" w:rsidRDefault="00914AE7" w:rsidP="00AC26E6">
      <w:pPr>
        <w:spacing w:line="360" w:lineRule="auto"/>
        <w:jc w:val="both"/>
        <w:rPr>
          <w:sz w:val="24"/>
          <w:szCs w:val="24"/>
        </w:rPr>
      </w:pPr>
      <w:r w:rsidRPr="00AC26E6">
        <w:rPr>
          <w:sz w:val="24"/>
          <w:szCs w:val="24"/>
        </w:rPr>
        <w:t>Parkinson's disease (PD) is a progressive neurodegenerative disease that involves the loss of dopaminergic neurons in the substantia nigra of the brain (Ben-Shlomo et al., 2024). It manifests with motor (shaking, stiffness, slowness, postural instability) and non-motor (depression, cognitive and memory problems, sleep problems, and problems with the body's automatic functions) symptoms. Epidemiology is the study of distribution and determinants of disease in populations and used to make public health interventions. There are estimated to be 18,000 new cases of Parkinson's in the UK every year and approximately 153,000 people are diagnosed with the condition here. The disease, apart from disability and dependency of the caregivers, has significant social, cultural and economic burden because of loss of productivity and the burden of healthcare costs (Maqsood et al., 2025). This report reviews the epidemiology of PD, public health strategies, determinants, surveillance and burden of disease and evidence-based interventions that can improve the health of populations.</w:t>
      </w:r>
    </w:p>
    <w:p w14:paraId="0000003A" w14:textId="13A9BE36" w:rsidR="00764C0E" w:rsidRPr="00AC26E6" w:rsidRDefault="00651ED4" w:rsidP="00AC26E6">
      <w:pPr>
        <w:pStyle w:val="Heading1"/>
        <w:spacing w:line="360" w:lineRule="auto"/>
        <w:rPr>
          <w:b/>
          <w:bCs/>
          <w:sz w:val="24"/>
          <w:szCs w:val="24"/>
        </w:rPr>
      </w:pPr>
      <w:bookmarkStart w:id="29" w:name="_h46o12stkr89" w:colFirst="0" w:colLast="0"/>
      <w:bookmarkStart w:id="30" w:name="_Toc235531752"/>
      <w:bookmarkEnd w:id="29"/>
      <w:r w:rsidRPr="00AC26E6">
        <w:rPr>
          <w:b/>
          <w:bCs/>
          <w:sz w:val="24"/>
          <w:szCs w:val="24"/>
        </w:rPr>
        <w:t>2. Public Health Measures Using the Three Ps</w:t>
      </w:r>
      <w:bookmarkEnd w:id="30"/>
      <w:r w:rsidRPr="00AC26E6">
        <w:rPr>
          <w:b/>
          <w:bCs/>
          <w:sz w:val="24"/>
          <w:szCs w:val="24"/>
        </w:rPr>
        <w:t xml:space="preserve"> </w:t>
      </w:r>
    </w:p>
    <w:p w14:paraId="0000003B" w14:textId="77777777" w:rsidR="00764C0E" w:rsidRPr="00AC26E6" w:rsidRDefault="00651ED4" w:rsidP="00AC26E6">
      <w:pPr>
        <w:spacing w:line="360" w:lineRule="auto"/>
        <w:jc w:val="both"/>
        <w:rPr>
          <w:b/>
          <w:bCs/>
          <w:color w:val="000000"/>
          <w:sz w:val="24"/>
          <w:szCs w:val="24"/>
        </w:rPr>
      </w:pPr>
      <w:bookmarkStart w:id="31" w:name="_m9sh4hza97d3" w:colFirst="0" w:colLast="0"/>
      <w:bookmarkEnd w:id="31"/>
      <w:r w:rsidRPr="00AC26E6">
        <w:rPr>
          <w:b/>
          <w:bCs/>
          <w:color w:val="000000"/>
          <w:sz w:val="24"/>
          <w:szCs w:val="24"/>
        </w:rPr>
        <w:t>Prevention</w:t>
      </w:r>
    </w:p>
    <w:p w14:paraId="0000003C" w14:textId="21252ECF" w:rsidR="00764C0E" w:rsidRPr="00AC26E6" w:rsidRDefault="00914AE7" w:rsidP="00AC26E6">
      <w:pPr>
        <w:spacing w:line="360" w:lineRule="auto"/>
        <w:jc w:val="both"/>
        <w:rPr>
          <w:sz w:val="24"/>
          <w:szCs w:val="24"/>
        </w:rPr>
      </w:pPr>
      <w:r w:rsidRPr="00AC26E6">
        <w:rPr>
          <w:sz w:val="24"/>
          <w:szCs w:val="24"/>
        </w:rPr>
        <w:t xml:space="preserve">Primary prevention involves the modification of potential risk factors for PD, including through lifestyle change; at this time there is no way to prevent PD altogether. Moderate exercise, healthy diet and quitting smoking and avoiding pesticides and environmental pollutants can lower the risk of disease (Tan et al., 2026). Since Parkinson's disease is a non-communicable disease, there is no vaccine. There are no reliable population screening tests and so no national screening </w:t>
      </w:r>
      <w:proofErr w:type="spellStart"/>
      <w:r w:rsidRPr="00AC26E6">
        <w:rPr>
          <w:sz w:val="24"/>
          <w:szCs w:val="24"/>
        </w:rPr>
        <w:t>programme</w:t>
      </w:r>
      <w:proofErr w:type="spellEnd"/>
      <w:r w:rsidRPr="00AC26E6">
        <w:rPr>
          <w:sz w:val="24"/>
          <w:szCs w:val="24"/>
        </w:rPr>
        <w:t>. Early symptom recognition is the key to early diagnosis and treatment, which is being promoted through public awareness campaign.</w:t>
      </w:r>
    </w:p>
    <w:p w14:paraId="564FA485" w14:textId="63E9B147" w:rsidR="00AC26E6" w:rsidRPr="00AC26E6" w:rsidRDefault="00AC26E6" w:rsidP="00AC26E6">
      <w:pPr>
        <w:spacing w:line="360" w:lineRule="auto"/>
        <w:jc w:val="center"/>
        <w:rPr>
          <w:sz w:val="24"/>
          <w:szCs w:val="24"/>
        </w:rPr>
      </w:pPr>
      <w:r w:rsidRPr="00AC26E6">
        <w:rPr>
          <w:noProof/>
          <w:sz w:val="24"/>
          <w:szCs w:val="24"/>
        </w:rPr>
        <w:lastRenderedPageBreak/>
        <w:drawing>
          <wp:inline distT="0" distB="0" distL="0" distR="0" wp14:anchorId="68BB763D" wp14:editId="4C99DD0C">
            <wp:extent cx="3172691" cy="2170378"/>
            <wp:effectExtent l="0" t="0" r="8890" b="1905"/>
            <wp:docPr id="2121246623" name="Picture 4" descr="Three domains of public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Three domains of public health"/>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78936" cy="2174650"/>
                    </a:xfrm>
                    <a:prstGeom prst="rect">
                      <a:avLst/>
                    </a:prstGeom>
                    <a:noFill/>
                    <a:ln>
                      <a:noFill/>
                    </a:ln>
                  </pic:spPr>
                </pic:pic>
              </a:graphicData>
            </a:graphic>
          </wp:inline>
        </w:drawing>
      </w:r>
    </w:p>
    <w:p w14:paraId="40EDF4B4" w14:textId="2F82490C" w:rsidR="00AC26E6" w:rsidRPr="00AC26E6" w:rsidRDefault="00AC26E6" w:rsidP="00AC26E6">
      <w:pPr>
        <w:spacing w:line="360" w:lineRule="auto"/>
        <w:jc w:val="center"/>
        <w:rPr>
          <w:b/>
          <w:bCs/>
          <w:sz w:val="24"/>
          <w:szCs w:val="24"/>
        </w:rPr>
      </w:pPr>
      <w:r w:rsidRPr="00AC26E6">
        <w:rPr>
          <w:b/>
          <w:bCs/>
          <w:sz w:val="24"/>
          <w:szCs w:val="24"/>
        </w:rPr>
        <w:t>Figure: Health promotion prevention protection public health three Ps</w:t>
      </w:r>
    </w:p>
    <w:p w14:paraId="14737425" w14:textId="0A52DED0" w:rsidR="00AC26E6" w:rsidRPr="00AC26E6" w:rsidRDefault="00AC26E6" w:rsidP="00AC26E6">
      <w:pPr>
        <w:spacing w:line="360" w:lineRule="auto"/>
        <w:jc w:val="center"/>
        <w:rPr>
          <w:sz w:val="24"/>
          <w:szCs w:val="24"/>
        </w:rPr>
      </w:pPr>
      <w:r w:rsidRPr="00AC26E6">
        <w:rPr>
          <w:sz w:val="24"/>
          <w:szCs w:val="24"/>
        </w:rPr>
        <w:t>(Source: Tharwani et al., 2024)</w:t>
      </w:r>
    </w:p>
    <w:p w14:paraId="7F14CE9B" w14:textId="77777777" w:rsidR="00AC26E6" w:rsidRPr="00AC26E6" w:rsidRDefault="00AC26E6" w:rsidP="00AC26E6">
      <w:pPr>
        <w:spacing w:line="360" w:lineRule="auto"/>
        <w:jc w:val="both"/>
        <w:rPr>
          <w:sz w:val="24"/>
          <w:szCs w:val="24"/>
        </w:rPr>
      </w:pPr>
    </w:p>
    <w:p w14:paraId="0000003D" w14:textId="77777777" w:rsidR="00764C0E" w:rsidRPr="00AC26E6" w:rsidRDefault="00651ED4" w:rsidP="00AC26E6">
      <w:pPr>
        <w:spacing w:line="360" w:lineRule="auto"/>
        <w:jc w:val="both"/>
        <w:rPr>
          <w:b/>
          <w:bCs/>
          <w:color w:val="000000"/>
          <w:sz w:val="24"/>
          <w:szCs w:val="24"/>
        </w:rPr>
      </w:pPr>
      <w:bookmarkStart w:id="32" w:name="_onpno4ob0gau" w:colFirst="0" w:colLast="0"/>
      <w:bookmarkEnd w:id="32"/>
      <w:r w:rsidRPr="00AC26E6">
        <w:rPr>
          <w:b/>
          <w:bCs/>
          <w:color w:val="000000"/>
          <w:sz w:val="24"/>
          <w:szCs w:val="24"/>
        </w:rPr>
        <w:t>Protection</w:t>
      </w:r>
    </w:p>
    <w:p w14:paraId="0000003E" w14:textId="3EDC5585" w:rsidR="00764C0E" w:rsidRPr="00AC26E6" w:rsidRDefault="00914AE7" w:rsidP="00AC26E6">
      <w:pPr>
        <w:spacing w:line="360" w:lineRule="auto"/>
        <w:jc w:val="both"/>
        <w:rPr>
          <w:sz w:val="24"/>
          <w:szCs w:val="24"/>
        </w:rPr>
      </w:pPr>
      <w:r w:rsidRPr="00AC26E6">
        <w:rPr>
          <w:sz w:val="24"/>
          <w:szCs w:val="24"/>
        </w:rPr>
        <w:t xml:space="preserve">Public health protection is to </w:t>
      </w:r>
      <w:proofErr w:type="spellStart"/>
      <w:r w:rsidRPr="00AC26E6">
        <w:rPr>
          <w:sz w:val="24"/>
          <w:szCs w:val="24"/>
        </w:rPr>
        <w:t>minimise</w:t>
      </w:r>
      <w:proofErr w:type="spellEnd"/>
      <w:r w:rsidRPr="00AC26E6">
        <w:rPr>
          <w:sz w:val="24"/>
          <w:szCs w:val="24"/>
        </w:rPr>
        <w:t xml:space="preserve"> exposure to environmental and occupational risks that are associated with Parkinson's disease (Tharwani et al., 2024). Limited exposure to pesticides, industrial solvents and heavy metals associated with neurological disorders are </w:t>
      </w:r>
      <w:proofErr w:type="spellStart"/>
      <w:r w:rsidRPr="00AC26E6">
        <w:rPr>
          <w:sz w:val="24"/>
          <w:szCs w:val="24"/>
        </w:rPr>
        <w:t>minimised</w:t>
      </w:r>
      <w:proofErr w:type="spellEnd"/>
      <w:r w:rsidRPr="00AC26E6">
        <w:rPr>
          <w:sz w:val="24"/>
          <w:szCs w:val="24"/>
        </w:rPr>
        <w:t xml:space="preserve"> in the workplace in the UK. Environmental legislation is improving the quality of the air and reducing exposure to toxic chemicals. There is a mixed picture on evidence of environmental risk factors but occupational safety policies can help to reduce preventable neurological damage.</w:t>
      </w:r>
    </w:p>
    <w:p w14:paraId="0000003F" w14:textId="77777777" w:rsidR="00764C0E" w:rsidRPr="00AC26E6" w:rsidRDefault="00651ED4" w:rsidP="00AC26E6">
      <w:pPr>
        <w:spacing w:line="360" w:lineRule="auto"/>
        <w:jc w:val="both"/>
        <w:rPr>
          <w:b/>
          <w:bCs/>
          <w:color w:val="000000"/>
          <w:sz w:val="24"/>
          <w:szCs w:val="24"/>
        </w:rPr>
      </w:pPr>
      <w:bookmarkStart w:id="33" w:name="_l8qitiy4jlnj" w:colFirst="0" w:colLast="0"/>
      <w:bookmarkEnd w:id="33"/>
      <w:r w:rsidRPr="00AC26E6">
        <w:rPr>
          <w:b/>
          <w:bCs/>
          <w:color w:val="000000"/>
          <w:sz w:val="24"/>
          <w:szCs w:val="24"/>
        </w:rPr>
        <w:t>Promotion</w:t>
      </w:r>
    </w:p>
    <w:p w14:paraId="00000041" w14:textId="52E774D5" w:rsidR="00764C0E" w:rsidRPr="00AC26E6" w:rsidRDefault="00914AE7" w:rsidP="00AC26E6">
      <w:pPr>
        <w:spacing w:line="360" w:lineRule="auto"/>
        <w:jc w:val="both"/>
        <w:rPr>
          <w:sz w:val="24"/>
          <w:szCs w:val="24"/>
        </w:rPr>
      </w:pPr>
      <w:r w:rsidRPr="00AC26E6">
        <w:rPr>
          <w:sz w:val="24"/>
          <w:szCs w:val="24"/>
        </w:rPr>
        <w:t>The health promotion focus is on awareness, early diagnosis and self management. Multidisciplinary Parkinson services in the NHS provide the following support: medication reviews, physiotherapy, speech therapy, occupational therapy and psychological support. Community-based campaigns with the participation of charity organizations encourage exercise, medication adherence, and patient education (Li et al., 2025). Physical activity programs that use behavioral strategies enhance mobility, reduce falls and enhance the quality of life. But there is a high level of gap in access to specialist neurological services.</w:t>
      </w:r>
    </w:p>
    <w:p w14:paraId="00000042" w14:textId="065BFBA2" w:rsidR="00764C0E" w:rsidRPr="00AC26E6" w:rsidRDefault="00651ED4" w:rsidP="00AC26E6">
      <w:pPr>
        <w:pStyle w:val="Heading1"/>
        <w:spacing w:line="360" w:lineRule="auto"/>
        <w:rPr>
          <w:b/>
          <w:bCs/>
          <w:sz w:val="24"/>
          <w:szCs w:val="24"/>
        </w:rPr>
      </w:pPr>
      <w:bookmarkStart w:id="34" w:name="_6o9ovsp7uipx" w:colFirst="0" w:colLast="0"/>
      <w:bookmarkStart w:id="35" w:name="_Toc235531753"/>
      <w:bookmarkEnd w:id="34"/>
      <w:r w:rsidRPr="00AC26E6">
        <w:rPr>
          <w:b/>
          <w:bCs/>
          <w:sz w:val="24"/>
          <w:szCs w:val="24"/>
        </w:rPr>
        <w:lastRenderedPageBreak/>
        <w:t>3. Determinants and Risk Factors</w:t>
      </w:r>
      <w:bookmarkEnd w:id="35"/>
    </w:p>
    <w:p w14:paraId="00000044" w14:textId="18665544" w:rsidR="00764C0E" w:rsidRPr="00AC26E6" w:rsidRDefault="00914AE7" w:rsidP="00AC26E6">
      <w:pPr>
        <w:spacing w:line="360" w:lineRule="auto"/>
        <w:jc w:val="both"/>
        <w:rPr>
          <w:sz w:val="24"/>
          <w:szCs w:val="24"/>
        </w:rPr>
      </w:pPr>
      <w:r w:rsidRPr="00AC26E6">
        <w:rPr>
          <w:sz w:val="24"/>
          <w:szCs w:val="24"/>
        </w:rPr>
        <w:t>There are a number of factors that lead to the onset of Parkinson's disease. Biological factors include genetic mutations (such as LRRK2, SNCA) a familial history, male sex, and age. Behavioral factors involve a decrease in physical activity and chronic exposure to the toxin in the environment from work or lifestyle ( Yang et al., 2026). There are various factors in the environment that have been linked to higher risk of disease, such as increased exposure to pesticides, living in rural areas, and industrial pollution. Socioeconomic status and educational inequities are social factors that could delay diagnosis and limit access to health care. Access to specialist neurological care, rehabilitation services and long-term treatment may be impacted by economic factors. The cultural beliefs may stop someone from going to the doctor when he or she is in the early stages of symptoms. Specialist services are still limited in rural areas, and there is more time to diagnosis (Aamodt et al., 2024). All of these determinants become a factor in the progression of disease, disability, and health inequities for vulnerable populations.</w:t>
      </w:r>
    </w:p>
    <w:p w14:paraId="0D1ED907" w14:textId="2F5CE38F" w:rsidR="00AC26E6" w:rsidRPr="00AC26E6" w:rsidRDefault="00AC26E6" w:rsidP="00AC26E6">
      <w:pPr>
        <w:spacing w:line="360" w:lineRule="auto"/>
        <w:jc w:val="center"/>
        <w:rPr>
          <w:sz w:val="24"/>
          <w:szCs w:val="24"/>
        </w:rPr>
      </w:pPr>
      <w:r w:rsidRPr="00AC26E6">
        <w:rPr>
          <w:noProof/>
          <w:sz w:val="24"/>
          <w:szCs w:val="24"/>
        </w:rPr>
        <w:drawing>
          <wp:inline distT="0" distB="0" distL="0" distR="0" wp14:anchorId="4EC48002" wp14:editId="491C9F9A">
            <wp:extent cx="3228109" cy="1569220"/>
            <wp:effectExtent l="0" t="0" r="0" b="0"/>
            <wp:docPr id="692603785" name="Picture 5" descr="Exploring Risk and Protective Factors in Parkinson's Dise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Exploring Risk and Protective Factors in Parkinson's Disease"/>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236795" cy="1573442"/>
                    </a:xfrm>
                    <a:prstGeom prst="rect">
                      <a:avLst/>
                    </a:prstGeom>
                    <a:noFill/>
                    <a:ln>
                      <a:noFill/>
                    </a:ln>
                  </pic:spPr>
                </pic:pic>
              </a:graphicData>
            </a:graphic>
          </wp:inline>
        </w:drawing>
      </w:r>
    </w:p>
    <w:p w14:paraId="7281236D" w14:textId="2431CB0E" w:rsidR="00AC26E6" w:rsidRPr="00AC26E6" w:rsidRDefault="00AC26E6" w:rsidP="00AC26E6">
      <w:pPr>
        <w:spacing w:line="360" w:lineRule="auto"/>
        <w:jc w:val="center"/>
        <w:rPr>
          <w:b/>
          <w:bCs/>
          <w:sz w:val="24"/>
          <w:szCs w:val="24"/>
        </w:rPr>
      </w:pPr>
      <w:r w:rsidRPr="00AC26E6">
        <w:rPr>
          <w:b/>
          <w:bCs/>
          <w:sz w:val="24"/>
          <w:szCs w:val="24"/>
        </w:rPr>
        <w:t>Figure: Parkinson's disease risk factors infographic age genetics pesticides</w:t>
      </w:r>
    </w:p>
    <w:p w14:paraId="451213FC" w14:textId="25479E98" w:rsidR="00AC26E6" w:rsidRPr="00AC26E6" w:rsidRDefault="00AC26E6" w:rsidP="00AC26E6">
      <w:pPr>
        <w:spacing w:line="360" w:lineRule="auto"/>
        <w:jc w:val="center"/>
        <w:rPr>
          <w:sz w:val="24"/>
          <w:szCs w:val="24"/>
        </w:rPr>
      </w:pPr>
      <w:r w:rsidRPr="00AC26E6">
        <w:rPr>
          <w:sz w:val="24"/>
          <w:szCs w:val="24"/>
        </w:rPr>
        <w:t>(Source: Aamodt et al., 2024)</w:t>
      </w:r>
    </w:p>
    <w:p w14:paraId="00000045" w14:textId="1C80A2ED" w:rsidR="00764C0E" w:rsidRPr="00AC26E6" w:rsidRDefault="00651ED4" w:rsidP="00AC26E6">
      <w:pPr>
        <w:pStyle w:val="Heading1"/>
        <w:spacing w:line="360" w:lineRule="auto"/>
        <w:rPr>
          <w:b/>
          <w:bCs/>
          <w:sz w:val="24"/>
          <w:szCs w:val="24"/>
        </w:rPr>
      </w:pPr>
      <w:bookmarkStart w:id="36" w:name="_edtzg0o6n0vn" w:colFirst="0" w:colLast="0"/>
      <w:bookmarkStart w:id="37" w:name="_Toc235531754"/>
      <w:bookmarkEnd w:id="36"/>
      <w:r w:rsidRPr="00AC26E6">
        <w:rPr>
          <w:b/>
          <w:bCs/>
          <w:sz w:val="24"/>
          <w:szCs w:val="24"/>
        </w:rPr>
        <w:t>4. Epidemiological Studies and Health Needs Assessment</w:t>
      </w:r>
      <w:bookmarkEnd w:id="37"/>
      <w:r w:rsidRPr="00AC26E6">
        <w:rPr>
          <w:b/>
          <w:bCs/>
          <w:sz w:val="24"/>
          <w:szCs w:val="24"/>
        </w:rPr>
        <w:t xml:space="preserve"> </w:t>
      </w:r>
    </w:p>
    <w:p w14:paraId="00000048" w14:textId="7ADF66E1" w:rsidR="00764C0E" w:rsidRPr="00AC26E6" w:rsidRDefault="00914AE7" w:rsidP="00AC26E6">
      <w:pPr>
        <w:spacing w:line="360" w:lineRule="auto"/>
        <w:jc w:val="both"/>
        <w:rPr>
          <w:sz w:val="24"/>
          <w:szCs w:val="24"/>
        </w:rPr>
      </w:pPr>
      <w:r w:rsidRPr="00AC26E6">
        <w:rPr>
          <w:sz w:val="24"/>
          <w:szCs w:val="24"/>
        </w:rPr>
        <w:t xml:space="preserve">A Health Needs Assessment (HNA) is a systematic process which facilitates the identification of population needs and </w:t>
      </w:r>
      <w:proofErr w:type="spellStart"/>
      <w:r w:rsidRPr="00AC26E6">
        <w:rPr>
          <w:sz w:val="24"/>
          <w:szCs w:val="24"/>
        </w:rPr>
        <w:t>prioritisation</w:t>
      </w:r>
      <w:proofErr w:type="spellEnd"/>
      <w:r w:rsidRPr="00AC26E6">
        <w:rPr>
          <w:sz w:val="24"/>
          <w:szCs w:val="24"/>
        </w:rPr>
        <w:t xml:space="preserve"> of interventions according to disease burden and the allocation of health care resources. Considering the prevalence of HNA increases with the population ageing, which puts pressure on the health service, HNA is especially significant for Parkinson's disease (Zulfiqar et al., 2026). Studies of the epidemiology of PD has long established that it does not affect young people and that it </w:t>
      </w:r>
      <w:r w:rsidRPr="00AC26E6">
        <w:rPr>
          <w:sz w:val="24"/>
          <w:szCs w:val="24"/>
        </w:rPr>
        <w:lastRenderedPageBreak/>
        <w:t>is more common in men than women, with a mean age of onset of 60 years. Other high risk groups include those with occupational exposure to pesticides and those who are genetically susceptible to pesticides. There are currently more than 10 million people with Parkinson's worldwide and approximately 153,000 people diagnosed in the UK every year. Increased life expectancy and improvement in diagnosis of the disease has contributed to the rising prevalence (Peres et al., 2026). Epidemiological results indicate significant impact on healthcare use, disability and an increasing need for neurological services. However, the underdiagnosis at early stages of the disease and differences in diagnostic skills could underestimate the burden of the disease. Health Needs Assessment can help planning services as it can highlight priority populations to be targeted at an early age for specialist support, rehabilitation and community provision.</w:t>
      </w:r>
    </w:p>
    <w:p w14:paraId="00000049" w14:textId="6FAB67E3" w:rsidR="00764C0E" w:rsidRPr="00AC26E6" w:rsidRDefault="00651ED4" w:rsidP="00AC26E6">
      <w:pPr>
        <w:pStyle w:val="Heading1"/>
        <w:spacing w:line="360" w:lineRule="auto"/>
        <w:rPr>
          <w:b/>
          <w:bCs/>
          <w:sz w:val="24"/>
          <w:szCs w:val="24"/>
        </w:rPr>
      </w:pPr>
      <w:bookmarkStart w:id="38" w:name="_lk99bg87fyk4" w:colFirst="0" w:colLast="0"/>
      <w:bookmarkStart w:id="39" w:name="_Toc235531755"/>
      <w:bookmarkEnd w:id="38"/>
      <w:r w:rsidRPr="00AC26E6">
        <w:rPr>
          <w:b/>
          <w:bCs/>
          <w:sz w:val="24"/>
          <w:szCs w:val="24"/>
        </w:rPr>
        <w:t>5. Disease Surveillance and Monitoring</w:t>
      </w:r>
      <w:bookmarkEnd w:id="39"/>
      <w:r w:rsidRPr="00AC26E6">
        <w:rPr>
          <w:b/>
          <w:bCs/>
          <w:sz w:val="24"/>
          <w:szCs w:val="24"/>
        </w:rPr>
        <w:t xml:space="preserve"> </w:t>
      </w:r>
    </w:p>
    <w:p w14:paraId="0000004C" w14:textId="43B26345" w:rsidR="00764C0E" w:rsidRPr="00AC26E6" w:rsidRDefault="00914AE7" w:rsidP="00AC26E6">
      <w:pPr>
        <w:spacing w:line="360" w:lineRule="auto"/>
        <w:jc w:val="both"/>
        <w:rPr>
          <w:sz w:val="24"/>
          <w:szCs w:val="24"/>
        </w:rPr>
      </w:pPr>
      <w:r w:rsidRPr="00AC26E6">
        <w:rPr>
          <w:sz w:val="24"/>
          <w:szCs w:val="24"/>
        </w:rPr>
        <w:t>There are a number of complementary systems for surveillance of PD in the UK. NHS Digital has data relating to hospital admissions, medicines prescribed, and the quantity of health care received for disease monitoring. There is the Office for Statistics (ONS) which also provides the mortality data required to undertake long-term epidemiological analysis. Prevalence, incidence, prescription and progression of the disease is based on PHERs in primary care (Keddy et al., 2025). Local ICS are used to monitor service demand for improved health services planning. Disease registries and clinical audits can provide valuable data on the quality of treatment and outcomes. They are surveillance systems that can provide information for evidence-based policy and resource decisions and identification of inequalities in the provision of services across the region. However, there are certain limitations. Complete surveillance data is not available due to Parkinson's disease lack of legal notifiable status (Yuan et al., 2026). Differences in diagnostic practice, late diagnoses, partial coding of diagnoses in the primary care databases and differences in coding accuracy may impact data quality. Despite these limitations, however, the ability to integrate surveillance is important for disease trend surveillance and data on health system performance.</w:t>
      </w:r>
    </w:p>
    <w:p w14:paraId="0000004D" w14:textId="29B7585E" w:rsidR="00764C0E" w:rsidRPr="00AC26E6" w:rsidRDefault="00651ED4" w:rsidP="00AC26E6">
      <w:pPr>
        <w:pStyle w:val="Heading1"/>
        <w:spacing w:line="360" w:lineRule="auto"/>
        <w:rPr>
          <w:b/>
          <w:bCs/>
          <w:sz w:val="24"/>
          <w:szCs w:val="24"/>
        </w:rPr>
      </w:pPr>
      <w:bookmarkStart w:id="40" w:name="_8wzvxlw5ul70" w:colFirst="0" w:colLast="0"/>
      <w:bookmarkStart w:id="41" w:name="_Toc235531756"/>
      <w:bookmarkEnd w:id="40"/>
      <w:r w:rsidRPr="00AC26E6">
        <w:rPr>
          <w:b/>
          <w:bCs/>
          <w:sz w:val="24"/>
          <w:szCs w:val="24"/>
        </w:rPr>
        <w:lastRenderedPageBreak/>
        <w:t>6. Public Health Impact and Consequences</w:t>
      </w:r>
      <w:bookmarkEnd w:id="41"/>
      <w:r w:rsidRPr="00AC26E6">
        <w:rPr>
          <w:b/>
          <w:bCs/>
          <w:sz w:val="24"/>
          <w:szCs w:val="24"/>
        </w:rPr>
        <w:t xml:space="preserve"> </w:t>
      </w:r>
    </w:p>
    <w:p w14:paraId="0000004F" w14:textId="4434F8E3" w:rsidR="00764C0E" w:rsidRPr="00AC26E6" w:rsidRDefault="00914AE7" w:rsidP="00AC26E6">
      <w:pPr>
        <w:spacing w:line="360" w:lineRule="auto"/>
        <w:jc w:val="both"/>
        <w:rPr>
          <w:sz w:val="24"/>
          <w:szCs w:val="24"/>
        </w:rPr>
      </w:pPr>
      <w:r w:rsidRPr="00AC26E6">
        <w:rPr>
          <w:sz w:val="24"/>
          <w:szCs w:val="24"/>
        </w:rPr>
        <w:t>Parkinson's disease is a disease with significant public health implications. Short-term effects include increased hospital admissions for fall-related injuries, medication side effects, infection, and loss of mobility (Stufano et al., 2025). Motor and cognitive impairments get better over time, and this is linked to a substantial reduction in quality of life, and in the use of healthcare services. Long term effects include permanent disability, dementia, increased risk of death, need for long-term social care. The disease has a significant cost, both to the NHS and to the rehabilitation services, residential services, informal services and lost productivity. The epidemiological evidence indicates that population ageing is going to be a significant challenge for health services, unless effective early intervention and service planning strategies are enhanced.</w:t>
      </w:r>
    </w:p>
    <w:p w14:paraId="00000050" w14:textId="3D4028E2" w:rsidR="00764C0E" w:rsidRPr="00AC26E6" w:rsidRDefault="00651ED4" w:rsidP="00AC26E6">
      <w:pPr>
        <w:pStyle w:val="Heading1"/>
        <w:spacing w:line="360" w:lineRule="auto"/>
        <w:rPr>
          <w:b/>
          <w:bCs/>
          <w:sz w:val="24"/>
          <w:szCs w:val="24"/>
        </w:rPr>
      </w:pPr>
      <w:bookmarkStart w:id="42" w:name="_g446sqjl3lw8" w:colFirst="0" w:colLast="0"/>
      <w:bookmarkStart w:id="43" w:name="_Toc235531757"/>
      <w:bookmarkEnd w:id="42"/>
      <w:r w:rsidRPr="00AC26E6">
        <w:rPr>
          <w:b/>
          <w:bCs/>
          <w:sz w:val="24"/>
          <w:szCs w:val="24"/>
        </w:rPr>
        <w:t xml:space="preserve">7. Proposed Health Intervention </w:t>
      </w:r>
      <w:r w:rsidR="009A2005" w:rsidRPr="00AC26E6">
        <w:rPr>
          <w:b/>
          <w:bCs/>
          <w:sz w:val="24"/>
          <w:szCs w:val="24"/>
        </w:rPr>
        <w:t>Programmed</w:t>
      </w:r>
      <w:bookmarkEnd w:id="43"/>
    </w:p>
    <w:p w14:paraId="00000052" w14:textId="16116854" w:rsidR="00764C0E" w:rsidRPr="00AC26E6" w:rsidRDefault="00914AE7" w:rsidP="00AC26E6">
      <w:pPr>
        <w:spacing w:line="360" w:lineRule="auto"/>
        <w:jc w:val="both"/>
        <w:rPr>
          <w:sz w:val="24"/>
          <w:szCs w:val="24"/>
        </w:rPr>
      </w:pPr>
      <w:r w:rsidRPr="00AC26E6">
        <w:rPr>
          <w:sz w:val="24"/>
          <w:szCs w:val="24"/>
        </w:rPr>
        <w:t xml:space="preserve">The program is called, “Active Living with Parkinson's Programmed” for adults over 60 years old who recently received a Parkinson's disease (PD) diagnosis (Kelechi Wisdom et al., 2025). Programmed objectives include enhanced mobility, early symptom management, reduced falls and enhanced quality of life via multi-disciplinary support. Activities include supervised exercise sessions, physiotherapy, education in medication management, nutrition counselling, mental health support, caregiver education and digital self-management resources. Implementation will be via NHS neurology services, GP services, physiotherapists, occupational therapists, local authorities and Parkinson's UK. There is an expectation of improvement in physical function and decreased </w:t>
      </w:r>
      <w:proofErr w:type="spellStart"/>
      <w:r w:rsidRPr="00AC26E6">
        <w:rPr>
          <w:sz w:val="24"/>
          <w:szCs w:val="24"/>
        </w:rPr>
        <w:t>hospitalisation</w:t>
      </w:r>
      <w:proofErr w:type="spellEnd"/>
      <w:r w:rsidRPr="00AC26E6">
        <w:rPr>
          <w:sz w:val="24"/>
          <w:szCs w:val="24"/>
        </w:rPr>
        <w:t>, increased treatment adherence and increased patient confidence among some of the expected outcomes. Participation rates, falls, quality-of-life scores and hospital utilization would be assessed to determine participation rates, falls, and quality-of-life scores, and hospital utilization (Joynt Maddox et al., 2026). Sustainability would be through the integration into the existing NHS community rehabilitation services, and the relationship to voluntary agencies and the health promotion / community participation principles.</w:t>
      </w:r>
    </w:p>
    <w:p w14:paraId="00000053" w14:textId="67941598" w:rsidR="00764C0E" w:rsidRPr="00AC26E6" w:rsidRDefault="00651ED4" w:rsidP="00AC26E6">
      <w:pPr>
        <w:pStyle w:val="Heading1"/>
        <w:spacing w:line="360" w:lineRule="auto"/>
        <w:rPr>
          <w:b/>
          <w:bCs/>
          <w:sz w:val="24"/>
          <w:szCs w:val="24"/>
        </w:rPr>
      </w:pPr>
      <w:bookmarkStart w:id="44" w:name="_eswpzp2y3pv3" w:colFirst="0" w:colLast="0"/>
      <w:bookmarkStart w:id="45" w:name="_Toc235531758"/>
      <w:bookmarkEnd w:id="44"/>
      <w:r w:rsidRPr="00AC26E6">
        <w:rPr>
          <w:b/>
          <w:bCs/>
          <w:sz w:val="24"/>
          <w:szCs w:val="24"/>
        </w:rPr>
        <w:lastRenderedPageBreak/>
        <w:t>8. Strengths and Weaknesses of the Epidemiological Approach</w:t>
      </w:r>
      <w:bookmarkEnd w:id="45"/>
    </w:p>
    <w:p w14:paraId="00000055" w14:textId="430C0FB8" w:rsidR="00764C0E" w:rsidRPr="00AC26E6" w:rsidRDefault="00914AE7" w:rsidP="00AC26E6">
      <w:pPr>
        <w:spacing w:line="360" w:lineRule="auto"/>
        <w:jc w:val="both"/>
        <w:rPr>
          <w:sz w:val="24"/>
          <w:szCs w:val="24"/>
        </w:rPr>
      </w:pPr>
      <w:r w:rsidRPr="00AC26E6">
        <w:rPr>
          <w:sz w:val="24"/>
          <w:szCs w:val="24"/>
        </w:rPr>
        <w:t>Epidemiological evidence is robust for disease surveillance, health care planning, resource allocation and health care policy development. It can help identify high-risk groups and the effectiveness of interventions at a population level (Schiess et al., 2022). The epidemiology of PD is, however, limited by several factors such as the underdiagnosis, the variability in diagnosis criteria, lack of surveillance systems and potential confounding factors in observational studies. These restrictions can limit generalizability, and can underestimate the burden of disease, although they can provide valuable information at a population level.</w:t>
      </w:r>
    </w:p>
    <w:p w14:paraId="00000056" w14:textId="25EFCDE5" w:rsidR="00764C0E" w:rsidRPr="00AC26E6" w:rsidRDefault="00651ED4" w:rsidP="00AC26E6">
      <w:pPr>
        <w:pStyle w:val="Heading1"/>
        <w:spacing w:line="360" w:lineRule="auto"/>
        <w:rPr>
          <w:b/>
          <w:bCs/>
          <w:sz w:val="24"/>
          <w:szCs w:val="24"/>
        </w:rPr>
      </w:pPr>
      <w:bookmarkStart w:id="46" w:name="_wdl0y0rkaa2z" w:colFirst="0" w:colLast="0"/>
      <w:bookmarkStart w:id="47" w:name="_Toc235531759"/>
      <w:bookmarkEnd w:id="46"/>
      <w:r w:rsidRPr="00AC26E6">
        <w:rPr>
          <w:b/>
          <w:bCs/>
          <w:sz w:val="24"/>
          <w:szCs w:val="24"/>
        </w:rPr>
        <w:t>9. Conclusion</w:t>
      </w:r>
      <w:bookmarkEnd w:id="47"/>
      <w:r w:rsidRPr="00AC26E6">
        <w:rPr>
          <w:b/>
          <w:bCs/>
          <w:sz w:val="24"/>
          <w:szCs w:val="24"/>
        </w:rPr>
        <w:t xml:space="preserve"> </w:t>
      </w:r>
    </w:p>
    <w:p w14:paraId="00000057" w14:textId="69428C3C" w:rsidR="00764C0E" w:rsidRPr="00AC26E6" w:rsidRDefault="00914AE7" w:rsidP="00AC26E6">
      <w:pPr>
        <w:spacing w:line="360" w:lineRule="auto"/>
        <w:jc w:val="both"/>
        <w:rPr>
          <w:sz w:val="24"/>
          <w:szCs w:val="24"/>
        </w:rPr>
      </w:pPr>
      <w:r w:rsidRPr="00AC26E6">
        <w:rPr>
          <w:sz w:val="24"/>
          <w:szCs w:val="24"/>
        </w:rPr>
        <w:t>Parkinson's disease is emerging as a growing public health concern. Epidemiological evidence will support evidence based planning, surveillance, and intervention. Educated policies and early diagnosis and integrated care continue to be pivotal to drive down burden of disease and enhance patient outcomes.</w:t>
      </w:r>
    </w:p>
    <w:p w14:paraId="22C7FF08" w14:textId="77777777" w:rsidR="009A2005" w:rsidRPr="00AC26E6" w:rsidRDefault="009A2005" w:rsidP="00AC26E6">
      <w:pPr>
        <w:spacing w:line="360" w:lineRule="auto"/>
        <w:rPr>
          <w:b/>
          <w:bCs/>
          <w:sz w:val="24"/>
          <w:szCs w:val="24"/>
        </w:rPr>
      </w:pPr>
      <w:r w:rsidRPr="00AC26E6">
        <w:rPr>
          <w:b/>
          <w:bCs/>
          <w:sz w:val="24"/>
          <w:szCs w:val="24"/>
        </w:rPr>
        <w:br w:type="page"/>
      </w:r>
    </w:p>
    <w:p w14:paraId="00000058" w14:textId="52F1D6BD" w:rsidR="00764C0E" w:rsidRPr="00AC26E6" w:rsidRDefault="00651ED4" w:rsidP="00AC26E6">
      <w:pPr>
        <w:pStyle w:val="Heading1"/>
        <w:spacing w:line="360" w:lineRule="auto"/>
        <w:rPr>
          <w:b/>
          <w:bCs/>
          <w:sz w:val="24"/>
          <w:szCs w:val="24"/>
        </w:rPr>
      </w:pPr>
      <w:bookmarkStart w:id="48" w:name="_Toc235531760"/>
      <w:r w:rsidRPr="00AC26E6">
        <w:rPr>
          <w:b/>
          <w:bCs/>
          <w:sz w:val="24"/>
          <w:szCs w:val="24"/>
        </w:rPr>
        <w:lastRenderedPageBreak/>
        <w:t>REFERNCE</w:t>
      </w:r>
      <w:bookmarkEnd w:id="48"/>
      <w:r w:rsidRPr="00AC26E6">
        <w:rPr>
          <w:b/>
          <w:bCs/>
          <w:sz w:val="24"/>
          <w:szCs w:val="24"/>
        </w:rPr>
        <w:t xml:space="preserve"> </w:t>
      </w:r>
    </w:p>
    <w:p w14:paraId="00000059"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Ben-Shlomo, Y., </w:t>
      </w:r>
      <w:proofErr w:type="spellStart"/>
      <w:r w:rsidRPr="00AC26E6">
        <w:rPr>
          <w:color w:val="222222"/>
          <w:sz w:val="24"/>
          <w:szCs w:val="24"/>
          <w:highlight w:val="white"/>
        </w:rPr>
        <w:t>Darweesh</w:t>
      </w:r>
      <w:proofErr w:type="spellEnd"/>
      <w:r w:rsidRPr="00AC26E6">
        <w:rPr>
          <w:color w:val="222222"/>
          <w:sz w:val="24"/>
          <w:szCs w:val="24"/>
          <w:highlight w:val="white"/>
        </w:rPr>
        <w:t xml:space="preserve">, S., </w:t>
      </w:r>
      <w:proofErr w:type="spellStart"/>
      <w:r w:rsidRPr="00AC26E6">
        <w:rPr>
          <w:color w:val="222222"/>
          <w:sz w:val="24"/>
          <w:szCs w:val="24"/>
          <w:highlight w:val="white"/>
        </w:rPr>
        <w:t>Llibre-Guerra</w:t>
      </w:r>
      <w:proofErr w:type="spellEnd"/>
      <w:r w:rsidRPr="00AC26E6">
        <w:rPr>
          <w:color w:val="222222"/>
          <w:sz w:val="24"/>
          <w:szCs w:val="24"/>
          <w:highlight w:val="white"/>
        </w:rPr>
        <w:t xml:space="preserve">, J., Marras, C., San Luciano, M. and Tanner, C., 2024. The epidemiology of Parkinson's disease. </w:t>
      </w:r>
      <w:r w:rsidRPr="00AC26E6">
        <w:rPr>
          <w:i/>
          <w:iCs/>
          <w:color w:val="222222"/>
          <w:sz w:val="24"/>
          <w:szCs w:val="24"/>
          <w:highlight w:val="white"/>
        </w:rPr>
        <w:t>The Lancet</w:t>
      </w:r>
      <w:r w:rsidRPr="00AC26E6">
        <w:rPr>
          <w:color w:val="222222"/>
          <w:sz w:val="24"/>
          <w:szCs w:val="24"/>
          <w:highlight w:val="white"/>
        </w:rPr>
        <w:t xml:space="preserve">, </w:t>
      </w:r>
      <w:r w:rsidRPr="00AC26E6">
        <w:rPr>
          <w:i/>
          <w:iCs/>
          <w:color w:val="222222"/>
          <w:sz w:val="24"/>
          <w:szCs w:val="24"/>
          <w:highlight w:val="white"/>
        </w:rPr>
        <w:t>403</w:t>
      </w:r>
      <w:r w:rsidRPr="00AC26E6">
        <w:rPr>
          <w:color w:val="222222"/>
          <w:sz w:val="24"/>
          <w:szCs w:val="24"/>
          <w:highlight w:val="white"/>
        </w:rPr>
        <w:t xml:space="preserve">(10423), pp.283-292. </w:t>
      </w:r>
      <w:hyperlink r:id="rId24">
        <w:r w:rsidR="00764C0E" w:rsidRPr="00AC26E6">
          <w:rPr>
            <w:color w:val="1155CC"/>
            <w:sz w:val="24"/>
            <w:szCs w:val="24"/>
            <w:highlight w:val="white"/>
            <w:u w:val="single"/>
          </w:rPr>
          <w:t>https://www.thelancet.com/journals/lancet/article/PIIS0140-6736(23)01419-8/abstract</w:t>
        </w:r>
      </w:hyperlink>
    </w:p>
    <w:p w14:paraId="0000005A"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Maqsood, K., Fatima, M., Naveed, H., Afzal, W., Beg, Z.A., Alhussain, F., </w:t>
      </w:r>
      <w:proofErr w:type="spellStart"/>
      <w:r w:rsidRPr="00AC26E6">
        <w:rPr>
          <w:color w:val="222222"/>
          <w:sz w:val="24"/>
          <w:szCs w:val="24"/>
          <w:highlight w:val="white"/>
        </w:rPr>
        <w:t>Abualait</w:t>
      </w:r>
      <w:proofErr w:type="spellEnd"/>
      <w:r w:rsidRPr="00AC26E6">
        <w:rPr>
          <w:color w:val="222222"/>
          <w:sz w:val="24"/>
          <w:szCs w:val="24"/>
          <w:highlight w:val="white"/>
        </w:rPr>
        <w:t xml:space="preserve">, T. and Bashir, S., 2025. Global, regional, and national burden of Parkinson’s disease from 1990-2023: an analysis of trends, inequalities, and future projections. </w:t>
      </w:r>
      <w:proofErr w:type="spellStart"/>
      <w:r w:rsidRPr="00AC26E6">
        <w:rPr>
          <w:i/>
          <w:iCs/>
          <w:color w:val="222222"/>
          <w:sz w:val="24"/>
          <w:szCs w:val="24"/>
          <w:highlight w:val="white"/>
        </w:rPr>
        <w:t>Medrxiv</w:t>
      </w:r>
      <w:proofErr w:type="spellEnd"/>
      <w:r w:rsidRPr="00AC26E6">
        <w:rPr>
          <w:color w:val="222222"/>
          <w:sz w:val="24"/>
          <w:szCs w:val="24"/>
          <w:highlight w:val="white"/>
        </w:rPr>
        <w:t>, pp.2025-10.</w:t>
      </w:r>
      <w:hyperlink r:id="rId25">
        <w:r w:rsidR="00764C0E" w:rsidRPr="00AC26E6">
          <w:rPr>
            <w:color w:val="1155CC"/>
            <w:sz w:val="24"/>
            <w:szCs w:val="24"/>
            <w:highlight w:val="white"/>
            <w:u w:val="single"/>
          </w:rPr>
          <w:t>https://www.medrxiv.org/content/10.1101/2025.10.22.25338533.abstract</w:t>
        </w:r>
      </w:hyperlink>
    </w:p>
    <w:p w14:paraId="0000005B"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Tan, D., Du, P., Yu, M., Wang, L., Lin, E., Tang, Y. and Han, A., 2026. An epidemiological study of Parkinson’s disease in Chinese older adults using the Global Burden of Disease and China Health and Retirement Longitudinal Study databases. </w:t>
      </w:r>
      <w:proofErr w:type="spellStart"/>
      <w:r w:rsidRPr="00AC26E6">
        <w:rPr>
          <w:i/>
          <w:iCs/>
          <w:color w:val="222222"/>
          <w:sz w:val="24"/>
          <w:szCs w:val="24"/>
          <w:highlight w:val="white"/>
        </w:rPr>
        <w:t>Neurologia</w:t>
      </w:r>
      <w:proofErr w:type="spellEnd"/>
      <w:r w:rsidRPr="00AC26E6">
        <w:rPr>
          <w:i/>
          <w:iCs/>
          <w:color w:val="222222"/>
          <w:sz w:val="24"/>
          <w:szCs w:val="24"/>
          <w:highlight w:val="white"/>
        </w:rPr>
        <w:t xml:space="preserve"> i </w:t>
      </w:r>
      <w:proofErr w:type="spellStart"/>
      <w:r w:rsidRPr="00AC26E6">
        <w:rPr>
          <w:i/>
          <w:iCs/>
          <w:color w:val="222222"/>
          <w:sz w:val="24"/>
          <w:szCs w:val="24"/>
          <w:highlight w:val="white"/>
        </w:rPr>
        <w:t>Neurochirurgia</w:t>
      </w:r>
      <w:proofErr w:type="spellEnd"/>
      <w:r w:rsidRPr="00AC26E6">
        <w:rPr>
          <w:i/>
          <w:iCs/>
          <w:color w:val="222222"/>
          <w:sz w:val="24"/>
          <w:szCs w:val="24"/>
          <w:highlight w:val="white"/>
        </w:rPr>
        <w:t xml:space="preserve"> Polska</w:t>
      </w:r>
      <w:r w:rsidRPr="00AC26E6">
        <w:rPr>
          <w:color w:val="222222"/>
          <w:sz w:val="24"/>
          <w:szCs w:val="24"/>
          <w:highlight w:val="white"/>
        </w:rPr>
        <w:t xml:space="preserve">. </w:t>
      </w:r>
      <w:hyperlink r:id="rId26">
        <w:r w:rsidR="00764C0E" w:rsidRPr="00AC26E6">
          <w:rPr>
            <w:color w:val="1155CC"/>
            <w:sz w:val="24"/>
            <w:szCs w:val="24"/>
            <w:highlight w:val="white"/>
            <w:u w:val="single"/>
          </w:rPr>
          <w:t>https://journals.viamedica.pl/neurologia_neurochirurgia_polska/article/view/110988</w:t>
        </w:r>
      </w:hyperlink>
    </w:p>
    <w:p w14:paraId="0000005C"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Tharwani, Z.H., Deepak, F.N.U., Arshad, M.S., Zaheer, S., Kumar, R., Bhimani, R.K., Jabbar, M., Habib, Z., Raja, A. and Shivani, R., 2024. Temporal trends in Parkinson's disease among older adults in the United States from 1999 to 2020: Retrospective analysis from CDC WONDER database. </w:t>
      </w:r>
      <w:r w:rsidRPr="00AC26E6">
        <w:rPr>
          <w:i/>
          <w:iCs/>
          <w:color w:val="222222"/>
          <w:sz w:val="24"/>
          <w:szCs w:val="24"/>
          <w:highlight w:val="white"/>
        </w:rPr>
        <w:t>Parkinsonism &amp; Related Disorders</w:t>
      </w:r>
      <w:r w:rsidRPr="00AC26E6">
        <w:rPr>
          <w:color w:val="222222"/>
          <w:sz w:val="24"/>
          <w:szCs w:val="24"/>
          <w:highlight w:val="white"/>
        </w:rPr>
        <w:t xml:space="preserve">, </w:t>
      </w:r>
      <w:r w:rsidRPr="00AC26E6">
        <w:rPr>
          <w:i/>
          <w:iCs/>
          <w:color w:val="222222"/>
          <w:sz w:val="24"/>
          <w:szCs w:val="24"/>
          <w:highlight w:val="white"/>
        </w:rPr>
        <w:t>127</w:t>
      </w:r>
      <w:r w:rsidRPr="00AC26E6">
        <w:rPr>
          <w:color w:val="222222"/>
          <w:sz w:val="24"/>
          <w:szCs w:val="24"/>
          <w:highlight w:val="white"/>
        </w:rPr>
        <w:t xml:space="preserve">, p.107110. </w:t>
      </w:r>
      <w:hyperlink r:id="rId27">
        <w:r w:rsidR="00764C0E" w:rsidRPr="00AC26E6">
          <w:rPr>
            <w:color w:val="1155CC"/>
            <w:sz w:val="24"/>
            <w:szCs w:val="24"/>
            <w:highlight w:val="white"/>
            <w:u w:val="single"/>
          </w:rPr>
          <w:t>https://www.sciencedirect.com/science/article/pii/S1353802024011222</w:t>
        </w:r>
      </w:hyperlink>
    </w:p>
    <w:p w14:paraId="0000005D"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Li, X., Zhou, J., Peng, W., Zhao, R., Sun, Q., Liu, Z., Liu, Y., Li, Z., Huang, Z., Zhang, Y. and Zhang, S., 2025. Mapping the global burden of early-onset Parkinson’s disease: socioeconomic and regional inequalities from the Global Burden of Disease Study 2021. </w:t>
      </w:r>
      <w:r w:rsidRPr="00AC26E6">
        <w:rPr>
          <w:i/>
          <w:iCs/>
          <w:color w:val="222222"/>
          <w:sz w:val="24"/>
          <w:szCs w:val="24"/>
          <w:highlight w:val="white"/>
        </w:rPr>
        <w:t>Frontiers in Public Health</w:t>
      </w:r>
      <w:r w:rsidRPr="00AC26E6">
        <w:rPr>
          <w:color w:val="222222"/>
          <w:sz w:val="24"/>
          <w:szCs w:val="24"/>
          <w:highlight w:val="white"/>
        </w:rPr>
        <w:t xml:space="preserve">, </w:t>
      </w:r>
      <w:r w:rsidRPr="00AC26E6">
        <w:rPr>
          <w:i/>
          <w:iCs/>
          <w:color w:val="222222"/>
          <w:sz w:val="24"/>
          <w:szCs w:val="24"/>
          <w:highlight w:val="white"/>
        </w:rPr>
        <w:t>13</w:t>
      </w:r>
      <w:r w:rsidRPr="00AC26E6">
        <w:rPr>
          <w:color w:val="222222"/>
          <w:sz w:val="24"/>
          <w:szCs w:val="24"/>
          <w:highlight w:val="white"/>
        </w:rPr>
        <w:t xml:space="preserve">, p.1618533. </w:t>
      </w:r>
      <w:hyperlink r:id="rId28">
        <w:r w:rsidR="00764C0E" w:rsidRPr="00AC26E6">
          <w:rPr>
            <w:color w:val="1155CC"/>
            <w:sz w:val="24"/>
            <w:szCs w:val="24"/>
            <w:highlight w:val="white"/>
            <w:u w:val="single"/>
          </w:rPr>
          <w:t>https://www.frontiersin.org/journals/public-health/articles/10.3389/fpubh.2025.1618533/full</w:t>
        </w:r>
      </w:hyperlink>
    </w:p>
    <w:p w14:paraId="0000005E"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Yang, H., Pu, L., Zhao, T., Pan, L., Jiang, Y., Han, L. and Guan, Q., 2026. The burden of Parkinson’s disease based on the GBD 2021. </w:t>
      </w:r>
      <w:r w:rsidRPr="00AC26E6">
        <w:rPr>
          <w:i/>
          <w:iCs/>
          <w:color w:val="222222"/>
          <w:sz w:val="24"/>
          <w:szCs w:val="24"/>
          <w:highlight w:val="white"/>
        </w:rPr>
        <w:t>International Journal of Public Health</w:t>
      </w:r>
      <w:r w:rsidRPr="00AC26E6">
        <w:rPr>
          <w:color w:val="222222"/>
          <w:sz w:val="24"/>
          <w:szCs w:val="24"/>
          <w:highlight w:val="white"/>
        </w:rPr>
        <w:t xml:space="preserve">, </w:t>
      </w:r>
      <w:r w:rsidRPr="00AC26E6">
        <w:rPr>
          <w:i/>
          <w:iCs/>
          <w:color w:val="222222"/>
          <w:sz w:val="24"/>
          <w:szCs w:val="24"/>
          <w:highlight w:val="white"/>
        </w:rPr>
        <w:t>71</w:t>
      </w:r>
      <w:r w:rsidRPr="00AC26E6">
        <w:rPr>
          <w:color w:val="222222"/>
          <w:sz w:val="24"/>
          <w:szCs w:val="24"/>
          <w:highlight w:val="white"/>
        </w:rPr>
        <w:t xml:space="preserve">, p.1608863. </w:t>
      </w:r>
      <w:hyperlink r:id="rId29">
        <w:r w:rsidR="00764C0E" w:rsidRPr="00AC26E6">
          <w:rPr>
            <w:color w:val="1155CC"/>
            <w:sz w:val="24"/>
            <w:szCs w:val="24"/>
            <w:highlight w:val="white"/>
            <w:u w:val="single"/>
          </w:rPr>
          <w:t>https://pmc.ncbi.nlm.nih.gov/articles/PMC12971533</w:t>
        </w:r>
      </w:hyperlink>
    </w:p>
    <w:p w14:paraId="0000005F"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Aamodt, W.W., Kluger, B.M., Mirham, M., Job, A., Lettenberger, S.E., Mosley, P.E. and Seshadri, S., 2024. Caregiver burden in Parkinson disease: a scoping review of the literature from 2017-2022. </w:t>
      </w:r>
      <w:r w:rsidRPr="00AC26E6">
        <w:rPr>
          <w:i/>
          <w:iCs/>
          <w:color w:val="222222"/>
          <w:sz w:val="24"/>
          <w:szCs w:val="24"/>
          <w:highlight w:val="white"/>
        </w:rPr>
        <w:t>Journal of Geriatric Psychiatry and Neurology</w:t>
      </w:r>
      <w:r w:rsidRPr="00AC26E6">
        <w:rPr>
          <w:color w:val="222222"/>
          <w:sz w:val="24"/>
          <w:szCs w:val="24"/>
          <w:highlight w:val="white"/>
        </w:rPr>
        <w:t xml:space="preserve">, </w:t>
      </w:r>
      <w:r w:rsidRPr="00AC26E6">
        <w:rPr>
          <w:i/>
          <w:iCs/>
          <w:color w:val="222222"/>
          <w:sz w:val="24"/>
          <w:szCs w:val="24"/>
          <w:highlight w:val="white"/>
        </w:rPr>
        <w:t>37</w:t>
      </w:r>
      <w:r w:rsidRPr="00AC26E6">
        <w:rPr>
          <w:color w:val="222222"/>
          <w:sz w:val="24"/>
          <w:szCs w:val="24"/>
          <w:highlight w:val="white"/>
        </w:rPr>
        <w:t xml:space="preserve">(2), pp.96-113. </w:t>
      </w:r>
      <w:hyperlink r:id="rId30">
        <w:r w:rsidR="00764C0E" w:rsidRPr="00AC26E6">
          <w:rPr>
            <w:color w:val="1155CC"/>
            <w:sz w:val="24"/>
            <w:szCs w:val="24"/>
            <w:highlight w:val="white"/>
            <w:u w:val="single"/>
          </w:rPr>
          <w:t>https://journals.sagepub.com/doi/abs/10.1177/08919887231195219</w:t>
        </w:r>
      </w:hyperlink>
    </w:p>
    <w:p w14:paraId="00000060"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lastRenderedPageBreak/>
        <w:t xml:space="preserve">Zulfiqar, M., Shah, S.A.A., Sajjad, A., Tahir, M., </w:t>
      </w:r>
      <w:proofErr w:type="spellStart"/>
      <w:r w:rsidRPr="00AC26E6">
        <w:rPr>
          <w:color w:val="222222"/>
          <w:sz w:val="24"/>
          <w:szCs w:val="24"/>
          <w:highlight w:val="white"/>
        </w:rPr>
        <w:t>Awan</w:t>
      </w:r>
      <w:proofErr w:type="spellEnd"/>
      <w:r w:rsidRPr="00AC26E6">
        <w:rPr>
          <w:color w:val="222222"/>
          <w:sz w:val="24"/>
          <w:szCs w:val="24"/>
          <w:highlight w:val="white"/>
        </w:rPr>
        <w:t xml:space="preserve">, W.M., </w:t>
      </w:r>
      <w:proofErr w:type="spellStart"/>
      <w:r w:rsidRPr="00AC26E6">
        <w:rPr>
          <w:color w:val="222222"/>
          <w:sz w:val="24"/>
          <w:szCs w:val="24"/>
          <w:highlight w:val="white"/>
        </w:rPr>
        <w:t>Yokolo</w:t>
      </w:r>
      <w:proofErr w:type="spellEnd"/>
      <w:r w:rsidRPr="00AC26E6">
        <w:rPr>
          <w:color w:val="222222"/>
          <w:sz w:val="24"/>
          <w:szCs w:val="24"/>
          <w:highlight w:val="white"/>
        </w:rPr>
        <w:t>, H. and Ahmed, M., 2026. Trends and Disparities in Atrial Fibrillation</w:t>
      </w:r>
      <w:r w:rsidRPr="00AC26E6">
        <w:rPr>
          <w:rFonts w:ascii="Cambria Math" w:hAnsi="Cambria Math" w:cs="Cambria Math"/>
          <w:color w:val="222222"/>
          <w:sz w:val="24"/>
          <w:szCs w:val="24"/>
          <w:highlight w:val="white"/>
        </w:rPr>
        <w:t>‐</w:t>
      </w:r>
      <w:r w:rsidRPr="00AC26E6">
        <w:rPr>
          <w:color w:val="222222"/>
          <w:sz w:val="24"/>
          <w:szCs w:val="24"/>
          <w:highlight w:val="white"/>
        </w:rPr>
        <w:t xml:space="preserve">Related Mortality Among Older Adults With Parkinson's Disease in the United States, 2000–2023. </w:t>
      </w:r>
      <w:r w:rsidRPr="00AC26E6">
        <w:rPr>
          <w:i/>
          <w:iCs/>
          <w:color w:val="222222"/>
          <w:sz w:val="24"/>
          <w:szCs w:val="24"/>
          <w:highlight w:val="white"/>
        </w:rPr>
        <w:t>Journal of Arrhythmia</w:t>
      </w:r>
      <w:r w:rsidRPr="00AC26E6">
        <w:rPr>
          <w:color w:val="222222"/>
          <w:sz w:val="24"/>
          <w:szCs w:val="24"/>
          <w:highlight w:val="white"/>
        </w:rPr>
        <w:t xml:space="preserve">, </w:t>
      </w:r>
      <w:r w:rsidRPr="00AC26E6">
        <w:rPr>
          <w:i/>
          <w:iCs/>
          <w:color w:val="222222"/>
          <w:sz w:val="24"/>
          <w:szCs w:val="24"/>
          <w:highlight w:val="white"/>
        </w:rPr>
        <w:t>42</w:t>
      </w:r>
      <w:r w:rsidRPr="00AC26E6">
        <w:rPr>
          <w:color w:val="222222"/>
          <w:sz w:val="24"/>
          <w:szCs w:val="24"/>
          <w:highlight w:val="white"/>
        </w:rPr>
        <w:t xml:space="preserve">(2), p.e70309. </w:t>
      </w:r>
      <w:hyperlink r:id="rId31">
        <w:r w:rsidR="00764C0E" w:rsidRPr="00AC26E6">
          <w:rPr>
            <w:color w:val="1155CC"/>
            <w:sz w:val="24"/>
            <w:szCs w:val="24"/>
            <w:highlight w:val="white"/>
            <w:u w:val="single"/>
          </w:rPr>
          <w:t>https://onlinelibrary.wiley.com/doi/abs/10.1002/joa3.70309</w:t>
        </w:r>
      </w:hyperlink>
    </w:p>
    <w:p w14:paraId="00000061"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Peres, M.A., Jin, L., Nascimento, G.G., </w:t>
      </w:r>
      <w:proofErr w:type="spellStart"/>
      <w:r w:rsidRPr="00AC26E6">
        <w:rPr>
          <w:color w:val="222222"/>
          <w:sz w:val="24"/>
          <w:szCs w:val="24"/>
          <w:highlight w:val="white"/>
        </w:rPr>
        <w:t>Preshaw</w:t>
      </w:r>
      <w:proofErr w:type="spellEnd"/>
      <w:r w:rsidRPr="00AC26E6">
        <w:rPr>
          <w:color w:val="222222"/>
          <w:sz w:val="24"/>
          <w:szCs w:val="24"/>
          <w:highlight w:val="white"/>
        </w:rPr>
        <w:t xml:space="preserve">, P.M., </w:t>
      </w:r>
      <w:proofErr w:type="spellStart"/>
      <w:r w:rsidRPr="00AC26E6">
        <w:rPr>
          <w:color w:val="222222"/>
          <w:sz w:val="24"/>
          <w:szCs w:val="24"/>
          <w:highlight w:val="white"/>
        </w:rPr>
        <w:t>Raittio</w:t>
      </w:r>
      <w:proofErr w:type="spellEnd"/>
      <w:r w:rsidRPr="00AC26E6">
        <w:rPr>
          <w:color w:val="222222"/>
          <w:sz w:val="24"/>
          <w:szCs w:val="24"/>
          <w:highlight w:val="white"/>
        </w:rPr>
        <w:t xml:space="preserve">, E.J., Chow, D.Y. and Tay, J.R.H., 2026. Periodontal Diseases as a Public Health Challenge: Rationale, Prevention, Equity, and Sustainable Care—A Global Call for Action. </w:t>
      </w:r>
      <w:r w:rsidRPr="00AC26E6">
        <w:rPr>
          <w:i/>
          <w:iCs/>
          <w:color w:val="222222"/>
          <w:sz w:val="24"/>
          <w:szCs w:val="24"/>
          <w:highlight w:val="white"/>
        </w:rPr>
        <w:t>Journal of Periodontal Research</w:t>
      </w:r>
      <w:r w:rsidRPr="00AC26E6">
        <w:rPr>
          <w:color w:val="222222"/>
          <w:sz w:val="24"/>
          <w:szCs w:val="24"/>
          <w:highlight w:val="white"/>
        </w:rPr>
        <w:t xml:space="preserve">. </w:t>
      </w:r>
      <w:hyperlink r:id="rId32">
        <w:r w:rsidR="00764C0E" w:rsidRPr="00AC26E6">
          <w:rPr>
            <w:color w:val="1155CC"/>
            <w:sz w:val="24"/>
            <w:szCs w:val="24"/>
            <w:highlight w:val="white"/>
            <w:u w:val="single"/>
          </w:rPr>
          <w:t>https://onlinelibrary.wiley.com/doi/abs/10.1111/jre.70133</w:t>
        </w:r>
      </w:hyperlink>
    </w:p>
    <w:p w14:paraId="00000062"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Keddy, K.H., Hoffmann, S., </w:t>
      </w:r>
      <w:proofErr w:type="spellStart"/>
      <w:r w:rsidRPr="00AC26E6">
        <w:rPr>
          <w:color w:val="222222"/>
          <w:sz w:val="24"/>
          <w:szCs w:val="24"/>
          <w:highlight w:val="white"/>
        </w:rPr>
        <w:t>Founou</w:t>
      </w:r>
      <w:proofErr w:type="spellEnd"/>
      <w:r w:rsidRPr="00AC26E6">
        <w:rPr>
          <w:color w:val="222222"/>
          <w:sz w:val="24"/>
          <w:szCs w:val="24"/>
          <w:highlight w:val="white"/>
        </w:rPr>
        <w:t xml:space="preserve">, L.L., Estrada-Garcia, T., Gobena, T., </w:t>
      </w:r>
      <w:proofErr w:type="spellStart"/>
      <w:r w:rsidRPr="00AC26E6">
        <w:rPr>
          <w:color w:val="222222"/>
          <w:sz w:val="24"/>
          <w:szCs w:val="24"/>
          <w:highlight w:val="white"/>
        </w:rPr>
        <w:t>Havelaar</w:t>
      </w:r>
      <w:proofErr w:type="spellEnd"/>
      <w:r w:rsidRPr="00AC26E6">
        <w:rPr>
          <w:color w:val="222222"/>
          <w:sz w:val="24"/>
          <w:szCs w:val="24"/>
          <w:highlight w:val="white"/>
        </w:rPr>
        <w:t xml:space="preserve">, A.H., </w:t>
      </w:r>
      <w:proofErr w:type="spellStart"/>
      <w:r w:rsidRPr="00AC26E6">
        <w:rPr>
          <w:color w:val="222222"/>
          <w:sz w:val="24"/>
          <w:szCs w:val="24"/>
          <w:highlight w:val="white"/>
        </w:rPr>
        <w:t>Jakobsen</w:t>
      </w:r>
      <w:proofErr w:type="spellEnd"/>
      <w:r w:rsidRPr="00AC26E6">
        <w:rPr>
          <w:color w:val="222222"/>
          <w:sz w:val="24"/>
          <w:szCs w:val="24"/>
          <w:highlight w:val="white"/>
        </w:rPr>
        <w:t xml:space="preserve">, L.S., Kubota, K., Law, C., Lake, R. and Minato, Y., 2025. Quantifying national burdens of foodborne disease—Four imperatives for global impact. </w:t>
      </w:r>
      <w:r w:rsidRPr="00AC26E6">
        <w:rPr>
          <w:i/>
          <w:iCs/>
          <w:color w:val="222222"/>
          <w:sz w:val="24"/>
          <w:szCs w:val="24"/>
          <w:highlight w:val="white"/>
        </w:rPr>
        <w:t>PLOS global public health</w:t>
      </w:r>
      <w:r w:rsidRPr="00AC26E6">
        <w:rPr>
          <w:color w:val="222222"/>
          <w:sz w:val="24"/>
          <w:szCs w:val="24"/>
          <w:highlight w:val="white"/>
        </w:rPr>
        <w:t xml:space="preserve">, </w:t>
      </w:r>
      <w:r w:rsidRPr="00AC26E6">
        <w:rPr>
          <w:i/>
          <w:iCs/>
          <w:color w:val="222222"/>
          <w:sz w:val="24"/>
          <w:szCs w:val="24"/>
          <w:highlight w:val="white"/>
        </w:rPr>
        <w:t>5</w:t>
      </w:r>
      <w:r w:rsidRPr="00AC26E6">
        <w:rPr>
          <w:color w:val="222222"/>
          <w:sz w:val="24"/>
          <w:szCs w:val="24"/>
          <w:highlight w:val="white"/>
        </w:rPr>
        <w:t xml:space="preserve">(4), p.e0004309. </w:t>
      </w:r>
      <w:hyperlink r:id="rId33">
        <w:r w:rsidR="00764C0E" w:rsidRPr="00AC26E6">
          <w:rPr>
            <w:color w:val="1155CC"/>
            <w:sz w:val="24"/>
            <w:szCs w:val="24"/>
            <w:highlight w:val="white"/>
            <w:u w:val="single"/>
          </w:rPr>
          <w:t>https://journals.plos.org/globalpublichealth/article?id=10.1371/journal.pgph.0004309</w:t>
        </w:r>
      </w:hyperlink>
    </w:p>
    <w:p w14:paraId="00000063"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Yuan, S., Hou, J. and Yang, X., 2026. Social Determinants of Health, Nursing Care Quality, and Patient Outcomes in Neurological Disorders: A Systematic Review. </w:t>
      </w:r>
      <w:r w:rsidRPr="00AC26E6">
        <w:rPr>
          <w:i/>
          <w:iCs/>
          <w:color w:val="222222"/>
          <w:sz w:val="24"/>
          <w:szCs w:val="24"/>
          <w:highlight w:val="white"/>
        </w:rPr>
        <w:t>Risk Management and Healthcare Policy</w:t>
      </w:r>
      <w:r w:rsidRPr="00AC26E6">
        <w:rPr>
          <w:color w:val="222222"/>
          <w:sz w:val="24"/>
          <w:szCs w:val="24"/>
          <w:highlight w:val="white"/>
        </w:rPr>
        <w:t>, p.597958.</w:t>
      </w:r>
      <w:hyperlink r:id="rId34">
        <w:r w:rsidR="00764C0E" w:rsidRPr="00AC26E6">
          <w:rPr>
            <w:color w:val="1155CC"/>
            <w:sz w:val="24"/>
            <w:szCs w:val="24"/>
            <w:highlight w:val="white"/>
            <w:u w:val="single"/>
          </w:rPr>
          <w:t>https://www.tandfonline.com/doi/abs/10.2147/RMHP.S597958</w:t>
        </w:r>
      </w:hyperlink>
    </w:p>
    <w:p w14:paraId="00000064"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Stufano, A., Schino, V., </w:t>
      </w:r>
      <w:proofErr w:type="spellStart"/>
      <w:r w:rsidRPr="00AC26E6">
        <w:rPr>
          <w:color w:val="222222"/>
          <w:sz w:val="24"/>
          <w:szCs w:val="24"/>
          <w:highlight w:val="white"/>
        </w:rPr>
        <w:t>Plantone</w:t>
      </w:r>
      <w:proofErr w:type="spellEnd"/>
      <w:r w:rsidRPr="00AC26E6">
        <w:rPr>
          <w:color w:val="222222"/>
          <w:sz w:val="24"/>
          <w:szCs w:val="24"/>
          <w:highlight w:val="white"/>
        </w:rPr>
        <w:t xml:space="preserve">, D. and Lucchese, G., 2025. Occupational zoonoses, neurological diseases, and public health: A one health approach. </w:t>
      </w:r>
      <w:r w:rsidRPr="00AC26E6">
        <w:rPr>
          <w:i/>
          <w:iCs/>
          <w:color w:val="222222"/>
          <w:sz w:val="24"/>
          <w:szCs w:val="24"/>
          <w:highlight w:val="white"/>
        </w:rPr>
        <w:t>Infectious Medicine</w:t>
      </w:r>
      <w:r w:rsidRPr="00AC26E6">
        <w:rPr>
          <w:color w:val="222222"/>
          <w:sz w:val="24"/>
          <w:szCs w:val="24"/>
          <w:highlight w:val="white"/>
        </w:rPr>
        <w:t xml:space="preserve">, </w:t>
      </w:r>
      <w:r w:rsidRPr="00AC26E6">
        <w:rPr>
          <w:i/>
          <w:iCs/>
          <w:color w:val="222222"/>
          <w:sz w:val="24"/>
          <w:szCs w:val="24"/>
          <w:highlight w:val="white"/>
        </w:rPr>
        <w:t>4</w:t>
      </w:r>
      <w:r w:rsidRPr="00AC26E6">
        <w:rPr>
          <w:color w:val="222222"/>
          <w:sz w:val="24"/>
          <w:szCs w:val="24"/>
          <w:highlight w:val="white"/>
        </w:rPr>
        <w:t xml:space="preserve">(2), p.100184. </w:t>
      </w:r>
      <w:hyperlink r:id="rId35">
        <w:r w:rsidR="00764C0E" w:rsidRPr="00AC26E6">
          <w:rPr>
            <w:color w:val="1155CC"/>
            <w:sz w:val="24"/>
            <w:szCs w:val="24"/>
            <w:highlight w:val="white"/>
            <w:u w:val="single"/>
          </w:rPr>
          <w:t>https://www.sciencedirect.com/science/article/pii/S2772431X25000231</w:t>
        </w:r>
      </w:hyperlink>
    </w:p>
    <w:p w14:paraId="00000065"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Kelechi Wisdom, E., </w:t>
      </w:r>
      <w:proofErr w:type="spellStart"/>
      <w:r w:rsidRPr="00AC26E6">
        <w:rPr>
          <w:color w:val="222222"/>
          <w:sz w:val="24"/>
          <w:szCs w:val="24"/>
          <w:highlight w:val="white"/>
        </w:rPr>
        <w:t>Soyemi</w:t>
      </w:r>
      <w:proofErr w:type="spellEnd"/>
      <w:r w:rsidRPr="00AC26E6">
        <w:rPr>
          <w:color w:val="222222"/>
          <w:sz w:val="24"/>
          <w:szCs w:val="24"/>
          <w:highlight w:val="white"/>
        </w:rPr>
        <w:t xml:space="preserve">, T., Mayowa, S., Ede, N.S., Ubalaeze Solomon, E., </w:t>
      </w:r>
      <w:proofErr w:type="spellStart"/>
      <w:r w:rsidRPr="00AC26E6">
        <w:rPr>
          <w:color w:val="222222"/>
          <w:sz w:val="24"/>
          <w:szCs w:val="24"/>
          <w:highlight w:val="white"/>
        </w:rPr>
        <w:t>Iloanusi</w:t>
      </w:r>
      <w:proofErr w:type="spellEnd"/>
      <w:r w:rsidRPr="00AC26E6">
        <w:rPr>
          <w:color w:val="222222"/>
          <w:sz w:val="24"/>
          <w:szCs w:val="24"/>
          <w:highlight w:val="white"/>
        </w:rPr>
        <w:t xml:space="preserve">, C.A., Agbo, C.E., Suzan Idogen, O., Augustine Ikechukwu, C., Clinton Ifeanyi, O. and </w:t>
      </w:r>
      <w:proofErr w:type="spellStart"/>
      <w:r w:rsidRPr="00AC26E6">
        <w:rPr>
          <w:color w:val="222222"/>
          <w:sz w:val="24"/>
          <w:szCs w:val="24"/>
          <w:highlight w:val="white"/>
        </w:rPr>
        <w:t>Akpowowo</w:t>
      </w:r>
      <w:proofErr w:type="spellEnd"/>
      <w:r w:rsidRPr="00AC26E6">
        <w:rPr>
          <w:color w:val="222222"/>
          <w:sz w:val="24"/>
          <w:szCs w:val="24"/>
          <w:highlight w:val="white"/>
        </w:rPr>
        <w:t xml:space="preserve">, C.K., 2025. Building healthcare capacity for neurodegenerative disease management in Nigeria: Challenges and opportunities. </w:t>
      </w:r>
      <w:r w:rsidRPr="00AC26E6">
        <w:rPr>
          <w:i/>
          <w:iCs/>
          <w:color w:val="222222"/>
          <w:sz w:val="24"/>
          <w:szCs w:val="24"/>
          <w:highlight w:val="white"/>
        </w:rPr>
        <w:t>Journal of Public Health Research</w:t>
      </w:r>
      <w:r w:rsidRPr="00AC26E6">
        <w:rPr>
          <w:color w:val="222222"/>
          <w:sz w:val="24"/>
          <w:szCs w:val="24"/>
          <w:highlight w:val="white"/>
        </w:rPr>
        <w:t xml:space="preserve">, </w:t>
      </w:r>
      <w:r w:rsidRPr="00AC26E6">
        <w:rPr>
          <w:i/>
          <w:iCs/>
          <w:color w:val="222222"/>
          <w:sz w:val="24"/>
          <w:szCs w:val="24"/>
          <w:highlight w:val="white"/>
        </w:rPr>
        <w:t>14</w:t>
      </w:r>
      <w:r w:rsidRPr="00AC26E6">
        <w:rPr>
          <w:color w:val="222222"/>
          <w:sz w:val="24"/>
          <w:szCs w:val="24"/>
          <w:highlight w:val="white"/>
        </w:rPr>
        <w:t xml:space="preserve">(2), p.22799036251350957. </w:t>
      </w:r>
      <w:hyperlink r:id="rId36">
        <w:r w:rsidR="00764C0E" w:rsidRPr="00AC26E6">
          <w:rPr>
            <w:color w:val="1155CC"/>
            <w:sz w:val="24"/>
            <w:szCs w:val="24"/>
            <w:highlight w:val="white"/>
            <w:u w:val="single"/>
          </w:rPr>
          <w:t>https://journals.sagepub.com/doi/abs/10.1177/22799036251350957</w:t>
        </w:r>
      </w:hyperlink>
    </w:p>
    <w:p w14:paraId="00000066"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Joynt Maddox, K.E., Reynolds, H.R., </w:t>
      </w:r>
      <w:proofErr w:type="spellStart"/>
      <w:r w:rsidRPr="00AC26E6">
        <w:rPr>
          <w:color w:val="222222"/>
          <w:sz w:val="24"/>
          <w:szCs w:val="24"/>
          <w:highlight w:val="white"/>
        </w:rPr>
        <w:t>Adedinsewo</w:t>
      </w:r>
      <w:proofErr w:type="spellEnd"/>
      <w:r w:rsidRPr="00AC26E6">
        <w:rPr>
          <w:color w:val="222222"/>
          <w:sz w:val="24"/>
          <w:szCs w:val="24"/>
          <w:highlight w:val="white"/>
        </w:rPr>
        <w:t xml:space="preserve">, D., Bushnell, C., DeVon, H.A., Gooding, H.C., Howard, V.J., Mauricio, R., Miller, E.C., Sharma, G. and Waken, R.J., 2026. Forecasting the burden of cardiovascular disease and stroke in women in the United States through 2050: a scientific statement from the American Heart Association. </w:t>
      </w:r>
      <w:r w:rsidRPr="00AC26E6">
        <w:rPr>
          <w:i/>
          <w:iCs/>
          <w:color w:val="222222"/>
          <w:sz w:val="24"/>
          <w:szCs w:val="24"/>
          <w:highlight w:val="white"/>
        </w:rPr>
        <w:lastRenderedPageBreak/>
        <w:t>Circulation</w:t>
      </w:r>
      <w:r w:rsidRPr="00AC26E6">
        <w:rPr>
          <w:color w:val="222222"/>
          <w:sz w:val="24"/>
          <w:szCs w:val="24"/>
          <w:highlight w:val="white"/>
        </w:rPr>
        <w:t xml:space="preserve">, </w:t>
      </w:r>
      <w:r w:rsidRPr="00AC26E6">
        <w:rPr>
          <w:i/>
          <w:iCs/>
          <w:color w:val="222222"/>
          <w:sz w:val="24"/>
          <w:szCs w:val="24"/>
          <w:highlight w:val="white"/>
        </w:rPr>
        <w:t>153</w:t>
      </w:r>
      <w:r w:rsidRPr="00AC26E6">
        <w:rPr>
          <w:color w:val="222222"/>
          <w:sz w:val="24"/>
          <w:szCs w:val="24"/>
          <w:highlight w:val="white"/>
        </w:rPr>
        <w:t xml:space="preserve">(13), pp.e1061-e1077. </w:t>
      </w:r>
      <w:hyperlink r:id="rId37">
        <w:r w:rsidR="00764C0E" w:rsidRPr="00AC26E6">
          <w:rPr>
            <w:color w:val="1155CC"/>
            <w:sz w:val="24"/>
            <w:szCs w:val="24"/>
            <w:highlight w:val="white"/>
            <w:u w:val="single"/>
          </w:rPr>
          <w:t>https://www.ahajournals.org/doi/abs/10.1161/CIR.0000000000001406</w:t>
        </w:r>
      </w:hyperlink>
    </w:p>
    <w:p w14:paraId="00000067" w14:textId="77777777" w:rsidR="00764C0E" w:rsidRPr="00AC26E6" w:rsidRDefault="00651ED4" w:rsidP="00AC26E6">
      <w:pPr>
        <w:spacing w:line="360" w:lineRule="auto"/>
        <w:jc w:val="both"/>
        <w:rPr>
          <w:color w:val="222222"/>
          <w:sz w:val="24"/>
          <w:szCs w:val="24"/>
          <w:highlight w:val="white"/>
        </w:rPr>
      </w:pPr>
      <w:r w:rsidRPr="00AC26E6">
        <w:rPr>
          <w:color w:val="222222"/>
          <w:sz w:val="24"/>
          <w:szCs w:val="24"/>
          <w:highlight w:val="white"/>
        </w:rPr>
        <w:t xml:space="preserve">Schiess, N., Cataldi, R., Okun, M.S., Fothergill-Misbah, N., Dorsey, E.R., Bloem, B.R., Barretto, M., </w:t>
      </w:r>
      <w:proofErr w:type="spellStart"/>
      <w:r w:rsidRPr="00AC26E6">
        <w:rPr>
          <w:color w:val="222222"/>
          <w:sz w:val="24"/>
          <w:szCs w:val="24"/>
          <w:highlight w:val="white"/>
        </w:rPr>
        <w:t>Bhidayasiri</w:t>
      </w:r>
      <w:proofErr w:type="spellEnd"/>
      <w:r w:rsidRPr="00AC26E6">
        <w:rPr>
          <w:color w:val="222222"/>
          <w:sz w:val="24"/>
          <w:szCs w:val="24"/>
          <w:highlight w:val="white"/>
        </w:rPr>
        <w:t xml:space="preserve">, R., Brown, R., Chishimba, L. and Chowdhary, N., 2022. Six action steps to address global disparities in Parkinson disease: a World Health Organization priority. </w:t>
      </w:r>
      <w:r w:rsidRPr="00AC26E6">
        <w:rPr>
          <w:i/>
          <w:iCs/>
          <w:color w:val="222222"/>
          <w:sz w:val="24"/>
          <w:szCs w:val="24"/>
          <w:highlight w:val="white"/>
        </w:rPr>
        <w:t>JAMA neurology</w:t>
      </w:r>
      <w:r w:rsidRPr="00AC26E6">
        <w:rPr>
          <w:color w:val="222222"/>
          <w:sz w:val="24"/>
          <w:szCs w:val="24"/>
          <w:highlight w:val="white"/>
        </w:rPr>
        <w:t xml:space="preserve">, </w:t>
      </w:r>
      <w:r w:rsidRPr="00AC26E6">
        <w:rPr>
          <w:i/>
          <w:iCs/>
          <w:color w:val="222222"/>
          <w:sz w:val="24"/>
          <w:szCs w:val="24"/>
          <w:highlight w:val="white"/>
        </w:rPr>
        <w:t>79</w:t>
      </w:r>
      <w:r w:rsidRPr="00AC26E6">
        <w:rPr>
          <w:color w:val="222222"/>
          <w:sz w:val="24"/>
          <w:szCs w:val="24"/>
          <w:highlight w:val="white"/>
        </w:rPr>
        <w:t xml:space="preserve">(9), pp.929-936. </w:t>
      </w:r>
      <w:hyperlink r:id="rId38">
        <w:r w:rsidR="00764C0E" w:rsidRPr="00AC26E6">
          <w:rPr>
            <w:color w:val="1155CC"/>
            <w:sz w:val="24"/>
            <w:szCs w:val="24"/>
            <w:highlight w:val="white"/>
            <w:u w:val="single"/>
          </w:rPr>
          <w:t>https://jamanetwork.com/journals/jamaneurology/article-abstract/2793874</w:t>
        </w:r>
      </w:hyperlink>
    </w:p>
    <w:p w14:paraId="00000068" w14:textId="77777777" w:rsidR="00764C0E" w:rsidRPr="00AC26E6" w:rsidRDefault="00764C0E" w:rsidP="00AC26E6">
      <w:pPr>
        <w:spacing w:line="360" w:lineRule="auto"/>
        <w:jc w:val="both"/>
        <w:rPr>
          <w:sz w:val="24"/>
          <w:szCs w:val="24"/>
        </w:rPr>
      </w:pPr>
    </w:p>
    <w:sectPr w:rsidR="00764C0E" w:rsidRPr="00AC26E6">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F951840-8BA0-4E61-81AC-B4E317296B0D}"/>
  </w:font>
  <w:font w:name="Helvetica">
    <w:panose1 w:val="00000000000000000000"/>
    <w:charset w:val="00"/>
    <w:family w:val="auto"/>
    <w:pitch w:val="variable"/>
    <w:sig w:usb0="E00002FF" w:usb1="5000785B" w:usb2="00000000" w:usb3="00000000" w:csb0="0000019F" w:csb1="00000000"/>
  </w:font>
  <w:font w:name="-webkit-standard">
    <w:altName w:val="Times New Roman"/>
    <w:panose1 w:val="020B0604020202020204"/>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F99AF3EA-65D5-BC48-9404-BD6D232F520D}"/>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9"/>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4C0E"/>
    <w:rsid w:val="000547C1"/>
    <w:rsid w:val="000B3EDC"/>
    <w:rsid w:val="000B5CE2"/>
    <w:rsid w:val="0015639F"/>
    <w:rsid w:val="002A44F6"/>
    <w:rsid w:val="003725EF"/>
    <w:rsid w:val="003B6BC2"/>
    <w:rsid w:val="00497799"/>
    <w:rsid w:val="004A2FAD"/>
    <w:rsid w:val="005C1776"/>
    <w:rsid w:val="00651ED4"/>
    <w:rsid w:val="006562BF"/>
    <w:rsid w:val="00677488"/>
    <w:rsid w:val="00764C0E"/>
    <w:rsid w:val="00914AE7"/>
    <w:rsid w:val="00965E33"/>
    <w:rsid w:val="009A2005"/>
    <w:rsid w:val="009A6D43"/>
    <w:rsid w:val="00AC26E6"/>
    <w:rsid w:val="00BC2493"/>
    <w:rsid w:val="00C816AD"/>
    <w:rsid w:val="00D71A33"/>
    <w:rsid w:val="00EB2519"/>
    <w:rsid w:val="00FD7716"/>
    <w:rsid w:val="00FE747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8D1CB"/>
  <w15:docId w15:val="{F829AD65-6E93-4408-9C8A-4EE9FA3BD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AC26E6"/>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AC26E6"/>
    <w:pPr>
      <w:spacing w:after="100"/>
    </w:pPr>
  </w:style>
  <w:style w:type="paragraph" w:styleId="TOC2">
    <w:name w:val="toc 2"/>
    <w:basedOn w:val="Normal"/>
    <w:next w:val="Normal"/>
    <w:autoRedefine/>
    <w:uiPriority w:val="39"/>
    <w:unhideWhenUsed/>
    <w:rsid w:val="00AC26E6"/>
    <w:pPr>
      <w:spacing w:after="100"/>
      <w:ind w:left="220"/>
    </w:pPr>
  </w:style>
  <w:style w:type="character" w:styleId="Hyperlink">
    <w:name w:val="Hyperlink"/>
    <w:basedOn w:val="DefaultParagraphFont"/>
    <w:uiPriority w:val="99"/>
    <w:unhideWhenUsed/>
    <w:rsid w:val="00AC26E6"/>
    <w:rPr>
      <w:color w:val="0000FF" w:themeColor="hyperlink"/>
      <w:u w:val="single"/>
    </w:rPr>
  </w:style>
  <w:style w:type="paragraph" w:customStyle="1" w:styleId="s3">
    <w:name w:val="s3"/>
    <w:basedOn w:val="Normal"/>
    <w:rsid w:val="00EB2519"/>
    <w:pPr>
      <w:spacing w:before="100" w:beforeAutospacing="1" w:after="100" w:afterAutospacing="1" w:line="240" w:lineRule="auto"/>
    </w:pPr>
    <w:rPr>
      <w:rFonts w:ascii="Times New Roman" w:eastAsiaTheme="minorEastAsia" w:hAnsi="Times New Roman" w:cs="Times New Roman"/>
      <w:sz w:val="24"/>
      <w:szCs w:val="24"/>
      <w:lang w:val="en-IN" w:eastAsia="en-GB"/>
    </w:rPr>
  </w:style>
  <w:style w:type="character" w:customStyle="1" w:styleId="s4">
    <w:name w:val="s4"/>
    <w:basedOn w:val="DefaultParagraphFont"/>
    <w:rsid w:val="00EB2519"/>
  </w:style>
  <w:style w:type="paragraph" w:customStyle="1" w:styleId="s6">
    <w:name w:val="s6"/>
    <w:basedOn w:val="Normal"/>
    <w:rsid w:val="00EB2519"/>
    <w:pPr>
      <w:spacing w:before="100" w:beforeAutospacing="1" w:after="100" w:afterAutospacing="1" w:line="240" w:lineRule="auto"/>
    </w:pPr>
    <w:rPr>
      <w:rFonts w:ascii="Times New Roman" w:eastAsiaTheme="minorEastAsia" w:hAnsi="Times New Roman" w:cs="Times New Roman"/>
      <w:sz w:val="24"/>
      <w:szCs w:val="24"/>
      <w:lang w:val="en-IN" w:eastAsia="en-GB"/>
    </w:rPr>
  </w:style>
  <w:style w:type="character" w:customStyle="1" w:styleId="s5">
    <w:name w:val="s5"/>
    <w:basedOn w:val="DefaultParagraphFont"/>
    <w:rsid w:val="00EB2519"/>
  </w:style>
  <w:style w:type="paragraph" w:customStyle="1" w:styleId="p1">
    <w:name w:val="p1"/>
    <w:basedOn w:val="Normal"/>
    <w:rsid w:val="00651ED4"/>
    <w:pPr>
      <w:spacing w:line="240" w:lineRule="auto"/>
    </w:pPr>
    <w:rPr>
      <w:rFonts w:ascii="Helvetica" w:eastAsiaTheme="minorEastAsia" w:hAnsi="Helvetica" w:cs="Times New Roman"/>
      <w:sz w:val="18"/>
      <w:szCs w:val="18"/>
      <w:lang w:val="en-IN" w:eastAsia="en-GB"/>
    </w:rPr>
  </w:style>
  <w:style w:type="character" w:customStyle="1" w:styleId="s1">
    <w:name w:val="s1"/>
    <w:basedOn w:val="DefaultParagraphFont"/>
    <w:rsid w:val="00651ED4"/>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cademic.oup.com/ckj/article-abstract/16/7/1081/7060399" TargetMode="External"/><Relationship Id="rId18" Type="http://schemas.openxmlformats.org/officeDocument/2006/relationships/hyperlink" Target="https://www.frontiersin.org/journals/public-health/articles/10.3389/fpubh.2024.1477418/full" TargetMode="External"/><Relationship Id="rId26" Type="http://schemas.openxmlformats.org/officeDocument/2006/relationships/hyperlink" Target="https://journals.viamedica.pl/neurologia_neurochirurgia_polska/article/view/110988" TargetMode="External"/><Relationship Id="rId39" Type="http://schemas.openxmlformats.org/officeDocument/2006/relationships/fontTable" Target="fontTable.xml"/><Relationship Id="rId21" Type="http://schemas.openxmlformats.org/officeDocument/2006/relationships/hyperlink" Target="https://link.springer.com/article/10.1186/s12889-024-17834-1" TargetMode="External"/><Relationship Id="rId34" Type="http://schemas.openxmlformats.org/officeDocument/2006/relationships/hyperlink" Target="https://www.tandfonline.com/doi/abs/10.2147/RMHP.S597958" TargetMode="External"/><Relationship Id="rId7" Type="http://schemas.openxmlformats.org/officeDocument/2006/relationships/image" Target="media/image3.jpeg"/><Relationship Id="rId12" Type="http://schemas.openxmlformats.org/officeDocument/2006/relationships/hyperlink" Target="https://onlinelibrary.wiley.com/doi/abs/10.1111/dme.15153" TargetMode="External"/><Relationship Id="rId17" Type="http://schemas.openxmlformats.org/officeDocument/2006/relationships/hyperlink" Target="https://academic.oup.com/ndt/article-abstract/38/5/1170/6649218" TargetMode="External"/><Relationship Id="rId25" Type="http://schemas.openxmlformats.org/officeDocument/2006/relationships/hyperlink" Target="https://www.medrxiv.org/content/10.1101/2025.10.22.25338533.abstract" TargetMode="External"/><Relationship Id="rId33" Type="http://schemas.openxmlformats.org/officeDocument/2006/relationships/hyperlink" Target="https://journals.plos.org/globalpublichealth/article?id=10.1371/journal.pgph.0004309" TargetMode="External"/><Relationship Id="rId38" Type="http://schemas.openxmlformats.org/officeDocument/2006/relationships/hyperlink" Target="https://jamanetwork.com/journals/jamaneurology/article-abstract/2793874" TargetMode="External"/><Relationship Id="rId2" Type="http://schemas.openxmlformats.org/officeDocument/2006/relationships/styles" Target="styles.xml"/><Relationship Id="rId16" Type="http://schemas.openxmlformats.org/officeDocument/2006/relationships/hyperlink" Target="https://www.nature.com/articles/s41581-024-00820-6" TargetMode="External"/><Relationship Id="rId20" Type="http://schemas.openxmlformats.org/officeDocument/2006/relationships/hyperlink" Target="https://jech.bmj.com/content/80/8/608.abstract" TargetMode="External"/><Relationship Id="rId29" Type="http://schemas.openxmlformats.org/officeDocument/2006/relationships/hyperlink" Target="https://pmc.ncbi.nlm.nih.gov/articles/PMC12971533/" TargetMode="Externa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wchh.onlinelibrary.wiley.com/doi/abs/10.1002/pdi.2435" TargetMode="External"/><Relationship Id="rId24" Type="http://schemas.openxmlformats.org/officeDocument/2006/relationships/hyperlink" Target="https://www.thelancet.com/journals/lancet/article/PIIS0140-6736(23)01419-8/abstract" TargetMode="External"/><Relationship Id="rId32" Type="http://schemas.openxmlformats.org/officeDocument/2006/relationships/hyperlink" Target="https://onlinelibrary.wiley.com/doi/abs/10.1111/jre.70133" TargetMode="External"/><Relationship Id="rId37" Type="http://schemas.openxmlformats.org/officeDocument/2006/relationships/hyperlink" Target="https://www.ahajournals.org/doi/abs/10.1161/CIR.0000000000001406" TargetMode="External"/><Relationship Id="rId40"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jamanetwork.com/journals/jamainternalmedicine/article-abstract/2801750" TargetMode="External"/><Relationship Id="rId23" Type="http://schemas.openxmlformats.org/officeDocument/2006/relationships/image" Target="media/image6.png"/><Relationship Id="rId28" Type="http://schemas.openxmlformats.org/officeDocument/2006/relationships/hyperlink" Target="https://www.frontiersin.org/journals/public-health/articles/10.3389/fpubh.2025.1618533/full" TargetMode="External"/><Relationship Id="rId36" Type="http://schemas.openxmlformats.org/officeDocument/2006/relationships/hyperlink" Target="https://journals.sagepub.com/doi/abs/10.1177/22799036251350957" TargetMode="External"/><Relationship Id="rId10" Type="http://schemas.openxmlformats.org/officeDocument/2006/relationships/hyperlink" Target="https://onlinelibrary.wiley.com/doi/abs/10.1111/jdi.14156" TargetMode="External"/><Relationship Id="rId19" Type="http://schemas.openxmlformats.org/officeDocument/2006/relationships/hyperlink" Target="https://academic.oup.com/jamiaopen/article-abstract/5/3/ooac057/6639675" TargetMode="External"/><Relationship Id="rId31" Type="http://schemas.openxmlformats.org/officeDocument/2006/relationships/hyperlink" Target="https://onlinelibrary.wiley.com/doi/abs/10.1002/joa3.70309" TargetMode="External"/><Relationship Id="rId4" Type="http://schemas.openxmlformats.org/officeDocument/2006/relationships/webSettings" Target="webSettings.xml"/><Relationship Id="rId9" Type="http://schemas.openxmlformats.org/officeDocument/2006/relationships/hyperlink" Target="https://link.springer.com/article/10.1186/s12889-022-14940-w" TargetMode="External"/><Relationship Id="rId14" Type="http://schemas.openxmlformats.org/officeDocument/2006/relationships/hyperlink" Target="https://www.thelancet.com/journals/lanhl/article/PIIS2666-7568(24)00116-8/fulltext" TargetMode="External"/><Relationship Id="rId22" Type="http://schemas.openxmlformats.org/officeDocument/2006/relationships/image" Target="media/image5.png"/><Relationship Id="rId27" Type="http://schemas.openxmlformats.org/officeDocument/2006/relationships/hyperlink" Target="https://www.sciencedirect.com/science/article/pii/S1353802024011222" TargetMode="External"/><Relationship Id="rId30" Type="http://schemas.openxmlformats.org/officeDocument/2006/relationships/hyperlink" Target="https://journals.sagepub.com/doi/abs/10.1177/08919887231195219" TargetMode="External"/><Relationship Id="rId35" Type="http://schemas.openxmlformats.org/officeDocument/2006/relationships/hyperlink" Target="https://www.sciencedirect.com/science/article/pii/S2772431X25000231" TargetMode="External"/><Relationship Id="rId8" Type="http://schemas.openxmlformats.org/officeDocument/2006/relationships/image" Target="media/image4.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D9D1A5-64CC-4777-BE5A-1BCC0C1E96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20</Pages>
  <Words>4889</Words>
  <Characters>27868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Nakul</dc:creator>
  <cp:lastModifiedBy>ashok patel</cp:lastModifiedBy>
  <cp:revision>2</cp:revision>
  <dcterms:created xsi:type="dcterms:W3CDTF">2026-07-21T20:57:00Z</dcterms:created>
  <dcterms:modified xsi:type="dcterms:W3CDTF">2026-07-21T20:57:00Z</dcterms:modified>
</cp:coreProperties>
</file>