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cs="Times New Roman"/>
          <w:b/>
          <w:bCs/>
          <w:szCs w:val="24"/>
        </w:rPr>
      </w:pPr>
      <w:bookmarkStart w:id="28" w:name="_GoBack"/>
      <w:bookmarkEnd w:id="28"/>
    </w:p>
    <w:p>
      <w:pPr>
        <w:jc w:val="center"/>
        <w:rPr>
          <w:rFonts w:cs="Times New Roman"/>
          <w:b/>
          <w:bCs/>
          <w:szCs w:val="24"/>
        </w:rPr>
      </w:pPr>
    </w:p>
    <w:p>
      <w:pPr>
        <w:jc w:val="center"/>
        <w:rPr>
          <w:rFonts w:cs="Times New Roman"/>
          <w:b/>
          <w:bCs/>
          <w:szCs w:val="24"/>
        </w:rPr>
      </w:pPr>
    </w:p>
    <w:p>
      <w:pPr>
        <w:jc w:val="center"/>
        <w:rPr>
          <w:rFonts w:cs="Times New Roman"/>
          <w:b/>
          <w:bCs/>
          <w:szCs w:val="24"/>
        </w:rPr>
      </w:pPr>
    </w:p>
    <w:p>
      <w:pPr>
        <w:jc w:val="center"/>
        <w:rPr>
          <w:rFonts w:cs="Times New Roman"/>
          <w:b/>
          <w:bCs/>
          <w:szCs w:val="24"/>
        </w:rPr>
      </w:pPr>
    </w:p>
    <w:p>
      <w:pPr>
        <w:jc w:val="center"/>
        <w:rPr>
          <w:rFonts w:cs="Times New Roman"/>
          <w:b/>
          <w:bCs/>
          <w:szCs w:val="24"/>
        </w:rPr>
      </w:pPr>
    </w:p>
    <w:p>
      <w:pPr>
        <w:jc w:val="center"/>
        <w:rPr>
          <w:rFonts w:cs="Times New Roman"/>
          <w:b/>
          <w:bCs/>
          <w:szCs w:val="24"/>
        </w:rPr>
      </w:pPr>
    </w:p>
    <w:p>
      <w:pPr>
        <w:jc w:val="center"/>
        <w:rPr>
          <w:rFonts w:cs="Times New Roman"/>
          <w:b/>
          <w:bCs/>
          <w:szCs w:val="24"/>
        </w:rPr>
      </w:pPr>
    </w:p>
    <w:p>
      <w:pPr>
        <w:jc w:val="center"/>
        <w:rPr>
          <w:rFonts w:cs="Times New Roman"/>
          <w:b/>
          <w:bCs/>
          <w:szCs w:val="24"/>
        </w:rPr>
      </w:pPr>
      <w:r>
        <w:rPr>
          <w:rFonts w:cs="Times New Roman"/>
          <w:b/>
          <w:bCs/>
          <w:szCs w:val="24"/>
        </w:rPr>
        <w:t>Consultancy Project Report for Sainsbury’s</w:t>
      </w:r>
    </w:p>
    <w:p>
      <w:pPr>
        <w:jc w:val="center"/>
        <w:rPr>
          <w:rFonts w:cs="Times New Roman"/>
          <w:b/>
          <w:bCs/>
          <w:szCs w:val="24"/>
        </w:rPr>
      </w:pPr>
    </w:p>
    <w:p>
      <w:pPr>
        <w:jc w:val="center"/>
        <w:rPr>
          <w:rFonts w:cs="Times New Roman"/>
          <w:b/>
          <w:bCs/>
          <w:szCs w:val="24"/>
        </w:rPr>
      </w:pPr>
    </w:p>
    <w:p>
      <w:pPr>
        <w:jc w:val="center"/>
        <w:rPr>
          <w:rFonts w:cs="Times New Roman"/>
          <w:b/>
          <w:bCs/>
          <w:szCs w:val="24"/>
        </w:rPr>
      </w:pPr>
    </w:p>
    <w:p>
      <w:pPr>
        <w:jc w:val="center"/>
        <w:rPr>
          <w:rFonts w:cs="Times New Roman"/>
          <w:b/>
          <w:bCs/>
          <w:szCs w:val="24"/>
        </w:rPr>
      </w:pPr>
    </w:p>
    <w:p>
      <w:pPr>
        <w:jc w:val="center"/>
        <w:rPr>
          <w:rFonts w:cs="Times New Roman"/>
          <w:b/>
          <w:bCs/>
          <w:szCs w:val="24"/>
        </w:rPr>
      </w:pPr>
    </w:p>
    <w:p>
      <w:pPr>
        <w:jc w:val="center"/>
        <w:rPr>
          <w:rFonts w:cs="Times New Roman"/>
          <w:b/>
          <w:bCs/>
          <w:szCs w:val="24"/>
        </w:rPr>
      </w:pPr>
    </w:p>
    <w:p>
      <w:pPr>
        <w:jc w:val="center"/>
        <w:rPr>
          <w:rFonts w:cs="Times New Roman"/>
          <w:b/>
          <w:bCs/>
          <w:szCs w:val="24"/>
        </w:rPr>
      </w:pPr>
    </w:p>
    <w:p>
      <w:pPr>
        <w:jc w:val="center"/>
        <w:rPr>
          <w:rFonts w:cs="Times New Roman"/>
          <w:b/>
          <w:bCs/>
          <w:szCs w:val="24"/>
        </w:rPr>
      </w:pPr>
    </w:p>
    <w:p>
      <w:pPr>
        <w:jc w:val="center"/>
        <w:rPr>
          <w:rFonts w:cs="Times New Roman"/>
          <w:b/>
          <w:bCs/>
          <w:szCs w:val="24"/>
        </w:rPr>
      </w:pPr>
    </w:p>
    <w:p>
      <w:pPr>
        <w:jc w:val="cente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jc w:val="center"/>
        <w:rPr>
          <w:rFonts w:cs="Times New Roman"/>
          <w:b/>
          <w:bCs/>
          <w:szCs w:val="24"/>
        </w:rPr>
      </w:pPr>
      <w:r>
        <w:rPr>
          <w:rFonts w:cs="Times New Roman"/>
          <w:b/>
          <w:bCs/>
          <w:szCs w:val="24"/>
        </w:rPr>
        <w:t>Executive Summary</w:t>
      </w:r>
    </w:p>
    <w:p>
      <w:pPr>
        <w:rPr>
          <w:rFonts w:cs="Times New Roman"/>
          <w:szCs w:val="24"/>
        </w:rPr>
      </w:pPr>
      <w:r>
        <w:rPr>
          <w:rFonts w:cs="Times New Roman"/>
          <w:szCs w:val="24"/>
        </w:rPr>
        <w:t xml:space="preserve">This report examined the causes of Sainsbury’s market decline and proposed strategic recommendations to the management at Sainsbury’s. Results show that the supermarket sector in UK is extremely competitive, especially with new competitions from discounters. Sainsbury’s also suffer from poor customer relationship management skills, and is too rigid to adapt to market changes. The COVID-19 pandemic present great opportunity for it to rebuild its brand. Analysis of customer reviews show that Sainsbury’s suffer from extremely low customer satisfaction rate, mainly because of poor service, including those related to inadequate online capability. It is losing loyal customers to poor services, and also suffers from the problem of poor brand trust. Thus, it is recommended that Sainsbury’s to differentiate itself through training of its employees, meeting customer needs, improve online capability, increase product range, build brand trust through marketing, and possibly expand to oversea markets. </w:t>
      </w:r>
    </w:p>
    <w:p>
      <w:pPr>
        <w:rPr>
          <w:rFonts w:cs="Times New Roman"/>
          <w:b/>
          <w:bCs/>
          <w:szCs w:val="24"/>
        </w:rPr>
      </w:pPr>
    </w:p>
    <w:p>
      <w:pPr>
        <w:rPr>
          <w:rFonts w:cs="Times New Roman"/>
          <w:szCs w:val="24"/>
        </w:rPr>
      </w:pPr>
    </w:p>
    <w:p>
      <w:pPr>
        <w:rPr>
          <w:rFonts w:cs="Times New Roman"/>
          <w:szCs w:val="24"/>
        </w:rPr>
      </w:pPr>
    </w:p>
    <w:p>
      <w:pPr>
        <w:rPr>
          <w:rFonts w:cs="Times New Roman"/>
          <w:szCs w:val="24"/>
        </w:rPr>
      </w:pPr>
    </w:p>
    <w:p>
      <w:pPr>
        <w:rPr>
          <w:rFonts w:cs="Times New Roman"/>
          <w:szCs w:val="24"/>
        </w:rPr>
      </w:pPr>
    </w:p>
    <w:p>
      <w:pPr>
        <w:rPr>
          <w:rFonts w:cs="Times New Roman"/>
          <w:szCs w:val="24"/>
        </w:rPr>
      </w:pPr>
    </w:p>
    <w:p>
      <w:pPr>
        <w:rPr>
          <w:rFonts w:cs="Times New Roman"/>
          <w:szCs w:val="24"/>
        </w:rPr>
      </w:pPr>
    </w:p>
    <w:p>
      <w:pPr>
        <w:rPr>
          <w:rFonts w:cs="Times New Roman"/>
          <w:szCs w:val="24"/>
        </w:rPr>
      </w:pPr>
    </w:p>
    <w:p>
      <w:pPr>
        <w:rPr>
          <w:rFonts w:cs="Times New Roman"/>
          <w:szCs w:val="24"/>
        </w:rPr>
      </w:pPr>
    </w:p>
    <w:p>
      <w:pPr>
        <w:rPr>
          <w:rFonts w:cs="Times New Roman"/>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sdt>
      <w:sdtPr>
        <w:rPr>
          <w:lang w:val="zh-CN"/>
        </w:rPr>
        <w:id w:val="-740552847"/>
        <w:docPartObj>
          <w:docPartGallery w:val="Table of Contents"/>
          <w:docPartUnique/>
        </w:docPartObj>
      </w:sdtPr>
      <w:sdtEndPr>
        <w:rPr>
          <w:rFonts w:ascii="Times New Roman" w:hAnsi="Times New Roman" w:eastAsiaTheme="minorEastAsia" w:cstheme="minorBidi"/>
          <w:b/>
          <w:bCs/>
          <w:color w:val="auto"/>
          <w:kern w:val="2"/>
          <w:sz w:val="24"/>
          <w:szCs w:val="22"/>
          <w:lang w:val="zh-CN"/>
        </w:rPr>
      </w:sdtEndPr>
      <w:sdtContent>
        <w:p>
          <w:pPr>
            <w:pStyle w:val="27"/>
            <w:spacing w:line="240" w:lineRule="auto"/>
            <w:jc w:val="center"/>
            <w:rPr>
              <w:b/>
              <w:bCs/>
            </w:rPr>
          </w:pPr>
          <w:r>
            <w:rPr>
              <w:rFonts w:hint="eastAsia"/>
              <w:b/>
              <w:bCs/>
              <w:lang w:val="zh-CN"/>
            </w:rPr>
            <w:t>T</w:t>
          </w:r>
          <w:r>
            <w:rPr>
              <w:b/>
              <w:bCs/>
              <w:lang w:val="zh-CN"/>
            </w:rPr>
            <w:t>able of Contents</w:t>
          </w:r>
        </w:p>
        <w:p>
          <w:pPr>
            <w:pStyle w:val="11"/>
            <w:tabs>
              <w:tab w:val="right" w:leader="dot" w:pos="8296"/>
            </w:tabs>
            <w:spacing w:line="240" w:lineRule="auto"/>
          </w:pPr>
          <w:r>
            <w:fldChar w:fldCharType="begin"/>
          </w:r>
          <w:r>
            <w:instrText xml:space="preserve"> TOC \o "1-3" \h \z \u </w:instrText>
          </w:r>
          <w:r>
            <w:fldChar w:fldCharType="separate"/>
          </w:r>
          <w:r>
            <w:fldChar w:fldCharType="begin"/>
          </w:r>
          <w:r>
            <w:instrText xml:space="preserve"> HYPERLINK \l "_Toc39152442" </w:instrText>
          </w:r>
          <w:r>
            <w:fldChar w:fldCharType="separate"/>
          </w:r>
          <w:r>
            <w:rPr>
              <w:rStyle w:val="17"/>
              <w:rFonts w:cs="Times New Roman"/>
            </w:rPr>
            <w:t>1.0 Introduction</w:t>
          </w:r>
          <w:r>
            <w:tab/>
          </w:r>
          <w:r>
            <w:fldChar w:fldCharType="begin"/>
          </w:r>
          <w:r>
            <w:instrText xml:space="preserve"> PAGEREF _Toc39152442 \h </w:instrText>
          </w:r>
          <w:r>
            <w:fldChar w:fldCharType="separate"/>
          </w:r>
          <w:r>
            <w:t>4</w:t>
          </w:r>
          <w:r>
            <w:fldChar w:fldCharType="end"/>
          </w:r>
          <w:r>
            <w:fldChar w:fldCharType="end"/>
          </w:r>
        </w:p>
        <w:p>
          <w:pPr>
            <w:pStyle w:val="11"/>
            <w:tabs>
              <w:tab w:val="right" w:leader="dot" w:pos="8296"/>
            </w:tabs>
            <w:spacing w:line="240" w:lineRule="auto"/>
          </w:pPr>
          <w:r>
            <w:fldChar w:fldCharType="begin"/>
          </w:r>
          <w:r>
            <w:instrText xml:space="preserve"> HYPERLINK \l "_Toc39152443" </w:instrText>
          </w:r>
          <w:r>
            <w:fldChar w:fldCharType="separate"/>
          </w:r>
          <w:r>
            <w:rPr>
              <w:rStyle w:val="17"/>
              <w:rFonts w:cs="Times New Roman"/>
            </w:rPr>
            <w:t>2.0 Research Methodology</w:t>
          </w:r>
          <w:r>
            <w:tab/>
          </w:r>
          <w:r>
            <w:fldChar w:fldCharType="begin"/>
          </w:r>
          <w:r>
            <w:instrText xml:space="preserve"> PAGEREF _Toc39152443 \h </w:instrText>
          </w:r>
          <w:r>
            <w:fldChar w:fldCharType="separate"/>
          </w:r>
          <w:r>
            <w:t>4</w:t>
          </w:r>
          <w:r>
            <w:fldChar w:fldCharType="end"/>
          </w:r>
          <w:r>
            <w:fldChar w:fldCharType="end"/>
          </w:r>
        </w:p>
        <w:p>
          <w:pPr>
            <w:pStyle w:val="12"/>
            <w:tabs>
              <w:tab w:val="right" w:leader="dot" w:pos="8296"/>
            </w:tabs>
            <w:spacing w:line="240" w:lineRule="auto"/>
            <w:ind w:left="480"/>
          </w:pPr>
          <w:r>
            <w:fldChar w:fldCharType="begin"/>
          </w:r>
          <w:r>
            <w:instrText xml:space="preserve"> HYPERLINK \l "_Toc39152444" </w:instrText>
          </w:r>
          <w:r>
            <w:fldChar w:fldCharType="separate"/>
          </w:r>
          <w:r>
            <w:rPr>
              <w:rStyle w:val="17"/>
              <w:rFonts w:cs="Times New Roman"/>
            </w:rPr>
            <w:t>2.1 Secondary Research</w:t>
          </w:r>
          <w:r>
            <w:tab/>
          </w:r>
          <w:r>
            <w:fldChar w:fldCharType="begin"/>
          </w:r>
          <w:r>
            <w:instrText xml:space="preserve"> PAGEREF _Toc39152444 \h </w:instrText>
          </w:r>
          <w:r>
            <w:fldChar w:fldCharType="separate"/>
          </w:r>
          <w:r>
            <w:t>4</w:t>
          </w:r>
          <w:r>
            <w:fldChar w:fldCharType="end"/>
          </w:r>
          <w:r>
            <w:fldChar w:fldCharType="end"/>
          </w:r>
        </w:p>
        <w:p>
          <w:pPr>
            <w:pStyle w:val="12"/>
            <w:tabs>
              <w:tab w:val="right" w:leader="dot" w:pos="8296"/>
            </w:tabs>
            <w:spacing w:line="240" w:lineRule="auto"/>
            <w:ind w:left="480"/>
          </w:pPr>
          <w:r>
            <w:fldChar w:fldCharType="begin"/>
          </w:r>
          <w:r>
            <w:instrText xml:space="preserve"> HYPERLINK \l "_Toc39152445" </w:instrText>
          </w:r>
          <w:r>
            <w:fldChar w:fldCharType="separate"/>
          </w:r>
          <w:r>
            <w:rPr>
              <w:rStyle w:val="17"/>
              <w:rFonts w:cs="Times New Roman"/>
            </w:rPr>
            <w:t>2.2 Data Collection</w:t>
          </w:r>
          <w:r>
            <w:tab/>
          </w:r>
          <w:r>
            <w:fldChar w:fldCharType="begin"/>
          </w:r>
          <w:r>
            <w:instrText xml:space="preserve"> PAGEREF _Toc39152445 \h </w:instrText>
          </w:r>
          <w:r>
            <w:fldChar w:fldCharType="separate"/>
          </w:r>
          <w:r>
            <w:t>5</w:t>
          </w:r>
          <w:r>
            <w:fldChar w:fldCharType="end"/>
          </w:r>
          <w:r>
            <w:fldChar w:fldCharType="end"/>
          </w:r>
        </w:p>
        <w:p>
          <w:pPr>
            <w:pStyle w:val="12"/>
            <w:tabs>
              <w:tab w:val="right" w:leader="dot" w:pos="8296"/>
            </w:tabs>
            <w:spacing w:line="240" w:lineRule="auto"/>
            <w:ind w:left="480"/>
          </w:pPr>
          <w:r>
            <w:fldChar w:fldCharType="begin"/>
          </w:r>
          <w:r>
            <w:instrText xml:space="preserve"> HYPERLINK \l "_Toc39152446" </w:instrText>
          </w:r>
          <w:r>
            <w:fldChar w:fldCharType="separate"/>
          </w:r>
          <w:r>
            <w:rPr>
              <w:rStyle w:val="17"/>
              <w:rFonts w:cs="Times New Roman"/>
            </w:rPr>
            <w:t>2.3 Data Analysis</w:t>
          </w:r>
          <w:r>
            <w:tab/>
          </w:r>
          <w:r>
            <w:fldChar w:fldCharType="begin"/>
          </w:r>
          <w:r>
            <w:instrText xml:space="preserve"> PAGEREF _Toc39152446 \h </w:instrText>
          </w:r>
          <w:r>
            <w:fldChar w:fldCharType="separate"/>
          </w:r>
          <w:r>
            <w:t>5</w:t>
          </w:r>
          <w:r>
            <w:fldChar w:fldCharType="end"/>
          </w:r>
          <w:r>
            <w:fldChar w:fldCharType="end"/>
          </w:r>
        </w:p>
        <w:p>
          <w:pPr>
            <w:pStyle w:val="11"/>
            <w:tabs>
              <w:tab w:val="right" w:leader="dot" w:pos="8296"/>
            </w:tabs>
            <w:spacing w:line="240" w:lineRule="auto"/>
          </w:pPr>
          <w:r>
            <w:fldChar w:fldCharType="begin"/>
          </w:r>
          <w:r>
            <w:instrText xml:space="preserve"> HYPERLINK \l "_Toc39152447" </w:instrText>
          </w:r>
          <w:r>
            <w:fldChar w:fldCharType="separate"/>
          </w:r>
          <w:r>
            <w:rPr>
              <w:rStyle w:val="17"/>
              <w:rFonts w:cs="Times New Roman"/>
            </w:rPr>
            <w:t>3.0 Findings and Discussions</w:t>
          </w:r>
          <w:r>
            <w:tab/>
          </w:r>
          <w:r>
            <w:fldChar w:fldCharType="begin"/>
          </w:r>
          <w:r>
            <w:instrText xml:space="preserve"> PAGEREF _Toc39152447 \h </w:instrText>
          </w:r>
          <w:r>
            <w:fldChar w:fldCharType="separate"/>
          </w:r>
          <w:r>
            <w:t>6</w:t>
          </w:r>
          <w:r>
            <w:fldChar w:fldCharType="end"/>
          </w:r>
          <w:r>
            <w:fldChar w:fldCharType="end"/>
          </w:r>
        </w:p>
        <w:p>
          <w:pPr>
            <w:pStyle w:val="12"/>
            <w:tabs>
              <w:tab w:val="right" w:leader="dot" w:pos="8296"/>
            </w:tabs>
            <w:spacing w:line="240" w:lineRule="auto"/>
            <w:ind w:left="480"/>
          </w:pPr>
          <w:r>
            <w:fldChar w:fldCharType="begin"/>
          </w:r>
          <w:r>
            <w:instrText xml:space="preserve"> HYPERLINK \l "_Toc39152448" </w:instrText>
          </w:r>
          <w:r>
            <w:fldChar w:fldCharType="separate"/>
          </w:r>
          <w:r>
            <w:rPr>
              <w:rStyle w:val="17"/>
              <w:rFonts w:cs="Times New Roman"/>
            </w:rPr>
            <w:t>3.1 Situational Analysis</w:t>
          </w:r>
          <w:r>
            <w:tab/>
          </w:r>
          <w:r>
            <w:fldChar w:fldCharType="begin"/>
          </w:r>
          <w:r>
            <w:instrText xml:space="preserve"> PAGEREF _Toc39152448 \h </w:instrText>
          </w:r>
          <w:r>
            <w:fldChar w:fldCharType="separate"/>
          </w:r>
          <w:r>
            <w:t>6</w:t>
          </w:r>
          <w:r>
            <w:fldChar w:fldCharType="end"/>
          </w:r>
          <w:r>
            <w:fldChar w:fldCharType="end"/>
          </w:r>
        </w:p>
        <w:p>
          <w:pPr>
            <w:pStyle w:val="6"/>
            <w:tabs>
              <w:tab w:val="right" w:leader="dot" w:pos="8296"/>
            </w:tabs>
            <w:spacing w:line="240" w:lineRule="auto"/>
            <w:ind w:left="960"/>
          </w:pPr>
          <w:r>
            <w:fldChar w:fldCharType="begin"/>
          </w:r>
          <w:r>
            <w:instrText xml:space="preserve"> HYPERLINK \l "_Toc39152449" </w:instrText>
          </w:r>
          <w:r>
            <w:fldChar w:fldCharType="separate"/>
          </w:r>
          <w:r>
            <w:rPr>
              <w:rStyle w:val="17"/>
              <w:rFonts w:cs="Times New Roman"/>
            </w:rPr>
            <w:t>3.1.1 Implication of PESTEL Analysis of Sainsbury’s</w:t>
          </w:r>
          <w:r>
            <w:tab/>
          </w:r>
          <w:r>
            <w:fldChar w:fldCharType="begin"/>
          </w:r>
          <w:r>
            <w:instrText xml:space="preserve"> PAGEREF _Toc39152449 \h </w:instrText>
          </w:r>
          <w:r>
            <w:fldChar w:fldCharType="separate"/>
          </w:r>
          <w:r>
            <w:t>6</w:t>
          </w:r>
          <w:r>
            <w:fldChar w:fldCharType="end"/>
          </w:r>
          <w:r>
            <w:fldChar w:fldCharType="end"/>
          </w:r>
        </w:p>
        <w:p>
          <w:pPr>
            <w:pStyle w:val="6"/>
            <w:tabs>
              <w:tab w:val="right" w:leader="dot" w:pos="8296"/>
            </w:tabs>
            <w:spacing w:line="240" w:lineRule="auto"/>
            <w:ind w:left="960"/>
          </w:pPr>
          <w:r>
            <w:fldChar w:fldCharType="begin"/>
          </w:r>
          <w:r>
            <w:instrText xml:space="preserve"> HYPERLINK \l "_Toc39152450" </w:instrText>
          </w:r>
          <w:r>
            <w:fldChar w:fldCharType="separate"/>
          </w:r>
          <w:r>
            <w:rPr>
              <w:rStyle w:val="17"/>
              <w:rFonts w:cs="Times New Roman"/>
            </w:rPr>
            <w:t>3.1.2 Implication of Porter’s Five Forces Analysis of Sainsbury’s</w:t>
          </w:r>
          <w:r>
            <w:tab/>
          </w:r>
          <w:r>
            <w:fldChar w:fldCharType="begin"/>
          </w:r>
          <w:r>
            <w:instrText xml:space="preserve"> PAGEREF _Toc39152450 \h </w:instrText>
          </w:r>
          <w:r>
            <w:fldChar w:fldCharType="separate"/>
          </w:r>
          <w:r>
            <w:t>7</w:t>
          </w:r>
          <w:r>
            <w:fldChar w:fldCharType="end"/>
          </w:r>
          <w:r>
            <w:fldChar w:fldCharType="end"/>
          </w:r>
        </w:p>
        <w:p>
          <w:pPr>
            <w:pStyle w:val="6"/>
            <w:tabs>
              <w:tab w:val="right" w:leader="dot" w:pos="8296"/>
            </w:tabs>
            <w:spacing w:line="240" w:lineRule="auto"/>
            <w:ind w:left="960"/>
          </w:pPr>
          <w:r>
            <w:fldChar w:fldCharType="begin"/>
          </w:r>
          <w:r>
            <w:instrText xml:space="preserve"> HYPERLINK \l "_Toc39152451" </w:instrText>
          </w:r>
          <w:r>
            <w:fldChar w:fldCharType="separate"/>
          </w:r>
          <w:r>
            <w:rPr>
              <w:rStyle w:val="17"/>
              <w:rFonts w:cs="Times New Roman"/>
            </w:rPr>
            <w:t>3.1.3 Implication of SWOT Analysis of Sainsbury’s</w:t>
          </w:r>
          <w:r>
            <w:tab/>
          </w:r>
          <w:r>
            <w:fldChar w:fldCharType="begin"/>
          </w:r>
          <w:r>
            <w:instrText xml:space="preserve"> PAGEREF _Toc39152451 \h </w:instrText>
          </w:r>
          <w:r>
            <w:fldChar w:fldCharType="separate"/>
          </w:r>
          <w:r>
            <w:t>7</w:t>
          </w:r>
          <w:r>
            <w:fldChar w:fldCharType="end"/>
          </w:r>
          <w:r>
            <w:fldChar w:fldCharType="end"/>
          </w:r>
        </w:p>
        <w:p>
          <w:pPr>
            <w:pStyle w:val="6"/>
            <w:tabs>
              <w:tab w:val="right" w:leader="dot" w:pos="8296"/>
            </w:tabs>
            <w:spacing w:line="240" w:lineRule="auto"/>
            <w:ind w:left="960"/>
          </w:pPr>
          <w:r>
            <w:fldChar w:fldCharType="begin"/>
          </w:r>
          <w:r>
            <w:instrText xml:space="preserve"> HYPERLINK \l "_Toc39152452" </w:instrText>
          </w:r>
          <w:r>
            <w:fldChar w:fldCharType="separate"/>
          </w:r>
          <w:r>
            <w:rPr>
              <w:rStyle w:val="17"/>
              <w:rFonts w:cs="Times New Roman"/>
            </w:rPr>
            <w:t>3.1.4 Summarization of Situational Analysis Results</w:t>
          </w:r>
          <w:r>
            <w:tab/>
          </w:r>
          <w:r>
            <w:fldChar w:fldCharType="begin"/>
          </w:r>
          <w:r>
            <w:instrText xml:space="preserve"> PAGEREF _Toc39152452 \h </w:instrText>
          </w:r>
          <w:r>
            <w:fldChar w:fldCharType="separate"/>
          </w:r>
          <w:r>
            <w:t>8</w:t>
          </w:r>
          <w:r>
            <w:fldChar w:fldCharType="end"/>
          </w:r>
          <w:r>
            <w:fldChar w:fldCharType="end"/>
          </w:r>
        </w:p>
        <w:p>
          <w:pPr>
            <w:pStyle w:val="12"/>
            <w:tabs>
              <w:tab w:val="right" w:leader="dot" w:pos="8296"/>
            </w:tabs>
            <w:spacing w:line="240" w:lineRule="auto"/>
            <w:ind w:left="480"/>
          </w:pPr>
          <w:r>
            <w:fldChar w:fldCharType="begin"/>
          </w:r>
          <w:r>
            <w:instrText xml:space="preserve"> HYPERLINK \l "_Toc39152453" </w:instrText>
          </w:r>
          <w:r>
            <w:fldChar w:fldCharType="separate"/>
          </w:r>
          <w:r>
            <w:rPr>
              <w:rStyle w:val="17"/>
              <w:rFonts w:cs="Times New Roman"/>
            </w:rPr>
            <w:t>3.2 Customer Reviews</w:t>
          </w:r>
          <w:r>
            <w:tab/>
          </w:r>
          <w:r>
            <w:fldChar w:fldCharType="begin"/>
          </w:r>
          <w:r>
            <w:instrText xml:space="preserve"> PAGEREF _Toc39152453 \h </w:instrText>
          </w:r>
          <w:r>
            <w:fldChar w:fldCharType="separate"/>
          </w:r>
          <w:r>
            <w:t>9</w:t>
          </w:r>
          <w:r>
            <w:fldChar w:fldCharType="end"/>
          </w:r>
          <w:r>
            <w:fldChar w:fldCharType="end"/>
          </w:r>
        </w:p>
        <w:p>
          <w:pPr>
            <w:pStyle w:val="6"/>
            <w:tabs>
              <w:tab w:val="right" w:leader="dot" w:pos="8296"/>
            </w:tabs>
            <w:spacing w:line="240" w:lineRule="auto"/>
            <w:ind w:left="960"/>
          </w:pPr>
          <w:r>
            <w:fldChar w:fldCharType="begin"/>
          </w:r>
          <w:r>
            <w:instrText xml:space="preserve"> HYPERLINK \l "_Toc39152454" </w:instrText>
          </w:r>
          <w:r>
            <w:fldChar w:fldCharType="separate"/>
          </w:r>
          <w:r>
            <w:rPr>
              <w:rStyle w:val="17"/>
              <w:rFonts w:cs="Times New Roman"/>
            </w:rPr>
            <w:t>3.2.1 Overall Customer Rating of Sainsbury’s</w:t>
          </w:r>
          <w:r>
            <w:tab/>
          </w:r>
          <w:r>
            <w:fldChar w:fldCharType="begin"/>
          </w:r>
          <w:r>
            <w:instrText xml:space="preserve"> PAGEREF _Toc39152454 \h </w:instrText>
          </w:r>
          <w:r>
            <w:fldChar w:fldCharType="separate"/>
          </w:r>
          <w:r>
            <w:t>9</w:t>
          </w:r>
          <w:r>
            <w:fldChar w:fldCharType="end"/>
          </w:r>
          <w:r>
            <w:fldChar w:fldCharType="end"/>
          </w:r>
        </w:p>
        <w:p>
          <w:pPr>
            <w:pStyle w:val="6"/>
            <w:tabs>
              <w:tab w:val="right" w:leader="dot" w:pos="8296"/>
            </w:tabs>
            <w:spacing w:line="240" w:lineRule="auto"/>
            <w:ind w:left="960"/>
          </w:pPr>
          <w:r>
            <w:fldChar w:fldCharType="begin"/>
          </w:r>
          <w:r>
            <w:instrText xml:space="preserve"> HYPERLINK \l "_Toc39152455" </w:instrText>
          </w:r>
          <w:r>
            <w:fldChar w:fldCharType="separate"/>
          </w:r>
          <w:r>
            <w:rPr>
              <w:rStyle w:val="17"/>
              <w:rFonts w:cs="Times New Roman"/>
            </w:rPr>
            <w:t>3.2.2 Poor Service</w:t>
          </w:r>
          <w:r>
            <w:tab/>
          </w:r>
          <w:r>
            <w:fldChar w:fldCharType="begin"/>
          </w:r>
          <w:r>
            <w:instrText xml:space="preserve"> PAGEREF _Toc39152455 \h </w:instrText>
          </w:r>
          <w:r>
            <w:fldChar w:fldCharType="separate"/>
          </w:r>
          <w:r>
            <w:t>10</w:t>
          </w:r>
          <w:r>
            <w:fldChar w:fldCharType="end"/>
          </w:r>
          <w:r>
            <w:fldChar w:fldCharType="end"/>
          </w:r>
        </w:p>
        <w:p>
          <w:pPr>
            <w:pStyle w:val="6"/>
            <w:tabs>
              <w:tab w:val="right" w:leader="dot" w:pos="8296"/>
            </w:tabs>
            <w:spacing w:line="240" w:lineRule="auto"/>
            <w:ind w:left="960"/>
          </w:pPr>
          <w:r>
            <w:fldChar w:fldCharType="begin"/>
          </w:r>
          <w:r>
            <w:instrText xml:space="preserve"> HYPERLINK \l "_Toc39152456" </w:instrText>
          </w:r>
          <w:r>
            <w:fldChar w:fldCharType="separate"/>
          </w:r>
          <w:r>
            <w:rPr>
              <w:rStyle w:val="17"/>
              <w:rFonts w:cs="Times New Roman"/>
            </w:rPr>
            <w:t>3.2.3 Loosing of Loyal Customer Base</w:t>
          </w:r>
          <w:r>
            <w:tab/>
          </w:r>
          <w:r>
            <w:fldChar w:fldCharType="begin"/>
          </w:r>
          <w:r>
            <w:instrText xml:space="preserve"> PAGEREF _Toc39152456 \h </w:instrText>
          </w:r>
          <w:r>
            <w:fldChar w:fldCharType="separate"/>
          </w:r>
          <w:r>
            <w:t>12</w:t>
          </w:r>
          <w:r>
            <w:fldChar w:fldCharType="end"/>
          </w:r>
          <w:r>
            <w:fldChar w:fldCharType="end"/>
          </w:r>
        </w:p>
        <w:p>
          <w:pPr>
            <w:pStyle w:val="6"/>
            <w:tabs>
              <w:tab w:val="right" w:leader="dot" w:pos="8296"/>
            </w:tabs>
            <w:spacing w:line="240" w:lineRule="auto"/>
            <w:ind w:left="960"/>
          </w:pPr>
          <w:r>
            <w:fldChar w:fldCharType="begin"/>
          </w:r>
          <w:r>
            <w:instrText xml:space="preserve"> HYPERLINK \l "_Toc39152457" </w:instrText>
          </w:r>
          <w:r>
            <w:fldChar w:fldCharType="separate"/>
          </w:r>
          <w:r>
            <w:rPr>
              <w:rStyle w:val="17"/>
              <w:rFonts w:cs="Times New Roman"/>
            </w:rPr>
            <w:t>3.2.4 Brand Trust</w:t>
          </w:r>
          <w:r>
            <w:tab/>
          </w:r>
          <w:r>
            <w:fldChar w:fldCharType="begin"/>
          </w:r>
          <w:r>
            <w:instrText xml:space="preserve"> PAGEREF _Toc39152457 \h </w:instrText>
          </w:r>
          <w:r>
            <w:fldChar w:fldCharType="separate"/>
          </w:r>
          <w:r>
            <w:t>13</w:t>
          </w:r>
          <w:r>
            <w:fldChar w:fldCharType="end"/>
          </w:r>
          <w:r>
            <w:fldChar w:fldCharType="end"/>
          </w:r>
        </w:p>
        <w:p>
          <w:pPr>
            <w:pStyle w:val="6"/>
            <w:tabs>
              <w:tab w:val="right" w:leader="dot" w:pos="8296"/>
            </w:tabs>
            <w:spacing w:line="240" w:lineRule="auto"/>
            <w:ind w:left="960"/>
          </w:pPr>
          <w:r>
            <w:fldChar w:fldCharType="begin"/>
          </w:r>
          <w:r>
            <w:instrText xml:space="preserve"> HYPERLINK \l "_Toc39152458" </w:instrText>
          </w:r>
          <w:r>
            <w:fldChar w:fldCharType="separate"/>
          </w:r>
          <w:r>
            <w:rPr>
              <w:rStyle w:val="17"/>
              <w:rFonts w:cs="Times New Roman"/>
            </w:rPr>
            <w:t>3.2.5 Summarization of Qualitative Analysis of Customer Review</w:t>
          </w:r>
          <w:r>
            <w:tab/>
          </w:r>
          <w:r>
            <w:fldChar w:fldCharType="begin"/>
          </w:r>
          <w:r>
            <w:instrText xml:space="preserve"> PAGEREF _Toc39152458 \h </w:instrText>
          </w:r>
          <w:r>
            <w:fldChar w:fldCharType="separate"/>
          </w:r>
          <w:r>
            <w:t>13</w:t>
          </w:r>
          <w:r>
            <w:fldChar w:fldCharType="end"/>
          </w:r>
          <w:r>
            <w:fldChar w:fldCharType="end"/>
          </w:r>
        </w:p>
        <w:p>
          <w:pPr>
            <w:pStyle w:val="11"/>
            <w:tabs>
              <w:tab w:val="right" w:leader="dot" w:pos="8296"/>
            </w:tabs>
            <w:spacing w:line="240" w:lineRule="auto"/>
          </w:pPr>
          <w:r>
            <w:fldChar w:fldCharType="begin"/>
          </w:r>
          <w:r>
            <w:instrText xml:space="preserve"> HYPERLINK \l "_Toc39152459" </w:instrText>
          </w:r>
          <w:r>
            <w:fldChar w:fldCharType="separate"/>
          </w:r>
          <w:r>
            <w:rPr>
              <w:rStyle w:val="17"/>
              <w:rFonts w:cs="Times New Roman"/>
            </w:rPr>
            <w:t>4.0 Strategic Recommendations</w:t>
          </w:r>
          <w:r>
            <w:tab/>
          </w:r>
          <w:r>
            <w:fldChar w:fldCharType="begin"/>
          </w:r>
          <w:r>
            <w:instrText xml:space="preserve"> PAGEREF _Toc39152459 \h </w:instrText>
          </w:r>
          <w:r>
            <w:fldChar w:fldCharType="separate"/>
          </w:r>
          <w:r>
            <w:t>14</w:t>
          </w:r>
          <w:r>
            <w:fldChar w:fldCharType="end"/>
          </w:r>
          <w:r>
            <w:fldChar w:fldCharType="end"/>
          </w:r>
        </w:p>
        <w:p>
          <w:pPr>
            <w:pStyle w:val="11"/>
            <w:tabs>
              <w:tab w:val="right" w:leader="dot" w:pos="8296"/>
            </w:tabs>
            <w:spacing w:line="240" w:lineRule="auto"/>
          </w:pPr>
          <w:r>
            <w:fldChar w:fldCharType="begin"/>
          </w:r>
          <w:r>
            <w:instrText xml:space="preserve"> HYPERLINK \l "_Toc39152460" </w:instrText>
          </w:r>
          <w:r>
            <w:fldChar w:fldCharType="separate"/>
          </w:r>
          <w:r>
            <w:rPr>
              <w:rStyle w:val="17"/>
              <w:rFonts w:cs="Times New Roman"/>
            </w:rPr>
            <w:t>5.0 Conclusion</w:t>
          </w:r>
          <w:r>
            <w:tab/>
          </w:r>
          <w:r>
            <w:fldChar w:fldCharType="begin"/>
          </w:r>
          <w:r>
            <w:instrText xml:space="preserve"> PAGEREF _Toc39152460 \h </w:instrText>
          </w:r>
          <w:r>
            <w:fldChar w:fldCharType="separate"/>
          </w:r>
          <w:r>
            <w:t>16</w:t>
          </w:r>
          <w:r>
            <w:fldChar w:fldCharType="end"/>
          </w:r>
          <w:r>
            <w:fldChar w:fldCharType="end"/>
          </w:r>
        </w:p>
        <w:p>
          <w:pPr>
            <w:pStyle w:val="11"/>
            <w:tabs>
              <w:tab w:val="right" w:leader="dot" w:pos="8296"/>
            </w:tabs>
            <w:spacing w:line="240" w:lineRule="auto"/>
          </w:pPr>
          <w:r>
            <w:fldChar w:fldCharType="begin"/>
          </w:r>
          <w:r>
            <w:instrText xml:space="preserve"> HYPERLINK \l "_Toc39152461" </w:instrText>
          </w:r>
          <w:r>
            <w:fldChar w:fldCharType="separate"/>
          </w:r>
          <w:r>
            <w:rPr>
              <w:rStyle w:val="17"/>
              <w:rFonts w:cs="Times New Roman"/>
            </w:rPr>
            <w:t>Reference</w:t>
          </w:r>
          <w:r>
            <w:tab/>
          </w:r>
          <w:r>
            <w:fldChar w:fldCharType="begin"/>
          </w:r>
          <w:r>
            <w:instrText xml:space="preserve"> PAGEREF _Toc39152461 \h </w:instrText>
          </w:r>
          <w:r>
            <w:fldChar w:fldCharType="separate"/>
          </w:r>
          <w:r>
            <w:t>17</w:t>
          </w:r>
          <w:r>
            <w:fldChar w:fldCharType="end"/>
          </w:r>
          <w:r>
            <w:fldChar w:fldCharType="end"/>
          </w:r>
        </w:p>
        <w:p>
          <w:pPr>
            <w:pStyle w:val="11"/>
            <w:tabs>
              <w:tab w:val="right" w:leader="dot" w:pos="8296"/>
            </w:tabs>
            <w:spacing w:line="240" w:lineRule="auto"/>
          </w:pPr>
          <w:r>
            <w:fldChar w:fldCharType="begin"/>
          </w:r>
          <w:r>
            <w:instrText xml:space="preserve"> HYPERLINK \l "_Toc39152462" </w:instrText>
          </w:r>
          <w:r>
            <w:fldChar w:fldCharType="separate"/>
          </w:r>
          <w:r>
            <w:rPr>
              <w:rStyle w:val="17"/>
              <w:rFonts w:cs="Times New Roman"/>
            </w:rPr>
            <w:t>Appendix 1</w:t>
          </w:r>
          <w:r>
            <w:tab/>
          </w:r>
          <w:r>
            <w:fldChar w:fldCharType="begin"/>
          </w:r>
          <w:r>
            <w:instrText xml:space="preserve"> PAGEREF _Toc39152462 \h </w:instrText>
          </w:r>
          <w:r>
            <w:fldChar w:fldCharType="separate"/>
          </w:r>
          <w:r>
            <w:t>19</w:t>
          </w:r>
          <w:r>
            <w:fldChar w:fldCharType="end"/>
          </w:r>
          <w:r>
            <w:fldChar w:fldCharType="end"/>
          </w:r>
        </w:p>
        <w:p>
          <w:pPr>
            <w:pStyle w:val="11"/>
            <w:tabs>
              <w:tab w:val="right" w:leader="dot" w:pos="8296"/>
            </w:tabs>
            <w:spacing w:line="240" w:lineRule="auto"/>
          </w:pPr>
          <w:r>
            <w:fldChar w:fldCharType="begin"/>
          </w:r>
          <w:r>
            <w:instrText xml:space="preserve"> HYPERLINK \l "_Toc39152463" </w:instrText>
          </w:r>
          <w:r>
            <w:fldChar w:fldCharType="separate"/>
          </w:r>
          <w:r>
            <w:rPr>
              <w:rStyle w:val="17"/>
              <w:rFonts w:cs="Times New Roman"/>
            </w:rPr>
            <w:t>Appendix 2</w:t>
          </w:r>
          <w:r>
            <w:tab/>
          </w:r>
          <w:r>
            <w:fldChar w:fldCharType="begin"/>
          </w:r>
          <w:r>
            <w:instrText xml:space="preserve"> PAGEREF _Toc39152463 \h </w:instrText>
          </w:r>
          <w:r>
            <w:fldChar w:fldCharType="separate"/>
          </w:r>
          <w:r>
            <w:t>21</w:t>
          </w:r>
          <w:r>
            <w:fldChar w:fldCharType="end"/>
          </w:r>
          <w:r>
            <w:fldChar w:fldCharType="end"/>
          </w:r>
        </w:p>
        <w:p>
          <w:pPr>
            <w:pStyle w:val="11"/>
            <w:tabs>
              <w:tab w:val="right" w:leader="dot" w:pos="8296"/>
            </w:tabs>
            <w:spacing w:line="240" w:lineRule="auto"/>
          </w:pPr>
          <w:r>
            <w:fldChar w:fldCharType="begin"/>
          </w:r>
          <w:r>
            <w:instrText xml:space="preserve"> HYPERLINK \l "_Toc39152464" </w:instrText>
          </w:r>
          <w:r>
            <w:fldChar w:fldCharType="separate"/>
          </w:r>
          <w:r>
            <w:rPr>
              <w:rStyle w:val="17"/>
              <w:rFonts w:cs="Times New Roman"/>
            </w:rPr>
            <w:t>Appendix 3</w:t>
          </w:r>
          <w:r>
            <w:tab/>
          </w:r>
          <w:r>
            <w:fldChar w:fldCharType="begin"/>
          </w:r>
          <w:r>
            <w:instrText xml:space="preserve"> PAGEREF _Toc39152464 \h </w:instrText>
          </w:r>
          <w:r>
            <w:fldChar w:fldCharType="separate"/>
          </w:r>
          <w:r>
            <w:t>22</w:t>
          </w:r>
          <w:r>
            <w:fldChar w:fldCharType="end"/>
          </w:r>
          <w:r>
            <w:fldChar w:fldCharType="end"/>
          </w:r>
        </w:p>
        <w:p>
          <w:pPr>
            <w:spacing w:line="240" w:lineRule="auto"/>
          </w:pPr>
          <w:r>
            <w:rPr>
              <w:b/>
              <w:bCs/>
              <w:lang w:val="zh-CN"/>
            </w:rPr>
            <w:fldChar w:fldCharType="end"/>
          </w:r>
        </w:p>
      </w:sdtContent>
    </w:sdt>
    <w:p>
      <w:bookmarkStart w:id="0" w:name="_Toc39152442"/>
    </w:p>
    <w:p/>
    <w:p/>
    <w:p/>
    <w:p/>
    <w:p/>
    <w:p/>
    <w:p/>
    <w:p/>
    <w:p/>
    <w:p>
      <w:pPr>
        <w:rPr>
          <w:rFonts w:hint="eastAsia"/>
        </w:rPr>
      </w:pPr>
    </w:p>
    <w:p>
      <w:pPr>
        <w:pStyle w:val="2"/>
        <w:spacing w:before="0" w:after="0"/>
        <w:rPr>
          <w:rFonts w:cs="Times New Roman"/>
          <w:sz w:val="24"/>
          <w:szCs w:val="24"/>
        </w:rPr>
      </w:pPr>
      <w:r>
        <w:rPr>
          <w:rFonts w:cs="Times New Roman"/>
          <w:sz w:val="24"/>
          <w:szCs w:val="24"/>
        </w:rPr>
        <w:t>1.0 Introduction</w:t>
      </w:r>
      <w:bookmarkEnd w:id="0"/>
    </w:p>
    <w:p>
      <w:pPr>
        <w:rPr>
          <w:rFonts w:cs="Times New Roman"/>
          <w:szCs w:val="24"/>
        </w:rPr>
      </w:pPr>
      <w:r>
        <w:rPr>
          <w:rFonts w:cs="Times New Roman"/>
          <w:szCs w:val="24"/>
        </w:rPr>
        <w:t xml:space="preserve">Sainsbury’s is one of four largest chain supermarkets in the United Kingdom. While it dominated the supermarket sector in 1970s and 1980s, it began to decline after its leadership being taken over by Tesco in 1995 (Marketing Weeks, 1995). Market research is important when there is sign of market decline. This consultancy project aims to examine the causes for Sainsbury’s continuously declining market share market research, including examination of the market environment, industry environment, and customer opinions. This report will first introduce the research methodology of this report. Next it will present the results and discussion of organizational environment analysis, followed by results and discussions of customer reviews analysis. Strategic recommendations will then be given on the basis of the findings. The final conclusion part of the paper will summarize the findings of the report. </w:t>
      </w:r>
    </w:p>
    <w:p>
      <w:pPr>
        <w:pStyle w:val="2"/>
        <w:spacing w:before="0" w:after="0"/>
        <w:rPr>
          <w:rFonts w:cs="Times New Roman"/>
          <w:sz w:val="24"/>
          <w:szCs w:val="24"/>
        </w:rPr>
      </w:pPr>
      <w:bookmarkStart w:id="1" w:name="_Toc39152443"/>
      <w:r>
        <w:rPr>
          <w:rFonts w:cs="Times New Roman"/>
          <w:sz w:val="24"/>
          <w:szCs w:val="24"/>
        </w:rPr>
        <w:t>2.0 Research Methodology</w:t>
      </w:r>
      <w:bookmarkEnd w:id="1"/>
      <w:r>
        <w:rPr>
          <w:rFonts w:cs="Times New Roman"/>
          <w:sz w:val="24"/>
          <w:szCs w:val="24"/>
        </w:rPr>
        <w:t xml:space="preserve"> </w:t>
      </w:r>
    </w:p>
    <w:p>
      <w:pPr>
        <w:pStyle w:val="3"/>
        <w:spacing w:before="0" w:after="0"/>
        <w:rPr>
          <w:rFonts w:ascii="Times New Roman" w:hAnsi="Times New Roman" w:cs="Times New Roman"/>
          <w:bCs w:val="0"/>
          <w:sz w:val="24"/>
          <w:szCs w:val="24"/>
        </w:rPr>
      </w:pPr>
      <w:bookmarkStart w:id="2" w:name="_Toc39152444"/>
      <w:r>
        <w:rPr>
          <w:rFonts w:ascii="Times New Roman" w:hAnsi="Times New Roman" w:cs="Times New Roman"/>
          <w:bCs w:val="0"/>
          <w:sz w:val="24"/>
          <w:szCs w:val="24"/>
        </w:rPr>
        <w:t>2.1 Secondary Research</w:t>
      </w:r>
      <w:bookmarkEnd w:id="2"/>
    </w:p>
    <w:p>
      <w:pPr>
        <w:rPr>
          <w:rFonts w:cs="Times New Roman"/>
          <w:szCs w:val="24"/>
        </w:rPr>
      </w:pPr>
      <w:r>
        <w:rPr>
          <w:rFonts w:cs="Times New Roman"/>
          <w:szCs w:val="24"/>
        </w:rPr>
        <w:t xml:space="preserve">Basing the sources of the data, researches can be divided into primary and secondary researches (Walliam, 2011). Secondary research involves the usage of existing data that have been collected in other researches and for other purposes. Secondary data can increase the overall effectiveness of the research, requiring less resources such as time, money and personnel. Secondary research is suitable when accuracy and intensity of a primary study is not required (Walliam, 2011). It is especially useful for exploratory market research. This report aims to provide a preliminary view of the market to the management at Sainsbury’s, and thus secondary research is suitable. </w:t>
      </w:r>
    </w:p>
    <w:p>
      <w:pPr>
        <w:pStyle w:val="3"/>
        <w:spacing w:before="0" w:after="0"/>
        <w:rPr>
          <w:rFonts w:ascii="Times New Roman" w:hAnsi="Times New Roman" w:cs="Times New Roman"/>
          <w:bCs w:val="0"/>
          <w:sz w:val="24"/>
          <w:szCs w:val="24"/>
        </w:rPr>
      </w:pPr>
      <w:bookmarkStart w:id="3" w:name="_Toc39152445"/>
      <w:r>
        <w:rPr>
          <w:rFonts w:ascii="Times New Roman" w:hAnsi="Times New Roman" w:cs="Times New Roman"/>
          <w:bCs w:val="0"/>
          <w:sz w:val="24"/>
          <w:szCs w:val="24"/>
        </w:rPr>
        <w:t>2.2 Data Collection</w:t>
      </w:r>
      <w:bookmarkEnd w:id="3"/>
    </w:p>
    <w:p>
      <w:pPr>
        <w:rPr>
          <w:rFonts w:cs="Times New Roman"/>
          <w:szCs w:val="24"/>
        </w:rPr>
      </w:pPr>
      <w:r>
        <w:rPr>
          <w:rFonts w:cs="Times New Roman"/>
          <w:szCs w:val="24"/>
        </w:rPr>
        <w:t>Data collection of this consultancy projects is divided into two parts. The first part is situational analysis, and the second part is analysis of customer reviews. For situational analysis, the author entered the terms ‘</w:t>
      </w:r>
      <w:r>
        <w:rPr>
          <w:rFonts w:cs="Times New Roman"/>
          <w:i/>
          <w:szCs w:val="24"/>
        </w:rPr>
        <w:t>Supermarket Trends UK</w:t>
      </w:r>
      <w:r>
        <w:rPr>
          <w:rFonts w:cs="Times New Roman"/>
          <w:szCs w:val="24"/>
        </w:rPr>
        <w:t>’, ‘</w:t>
      </w:r>
      <w:r>
        <w:rPr>
          <w:rFonts w:cs="Times New Roman"/>
          <w:i/>
          <w:szCs w:val="24"/>
        </w:rPr>
        <w:t>Grocery Shopping Trends UK</w:t>
      </w:r>
      <w:r>
        <w:rPr>
          <w:rFonts w:cs="Times New Roman"/>
          <w:szCs w:val="24"/>
        </w:rPr>
        <w:t>’ , ‘</w:t>
      </w:r>
      <w:r>
        <w:rPr>
          <w:rFonts w:cs="Times New Roman"/>
          <w:i/>
          <w:szCs w:val="24"/>
        </w:rPr>
        <w:t>Supermarket UK outlook</w:t>
      </w:r>
      <w:r>
        <w:rPr>
          <w:rFonts w:cs="Times New Roman"/>
          <w:szCs w:val="24"/>
        </w:rPr>
        <w:t xml:space="preserve">’ in the search engine of Google to gain understanding of the macro-economic environment and the industry environment of Sainsbury’s. In order to understand the internal competences of Sainsbury’s, the author searched Sainsbury’s official website, annual reports, and other reports from reliable sources. A relatively large number of results turned out for the search. The author then screened the results basing on the timeliness, relevancy and reliability of the sources. In order to gain customer insights, the author collected customer reviews on Trustpilot. Trustpilot is one of the most well-known company that focuses on customer reviews (BBC, 2019). To ensure the timeliness of the data, only reviews from the month prior the data collection date was included in the study. A total 259 reviews were collected from the website which were published between March 21 to April 21. Two reviews were irrelevant in terms of content, and thus were discarded from the study. A remaining of 257 reviews were examined in this study. </w:t>
      </w:r>
    </w:p>
    <w:p>
      <w:pPr>
        <w:pStyle w:val="3"/>
        <w:spacing w:before="0" w:after="0"/>
        <w:rPr>
          <w:rFonts w:ascii="Times New Roman" w:hAnsi="Times New Roman" w:cs="Times New Roman"/>
          <w:bCs w:val="0"/>
          <w:sz w:val="24"/>
          <w:szCs w:val="24"/>
        </w:rPr>
      </w:pPr>
      <w:bookmarkStart w:id="4" w:name="_Toc39152446"/>
      <w:r>
        <w:rPr>
          <w:rFonts w:ascii="Times New Roman" w:hAnsi="Times New Roman" w:cs="Times New Roman"/>
          <w:bCs w:val="0"/>
          <w:sz w:val="24"/>
          <w:szCs w:val="24"/>
        </w:rPr>
        <w:t>2.3 Data Analysis</w:t>
      </w:r>
      <w:bookmarkEnd w:id="4"/>
    </w:p>
    <w:p>
      <w:pPr>
        <w:rPr>
          <w:rFonts w:cs="Times New Roman"/>
          <w:szCs w:val="24"/>
        </w:rPr>
      </w:pPr>
      <w:r>
        <w:rPr>
          <w:rFonts w:cs="Times New Roman"/>
          <w:bCs/>
          <w:szCs w:val="24"/>
        </w:rPr>
        <w:t xml:space="preserve">Thematic analysis approach was used in this research for analyzing the data. Thematic analysis is a widely applied approach in analyzing qualitative data </w:t>
      </w:r>
      <w:bookmarkStart w:id="5" w:name="_Hlk39133509"/>
      <w:r>
        <w:rPr>
          <w:rFonts w:cs="Times New Roman"/>
          <w:bCs/>
          <w:szCs w:val="24"/>
        </w:rPr>
        <w:t>(</w:t>
      </w:r>
      <w:r>
        <w:rPr>
          <w:rFonts w:cs="Times New Roman"/>
          <w:szCs w:val="24"/>
        </w:rPr>
        <w:t>Guest, MacQueen, and Namely, 2012).</w:t>
      </w:r>
      <w:bookmarkEnd w:id="5"/>
      <w:r>
        <w:rPr>
          <w:rFonts w:cs="Times New Roman"/>
          <w:szCs w:val="24"/>
        </w:rPr>
        <w:t xml:space="preserve"> Thematic analysis is suitable for finding out the views, opinions and experience of people (Walliam, 2011). This report aims to examine the causes of Sainsbury’s market decline, and customer opinion is critical to understanding the causes. Consequently, thematic analysis is suitable in this research. The first step in thematic analysis is familiarization with the data </w:t>
      </w:r>
      <w:r>
        <w:rPr>
          <w:rFonts w:cs="Times New Roman"/>
          <w:bCs/>
          <w:szCs w:val="24"/>
        </w:rPr>
        <w:t>(</w:t>
      </w:r>
      <w:r>
        <w:rPr>
          <w:rFonts w:cs="Times New Roman"/>
          <w:szCs w:val="24"/>
        </w:rPr>
        <w:t>Guest, MacQueen, and Namely, 2012). The author read and reread the data in order to get acquainted with the data. After the first step, the author then started the coding process by identifying the meaning units in the data. For instance, customers mentioned about ‘</w:t>
      </w:r>
      <w:r>
        <w:rPr>
          <w:rFonts w:cs="Times New Roman"/>
          <w:i/>
          <w:iCs/>
          <w:szCs w:val="24"/>
        </w:rPr>
        <w:t>rudeness of employees</w:t>
      </w:r>
      <w:r>
        <w:rPr>
          <w:rFonts w:cs="Times New Roman"/>
          <w:szCs w:val="24"/>
        </w:rPr>
        <w:t>’, ‘</w:t>
      </w:r>
      <w:r>
        <w:rPr>
          <w:rFonts w:cs="Times New Roman"/>
          <w:i/>
          <w:iCs/>
          <w:szCs w:val="24"/>
        </w:rPr>
        <w:t>unrespectful to the elderly</w:t>
      </w:r>
      <w:r>
        <w:rPr>
          <w:rFonts w:cs="Times New Roman"/>
          <w:szCs w:val="24"/>
        </w:rPr>
        <w:t>’ and ‘</w:t>
      </w:r>
      <w:r>
        <w:rPr>
          <w:rFonts w:cs="Times New Roman"/>
          <w:i/>
          <w:iCs/>
          <w:szCs w:val="24"/>
        </w:rPr>
        <w:t>unresponsive to customer needs</w:t>
      </w:r>
      <w:r>
        <w:rPr>
          <w:rFonts w:cs="Times New Roman"/>
          <w:szCs w:val="24"/>
        </w:rPr>
        <w:t xml:space="preserve">’ were all coded as bad employee attitudes. These meaning units then were divided into different categories according to the codes, and the author identified themes from the data, which then were linked with the research aim and objectives of this research. </w:t>
      </w:r>
    </w:p>
    <w:p>
      <w:pPr>
        <w:pStyle w:val="2"/>
        <w:spacing w:before="0" w:after="0"/>
        <w:rPr>
          <w:rFonts w:cs="Times New Roman"/>
          <w:sz w:val="24"/>
          <w:szCs w:val="24"/>
        </w:rPr>
      </w:pPr>
      <w:bookmarkStart w:id="6" w:name="_Toc39152447"/>
      <w:r>
        <w:rPr>
          <w:rFonts w:cs="Times New Roman"/>
          <w:sz w:val="24"/>
          <w:szCs w:val="24"/>
        </w:rPr>
        <w:t>3.0 Findings and Discussions</w:t>
      </w:r>
      <w:bookmarkEnd w:id="6"/>
    </w:p>
    <w:p>
      <w:pPr>
        <w:pStyle w:val="3"/>
        <w:spacing w:before="0" w:after="0"/>
        <w:rPr>
          <w:rFonts w:ascii="Times New Roman" w:hAnsi="Times New Roman" w:cs="Times New Roman"/>
          <w:sz w:val="24"/>
          <w:szCs w:val="24"/>
        </w:rPr>
      </w:pPr>
      <w:bookmarkStart w:id="7" w:name="_Toc39152448"/>
      <w:r>
        <w:rPr>
          <w:rFonts w:ascii="Times New Roman" w:hAnsi="Times New Roman" w:cs="Times New Roman"/>
          <w:sz w:val="24"/>
          <w:szCs w:val="24"/>
        </w:rPr>
        <w:t>3.1 Situational Analysis</w:t>
      </w:r>
      <w:bookmarkEnd w:id="7"/>
    </w:p>
    <w:p>
      <w:pPr>
        <w:pStyle w:val="4"/>
        <w:spacing w:before="0" w:after="0"/>
        <w:rPr>
          <w:rFonts w:cs="Times New Roman"/>
          <w:b w:val="0"/>
          <w:bCs w:val="0"/>
          <w:sz w:val="24"/>
          <w:szCs w:val="24"/>
        </w:rPr>
      </w:pPr>
      <w:bookmarkStart w:id="8" w:name="_Toc39152449"/>
      <w:r>
        <w:rPr>
          <w:rFonts w:cs="Times New Roman"/>
          <w:sz w:val="24"/>
          <w:szCs w:val="24"/>
        </w:rPr>
        <w:t>3.1.1 Implication of PESTEL Analysis of Sainsbury’</w:t>
      </w:r>
      <w:r>
        <w:rPr>
          <w:rFonts w:cs="Times New Roman"/>
          <w:b w:val="0"/>
          <w:bCs w:val="0"/>
          <w:sz w:val="24"/>
          <w:szCs w:val="24"/>
        </w:rPr>
        <w:t>s</w:t>
      </w:r>
      <w:bookmarkEnd w:id="8"/>
      <w:r>
        <w:rPr>
          <w:rFonts w:cs="Times New Roman"/>
          <w:b w:val="0"/>
          <w:bCs w:val="0"/>
          <w:sz w:val="24"/>
          <w:szCs w:val="24"/>
        </w:rPr>
        <w:t xml:space="preserve"> </w:t>
      </w:r>
    </w:p>
    <w:p>
      <w:pPr>
        <w:rPr>
          <w:rFonts w:cs="Times New Roman"/>
          <w:bCs/>
          <w:szCs w:val="24"/>
        </w:rPr>
      </w:pPr>
      <w:r>
        <w:rPr>
          <w:rFonts w:cs="Times New Roman"/>
          <w:bCs/>
          <w:szCs w:val="24"/>
        </w:rPr>
        <w:t xml:space="preserve">To determine the external environment of Sainsbury’s, a PESTEL Analysis was conducted (See Appendix 1). Moreover, the Pandemic is destructing global economy. According to BBC news (2020), the COVID-19 pandemic is sending the world into the worst economic recession since the Great Depression. IMF predicts that the UK economy will grow at a negative 6.5% in 2020, compared with an earlier forecast of 1.4% of positive GDP growth (BBC News, 2020). Supermarkets and grocery stores became the safe havens during the on-going COVID-19 pandemic, as customers stockpiling food and supplies during the national lock-down of UK that started from March 23 (Rasmi, 2020). Nonetheless, the Pandemic also caused huge pressure to supermarkets on human resources, as more workers needed to be employed to handle the unusual spike of sales (Rasmi, 2020). The pandemic also increased demand for digital capabilities, as people who are in self-isolation at homes required ordering their grocery online and having them delivered to their doorsteps (William,  2020). However, with limited online capabilities, Sainsbury’s had to pause new registrations for delivery and click-and-collect services for customers (Griswold, 2020), which can cause further decrease of brand trust and customer satisfaction among the customers. Meanwhile, from a social-cultural perspective, the shopping habits of consumers are also quickly changing. Especially, a growing number of customers are shopping groceries and other supplies from online channels, which also poses demand for supermarkets to enhance their digital capabilities (PwC, 2019). In addition, consumers in the United Kingdom are becoming increasingly health conscious, and they are demanding healthy varieties (PwC, 2019). </w:t>
      </w:r>
    </w:p>
    <w:p>
      <w:pPr>
        <w:pStyle w:val="4"/>
        <w:spacing w:before="0" w:after="0"/>
        <w:rPr>
          <w:rFonts w:cs="Times New Roman"/>
          <w:sz w:val="24"/>
          <w:szCs w:val="24"/>
        </w:rPr>
      </w:pPr>
      <w:bookmarkStart w:id="9" w:name="_Toc39152450"/>
      <w:r>
        <w:rPr>
          <w:rFonts w:cs="Times New Roman"/>
          <w:sz w:val="24"/>
          <w:szCs w:val="24"/>
        </w:rPr>
        <w:t>3.1.2 Implication of Porter’s Five Forces Analysis of Sainsbury’s</w:t>
      </w:r>
      <w:bookmarkEnd w:id="9"/>
    </w:p>
    <w:p>
      <w:pPr>
        <w:rPr>
          <w:rFonts w:cs="Times New Roman"/>
          <w:color w:val="2D2D2D"/>
          <w:szCs w:val="24"/>
          <w:shd w:val="clear" w:color="auto" w:fill="FFFFFF"/>
        </w:rPr>
      </w:pPr>
      <w:r>
        <w:rPr>
          <w:rFonts w:cs="Times New Roman"/>
          <w:bCs/>
          <w:szCs w:val="24"/>
        </w:rPr>
        <w:t xml:space="preserve">To determine the industry competitiveness, Porter’s Five Forces analysis is used in this study (See Appendix 2). The results show that the competition in the chain supermarket sector is extremely high. The four largest chain supermarkets are competing with each other in terms of price, product range and service quality. While Sainsbury’s relied on cost leadership to compete in the market, this strategy is no longer viable as its competitors Asda, Morrison, and Tesco also excel at cost-control. Meanwhile, the rise of discounters is eroding the market share of all major supermarkets (PwC, 2019). Market share of Aldi and Lidl grew to 8.1% and 5.9% respectively, and Ocardo, an online only retailer also increased its market share to 1.4%, with an increase of 12% turnover in 2019 (Retail Detail, 2019). Consequently, supermarkets need to offer something that the discounter cannot offer, such as quality, variety, and to meet customer trends, such as healthy eating (PwC, 2019). Because of the availability of options in the market, the bargaining power of the buyers is also very high. Therefore, in the highly competitive supermarket sector of UK, Sainsbury’s must develop strategies that help it achieve differentiation. </w:t>
      </w:r>
    </w:p>
    <w:p>
      <w:pPr>
        <w:pStyle w:val="4"/>
        <w:spacing w:before="0" w:after="0"/>
        <w:rPr>
          <w:rFonts w:cs="Times New Roman"/>
          <w:sz w:val="24"/>
          <w:szCs w:val="24"/>
        </w:rPr>
      </w:pPr>
      <w:bookmarkStart w:id="10" w:name="_Toc39152451"/>
      <w:r>
        <w:rPr>
          <w:rFonts w:cs="Times New Roman"/>
          <w:sz w:val="24"/>
          <w:szCs w:val="24"/>
        </w:rPr>
        <w:t>3.1.3 Implication of SWOT Analysis of Sainsbury’s</w:t>
      </w:r>
      <w:bookmarkEnd w:id="10"/>
      <w:r>
        <w:rPr>
          <w:rFonts w:cs="Times New Roman"/>
          <w:sz w:val="24"/>
          <w:szCs w:val="24"/>
        </w:rPr>
        <w:t xml:space="preserve"> </w:t>
      </w:r>
    </w:p>
    <w:p>
      <w:pPr>
        <w:rPr>
          <w:rFonts w:cs="Times New Roman"/>
          <w:szCs w:val="24"/>
        </w:rPr>
      </w:pPr>
      <w:r>
        <w:rPr>
          <w:rFonts w:cs="Times New Roman"/>
          <w:szCs w:val="24"/>
        </w:rPr>
        <w:t xml:space="preserve">SWOT analysis is a widely applied tool for strategic analysis, allowing firms to identify opportunities and threats in the environment, and to leverage organizational strength to grasp opportunities and minimize threats. As shown in the SWOT analysis of Sainsbury’s (See Appendix 3), its strength is maintaining a competitive price of their products (Sainsbury’s, 2019). Nonetheless, Sainsbury’s is losing this advantage to discounters (BBC News, 2018). The slow economy in the globe and in UK (PwC, 2019) further exert pressure on Sainsbury’s cost control. Consequently, it can be argued that the cost advantage of Sainsbury’s can no long sustain its growth in UK market. Its distinctive product range can be leveraged as a competitive advantage that differentiate itself from its competitors. Meanwhile Sainsbury claimed a focus on providing convenience and boosting an integrated customer experience to customers (Sainsbury’s, 2019), which meet the customer demand for convenience and growing trend of online shopping (PwC, 2019). Nonetheless, its low customer satisfaction and inadequate online capabilities cannot support the achievement of these strategic priorities. The COVID-19 pandemic present excellent opportunity for Sainsbury’s to enhance its online capability. </w:t>
      </w:r>
    </w:p>
    <w:p>
      <w:pPr>
        <w:pStyle w:val="4"/>
        <w:spacing w:before="0" w:after="0"/>
        <w:rPr>
          <w:rFonts w:cs="Times New Roman"/>
          <w:sz w:val="24"/>
          <w:szCs w:val="24"/>
        </w:rPr>
      </w:pPr>
      <w:bookmarkStart w:id="11" w:name="_Toc39152452"/>
      <w:r>
        <w:rPr>
          <w:rFonts w:cs="Times New Roman"/>
          <w:sz w:val="24"/>
          <w:szCs w:val="24"/>
        </w:rPr>
        <w:t>3.1.4 Summarization of Situational Analysis Results</w:t>
      </w:r>
      <w:bookmarkEnd w:id="11"/>
    </w:p>
    <w:p>
      <w:pPr>
        <w:rPr>
          <w:rFonts w:cs="Times New Roman"/>
          <w:szCs w:val="24"/>
        </w:rPr>
      </w:pPr>
      <w:r>
        <w:rPr>
          <w:rFonts w:cs="Times New Roman"/>
          <w:szCs w:val="24"/>
        </w:rPr>
        <w:t xml:space="preserve">Table 1 at below summarizes the findings of situational analysis of Sainsbury’s. </w:t>
      </w:r>
    </w:p>
    <w:p>
      <w:pPr>
        <w:jc w:val="center"/>
        <w:rPr>
          <w:rFonts w:cs="Times New Roman"/>
          <w:szCs w:val="24"/>
        </w:rPr>
      </w:pPr>
      <w:r>
        <w:rPr>
          <w:rFonts w:cs="Times New Roman"/>
          <w:szCs w:val="24"/>
        </w:rPr>
        <w:t>Table 1 Situational Analysis Results of Sainsbury’s</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spacing w:line="240" w:lineRule="auto"/>
              <w:jc w:val="center"/>
              <w:rPr>
                <w:rFonts w:cs="Times New Roman"/>
                <w:szCs w:val="24"/>
              </w:rPr>
            </w:pPr>
            <w:bookmarkStart w:id="12" w:name="_Hlk39142540"/>
            <w:r>
              <w:rPr>
                <w:rFonts w:cs="Times New Roman"/>
                <w:szCs w:val="24"/>
              </w:rPr>
              <w:t>Analytic Tools</w:t>
            </w:r>
          </w:p>
        </w:tc>
        <w:tc>
          <w:tcPr>
            <w:tcW w:w="4261" w:type="dxa"/>
          </w:tcPr>
          <w:p>
            <w:pPr>
              <w:widowControl w:val="0"/>
              <w:spacing w:line="240" w:lineRule="auto"/>
              <w:jc w:val="center"/>
              <w:rPr>
                <w:rFonts w:cs="Times New Roman"/>
                <w:szCs w:val="24"/>
              </w:rPr>
            </w:pPr>
            <w:r>
              <w:rPr>
                <w:rFonts w:cs="Times New Roman"/>
                <w:szCs w:val="24"/>
              </w:rPr>
              <w:t>Findings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spacing w:line="240" w:lineRule="auto"/>
              <w:jc w:val="center"/>
              <w:rPr>
                <w:rFonts w:cs="Times New Roman"/>
                <w:szCs w:val="24"/>
              </w:rPr>
            </w:pPr>
            <w:r>
              <w:rPr>
                <w:rFonts w:cs="Times New Roman"/>
                <w:szCs w:val="24"/>
              </w:rPr>
              <w:t xml:space="preserve">PESTEL </w:t>
            </w:r>
          </w:p>
        </w:tc>
        <w:tc>
          <w:tcPr>
            <w:tcW w:w="4261" w:type="dxa"/>
          </w:tcPr>
          <w:p>
            <w:pPr>
              <w:widowControl w:val="0"/>
              <w:spacing w:line="240" w:lineRule="auto"/>
              <w:rPr>
                <w:rFonts w:cs="Times New Roman"/>
                <w:szCs w:val="24"/>
              </w:rPr>
            </w:pPr>
            <w:r>
              <w:rPr>
                <w:rFonts w:cs="Times New Roman"/>
                <w:szCs w:val="24"/>
              </w:rPr>
              <w:t>1) Slow global economy</w:t>
            </w:r>
          </w:p>
          <w:p>
            <w:pPr>
              <w:widowControl w:val="0"/>
              <w:spacing w:line="240" w:lineRule="auto"/>
              <w:jc w:val="center"/>
              <w:rPr>
                <w:rFonts w:cs="Times New Roman"/>
                <w:szCs w:val="24"/>
              </w:rPr>
            </w:pPr>
            <w:r>
              <w:rPr>
                <w:rFonts w:cs="Times New Roman"/>
                <w:szCs w:val="24"/>
              </w:rPr>
              <w:t>2) Highly competitive supermarket sector</w:t>
            </w:r>
          </w:p>
          <w:p>
            <w:pPr>
              <w:widowControl w:val="0"/>
              <w:spacing w:line="240" w:lineRule="auto"/>
              <w:rPr>
                <w:rFonts w:cs="Times New Roman"/>
                <w:szCs w:val="24"/>
              </w:rPr>
            </w:pPr>
            <w:r>
              <w:rPr>
                <w:rFonts w:cs="Times New Roman"/>
                <w:szCs w:val="24"/>
              </w:rPr>
              <w:t>3) COVID Pandemic creates pressure for human resource and online capabilities of supermarkets</w:t>
            </w:r>
          </w:p>
          <w:p>
            <w:pPr>
              <w:widowControl w:val="0"/>
              <w:spacing w:line="240" w:lineRule="auto"/>
              <w:rPr>
                <w:rFonts w:cs="Times New Roman"/>
                <w:szCs w:val="24"/>
              </w:rPr>
            </w:pPr>
            <w:r>
              <w:rPr>
                <w:rFonts w:cs="Times New Roman"/>
                <w:szCs w:val="24"/>
              </w:rPr>
              <w:t>4) Market demands for convenience, online shopping and healthy eating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spacing w:line="240" w:lineRule="auto"/>
              <w:jc w:val="center"/>
              <w:rPr>
                <w:rFonts w:cs="Times New Roman"/>
                <w:szCs w:val="24"/>
              </w:rPr>
            </w:pPr>
            <w:r>
              <w:rPr>
                <w:rFonts w:cs="Times New Roman"/>
                <w:szCs w:val="24"/>
              </w:rPr>
              <w:t xml:space="preserve">Porter’s Five Forces </w:t>
            </w:r>
          </w:p>
        </w:tc>
        <w:tc>
          <w:tcPr>
            <w:tcW w:w="4261" w:type="dxa"/>
          </w:tcPr>
          <w:p>
            <w:pPr>
              <w:widowControl w:val="0"/>
              <w:spacing w:line="240" w:lineRule="auto"/>
              <w:rPr>
                <w:rFonts w:cs="Times New Roman"/>
                <w:szCs w:val="24"/>
              </w:rPr>
            </w:pPr>
            <w:r>
              <w:rPr>
                <w:rFonts w:cs="Times New Roman"/>
                <w:szCs w:val="24"/>
              </w:rPr>
              <w:t>1) High threat of buyer’s bargaining power, due to low switching costs</w:t>
            </w:r>
          </w:p>
          <w:p>
            <w:pPr>
              <w:widowControl w:val="0"/>
              <w:spacing w:line="240" w:lineRule="auto"/>
              <w:rPr>
                <w:rFonts w:cs="Times New Roman"/>
                <w:szCs w:val="24"/>
              </w:rPr>
            </w:pPr>
            <w:r>
              <w:rPr>
                <w:rFonts w:cs="Times New Roman"/>
                <w:szCs w:val="24"/>
              </w:rPr>
              <w:t>2) High threat of competitive rivalry among existing competitors.</w:t>
            </w:r>
          </w:p>
          <w:p>
            <w:pPr>
              <w:widowControl w:val="0"/>
              <w:spacing w:line="240" w:lineRule="auto"/>
              <w:rPr>
                <w:rFonts w:cs="Times New Roman"/>
                <w:szCs w:val="24"/>
              </w:rPr>
            </w:pPr>
            <w:r>
              <w:rPr>
                <w:rFonts w:cs="Times New Roman"/>
                <w:szCs w:val="24"/>
              </w:rPr>
              <w:t xml:space="preserve">3) High threat of substitutes, due to the rise of discounters, online-retailers, and independent retailers.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8" w:hRule="atLeast"/>
        </w:trPr>
        <w:tc>
          <w:tcPr>
            <w:tcW w:w="4261" w:type="dxa"/>
          </w:tcPr>
          <w:p>
            <w:pPr>
              <w:widowControl w:val="0"/>
              <w:spacing w:line="240" w:lineRule="auto"/>
              <w:jc w:val="center"/>
              <w:rPr>
                <w:rFonts w:cs="Times New Roman"/>
                <w:szCs w:val="24"/>
              </w:rPr>
            </w:pPr>
            <w:r>
              <w:rPr>
                <w:rFonts w:cs="Times New Roman"/>
                <w:szCs w:val="24"/>
              </w:rPr>
              <w:t xml:space="preserve">SWOT </w:t>
            </w:r>
          </w:p>
        </w:tc>
        <w:tc>
          <w:tcPr>
            <w:tcW w:w="4261" w:type="dxa"/>
          </w:tcPr>
          <w:p>
            <w:pPr>
              <w:widowControl w:val="0"/>
              <w:spacing w:line="240" w:lineRule="auto"/>
              <w:rPr>
                <w:rFonts w:cs="Times New Roman"/>
                <w:szCs w:val="24"/>
              </w:rPr>
            </w:pPr>
            <w:r>
              <w:rPr>
                <w:rFonts w:cs="Times New Roman"/>
                <w:szCs w:val="24"/>
              </w:rPr>
              <w:t xml:space="preserve">1) Awareness of the importance of convenience </w:t>
            </w:r>
          </w:p>
          <w:p>
            <w:pPr>
              <w:widowControl w:val="0"/>
              <w:spacing w:line="240" w:lineRule="auto"/>
              <w:rPr>
                <w:rFonts w:cs="Times New Roman"/>
                <w:szCs w:val="24"/>
              </w:rPr>
            </w:pPr>
            <w:r>
              <w:rPr>
                <w:rFonts w:cs="Times New Roman"/>
                <w:szCs w:val="24"/>
              </w:rPr>
              <w:t>2) Awareness of the importance of seamless customer experience</w:t>
            </w:r>
          </w:p>
          <w:p>
            <w:pPr>
              <w:widowControl w:val="0"/>
              <w:spacing w:line="240" w:lineRule="auto"/>
              <w:rPr>
                <w:rFonts w:cs="Times New Roman"/>
                <w:szCs w:val="24"/>
              </w:rPr>
            </w:pPr>
            <w:r>
              <w:rPr>
                <w:rFonts w:cs="Times New Roman"/>
                <w:szCs w:val="24"/>
              </w:rPr>
              <w:t xml:space="preserve">4)  Distinctive product range </w:t>
            </w:r>
          </w:p>
          <w:p>
            <w:pPr>
              <w:widowControl w:val="0"/>
              <w:spacing w:line="240" w:lineRule="auto"/>
              <w:rPr>
                <w:rFonts w:cs="Times New Roman"/>
                <w:szCs w:val="24"/>
              </w:rPr>
            </w:pPr>
            <w:r>
              <w:rPr>
                <w:rFonts w:cs="Times New Roman"/>
                <w:szCs w:val="24"/>
              </w:rPr>
              <w:t xml:space="preserve">5) Opportunity of utilizing COVID-19 to expand its market share. </w:t>
            </w:r>
          </w:p>
          <w:p>
            <w:pPr>
              <w:widowControl w:val="0"/>
              <w:spacing w:line="240" w:lineRule="auto"/>
              <w:rPr>
                <w:rFonts w:cs="Times New Roman"/>
                <w:szCs w:val="24"/>
              </w:rPr>
            </w:pPr>
            <w:r>
              <w:rPr>
                <w:rFonts w:cs="Times New Roman"/>
                <w:szCs w:val="24"/>
              </w:rPr>
              <w:t>6) Poor customer relationship management skills</w:t>
            </w:r>
          </w:p>
          <w:p>
            <w:pPr>
              <w:widowControl w:val="0"/>
              <w:spacing w:line="240" w:lineRule="auto"/>
              <w:rPr>
                <w:rFonts w:cs="Times New Roman"/>
                <w:szCs w:val="24"/>
              </w:rPr>
            </w:pPr>
            <w:r>
              <w:rPr>
                <w:rFonts w:cs="Times New Roman"/>
                <w:szCs w:val="24"/>
              </w:rPr>
              <w:t>7) Slow response to market change</w:t>
            </w:r>
          </w:p>
          <w:p>
            <w:pPr>
              <w:widowControl w:val="0"/>
              <w:spacing w:line="240" w:lineRule="auto"/>
              <w:rPr>
                <w:rFonts w:cs="Times New Roman"/>
                <w:szCs w:val="24"/>
              </w:rPr>
            </w:pPr>
            <w:r>
              <w:rPr>
                <w:rFonts w:cs="Times New Roman"/>
                <w:szCs w:val="24"/>
              </w:rPr>
              <w:t>8) Limited online capabilities</w:t>
            </w:r>
          </w:p>
        </w:tc>
      </w:tr>
      <w:bookmarkEnd w:id="12"/>
    </w:tbl>
    <w:p>
      <w:pPr>
        <w:jc w:val="center"/>
        <w:rPr>
          <w:rFonts w:cs="Times New Roman"/>
          <w:szCs w:val="24"/>
        </w:rPr>
      </w:pPr>
    </w:p>
    <w:p>
      <w:pPr>
        <w:rPr>
          <w:rFonts w:cs="Times New Roman"/>
          <w:szCs w:val="24"/>
        </w:rPr>
      </w:pPr>
      <w:r>
        <w:rPr>
          <w:rFonts w:cs="Times New Roman"/>
          <w:szCs w:val="24"/>
        </w:rPr>
        <w:t xml:space="preserve">Situational analysis shows that there are several causes of Sanibury’s market decline, including the highly competitive supermarket sector in UK, the emergence of discounters, poor customer relationship management skills, and inability to adapt to new changes in the market. Meanwhile, situational analysis also implies that the importance of making a strategic focus from cost-leadership to differentiation, the importance of meeting changing customer demands, and the importance of building online capabilities. Meanwhile, the COVID-19 feeds the demand for grocery and supplies, and can be utilized as opportunity to expand customer base. However, Sainsbury’s needs to pay attention to preparing human resources for the spikes of sales. </w:t>
      </w:r>
    </w:p>
    <w:p>
      <w:pPr>
        <w:pStyle w:val="3"/>
        <w:spacing w:before="0" w:after="0"/>
        <w:rPr>
          <w:rFonts w:ascii="Times New Roman" w:hAnsi="Times New Roman" w:cs="Times New Roman"/>
          <w:sz w:val="24"/>
          <w:szCs w:val="24"/>
        </w:rPr>
      </w:pPr>
      <w:bookmarkStart w:id="13" w:name="_Toc39152453"/>
      <w:r>
        <w:rPr>
          <w:rFonts w:ascii="Times New Roman" w:hAnsi="Times New Roman" w:cs="Times New Roman"/>
          <w:sz w:val="24"/>
          <w:szCs w:val="24"/>
        </w:rPr>
        <w:t>3.2 Customer Reviews</w:t>
      </w:r>
      <w:bookmarkEnd w:id="13"/>
    </w:p>
    <w:p>
      <w:pPr>
        <w:pStyle w:val="4"/>
        <w:spacing w:before="0" w:after="0"/>
        <w:rPr>
          <w:rFonts w:cs="Times New Roman"/>
          <w:sz w:val="24"/>
          <w:szCs w:val="24"/>
        </w:rPr>
      </w:pPr>
      <w:bookmarkStart w:id="14" w:name="_Toc39152454"/>
      <w:r>
        <w:rPr>
          <w:rFonts w:cs="Times New Roman"/>
          <w:sz w:val="24"/>
          <w:szCs w:val="24"/>
        </w:rPr>
        <w:t>3.2.1 Overall Customer Rating of Sainsbury’s</w:t>
      </w:r>
      <w:bookmarkEnd w:id="14"/>
      <w:r>
        <w:rPr>
          <w:rFonts w:cs="Times New Roman"/>
          <w:sz w:val="24"/>
          <w:szCs w:val="24"/>
        </w:rPr>
        <w:t xml:space="preserve"> </w:t>
      </w:r>
    </w:p>
    <w:p>
      <w:pPr>
        <w:rPr>
          <w:rFonts w:cs="Times New Roman"/>
          <w:bCs/>
          <w:szCs w:val="24"/>
        </w:rPr>
      </w:pPr>
      <w:r>
        <w:rPr>
          <w:rFonts w:cs="Times New Roman"/>
          <w:bCs/>
          <w:szCs w:val="24"/>
        </w:rPr>
        <w:t xml:space="preserve">Graph 1 at below shows the ratings of Sainsbury’s, out of the 3,637 reviews, 67% of the customers rate the service of Sainsbury’s as bad, 10% as poor, 4% as average, 5% as great, and 14% as excellent. Only 19% of the customers are happy with the products and services of Sainsbury’s. </w:t>
      </w:r>
    </w:p>
    <w:p>
      <w:pPr>
        <w:jc w:val="center"/>
        <w:rPr>
          <w:rFonts w:cs="Times New Roman"/>
          <w:b/>
          <w:bCs/>
          <w:szCs w:val="24"/>
        </w:rPr>
      </w:pPr>
      <w:r>
        <w:rPr>
          <w:rFonts w:cs="Times New Roman"/>
          <w:b/>
          <w:bCs/>
          <w:szCs w:val="24"/>
        </w:rPr>
        <w:t>Graph 1 Customer Rating of Sainsbury’s on Trustpilot (Percentage)</w:t>
      </w:r>
    </w:p>
    <w:p>
      <w:pPr>
        <w:jc w:val="center"/>
        <w:rPr>
          <w:rFonts w:cs="Times New Roman"/>
          <w:szCs w:val="24"/>
        </w:rPr>
      </w:pPr>
      <w:r>
        <w:rPr>
          <w:rFonts w:cs="Times New Roman"/>
          <w:szCs w:val="24"/>
        </w:rPr>
        <w:drawing>
          <wp:inline distT="0" distB="0" distL="0" distR="0">
            <wp:extent cx="4067175" cy="1990725"/>
            <wp:effectExtent l="19050" t="0" r="9525" b="9208"/>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pPr>
        <w:tabs>
          <w:tab w:val="left" w:pos="5190"/>
        </w:tabs>
        <w:rPr>
          <w:rFonts w:cs="Times New Roman"/>
          <w:szCs w:val="24"/>
        </w:rPr>
      </w:pPr>
      <w:r>
        <w:rPr>
          <w:rFonts w:cs="Times New Roman"/>
          <w:szCs w:val="24"/>
        </w:rPr>
        <w:t xml:space="preserve">Graph 2 at blow shows customer ratings of four leading supermarket in the United Kingdom, which are Tesco, Morrisons, Asda and Sainsbury’s. The percentage of customers who are happy with the service of the supermarket is 46% at Morrison, 36% at Tesco, and 19% at Asda and Sainsbury’s respectively. It shows that among all leading supermarkets in the United Kingdom, Sainsbury’s has the lowest level of customer satisfaction. </w:t>
      </w:r>
    </w:p>
    <w:p>
      <w:pPr>
        <w:tabs>
          <w:tab w:val="left" w:pos="5190"/>
        </w:tabs>
        <w:jc w:val="center"/>
        <w:rPr>
          <w:rFonts w:cs="Times New Roman"/>
          <w:szCs w:val="24"/>
        </w:rPr>
      </w:pPr>
      <w:r>
        <w:rPr>
          <w:rFonts w:cs="Times New Roman"/>
          <w:szCs w:val="24"/>
        </w:rPr>
        <w:t>Figure 2 Percentage of Happy Customers</w:t>
      </w:r>
    </w:p>
    <w:p>
      <w:pPr>
        <w:tabs>
          <w:tab w:val="left" w:pos="5190"/>
        </w:tabs>
        <w:jc w:val="center"/>
        <w:rPr>
          <w:rFonts w:cs="Times New Roman"/>
          <w:szCs w:val="24"/>
        </w:rPr>
      </w:pPr>
      <w:r>
        <w:rPr>
          <w:rFonts w:cs="Times New Roman"/>
          <w:szCs w:val="24"/>
        </w:rPr>
        <w:drawing>
          <wp:inline distT="0" distB="0" distL="0" distR="0">
            <wp:extent cx="3343275" cy="2019300"/>
            <wp:effectExtent l="19050" t="0" r="9525" b="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rPr>
          <w:rFonts w:cs="Times New Roman"/>
          <w:szCs w:val="24"/>
        </w:rPr>
      </w:pPr>
      <w:r>
        <w:rPr>
          <w:rFonts w:cs="Times New Roman"/>
          <w:szCs w:val="24"/>
        </w:rPr>
        <w:t xml:space="preserve">These results are similar to a report of BBC News (2018) which stated that, according to the results of customer survey, Sainsbury’s ranked the lowest among all nine major supermarkets, with a customer satisfaction rate of 62%, 12% lower than Aldi’s 74%. </w:t>
      </w:r>
    </w:p>
    <w:p>
      <w:pPr>
        <w:pStyle w:val="4"/>
        <w:spacing w:before="0" w:after="0"/>
        <w:rPr>
          <w:rFonts w:cs="Times New Roman"/>
          <w:sz w:val="24"/>
          <w:szCs w:val="24"/>
        </w:rPr>
      </w:pPr>
      <w:bookmarkStart w:id="15" w:name="_Toc39152455"/>
      <w:r>
        <w:rPr>
          <w:rFonts w:cs="Times New Roman"/>
          <w:sz w:val="24"/>
          <w:szCs w:val="24"/>
        </w:rPr>
        <w:t>3.2.2 Poor Service</w:t>
      </w:r>
      <w:bookmarkEnd w:id="15"/>
    </w:p>
    <w:p>
      <w:pPr>
        <w:rPr>
          <w:rFonts w:cs="Times New Roman"/>
          <w:bCs/>
          <w:szCs w:val="24"/>
        </w:rPr>
      </w:pPr>
      <w:r>
        <w:rPr>
          <w:rFonts w:cs="Times New Roman"/>
          <w:bCs/>
          <w:szCs w:val="24"/>
        </w:rPr>
        <w:t xml:space="preserve">Out of the 257 reviews posted on Trustpilot from March 21 and April 21 of 2020, 138 reviews were concerned with the poor service received at Sainsbury’s. As shown in Table 1 at below, the main reasons of complaint are listed, such as bad attitudes from managers and employees (42 reviews), bad management (18 reviews), lack of respect to elderly customers (13 reviews), not letting family members shop together (8 reviews), and being over charged (5 reviews). </w:t>
      </w:r>
    </w:p>
    <w:p>
      <w:pPr>
        <w:jc w:val="center"/>
        <w:rPr>
          <w:rFonts w:cs="Times New Roman"/>
          <w:b/>
          <w:bCs/>
          <w:szCs w:val="24"/>
        </w:rPr>
      </w:pPr>
      <w:r>
        <w:rPr>
          <w:rFonts w:cs="Times New Roman"/>
          <w:b/>
          <w:bCs/>
          <w:szCs w:val="24"/>
        </w:rPr>
        <w:t>Table 1 Complaints of Services among All Complaints</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61"/>
        <w:gridCol w:w="2268"/>
        <w:gridCol w:w="18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tcPr>
          <w:p>
            <w:pPr>
              <w:widowControl w:val="0"/>
              <w:rPr>
                <w:rFonts w:cs="Times New Roman"/>
                <w:bCs/>
                <w:szCs w:val="24"/>
              </w:rPr>
            </w:pPr>
            <w:r>
              <w:rPr>
                <w:rFonts w:cs="Times New Roman"/>
                <w:bCs/>
                <w:szCs w:val="24"/>
              </w:rPr>
              <w:t>Causes of Complaint</w:t>
            </w:r>
          </w:p>
        </w:tc>
        <w:tc>
          <w:tcPr>
            <w:tcW w:w="2268" w:type="dxa"/>
          </w:tcPr>
          <w:p>
            <w:pPr>
              <w:widowControl w:val="0"/>
              <w:rPr>
                <w:rFonts w:cs="Times New Roman"/>
                <w:bCs/>
                <w:szCs w:val="24"/>
              </w:rPr>
            </w:pPr>
            <w:r>
              <w:rPr>
                <w:rFonts w:cs="Times New Roman"/>
                <w:bCs/>
                <w:szCs w:val="24"/>
              </w:rPr>
              <w:t xml:space="preserve">Number of Negative Reviews </w:t>
            </w:r>
          </w:p>
        </w:tc>
        <w:tc>
          <w:tcPr>
            <w:tcW w:w="1893" w:type="dxa"/>
          </w:tcPr>
          <w:p>
            <w:pPr>
              <w:widowControl w:val="0"/>
              <w:rPr>
                <w:rFonts w:cs="Times New Roman"/>
                <w:bCs/>
                <w:szCs w:val="24"/>
              </w:rPr>
            </w:pPr>
            <w:r>
              <w:rPr>
                <w:rFonts w:cs="Times New Roman"/>
                <w:bCs/>
                <w:szCs w:val="24"/>
              </w:rPr>
              <w:t>Percentage (out of 138)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tcPr>
          <w:p>
            <w:pPr>
              <w:widowControl w:val="0"/>
              <w:rPr>
                <w:rFonts w:cs="Times New Roman"/>
                <w:bCs/>
                <w:szCs w:val="24"/>
              </w:rPr>
            </w:pPr>
            <w:r>
              <w:rPr>
                <w:rFonts w:cs="Times New Roman"/>
                <w:bCs/>
                <w:szCs w:val="24"/>
              </w:rPr>
              <w:t>Bad Employee Attitudes</w:t>
            </w:r>
          </w:p>
        </w:tc>
        <w:tc>
          <w:tcPr>
            <w:tcW w:w="2268" w:type="dxa"/>
          </w:tcPr>
          <w:p>
            <w:pPr>
              <w:widowControl w:val="0"/>
              <w:rPr>
                <w:rFonts w:cs="Times New Roman"/>
                <w:bCs/>
                <w:szCs w:val="24"/>
              </w:rPr>
            </w:pPr>
            <w:r>
              <w:rPr>
                <w:rFonts w:cs="Times New Roman"/>
                <w:bCs/>
                <w:szCs w:val="24"/>
              </w:rPr>
              <w:t>42</w:t>
            </w:r>
          </w:p>
        </w:tc>
        <w:tc>
          <w:tcPr>
            <w:tcW w:w="1893" w:type="dxa"/>
          </w:tcPr>
          <w:p>
            <w:pPr>
              <w:widowControl w:val="0"/>
              <w:rPr>
                <w:rFonts w:cs="Times New Roman"/>
                <w:bCs/>
                <w:szCs w:val="24"/>
              </w:rPr>
            </w:pPr>
            <w:r>
              <w:rPr>
                <w:rFonts w:cs="Times New Roman"/>
                <w:bCs/>
                <w:szCs w:val="24"/>
              </w:rPr>
              <w:t>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tcPr>
          <w:p>
            <w:pPr>
              <w:widowControl w:val="0"/>
              <w:rPr>
                <w:rFonts w:cs="Times New Roman"/>
                <w:bCs/>
                <w:szCs w:val="24"/>
              </w:rPr>
            </w:pPr>
            <w:r>
              <w:rPr>
                <w:rFonts w:cs="Times New Roman"/>
                <w:bCs/>
                <w:szCs w:val="24"/>
              </w:rPr>
              <w:t>Bad Management (Long Q</w:t>
            </w:r>
          </w:p>
        </w:tc>
        <w:tc>
          <w:tcPr>
            <w:tcW w:w="2268" w:type="dxa"/>
          </w:tcPr>
          <w:p>
            <w:pPr>
              <w:widowControl w:val="0"/>
              <w:rPr>
                <w:rFonts w:cs="Times New Roman"/>
                <w:bCs/>
                <w:szCs w:val="24"/>
              </w:rPr>
            </w:pPr>
            <w:r>
              <w:rPr>
                <w:rFonts w:cs="Times New Roman"/>
                <w:bCs/>
                <w:szCs w:val="24"/>
              </w:rPr>
              <w:t>18</w:t>
            </w:r>
          </w:p>
        </w:tc>
        <w:tc>
          <w:tcPr>
            <w:tcW w:w="1893" w:type="dxa"/>
          </w:tcPr>
          <w:p>
            <w:pPr>
              <w:widowControl w:val="0"/>
              <w:rPr>
                <w:rFonts w:cs="Times New Roman"/>
                <w:bCs/>
                <w:szCs w:val="24"/>
              </w:rPr>
            </w:pPr>
            <w:r>
              <w:rPr>
                <w:rFonts w:cs="Times New Roman"/>
                <w:bCs/>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tcPr>
          <w:p>
            <w:pPr>
              <w:widowControl w:val="0"/>
              <w:rPr>
                <w:rFonts w:cs="Times New Roman"/>
                <w:bCs/>
                <w:szCs w:val="24"/>
              </w:rPr>
            </w:pPr>
            <w:r>
              <w:rPr>
                <w:rFonts w:cs="Times New Roman"/>
                <w:bCs/>
                <w:szCs w:val="24"/>
              </w:rPr>
              <w:t>Lack of Respect to the Elderly</w:t>
            </w:r>
          </w:p>
        </w:tc>
        <w:tc>
          <w:tcPr>
            <w:tcW w:w="2268" w:type="dxa"/>
          </w:tcPr>
          <w:p>
            <w:pPr>
              <w:widowControl w:val="0"/>
              <w:rPr>
                <w:rFonts w:cs="Times New Roman"/>
                <w:bCs/>
                <w:szCs w:val="24"/>
              </w:rPr>
            </w:pPr>
            <w:r>
              <w:rPr>
                <w:rFonts w:cs="Times New Roman"/>
                <w:bCs/>
                <w:szCs w:val="24"/>
              </w:rPr>
              <w:t>13</w:t>
            </w:r>
          </w:p>
        </w:tc>
        <w:tc>
          <w:tcPr>
            <w:tcW w:w="1893" w:type="dxa"/>
          </w:tcPr>
          <w:p>
            <w:pPr>
              <w:widowControl w:val="0"/>
              <w:rPr>
                <w:rFonts w:cs="Times New Roman"/>
                <w:bCs/>
                <w:szCs w:val="24"/>
              </w:rPr>
            </w:pPr>
            <w:r>
              <w:rPr>
                <w:rFonts w:cs="Times New Roman"/>
                <w:bCs/>
                <w:szCs w:val="24"/>
              </w:rPr>
              <w:t>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tcPr>
          <w:p>
            <w:pPr>
              <w:widowControl w:val="0"/>
              <w:rPr>
                <w:rFonts w:cs="Times New Roman"/>
                <w:bCs/>
                <w:szCs w:val="24"/>
              </w:rPr>
            </w:pPr>
            <w:r>
              <w:rPr>
                <w:rFonts w:cs="Times New Roman"/>
                <w:bCs/>
                <w:szCs w:val="24"/>
              </w:rPr>
              <w:t>Not Letting Family Shop Together</w:t>
            </w:r>
          </w:p>
        </w:tc>
        <w:tc>
          <w:tcPr>
            <w:tcW w:w="2268" w:type="dxa"/>
          </w:tcPr>
          <w:p>
            <w:pPr>
              <w:widowControl w:val="0"/>
              <w:rPr>
                <w:rFonts w:cs="Times New Roman"/>
                <w:bCs/>
                <w:szCs w:val="24"/>
              </w:rPr>
            </w:pPr>
            <w:r>
              <w:rPr>
                <w:rFonts w:cs="Times New Roman"/>
                <w:bCs/>
                <w:szCs w:val="24"/>
              </w:rPr>
              <w:t>8</w:t>
            </w:r>
          </w:p>
        </w:tc>
        <w:tc>
          <w:tcPr>
            <w:tcW w:w="1893" w:type="dxa"/>
          </w:tcPr>
          <w:p>
            <w:pPr>
              <w:widowControl w:val="0"/>
              <w:rPr>
                <w:rFonts w:cs="Times New Roman"/>
                <w:bCs/>
                <w:szCs w:val="24"/>
              </w:rPr>
            </w:pPr>
            <w:r>
              <w:rPr>
                <w:rFonts w:cs="Times New Roman"/>
                <w:bCs/>
                <w:szCs w:val="24"/>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tcPr>
          <w:p>
            <w:pPr>
              <w:widowControl w:val="0"/>
              <w:rPr>
                <w:rFonts w:cs="Times New Roman"/>
                <w:bCs/>
                <w:szCs w:val="24"/>
              </w:rPr>
            </w:pPr>
            <w:r>
              <w:rPr>
                <w:rFonts w:cs="Times New Roman"/>
                <w:bCs/>
                <w:szCs w:val="24"/>
              </w:rPr>
              <w:t xml:space="preserve">Overcharged </w:t>
            </w:r>
          </w:p>
        </w:tc>
        <w:tc>
          <w:tcPr>
            <w:tcW w:w="2268" w:type="dxa"/>
          </w:tcPr>
          <w:p>
            <w:pPr>
              <w:widowControl w:val="0"/>
              <w:rPr>
                <w:rFonts w:cs="Times New Roman"/>
                <w:bCs/>
                <w:szCs w:val="24"/>
              </w:rPr>
            </w:pPr>
            <w:r>
              <w:rPr>
                <w:rFonts w:cs="Times New Roman"/>
                <w:bCs/>
                <w:szCs w:val="24"/>
              </w:rPr>
              <w:t>5</w:t>
            </w:r>
          </w:p>
        </w:tc>
        <w:tc>
          <w:tcPr>
            <w:tcW w:w="1893" w:type="dxa"/>
          </w:tcPr>
          <w:p>
            <w:pPr>
              <w:widowControl w:val="0"/>
              <w:rPr>
                <w:rFonts w:cs="Times New Roman"/>
                <w:bCs/>
                <w:szCs w:val="24"/>
              </w:rPr>
            </w:pPr>
            <w:r>
              <w:rPr>
                <w:rFonts w:cs="Times New Roman"/>
                <w:bCs/>
                <w:szCs w:val="24"/>
              </w:rPr>
              <w:t>3.6%</w:t>
            </w:r>
          </w:p>
        </w:tc>
      </w:tr>
    </w:tbl>
    <w:p>
      <w:pPr>
        <w:rPr>
          <w:rFonts w:cs="Times New Roman"/>
          <w:bCs/>
          <w:szCs w:val="24"/>
        </w:rPr>
      </w:pPr>
      <w:r>
        <w:rPr>
          <w:rFonts w:cs="Times New Roman"/>
          <w:bCs/>
          <w:szCs w:val="24"/>
        </w:rPr>
        <w:t xml:space="preserve">Meanwhile, it should be noticed that 46 of the 138 reviews were concerned with online services of Sainsbury’s. Out of these 46 reviews (33.3%), 18 reviews concerned with getting delivery slots, 16 reviews concerned with missing items, 8 of these 16 reviews says that they did not receive refund for the missing items. </w:t>
      </w:r>
    </w:p>
    <w:p>
      <w:pPr>
        <w:jc w:val="center"/>
        <w:rPr>
          <w:rFonts w:cs="Times New Roman"/>
          <w:b/>
          <w:szCs w:val="24"/>
        </w:rPr>
      </w:pPr>
      <w:r>
        <w:rPr>
          <w:rFonts w:cs="Times New Roman"/>
          <w:b/>
          <w:szCs w:val="24"/>
        </w:rPr>
        <w:t>Table 2 Negative Reviews on Online Service Delivery</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5"/>
        <w:gridCol w:w="259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widowControl w:val="0"/>
              <w:spacing w:line="240" w:lineRule="auto"/>
              <w:jc w:val="center"/>
              <w:rPr>
                <w:rFonts w:cs="Times New Roman"/>
                <w:bCs/>
                <w:szCs w:val="24"/>
              </w:rPr>
            </w:pPr>
            <w:r>
              <w:rPr>
                <w:rFonts w:cs="Times New Roman"/>
                <w:bCs/>
                <w:szCs w:val="24"/>
              </w:rPr>
              <w:t>Cause of Complaints</w:t>
            </w:r>
          </w:p>
        </w:tc>
        <w:tc>
          <w:tcPr>
            <w:tcW w:w="2596" w:type="dxa"/>
          </w:tcPr>
          <w:p>
            <w:pPr>
              <w:widowControl w:val="0"/>
              <w:spacing w:line="240" w:lineRule="auto"/>
              <w:jc w:val="center"/>
              <w:rPr>
                <w:rFonts w:cs="Times New Roman"/>
                <w:bCs/>
                <w:szCs w:val="24"/>
              </w:rPr>
            </w:pPr>
            <w:r>
              <w:rPr>
                <w:rFonts w:cs="Times New Roman"/>
                <w:bCs/>
                <w:szCs w:val="24"/>
              </w:rPr>
              <w:t xml:space="preserve">Number of Negative Reviews </w:t>
            </w:r>
          </w:p>
        </w:tc>
        <w:tc>
          <w:tcPr>
            <w:tcW w:w="2841" w:type="dxa"/>
          </w:tcPr>
          <w:p>
            <w:pPr>
              <w:widowControl w:val="0"/>
              <w:spacing w:line="240" w:lineRule="auto"/>
              <w:jc w:val="center"/>
              <w:rPr>
                <w:rFonts w:cs="Times New Roman"/>
                <w:bCs/>
                <w:szCs w:val="24"/>
              </w:rPr>
            </w:pPr>
            <w:r>
              <w:rPr>
                <w:rFonts w:cs="Times New Roman"/>
                <w:bCs/>
                <w:szCs w:val="24"/>
              </w:rPr>
              <w:t>Percentage (Out of 138)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widowControl w:val="0"/>
              <w:spacing w:line="240" w:lineRule="auto"/>
              <w:jc w:val="center"/>
              <w:rPr>
                <w:rFonts w:cs="Times New Roman"/>
                <w:bCs/>
                <w:szCs w:val="24"/>
              </w:rPr>
            </w:pPr>
            <w:r>
              <w:rPr>
                <w:rFonts w:cs="Times New Roman"/>
                <w:bCs/>
                <w:szCs w:val="24"/>
              </w:rPr>
              <w:t>Difficult to Get Delivery Slots</w:t>
            </w:r>
          </w:p>
        </w:tc>
        <w:tc>
          <w:tcPr>
            <w:tcW w:w="2596" w:type="dxa"/>
          </w:tcPr>
          <w:p>
            <w:pPr>
              <w:widowControl w:val="0"/>
              <w:spacing w:line="240" w:lineRule="auto"/>
              <w:jc w:val="center"/>
              <w:rPr>
                <w:rFonts w:cs="Times New Roman"/>
                <w:bCs/>
                <w:szCs w:val="24"/>
              </w:rPr>
            </w:pPr>
            <w:r>
              <w:rPr>
                <w:rFonts w:cs="Times New Roman"/>
                <w:bCs/>
                <w:szCs w:val="24"/>
              </w:rPr>
              <w:t>18</w:t>
            </w:r>
          </w:p>
        </w:tc>
        <w:tc>
          <w:tcPr>
            <w:tcW w:w="2841" w:type="dxa"/>
          </w:tcPr>
          <w:p>
            <w:pPr>
              <w:widowControl w:val="0"/>
              <w:spacing w:line="240" w:lineRule="auto"/>
              <w:jc w:val="center"/>
              <w:rPr>
                <w:rFonts w:cs="Times New Roman"/>
                <w:bCs/>
                <w:szCs w:val="24"/>
              </w:rPr>
            </w:pPr>
            <w:r>
              <w:rPr>
                <w:rFonts w:cs="Times New Roman"/>
                <w:bCs/>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widowControl w:val="0"/>
              <w:spacing w:line="240" w:lineRule="auto"/>
              <w:jc w:val="center"/>
              <w:rPr>
                <w:rFonts w:cs="Times New Roman"/>
                <w:bCs/>
                <w:szCs w:val="24"/>
              </w:rPr>
            </w:pPr>
            <w:r>
              <w:rPr>
                <w:rFonts w:cs="Times New Roman"/>
                <w:bCs/>
                <w:szCs w:val="24"/>
              </w:rPr>
              <w:t>Mission Items</w:t>
            </w:r>
          </w:p>
        </w:tc>
        <w:tc>
          <w:tcPr>
            <w:tcW w:w="2596" w:type="dxa"/>
          </w:tcPr>
          <w:p>
            <w:pPr>
              <w:widowControl w:val="0"/>
              <w:spacing w:line="240" w:lineRule="auto"/>
              <w:jc w:val="center"/>
              <w:rPr>
                <w:rFonts w:cs="Times New Roman"/>
                <w:bCs/>
                <w:szCs w:val="24"/>
              </w:rPr>
            </w:pPr>
            <w:r>
              <w:rPr>
                <w:rFonts w:cs="Times New Roman"/>
                <w:bCs/>
                <w:szCs w:val="24"/>
              </w:rPr>
              <w:t>16</w:t>
            </w:r>
          </w:p>
        </w:tc>
        <w:tc>
          <w:tcPr>
            <w:tcW w:w="2841" w:type="dxa"/>
          </w:tcPr>
          <w:p>
            <w:pPr>
              <w:widowControl w:val="0"/>
              <w:spacing w:line="240" w:lineRule="auto"/>
              <w:jc w:val="center"/>
              <w:rPr>
                <w:rFonts w:cs="Times New Roman"/>
                <w:bCs/>
                <w:szCs w:val="24"/>
              </w:rPr>
            </w:pPr>
            <w:r>
              <w:rPr>
                <w:rFonts w:cs="Times New Roman"/>
                <w:bCs/>
                <w:szCs w:val="24"/>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widowControl w:val="0"/>
              <w:spacing w:line="240" w:lineRule="auto"/>
              <w:jc w:val="center"/>
              <w:rPr>
                <w:rFonts w:cs="Times New Roman"/>
                <w:bCs/>
                <w:szCs w:val="24"/>
              </w:rPr>
            </w:pPr>
            <w:r>
              <w:rPr>
                <w:rFonts w:cs="Times New Roman"/>
                <w:bCs/>
                <w:szCs w:val="24"/>
              </w:rPr>
              <w:t>Not Receiving Refund for the Mission Items</w:t>
            </w:r>
          </w:p>
        </w:tc>
        <w:tc>
          <w:tcPr>
            <w:tcW w:w="2596" w:type="dxa"/>
          </w:tcPr>
          <w:p>
            <w:pPr>
              <w:widowControl w:val="0"/>
              <w:spacing w:line="240" w:lineRule="auto"/>
              <w:jc w:val="center"/>
              <w:rPr>
                <w:rFonts w:cs="Times New Roman"/>
                <w:bCs/>
                <w:szCs w:val="24"/>
              </w:rPr>
            </w:pPr>
            <w:r>
              <w:rPr>
                <w:rFonts w:cs="Times New Roman"/>
                <w:bCs/>
                <w:szCs w:val="24"/>
              </w:rPr>
              <w:t>8</w:t>
            </w:r>
          </w:p>
        </w:tc>
        <w:tc>
          <w:tcPr>
            <w:tcW w:w="2841" w:type="dxa"/>
          </w:tcPr>
          <w:p>
            <w:pPr>
              <w:widowControl w:val="0"/>
              <w:spacing w:line="240" w:lineRule="auto"/>
              <w:jc w:val="center"/>
              <w:rPr>
                <w:rFonts w:cs="Times New Roman"/>
                <w:bCs/>
                <w:szCs w:val="24"/>
              </w:rPr>
            </w:pPr>
            <w:r>
              <w:rPr>
                <w:rFonts w:cs="Times New Roman"/>
                <w:bCs/>
                <w:szCs w:val="24"/>
              </w:rPr>
              <w:t>5.8%</w:t>
            </w:r>
          </w:p>
        </w:tc>
      </w:tr>
    </w:tbl>
    <w:p>
      <w:pPr>
        <w:rPr>
          <w:rFonts w:cs="Times New Roman"/>
          <w:bCs/>
          <w:szCs w:val="24"/>
        </w:rPr>
      </w:pPr>
      <w:r>
        <w:rPr>
          <w:rFonts w:cs="Times New Roman"/>
          <w:bCs/>
          <w:szCs w:val="24"/>
        </w:rPr>
        <w:t xml:space="preserve">Sainsbury’s (2019) claimed to focus on strengthening seamless customer experience and convenience. Such claims, however, contradicts with customer reviews that complained both unsatisfaction customer experience and inadequate online capabilities of Sainsbury’s. It indicates that Sainsbury’s is not properly meeting its strategic priorities. These results confirmed PwC’s (2019) argument that service differentiation is of critical importance to UK supermarkets which operate in a highly competitive environment, and economic uncertainty. Sainsbury’s failed at service differentiation.  Meanwhile, unsatisfaction with online delivery services also confirms the Griswold’s (2020) findings that the pandemic is putting pressure on the digital capabilities of the supermarkets. The bad employee attitudes could also be a result of the pressure that spike of sales on human resources (Griswold, 2020). Dimitriu and Mitovski (2014) argued that pressure at the workplace is one of the most frequently cited causes of employee stress, which undermines their performance at work. Therefore, they further pointed out that employers should consider the stress at the workplace, and must take effective measures to prevent employee stress. </w:t>
      </w:r>
    </w:p>
    <w:p>
      <w:pPr>
        <w:pStyle w:val="4"/>
        <w:spacing w:before="0" w:after="0"/>
        <w:rPr>
          <w:rFonts w:cs="Times New Roman"/>
          <w:sz w:val="24"/>
          <w:szCs w:val="24"/>
        </w:rPr>
      </w:pPr>
      <w:bookmarkStart w:id="16" w:name="_Toc39152456"/>
      <w:r>
        <w:rPr>
          <w:rFonts w:cs="Times New Roman"/>
          <w:sz w:val="24"/>
          <w:szCs w:val="24"/>
        </w:rPr>
        <w:t>3.2.3 Loosing of Loyal Customer Base</w:t>
      </w:r>
      <w:bookmarkEnd w:id="16"/>
    </w:p>
    <w:p>
      <w:pPr>
        <w:rPr>
          <w:rFonts w:cs="Times New Roman"/>
          <w:bCs/>
          <w:szCs w:val="24"/>
        </w:rPr>
      </w:pPr>
      <w:r>
        <w:rPr>
          <w:rFonts w:cs="Times New Roman"/>
          <w:bCs/>
          <w:szCs w:val="24"/>
        </w:rPr>
        <w:t xml:space="preserve">One major theme emerged from the data is that customers of Sainsbury’s is losing its loyal customers. Especially, 56 reviews expressed that they are loyal customers of the store; however, 42 reviews explicitly expressed that they are not satisfied with the service provided by Sainsbury’s, and 21 reviews, expressed that they will stop shopping at Sainsbury’s and is now exploring other alternatives for shopping groceries. </w:t>
      </w:r>
    </w:p>
    <w:p>
      <w:pPr>
        <w:jc w:val="center"/>
        <w:rPr>
          <w:rFonts w:cs="Times New Roman"/>
          <w:b/>
          <w:szCs w:val="24"/>
        </w:rPr>
      </w:pPr>
      <w:r>
        <w:rPr>
          <w:rFonts w:cs="Times New Roman"/>
          <w:b/>
          <w:szCs w:val="24"/>
        </w:rPr>
        <w:t>Table 3 Loss of Loyal Customer Base</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66"/>
        <w:gridCol w:w="2919"/>
        <w:gridCol w:w="30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6" w:type="dxa"/>
          </w:tcPr>
          <w:p>
            <w:pPr>
              <w:widowControl w:val="0"/>
              <w:spacing w:line="240" w:lineRule="auto"/>
              <w:jc w:val="center"/>
              <w:rPr>
                <w:rFonts w:cs="Times New Roman"/>
                <w:bCs/>
                <w:szCs w:val="24"/>
              </w:rPr>
            </w:pPr>
            <w:r>
              <w:rPr>
                <w:rFonts w:cs="Times New Roman"/>
                <w:bCs/>
                <w:szCs w:val="24"/>
              </w:rPr>
              <w:t>Causes of Complaints</w:t>
            </w:r>
          </w:p>
        </w:tc>
        <w:tc>
          <w:tcPr>
            <w:tcW w:w="2919" w:type="dxa"/>
          </w:tcPr>
          <w:p>
            <w:pPr>
              <w:widowControl w:val="0"/>
              <w:spacing w:line="240" w:lineRule="auto"/>
              <w:jc w:val="center"/>
              <w:rPr>
                <w:rFonts w:cs="Times New Roman"/>
                <w:bCs/>
                <w:szCs w:val="24"/>
              </w:rPr>
            </w:pPr>
            <w:r>
              <w:rPr>
                <w:rFonts w:cs="Times New Roman"/>
                <w:bCs/>
                <w:szCs w:val="24"/>
              </w:rPr>
              <w:t>Number of Reviews</w:t>
            </w:r>
          </w:p>
        </w:tc>
        <w:tc>
          <w:tcPr>
            <w:tcW w:w="3037" w:type="dxa"/>
          </w:tcPr>
          <w:p>
            <w:pPr>
              <w:widowControl w:val="0"/>
              <w:spacing w:line="240" w:lineRule="auto"/>
              <w:jc w:val="center"/>
              <w:rPr>
                <w:rFonts w:cs="Times New Roman"/>
                <w:bCs/>
                <w:szCs w:val="24"/>
              </w:rPr>
            </w:pPr>
            <w:r>
              <w:rPr>
                <w:rFonts w:cs="Times New Roman"/>
                <w:bCs/>
                <w:szCs w:val="24"/>
              </w:rPr>
              <w:t>Percentage of All Reviews (out of 257)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6" w:type="dxa"/>
          </w:tcPr>
          <w:p>
            <w:pPr>
              <w:widowControl w:val="0"/>
              <w:spacing w:line="240" w:lineRule="auto"/>
              <w:jc w:val="center"/>
              <w:rPr>
                <w:rFonts w:cs="Times New Roman"/>
                <w:bCs/>
                <w:szCs w:val="24"/>
              </w:rPr>
            </w:pPr>
            <w:r>
              <w:rPr>
                <w:rFonts w:cs="Times New Roman"/>
                <w:bCs/>
                <w:szCs w:val="24"/>
              </w:rPr>
              <w:t>Complaints from Loyal Customers</w:t>
            </w:r>
          </w:p>
        </w:tc>
        <w:tc>
          <w:tcPr>
            <w:tcW w:w="2919" w:type="dxa"/>
          </w:tcPr>
          <w:p>
            <w:pPr>
              <w:widowControl w:val="0"/>
              <w:spacing w:line="240" w:lineRule="auto"/>
              <w:jc w:val="center"/>
              <w:rPr>
                <w:rFonts w:cs="Times New Roman"/>
                <w:bCs/>
                <w:szCs w:val="24"/>
              </w:rPr>
            </w:pPr>
            <w:r>
              <w:rPr>
                <w:rFonts w:cs="Times New Roman"/>
                <w:bCs/>
                <w:szCs w:val="24"/>
              </w:rPr>
              <w:t>56</w:t>
            </w:r>
          </w:p>
        </w:tc>
        <w:tc>
          <w:tcPr>
            <w:tcW w:w="3037" w:type="dxa"/>
          </w:tcPr>
          <w:p>
            <w:pPr>
              <w:widowControl w:val="0"/>
              <w:spacing w:line="240" w:lineRule="auto"/>
              <w:jc w:val="center"/>
              <w:rPr>
                <w:rFonts w:cs="Times New Roman"/>
                <w:bCs/>
                <w:szCs w:val="24"/>
              </w:rPr>
            </w:pPr>
            <w:r>
              <w:rPr>
                <w:rFonts w:cs="Times New Roman"/>
                <w:bCs/>
                <w:szCs w:val="24"/>
              </w:rPr>
              <w:t>23.6%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6" w:type="dxa"/>
          </w:tcPr>
          <w:p>
            <w:pPr>
              <w:widowControl w:val="0"/>
              <w:spacing w:line="240" w:lineRule="auto"/>
              <w:jc w:val="center"/>
              <w:rPr>
                <w:rFonts w:cs="Times New Roman"/>
                <w:bCs/>
                <w:szCs w:val="24"/>
              </w:rPr>
            </w:pPr>
            <w:r>
              <w:rPr>
                <w:rFonts w:cs="Times New Roman"/>
                <w:bCs/>
                <w:szCs w:val="24"/>
              </w:rPr>
              <w:t>Unsatisfaction with Service</w:t>
            </w:r>
          </w:p>
        </w:tc>
        <w:tc>
          <w:tcPr>
            <w:tcW w:w="2919" w:type="dxa"/>
          </w:tcPr>
          <w:p>
            <w:pPr>
              <w:widowControl w:val="0"/>
              <w:spacing w:line="240" w:lineRule="auto"/>
              <w:jc w:val="center"/>
              <w:rPr>
                <w:rFonts w:cs="Times New Roman"/>
                <w:bCs/>
                <w:szCs w:val="24"/>
              </w:rPr>
            </w:pPr>
            <w:r>
              <w:rPr>
                <w:rFonts w:cs="Times New Roman"/>
                <w:bCs/>
                <w:szCs w:val="24"/>
              </w:rPr>
              <w:t>42</w:t>
            </w:r>
          </w:p>
        </w:tc>
        <w:tc>
          <w:tcPr>
            <w:tcW w:w="3037" w:type="dxa"/>
          </w:tcPr>
          <w:p>
            <w:pPr>
              <w:widowControl w:val="0"/>
              <w:spacing w:line="240" w:lineRule="auto"/>
              <w:jc w:val="center"/>
              <w:rPr>
                <w:rFonts w:cs="Times New Roman"/>
                <w:bCs/>
                <w:szCs w:val="24"/>
              </w:rPr>
            </w:pPr>
            <w:r>
              <w:rPr>
                <w:rFonts w:cs="Times New Roman"/>
                <w:bCs/>
                <w:szCs w:val="24"/>
              </w:rPr>
              <w:t>16.3%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6" w:type="dxa"/>
          </w:tcPr>
          <w:p>
            <w:pPr>
              <w:widowControl w:val="0"/>
              <w:spacing w:line="240" w:lineRule="auto"/>
              <w:jc w:val="center"/>
              <w:rPr>
                <w:rFonts w:cs="Times New Roman"/>
                <w:bCs/>
                <w:szCs w:val="24"/>
              </w:rPr>
            </w:pPr>
            <w:r>
              <w:rPr>
                <w:rFonts w:cs="Times New Roman"/>
                <w:bCs/>
                <w:szCs w:val="24"/>
              </w:rPr>
              <w:t>Intention to Stop Shopping from Sainsbury’s</w:t>
            </w:r>
          </w:p>
        </w:tc>
        <w:tc>
          <w:tcPr>
            <w:tcW w:w="2919" w:type="dxa"/>
          </w:tcPr>
          <w:p>
            <w:pPr>
              <w:widowControl w:val="0"/>
              <w:spacing w:line="240" w:lineRule="auto"/>
              <w:jc w:val="center"/>
              <w:rPr>
                <w:rFonts w:cs="Times New Roman"/>
                <w:bCs/>
                <w:szCs w:val="24"/>
              </w:rPr>
            </w:pPr>
            <w:r>
              <w:rPr>
                <w:rFonts w:cs="Times New Roman"/>
                <w:bCs/>
                <w:szCs w:val="24"/>
              </w:rPr>
              <w:t>21</w:t>
            </w:r>
          </w:p>
        </w:tc>
        <w:tc>
          <w:tcPr>
            <w:tcW w:w="3037" w:type="dxa"/>
          </w:tcPr>
          <w:p>
            <w:pPr>
              <w:widowControl w:val="0"/>
              <w:spacing w:line="240" w:lineRule="auto"/>
              <w:jc w:val="center"/>
              <w:rPr>
                <w:rFonts w:cs="Times New Roman"/>
                <w:bCs/>
                <w:szCs w:val="24"/>
              </w:rPr>
            </w:pPr>
            <w:r>
              <w:rPr>
                <w:rFonts w:cs="Times New Roman"/>
                <w:bCs/>
                <w:szCs w:val="24"/>
              </w:rPr>
              <w:t>8.1%</w:t>
            </w:r>
          </w:p>
        </w:tc>
      </w:tr>
    </w:tbl>
    <w:p>
      <w:pPr>
        <w:rPr>
          <w:rFonts w:cs="Times New Roman"/>
          <w:bCs/>
          <w:szCs w:val="24"/>
        </w:rPr>
      </w:pPr>
    </w:p>
    <w:p>
      <w:pPr>
        <w:rPr>
          <w:rFonts w:cs="Times New Roman"/>
          <w:bCs/>
          <w:szCs w:val="24"/>
        </w:rPr>
      </w:pPr>
      <w:r>
        <w:rPr>
          <w:rFonts w:cs="Times New Roman"/>
          <w:bCs/>
          <w:szCs w:val="24"/>
        </w:rPr>
        <w:t xml:space="preserve">The results showed that Sainsbury’s is at the risk of loosing its loyal market base, mainly due to its poor services, with 42 out of 56 (75%) complaints from loyal customers concerned with poor services, and 21 out of the 56 (37.5%) loyal customers expressed strong intention to stop shopping at Sainsbury’s. According to Wertz (2018) attracting new customers is five times more expensive than retaining existing customers. Meanwhile, Reichheld (2001) argued that retention rate by 5% can increase organizational profits up to 95%. Therefore, it is very important for Sainsbury’s to retain its loyal customers through improvement of its services. </w:t>
      </w:r>
    </w:p>
    <w:p>
      <w:pPr>
        <w:pStyle w:val="4"/>
        <w:spacing w:before="0" w:after="0"/>
        <w:rPr>
          <w:rFonts w:cs="Times New Roman"/>
          <w:sz w:val="24"/>
          <w:szCs w:val="24"/>
        </w:rPr>
      </w:pPr>
      <w:bookmarkStart w:id="17" w:name="_Toc39152457"/>
      <w:r>
        <w:rPr>
          <w:rFonts w:cs="Times New Roman"/>
          <w:sz w:val="24"/>
          <w:szCs w:val="24"/>
        </w:rPr>
        <w:t>3.2.4 Brand Trust</w:t>
      </w:r>
      <w:bookmarkEnd w:id="17"/>
    </w:p>
    <w:p>
      <w:pPr>
        <w:rPr>
          <w:rFonts w:cs="Times New Roman"/>
          <w:bCs/>
          <w:szCs w:val="24"/>
        </w:rPr>
      </w:pPr>
      <w:r>
        <w:rPr>
          <w:rFonts w:cs="Times New Roman"/>
          <w:bCs/>
          <w:szCs w:val="24"/>
        </w:rPr>
        <w:t xml:space="preserve">Although brand trust is a minor theme emerged from the data, as brand trust is critical, so it is regarded as worthy of discussion in this report. Number of complaints about product quality is relatively small. Out of the 257 reviews, only 34 reviews were concerned with the product quality of Sainsbury’s. Erosion of brand trust is caused by improper handle of people who are classified as vulnerable during the pandemic (14 reviews). In addition, out of the 257 reviews, 12 reviews expressed their speculation that Sainsbury’s is exploiting the pandemic for profits. </w:t>
      </w:r>
    </w:p>
    <w:p>
      <w:pPr>
        <w:rPr>
          <w:rFonts w:cs="Times New Roman"/>
          <w:bCs/>
          <w:szCs w:val="24"/>
        </w:rPr>
      </w:pPr>
      <w:r>
        <w:rPr>
          <w:rFonts w:cs="Times New Roman"/>
          <w:bCs/>
          <w:szCs w:val="24"/>
        </w:rPr>
        <w:t>For instance, as put by one customer:</w:t>
      </w:r>
    </w:p>
    <w:p>
      <w:pPr>
        <w:rPr>
          <w:rFonts w:cs="Times New Roman"/>
          <w:bCs/>
          <w:i/>
          <w:szCs w:val="24"/>
        </w:rPr>
      </w:pPr>
      <w:r>
        <w:rPr>
          <w:rFonts w:cs="Times New Roman"/>
          <w:bCs/>
          <w:szCs w:val="24"/>
        </w:rPr>
        <w:t>‘</w:t>
      </w:r>
      <w:r>
        <w:rPr>
          <w:rFonts w:cs="Times New Roman"/>
          <w:bCs/>
          <w:i/>
          <w:szCs w:val="24"/>
        </w:rPr>
        <w:t>Sainsbury's are clearly trying to exploit the Coronavirus situation to boost their profits at this time</w:t>
      </w:r>
      <w:r>
        <w:rPr>
          <w:rFonts w:cs="Times New Roman"/>
          <w:bCs/>
          <w:szCs w:val="24"/>
        </w:rPr>
        <w:t>..</w:t>
      </w:r>
      <w:r>
        <w:rPr>
          <w:rFonts w:cs="Times New Roman"/>
          <w:bCs/>
          <w:i/>
          <w:szCs w:val="24"/>
        </w:rPr>
        <w:t xml:space="preserve"> they…substitute items at a significantly higher cost than those I ordered’  </w:t>
      </w:r>
    </w:p>
    <w:p>
      <w:pPr>
        <w:rPr>
          <w:rFonts w:cs="Times New Roman"/>
          <w:bCs/>
          <w:szCs w:val="24"/>
        </w:rPr>
      </w:pPr>
      <w:r>
        <w:rPr>
          <w:rFonts w:cs="Times New Roman"/>
          <w:bCs/>
          <w:szCs w:val="24"/>
        </w:rPr>
        <w:t>Another customer reviewed that Sainsbury’s is taking ‘</w:t>
      </w:r>
      <w:r>
        <w:rPr>
          <w:rFonts w:cs="Times New Roman"/>
          <w:bCs/>
          <w:i/>
          <w:szCs w:val="24"/>
        </w:rPr>
        <w:t>the liberties with their customers, including overcharging</w:t>
      </w:r>
      <w:r>
        <w:rPr>
          <w:rFonts w:cs="Times New Roman"/>
          <w:bCs/>
          <w:szCs w:val="24"/>
        </w:rPr>
        <w:t>’ and selling goods ‘</w:t>
      </w:r>
      <w:r>
        <w:rPr>
          <w:rFonts w:cs="Times New Roman"/>
          <w:bCs/>
          <w:i/>
          <w:szCs w:val="24"/>
        </w:rPr>
        <w:t>past their sell by date</w:t>
      </w:r>
      <w:r>
        <w:rPr>
          <w:rFonts w:cs="Times New Roman"/>
          <w:bCs/>
          <w:szCs w:val="24"/>
        </w:rPr>
        <w:t xml:space="preserve">’. Brand trust has strong impact on customer satisfaction and customer loyalty. According to Suh and Han (2003), brand trust is defined as the belief of customers that the brand will fulfill certain functions. As brand trust indicates a strong relationship between the brand and the customers, brand trust is an important determinant of brand loyalty. They identified several factors can contribute to brand trust, including adequacy, honesty and philanthropy. Consequently, it is important that Sainsbury’s cast a positive brand image among customers. </w:t>
      </w:r>
    </w:p>
    <w:p>
      <w:pPr>
        <w:pStyle w:val="4"/>
        <w:spacing w:before="0" w:after="0"/>
        <w:rPr>
          <w:rFonts w:cs="Times New Roman"/>
          <w:bCs w:val="0"/>
          <w:sz w:val="24"/>
          <w:szCs w:val="24"/>
        </w:rPr>
      </w:pPr>
      <w:bookmarkStart w:id="18" w:name="_Toc39152458"/>
      <w:r>
        <w:rPr>
          <w:rFonts w:cs="Times New Roman"/>
          <w:bCs w:val="0"/>
          <w:sz w:val="24"/>
          <w:szCs w:val="24"/>
        </w:rPr>
        <w:t>3.2.5 Summarization of Qualitative Analysis of Customer Review</w:t>
      </w:r>
      <w:bookmarkEnd w:id="18"/>
    </w:p>
    <w:p>
      <w:pPr>
        <w:rPr>
          <w:rFonts w:cs="Times New Roman"/>
          <w:bCs/>
          <w:szCs w:val="24"/>
        </w:rPr>
      </w:pPr>
      <w:r>
        <w:rPr>
          <w:rFonts w:cs="Times New Roman"/>
          <w:bCs/>
          <w:szCs w:val="24"/>
        </w:rPr>
        <w:t>Analysis of customer review show that Sainsbury’s has the lowest score in terms of customer satisfaction among all four large supermarket chains. Although situational analysis shows that loss of cost leadership is a major cause of Sainsbury’s market share decline, this has not been confirmed by analysis of customer reviews. Instead, the main reason for customer dissatisfaction is the poor services. Especially, during the COVID-19, the customers were dissatisfied with the online-ordering and delivery services of Sainsbury’s. The results also show that Sainsbury’s is quickly losing its loyal customer base, and customers also has problems of brand trust. Consequently, from the perspective of customers, poor services, including online ordering services, is a major cause of customer erosion, which leads to market share decline.</w:t>
      </w:r>
    </w:p>
    <w:p>
      <w:pPr>
        <w:pStyle w:val="2"/>
        <w:spacing w:before="0" w:after="0"/>
        <w:rPr>
          <w:rFonts w:cs="Times New Roman"/>
          <w:sz w:val="24"/>
          <w:szCs w:val="24"/>
        </w:rPr>
      </w:pPr>
      <w:bookmarkStart w:id="19" w:name="_Toc39152459"/>
      <w:r>
        <w:rPr>
          <w:rFonts w:cs="Times New Roman"/>
          <w:sz w:val="24"/>
          <w:szCs w:val="24"/>
        </w:rPr>
        <w:t>4.0 Strategic Recommendations</w:t>
      </w:r>
      <w:bookmarkEnd w:id="19"/>
    </w:p>
    <w:p>
      <w:pPr>
        <w:rPr>
          <w:rFonts w:cs="Times New Roman"/>
          <w:bCs/>
          <w:szCs w:val="24"/>
        </w:rPr>
      </w:pPr>
      <w:r>
        <w:rPr>
          <w:rFonts w:cs="Times New Roman"/>
          <w:bCs/>
          <w:szCs w:val="24"/>
        </w:rPr>
        <w:t xml:space="preserve">Because of the intense competition in the supermarket sector, economic uncertainty, and demand from customers, it is recommended that Sainsbury’s should pursue a differentiation strategy. To achieve this strategy, Sainsbury’s is recommended to take the following measures. </w:t>
      </w:r>
    </w:p>
    <w:p>
      <w:pPr>
        <w:rPr>
          <w:rFonts w:cs="Times New Roman"/>
          <w:bCs/>
          <w:szCs w:val="24"/>
        </w:rPr>
      </w:pPr>
      <w:r>
        <w:rPr>
          <w:rFonts w:cs="Times New Roman"/>
          <w:bCs/>
          <w:szCs w:val="24"/>
        </w:rPr>
        <w:t xml:space="preserve">First, it needs to strengthen its human resource management. Poor service is major cause of customer dissatisfaction, which leads to loss of customer base and thus of market share. Sainsbury’s needs to provide proper trainings to employees and to instill a customer-centric mindset among the employees. A customer central approach can effectively improve customer satisfaction and experience. Meanwhile, it needs also to establish an incentive scheme which reward behaviors related to positive customer service. Additionally, it also needs to ensure that the employees are not overwhelmed by the workloads, and implement strong stress management strategies for employees. Second, it needs to take proactive moves to align their products to consumer needs, such as healthy food varieties, and convenience. For instance, according to Deloitte (2018), supermarkets and grocers have transition from mere provider of goods to purveyors of solutions and services through food, health and wellness. Some retails stores have dietitians and health specialists who can provide added value to store customers. In order to understand the needs and demands of customers, market research of a larger scale is needed. </w:t>
      </w:r>
    </w:p>
    <w:p>
      <w:pPr>
        <w:rPr>
          <w:rFonts w:cs="Times New Roman"/>
          <w:bCs/>
          <w:szCs w:val="24"/>
        </w:rPr>
      </w:pPr>
      <w:r>
        <w:rPr>
          <w:rFonts w:cs="Times New Roman"/>
          <w:bCs/>
          <w:szCs w:val="24"/>
        </w:rPr>
        <w:t xml:space="preserve">Third, Sainsbury’s needs to enhance its digital capabilities. The customer reviews analysis results show that the inadequate online capabilities of Sainsbury’s are a major cause of customer dissatisfaction. Improved online capability will increase its capacity to handle the surging customer demand for online ordering and delivery services during the COVID-19 pandemic. Meanwhile, strong digital capability is also essential to meet the demand of a growing customer trend for shopping food and supplies online. Fourth, it should sharpen its competitive edge in terms of product range. One of the strengths of Sainsbury is its product range, and it could form the core of the future differentiation strategy of Sainsbury’s. Through the provision of distinctive product range, Sainsbury’s can offer something that are not available in other stores. According to Deloitte (2018) building the brand through offering of private label is an effective strategy for supermarkets to compete in the market. </w:t>
      </w:r>
    </w:p>
    <w:p>
      <w:pPr>
        <w:rPr>
          <w:rFonts w:cs="Times New Roman"/>
          <w:bCs/>
          <w:szCs w:val="24"/>
        </w:rPr>
      </w:pPr>
    </w:p>
    <w:p>
      <w:pPr>
        <w:rPr>
          <w:rFonts w:cs="Times New Roman"/>
          <w:bCs/>
          <w:szCs w:val="24"/>
        </w:rPr>
      </w:pPr>
      <w:r>
        <w:rPr>
          <w:rFonts w:cs="Times New Roman"/>
          <w:bCs/>
          <w:szCs w:val="24"/>
        </w:rPr>
        <w:t xml:space="preserve">Fifth, low brand trust is a cause of customer dissatisfaction. Therefore, Sainsbury’s needs to improve brand trust among customers. Consensus has not been reached regarding the factors that can positively affect brand trust. However, researchers agreed that brand reputation is closely associated with brand trust (Creed and Miles; panda et al., 2014). Creed and Miles (1996) argued that brand reputation can lead to positive customer attitudes which will increase brand trust and purchase intention. Panda et al. (2014) also observed that brand reputation is an important determinant of brand trust. Promotions, such as advertising and public relations can help build a positive reputation. Thus, aggressive marketing is required. Sixth, due to increasing level of competitiveness in domestic market in the United Kingdom, Sainsbury’s can explore new opportunities in oversea markets, especially emerging markets which are experiencing power growth in the supermarket sector. According to IGD Research (2018), the markets with the highest cumulative average growth rate between 2018 to 2023 are Turkey (13.5%), Bangladesh (11.3%), India (11.2%), and Nigeria (10.4%). These are the emerging markets that Sainsbury’s can consider when decide to go overseas. </w:t>
      </w:r>
    </w:p>
    <w:p>
      <w:pPr>
        <w:rPr>
          <w:rFonts w:cs="Times New Roman"/>
          <w:b/>
          <w:bCs/>
          <w:szCs w:val="24"/>
        </w:rPr>
      </w:pPr>
    </w:p>
    <w:p>
      <w:pPr>
        <w:pStyle w:val="2"/>
        <w:spacing w:before="0" w:after="0"/>
        <w:rPr>
          <w:rFonts w:cs="Times New Roman"/>
          <w:sz w:val="24"/>
          <w:szCs w:val="24"/>
        </w:rPr>
      </w:pPr>
      <w:bookmarkStart w:id="20" w:name="_Toc39152460"/>
      <w:r>
        <w:rPr>
          <w:rFonts w:cs="Times New Roman"/>
          <w:sz w:val="24"/>
          <w:szCs w:val="24"/>
        </w:rPr>
        <w:t>5.0 Conclusion</w:t>
      </w:r>
      <w:bookmarkEnd w:id="20"/>
    </w:p>
    <w:p>
      <w:pPr>
        <w:rPr>
          <w:rFonts w:cs="Times New Roman"/>
          <w:szCs w:val="24"/>
        </w:rPr>
      </w:pPr>
      <w:r>
        <w:rPr>
          <w:rFonts w:cs="Times New Roman"/>
          <w:szCs w:val="24"/>
        </w:rPr>
        <w:t xml:space="preserve">This consultancy report examined the causes of market decline of Sainsbury’s through market research, and developed recommendations on the basis of the findings. Results of situational analysis shows that Sainsbury’s has lost its cost leadership in the supermarket sector, has poor customer relationship management skills, and is slow at responding to changes in the market. It has a distinct product range which can be leveraged to achieve market differentiation. The COVID-19 pandemic also presents opportunities for to rebuild its brand. Analysis of customer reviews show that Sainsbury’s has very low level of customer satisfaction, over half of the customers are unsatisfied with the services. Inadequate online capability is also major cause of customer complaint. Meanwhile, Sainsbury’s is also losing loyal customers over poor services. It also suffers from the issue of poor brand trust. Basing on these findings, it is recommended that Sainsbury’s should improve its service through training of its employees, improve alignment of product alignment with customer needs, strengthening its online capabilities, sharpen its competitive advantage in terms of product range, build brand trust through aggressive marketing, and explore opportunities to enter oversea markets. </w:t>
      </w: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pStyle w:val="2"/>
        <w:rPr>
          <w:rFonts w:cs="Times New Roman"/>
          <w:sz w:val="24"/>
          <w:szCs w:val="24"/>
        </w:rPr>
      </w:pPr>
      <w:bookmarkStart w:id="21" w:name="_Toc39152461"/>
      <w:bookmarkStart w:id="22" w:name="_Hlk39150859"/>
      <w:r>
        <w:rPr>
          <w:rFonts w:cs="Times New Roman"/>
          <w:sz w:val="24"/>
          <w:szCs w:val="24"/>
        </w:rPr>
        <w:t>Reference</w:t>
      </w:r>
      <w:bookmarkEnd w:id="21"/>
    </w:p>
    <w:p>
      <w:pPr>
        <w:spacing w:before="100" w:beforeAutospacing="1" w:after="100" w:afterAutospacing="1" w:line="240" w:lineRule="auto"/>
        <w:rPr>
          <w:rFonts w:cs="Times New Roman"/>
          <w:szCs w:val="24"/>
        </w:rPr>
      </w:pPr>
      <w:r>
        <w:rPr>
          <w:rFonts w:cs="Times New Roman"/>
          <w:szCs w:val="24"/>
        </w:rPr>
        <w:t xml:space="preserve">BBC News. 2018. Aldi tops supermarket satisfaction survey. [Online]. Available at </w:t>
      </w:r>
      <w:r>
        <w:fldChar w:fldCharType="begin"/>
      </w:r>
      <w:r>
        <w:instrText xml:space="preserve"> HYPERLINK "https://www.bbc.com/news/business-43026318" </w:instrText>
      </w:r>
      <w:r>
        <w:fldChar w:fldCharType="separate"/>
      </w:r>
      <w:r>
        <w:rPr>
          <w:rStyle w:val="17"/>
          <w:rFonts w:cs="Times New Roman"/>
          <w:szCs w:val="24"/>
        </w:rPr>
        <w:t>https://www.bbc.com/news/business-43026318</w:t>
      </w:r>
      <w:r>
        <w:rPr>
          <w:rStyle w:val="17"/>
          <w:rFonts w:cs="Times New Roman"/>
          <w:szCs w:val="24"/>
        </w:rPr>
        <w:fldChar w:fldCharType="end"/>
      </w:r>
    </w:p>
    <w:p>
      <w:pPr>
        <w:spacing w:before="100" w:beforeAutospacing="1" w:after="100" w:afterAutospacing="1" w:line="240" w:lineRule="auto"/>
        <w:rPr>
          <w:rFonts w:cs="Times New Roman"/>
          <w:szCs w:val="24"/>
        </w:rPr>
      </w:pPr>
      <w:r>
        <w:rPr>
          <w:rFonts w:cs="Times New Roman"/>
          <w:szCs w:val="24"/>
        </w:rPr>
        <w:t xml:space="preserve">BBC News. 2019. Trustpilot. [Online]. Available at </w:t>
      </w:r>
      <w:r>
        <w:fldChar w:fldCharType="begin"/>
      </w:r>
      <w:r>
        <w:instrText xml:space="preserve"> HYPERLINK "https://www.bbc.co.uk/programmes/articles/3SkLXs4RK24Lzx0sPYXVRpg/trustpilot" </w:instrText>
      </w:r>
      <w:r>
        <w:fldChar w:fldCharType="separate"/>
      </w:r>
      <w:r>
        <w:rPr>
          <w:rStyle w:val="17"/>
          <w:rFonts w:cs="Times New Roman"/>
          <w:szCs w:val="24"/>
        </w:rPr>
        <w:t>https://www.bbc.co.uk/programmes/articles/3SkLXs4RK24Lzx0sPYXVRpg/trustpilot</w:t>
      </w:r>
      <w:r>
        <w:rPr>
          <w:rStyle w:val="17"/>
          <w:rFonts w:cs="Times New Roman"/>
          <w:szCs w:val="24"/>
        </w:rPr>
        <w:fldChar w:fldCharType="end"/>
      </w:r>
    </w:p>
    <w:p>
      <w:pPr>
        <w:spacing w:before="100" w:beforeAutospacing="1" w:after="100" w:afterAutospacing="1" w:line="240" w:lineRule="auto"/>
        <w:rPr>
          <w:rFonts w:eastAsia="宋体" w:cs="Times New Roman"/>
          <w:szCs w:val="24"/>
        </w:rPr>
      </w:pPr>
      <w:r>
        <w:rPr>
          <w:rFonts w:cs="Times New Roman"/>
          <w:szCs w:val="24"/>
        </w:rPr>
        <w:t xml:space="preserve">BBC News. 2020. Coronavirus: World faces worst recession since Great Depression.  [Online]. Available at </w:t>
      </w:r>
      <w:r>
        <w:fldChar w:fldCharType="begin"/>
      </w:r>
      <w:r>
        <w:instrText xml:space="preserve"> HYPERLINK "https://www.bbc.com/news/business-52273988" </w:instrText>
      </w:r>
      <w:r>
        <w:fldChar w:fldCharType="separate"/>
      </w:r>
      <w:r>
        <w:rPr>
          <w:rStyle w:val="17"/>
          <w:rFonts w:cs="Times New Roman"/>
          <w:szCs w:val="24"/>
        </w:rPr>
        <w:t>https://www.bbc.com/news/business-52273988</w:t>
      </w:r>
      <w:r>
        <w:rPr>
          <w:rStyle w:val="17"/>
          <w:rFonts w:cs="Times New Roman"/>
          <w:szCs w:val="24"/>
        </w:rPr>
        <w:fldChar w:fldCharType="end"/>
      </w:r>
    </w:p>
    <w:p>
      <w:pPr>
        <w:spacing w:before="100" w:beforeAutospacing="1" w:after="100" w:afterAutospacing="1" w:line="240" w:lineRule="auto"/>
        <w:rPr>
          <w:rFonts w:cs="Times New Roman"/>
          <w:szCs w:val="24"/>
        </w:rPr>
      </w:pPr>
      <w:r>
        <w:rPr>
          <w:rFonts w:cs="Times New Roman"/>
          <w:szCs w:val="24"/>
        </w:rPr>
        <w:t xml:space="preserve">Creed, W.E.D. and Miles, R. E. 1996. Trust in organizations: A conceptual framework linking organizational forms, managerial philosophies, and the opportunity cost of controls. In Kramer, R. and Tyles, T. (eds). </w:t>
      </w:r>
      <w:r>
        <w:rPr>
          <w:rFonts w:cs="Times New Roman"/>
          <w:i/>
          <w:iCs/>
          <w:szCs w:val="24"/>
        </w:rPr>
        <w:t>Trust and organizations: Frontiers of theory and research</w:t>
      </w:r>
      <w:r>
        <w:rPr>
          <w:rFonts w:cs="Times New Roman"/>
          <w:szCs w:val="24"/>
        </w:rPr>
        <w:t xml:space="preserve"> (pp. 16-38). Thousand Oaks: SAGE Publications. </w:t>
      </w:r>
    </w:p>
    <w:p>
      <w:pPr>
        <w:spacing w:before="100" w:beforeAutospacing="1" w:after="100" w:afterAutospacing="1" w:line="240" w:lineRule="auto"/>
        <w:rPr>
          <w:rFonts w:cs="Times New Roman"/>
          <w:color w:val="0000FF"/>
          <w:szCs w:val="24"/>
          <w:u w:val="single"/>
        </w:rPr>
      </w:pPr>
      <w:r>
        <w:rPr>
          <w:rFonts w:cs="Times New Roman"/>
          <w:szCs w:val="24"/>
        </w:rPr>
        <w:t xml:space="preserve">Deloitte. 2018. Global powers of retailing. [Online]. Available at </w:t>
      </w:r>
      <w:r>
        <w:fldChar w:fldCharType="begin"/>
      </w:r>
      <w:r>
        <w:instrText xml:space="preserve"> HYPERLINK "https://www2.deloitte.com/content/dam/Deloitte/at/Documents/about-deloitte/global-powers-of-retailing-2018.pdf" </w:instrText>
      </w:r>
      <w:r>
        <w:fldChar w:fldCharType="separate"/>
      </w:r>
      <w:r>
        <w:rPr>
          <w:rStyle w:val="17"/>
          <w:rFonts w:cs="Times New Roman"/>
          <w:szCs w:val="24"/>
        </w:rPr>
        <w:t>https://www2.deloitte.com/content/dam/Deloitte/at/Documents/about-deloitte/global-powers-of-retailing-2018.pdf</w:t>
      </w:r>
      <w:r>
        <w:rPr>
          <w:rStyle w:val="17"/>
          <w:rFonts w:cs="Times New Roman"/>
          <w:szCs w:val="24"/>
        </w:rPr>
        <w:fldChar w:fldCharType="end"/>
      </w:r>
    </w:p>
    <w:p>
      <w:pPr>
        <w:spacing w:before="100" w:beforeAutospacing="1" w:after="100" w:afterAutospacing="1" w:line="240" w:lineRule="auto"/>
        <w:rPr>
          <w:rFonts w:cs="Times New Roman"/>
          <w:szCs w:val="24"/>
        </w:rPr>
      </w:pPr>
      <w:r>
        <w:rPr>
          <w:rFonts w:cs="Times New Roman"/>
          <w:szCs w:val="24"/>
        </w:rPr>
        <w:t xml:space="preserve">Dimitriu, M.C. and Mitovski, A. 2014. Motivation of employees and organizational stress management. </w:t>
      </w:r>
    </w:p>
    <w:p>
      <w:pPr>
        <w:spacing w:before="100" w:beforeAutospacing="1" w:after="100" w:afterAutospacing="1" w:line="240" w:lineRule="auto"/>
        <w:rPr>
          <w:rFonts w:cs="Times New Roman"/>
          <w:szCs w:val="24"/>
        </w:rPr>
      </w:pPr>
      <w:r>
        <w:rPr>
          <w:rFonts w:cs="Times New Roman"/>
          <w:szCs w:val="24"/>
        </w:rPr>
        <w:t xml:space="preserve">Griswold, A. 2020. The UK led the world in online grocery delivery- Until coronavirus happened. [Online]. Available at </w:t>
      </w:r>
      <w:r>
        <w:fldChar w:fldCharType="begin"/>
      </w:r>
      <w:r>
        <w:instrText xml:space="preserve"> HYPERLINK "https://qz.com/1819855/coronavirus-overwhelms-ocado-uk-online-grocery-delivery/" </w:instrText>
      </w:r>
      <w:r>
        <w:fldChar w:fldCharType="separate"/>
      </w:r>
      <w:r>
        <w:rPr>
          <w:rStyle w:val="17"/>
          <w:rFonts w:cs="Times New Roman"/>
          <w:szCs w:val="24"/>
        </w:rPr>
        <w:t>https://qz.com/1819855/coronavirus-overwhelms-ocado-uk-online-grocery-delivery/</w:t>
      </w:r>
      <w:r>
        <w:rPr>
          <w:rStyle w:val="17"/>
          <w:rFonts w:cs="Times New Roman"/>
          <w:szCs w:val="24"/>
        </w:rPr>
        <w:fldChar w:fldCharType="end"/>
      </w:r>
    </w:p>
    <w:p>
      <w:pPr>
        <w:spacing w:before="100" w:beforeAutospacing="1" w:after="100" w:afterAutospacing="1" w:line="240" w:lineRule="auto"/>
        <w:rPr>
          <w:rFonts w:cs="Times New Roman"/>
          <w:szCs w:val="24"/>
        </w:rPr>
      </w:pPr>
      <w:bookmarkStart w:id="23" w:name="_Hlk39133369"/>
      <w:r>
        <w:rPr>
          <w:rFonts w:cs="Times New Roman"/>
          <w:szCs w:val="24"/>
        </w:rPr>
        <w:t>Guest, G., MacQueen, K.M., and Namely</w:t>
      </w:r>
      <w:bookmarkEnd w:id="23"/>
      <w:r>
        <w:rPr>
          <w:rFonts w:cs="Times New Roman"/>
          <w:szCs w:val="24"/>
        </w:rPr>
        <w:t xml:space="preserve">, E.E. 2012. Applied thematic analysis. Thousand Oks: SAGE Publications. </w:t>
      </w:r>
    </w:p>
    <w:p>
      <w:pPr>
        <w:spacing w:before="100" w:beforeAutospacing="1" w:after="100" w:afterAutospacing="1" w:line="240" w:lineRule="auto"/>
        <w:rPr>
          <w:rFonts w:cs="Times New Roman"/>
          <w:szCs w:val="24"/>
        </w:rPr>
      </w:pPr>
      <w:r>
        <w:rPr>
          <w:rFonts w:cs="Times New Roman"/>
          <w:szCs w:val="24"/>
        </w:rPr>
        <w:t xml:space="preserve">IGD. 2020/ Global grocery market forecast. [Online]. Available at </w:t>
      </w:r>
      <w:r>
        <w:fldChar w:fldCharType="begin"/>
      </w:r>
      <w:r>
        <w:instrText xml:space="preserve"> HYPERLINK "https://www.igd.com/articles/article-viewer/t/global-grocery-markets-forecast-to-create-19-trillion-opportunity-by-2023/i/20842" </w:instrText>
      </w:r>
      <w:r>
        <w:fldChar w:fldCharType="separate"/>
      </w:r>
      <w:r>
        <w:rPr>
          <w:rStyle w:val="17"/>
          <w:rFonts w:cs="Times New Roman"/>
          <w:szCs w:val="24"/>
        </w:rPr>
        <w:t>https://www.igd.com/articles/article-viewer/t/global-grocery-markets-forecast-to-create-19-trillion-opportunity-by-2023/i/20842</w:t>
      </w:r>
      <w:r>
        <w:rPr>
          <w:rStyle w:val="17"/>
          <w:rFonts w:cs="Times New Roman"/>
          <w:szCs w:val="24"/>
        </w:rPr>
        <w:fldChar w:fldCharType="end"/>
      </w:r>
    </w:p>
    <w:p>
      <w:pPr>
        <w:spacing w:before="100" w:beforeAutospacing="1" w:after="100" w:afterAutospacing="1" w:line="240" w:lineRule="auto"/>
        <w:rPr>
          <w:rFonts w:cs="Times New Roman"/>
          <w:szCs w:val="24"/>
        </w:rPr>
      </w:pPr>
      <w:r>
        <w:rPr>
          <w:rFonts w:cs="Times New Roman"/>
          <w:szCs w:val="24"/>
        </w:rPr>
        <w:t>Panda, R., Swar, B.N. and Mukerjee, K. 2014. Factors affecting brand trust: An exploratory investigation among Indian retail consumers.</w:t>
      </w:r>
      <w:r>
        <w:rPr>
          <w:rFonts w:cs="Times New Roman"/>
          <w:i/>
          <w:iCs/>
          <w:szCs w:val="24"/>
        </w:rPr>
        <w:t xml:space="preserve"> Indian Journal of Marketing</w:t>
      </w:r>
      <w:r>
        <w:rPr>
          <w:rFonts w:cs="Times New Roman"/>
          <w:szCs w:val="24"/>
        </w:rPr>
        <w:t>, 44(7): 331-342</w:t>
      </w:r>
    </w:p>
    <w:p>
      <w:pPr>
        <w:spacing w:before="100" w:beforeAutospacing="1" w:after="100" w:afterAutospacing="1" w:line="240" w:lineRule="auto"/>
        <w:rPr>
          <w:rFonts w:eastAsia="宋体" w:cs="Times New Roman"/>
          <w:szCs w:val="24"/>
        </w:rPr>
      </w:pPr>
      <w:r>
        <w:rPr>
          <w:rFonts w:cs="Times New Roman"/>
          <w:szCs w:val="24"/>
        </w:rPr>
        <w:t xml:space="preserve">PwC. 2019. Store wars: The supermarket strikes back. [Online]. Available at </w:t>
      </w:r>
      <w:r>
        <w:fldChar w:fldCharType="begin"/>
      </w:r>
      <w:r>
        <w:instrText xml:space="preserve"> HYPERLINK "https://www.pwc.co.uk/industries/retail-consumer/insights/the-consumer-global-m-and-a-trends-in-the-consumer-sector/store-wars-the-supermarket-strikes-back.html" </w:instrText>
      </w:r>
      <w:r>
        <w:fldChar w:fldCharType="separate"/>
      </w:r>
      <w:r>
        <w:rPr>
          <w:rStyle w:val="17"/>
          <w:rFonts w:cs="Times New Roman"/>
          <w:szCs w:val="24"/>
        </w:rPr>
        <w:t>https://www.pwc.co.uk/industries/retail-consumer/insights/the-consumer-global-m-and-a-trends-in-the-consumer-sector/store-wars-the-supermarket-strikes-back.html</w:t>
      </w:r>
      <w:r>
        <w:rPr>
          <w:rStyle w:val="17"/>
          <w:rFonts w:cs="Times New Roman"/>
          <w:szCs w:val="24"/>
        </w:rPr>
        <w:fldChar w:fldCharType="end"/>
      </w:r>
    </w:p>
    <w:p>
      <w:pPr>
        <w:spacing w:before="100" w:beforeAutospacing="1" w:after="100" w:afterAutospacing="1" w:line="240" w:lineRule="auto"/>
        <w:rPr>
          <w:rFonts w:eastAsia="宋体" w:cs="Times New Roman"/>
          <w:szCs w:val="24"/>
        </w:rPr>
      </w:pPr>
      <w:r>
        <w:rPr>
          <w:rFonts w:cs="Times New Roman"/>
          <w:szCs w:val="24"/>
        </w:rPr>
        <w:t xml:space="preserve">Rasmi, A. 2020. Tesco’s sales are soaring, but so are its coronavirus related costs. Quartz. [Online]. Available at </w:t>
      </w:r>
      <w:r>
        <w:fldChar w:fldCharType="begin"/>
      </w:r>
      <w:r>
        <w:instrText xml:space="preserve"> HYPERLINK "https://qz.com/1834850/tescos-sales-are-soaring-but-so-are-its-coronavirus-related-costs/" </w:instrText>
      </w:r>
      <w:r>
        <w:fldChar w:fldCharType="separate"/>
      </w:r>
      <w:r>
        <w:rPr>
          <w:rStyle w:val="17"/>
          <w:rFonts w:cs="Times New Roman"/>
          <w:szCs w:val="24"/>
        </w:rPr>
        <w:t>https://qz.com/1834850/tescos-sales-are-soaring-but-so-are-its-coronavirus-related-costs/</w:t>
      </w:r>
      <w:r>
        <w:rPr>
          <w:rStyle w:val="17"/>
          <w:rFonts w:cs="Times New Roman"/>
          <w:szCs w:val="24"/>
        </w:rPr>
        <w:fldChar w:fldCharType="end"/>
      </w:r>
    </w:p>
    <w:p>
      <w:pPr>
        <w:spacing w:before="100" w:beforeAutospacing="1" w:after="100" w:afterAutospacing="1" w:line="240" w:lineRule="auto"/>
        <w:rPr>
          <w:rFonts w:cs="Times New Roman"/>
          <w:szCs w:val="24"/>
        </w:rPr>
      </w:pPr>
      <w:r>
        <w:rPr>
          <w:rFonts w:cs="Times New Roman"/>
          <w:szCs w:val="24"/>
        </w:rPr>
        <w:t xml:space="preserve">Reichheild, F. 2001. Prescription for cutting costs. [Online]. Available at </w:t>
      </w:r>
      <w:r>
        <w:fldChar w:fldCharType="begin"/>
      </w:r>
      <w:r>
        <w:instrText xml:space="preserve"> HYPERLINK "http://www2.bain.com/Images/BB_Prescription_cutting_costs.pdf" </w:instrText>
      </w:r>
      <w:r>
        <w:fldChar w:fldCharType="separate"/>
      </w:r>
      <w:r>
        <w:rPr>
          <w:rStyle w:val="17"/>
          <w:rFonts w:cs="Times New Roman"/>
          <w:szCs w:val="24"/>
        </w:rPr>
        <w:t>http://www2.bain.com/Images/BB_Prescription_cutting_costs.pdf</w:t>
      </w:r>
      <w:r>
        <w:rPr>
          <w:rStyle w:val="17"/>
          <w:rFonts w:cs="Times New Roman"/>
          <w:szCs w:val="24"/>
        </w:rPr>
        <w:fldChar w:fldCharType="end"/>
      </w:r>
    </w:p>
    <w:p>
      <w:pPr>
        <w:spacing w:before="100" w:beforeAutospacing="1" w:after="100" w:afterAutospacing="1" w:line="240" w:lineRule="auto"/>
        <w:rPr>
          <w:rFonts w:eastAsia="宋体" w:cs="Times New Roman"/>
          <w:szCs w:val="24"/>
        </w:rPr>
      </w:pPr>
      <w:r>
        <w:rPr>
          <w:rFonts w:cs="Times New Roman"/>
          <w:szCs w:val="24"/>
        </w:rPr>
        <w:t xml:space="preserve">Retail Detail. 2020. Discounters keep eating away British supermarkets market share. [Online]. Available at </w:t>
      </w:r>
      <w:r>
        <w:fldChar w:fldCharType="begin"/>
      </w:r>
      <w:r>
        <w:instrText xml:space="preserve"> HYPERLINK "https://www.retaildetail.eu/en/news/food/discounters-keep-eating-away-british-supermarkets-market-share" </w:instrText>
      </w:r>
      <w:r>
        <w:fldChar w:fldCharType="separate"/>
      </w:r>
      <w:r>
        <w:rPr>
          <w:rStyle w:val="17"/>
          <w:rFonts w:cs="Times New Roman"/>
          <w:szCs w:val="24"/>
        </w:rPr>
        <w:t>https://www.retaildetail.eu/en/news/food/discounters-keep-eating-away-british-supermarkets-market-share</w:t>
      </w:r>
      <w:r>
        <w:rPr>
          <w:rStyle w:val="17"/>
          <w:rFonts w:cs="Times New Roman"/>
          <w:szCs w:val="24"/>
        </w:rPr>
        <w:fldChar w:fldCharType="end"/>
      </w:r>
    </w:p>
    <w:p>
      <w:pPr>
        <w:spacing w:before="100" w:beforeAutospacing="1" w:after="100" w:afterAutospacing="1" w:line="240" w:lineRule="auto"/>
        <w:rPr>
          <w:rFonts w:eastAsia="宋体" w:cs="Times New Roman"/>
          <w:szCs w:val="24"/>
        </w:rPr>
      </w:pPr>
      <w:r>
        <w:rPr>
          <w:rFonts w:cs="Times New Roman"/>
          <w:szCs w:val="24"/>
        </w:rPr>
        <w:t xml:space="preserve">Trustpilot. 2020. Sainsbury’s. [Online]. Available at </w:t>
      </w:r>
      <w:bookmarkEnd w:id="22"/>
      <w:r>
        <w:rPr>
          <w:rFonts w:cs="Times New Roman"/>
          <w:szCs w:val="24"/>
        </w:rPr>
        <w:fldChar w:fldCharType="begin"/>
      </w:r>
      <w:r>
        <w:rPr>
          <w:rFonts w:cs="Times New Roman"/>
          <w:szCs w:val="24"/>
        </w:rPr>
        <w:instrText xml:space="preserve"> HYPERLINK "https://uk.trustpilot.com/review/www.sainsburys.co.uk?page=8" </w:instrText>
      </w:r>
      <w:r>
        <w:rPr>
          <w:rFonts w:cs="Times New Roman"/>
          <w:szCs w:val="24"/>
        </w:rPr>
        <w:fldChar w:fldCharType="separate"/>
      </w:r>
      <w:r>
        <w:rPr>
          <w:rStyle w:val="17"/>
          <w:rFonts w:cs="Times New Roman"/>
          <w:szCs w:val="24"/>
        </w:rPr>
        <w:t>https://uk.trustpilot.com/review/www.sainsburys.co.uk?page=8</w:t>
      </w:r>
      <w:r>
        <w:rPr>
          <w:rFonts w:cs="Times New Roman"/>
          <w:szCs w:val="24"/>
        </w:rPr>
        <w:fldChar w:fldCharType="end"/>
      </w:r>
    </w:p>
    <w:p>
      <w:pPr>
        <w:spacing w:before="100" w:beforeAutospacing="1" w:after="100" w:afterAutospacing="1" w:line="240" w:lineRule="auto"/>
        <w:rPr>
          <w:rFonts w:eastAsia="宋体" w:cs="Times New Roman"/>
          <w:szCs w:val="24"/>
        </w:rPr>
      </w:pPr>
      <w:r>
        <w:rPr>
          <w:rFonts w:cs="Times New Roman"/>
          <w:szCs w:val="24"/>
        </w:rPr>
        <w:t xml:space="preserve">Trustpilot. 2020. Tesco. </w:t>
      </w:r>
      <w:bookmarkStart w:id="24" w:name="_Hlk39151686"/>
      <w:r>
        <w:rPr>
          <w:rFonts w:cs="Times New Roman"/>
          <w:szCs w:val="24"/>
        </w:rPr>
        <w:t xml:space="preserve">[Online]. Available at </w:t>
      </w:r>
      <w:bookmarkEnd w:id="24"/>
      <w:r>
        <w:rPr>
          <w:rFonts w:eastAsia="宋体" w:cs="Times New Roman"/>
          <w:szCs w:val="24"/>
        </w:rPr>
        <w:fldChar w:fldCharType="begin"/>
      </w:r>
      <w:r>
        <w:rPr>
          <w:rFonts w:eastAsia="宋体" w:cs="Times New Roman"/>
          <w:szCs w:val="24"/>
        </w:rPr>
        <w:instrText xml:space="preserve"> HYPERLINK "https://uk.trustpilot.com/review/www.tesco.com" </w:instrText>
      </w:r>
      <w:r>
        <w:rPr>
          <w:rFonts w:eastAsia="宋体" w:cs="Times New Roman"/>
          <w:szCs w:val="24"/>
        </w:rPr>
        <w:fldChar w:fldCharType="separate"/>
      </w:r>
      <w:r>
        <w:rPr>
          <w:rStyle w:val="17"/>
          <w:rFonts w:eastAsia="宋体" w:cs="Times New Roman"/>
          <w:szCs w:val="24"/>
        </w:rPr>
        <w:t>https://uk.trustpilot.com/review/www.tesco.com</w:t>
      </w:r>
      <w:r>
        <w:rPr>
          <w:rFonts w:eastAsia="宋体" w:cs="Times New Roman"/>
          <w:szCs w:val="24"/>
        </w:rPr>
        <w:fldChar w:fldCharType="end"/>
      </w:r>
    </w:p>
    <w:p>
      <w:pPr>
        <w:spacing w:before="100" w:beforeAutospacing="1" w:after="100" w:afterAutospacing="1" w:line="240" w:lineRule="auto"/>
        <w:rPr>
          <w:rFonts w:eastAsia="宋体" w:cs="Times New Roman"/>
          <w:szCs w:val="24"/>
        </w:rPr>
      </w:pPr>
      <w:r>
        <w:rPr>
          <w:rFonts w:cs="Times New Roman"/>
          <w:szCs w:val="24"/>
        </w:rPr>
        <w:t xml:space="preserve">Trustpilot. 2020. Asda. [Online]. Available at </w:t>
      </w:r>
      <w:r>
        <w:fldChar w:fldCharType="begin"/>
      </w:r>
      <w:r>
        <w:instrText xml:space="preserve"> HYPERLINK "https://www.trustpilot.com/review/www.asda.com" </w:instrText>
      </w:r>
      <w:r>
        <w:fldChar w:fldCharType="separate"/>
      </w:r>
      <w:r>
        <w:rPr>
          <w:rStyle w:val="17"/>
          <w:rFonts w:eastAsia="宋体" w:cs="Times New Roman"/>
          <w:szCs w:val="24"/>
        </w:rPr>
        <w:t>https://www.trustpilot.com/review/www.asda.com</w:t>
      </w:r>
      <w:r>
        <w:rPr>
          <w:rStyle w:val="17"/>
          <w:rFonts w:eastAsia="宋体" w:cs="Times New Roman"/>
          <w:szCs w:val="24"/>
        </w:rPr>
        <w:fldChar w:fldCharType="end"/>
      </w:r>
    </w:p>
    <w:p>
      <w:pPr>
        <w:spacing w:before="100" w:beforeAutospacing="1" w:after="100" w:afterAutospacing="1" w:line="240" w:lineRule="auto"/>
        <w:rPr>
          <w:rFonts w:eastAsia="宋体" w:cs="Times New Roman"/>
          <w:szCs w:val="24"/>
        </w:rPr>
      </w:pPr>
      <w:r>
        <w:rPr>
          <w:rFonts w:cs="Times New Roman"/>
          <w:szCs w:val="24"/>
        </w:rPr>
        <w:t xml:space="preserve">Trustpilot. 2020. Morrisons. [Online]. Available at </w:t>
      </w:r>
      <w:r>
        <w:fldChar w:fldCharType="begin"/>
      </w:r>
      <w:r>
        <w:instrText xml:space="preserve"> HYPERLINK "https://www.trustpilot.com/review/morrisons.com" </w:instrText>
      </w:r>
      <w:r>
        <w:fldChar w:fldCharType="separate"/>
      </w:r>
      <w:r>
        <w:rPr>
          <w:rStyle w:val="17"/>
          <w:rFonts w:eastAsia="宋体" w:cs="Times New Roman"/>
          <w:szCs w:val="24"/>
        </w:rPr>
        <w:t>https://www.trustpilot.com/review/morrisons.com</w:t>
      </w:r>
      <w:r>
        <w:rPr>
          <w:rStyle w:val="17"/>
          <w:rFonts w:eastAsia="宋体" w:cs="Times New Roman"/>
          <w:szCs w:val="24"/>
        </w:rPr>
        <w:fldChar w:fldCharType="end"/>
      </w:r>
    </w:p>
    <w:p>
      <w:pPr>
        <w:spacing w:before="100" w:beforeAutospacing="1" w:after="100" w:afterAutospacing="1" w:line="240" w:lineRule="auto"/>
        <w:rPr>
          <w:rFonts w:cs="Times New Roman"/>
          <w:szCs w:val="24"/>
        </w:rPr>
      </w:pPr>
      <w:r>
        <w:rPr>
          <w:rFonts w:cs="Times New Roman"/>
          <w:szCs w:val="24"/>
        </w:rPr>
        <w:t xml:space="preserve">Sainsbury. 2018. Sustainability report. [Online]. Available at </w:t>
      </w:r>
      <w:r>
        <w:fldChar w:fldCharType="begin"/>
      </w:r>
      <w:r>
        <w:instrText xml:space="preserve"> HYPERLINK "https://www.about.sainsburys.co.uk/~/media/Files/S/Sainsburys/documents/making-a-difference/Sustainability_Update_2018.pdf" </w:instrText>
      </w:r>
      <w:r>
        <w:fldChar w:fldCharType="separate"/>
      </w:r>
      <w:r>
        <w:rPr>
          <w:rStyle w:val="17"/>
          <w:rFonts w:cs="Times New Roman"/>
          <w:szCs w:val="24"/>
        </w:rPr>
        <w:t>https://www.about.sainsburys.co.uk/~/media/Files/S/Sainsburys/documents/making-a-difference/Sustainability_Update_2018.pdf</w:t>
      </w:r>
      <w:r>
        <w:rPr>
          <w:rStyle w:val="17"/>
          <w:rFonts w:cs="Times New Roman"/>
          <w:szCs w:val="24"/>
        </w:rPr>
        <w:fldChar w:fldCharType="end"/>
      </w:r>
    </w:p>
    <w:p>
      <w:pPr>
        <w:spacing w:before="100" w:beforeAutospacing="1" w:after="100" w:afterAutospacing="1" w:line="240" w:lineRule="auto"/>
        <w:rPr>
          <w:rFonts w:cs="Times New Roman"/>
          <w:szCs w:val="24"/>
        </w:rPr>
      </w:pPr>
      <w:r>
        <w:rPr>
          <w:rFonts w:cs="Times New Roman"/>
          <w:szCs w:val="24"/>
        </w:rPr>
        <w:t xml:space="preserve">Sainsbury’s. 2019. Interim report. [Online]. Available at </w:t>
      </w:r>
      <w:r>
        <w:fldChar w:fldCharType="begin"/>
      </w:r>
      <w:r>
        <w:instrText xml:space="preserve"> HYPERLINK "https://www.about.sainsburys.co.uk/~/media/Files/S/Sainsburys/documents/reports-and-presentations/2019/Interims%201920%20RNS.pdf" </w:instrText>
      </w:r>
      <w:r>
        <w:fldChar w:fldCharType="separate"/>
      </w:r>
      <w:r>
        <w:rPr>
          <w:rStyle w:val="17"/>
          <w:rFonts w:cs="Times New Roman"/>
          <w:szCs w:val="24"/>
        </w:rPr>
        <w:t>https://www.about.sainsburys.co.uk/~/media/Files/S/Sainsburys/documents/reports-and-presentations/2019/Interims%201920%20RNS.pdf</w:t>
      </w:r>
      <w:r>
        <w:rPr>
          <w:rStyle w:val="17"/>
          <w:rFonts w:cs="Times New Roman"/>
          <w:szCs w:val="24"/>
        </w:rPr>
        <w:fldChar w:fldCharType="end"/>
      </w:r>
    </w:p>
    <w:p>
      <w:pPr>
        <w:spacing w:before="100" w:beforeAutospacing="1" w:after="100" w:afterAutospacing="1" w:line="240" w:lineRule="auto"/>
        <w:rPr>
          <w:rFonts w:cs="Times New Roman"/>
          <w:szCs w:val="24"/>
        </w:rPr>
      </w:pPr>
      <w:r>
        <w:rPr>
          <w:rFonts w:cs="Times New Roman"/>
          <w:szCs w:val="24"/>
        </w:rPr>
        <w:t>Suh, B. and Han, I. 2003. The impact of customer trust and perception of security onthe acceptance of electronic commerce, International Journal of Electronic Commerce, 7 (3), 135-161</w:t>
      </w:r>
    </w:p>
    <w:p>
      <w:pPr>
        <w:widowControl w:val="0"/>
        <w:spacing w:before="100" w:beforeAutospacing="1" w:after="100" w:afterAutospacing="1"/>
        <w:rPr>
          <w:rFonts w:hint="eastAsia" w:cs="Times New Roman"/>
        </w:rPr>
      </w:pPr>
      <w:r>
        <w:rPr>
          <w:rFonts w:hint="eastAsia" w:cs="Times New Roman"/>
        </w:rPr>
        <w:t>Walliman, N. 2011. </w:t>
      </w:r>
      <w:r>
        <w:rPr>
          <w:rFonts w:hint="eastAsia" w:cs="Times New Roman"/>
          <w:i/>
          <w:iCs/>
        </w:rPr>
        <w:t>Research methods</w:t>
      </w:r>
      <w:r>
        <w:rPr>
          <w:rFonts w:hint="eastAsia" w:cs="Times New Roman"/>
        </w:rPr>
        <w:t>. London: Routledge.</w:t>
      </w:r>
    </w:p>
    <w:p>
      <w:pPr>
        <w:spacing w:before="100" w:beforeAutospacing="1" w:after="100" w:afterAutospacing="1" w:line="240" w:lineRule="auto"/>
        <w:rPr>
          <w:rFonts w:cs="Times New Roman"/>
          <w:szCs w:val="24"/>
        </w:rPr>
      </w:pPr>
      <w:r>
        <w:rPr>
          <w:rFonts w:cs="Times New Roman"/>
          <w:szCs w:val="24"/>
        </w:rPr>
        <w:t xml:space="preserve">Wertz, J. 2018. Don’t spend 5 times more attracting new customers, nurture the existing ones. [Online]. Available at </w:t>
      </w:r>
      <w:r>
        <w:fldChar w:fldCharType="begin"/>
      </w:r>
      <w:r>
        <w:instrText xml:space="preserve"> HYPERLINK "https://www.forbes.com/sites/jiawertz/2018/09/12/dont-spend-5-times-more-attracting-new-customers-nurture-the-existing-ones/#7429dd835a8e" </w:instrText>
      </w:r>
      <w:r>
        <w:fldChar w:fldCharType="separate"/>
      </w:r>
      <w:r>
        <w:rPr>
          <w:rStyle w:val="17"/>
          <w:rFonts w:cs="Times New Roman"/>
          <w:szCs w:val="24"/>
        </w:rPr>
        <w:t>https://www.forbes.com/sites/jiawertz/2018/09/12/dont-spend-5-times-more-attracting-new-customers-nurture-the-existing-ones/#7429dd835a8e</w:t>
      </w:r>
      <w:r>
        <w:rPr>
          <w:rStyle w:val="17"/>
          <w:rFonts w:cs="Times New Roman"/>
          <w:szCs w:val="24"/>
        </w:rPr>
        <w:fldChar w:fldCharType="end"/>
      </w:r>
    </w:p>
    <w:p>
      <w:pPr>
        <w:spacing w:line="240" w:lineRule="auto"/>
        <w:rPr>
          <w:rFonts w:cs="Times New Roman"/>
          <w:szCs w:val="24"/>
        </w:rPr>
      </w:pPr>
      <w:r>
        <w:rPr>
          <w:rFonts w:cs="Times New Roman"/>
          <w:szCs w:val="24"/>
        </w:rPr>
        <w:t xml:space="preserve">Zanoni, A.B. 2011. Strategic analysis: Processes and tools. London: Routledge. </w:t>
      </w:r>
    </w:p>
    <w:p>
      <w:pPr>
        <w:pStyle w:val="2"/>
        <w:rPr>
          <w:rFonts w:cs="Times New Roman"/>
          <w:sz w:val="24"/>
          <w:szCs w:val="24"/>
        </w:rPr>
      </w:pPr>
      <w:bookmarkStart w:id="25" w:name="_Toc39152462"/>
      <w:r>
        <w:rPr>
          <w:rFonts w:cs="Times New Roman"/>
          <w:sz w:val="24"/>
          <w:szCs w:val="24"/>
        </w:rPr>
        <w:t>Appendix 1</w:t>
      </w:r>
      <w:bookmarkEnd w:id="25"/>
    </w:p>
    <w:p>
      <w:pPr>
        <w:widowControl w:val="0"/>
        <w:spacing w:line="240" w:lineRule="auto"/>
        <w:jc w:val="center"/>
        <w:rPr>
          <w:rFonts w:cs="Times New Roman"/>
          <w:b/>
          <w:bCs/>
          <w:szCs w:val="24"/>
        </w:rPr>
      </w:pPr>
      <w:r>
        <w:rPr>
          <w:rFonts w:cs="Times New Roman"/>
          <w:b/>
          <w:bCs/>
          <w:szCs w:val="24"/>
        </w:rPr>
        <w:t>PESTEL Analysis of Sainsbury</w:t>
      </w:r>
    </w:p>
    <w:tbl>
      <w:tblPr>
        <w:tblStyle w:val="22"/>
        <w:tblpPr w:leftFromText="180" w:rightFromText="180" w:vertAnchor="text" w:horzAnchor="page" w:tblpX="750" w:tblpY="455"/>
        <w:tblOverlap w:val="never"/>
        <w:tblW w:w="10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56"/>
        <w:gridCol w:w="4232"/>
        <w:gridCol w:w="32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6" w:type="dxa"/>
          </w:tcPr>
          <w:p>
            <w:pPr>
              <w:widowControl w:val="0"/>
              <w:spacing w:line="240" w:lineRule="auto"/>
              <w:jc w:val="left"/>
              <w:rPr>
                <w:rFonts w:cs="Times New Roman"/>
                <w:b/>
                <w:bCs/>
                <w:szCs w:val="24"/>
              </w:rPr>
            </w:pPr>
            <w:r>
              <w:rPr>
                <w:rFonts w:cs="Times New Roman"/>
                <w:b/>
                <w:bCs/>
                <w:szCs w:val="24"/>
              </w:rPr>
              <w:t>Environmental Factors</w:t>
            </w:r>
          </w:p>
        </w:tc>
        <w:tc>
          <w:tcPr>
            <w:tcW w:w="4232" w:type="dxa"/>
          </w:tcPr>
          <w:p>
            <w:pPr>
              <w:widowControl w:val="0"/>
              <w:spacing w:line="240" w:lineRule="auto"/>
              <w:jc w:val="center"/>
              <w:rPr>
                <w:rFonts w:cs="Times New Roman"/>
                <w:b/>
                <w:bCs/>
                <w:szCs w:val="24"/>
              </w:rPr>
            </w:pPr>
            <w:r>
              <w:rPr>
                <w:rFonts w:cs="Times New Roman"/>
                <w:b/>
                <w:bCs/>
                <w:szCs w:val="24"/>
              </w:rPr>
              <w:t>Threats</w:t>
            </w:r>
          </w:p>
        </w:tc>
        <w:tc>
          <w:tcPr>
            <w:tcW w:w="3236" w:type="dxa"/>
          </w:tcPr>
          <w:p>
            <w:pPr>
              <w:widowControl w:val="0"/>
              <w:spacing w:line="240" w:lineRule="auto"/>
              <w:jc w:val="center"/>
              <w:rPr>
                <w:rFonts w:cs="Times New Roman"/>
                <w:b/>
                <w:bCs/>
                <w:szCs w:val="24"/>
              </w:rPr>
            </w:pPr>
            <w:r>
              <w:rPr>
                <w:rFonts w:cs="Times New Roman"/>
                <w:b/>
                <w:bCs/>
                <w:szCs w:val="24"/>
              </w:rPr>
              <w:t>Opportunities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56" w:type="dxa"/>
          </w:tcPr>
          <w:p>
            <w:pPr>
              <w:widowControl w:val="0"/>
              <w:spacing w:line="240" w:lineRule="auto"/>
              <w:jc w:val="left"/>
              <w:rPr>
                <w:rFonts w:cs="Times New Roman"/>
                <w:b/>
                <w:bCs/>
                <w:szCs w:val="24"/>
              </w:rPr>
            </w:pPr>
            <w:r>
              <w:rPr>
                <w:rFonts w:cs="Times New Roman"/>
                <w:b/>
                <w:bCs/>
                <w:szCs w:val="24"/>
              </w:rPr>
              <w:t>Political Environment</w:t>
            </w:r>
          </w:p>
        </w:tc>
        <w:tc>
          <w:tcPr>
            <w:tcW w:w="4232" w:type="dxa"/>
          </w:tcPr>
          <w:p>
            <w:pPr>
              <w:widowControl w:val="0"/>
              <w:spacing w:line="240" w:lineRule="auto"/>
              <w:rPr>
                <w:rFonts w:cs="Times New Roman"/>
                <w:b/>
                <w:bCs/>
                <w:szCs w:val="24"/>
              </w:rPr>
            </w:pPr>
            <w:r>
              <w:rPr>
                <w:rFonts w:cs="Times New Roman"/>
                <w:szCs w:val="24"/>
              </w:rPr>
              <w:t xml:space="preserve">An orderly Brexit, with a transition period that will continue to the end of 2020, still negatively affects consumer confidence (NY Post, 2020). </w:t>
            </w:r>
          </w:p>
        </w:tc>
        <w:tc>
          <w:tcPr>
            <w:tcW w:w="3236" w:type="dxa"/>
          </w:tcPr>
          <w:p>
            <w:pPr>
              <w:widowControl w:val="0"/>
              <w:spacing w:line="240" w:lineRule="auto"/>
              <w:rPr>
                <w:rFonts w:cs="Times New Roman"/>
                <w:b/>
                <w:bCs/>
                <w:szCs w:val="24"/>
              </w:rPr>
            </w:pPr>
            <w:r>
              <w:rPr>
                <w:rFonts w:cs="Times New Roman"/>
                <w:b/>
                <w:bCs/>
                <w:szCs w:val="24"/>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6" w:type="dxa"/>
          </w:tcPr>
          <w:p>
            <w:pPr>
              <w:widowControl w:val="0"/>
              <w:spacing w:line="240" w:lineRule="auto"/>
              <w:jc w:val="left"/>
              <w:rPr>
                <w:rFonts w:cs="Times New Roman"/>
                <w:b/>
                <w:bCs/>
                <w:szCs w:val="24"/>
              </w:rPr>
            </w:pPr>
            <w:r>
              <w:rPr>
                <w:rFonts w:cs="Times New Roman"/>
                <w:b/>
                <w:bCs/>
                <w:szCs w:val="24"/>
              </w:rPr>
              <w:t>Economic Environment</w:t>
            </w:r>
          </w:p>
        </w:tc>
        <w:tc>
          <w:tcPr>
            <w:tcW w:w="4232" w:type="dxa"/>
          </w:tcPr>
          <w:p>
            <w:pPr>
              <w:widowControl w:val="0"/>
              <w:spacing w:line="240" w:lineRule="auto"/>
              <w:rPr>
                <w:rFonts w:cs="Times New Roman"/>
                <w:b/>
                <w:bCs/>
                <w:szCs w:val="24"/>
              </w:rPr>
            </w:pPr>
            <w:r>
              <w:rPr>
                <w:rFonts w:cs="Times New Roman"/>
                <w:szCs w:val="24"/>
              </w:rPr>
              <w:t>The economy in the United Kingdom is slow, and is only expected to slightly improve in 2021 (PwC, 2019). Nonetheless, the COVID Pandemic sent global economy into recession (Rasmi, 2020)</w:t>
            </w:r>
          </w:p>
        </w:tc>
        <w:tc>
          <w:tcPr>
            <w:tcW w:w="3236" w:type="dxa"/>
          </w:tcPr>
          <w:p>
            <w:pPr>
              <w:widowControl w:val="0"/>
              <w:spacing w:line="240" w:lineRule="auto"/>
              <w:rPr>
                <w:rFonts w:cs="Times New Roman"/>
                <w:szCs w:val="24"/>
              </w:rPr>
            </w:pPr>
            <w:r>
              <w:rPr>
                <w:rFonts w:cs="Times New Roman"/>
                <w:szCs w:val="24"/>
              </w:rPr>
              <w:t>Economy in the United Kingdom slightly eased in 2019, due recued inflation and growth in average weekly earnings (Sainsbury’s, 2019).</w:t>
            </w:r>
          </w:p>
          <w:p>
            <w:pPr>
              <w:widowControl w:val="0"/>
              <w:spacing w:line="240" w:lineRule="auto"/>
              <w:rPr>
                <w:rFonts w:cs="Times New Roman"/>
                <w:szCs w:val="24"/>
              </w:rPr>
            </w:pPr>
            <w:r>
              <w:rPr>
                <w:rFonts w:cs="Times New Roman"/>
                <w:szCs w:val="24"/>
              </w:rPr>
              <w:t xml:space="preserve">Supermarkets and grocery stores became the safe havens during the on-going COVID-19 pandemic (Rasmi, 2020).  </w:t>
            </w:r>
          </w:p>
          <w:p>
            <w:pPr>
              <w:widowControl w:val="0"/>
              <w:spacing w:line="240" w:lineRule="auto"/>
              <w:rPr>
                <w:rFonts w:cs="Times New Roman"/>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6" w:type="dxa"/>
          </w:tcPr>
          <w:p>
            <w:pPr>
              <w:widowControl w:val="0"/>
              <w:spacing w:line="240" w:lineRule="auto"/>
              <w:jc w:val="left"/>
              <w:rPr>
                <w:rFonts w:cs="Times New Roman"/>
                <w:b/>
                <w:bCs/>
                <w:szCs w:val="24"/>
              </w:rPr>
            </w:pPr>
            <w:r>
              <w:rPr>
                <w:rFonts w:cs="Times New Roman"/>
                <w:b/>
                <w:bCs/>
                <w:szCs w:val="24"/>
              </w:rPr>
              <w:t>Sociocultural Environment</w:t>
            </w:r>
          </w:p>
        </w:tc>
        <w:tc>
          <w:tcPr>
            <w:tcW w:w="4232" w:type="dxa"/>
          </w:tcPr>
          <w:p>
            <w:pPr>
              <w:widowControl w:val="0"/>
              <w:spacing w:line="240" w:lineRule="auto"/>
              <w:rPr>
                <w:rFonts w:cs="Times New Roman"/>
                <w:b/>
                <w:bCs/>
                <w:szCs w:val="24"/>
              </w:rPr>
            </w:pPr>
            <w:r>
              <w:rPr>
                <w:rFonts w:cs="Times New Roman"/>
                <w:szCs w:val="24"/>
              </w:rPr>
              <w:t>There is growing trend of eating out, which affects the grocery shopping (Sainsbury’s, 2019)</w:t>
            </w:r>
          </w:p>
        </w:tc>
        <w:tc>
          <w:tcPr>
            <w:tcW w:w="3236" w:type="dxa"/>
          </w:tcPr>
          <w:p>
            <w:pPr>
              <w:widowControl w:val="0"/>
              <w:spacing w:line="240" w:lineRule="auto"/>
              <w:rPr>
                <w:rFonts w:cs="Times New Roman"/>
                <w:szCs w:val="24"/>
              </w:rPr>
            </w:pPr>
            <w:r>
              <w:rPr>
                <w:rFonts w:cs="Times New Roman"/>
                <w:szCs w:val="24"/>
              </w:rPr>
              <w:t>Demands for online shopping for groceries is growing (Sainsbury’s, 2019).</w:t>
            </w:r>
          </w:p>
          <w:p>
            <w:pPr>
              <w:widowControl w:val="0"/>
              <w:spacing w:line="240" w:lineRule="auto"/>
              <w:rPr>
                <w:rFonts w:cs="Times New Roman"/>
                <w:szCs w:val="24"/>
              </w:rPr>
            </w:pPr>
            <w:r>
              <w:rPr>
                <w:rFonts w:cs="Times New Roman"/>
                <w:szCs w:val="24"/>
              </w:rPr>
              <w:t xml:space="preserve">Consumers are increasing demand for convenience and speed while shopping online (Statista, 2019). </w:t>
            </w:r>
          </w:p>
          <w:p>
            <w:pPr>
              <w:widowControl w:val="0"/>
              <w:spacing w:line="240" w:lineRule="auto"/>
              <w:rPr>
                <w:rFonts w:cs="Times New Roman"/>
                <w:b/>
                <w:bCs/>
                <w:szCs w:val="24"/>
              </w:rPr>
            </w:pPr>
            <w:r>
              <w:rPr>
                <w:rFonts w:cs="Times New Roman"/>
                <w:szCs w:val="24"/>
              </w:rPr>
              <w:t>Non-food retailers are adopting experiential shopping to tackle the rise of online shopping (IBIS World, 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6" w:type="dxa"/>
          </w:tcPr>
          <w:p>
            <w:pPr>
              <w:widowControl w:val="0"/>
              <w:spacing w:line="240" w:lineRule="auto"/>
              <w:jc w:val="left"/>
              <w:rPr>
                <w:rFonts w:cs="Times New Roman"/>
                <w:b/>
                <w:bCs/>
                <w:szCs w:val="24"/>
              </w:rPr>
            </w:pPr>
            <w:r>
              <w:rPr>
                <w:rFonts w:cs="Times New Roman"/>
                <w:b/>
                <w:bCs/>
                <w:szCs w:val="24"/>
              </w:rPr>
              <w:t>Technological Environment</w:t>
            </w:r>
          </w:p>
        </w:tc>
        <w:tc>
          <w:tcPr>
            <w:tcW w:w="4232" w:type="dxa"/>
          </w:tcPr>
          <w:p>
            <w:pPr>
              <w:widowControl w:val="0"/>
              <w:spacing w:line="240" w:lineRule="auto"/>
              <w:rPr>
                <w:rFonts w:cs="Times New Roman"/>
                <w:szCs w:val="24"/>
              </w:rPr>
            </w:pPr>
            <w:r>
              <w:rPr>
                <w:rFonts w:cs="Times New Roman"/>
                <w:szCs w:val="24"/>
              </w:rPr>
              <w:t>The increased channels for food, clothing and general merchandise reduced barriers for new entrants into the retail sector, further increasing the competitive pressure of Sainsbury’s (Sainsbury’s, 2019).</w:t>
            </w:r>
          </w:p>
          <w:p>
            <w:pPr>
              <w:widowControl w:val="0"/>
              <w:spacing w:line="240" w:lineRule="auto"/>
              <w:rPr>
                <w:rFonts w:cs="Times New Roman"/>
                <w:b/>
                <w:bCs/>
                <w:szCs w:val="24"/>
              </w:rPr>
            </w:pPr>
            <w:r>
              <w:rPr>
                <w:rFonts w:cs="Times New Roman"/>
                <w:szCs w:val="24"/>
              </w:rPr>
              <w:t xml:space="preserve">Growth of food delivery services, including Just Eat, Deliveroo, negatively impacts on grocery shopping (Cochoy, 2018). </w:t>
            </w:r>
          </w:p>
        </w:tc>
        <w:tc>
          <w:tcPr>
            <w:tcW w:w="3236" w:type="dxa"/>
          </w:tcPr>
          <w:p>
            <w:pPr>
              <w:widowControl w:val="0"/>
              <w:spacing w:line="240" w:lineRule="auto"/>
              <w:rPr>
                <w:rFonts w:cs="Times New Roman"/>
                <w:b/>
                <w:bCs/>
                <w:szCs w:val="24"/>
              </w:rPr>
            </w:pPr>
            <w:r>
              <w:rPr>
                <w:rFonts w:cs="Times New Roman"/>
                <w:szCs w:val="24"/>
              </w:rPr>
              <w:t>Online shopping expands the reach of supermarkets (IBIS World, 2019)</w:t>
            </w:r>
            <w:r>
              <w:rPr>
                <w:rFonts w:cs="Times New Roman"/>
                <w:b/>
                <w:bCs/>
                <w:szCs w:val="24"/>
              </w:rPr>
              <w:t>.</w:t>
            </w:r>
          </w:p>
          <w:p>
            <w:pPr>
              <w:widowControl w:val="0"/>
              <w:spacing w:line="240" w:lineRule="auto"/>
              <w:rPr>
                <w:rFonts w:cs="Times New Roman"/>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6" w:type="dxa"/>
          </w:tcPr>
          <w:p>
            <w:pPr>
              <w:widowControl w:val="0"/>
              <w:spacing w:line="240" w:lineRule="auto"/>
              <w:jc w:val="left"/>
              <w:rPr>
                <w:rFonts w:cs="Times New Roman"/>
                <w:b/>
                <w:bCs/>
                <w:szCs w:val="24"/>
              </w:rPr>
            </w:pPr>
            <w:r>
              <w:rPr>
                <w:rFonts w:cs="Times New Roman"/>
                <w:b/>
                <w:bCs/>
                <w:szCs w:val="24"/>
              </w:rPr>
              <w:t>Ecological Environment</w:t>
            </w:r>
          </w:p>
        </w:tc>
        <w:tc>
          <w:tcPr>
            <w:tcW w:w="4232" w:type="dxa"/>
          </w:tcPr>
          <w:p>
            <w:pPr>
              <w:widowControl w:val="0"/>
              <w:spacing w:line="240" w:lineRule="auto"/>
              <w:rPr>
                <w:rFonts w:cs="Times New Roman"/>
                <w:szCs w:val="24"/>
              </w:rPr>
            </w:pPr>
            <w:r>
              <w:rPr>
                <w:rFonts w:cs="Times New Roman"/>
                <w:szCs w:val="24"/>
              </w:rPr>
              <w:t>Drastic climate change may disrupt  operations of supermarkets.</w:t>
            </w:r>
          </w:p>
          <w:p>
            <w:pPr>
              <w:widowControl w:val="0"/>
              <w:spacing w:line="240" w:lineRule="auto"/>
              <w:rPr>
                <w:rFonts w:cs="Times New Roman"/>
                <w:szCs w:val="24"/>
              </w:rPr>
            </w:pPr>
            <w:r>
              <w:rPr>
                <w:rFonts w:cs="Times New Roman"/>
                <w:szCs w:val="24"/>
              </w:rPr>
              <w:t xml:space="preserve">The cronoavirus endemic in China is affect the food imports and exports between UK and China (Institute of Export and International Trade, 2020). </w:t>
            </w:r>
          </w:p>
        </w:tc>
        <w:tc>
          <w:tcPr>
            <w:tcW w:w="3236" w:type="dxa"/>
          </w:tcPr>
          <w:p>
            <w:pPr>
              <w:widowControl w:val="0"/>
              <w:spacing w:line="240" w:lineRule="auto"/>
              <w:rPr>
                <w:rFonts w:cs="Times New Roman"/>
                <w:b/>
                <w:bCs/>
                <w:szCs w:val="24"/>
              </w:rPr>
            </w:pPr>
            <w:r>
              <w:rPr>
                <w:rFonts w:cs="Times New Roman"/>
                <w:b/>
                <w:bCs/>
                <w:szCs w:val="24"/>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6" w:type="dxa"/>
          </w:tcPr>
          <w:p>
            <w:pPr>
              <w:widowControl w:val="0"/>
              <w:spacing w:line="240" w:lineRule="auto"/>
              <w:jc w:val="left"/>
              <w:rPr>
                <w:rFonts w:cs="Times New Roman"/>
                <w:b/>
                <w:bCs/>
                <w:szCs w:val="24"/>
              </w:rPr>
            </w:pPr>
            <w:r>
              <w:rPr>
                <w:rFonts w:cs="Times New Roman"/>
                <w:b/>
                <w:bCs/>
                <w:szCs w:val="24"/>
              </w:rPr>
              <w:t>Legal Environment</w:t>
            </w:r>
          </w:p>
        </w:tc>
        <w:tc>
          <w:tcPr>
            <w:tcW w:w="4232" w:type="dxa"/>
          </w:tcPr>
          <w:p>
            <w:pPr>
              <w:widowControl w:val="0"/>
              <w:spacing w:line="240" w:lineRule="auto"/>
              <w:rPr>
                <w:rFonts w:cs="Times New Roman"/>
                <w:szCs w:val="24"/>
              </w:rPr>
            </w:pPr>
            <w:r>
              <w:rPr>
                <w:rFonts w:cs="Times New Roman"/>
                <w:szCs w:val="24"/>
              </w:rPr>
              <w:t>Products imported from the EU countries requires new custom and tax practices, which may increase the complexity and costs of supermarket supply chain (McKinsey &amp; Company, 2019).</w:t>
            </w:r>
          </w:p>
        </w:tc>
        <w:tc>
          <w:tcPr>
            <w:tcW w:w="3236" w:type="dxa"/>
          </w:tcPr>
          <w:p>
            <w:pPr>
              <w:widowControl w:val="0"/>
              <w:spacing w:line="240" w:lineRule="auto"/>
              <w:rPr>
                <w:rFonts w:cs="Times New Roman"/>
                <w:b/>
                <w:bCs/>
                <w:szCs w:val="24"/>
              </w:rPr>
            </w:pPr>
            <w:r>
              <w:rPr>
                <w:rFonts w:cs="Times New Roman"/>
                <w:b/>
                <w:bCs/>
                <w:szCs w:val="24"/>
              </w:rPr>
              <w:t>N/A</w:t>
            </w:r>
          </w:p>
        </w:tc>
      </w:tr>
    </w:tbl>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hint="eastAsia" w:cs="Times New Roman"/>
          <w:b/>
          <w:bCs/>
          <w:szCs w:val="24"/>
        </w:rPr>
      </w:pPr>
    </w:p>
    <w:p>
      <w:pPr>
        <w:pStyle w:val="2"/>
        <w:rPr>
          <w:rFonts w:cs="Times New Roman"/>
          <w:sz w:val="24"/>
          <w:szCs w:val="24"/>
        </w:rPr>
      </w:pPr>
      <w:bookmarkStart w:id="26" w:name="_Toc39152463"/>
      <w:r>
        <w:rPr>
          <w:rFonts w:cs="Times New Roman"/>
          <w:sz w:val="24"/>
          <w:szCs w:val="24"/>
        </w:rPr>
        <w:t>Appendix 2</w:t>
      </w:r>
      <w:bookmarkEnd w:id="26"/>
    </w:p>
    <w:p>
      <w:pPr>
        <w:rPr>
          <w:rFonts w:cs="Times New Roman"/>
          <w:b/>
          <w:bCs/>
          <w:szCs w:val="24"/>
        </w:rPr>
      </w:pPr>
      <w:r>
        <w:rPr>
          <w:rFonts w:cs="Times New Roman"/>
          <w:b/>
          <w:bCs/>
          <w:szCs w:val="24"/>
        </w:rPr>
        <w:t>Porter’s Five Forces Analysis</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10"/>
        <w:gridCol w:w="1985"/>
        <w:gridCol w:w="30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widowControl w:val="0"/>
              <w:spacing w:line="240" w:lineRule="auto"/>
              <w:rPr>
                <w:rFonts w:cs="Times New Roman"/>
                <w:b/>
                <w:bCs/>
                <w:szCs w:val="24"/>
              </w:rPr>
            </w:pPr>
            <w:r>
              <w:rPr>
                <w:rFonts w:cs="Times New Roman"/>
                <w:b/>
                <w:bCs/>
                <w:szCs w:val="24"/>
              </w:rPr>
              <w:t>Type of Threat</w:t>
            </w:r>
          </w:p>
        </w:tc>
        <w:tc>
          <w:tcPr>
            <w:tcW w:w="1985" w:type="dxa"/>
          </w:tcPr>
          <w:p>
            <w:pPr>
              <w:widowControl w:val="0"/>
              <w:spacing w:line="240" w:lineRule="auto"/>
              <w:rPr>
                <w:rFonts w:cs="Times New Roman"/>
                <w:b/>
                <w:bCs/>
                <w:szCs w:val="24"/>
              </w:rPr>
            </w:pPr>
            <w:r>
              <w:rPr>
                <w:rFonts w:cs="Times New Roman"/>
                <w:b/>
                <w:bCs/>
                <w:szCs w:val="24"/>
              </w:rPr>
              <w:t>Level of Threat</w:t>
            </w:r>
          </w:p>
        </w:tc>
        <w:tc>
          <w:tcPr>
            <w:tcW w:w="3027" w:type="dxa"/>
          </w:tcPr>
          <w:p>
            <w:pPr>
              <w:widowControl w:val="0"/>
              <w:spacing w:line="240" w:lineRule="auto"/>
              <w:rPr>
                <w:rFonts w:cs="Times New Roman"/>
                <w:b/>
                <w:bCs/>
                <w:szCs w:val="24"/>
              </w:rPr>
            </w:pPr>
            <w:r>
              <w:rPr>
                <w:rFonts w:cs="Times New Roman"/>
                <w:b/>
                <w:bCs/>
                <w:szCs w:val="24"/>
              </w:rPr>
              <w:t>Explanation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widowControl w:val="0"/>
              <w:spacing w:line="240" w:lineRule="auto"/>
              <w:rPr>
                <w:rFonts w:cs="Times New Roman"/>
                <w:bCs/>
                <w:szCs w:val="24"/>
              </w:rPr>
            </w:pPr>
            <w:r>
              <w:rPr>
                <w:rFonts w:cs="Times New Roman"/>
                <w:bCs/>
                <w:szCs w:val="24"/>
              </w:rPr>
              <w:t>Threat of New Entrants</w:t>
            </w:r>
          </w:p>
        </w:tc>
        <w:tc>
          <w:tcPr>
            <w:tcW w:w="1985" w:type="dxa"/>
          </w:tcPr>
          <w:p>
            <w:pPr>
              <w:widowControl w:val="0"/>
              <w:spacing w:line="240" w:lineRule="auto"/>
              <w:rPr>
                <w:rFonts w:cs="Times New Roman"/>
                <w:bCs/>
                <w:szCs w:val="24"/>
              </w:rPr>
            </w:pPr>
            <w:r>
              <w:rPr>
                <w:rFonts w:cs="Times New Roman"/>
                <w:bCs/>
                <w:szCs w:val="24"/>
              </w:rPr>
              <w:t>Low to Medium</w:t>
            </w:r>
          </w:p>
        </w:tc>
        <w:tc>
          <w:tcPr>
            <w:tcW w:w="3027" w:type="dxa"/>
          </w:tcPr>
          <w:p>
            <w:pPr>
              <w:widowControl w:val="0"/>
              <w:spacing w:line="240" w:lineRule="auto"/>
              <w:rPr>
                <w:rFonts w:cs="Times New Roman"/>
                <w:bCs/>
                <w:szCs w:val="24"/>
              </w:rPr>
            </w:pPr>
            <w:r>
              <w:rPr>
                <w:rFonts w:cs="Times New Roman"/>
                <w:bCs/>
                <w:szCs w:val="24"/>
              </w:rPr>
              <w:t xml:space="preserve">Large supermarket chains require economies of scale; however, small grocery stores have low barrier to enter the industry.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widowControl w:val="0"/>
              <w:spacing w:line="240" w:lineRule="auto"/>
              <w:rPr>
                <w:rFonts w:cs="Times New Roman"/>
                <w:bCs/>
                <w:szCs w:val="24"/>
              </w:rPr>
            </w:pPr>
            <w:r>
              <w:rPr>
                <w:rFonts w:cs="Times New Roman"/>
                <w:bCs/>
                <w:szCs w:val="24"/>
              </w:rPr>
              <w:t>Threat of Substitutes</w:t>
            </w:r>
          </w:p>
        </w:tc>
        <w:tc>
          <w:tcPr>
            <w:tcW w:w="1985" w:type="dxa"/>
          </w:tcPr>
          <w:p>
            <w:pPr>
              <w:widowControl w:val="0"/>
              <w:spacing w:line="240" w:lineRule="auto"/>
              <w:rPr>
                <w:rFonts w:cs="Times New Roman"/>
                <w:bCs/>
                <w:szCs w:val="24"/>
              </w:rPr>
            </w:pPr>
            <w:r>
              <w:rPr>
                <w:rFonts w:cs="Times New Roman"/>
                <w:bCs/>
                <w:szCs w:val="24"/>
              </w:rPr>
              <w:t>High</w:t>
            </w:r>
          </w:p>
        </w:tc>
        <w:tc>
          <w:tcPr>
            <w:tcW w:w="3027" w:type="dxa"/>
          </w:tcPr>
          <w:p>
            <w:pPr>
              <w:widowControl w:val="0"/>
              <w:spacing w:line="240" w:lineRule="auto"/>
              <w:rPr>
                <w:rFonts w:cs="Times New Roman"/>
                <w:bCs/>
                <w:szCs w:val="24"/>
              </w:rPr>
            </w:pPr>
            <w:r>
              <w:rPr>
                <w:rFonts w:cs="Times New Roman"/>
                <w:bCs/>
                <w:szCs w:val="24"/>
              </w:rPr>
              <w:t>Rise of discounters, such as Aldi, and Ldil, and online only retailers, such as Ocardo, continues to eroding the market share of large chain supermarkets (Retail Detail,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widowControl w:val="0"/>
              <w:spacing w:line="240" w:lineRule="auto"/>
              <w:rPr>
                <w:rFonts w:cs="Times New Roman"/>
                <w:bCs/>
                <w:szCs w:val="24"/>
              </w:rPr>
            </w:pPr>
            <w:r>
              <w:rPr>
                <w:rFonts w:cs="Times New Roman"/>
                <w:bCs/>
                <w:szCs w:val="24"/>
              </w:rPr>
              <w:t>Bargaining Power of Buyers</w:t>
            </w:r>
          </w:p>
        </w:tc>
        <w:tc>
          <w:tcPr>
            <w:tcW w:w="1985" w:type="dxa"/>
          </w:tcPr>
          <w:p>
            <w:pPr>
              <w:widowControl w:val="0"/>
              <w:spacing w:line="240" w:lineRule="auto"/>
              <w:rPr>
                <w:rFonts w:cs="Times New Roman"/>
                <w:bCs/>
                <w:szCs w:val="24"/>
              </w:rPr>
            </w:pPr>
            <w:r>
              <w:rPr>
                <w:rFonts w:cs="Times New Roman"/>
                <w:bCs/>
                <w:szCs w:val="24"/>
              </w:rPr>
              <w:t>High</w:t>
            </w:r>
          </w:p>
        </w:tc>
        <w:tc>
          <w:tcPr>
            <w:tcW w:w="3027" w:type="dxa"/>
          </w:tcPr>
          <w:p>
            <w:pPr>
              <w:widowControl w:val="0"/>
              <w:spacing w:line="240" w:lineRule="auto"/>
              <w:rPr>
                <w:rFonts w:cs="Times New Roman"/>
                <w:bCs/>
                <w:szCs w:val="24"/>
              </w:rPr>
            </w:pPr>
            <w:r>
              <w:rPr>
                <w:rFonts w:cs="Times New Roman"/>
                <w:bCs/>
                <w:szCs w:val="24"/>
              </w:rPr>
              <w:t>The many options in the market increase the bargaining power of buyers.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widowControl w:val="0"/>
              <w:spacing w:line="240" w:lineRule="auto"/>
              <w:rPr>
                <w:rFonts w:cs="Times New Roman"/>
                <w:bCs/>
                <w:szCs w:val="24"/>
              </w:rPr>
            </w:pPr>
            <w:r>
              <w:rPr>
                <w:rFonts w:cs="Times New Roman"/>
                <w:bCs/>
                <w:szCs w:val="24"/>
              </w:rPr>
              <w:t>Bargaining Power of Suppliers</w:t>
            </w:r>
          </w:p>
        </w:tc>
        <w:tc>
          <w:tcPr>
            <w:tcW w:w="1985" w:type="dxa"/>
          </w:tcPr>
          <w:p>
            <w:pPr>
              <w:widowControl w:val="0"/>
              <w:spacing w:line="240" w:lineRule="auto"/>
              <w:rPr>
                <w:rFonts w:cs="Times New Roman"/>
                <w:bCs/>
                <w:szCs w:val="24"/>
              </w:rPr>
            </w:pPr>
            <w:r>
              <w:rPr>
                <w:rFonts w:cs="Times New Roman"/>
                <w:bCs/>
                <w:szCs w:val="24"/>
              </w:rPr>
              <w:t>Low</w:t>
            </w:r>
          </w:p>
        </w:tc>
        <w:tc>
          <w:tcPr>
            <w:tcW w:w="3027" w:type="dxa"/>
          </w:tcPr>
          <w:p>
            <w:pPr>
              <w:widowControl w:val="0"/>
              <w:spacing w:line="240" w:lineRule="auto"/>
              <w:rPr>
                <w:rFonts w:cs="Times New Roman"/>
                <w:bCs/>
                <w:szCs w:val="24"/>
              </w:rPr>
            </w:pPr>
            <w:r>
              <w:rPr>
                <w:rFonts w:cs="Times New Roman"/>
                <w:bCs/>
                <w:szCs w:val="24"/>
              </w:rPr>
              <w:t xml:space="preserve">Low, because there are a large number of supplier’s available in UK.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widowControl w:val="0"/>
              <w:spacing w:line="240" w:lineRule="auto"/>
              <w:rPr>
                <w:rFonts w:cs="Times New Roman"/>
                <w:bCs/>
                <w:szCs w:val="24"/>
              </w:rPr>
            </w:pPr>
            <w:r>
              <w:rPr>
                <w:rFonts w:cs="Times New Roman"/>
                <w:bCs/>
                <w:szCs w:val="24"/>
              </w:rPr>
              <w:t>Competitive Rivalry</w:t>
            </w:r>
          </w:p>
        </w:tc>
        <w:tc>
          <w:tcPr>
            <w:tcW w:w="1985" w:type="dxa"/>
          </w:tcPr>
          <w:p>
            <w:pPr>
              <w:widowControl w:val="0"/>
              <w:spacing w:line="240" w:lineRule="auto"/>
              <w:rPr>
                <w:rFonts w:cs="Times New Roman"/>
                <w:bCs/>
                <w:szCs w:val="24"/>
              </w:rPr>
            </w:pPr>
            <w:r>
              <w:rPr>
                <w:rFonts w:cs="Times New Roman"/>
                <w:bCs/>
                <w:szCs w:val="24"/>
              </w:rPr>
              <w:t>High</w:t>
            </w:r>
          </w:p>
        </w:tc>
        <w:tc>
          <w:tcPr>
            <w:tcW w:w="3027" w:type="dxa"/>
          </w:tcPr>
          <w:p>
            <w:pPr>
              <w:widowControl w:val="0"/>
              <w:spacing w:line="240" w:lineRule="auto"/>
              <w:rPr>
                <w:rFonts w:cs="Times New Roman"/>
                <w:b/>
                <w:bCs/>
                <w:szCs w:val="24"/>
              </w:rPr>
            </w:pPr>
            <w:r>
              <w:rPr>
                <w:rFonts w:cs="Times New Roman"/>
                <w:bCs/>
                <w:szCs w:val="24"/>
              </w:rPr>
              <w:t>Competition in the chain supermarket sector is intense (PwC, 2019). They are increasingly losing market share to small retailers.</w:t>
            </w:r>
          </w:p>
        </w:tc>
      </w:tr>
    </w:tbl>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rPr>
          <w:rFonts w:cs="Times New Roman"/>
          <w:b/>
          <w:bCs/>
          <w:szCs w:val="24"/>
        </w:rPr>
      </w:pPr>
    </w:p>
    <w:p>
      <w:pPr>
        <w:pStyle w:val="2"/>
        <w:rPr>
          <w:rFonts w:cs="Times New Roman"/>
          <w:sz w:val="24"/>
          <w:szCs w:val="24"/>
        </w:rPr>
      </w:pPr>
      <w:bookmarkStart w:id="27" w:name="_Toc39152464"/>
      <w:r>
        <w:rPr>
          <w:rFonts w:cs="Times New Roman"/>
          <w:sz w:val="24"/>
          <w:szCs w:val="24"/>
        </w:rPr>
        <w:t>Appendix 3</w:t>
      </w:r>
      <w:bookmarkEnd w:id="27"/>
      <w:r>
        <w:rPr>
          <w:rFonts w:cs="Times New Roman"/>
          <w:sz w:val="24"/>
          <w:szCs w:val="24"/>
        </w:rPr>
        <w:t xml:space="preserve"> </w:t>
      </w:r>
    </w:p>
    <w:p>
      <w:pPr>
        <w:rPr>
          <w:rFonts w:cs="Times New Roman"/>
          <w:b/>
          <w:bCs/>
          <w:szCs w:val="24"/>
        </w:rPr>
      </w:pPr>
      <w:r>
        <w:rPr>
          <w:rFonts w:cs="Times New Roman"/>
          <w:b/>
          <w:bCs/>
          <w:szCs w:val="24"/>
        </w:rPr>
        <w:t xml:space="preserve">SWOT Analysis of Sainsbury’s </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spacing w:line="240" w:lineRule="auto"/>
              <w:rPr>
                <w:rFonts w:cs="Times New Roman"/>
                <w:b/>
                <w:bCs/>
                <w:szCs w:val="24"/>
              </w:rPr>
            </w:pPr>
            <w:r>
              <w:rPr>
                <w:rFonts w:cs="Times New Roman"/>
                <w:b/>
                <w:bCs/>
                <w:szCs w:val="24"/>
              </w:rPr>
              <w:t xml:space="preserve">Strengths </w:t>
            </w:r>
          </w:p>
        </w:tc>
        <w:tc>
          <w:tcPr>
            <w:tcW w:w="4261" w:type="dxa"/>
          </w:tcPr>
          <w:p>
            <w:pPr>
              <w:widowControl w:val="0"/>
              <w:spacing w:line="240" w:lineRule="auto"/>
              <w:rPr>
                <w:rFonts w:cs="Times New Roman"/>
                <w:b/>
                <w:bCs/>
                <w:szCs w:val="24"/>
              </w:rPr>
            </w:pPr>
            <w:r>
              <w:rPr>
                <w:rFonts w:cs="Times New Roman"/>
                <w:b/>
                <w:bCs/>
                <w:szCs w:val="24"/>
              </w:rPr>
              <w:t>Weaknesses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spacing w:line="240" w:lineRule="auto"/>
              <w:rPr>
                <w:rFonts w:cs="Times New Roman"/>
                <w:szCs w:val="24"/>
              </w:rPr>
            </w:pPr>
            <w:r>
              <w:rPr>
                <w:rFonts w:cs="Times New Roman"/>
                <w:szCs w:val="24"/>
              </w:rPr>
              <w:t>Being able to offer customers quality products at competitive prices (Sainsbury’s, 2019)</w:t>
            </w:r>
          </w:p>
          <w:p>
            <w:pPr>
              <w:widowControl w:val="0"/>
              <w:spacing w:line="240" w:lineRule="auto"/>
              <w:rPr>
                <w:rFonts w:cs="Times New Roman"/>
                <w:szCs w:val="24"/>
              </w:rPr>
            </w:pPr>
            <w:r>
              <w:rPr>
                <w:rFonts w:cs="Times New Roman"/>
                <w:szCs w:val="24"/>
              </w:rPr>
              <w:t xml:space="preserve">A focus on distinctive products and new product categories (Sainsbury’s, 2019); </w:t>
            </w:r>
          </w:p>
          <w:p>
            <w:pPr>
              <w:widowControl w:val="0"/>
              <w:spacing w:line="240" w:lineRule="auto"/>
              <w:rPr>
                <w:rFonts w:cs="Times New Roman"/>
                <w:szCs w:val="24"/>
              </w:rPr>
            </w:pPr>
            <w:r>
              <w:rPr>
                <w:rFonts w:cs="Times New Roman"/>
                <w:szCs w:val="24"/>
              </w:rPr>
              <w:t xml:space="preserve">A focus on making shopping convenient to customers (Sainsbury’s, 2019); </w:t>
            </w:r>
          </w:p>
          <w:p>
            <w:pPr>
              <w:widowControl w:val="0"/>
              <w:spacing w:line="240" w:lineRule="auto"/>
              <w:rPr>
                <w:rFonts w:cs="Times New Roman"/>
                <w:szCs w:val="24"/>
              </w:rPr>
            </w:pPr>
            <w:r>
              <w:rPr>
                <w:rFonts w:cs="Times New Roman"/>
                <w:szCs w:val="24"/>
              </w:rPr>
              <w:t xml:space="preserve">A well-established brand with strong brand awareness among UK customers. </w:t>
            </w:r>
          </w:p>
        </w:tc>
        <w:tc>
          <w:tcPr>
            <w:tcW w:w="4261" w:type="dxa"/>
          </w:tcPr>
          <w:p>
            <w:pPr>
              <w:widowControl w:val="0"/>
              <w:spacing w:line="240" w:lineRule="auto"/>
              <w:rPr>
                <w:rFonts w:cs="Times New Roman"/>
                <w:szCs w:val="24"/>
              </w:rPr>
            </w:pPr>
            <w:r>
              <w:rPr>
                <w:rFonts w:cs="Times New Roman"/>
                <w:szCs w:val="24"/>
              </w:rPr>
              <w:t>Weak digital capabilities;</w:t>
            </w:r>
          </w:p>
          <w:p>
            <w:pPr>
              <w:widowControl w:val="0"/>
              <w:spacing w:line="240" w:lineRule="auto"/>
              <w:rPr>
                <w:rFonts w:cs="Times New Roman"/>
                <w:szCs w:val="24"/>
              </w:rPr>
            </w:pPr>
            <w:r>
              <w:rPr>
                <w:rFonts w:cs="Times New Roman"/>
                <w:szCs w:val="24"/>
              </w:rPr>
              <w:t>Weak customer services;</w:t>
            </w:r>
          </w:p>
          <w:p>
            <w:pPr>
              <w:widowControl w:val="0"/>
              <w:spacing w:line="240" w:lineRule="auto"/>
              <w:rPr>
                <w:rFonts w:cs="Times New Roman"/>
                <w:szCs w:val="24"/>
              </w:rPr>
            </w:pPr>
            <w:r>
              <w:rPr>
                <w:rFonts w:cs="Times New Roman"/>
                <w:szCs w:val="24"/>
              </w:rPr>
              <w:t>Ineffective human resource management;</w:t>
            </w:r>
          </w:p>
          <w:p>
            <w:pPr>
              <w:widowControl w:val="0"/>
              <w:spacing w:line="240" w:lineRule="auto"/>
              <w:rPr>
                <w:rFonts w:cs="Times New Roman"/>
                <w:szCs w:val="24"/>
              </w:rPr>
            </w:pPr>
            <w:r>
              <w:rPr>
                <w:rFonts w:cs="Times New Roman"/>
                <w:szCs w:val="24"/>
              </w:rPr>
              <w:t>A rigid organizational culture that makes Sainsbury’s slow to respond to new changes in the market environment;</w:t>
            </w:r>
          </w:p>
          <w:p>
            <w:pPr>
              <w:widowControl w:val="0"/>
              <w:spacing w:line="240" w:lineRule="auto"/>
              <w:rPr>
                <w:rFonts w:cs="Times New Roman"/>
                <w:szCs w:val="24"/>
              </w:rPr>
            </w:pPr>
            <w:r>
              <w:rPr>
                <w:rFonts w:cs="Times New Roman"/>
                <w:szCs w:val="24"/>
              </w:rPr>
              <w:t xml:space="preserve">Focusing on a single market;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spacing w:line="240" w:lineRule="auto"/>
              <w:rPr>
                <w:rFonts w:cs="Times New Roman"/>
                <w:b/>
                <w:bCs/>
                <w:szCs w:val="24"/>
              </w:rPr>
            </w:pPr>
            <w:r>
              <w:rPr>
                <w:rFonts w:cs="Times New Roman"/>
                <w:b/>
                <w:bCs/>
                <w:szCs w:val="24"/>
              </w:rPr>
              <w:t xml:space="preserve">Opportunities </w:t>
            </w:r>
          </w:p>
        </w:tc>
        <w:tc>
          <w:tcPr>
            <w:tcW w:w="4261" w:type="dxa"/>
          </w:tcPr>
          <w:p>
            <w:pPr>
              <w:widowControl w:val="0"/>
              <w:spacing w:line="240" w:lineRule="auto"/>
              <w:rPr>
                <w:rFonts w:cs="Times New Roman"/>
                <w:b/>
                <w:bCs/>
                <w:szCs w:val="24"/>
              </w:rPr>
            </w:pPr>
            <w:r>
              <w:rPr>
                <w:rFonts w:cs="Times New Roman"/>
                <w:b/>
                <w:bCs/>
                <w:szCs w:val="24"/>
              </w:rPr>
              <w:t>Threats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spacing w:line="240" w:lineRule="auto"/>
              <w:rPr>
                <w:rFonts w:cs="Times New Roman"/>
                <w:szCs w:val="24"/>
              </w:rPr>
            </w:pPr>
            <w:r>
              <w:rPr>
                <w:rFonts w:cs="Times New Roman"/>
                <w:szCs w:val="24"/>
              </w:rPr>
              <w:t xml:space="preserve">The on-going pandemic accents the importance of grocery and supply shopping; </w:t>
            </w:r>
          </w:p>
          <w:p>
            <w:pPr>
              <w:widowControl w:val="0"/>
              <w:spacing w:line="240" w:lineRule="auto"/>
              <w:rPr>
                <w:rFonts w:cs="Times New Roman"/>
                <w:szCs w:val="24"/>
              </w:rPr>
            </w:pPr>
            <w:r>
              <w:rPr>
                <w:rFonts w:cs="Times New Roman"/>
                <w:szCs w:val="24"/>
              </w:rPr>
              <w:t xml:space="preserve">Rapidly growing market in the globe; </w:t>
            </w:r>
          </w:p>
          <w:p>
            <w:pPr>
              <w:widowControl w:val="0"/>
              <w:spacing w:line="240" w:lineRule="auto"/>
              <w:rPr>
                <w:rFonts w:cs="Times New Roman"/>
                <w:szCs w:val="24"/>
              </w:rPr>
            </w:pPr>
          </w:p>
        </w:tc>
        <w:tc>
          <w:tcPr>
            <w:tcW w:w="4261" w:type="dxa"/>
          </w:tcPr>
          <w:p>
            <w:pPr>
              <w:widowControl w:val="0"/>
              <w:spacing w:line="240" w:lineRule="auto"/>
              <w:rPr>
                <w:rFonts w:cs="Times New Roman"/>
                <w:szCs w:val="24"/>
              </w:rPr>
            </w:pPr>
            <w:r>
              <w:rPr>
                <w:rFonts w:cs="Times New Roman"/>
                <w:szCs w:val="24"/>
              </w:rPr>
              <w:t xml:space="preserve">Discounters, online-only retailors and independent retailers are competing against supermarket chains. </w:t>
            </w:r>
          </w:p>
          <w:p>
            <w:pPr>
              <w:widowControl w:val="0"/>
              <w:spacing w:line="240" w:lineRule="auto"/>
              <w:rPr>
                <w:rFonts w:cs="Times New Roman"/>
                <w:szCs w:val="24"/>
              </w:rPr>
            </w:pPr>
            <w:r>
              <w:rPr>
                <w:rFonts w:cs="Times New Roman"/>
                <w:szCs w:val="24"/>
              </w:rPr>
              <w:t>The COVID-19 pandemic is hurting UK’s economy and undermine customer’s spending power (Retail Detail, 2020)</w:t>
            </w:r>
          </w:p>
        </w:tc>
      </w:tr>
    </w:tbl>
    <w:p>
      <w:pPr>
        <w:rPr>
          <w:rFonts w:cs="Times New Roman"/>
          <w:b/>
          <w:bCs/>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1862529"/>
      <w:docPartObj>
        <w:docPartGallery w:val="AutoText"/>
      </w:docPartObj>
    </w:sdtPr>
    <w:sdtContent>
      <w:p>
        <w:pPr>
          <w:pStyle w:val="9"/>
          <w:jc w:val="right"/>
        </w:pPr>
        <w:r>
          <w:fldChar w:fldCharType="begin"/>
        </w:r>
        <w:r>
          <w:instrText xml:space="preserve">PAGE   \* MERGEFORMAT</w:instrText>
        </w:r>
        <w:r>
          <w:fldChar w:fldCharType="separate"/>
        </w:r>
        <w:r>
          <w:rPr>
            <w:lang w:val="zh-CN"/>
          </w:rPr>
          <w:t>2</w:t>
        </w:r>
        <w:r>
          <w:fldChar w:fldCharType="end"/>
        </w:r>
      </w:p>
    </w:sdtContent>
  </w:sdt>
  <w:p>
    <w:pPr>
      <w:pStyle w:val="9"/>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691"/>
    <w:rsid w:val="000010F3"/>
    <w:rsid w:val="00002495"/>
    <w:rsid w:val="00002D08"/>
    <w:rsid w:val="0000399B"/>
    <w:rsid w:val="00016B6E"/>
    <w:rsid w:val="00026F01"/>
    <w:rsid w:val="0004474B"/>
    <w:rsid w:val="000461FC"/>
    <w:rsid w:val="00081E19"/>
    <w:rsid w:val="0008253D"/>
    <w:rsid w:val="000842D3"/>
    <w:rsid w:val="000902EB"/>
    <w:rsid w:val="0009635A"/>
    <w:rsid w:val="00096579"/>
    <w:rsid w:val="000A09FA"/>
    <w:rsid w:val="000A3413"/>
    <w:rsid w:val="000A75C9"/>
    <w:rsid w:val="000C7D56"/>
    <w:rsid w:val="000D1644"/>
    <w:rsid w:val="000E664A"/>
    <w:rsid w:val="000F3487"/>
    <w:rsid w:val="00104569"/>
    <w:rsid w:val="0013272E"/>
    <w:rsid w:val="001337D3"/>
    <w:rsid w:val="00165612"/>
    <w:rsid w:val="0016708A"/>
    <w:rsid w:val="00167EE1"/>
    <w:rsid w:val="00170DDE"/>
    <w:rsid w:val="00173F48"/>
    <w:rsid w:val="0018520C"/>
    <w:rsid w:val="00191BBE"/>
    <w:rsid w:val="00197EF2"/>
    <w:rsid w:val="001A38CB"/>
    <w:rsid w:val="001B538D"/>
    <w:rsid w:val="001C0BA5"/>
    <w:rsid w:val="001C164B"/>
    <w:rsid w:val="001C2CFB"/>
    <w:rsid w:val="001E2E9C"/>
    <w:rsid w:val="001E6122"/>
    <w:rsid w:val="001F05BA"/>
    <w:rsid w:val="001F1AED"/>
    <w:rsid w:val="00214F38"/>
    <w:rsid w:val="00223F0F"/>
    <w:rsid w:val="0023518C"/>
    <w:rsid w:val="00240FE3"/>
    <w:rsid w:val="002525CB"/>
    <w:rsid w:val="00257C03"/>
    <w:rsid w:val="00276DDF"/>
    <w:rsid w:val="0028640E"/>
    <w:rsid w:val="0029201B"/>
    <w:rsid w:val="0029489F"/>
    <w:rsid w:val="002A2184"/>
    <w:rsid w:val="002A2916"/>
    <w:rsid w:val="002A2E4A"/>
    <w:rsid w:val="002B5300"/>
    <w:rsid w:val="002C5EA8"/>
    <w:rsid w:val="002D1C5E"/>
    <w:rsid w:val="002F43D9"/>
    <w:rsid w:val="002F6911"/>
    <w:rsid w:val="00300F7A"/>
    <w:rsid w:val="00302885"/>
    <w:rsid w:val="00303C65"/>
    <w:rsid w:val="00323D50"/>
    <w:rsid w:val="00336A03"/>
    <w:rsid w:val="00342BDA"/>
    <w:rsid w:val="0034511F"/>
    <w:rsid w:val="003502B7"/>
    <w:rsid w:val="003610A9"/>
    <w:rsid w:val="00364FDD"/>
    <w:rsid w:val="003851A2"/>
    <w:rsid w:val="00386BFA"/>
    <w:rsid w:val="003925D3"/>
    <w:rsid w:val="00396B76"/>
    <w:rsid w:val="003978B2"/>
    <w:rsid w:val="003A134E"/>
    <w:rsid w:val="003A21F9"/>
    <w:rsid w:val="003A43F6"/>
    <w:rsid w:val="003A75DF"/>
    <w:rsid w:val="003C2F91"/>
    <w:rsid w:val="003C3F37"/>
    <w:rsid w:val="003D0F84"/>
    <w:rsid w:val="003E25F9"/>
    <w:rsid w:val="003E46AC"/>
    <w:rsid w:val="003F4680"/>
    <w:rsid w:val="00401B93"/>
    <w:rsid w:val="00403E11"/>
    <w:rsid w:val="004070FC"/>
    <w:rsid w:val="00411EF1"/>
    <w:rsid w:val="00413CCA"/>
    <w:rsid w:val="00414A91"/>
    <w:rsid w:val="00441B77"/>
    <w:rsid w:val="00447147"/>
    <w:rsid w:val="004541CB"/>
    <w:rsid w:val="00456B79"/>
    <w:rsid w:val="00460628"/>
    <w:rsid w:val="00461D76"/>
    <w:rsid w:val="004719A8"/>
    <w:rsid w:val="00480023"/>
    <w:rsid w:val="00497D28"/>
    <w:rsid w:val="004A1F9A"/>
    <w:rsid w:val="004A2387"/>
    <w:rsid w:val="004A360C"/>
    <w:rsid w:val="004B1A7F"/>
    <w:rsid w:val="004C128E"/>
    <w:rsid w:val="004C16CE"/>
    <w:rsid w:val="004C4EA7"/>
    <w:rsid w:val="004D0CEF"/>
    <w:rsid w:val="004D0F39"/>
    <w:rsid w:val="004D4804"/>
    <w:rsid w:val="004E61BF"/>
    <w:rsid w:val="004F1647"/>
    <w:rsid w:val="004F4C94"/>
    <w:rsid w:val="005124E9"/>
    <w:rsid w:val="00517621"/>
    <w:rsid w:val="00522839"/>
    <w:rsid w:val="00530A3E"/>
    <w:rsid w:val="005315CC"/>
    <w:rsid w:val="0053202F"/>
    <w:rsid w:val="00536114"/>
    <w:rsid w:val="00543DDD"/>
    <w:rsid w:val="00545A09"/>
    <w:rsid w:val="0055794B"/>
    <w:rsid w:val="00560FA2"/>
    <w:rsid w:val="00561E66"/>
    <w:rsid w:val="00571113"/>
    <w:rsid w:val="00574C50"/>
    <w:rsid w:val="00582C97"/>
    <w:rsid w:val="005A53CB"/>
    <w:rsid w:val="005A5845"/>
    <w:rsid w:val="005B5753"/>
    <w:rsid w:val="005B7694"/>
    <w:rsid w:val="005C3F8E"/>
    <w:rsid w:val="005C3FB8"/>
    <w:rsid w:val="005C6306"/>
    <w:rsid w:val="005C7D5C"/>
    <w:rsid w:val="005E5F3C"/>
    <w:rsid w:val="005F4EAB"/>
    <w:rsid w:val="005F7859"/>
    <w:rsid w:val="00605283"/>
    <w:rsid w:val="0061234A"/>
    <w:rsid w:val="006149C8"/>
    <w:rsid w:val="00622DCF"/>
    <w:rsid w:val="006415EC"/>
    <w:rsid w:val="00657623"/>
    <w:rsid w:val="00673281"/>
    <w:rsid w:val="006770C0"/>
    <w:rsid w:val="0068202F"/>
    <w:rsid w:val="00683036"/>
    <w:rsid w:val="0068391C"/>
    <w:rsid w:val="00691ED4"/>
    <w:rsid w:val="006B7F81"/>
    <w:rsid w:val="006D2937"/>
    <w:rsid w:val="006D2AFF"/>
    <w:rsid w:val="007113F7"/>
    <w:rsid w:val="007316A3"/>
    <w:rsid w:val="00731C94"/>
    <w:rsid w:val="00736C9A"/>
    <w:rsid w:val="007536E2"/>
    <w:rsid w:val="00756617"/>
    <w:rsid w:val="00761CE8"/>
    <w:rsid w:val="00763E3C"/>
    <w:rsid w:val="0076606E"/>
    <w:rsid w:val="007678B8"/>
    <w:rsid w:val="00775173"/>
    <w:rsid w:val="00785842"/>
    <w:rsid w:val="00793F63"/>
    <w:rsid w:val="0079626D"/>
    <w:rsid w:val="007B1924"/>
    <w:rsid w:val="007C0FE1"/>
    <w:rsid w:val="007C5FC6"/>
    <w:rsid w:val="007D6E38"/>
    <w:rsid w:val="007E02CD"/>
    <w:rsid w:val="007E4AF7"/>
    <w:rsid w:val="007E5AA7"/>
    <w:rsid w:val="007E7643"/>
    <w:rsid w:val="007F532A"/>
    <w:rsid w:val="008132C7"/>
    <w:rsid w:val="00823EA6"/>
    <w:rsid w:val="00823FC3"/>
    <w:rsid w:val="00830E98"/>
    <w:rsid w:val="00832B6A"/>
    <w:rsid w:val="00852B13"/>
    <w:rsid w:val="008712FF"/>
    <w:rsid w:val="00872D94"/>
    <w:rsid w:val="00876EFF"/>
    <w:rsid w:val="00880516"/>
    <w:rsid w:val="008849E1"/>
    <w:rsid w:val="00886276"/>
    <w:rsid w:val="008927A8"/>
    <w:rsid w:val="00896DC6"/>
    <w:rsid w:val="008A2080"/>
    <w:rsid w:val="008D0519"/>
    <w:rsid w:val="008E39BC"/>
    <w:rsid w:val="008E6682"/>
    <w:rsid w:val="009077A9"/>
    <w:rsid w:val="00913542"/>
    <w:rsid w:val="00914540"/>
    <w:rsid w:val="00925C81"/>
    <w:rsid w:val="00941196"/>
    <w:rsid w:val="00941AA1"/>
    <w:rsid w:val="00943B40"/>
    <w:rsid w:val="0094436F"/>
    <w:rsid w:val="00950F24"/>
    <w:rsid w:val="0095328A"/>
    <w:rsid w:val="009606EA"/>
    <w:rsid w:val="00970196"/>
    <w:rsid w:val="00974798"/>
    <w:rsid w:val="00981134"/>
    <w:rsid w:val="009844EE"/>
    <w:rsid w:val="009A40FB"/>
    <w:rsid w:val="009A5A4A"/>
    <w:rsid w:val="009B3EB6"/>
    <w:rsid w:val="009B7354"/>
    <w:rsid w:val="009D3DE3"/>
    <w:rsid w:val="009D7D16"/>
    <w:rsid w:val="009E03D7"/>
    <w:rsid w:val="009E0439"/>
    <w:rsid w:val="009E1C51"/>
    <w:rsid w:val="009E3D9A"/>
    <w:rsid w:val="009F4960"/>
    <w:rsid w:val="009F745D"/>
    <w:rsid w:val="00A04D39"/>
    <w:rsid w:val="00A43130"/>
    <w:rsid w:val="00A46F0D"/>
    <w:rsid w:val="00A50B9B"/>
    <w:rsid w:val="00A54A57"/>
    <w:rsid w:val="00A610DB"/>
    <w:rsid w:val="00A700C4"/>
    <w:rsid w:val="00A7155C"/>
    <w:rsid w:val="00A82691"/>
    <w:rsid w:val="00A83F9E"/>
    <w:rsid w:val="00A862DB"/>
    <w:rsid w:val="00A866F3"/>
    <w:rsid w:val="00A8719D"/>
    <w:rsid w:val="00AB0FE9"/>
    <w:rsid w:val="00AB7455"/>
    <w:rsid w:val="00AF7A85"/>
    <w:rsid w:val="00AF7DB6"/>
    <w:rsid w:val="00B03469"/>
    <w:rsid w:val="00B223C4"/>
    <w:rsid w:val="00B35831"/>
    <w:rsid w:val="00B56027"/>
    <w:rsid w:val="00B64E3F"/>
    <w:rsid w:val="00B6616F"/>
    <w:rsid w:val="00B71781"/>
    <w:rsid w:val="00BA0B26"/>
    <w:rsid w:val="00BB456E"/>
    <w:rsid w:val="00BB69C6"/>
    <w:rsid w:val="00BD4D30"/>
    <w:rsid w:val="00BD70D5"/>
    <w:rsid w:val="00BD7266"/>
    <w:rsid w:val="00C010D0"/>
    <w:rsid w:val="00C04A9A"/>
    <w:rsid w:val="00C06BAF"/>
    <w:rsid w:val="00C4473D"/>
    <w:rsid w:val="00C4669B"/>
    <w:rsid w:val="00C51D91"/>
    <w:rsid w:val="00C535F6"/>
    <w:rsid w:val="00C5700E"/>
    <w:rsid w:val="00C67A30"/>
    <w:rsid w:val="00C74B16"/>
    <w:rsid w:val="00C7685A"/>
    <w:rsid w:val="00C9052A"/>
    <w:rsid w:val="00C91C91"/>
    <w:rsid w:val="00CA0E16"/>
    <w:rsid w:val="00CA2783"/>
    <w:rsid w:val="00CB6A8F"/>
    <w:rsid w:val="00CC2245"/>
    <w:rsid w:val="00CC32B1"/>
    <w:rsid w:val="00CC39D2"/>
    <w:rsid w:val="00CD6270"/>
    <w:rsid w:val="00CD6751"/>
    <w:rsid w:val="00CF11A7"/>
    <w:rsid w:val="00CF378E"/>
    <w:rsid w:val="00D10133"/>
    <w:rsid w:val="00D115BA"/>
    <w:rsid w:val="00D17AD5"/>
    <w:rsid w:val="00D2347D"/>
    <w:rsid w:val="00D3128E"/>
    <w:rsid w:val="00D37B38"/>
    <w:rsid w:val="00D37ECA"/>
    <w:rsid w:val="00D54F42"/>
    <w:rsid w:val="00D60B4B"/>
    <w:rsid w:val="00D60FDB"/>
    <w:rsid w:val="00D622F7"/>
    <w:rsid w:val="00D674AF"/>
    <w:rsid w:val="00D76EE3"/>
    <w:rsid w:val="00D84237"/>
    <w:rsid w:val="00D9502B"/>
    <w:rsid w:val="00DA4A42"/>
    <w:rsid w:val="00DB5757"/>
    <w:rsid w:val="00DB7723"/>
    <w:rsid w:val="00DC5FBB"/>
    <w:rsid w:val="00DC7C22"/>
    <w:rsid w:val="00DE0C23"/>
    <w:rsid w:val="00DE22FE"/>
    <w:rsid w:val="00DF1E36"/>
    <w:rsid w:val="00DF3C2E"/>
    <w:rsid w:val="00E02220"/>
    <w:rsid w:val="00E12DF4"/>
    <w:rsid w:val="00E3306C"/>
    <w:rsid w:val="00E35003"/>
    <w:rsid w:val="00E402F2"/>
    <w:rsid w:val="00E54F3F"/>
    <w:rsid w:val="00E61B34"/>
    <w:rsid w:val="00E65245"/>
    <w:rsid w:val="00E721A9"/>
    <w:rsid w:val="00E74E44"/>
    <w:rsid w:val="00E8611E"/>
    <w:rsid w:val="00E917E3"/>
    <w:rsid w:val="00E97057"/>
    <w:rsid w:val="00EA0A24"/>
    <w:rsid w:val="00EC03C1"/>
    <w:rsid w:val="00EC268E"/>
    <w:rsid w:val="00EC79DD"/>
    <w:rsid w:val="00ED5C66"/>
    <w:rsid w:val="00F0022D"/>
    <w:rsid w:val="00F512E3"/>
    <w:rsid w:val="00F52839"/>
    <w:rsid w:val="00F62C99"/>
    <w:rsid w:val="00F75614"/>
    <w:rsid w:val="00F757CE"/>
    <w:rsid w:val="00F95A5D"/>
    <w:rsid w:val="00FA5A81"/>
    <w:rsid w:val="00FB4843"/>
    <w:rsid w:val="00FB7740"/>
    <w:rsid w:val="00FC0CA6"/>
    <w:rsid w:val="00FC668A"/>
    <w:rsid w:val="00FD1CCE"/>
    <w:rsid w:val="00FD2056"/>
    <w:rsid w:val="00FE1D34"/>
    <w:rsid w:val="00FE46BC"/>
    <w:rsid w:val="066E5D8E"/>
    <w:rsid w:val="36172A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heme="minorEastAsia" w:cstheme="minorBidi"/>
      <w:kern w:val="2"/>
      <w:sz w:val="24"/>
      <w:szCs w:val="22"/>
      <w:lang w:val="en-US" w:eastAsia="zh-CN" w:bidi="ar-SA"/>
    </w:rPr>
  </w:style>
  <w:style w:type="paragraph" w:styleId="2">
    <w:name w:val="heading 1"/>
    <w:basedOn w:val="1"/>
    <w:next w:val="1"/>
    <w:link w:val="2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4"/>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5"/>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6"/>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6">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6">
    <w:name w:val="toc 3"/>
    <w:basedOn w:val="1"/>
    <w:next w:val="1"/>
    <w:unhideWhenUsed/>
    <w:uiPriority w:val="39"/>
    <w:pPr>
      <w:ind w:left="840" w:leftChars="400"/>
    </w:pPr>
  </w:style>
  <w:style w:type="paragraph" w:styleId="7">
    <w:name w:val="Date"/>
    <w:basedOn w:val="1"/>
    <w:next w:val="1"/>
    <w:link w:val="21"/>
    <w:semiHidden/>
    <w:unhideWhenUsed/>
    <w:uiPriority w:val="99"/>
    <w:pPr>
      <w:ind w:left="100" w:leftChars="2500"/>
    </w:pPr>
  </w:style>
  <w:style w:type="paragraph" w:styleId="8">
    <w:name w:val="Balloon Text"/>
    <w:basedOn w:val="1"/>
    <w:link w:val="20"/>
    <w:semiHidden/>
    <w:unhideWhenUsed/>
    <w:uiPriority w:val="99"/>
    <w:pPr>
      <w:spacing w:line="240" w:lineRule="auto"/>
    </w:pPr>
    <w:rPr>
      <w:sz w:val="18"/>
      <w:szCs w:val="18"/>
    </w:rPr>
  </w:style>
  <w:style w:type="paragraph" w:styleId="9">
    <w:name w:val="footer"/>
    <w:basedOn w:val="1"/>
    <w:link w:val="19"/>
    <w:unhideWhenUsed/>
    <w:qFormat/>
    <w:uiPriority w:val="99"/>
    <w:pPr>
      <w:tabs>
        <w:tab w:val="center" w:pos="4153"/>
        <w:tab w:val="right" w:pos="8306"/>
      </w:tabs>
      <w:snapToGrid w:val="0"/>
      <w:spacing w:line="240" w:lineRule="auto"/>
      <w:jc w:val="left"/>
    </w:pPr>
    <w:rPr>
      <w:sz w:val="18"/>
      <w:szCs w:val="18"/>
    </w:rPr>
  </w:style>
  <w:style w:type="paragraph" w:styleId="10">
    <w:name w:val="header"/>
    <w:basedOn w:val="1"/>
    <w:link w:val="18"/>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1">
    <w:name w:val="toc 1"/>
    <w:basedOn w:val="1"/>
    <w:next w:val="1"/>
    <w:unhideWhenUsed/>
    <w:uiPriority w:val="39"/>
  </w:style>
  <w:style w:type="paragraph" w:styleId="12">
    <w:name w:val="toc 2"/>
    <w:basedOn w:val="1"/>
    <w:next w:val="1"/>
    <w:unhideWhenUsed/>
    <w:uiPriority w:val="39"/>
    <w:pPr>
      <w:ind w:left="420" w:leftChars="200"/>
    </w:pPr>
  </w:style>
  <w:style w:type="paragraph" w:styleId="13">
    <w:name w:val="Normal (Web)"/>
    <w:basedOn w:val="1"/>
    <w:semiHidden/>
    <w:unhideWhenUsed/>
    <w:uiPriority w:val="99"/>
    <w:pPr>
      <w:spacing w:before="100" w:beforeAutospacing="1" w:after="100" w:afterAutospacing="1" w:line="240" w:lineRule="auto"/>
      <w:jc w:val="left"/>
    </w:pPr>
    <w:rPr>
      <w:rFonts w:ascii="宋体" w:hAnsi="宋体" w:eastAsia="宋体" w:cs="宋体"/>
      <w:kern w:val="0"/>
      <w:szCs w:val="24"/>
    </w:rPr>
  </w:style>
  <w:style w:type="table" w:styleId="15">
    <w:name w:val="Table Grid"/>
    <w:basedOn w:val="14"/>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unhideWhenUsed/>
    <w:uiPriority w:val="99"/>
    <w:rPr>
      <w:color w:val="0000FF"/>
      <w:u w:val="single"/>
    </w:rPr>
  </w:style>
  <w:style w:type="character" w:customStyle="1" w:styleId="18">
    <w:name w:val="页眉 字符"/>
    <w:basedOn w:val="16"/>
    <w:link w:val="10"/>
    <w:qFormat/>
    <w:uiPriority w:val="99"/>
    <w:rPr>
      <w:sz w:val="18"/>
      <w:szCs w:val="18"/>
    </w:rPr>
  </w:style>
  <w:style w:type="character" w:customStyle="1" w:styleId="19">
    <w:name w:val="页脚 字符"/>
    <w:basedOn w:val="16"/>
    <w:link w:val="9"/>
    <w:qFormat/>
    <w:uiPriority w:val="99"/>
    <w:rPr>
      <w:sz w:val="18"/>
      <w:szCs w:val="18"/>
    </w:rPr>
  </w:style>
  <w:style w:type="character" w:customStyle="1" w:styleId="20">
    <w:name w:val="批注框文本 字符"/>
    <w:basedOn w:val="16"/>
    <w:link w:val="8"/>
    <w:semiHidden/>
    <w:uiPriority w:val="99"/>
    <w:rPr>
      <w:rFonts w:eastAsiaTheme="minorEastAsia" w:cstheme="minorBidi"/>
      <w:kern w:val="2"/>
      <w:sz w:val="18"/>
      <w:szCs w:val="18"/>
    </w:rPr>
  </w:style>
  <w:style w:type="character" w:customStyle="1" w:styleId="21">
    <w:name w:val="日期 字符"/>
    <w:basedOn w:val="16"/>
    <w:link w:val="7"/>
    <w:semiHidden/>
    <w:uiPriority w:val="99"/>
    <w:rPr>
      <w:rFonts w:eastAsiaTheme="minorEastAsia" w:cstheme="minorBidi"/>
      <w:kern w:val="2"/>
      <w:sz w:val="24"/>
      <w:szCs w:val="22"/>
    </w:rPr>
  </w:style>
  <w:style w:type="table" w:customStyle="1" w:styleId="22">
    <w:name w:val="网格型1"/>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3">
    <w:name w:val="标题 1 字符"/>
    <w:basedOn w:val="16"/>
    <w:link w:val="2"/>
    <w:uiPriority w:val="9"/>
    <w:rPr>
      <w:rFonts w:eastAsiaTheme="minorEastAsia" w:cstheme="minorBidi"/>
      <w:b/>
      <w:bCs/>
      <w:kern w:val="44"/>
      <w:sz w:val="44"/>
      <w:szCs w:val="44"/>
    </w:rPr>
  </w:style>
  <w:style w:type="character" w:customStyle="1" w:styleId="24">
    <w:name w:val="标题 2 字符"/>
    <w:basedOn w:val="16"/>
    <w:link w:val="3"/>
    <w:semiHidden/>
    <w:uiPriority w:val="9"/>
    <w:rPr>
      <w:rFonts w:asciiTheme="majorHAnsi" w:hAnsiTheme="majorHAnsi" w:eastAsiaTheme="majorEastAsia" w:cstheme="majorBidi"/>
      <w:b/>
      <w:bCs/>
      <w:kern w:val="2"/>
      <w:sz w:val="32"/>
      <w:szCs w:val="32"/>
    </w:rPr>
  </w:style>
  <w:style w:type="character" w:customStyle="1" w:styleId="25">
    <w:name w:val="标题 3 字符"/>
    <w:basedOn w:val="16"/>
    <w:link w:val="4"/>
    <w:semiHidden/>
    <w:uiPriority w:val="9"/>
    <w:rPr>
      <w:rFonts w:eastAsiaTheme="minorEastAsia" w:cstheme="minorBidi"/>
      <w:b/>
      <w:bCs/>
      <w:kern w:val="2"/>
      <w:sz w:val="32"/>
      <w:szCs w:val="32"/>
    </w:rPr>
  </w:style>
  <w:style w:type="character" w:customStyle="1" w:styleId="26">
    <w:name w:val="标题 4 字符"/>
    <w:basedOn w:val="16"/>
    <w:link w:val="5"/>
    <w:semiHidden/>
    <w:uiPriority w:val="9"/>
    <w:rPr>
      <w:rFonts w:asciiTheme="majorHAnsi" w:hAnsiTheme="majorHAnsi" w:eastAsiaTheme="majorEastAsia" w:cstheme="majorBidi"/>
      <w:b/>
      <w:bCs/>
      <w:kern w:val="2"/>
      <w:sz w:val="28"/>
      <w:szCs w:val="28"/>
    </w:rPr>
  </w:style>
  <w:style w:type="paragraph" w:customStyle="1" w:styleId="27">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bCs w:val="0"/>
      <w:color w:val="2F5496"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38"/>
    </mc:Choice>
    <mc:Fallback>
      <c:style val="38"/>
    </mc:Fallback>
  </mc:AlternateContent>
  <c:chart>
    <c:autoTitleDeleted val="1"/>
    <c:plotArea>
      <c:layout/>
      <c:barChart>
        <c:barDir val="bar"/>
        <c:grouping val="clustered"/>
        <c:varyColors val="0"/>
        <c:ser>
          <c:idx val="0"/>
          <c:order val="0"/>
          <c:tx>
            <c:strRef>
              <c:f>Sheet1!$B$1</c:f>
              <c:strCache>
                <c:ptCount val="1"/>
                <c:pt idx="0">
                  <c:v>系列 1</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dk1"/>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Sheet1!$A$2:$A$6</c:f>
              <c:strCache>
                <c:ptCount val="5"/>
                <c:pt idx="0">
                  <c:v>Excellent</c:v>
                </c:pt>
                <c:pt idx="1">
                  <c:v>Great</c:v>
                </c:pt>
                <c:pt idx="2">
                  <c:v>Average</c:v>
                </c:pt>
                <c:pt idx="3">
                  <c:v>Poor</c:v>
                </c:pt>
                <c:pt idx="4">
                  <c:v>Bad</c:v>
                </c:pt>
              </c:strCache>
            </c:strRef>
          </c:cat>
          <c:val>
            <c:numRef>
              <c:f>Sheet1!$B$2:$B$6</c:f>
              <c:numCache>
                <c:formatCode>General</c:formatCode>
                <c:ptCount val="5"/>
                <c:pt idx="0">
                  <c:v>14</c:v>
                </c:pt>
                <c:pt idx="1">
                  <c:v>5</c:v>
                </c:pt>
                <c:pt idx="2">
                  <c:v>4</c:v>
                </c:pt>
                <c:pt idx="3">
                  <c:v>10</c:v>
                </c:pt>
                <c:pt idx="4">
                  <c:v>67</c:v>
                </c:pt>
              </c:numCache>
            </c:numRef>
          </c:val>
        </c:ser>
        <c:dLbls>
          <c:showLegendKey val="0"/>
          <c:showVal val="0"/>
          <c:showCatName val="0"/>
          <c:showSerName val="0"/>
          <c:showPercent val="0"/>
          <c:showBubbleSize val="0"/>
        </c:dLbls>
        <c:gapWidth val="150"/>
        <c:axId val="46628864"/>
        <c:axId val="46630400"/>
      </c:barChart>
      <c:catAx>
        <c:axId val="46628864"/>
        <c:scaling>
          <c:orientation val="minMax"/>
        </c:scaling>
        <c:delete val="0"/>
        <c:axPos val="l"/>
        <c:numFmt formatCode="General" sourceLinked="0"/>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dk1"/>
                </a:solidFill>
                <a:latin typeface="Times New Roman" panose="02020603050405020304" charset="0"/>
                <a:ea typeface="+mn-ea"/>
                <a:cs typeface="Times New Roman" panose="02020603050405020304" charset="0"/>
              </a:defRPr>
            </a:pPr>
          </a:p>
        </c:txPr>
        <c:crossAx val="46630400"/>
        <c:crosses val="autoZero"/>
        <c:auto val="1"/>
        <c:lblAlgn val="ctr"/>
        <c:lblOffset val="100"/>
        <c:noMultiLvlLbl val="0"/>
      </c:catAx>
      <c:valAx>
        <c:axId val="46630400"/>
        <c:scaling>
          <c:orientation val="minMax"/>
        </c:scaling>
        <c:delete val="0"/>
        <c:axPos val="b"/>
        <c:majorGridlines/>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dk1"/>
                </a:solidFill>
                <a:latin typeface="Times New Roman" panose="02020603050405020304" charset="0"/>
                <a:ea typeface="+mn-ea"/>
                <a:cs typeface="Times New Roman" panose="02020603050405020304" charset="0"/>
              </a:defRPr>
            </a:pPr>
          </a:p>
        </c:txPr>
        <c:crossAx val="46628864"/>
        <c:crosses val="autoZero"/>
        <c:crossBetween val="between"/>
      </c:valAx>
    </c:plotArea>
    <c:plotVisOnly val="1"/>
    <c:dispBlanksAs val="gap"/>
    <c:showDLblsOverMax val="0"/>
  </c:chart>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38"/>
    </mc:Choice>
    <mc:Fallback>
      <c:style val="38"/>
    </mc:Fallback>
  </mc:AlternateContent>
  <c:chart>
    <c:autoTitleDeleted val="1"/>
    <c:plotArea>
      <c:layout/>
      <c:barChart>
        <c:barDir val="bar"/>
        <c:grouping val="clustered"/>
        <c:varyColors val="0"/>
        <c:ser>
          <c:idx val="0"/>
          <c:order val="0"/>
          <c:tx>
            <c:strRef>
              <c:f>Sheet1!$B$1</c:f>
              <c:strCache>
                <c:ptCount val="1"/>
                <c:pt idx="0">
                  <c:v>系列 1</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dk1"/>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Sheet1!$A$2:$A$5</c:f>
              <c:strCache>
                <c:ptCount val="4"/>
                <c:pt idx="0">
                  <c:v>Morrison</c:v>
                </c:pt>
                <c:pt idx="1">
                  <c:v>Tesco</c:v>
                </c:pt>
                <c:pt idx="2">
                  <c:v>Asda</c:v>
                </c:pt>
                <c:pt idx="3">
                  <c:v>Sansbury's</c:v>
                </c:pt>
              </c:strCache>
            </c:strRef>
          </c:cat>
          <c:val>
            <c:numRef>
              <c:f>Sheet1!$B$2:$B$5</c:f>
              <c:numCache>
                <c:formatCode>General</c:formatCode>
                <c:ptCount val="4"/>
                <c:pt idx="0">
                  <c:v>46</c:v>
                </c:pt>
                <c:pt idx="1">
                  <c:v>36</c:v>
                </c:pt>
                <c:pt idx="2">
                  <c:v>19</c:v>
                </c:pt>
                <c:pt idx="3">
                  <c:v>19</c:v>
                </c:pt>
              </c:numCache>
            </c:numRef>
          </c:val>
        </c:ser>
        <c:ser>
          <c:idx val="1"/>
          <c:order val="1"/>
          <c:tx>
            <c:strRef>
              <c:f>Sheet1!$C$1</c:f>
              <c:strCache>
                <c:ptCount val="1"/>
                <c:pt idx="0">
                  <c:v>列1</c:v>
                </c:pt>
              </c:strCache>
            </c:strRef>
          </c:tx>
          <c:invertIfNegative val="0"/>
          <c:dLbls>
            <c:delete val="1"/>
          </c:dLbls>
          <c:cat>
            <c:strRef>
              <c:f>Sheet1!$A$2:$A$5</c:f>
              <c:strCache>
                <c:ptCount val="4"/>
                <c:pt idx="0">
                  <c:v>Morrison</c:v>
                </c:pt>
                <c:pt idx="1">
                  <c:v>Tesco</c:v>
                </c:pt>
                <c:pt idx="2">
                  <c:v>Asda</c:v>
                </c:pt>
                <c:pt idx="3">
                  <c:v>Sansbury's</c:v>
                </c:pt>
              </c:strCache>
            </c:strRef>
          </c:cat>
          <c:val>
            <c:numRef>
              <c:f>Sheet1!$C$2:$C$5</c:f>
              <c:numCache>
                <c:formatCode>General</c:formatCode>
                <c:ptCount val="4"/>
              </c:numCache>
            </c:numRef>
          </c:val>
        </c:ser>
        <c:ser>
          <c:idx val="2"/>
          <c:order val="2"/>
          <c:tx>
            <c:strRef>
              <c:f>Sheet1!$D$1</c:f>
              <c:strCache>
                <c:ptCount val="1"/>
                <c:pt idx="0">
                  <c:v>列2</c:v>
                </c:pt>
              </c:strCache>
            </c:strRef>
          </c:tx>
          <c:invertIfNegative val="0"/>
          <c:dLbls>
            <c:delete val="1"/>
          </c:dLbls>
          <c:cat>
            <c:strRef>
              <c:f>Sheet1!$A$2:$A$5</c:f>
              <c:strCache>
                <c:ptCount val="4"/>
                <c:pt idx="0">
                  <c:v>Morrison</c:v>
                </c:pt>
                <c:pt idx="1">
                  <c:v>Tesco</c:v>
                </c:pt>
                <c:pt idx="2">
                  <c:v>Asda</c:v>
                </c:pt>
                <c:pt idx="3">
                  <c:v>Sansbury's</c:v>
                </c:pt>
              </c:strCache>
            </c:strRef>
          </c:cat>
          <c:val>
            <c:numRef>
              <c:f>Sheet1!$D$2:$D$5</c:f>
              <c:numCache>
                <c:formatCode>General</c:formatCode>
                <c:ptCount val="4"/>
              </c:numCache>
            </c:numRef>
          </c:val>
        </c:ser>
        <c:dLbls>
          <c:showLegendKey val="0"/>
          <c:showVal val="0"/>
          <c:showCatName val="0"/>
          <c:showSerName val="0"/>
          <c:showPercent val="0"/>
          <c:showBubbleSize val="0"/>
        </c:dLbls>
        <c:gapWidth val="150"/>
        <c:axId val="132010368"/>
        <c:axId val="132370816"/>
      </c:barChart>
      <c:catAx>
        <c:axId val="132010368"/>
        <c:scaling>
          <c:orientation val="minMax"/>
        </c:scaling>
        <c:delete val="0"/>
        <c:axPos val="l"/>
        <c:numFmt formatCode="General" sourceLinked="0"/>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dk1"/>
                </a:solidFill>
                <a:latin typeface="Times New Roman" panose="02020603050405020304" charset="0"/>
                <a:ea typeface="+mn-ea"/>
                <a:cs typeface="Times New Roman" panose="02020603050405020304" charset="0"/>
              </a:defRPr>
            </a:pPr>
          </a:p>
        </c:txPr>
        <c:crossAx val="132370816"/>
        <c:crosses val="autoZero"/>
        <c:auto val="1"/>
        <c:lblAlgn val="ctr"/>
        <c:lblOffset val="100"/>
        <c:noMultiLvlLbl val="0"/>
      </c:catAx>
      <c:valAx>
        <c:axId val="132370816"/>
        <c:scaling>
          <c:orientation val="minMax"/>
        </c:scaling>
        <c:delete val="0"/>
        <c:axPos val="b"/>
        <c:majorGridlines/>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dk1"/>
                </a:solidFill>
                <a:latin typeface="Times New Roman" panose="02020603050405020304" charset="0"/>
                <a:ea typeface="+mn-ea"/>
                <a:cs typeface="Times New Roman" panose="02020603050405020304" charset="0"/>
              </a:defRPr>
            </a:pPr>
          </a:p>
        </c:txPr>
        <c:crossAx val="132010368"/>
        <c:crosses val="autoZero"/>
        <c:crossBetween val="between"/>
      </c:valAx>
    </c:plotArea>
    <c:plotVisOnly val="1"/>
    <c:dispBlanksAs val="gap"/>
    <c:showDLblsOverMax val="0"/>
  </c:chart>
  <c:txPr>
    <a:bodyPr/>
    <a:lstStyle/>
    <a:p>
      <a:pPr>
        <a:defRPr lang="zh-CN"/>
      </a:pPr>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9FB600-DE97-4EEF-9150-9E91E179A9F6}">
  <ds:schemaRefs/>
</ds:datastoreItem>
</file>

<file path=docProps/app.xml><?xml version="1.0" encoding="utf-8"?>
<Properties xmlns="http://schemas.openxmlformats.org/officeDocument/2006/extended-properties" xmlns:vt="http://schemas.openxmlformats.org/officeDocument/2006/docPropsVTypes">
  <Template>Normal</Template>
  <Pages>21</Pages>
  <Words>5332</Words>
  <Characters>30395</Characters>
  <Lines>253</Lines>
  <Paragraphs>71</Paragraphs>
  <TotalTime>1064</TotalTime>
  <ScaleCrop>false</ScaleCrop>
  <LinksUpToDate>false</LinksUpToDate>
  <CharactersWithSpaces>35656</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2020-04-29T06:09:00Z</dcterms:created>
  <dc:creator>吴 冰</dc:creator>
  <cp:lastModifiedBy>Jung</cp:lastModifiedBy>
  <dcterms:modified xsi:type="dcterms:W3CDTF">2020-04-30T08:21:23Z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