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15 w16se w16cid w16 w16cex w16sdtdh w16sdtfl w16du wp14">
  <w:background w:color="0989B1" w:themeColor="accent6"/>
  <w:body>
    <w:sdt>
      <w:sdtPr>
        <w:id w:val="1596586860"/>
        <w:docPartObj>
          <w:docPartGallery w:val="Cover Pages"/>
          <w:docPartUnique/>
        </w:docPartObj>
      </w:sdtPr>
      <w:sdtEndPr>
        <w:rPr>
          <w:color w:val="FFFFFF" w:themeColor="background1"/>
        </w:rPr>
      </w:sdtEndPr>
      <w:sdtContent>
        <w:p w:rsidR="00322F9B" w:rsidRDefault="00322F9B" w14:paraId="2A60A23D" w14:textId="2798E4F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583CCD49" wp14:editId="2F9C3C2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57" style="position:absolute;margin-left:0;margin-top:0;width:8in;height:95.7pt;z-index:251658243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3464D3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549e39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10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17BCFE83" wp14:editId="487CA69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:rsidR="00322F9B" w:rsidRDefault="00322F9B" w14:paraId="6F887D08" w14:textId="7E9C173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Ana Margarida Dias Gomes (2322062)</w:t>
                                    </w:r>
                                  </w:p>
                                </w:sdtContent>
                              </w:sdt>
                              <w:p w:rsidR="00322F9B" w:rsidRDefault="00322F9B" w14:paraId="62319DC1" w14:textId="7777777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17BCFE83">
                    <v:stroke joinstyle="miter"/>
                    <v:path gradientshapeok="t" o:connecttype="rect"/>
                  </v:shapetype>
                  <v:shape id="Text Box 159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322F9B" w:rsidRDefault="00322F9B" w14:paraId="6F887D08" w14:textId="7E9C173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Ana Margarida Dias Gomes (2322062)</w:t>
                              </w:r>
                            </w:p>
                          </w:sdtContent>
                        </w:sdt>
                        <w:p w:rsidR="00322F9B" w:rsidRDefault="00322F9B" w14:paraId="62319DC1" w14:textId="7777777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711058EE" wp14:editId="1B308D6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22F9B" w:rsidRDefault="00717412" w14:paraId="0DFCC454" w14:textId="1A4F376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Mo</w:t>
                                </w:r>
                                <w:r w:rsidR="00E2381C"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dule:</w:t>
                                </w: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Abstract"/>
                                    <w:tag w:val=""/>
                                    <w:id w:val="1375273687"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Content>
                                    <w:r w:rsidRPr="006D74BE" w:rsidR="006D74BE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r w:rsidR="006A193D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BMHP6029</w:t>
                                    </w:r>
                                    <w:r w:rsidR="007242F2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br/>
                                      <w:t xml:space="preserve">Lecturer: </w:t>
                                    </w:r>
                                    <w:r w:rsidR="00403DEC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Neale Haddon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61" style="position:absolute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w14:anchorId="711058EE">
                    <v:textbox style="mso-fit-shape-to-text:t" inset="126pt,0,54pt,0">
                      <w:txbxContent>
                        <w:p w:rsidR="00322F9B" w:rsidRDefault="00717412" w14:paraId="0DFCC454" w14:textId="1A4F376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t>Mo</w:t>
                          </w:r>
                          <w:r w:rsidR="00E2381C">
                            <w:rPr>
                              <w:rFonts w:ascii="Arial" w:hAnsi="Arial" w:cs="Arial"/>
                              <w:color w:val="595959" w:themeColor="text1" w:themeTint="A6"/>
                              <w:sz w:val="28"/>
                              <w:szCs w:val="28"/>
                            </w:rPr>
                            <w:t>dule:</w:t>
                          </w:r>
                          <w:sdt>
                            <w:sdtPr>
                              <w:rPr>
                                <w:rFonts w:ascii="Arial" w:hAnsi="Arial" w:cs="Arial"/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Abstract"/>
                              <w:tag w:val=""/>
                              <w:id w:val="1375273687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Content>
                              <w:r w:rsidRPr="006D74BE" w:rsidR="006D74BE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6A193D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BMHP6029</w:t>
                              </w:r>
                              <w:r w:rsidR="007242F2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br/>
                                <w:t xml:space="preserve">Lecturer: </w:t>
                              </w:r>
                              <w:r w:rsidR="00403DEC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Neale Haddon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0ACCA3C" wp14:editId="6FD72D4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E367DA" w:rsidR="00322F9B" w:rsidRDefault="00322F9B" w14:paraId="35047680" w14:textId="0A677CD0">
                                <w:pPr>
                                  <w:jc w:val="right"/>
                                  <w:rPr>
                                    <w:rFonts w:ascii="Arial" w:hAnsi="Arial" w:cs="Arial"/>
                                    <w:color w:val="549E39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549E39" w:themeColor="accent1"/>
                                      <w:sz w:val="28"/>
                                      <w:szCs w:val="28"/>
                                    </w:rPr>
                                    <w:alias w:val="Title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A4C2F">
                                      <w:rPr>
                                        <w:rFonts w:ascii="Arial" w:hAnsi="Arial" w:cs="Arial"/>
                                        <w:caps/>
                                        <w:color w:val="549E39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:rsidR="00322F9B" w:rsidRDefault="00322F9B" w14:paraId="0742D7E2" w14:textId="037AB20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Psychopathological Classifications and Provisions, BSc H&amp;SC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63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w14:anchorId="30ACCA3C">
                    <v:textbox inset="126pt,0,54pt,0">
                      <w:txbxContent>
                        <w:p w:rsidRPr="00E367DA" w:rsidR="00322F9B" w:rsidRDefault="00322F9B" w14:paraId="35047680" w14:textId="0A677CD0">
                          <w:pPr>
                            <w:jc w:val="right"/>
                            <w:rPr>
                              <w:rFonts w:ascii="Arial" w:hAnsi="Arial" w:cs="Arial"/>
                              <w:color w:val="549E39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549E39" w:themeColor="accent1"/>
                                <w:sz w:val="28"/>
                                <w:szCs w:val="28"/>
                              </w:rPr>
                              <w:alias w:val="Title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A4C2F">
                                <w:rPr>
                                  <w:rFonts w:ascii="Arial" w:hAnsi="Arial" w:cs="Arial"/>
                                  <w:caps/>
                                  <w:color w:val="549E39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322F9B" w:rsidRDefault="00322F9B" w14:paraId="0742D7E2" w14:textId="037AB20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Psychopathological Classifications and Provisions, BSc H&amp;SC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322F9B" w:rsidRDefault="00322F9B" w14:paraId="399DA324" w14:textId="2CF0A93A">
          <w:pPr>
            <w:rPr>
              <w:color w:val="FFFFFF" w:themeColor="background1"/>
            </w:rPr>
          </w:pPr>
          <w:r w:rsidRPr="7BA8F9EB">
            <w:rPr>
              <w:color w:val="FFFFFF" w:themeColor="background1" w:themeTint="FF" w:themeShade="FF"/>
            </w:rPr>
            <w:br w:type="page"/>
          </w:r>
        </w:p>
      </w:sdtContent>
    </w:sdt>
    <w:p w:rsidRPr="00573D55" w:rsidR="003246A6" w:rsidP="7BA8F9EB" w:rsidRDefault="00BF4155" w14:paraId="608BADCC" w14:textId="20AE419A">
      <w:pPr>
        <w:rPr>
          <w:rFonts w:ascii="Arial" w:hAnsi="Arial" w:eastAsia="Arial" w:cs="Arial"/>
          <w:noProof/>
        </w:rPr>
      </w:pPr>
    </w:p>
    <w:p w:rsidRPr="00573D55" w:rsidR="003246A6" w:rsidP="7BA8F9EB" w:rsidRDefault="00BF4155" w14:paraId="6BD81809" w14:textId="5E0FC343">
      <w:pPr>
        <w:rPr>
          <w:rFonts w:ascii="Arial" w:hAnsi="Arial" w:eastAsia="Arial" w:cs="Arial"/>
          <w:noProof/>
        </w:rPr>
      </w:pPr>
    </w:p>
    <w:p w:rsidRPr="00573D55" w:rsidR="003246A6" w:rsidP="7BA8F9EB" w:rsidRDefault="00BF4155" w14:paraId="7D76D494" w14:textId="0204C973">
      <w:pPr>
        <w:rPr>
          <w:rFonts w:ascii="Arial" w:hAnsi="Arial" w:eastAsia="Arial" w:cs="Arial"/>
          <w:noProof/>
        </w:rPr>
      </w:pPr>
    </w:p>
    <w:p w:rsidRPr="00573D55" w:rsidR="003246A6" w:rsidP="7BA8F9EB" w:rsidRDefault="00BF4155" w14:paraId="07B045E3" w14:textId="51906D81">
      <w:pPr>
        <w:rPr>
          <w:rFonts w:ascii="Arial" w:hAnsi="Arial" w:eastAsia="Arial" w:cs="Arial"/>
          <w:noProof/>
        </w:rPr>
      </w:pPr>
    </w:p>
    <w:p w:rsidRPr="00573D55" w:rsidR="003246A6" w:rsidP="7BA8F9EB" w:rsidRDefault="00BF4155" w14:paraId="375C6BC0" w14:textId="65223160">
      <w:pPr>
        <w:rPr>
          <w:rFonts w:ascii="Arial" w:hAnsi="Arial" w:eastAsia="Arial" w:cs="Arial"/>
          <w:noProof/>
        </w:rPr>
      </w:pPr>
    </w:p>
    <w:p w:rsidRPr="00573D55" w:rsidR="003246A6" w:rsidP="7BA8F9EB" w:rsidRDefault="00BF4155" w14:paraId="669C9AB2" w14:textId="3A6247AE">
      <w:pPr>
        <w:rPr>
          <w:rFonts w:ascii="Arial" w:hAnsi="Arial" w:eastAsia="Arial" w:cs="Arial"/>
          <w:noProof/>
        </w:rPr>
      </w:pPr>
    </w:p>
    <w:p w:rsidRPr="00573D55" w:rsidR="003246A6" w:rsidP="7BA8F9EB" w:rsidRDefault="00BF4155" w14:paraId="1D95913E" w14:textId="3AD38F80">
      <w:pPr>
        <w:rPr>
          <w:rFonts w:ascii="Arial" w:hAnsi="Arial" w:eastAsia="Arial" w:cs="Arial"/>
          <w:noProof/>
        </w:rPr>
      </w:pPr>
    </w:p>
    <w:p w:rsidRPr="00573D55" w:rsidR="003246A6" w:rsidP="7BA8F9EB" w:rsidRDefault="00BF4155" w14:paraId="35E52717" w14:textId="6193CDD6">
      <w:pPr>
        <w:pStyle w:val="Normal"/>
        <w:rPr>
          <w:rFonts w:ascii="Arial" w:hAnsi="Arial" w:eastAsia="Arial" w:cs="Arial"/>
          <w:noProof/>
        </w:rPr>
      </w:pPr>
      <w:r w:rsidRPr="7BA8F9EB" w:rsidR="6AA6DABD">
        <w:rPr>
          <w:rFonts w:ascii="Arial" w:hAnsi="Arial" w:eastAsia="Arial" w:cs="Arial"/>
          <w:noProof/>
          <w:sz w:val="22"/>
          <w:szCs w:val="22"/>
        </w:rPr>
        <w:t>Module code: BMHP</w:t>
      </w:r>
      <w:r w:rsidRPr="7BA8F9EB" w:rsidR="290DCD65">
        <w:rPr>
          <w:rFonts w:ascii="Arial" w:hAnsi="Arial" w:eastAsia="Arial" w:cs="Arial"/>
          <w:noProof/>
          <w:sz w:val="22"/>
          <w:szCs w:val="22"/>
        </w:rPr>
        <w:t>6029</w:t>
      </w:r>
    </w:p>
    <w:p w:rsidRPr="00573D55" w:rsidR="003246A6" w:rsidP="7BA8F9EB" w:rsidRDefault="00BF4155" w14:paraId="1DBB77B0" w14:textId="1E18D217">
      <w:pPr>
        <w:rPr>
          <w:rFonts w:ascii="Arial" w:hAnsi="Arial" w:eastAsia="Arial" w:cs="Arial"/>
          <w:noProof/>
          <w:sz w:val="22"/>
          <w:szCs w:val="22"/>
        </w:rPr>
      </w:pPr>
      <w:r w:rsidRPr="7BA8F9EB" w:rsidR="290DCD65">
        <w:rPr>
          <w:rFonts w:ascii="Arial" w:hAnsi="Arial" w:eastAsia="Arial" w:cs="Arial"/>
          <w:noProof/>
          <w:sz w:val="22"/>
          <w:szCs w:val="22"/>
        </w:rPr>
        <w:t>Lecturer: Neale Haddon</w:t>
      </w:r>
    </w:p>
    <w:p w:rsidRPr="00573D55" w:rsidR="003246A6" w:rsidP="7BA8F9EB" w:rsidRDefault="00BF4155" w14:paraId="05A324CB" w14:textId="2EA9C9D1">
      <w:pPr>
        <w:rPr>
          <w:rFonts w:ascii="Arial" w:hAnsi="Arial" w:eastAsia="Arial" w:cs="Arial"/>
          <w:noProof/>
          <w:sz w:val="22"/>
          <w:szCs w:val="22"/>
        </w:rPr>
      </w:pPr>
      <w:r w:rsidRPr="7BA8F9EB" w:rsidR="115A2DFE">
        <w:rPr>
          <w:rFonts w:ascii="Arial" w:hAnsi="Arial" w:eastAsia="Arial" w:cs="Arial"/>
          <w:noProof/>
          <w:sz w:val="22"/>
          <w:szCs w:val="22"/>
        </w:rPr>
        <w:t>As</w:t>
      </w:r>
      <w:r w:rsidRPr="7BA8F9EB" w:rsidR="25D119F7">
        <w:rPr>
          <w:rFonts w:ascii="Arial" w:hAnsi="Arial" w:eastAsia="Arial" w:cs="Arial"/>
          <w:noProof/>
          <w:sz w:val="22"/>
          <w:szCs w:val="22"/>
        </w:rPr>
        <w:t>signment Title: Component 1: Ind</w:t>
      </w:r>
      <w:r w:rsidRPr="7BA8F9EB" w:rsidR="1AC3D485">
        <w:rPr>
          <w:rFonts w:ascii="Arial" w:hAnsi="Arial" w:eastAsia="Arial" w:cs="Arial"/>
          <w:noProof/>
          <w:sz w:val="22"/>
          <w:szCs w:val="22"/>
        </w:rPr>
        <w:t xml:space="preserve">ividual Presentation ( Academic </w:t>
      </w:r>
      <w:r w:rsidRPr="7BA8F9EB" w:rsidR="44904E74">
        <w:rPr>
          <w:rFonts w:ascii="Arial" w:hAnsi="Arial" w:eastAsia="Arial" w:cs="Arial"/>
          <w:noProof/>
          <w:sz w:val="22"/>
          <w:szCs w:val="22"/>
        </w:rPr>
        <w:t>Poster)</w:t>
      </w:r>
    </w:p>
    <w:p w:rsidRPr="00573D55" w:rsidR="003246A6" w:rsidP="7BA8F9EB" w:rsidRDefault="00BF4155" w14:paraId="2B2A932F" w14:textId="19671A87">
      <w:pPr>
        <w:rPr>
          <w:rFonts w:ascii="Arial" w:hAnsi="Arial" w:eastAsia="Arial" w:cs="Arial"/>
          <w:noProof/>
          <w:sz w:val="22"/>
          <w:szCs w:val="22"/>
        </w:rPr>
      </w:pPr>
      <w:r w:rsidRPr="7BA8F9EB" w:rsidR="44904E74">
        <w:rPr>
          <w:rFonts w:ascii="Arial" w:hAnsi="Arial" w:eastAsia="Arial" w:cs="Arial"/>
          <w:noProof/>
          <w:sz w:val="22"/>
          <w:szCs w:val="22"/>
        </w:rPr>
        <w:t xml:space="preserve">Student name: Ana Gomes </w:t>
      </w:r>
    </w:p>
    <w:p w:rsidRPr="00573D55" w:rsidR="003246A6" w:rsidP="7BA8F9EB" w:rsidRDefault="00BF4155" w14:paraId="1051FAD6" w14:textId="6FBC54D7">
      <w:pPr>
        <w:rPr>
          <w:rFonts w:ascii="Arial" w:hAnsi="Arial" w:eastAsia="Arial" w:cs="Arial"/>
          <w:noProof/>
          <w:sz w:val="22"/>
          <w:szCs w:val="22"/>
        </w:rPr>
      </w:pPr>
      <w:r w:rsidRPr="7BA8F9EB" w:rsidR="44904E74">
        <w:rPr>
          <w:rFonts w:ascii="Arial" w:hAnsi="Arial" w:eastAsia="Arial" w:cs="Arial"/>
          <w:noProof/>
          <w:sz w:val="22"/>
          <w:szCs w:val="22"/>
        </w:rPr>
        <w:t>Student number:2322062</w:t>
      </w:r>
    </w:p>
    <w:p w:rsidRPr="00573D55" w:rsidR="003246A6" w:rsidP="7BA8F9EB" w:rsidRDefault="00BF4155" w14:paraId="41A4D010" w14:textId="08DD3F96">
      <w:pPr>
        <w:pStyle w:val="Normal"/>
        <w:rPr>
          <w:rFonts w:ascii="Arial" w:hAnsi="Arial" w:eastAsia="Arial" w:cs="Arial"/>
          <w:noProof/>
        </w:rPr>
      </w:pPr>
    </w:p>
    <w:p w:rsidRPr="00573D55" w:rsidR="003246A6" w:rsidP="7BA8F9EB" w:rsidRDefault="00BF4155" w14:paraId="475FC5EF" w14:textId="6178A3D0">
      <w:pPr>
        <w:pStyle w:val="Normal"/>
        <w:rPr>
          <w:rFonts w:ascii="Arial" w:hAnsi="Arial" w:cs="Arial"/>
          <w:sz w:val="22"/>
          <w:szCs w:val="22"/>
        </w:rPr>
      </w:pPr>
      <w:r w:rsidRPr="7BA8F9EB" w:rsidR="23BB5502">
        <w:rPr>
          <w:rFonts w:ascii="Arial" w:hAnsi="Arial" w:eastAsia="Arial" w:cs="Arial"/>
          <w:noProof/>
        </w:rPr>
        <w:t>Depression</w:t>
      </w:r>
      <w:r w:rsidRPr="7BA8F9EB" w:rsidR="31EC009F">
        <w:rPr>
          <w:rFonts w:ascii="Arial" w:hAnsi="Arial" w:eastAsia="Arial" w:cs="Arial"/>
          <w:noProof/>
        </w:rPr>
        <w:t xml:space="preserve">: Historical,social &amp; </w:t>
      </w:r>
      <w:r w:rsidRPr="7BA8F9EB" w:rsidR="70F1E7B4">
        <w:rPr>
          <w:rFonts w:ascii="Arial" w:hAnsi="Arial" w:eastAsia="Arial" w:cs="Arial"/>
          <w:noProof/>
        </w:rPr>
        <w:t>contemporary pers</w:t>
      </w:r>
      <w:r w:rsidRPr="7BA8F9EB" w:rsidR="6BD6392F">
        <w:rPr>
          <w:rFonts w:ascii="Arial" w:hAnsi="Arial" w:eastAsia="Arial" w:cs="Arial"/>
          <w:noProof/>
        </w:rPr>
        <w:t>pectives on care (ICD</w:t>
      </w:r>
      <w:r w:rsidRPr="7BA8F9EB" w:rsidR="4F4BDE5C">
        <w:rPr>
          <w:rFonts w:ascii="Arial" w:hAnsi="Arial" w:eastAsia="Arial" w:cs="Arial"/>
          <w:noProof/>
        </w:rPr>
        <w:t>-11</w:t>
      </w:r>
      <w:r w:rsidRPr="7BA8F9EB" w:rsidR="2056A7C8">
        <w:rPr>
          <w:rFonts w:ascii="Arial" w:hAnsi="Arial" w:eastAsia="Arial" w:cs="Arial"/>
          <w:noProof/>
        </w:rPr>
        <w:t>)</w:t>
      </w:r>
      <w:r w:rsidRPr="7BA8F9EB" w:rsidR="0B62AE0C">
        <w:rPr>
          <w:rFonts w:ascii="Arial" w:hAnsi="Arial" w:eastAsia="Arial" w:cs="Arial"/>
          <w:noProof/>
        </w:rPr>
        <w:t xml:space="preserve"> </w:t>
      </w:r>
    </w:p>
    <w:p w:rsidR="009558A5" w:rsidP="00A369EA" w:rsidRDefault="00600AD0" w14:paraId="7D7026F6" w14:textId="68B298AB">
      <w:pPr>
        <w:tabs>
          <w:tab w:val="left" w:pos="1872"/>
        </w:tabs>
        <w:spacing w:line="276" w:lineRule="auto"/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noProof/>
          <w:sz w:val="22"/>
          <w:szCs w:val="22"/>
        </w:rPr>
        <w:drawing>
          <wp:inline distT="0" distB="0" distL="0" distR="0" wp14:anchorId="4D996B4B" wp14:editId="27CAF0E4">
            <wp:extent cx="5486400" cy="7764780"/>
            <wp:effectExtent l="0" t="0" r="19050" b="26670"/>
            <wp:docPr id="775624812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5F7DB2" w:rsidP="489928B4" w:rsidRDefault="00CA6378" w14:paraId="01366E7E" w14:textId="599D3390">
      <w:pPr>
        <w:spacing w:line="276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>
        <w:rPr>
          <w:rFonts w:ascii="Arial" w:hAnsi="Arial" w:eastAsia="Arial" w:cs="Arial"/>
          <w:b/>
          <w:bCs/>
          <w:noProof/>
          <w:sz w:val="22"/>
          <w:szCs w:val="22"/>
        </w:rPr>
        <w:lastRenderedPageBreak/>
        <w:drawing>
          <wp:inline distT="0" distB="0" distL="0" distR="0" wp14:anchorId="7ECFF376" wp14:editId="6314A6BC">
            <wp:extent cx="5486400" cy="6103620"/>
            <wp:effectExtent l="0" t="0" r="19050" b="11430"/>
            <wp:docPr id="549129965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CA4276" w:rsidP="489928B4" w:rsidRDefault="00CA4276" w14:paraId="2C9E6CF4" w14:textId="77777777">
      <w:pPr>
        <w:spacing w:line="276" w:lineRule="auto"/>
        <w:rPr>
          <w:rFonts w:ascii="Arial" w:hAnsi="Arial" w:eastAsia="Arial" w:cs="Arial"/>
          <w:b/>
          <w:bCs/>
          <w:sz w:val="22"/>
          <w:szCs w:val="22"/>
        </w:rPr>
      </w:pPr>
    </w:p>
    <w:p w:rsidR="009558A5" w:rsidRDefault="009558A5" w14:paraId="60F0F0C1" w14:textId="79EC6DCE">
      <w:pPr>
        <w:rPr>
          <w:rFonts w:ascii="Arial" w:hAnsi="Arial" w:eastAsia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</w:rPr>
        <w:br w:type="page"/>
      </w:r>
    </w:p>
    <w:p w:rsidRPr="008F779C" w:rsidR="008F779C" w:rsidP="008F779C" w:rsidRDefault="008F779C" w14:paraId="1C3DDA8E" w14:textId="77777777">
      <w:pPr>
        <w:spacing w:after="240" w:line="360" w:lineRule="auto"/>
        <w:outlineLvl w:val="0"/>
        <w:rPr>
          <w:rFonts w:ascii="Arial" w:hAnsi="Arial" w:eastAsia="Times New Roman" w:cs="Arial"/>
          <w:b/>
          <w:bCs/>
          <w:kern w:val="36"/>
          <w:sz w:val="22"/>
          <w:szCs w:val="22"/>
          <w:lang w:val="en-GB" w:eastAsia="en-GB"/>
        </w:rPr>
      </w:pPr>
      <w:r w:rsidRPr="008F779C">
        <w:rPr>
          <w:rFonts w:ascii="Arial" w:hAnsi="Arial" w:eastAsia="Times New Roman" w:cs="Arial"/>
          <w:b/>
          <w:bCs/>
          <w:kern w:val="36"/>
          <w:sz w:val="22"/>
          <w:szCs w:val="22"/>
          <w:lang w:val="en-GB" w:eastAsia="en-GB"/>
        </w:rPr>
        <w:lastRenderedPageBreak/>
        <w:t>Reference list</w:t>
      </w:r>
    </w:p>
    <w:p w:rsidRPr="008F779C" w:rsidR="008F779C" w:rsidP="008F779C" w:rsidRDefault="008F779C" w14:paraId="0BF62DAA" w14:textId="7D2ED407">
      <w:pPr>
        <w:spacing w:after="240" w:line="360" w:lineRule="auto"/>
        <w:rPr>
          <w:rFonts w:ascii="Times New Roman" w:hAnsi="Times New Roman" w:eastAsia="Times New Roman" w:cs="Times New Roman"/>
          <w:sz w:val="22"/>
          <w:szCs w:val="22"/>
          <w:lang w:val="en-GB" w:eastAsia="en-GB"/>
        </w:rPr>
      </w:pPr>
      <w:r w:rsidRPr="008F779C">
        <w:rPr>
          <w:rFonts w:ascii="Arial" w:hAnsi="Arial" w:eastAsia="Times New Roman" w:cs="Arial"/>
          <w:sz w:val="22"/>
          <w:szCs w:val="22"/>
          <w:lang w:val="en-GB" w:eastAsia="en-GB"/>
        </w:rPr>
        <w:t>Albert, P. (2015). Why is depression more prevalent in women</w:t>
      </w:r>
      <w:r w:rsidRPr="008F779C">
        <w:rPr>
          <w:rFonts w:ascii="Arial" w:hAnsi="Arial" w:eastAsia="Times New Roman" w:cs="Arial"/>
          <w:i/>
          <w:iCs/>
          <w:sz w:val="22"/>
          <w:szCs w:val="22"/>
          <w:lang w:val="en-GB" w:eastAsia="en-GB"/>
        </w:rPr>
        <w:t>? Journal of Psychiatry &amp; Neuroscience</w:t>
      </w:r>
      <w:r w:rsidRPr="008F779C">
        <w:rPr>
          <w:rFonts w:ascii="Times New Roman" w:hAnsi="Times New Roman" w:eastAsia="Times New Roman" w:cs="Times New Roman"/>
          <w:sz w:val="22"/>
          <w:szCs w:val="22"/>
          <w:lang w:val="en-GB" w:eastAsia="en-GB"/>
        </w:rPr>
        <w:t xml:space="preserve">, [online] 40(4), pp.219–221. </w:t>
      </w:r>
      <w:r w:rsidRPr="0047672F" w:rsidR="005200DD">
        <w:rPr>
          <w:rFonts w:ascii="Times New Roman" w:hAnsi="Times New Roman" w:eastAsia="Times New Roman" w:cs="Times New Roman"/>
          <w:sz w:val="22"/>
          <w:szCs w:val="22"/>
          <w:lang w:val="en-GB" w:eastAsia="en-GB"/>
        </w:rPr>
        <w:t>doi: https://doi.org/10.1503/jpn.150205</w:t>
      </w:r>
      <w:r w:rsidRPr="008F779C">
        <w:rPr>
          <w:rFonts w:ascii="Times New Roman" w:hAnsi="Times New Roman" w:eastAsia="Times New Roman" w:cs="Times New Roman"/>
          <w:sz w:val="22"/>
          <w:szCs w:val="22"/>
          <w:lang w:val="en-GB" w:eastAsia="en-GB"/>
        </w:rPr>
        <w:t>.</w:t>
      </w:r>
    </w:p>
    <w:p w:rsidRPr="008F779C" w:rsidR="008F779C" w:rsidP="008F779C" w:rsidRDefault="008F779C" w14:paraId="7E428F72" w14:textId="77777777">
      <w:pPr>
        <w:spacing w:after="240" w:line="360" w:lineRule="auto"/>
        <w:rPr>
          <w:rFonts w:ascii="Times New Roman" w:hAnsi="Times New Roman" w:eastAsia="Times New Roman" w:cs="Times New Roman"/>
          <w:lang w:val="en-GB" w:eastAsia="en-GB"/>
        </w:rPr>
      </w:pPr>
      <w:r w:rsidRPr="008F779C">
        <w:rPr>
          <w:rFonts w:ascii="Arial" w:hAnsi="Arial" w:eastAsia="Times New Roman" w:cs="Arial"/>
          <w:sz w:val="22"/>
          <w:szCs w:val="22"/>
          <w:lang w:val="en-GB" w:eastAsia="en-GB"/>
        </w:rPr>
        <w:t>Catalá-López, F. and Hutton, B. (2020). Digital health interventions for children with ADHD</w:t>
      </w:r>
      <w:r w:rsidRPr="008F779C">
        <w:rPr>
          <w:rFonts w:ascii="Arial" w:hAnsi="Arial" w:eastAsia="Times New Roman" w:cs="Arial"/>
          <w:i/>
          <w:iCs/>
          <w:sz w:val="22"/>
          <w:szCs w:val="22"/>
          <w:lang w:val="en-GB" w:eastAsia="en-GB"/>
        </w:rPr>
        <w:t xml:space="preserve">. The Lancet Digital Health, </w:t>
      </w:r>
      <w:r w:rsidRPr="008F779C">
        <w:rPr>
          <w:rFonts w:ascii="Times New Roman" w:hAnsi="Times New Roman" w:eastAsia="Times New Roman" w:cs="Times New Roman"/>
          <w:lang w:val="en-GB" w:eastAsia="en-GB"/>
        </w:rPr>
        <w:t>2(4). doi:https://doi.org/10.1016/s2589-7500(20)30058-3.</w:t>
      </w:r>
    </w:p>
    <w:p w:rsidRPr="008F779C" w:rsidR="008F779C" w:rsidP="008F779C" w:rsidRDefault="008F779C" w14:paraId="5A860D8F" w14:textId="22C206DA">
      <w:pPr>
        <w:spacing w:after="240" w:line="360" w:lineRule="auto"/>
        <w:rPr>
          <w:rFonts w:ascii="Times New Roman" w:hAnsi="Times New Roman" w:eastAsia="Times New Roman" w:cs="Times New Roman"/>
          <w:lang w:val="en-GB" w:eastAsia="en-GB"/>
        </w:rPr>
      </w:pPr>
      <w:r w:rsidRPr="008F779C">
        <w:rPr>
          <w:rFonts w:ascii="Arial" w:hAnsi="Arial" w:eastAsia="Times New Roman" w:cs="Arial"/>
          <w:sz w:val="22"/>
          <w:szCs w:val="22"/>
          <w:lang w:val="en-GB" w:eastAsia="en-GB"/>
        </w:rPr>
        <w:t>Daly, E.J., Trivedi, M.H., Janik, A., Li, H., Zhang, Y., Li, X., Lane, R., Lim, P., Duca, A.R., Hough, D., Thase, M.E., Zajecka, J., Winokur, A., Divacka, I., Fagiolini, A., Cubala, W.J., Bitter, I., Blier, P., Shelton, R.C. and Molero, P. (2019)</w:t>
      </w:r>
      <w:r w:rsidRPr="008F779C">
        <w:rPr>
          <w:rFonts w:ascii="Times New Roman" w:hAnsi="Times New Roman" w:eastAsia="Times New Roman" w:cs="Times New Roman"/>
          <w:lang w:val="en-GB" w:eastAsia="en-GB"/>
        </w:rPr>
        <w:t xml:space="preserve">. </w:t>
      </w:r>
      <w:r w:rsidRPr="008F779C">
        <w:rPr>
          <w:rFonts w:ascii="Arial" w:hAnsi="Arial" w:eastAsia="Times New Roman" w:cs="Arial"/>
          <w:i/>
          <w:iCs/>
          <w:sz w:val="22"/>
          <w:szCs w:val="22"/>
          <w:lang w:val="en-GB" w:eastAsia="en-GB"/>
        </w:rPr>
        <w:t xml:space="preserve">Efficacy of Esketamine Nasal Spray Plus Oral Antidepressant Treatment for Relapse Prevention in Patients </w:t>
      </w:r>
      <w:r w:rsidRPr="007320F0" w:rsidR="005200DD">
        <w:rPr>
          <w:rFonts w:ascii="Arial" w:hAnsi="Arial" w:eastAsia="Times New Roman" w:cs="Arial"/>
          <w:i/>
          <w:iCs/>
          <w:sz w:val="22"/>
          <w:szCs w:val="22"/>
          <w:lang w:val="en-GB" w:eastAsia="en-GB"/>
        </w:rPr>
        <w:t>with</w:t>
      </w:r>
      <w:r w:rsidRPr="008F779C">
        <w:rPr>
          <w:rFonts w:ascii="Arial" w:hAnsi="Arial" w:eastAsia="Times New Roman" w:cs="Arial"/>
          <w:i/>
          <w:iCs/>
          <w:sz w:val="22"/>
          <w:szCs w:val="22"/>
          <w:lang w:val="en-GB" w:eastAsia="en-GB"/>
        </w:rPr>
        <w:t xml:space="preserve"> Treatment-Resistant Depression. </w:t>
      </w:r>
      <w:r w:rsidRPr="008F779C">
        <w:rPr>
          <w:rFonts w:ascii="Times New Roman" w:hAnsi="Times New Roman" w:eastAsia="Times New Roman" w:cs="Times New Roman"/>
          <w:i/>
          <w:iCs/>
          <w:lang w:val="en-GB" w:eastAsia="en-GB"/>
        </w:rPr>
        <w:t>JAMA Psychiatry</w:t>
      </w:r>
      <w:r w:rsidRPr="008F779C">
        <w:rPr>
          <w:rFonts w:ascii="Times New Roman" w:hAnsi="Times New Roman" w:eastAsia="Times New Roman" w:cs="Times New Roman"/>
          <w:lang w:val="en-GB" w:eastAsia="en-GB"/>
        </w:rPr>
        <w:t xml:space="preserve">, 76(9). </w:t>
      </w:r>
      <w:r w:rsidRPr="008F779C" w:rsidR="005200DD">
        <w:rPr>
          <w:rFonts w:ascii="Times New Roman" w:hAnsi="Times New Roman" w:eastAsia="Times New Roman" w:cs="Times New Roman"/>
          <w:lang w:val="en-GB" w:eastAsia="en-GB"/>
        </w:rPr>
        <w:t>doi: https://doi.org/10.1001/jamapsychiatry.2019.1189</w:t>
      </w:r>
      <w:r w:rsidRPr="008F779C">
        <w:rPr>
          <w:rFonts w:ascii="Times New Roman" w:hAnsi="Times New Roman" w:eastAsia="Times New Roman" w:cs="Times New Roman"/>
          <w:lang w:val="en-GB" w:eastAsia="en-GB"/>
        </w:rPr>
        <w:t>.</w:t>
      </w:r>
    </w:p>
    <w:p w:rsidRPr="008F779C" w:rsidR="008F779C" w:rsidP="008F779C" w:rsidRDefault="008F779C" w14:paraId="63C31E9C" w14:textId="77777777">
      <w:pPr>
        <w:spacing w:after="240" w:line="360" w:lineRule="auto"/>
        <w:rPr>
          <w:rFonts w:ascii="Times New Roman" w:hAnsi="Times New Roman" w:eastAsia="Times New Roman" w:cs="Times New Roman"/>
          <w:lang w:val="en-GB" w:eastAsia="en-GB"/>
        </w:rPr>
      </w:pPr>
      <w:r w:rsidRPr="008F779C">
        <w:rPr>
          <w:rFonts w:ascii="Arial" w:hAnsi="Arial" w:eastAsia="Times New Roman" w:cs="Arial"/>
          <w:sz w:val="22"/>
          <w:szCs w:val="22"/>
          <w:lang w:val="en-GB" w:eastAsia="en-GB"/>
        </w:rPr>
        <w:t>Kirmayer, L.J., Gomez-Carrillo, A. and Veissière, S. (2017). Culture and depression in global mental health: An ecosocial approach to the phenomenology of psychiatric disorders</w:t>
      </w:r>
      <w:r w:rsidRPr="008F779C">
        <w:rPr>
          <w:rFonts w:ascii="Arial" w:hAnsi="Arial" w:eastAsia="Times New Roman" w:cs="Arial"/>
          <w:i/>
          <w:iCs/>
          <w:sz w:val="22"/>
          <w:szCs w:val="22"/>
          <w:lang w:val="en-GB" w:eastAsia="en-GB"/>
        </w:rPr>
        <w:t xml:space="preserve">. Social Science &amp; Medicine, </w:t>
      </w:r>
      <w:r w:rsidRPr="008F779C">
        <w:rPr>
          <w:rFonts w:ascii="Times New Roman" w:hAnsi="Times New Roman" w:eastAsia="Times New Roman" w:cs="Times New Roman"/>
          <w:lang w:val="en-GB" w:eastAsia="en-GB"/>
        </w:rPr>
        <w:t>183, pp.163–168. doi:https://doi.org/10.1016/j.socscimed.2017.04.034.</w:t>
      </w:r>
    </w:p>
    <w:p w:rsidRPr="008F779C" w:rsidR="008F779C" w:rsidP="008F779C" w:rsidRDefault="008F779C" w14:paraId="4F7A2395" w14:textId="7A2CC723">
      <w:pPr>
        <w:spacing w:after="240" w:line="360" w:lineRule="auto"/>
        <w:rPr>
          <w:rFonts w:ascii="Times New Roman" w:hAnsi="Times New Roman" w:eastAsia="Times New Roman" w:cs="Times New Roman"/>
          <w:lang w:val="en-GB" w:eastAsia="en-GB"/>
        </w:rPr>
      </w:pPr>
      <w:r w:rsidRPr="008F779C">
        <w:rPr>
          <w:rFonts w:ascii="Arial" w:hAnsi="Arial" w:eastAsia="Times New Roman" w:cs="Arial"/>
          <w:sz w:val="22"/>
          <w:szCs w:val="22"/>
          <w:lang w:val="en-GB" w:eastAsia="en-GB"/>
        </w:rPr>
        <w:t xml:space="preserve">Miller, A. (2016). </w:t>
      </w:r>
      <w:r w:rsidRPr="008F779C">
        <w:rPr>
          <w:rFonts w:ascii="Arial" w:hAnsi="Arial" w:eastAsia="Times New Roman" w:cs="Arial"/>
          <w:i/>
          <w:iCs/>
          <w:sz w:val="22"/>
          <w:szCs w:val="22"/>
          <w:lang w:val="en-GB" w:eastAsia="en-GB"/>
        </w:rPr>
        <w:t xml:space="preserve">Miller, A.H. and Raison, C.L. (2016) The Role of Inflammation in Depression </w:t>
      </w:r>
      <w:r w:rsidRPr="008F779C" w:rsidR="00B965DC">
        <w:rPr>
          <w:rFonts w:ascii="Arial" w:hAnsi="Arial" w:eastAsia="Times New Roman" w:cs="Arial"/>
          <w:i/>
          <w:iCs/>
          <w:sz w:val="22"/>
          <w:szCs w:val="22"/>
          <w:lang w:val="en-GB" w:eastAsia="en-GB"/>
        </w:rPr>
        <w:t>from</w:t>
      </w:r>
      <w:r w:rsidRPr="008F779C">
        <w:rPr>
          <w:rFonts w:ascii="Arial" w:hAnsi="Arial" w:eastAsia="Times New Roman" w:cs="Arial"/>
          <w:i/>
          <w:iCs/>
          <w:sz w:val="22"/>
          <w:szCs w:val="22"/>
          <w:lang w:val="en-GB" w:eastAsia="en-GB"/>
        </w:rPr>
        <w:t xml:space="preserve"> Evolutionary Imperative to Modern Treatment Target. Nature Reviews Immunology, 16, 22-34. </w:t>
      </w:r>
      <w:r w:rsidRPr="008F779C">
        <w:rPr>
          <w:rFonts w:ascii="Times New Roman" w:hAnsi="Times New Roman" w:eastAsia="Times New Roman" w:cs="Times New Roman"/>
          <w:i/>
          <w:iCs/>
          <w:lang w:val="en-GB" w:eastAsia="en-GB"/>
        </w:rPr>
        <w:t xml:space="preserve">- </w:t>
      </w:r>
      <w:r w:rsidRPr="008F779C">
        <w:rPr>
          <w:rFonts w:ascii="Arial" w:hAnsi="Arial" w:eastAsia="Times New Roman" w:cs="Arial"/>
          <w:i/>
          <w:iCs/>
          <w:sz w:val="22"/>
          <w:szCs w:val="22"/>
          <w:lang w:val="en-GB" w:eastAsia="en-GB"/>
        </w:rPr>
        <w:t>References - Scientific Research Publishing</w:t>
      </w:r>
      <w:r w:rsidRPr="008F779C">
        <w:rPr>
          <w:rFonts w:ascii="Times New Roman" w:hAnsi="Times New Roman" w:eastAsia="Times New Roman" w:cs="Times New Roman"/>
          <w:lang w:val="en-GB" w:eastAsia="en-GB"/>
        </w:rPr>
        <w:t>. [online] Scirp.org. Available at: https://www.scirp.org/reference/referencespapers?referenceid=2353047 [Accessed 14 Feb. 2026].</w:t>
      </w:r>
    </w:p>
    <w:p w:rsidRPr="008F779C" w:rsidR="008F779C" w:rsidP="008F779C" w:rsidRDefault="008F779C" w14:paraId="1BB3EDF6" w14:textId="77777777">
      <w:pPr>
        <w:spacing w:after="240" w:line="360" w:lineRule="auto"/>
        <w:rPr>
          <w:rFonts w:ascii="Times New Roman" w:hAnsi="Times New Roman" w:eastAsia="Times New Roman" w:cs="Times New Roman"/>
          <w:lang w:val="en-GB" w:eastAsia="en-GB"/>
        </w:rPr>
      </w:pPr>
      <w:r w:rsidRPr="008F779C">
        <w:rPr>
          <w:rFonts w:ascii="Arial" w:hAnsi="Arial" w:eastAsia="Times New Roman" w:cs="Arial"/>
          <w:sz w:val="22"/>
          <w:szCs w:val="22"/>
          <w:lang w:val="en-GB" w:eastAsia="en-GB"/>
        </w:rPr>
        <w:t>National Institute for Health and Care Excellence (2022). Depression in adults: Treatment and Management.</w:t>
      </w:r>
      <w:r w:rsidRPr="008F779C">
        <w:rPr>
          <w:rFonts w:ascii="Times New Roman" w:hAnsi="Times New Roman" w:eastAsia="Times New Roman" w:cs="Times New Roman"/>
          <w:lang w:val="en-GB" w:eastAsia="en-GB"/>
        </w:rPr>
        <w:t xml:space="preserve"> [online] www.nice.org.uk. Available at: https://www.nice.org.uk/guidance/ng222 [Accessed 14 Feb. 2026].</w:t>
      </w:r>
    </w:p>
    <w:p w:rsidRPr="008F779C" w:rsidR="008F779C" w:rsidP="008F779C" w:rsidRDefault="008F779C" w14:paraId="60BCC03F" w14:textId="77777777">
      <w:pPr>
        <w:spacing w:after="240" w:line="360" w:lineRule="auto"/>
        <w:rPr>
          <w:rFonts w:ascii="Times New Roman" w:hAnsi="Times New Roman" w:eastAsia="Times New Roman" w:cs="Times New Roman"/>
          <w:lang w:val="en-GB" w:eastAsia="en-GB"/>
        </w:rPr>
      </w:pPr>
      <w:r w:rsidRPr="008F779C">
        <w:rPr>
          <w:rFonts w:ascii="Arial" w:hAnsi="Arial" w:eastAsia="Times New Roman" w:cs="Arial"/>
          <w:sz w:val="22"/>
          <w:szCs w:val="22"/>
          <w:lang w:val="en-GB" w:eastAsia="en-GB"/>
        </w:rPr>
        <w:t>NHS England (2019</w:t>
      </w:r>
      <w:r w:rsidRPr="008F779C">
        <w:rPr>
          <w:rFonts w:ascii="Arial" w:hAnsi="Arial" w:eastAsia="Times New Roman" w:cs="Arial"/>
          <w:i/>
          <w:iCs/>
          <w:sz w:val="22"/>
          <w:szCs w:val="22"/>
          <w:lang w:val="en-GB" w:eastAsia="en-GB"/>
        </w:rPr>
        <w:t>). NHS England» NHS Long Term Plan to tackle major killer conditions and save up to half a million lives.</w:t>
      </w:r>
      <w:r w:rsidRPr="008F779C">
        <w:rPr>
          <w:rFonts w:ascii="Times New Roman" w:hAnsi="Times New Roman" w:eastAsia="Times New Roman" w:cs="Times New Roman"/>
          <w:lang w:val="en-GB" w:eastAsia="en-GB"/>
        </w:rPr>
        <w:t xml:space="preserve"> [online] England.nhs.uk. Available at: https://www.england.nhs.uk/2019/01/long-term-plan/ [Accessed 14 Feb. 2026].</w:t>
      </w:r>
    </w:p>
    <w:p w:rsidRPr="008F779C" w:rsidR="008F779C" w:rsidP="008F779C" w:rsidRDefault="008F779C" w14:paraId="44280E79" w14:textId="5B472F00">
      <w:pPr>
        <w:spacing w:after="240" w:line="360" w:lineRule="auto"/>
        <w:rPr>
          <w:rFonts w:ascii="Times New Roman" w:hAnsi="Times New Roman" w:eastAsia="Times New Roman" w:cs="Times New Roman"/>
          <w:lang w:val="en-GB" w:eastAsia="en-GB"/>
        </w:rPr>
      </w:pPr>
      <w:r w:rsidRPr="008F779C">
        <w:rPr>
          <w:rFonts w:ascii="Times New Roman" w:hAnsi="Times New Roman" w:eastAsia="Times New Roman" w:cs="Times New Roman"/>
          <w:lang w:val="en-GB" w:eastAsia="en-GB"/>
        </w:rPr>
        <w:t xml:space="preserve">Twenge, J.M., Martin, G.N. and Campbell, W.K. (2018). Decreases in psychological well-being among American adolescents after 2012 and links to screen time during the rise of smartphone technology. </w:t>
      </w:r>
      <w:r w:rsidRPr="008F779C">
        <w:rPr>
          <w:rFonts w:ascii="Times New Roman" w:hAnsi="Times New Roman" w:eastAsia="Times New Roman" w:cs="Times New Roman"/>
          <w:i/>
          <w:iCs/>
          <w:lang w:val="en-GB" w:eastAsia="en-GB"/>
        </w:rPr>
        <w:t>Emotion</w:t>
      </w:r>
      <w:r w:rsidRPr="008F779C">
        <w:rPr>
          <w:rFonts w:ascii="Times New Roman" w:hAnsi="Times New Roman" w:eastAsia="Times New Roman" w:cs="Times New Roman"/>
          <w:lang w:val="en-GB" w:eastAsia="en-GB"/>
        </w:rPr>
        <w:t xml:space="preserve">, 18(6), pp.765–780. </w:t>
      </w:r>
      <w:r w:rsidRPr="008F779C" w:rsidR="005200DD">
        <w:rPr>
          <w:rFonts w:ascii="Times New Roman" w:hAnsi="Times New Roman" w:eastAsia="Times New Roman" w:cs="Times New Roman"/>
          <w:lang w:val="en-GB" w:eastAsia="en-GB"/>
        </w:rPr>
        <w:t>doi: https://doi.org/10.1037/emo0000403</w:t>
      </w:r>
      <w:r w:rsidRPr="008F779C">
        <w:rPr>
          <w:rFonts w:ascii="Times New Roman" w:hAnsi="Times New Roman" w:eastAsia="Times New Roman" w:cs="Times New Roman"/>
          <w:lang w:val="en-GB" w:eastAsia="en-GB"/>
        </w:rPr>
        <w:t>.</w:t>
      </w:r>
    </w:p>
    <w:p w:rsidRPr="008F779C" w:rsidR="008F779C" w:rsidP="008F779C" w:rsidRDefault="008F779C" w14:paraId="4FC00CC6" w14:textId="3972F866">
      <w:pPr>
        <w:spacing w:after="240" w:line="360" w:lineRule="auto"/>
        <w:rPr>
          <w:rFonts w:ascii="Times New Roman" w:hAnsi="Times New Roman" w:eastAsia="Times New Roman" w:cs="Times New Roman"/>
          <w:lang w:val="en-GB" w:eastAsia="en-GB"/>
        </w:rPr>
      </w:pPr>
      <w:r w:rsidRPr="008F779C">
        <w:rPr>
          <w:rFonts w:ascii="Times New Roman" w:hAnsi="Times New Roman" w:eastAsia="Times New Roman" w:cs="Times New Roman"/>
          <w:lang w:val="en-GB" w:eastAsia="en-GB"/>
        </w:rPr>
        <w:lastRenderedPageBreak/>
        <w:t xml:space="preserve">World Health Organization (2022). </w:t>
      </w:r>
      <w:r w:rsidRPr="008F779C">
        <w:rPr>
          <w:rFonts w:ascii="Times New Roman" w:hAnsi="Times New Roman" w:eastAsia="Times New Roman" w:cs="Times New Roman"/>
          <w:i/>
          <w:iCs/>
          <w:lang w:val="en-GB" w:eastAsia="en-GB"/>
        </w:rPr>
        <w:t xml:space="preserve">Mental health and COVID-19: Early evidence of the pandemic’s impact: Scientific brief, 2 </w:t>
      </w:r>
      <w:r w:rsidRPr="008F779C" w:rsidR="003B5562">
        <w:rPr>
          <w:rFonts w:ascii="Times New Roman" w:hAnsi="Times New Roman" w:eastAsia="Times New Roman" w:cs="Times New Roman"/>
          <w:i/>
          <w:iCs/>
          <w:lang w:val="en-GB" w:eastAsia="en-GB"/>
        </w:rPr>
        <w:t>March</w:t>
      </w:r>
      <w:r w:rsidRPr="008F779C">
        <w:rPr>
          <w:rFonts w:ascii="Times New Roman" w:hAnsi="Times New Roman" w:eastAsia="Times New Roman" w:cs="Times New Roman"/>
          <w:i/>
          <w:iCs/>
          <w:lang w:val="en-GB" w:eastAsia="en-GB"/>
        </w:rPr>
        <w:t xml:space="preserve"> 2022</w:t>
      </w:r>
      <w:r w:rsidRPr="008F779C">
        <w:rPr>
          <w:rFonts w:ascii="Times New Roman" w:hAnsi="Times New Roman" w:eastAsia="Times New Roman" w:cs="Times New Roman"/>
          <w:lang w:val="en-GB" w:eastAsia="en-GB"/>
        </w:rPr>
        <w:t>. [online] World Health Organization. Available at: https://www.who.int/publications/i/item/WHO-2019-nCoV-Sci_Brief-Mental_health-2022.1 [Accessed 14 Feb. 2026].</w:t>
      </w:r>
    </w:p>
    <w:p w:rsidRPr="008F779C" w:rsidR="008F779C" w:rsidP="008F779C" w:rsidRDefault="008F779C" w14:paraId="15B6F973" w14:textId="74BD4712">
      <w:pPr>
        <w:spacing w:after="240" w:line="360" w:lineRule="auto"/>
        <w:rPr>
          <w:rFonts w:ascii="Times New Roman" w:hAnsi="Times New Roman" w:eastAsia="Times New Roman" w:cs="Times New Roman"/>
          <w:lang w:val="en-GB" w:eastAsia="en-GB"/>
        </w:rPr>
      </w:pPr>
      <w:r w:rsidRPr="008F779C">
        <w:rPr>
          <w:rFonts w:ascii="Times New Roman" w:hAnsi="Times New Roman" w:eastAsia="Times New Roman" w:cs="Times New Roman"/>
          <w:lang w:val="en-GB" w:eastAsia="en-GB"/>
        </w:rPr>
        <w:t xml:space="preserve">World Health Organization (2024). </w:t>
      </w:r>
      <w:r w:rsidRPr="008F779C">
        <w:rPr>
          <w:rFonts w:ascii="Times New Roman" w:hAnsi="Times New Roman" w:eastAsia="Times New Roman" w:cs="Times New Roman"/>
          <w:i/>
          <w:iCs/>
          <w:lang w:val="en-GB" w:eastAsia="en-GB"/>
        </w:rPr>
        <w:t xml:space="preserve">Clinical descriptions and diagnostic requirements for ICD-11 mental, </w:t>
      </w:r>
      <w:r w:rsidRPr="008F779C" w:rsidR="00774561">
        <w:rPr>
          <w:rFonts w:ascii="Times New Roman" w:hAnsi="Times New Roman" w:eastAsia="Times New Roman" w:cs="Times New Roman"/>
          <w:i/>
          <w:iCs/>
          <w:lang w:val="en-GB" w:eastAsia="en-GB"/>
        </w:rPr>
        <w:t>behavioural,</w:t>
      </w:r>
      <w:r w:rsidRPr="008F779C">
        <w:rPr>
          <w:rFonts w:ascii="Times New Roman" w:hAnsi="Times New Roman" w:eastAsia="Times New Roman" w:cs="Times New Roman"/>
          <w:i/>
          <w:iCs/>
          <w:lang w:val="en-GB" w:eastAsia="en-GB"/>
        </w:rPr>
        <w:t>and neurodevelopmental disorders (CDDR)</w:t>
      </w:r>
      <w:r w:rsidRPr="008F779C">
        <w:rPr>
          <w:rFonts w:ascii="Times New Roman" w:hAnsi="Times New Roman" w:eastAsia="Times New Roman" w:cs="Times New Roman"/>
          <w:lang w:val="en-GB" w:eastAsia="en-GB"/>
        </w:rPr>
        <w:t>. [online] www.who.int. Available at: https://www.who.int/publications/i/item/9789240077263 [Accessed 14 Feb. 2026].</w:t>
      </w:r>
    </w:p>
    <w:p w:rsidRPr="00FD08ED" w:rsidR="00CA4276" w:rsidP="489928B4" w:rsidRDefault="00CA4276" w14:paraId="7E3D7975" w14:textId="708A50C2">
      <w:pPr>
        <w:spacing w:line="276" w:lineRule="auto"/>
        <w:rPr>
          <w:rFonts w:ascii="Arial" w:hAnsi="Arial" w:eastAsia="Arial" w:cs="Arial"/>
          <w:b/>
          <w:bCs/>
          <w:sz w:val="22"/>
          <w:szCs w:val="22"/>
        </w:rPr>
      </w:pPr>
    </w:p>
    <w:sectPr w:rsidRPr="00FD08ED" w:rsidR="00CA4276" w:rsidSect="001405E7">
      <w:footerReference w:type="default" r:id="rId22"/>
      <w:footerReference w:type="first" r:id="rId24"/>
      <w:pgSz w:w="12240" w:h="15840" w:orient="portrait"/>
      <w:pgMar w:top="1440" w:right="1440" w:bottom="1440" w:left="1440" w:header="720" w:footer="720" w:gutter="0"/>
      <w:pgNumType w:start="0"/>
      <w:cols w:space="720"/>
      <w:titlePg/>
      <w:docGrid w:linePitch="360"/>
      <w:headerReference w:type="default" r:id="R844c95554ea24e3d"/>
      <w:headerReference w:type="first" r:id="R5fe001a1f36544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21824" w:rsidP="00220B02" w:rsidRDefault="00121824" w14:paraId="279F2C96" w14:textId="77777777">
      <w:pPr>
        <w:spacing w:after="0" w:line="240" w:lineRule="auto"/>
      </w:pPr>
      <w:r>
        <w:separator/>
      </w:r>
    </w:p>
  </w:endnote>
  <w:endnote w:type="continuationSeparator" w:id="0">
    <w:p w:rsidR="00121824" w:rsidP="00220B02" w:rsidRDefault="00121824" w14:paraId="251F699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7BA8F9EB" w:rsidP="7BA8F9EB" w:rsidRDefault="7BA8F9EB" w14:paraId="73E53486" w14:textId="1243B64D">
    <w:pPr>
      <w:pStyle w:val="Footer"/>
      <w:jc w:val="right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w:rsidR="1F2487CB" w:rsidP="7BA8F9EB" w:rsidRDefault="1F2487CB" w14:paraId="42D2D9A7" w14:textId="1AD64DE2">
    <w:pPr>
      <w:pStyle w:val="Footer"/>
      <w:jc w:val="right"/>
      <w:rPr>
        <w:noProof/>
      </w:rPr>
    </w:pPr>
  </w:p>
  <w:p w:rsidR="00220B02" w:rsidRDefault="00220B02" w14:paraId="3A81659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E367DA" w:rsidTr="7BA8F9EB" w14:paraId="29589127" w14:textId="77777777">
      <w:trPr>
        <w:trHeight w:val="300"/>
      </w:trPr>
      <w:tc>
        <w:tcPr>
          <w:tcW w:w="3120" w:type="dxa"/>
          <w:tcMar/>
        </w:tcPr>
        <w:p w:rsidR="1F2487CB" w:rsidP="1F2487CB" w:rsidRDefault="1F2487CB" w14:paraId="153647CD" w14:textId="7F684DC8">
          <w:pPr>
            <w:pStyle w:val="Header"/>
            <w:ind w:left="-115"/>
          </w:pPr>
        </w:p>
      </w:tc>
      <w:tc>
        <w:tcPr>
          <w:tcW w:w="3120" w:type="dxa"/>
          <w:tcMar/>
        </w:tcPr>
        <w:p w:rsidR="1F2487CB" w:rsidP="1F2487CB" w:rsidRDefault="1F2487CB" w14:paraId="464DD1A6" w14:textId="4953DE15">
          <w:pPr>
            <w:pStyle w:val="Header"/>
            <w:jc w:val="center"/>
          </w:pPr>
        </w:p>
      </w:tc>
      <w:tc>
        <w:tcPr>
          <w:tcW w:w="3120" w:type="dxa"/>
          <w:tcMar/>
        </w:tcPr>
        <w:p w:rsidR="1F2487CB" w:rsidP="1F2487CB" w:rsidRDefault="1F2487CB" w14:paraId="171DA4CD" w14:textId="46B3D503">
          <w:pPr>
            <w:pStyle w:val="Header"/>
            <w:ind w:right="-115"/>
            <w:jc w:val="right"/>
          </w:pPr>
        </w:p>
      </w:tc>
    </w:tr>
  </w:tbl>
  <w:p w:rsidR="001A0B6B" w:rsidRDefault="001A0B6B" w14:paraId="03C81B08" w14:textId="346B82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21824" w:rsidP="00220B02" w:rsidRDefault="00121824" w14:paraId="57E755FA" w14:textId="77777777">
      <w:pPr>
        <w:spacing w:after="0" w:line="240" w:lineRule="auto"/>
      </w:pPr>
      <w:r>
        <w:separator/>
      </w:r>
    </w:p>
  </w:footnote>
  <w:footnote w:type="continuationSeparator" w:id="0">
    <w:p w:rsidR="00121824" w:rsidP="00220B02" w:rsidRDefault="00121824" w14:paraId="3144E8D0" w14:textId="77777777">
      <w:pPr>
        <w:spacing w:after="0" w:line="240" w:lineRule="auto"/>
      </w:pPr>
      <w:r>
        <w:continuationSeparator/>
      </w:r>
    </w:p>
  </w:footnote>
</w:footnotes>
</file>

<file path=word/header3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BA8F9EB" w:rsidTr="7BA8F9EB" w14:paraId="60CD9E68">
      <w:trPr>
        <w:trHeight w:val="300"/>
      </w:trPr>
      <w:tc>
        <w:tcPr>
          <w:tcW w:w="3120" w:type="dxa"/>
          <w:tcMar/>
        </w:tcPr>
        <w:p w:rsidR="7BA8F9EB" w:rsidP="7BA8F9EB" w:rsidRDefault="7BA8F9EB" w14:paraId="35CF0F4C" w14:textId="4F4D2DF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BA8F9EB" w:rsidP="7BA8F9EB" w:rsidRDefault="7BA8F9EB" w14:paraId="72BD7FA4" w14:textId="2DF4FA5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BA8F9EB" w:rsidP="7BA8F9EB" w:rsidRDefault="7BA8F9EB" w14:paraId="271553B1" w14:textId="2CBF7BB8">
          <w:pPr>
            <w:pStyle w:val="Header"/>
            <w:bidi w:val="0"/>
            <w:ind w:right="-115"/>
            <w:jc w:val="right"/>
          </w:pPr>
        </w:p>
      </w:tc>
    </w:tr>
  </w:tbl>
  <w:p w:rsidR="7BA8F9EB" w:rsidP="7BA8F9EB" w:rsidRDefault="7BA8F9EB" w14:paraId="3FF4F928" w14:textId="47CEABAD">
    <w:pPr>
      <w:pStyle w:val="Header"/>
      <w:bidi w:val="0"/>
    </w:pPr>
  </w:p>
</w:hdr>
</file>

<file path=word/header4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BA8F9EB" w:rsidTr="7BA8F9EB" w14:paraId="2DDDFD72">
      <w:trPr>
        <w:trHeight w:val="300"/>
      </w:trPr>
      <w:tc>
        <w:tcPr>
          <w:tcW w:w="3120" w:type="dxa"/>
          <w:tcMar/>
        </w:tcPr>
        <w:p w:rsidR="7BA8F9EB" w:rsidP="7BA8F9EB" w:rsidRDefault="7BA8F9EB" w14:paraId="330DF35C" w14:textId="3CA172B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BA8F9EB" w:rsidP="7BA8F9EB" w:rsidRDefault="7BA8F9EB" w14:paraId="479EF5BD" w14:textId="176E3E2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BA8F9EB" w:rsidP="7BA8F9EB" w:rsidRDefault="7BA8F9EB" w14:paraId="6BDF48C6" w14:textId="02108268">
          <w:pPr>
            <w:pStyle w:val="Header"/>
            <w:bidi w:val="0"/>
            <w:ind w:right="-115"/>
            <w:jc w:val="right"/>
          </w:pPr>
        </w:p>
      </w:tc>
    </w:tr>
  </w:tbl>
  <w:p w:rsidR="7BA8F9EB" w:rsidP="7BA8F9EB" w:rsidRDefault="7BA8F9EB" w14:paraId="2F33CEB9" w14:textId="2E29EF6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kBo8uSL+6Tirqa" int2:id="7vsxdOjh">
      <int2:state int2:type="spell" int2:value="Rejected"/>
    </int2:textHash>
    <int2:textHash int2:hashCode="DTTcwT7Vnu94an" int2:id="qH5xghTm">
      <int2:state int2:type="spell" int2:value="Rejected"/>
    </int2:textHash>
    <int2:textHash int2:hashCode="dnj+BKC7vXZY1Q" int2:id="hPtt3aWA">
      <int2:state int2:type="spell" int2:value="Rejected"/>
    </int2:textHash>
    <int2:textHash int2:hashCode="NHrbjsO0ODjhIa" int2:id="SyFzVjQX">
      <int2:state int2:type="spell" int2:value="Rejected"/>
    </int2:textHash>
    <int2:textHash int2:hashCode="aTmrRxUTezkXQw" int2:id="dLemFuBU">
      <int2:state int2:type="spell" int2:value="Rejected"/>
    </int2:textHash>
    <int2:textHash int2:hashCode="LSgeZL/iKqN4q4" int2:id="jVwMHZo9">
      <int2:state int2:type="spell" int2:value="Rejected"/>
    </int2:textHash>
    <int2:textHash int2:hashCode="6x0FIDwyC7aCIg" int2:id="Hwk9lgh0">
      <int2:state int2:type="spell" int2:value="Rejected"/>
    </int2:textHash>
    <int2:textHash int2:hashCode="8wvAPHzknSvfKL" int2:id="lYZpBrJJ">
      <int2:state int2:type="spell" int2:value="Rejected"/>
    </int2:textHash>
    <int2:textHash int2:hashCode="b1gnhS1n+8E9dq" int2:id="qJat3eDY">
      <int2:state int2:type="spell" int2:value="Rejected"/>
    </int2:textHash>
    <int2:textHash int2:hashCode="m/pk92D7rw5Rsq" int2:id="hz6It3k3">
      <int2:state int2:type="spell" int2:value="Rejected"/>
    </int2:textHash>
    <int2:textHash int2:hashCode="fRDaFIZpAYhu2t" int2:id="B3wcr4kA">
      <int2:state int2:type="spell" int2:value="Rejected"/>
    </int2:textHash>
    <int2:textHash int2:hashCode="SOVj8UjcBNizHJ" int2:id="QU2NTaUN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4EE223"/>
    <w:rsid w:val="000157D8"/>
    <w:rsid w:val="00023FFA"/>
    <w:rsid w:val="00024E2C"/>
    <w:rsid w:val="00032C16"/>
    <w:rsid w:val="00032DD9"/>
    <w:rsid w:val="00042D2F"/>
    <w:rsid w:val="000436E4"/>
    <w:rsid w:val="000438FF"/>
    <w:rsid w:val="00045EF5"/>
    <w:rsid w:val="0005481F"/>
    <w:rsid w:val="00054EDD"/>
    <w:rsid w:val="00063BD6"/>
    <w:rsid w:val="000676C7"/>
    <w:rsid w:val="000808D0"/>
    <w:rsid w:val="0008396C"/>
    <w:rsid w:val="00085638"/>
    <w:rsid w:val="000936D5"/>
    <w:rsid w:val="00093C02"/>
    <w:rsid w:val="00095B32"/>
    <w:rsid w:val="00097817"/>
    <w:rsid w:val="000B0E21"/>
    <w:rsid w:val="000B7190"/>
    <w:rsid w:val="000B7E04"/>
    <w:rsid w:val="000C3AE2"/>
    <w:rsid w:val="000C40D6"/>
    <w:rsid w:val="000D0838"/>
    <w:rsid w:val="000D0E2B"/>
    <w:rsid w:val="000E386A"/>
    <w:rsid w:val="000F5BF5"/>
    <w:rsid w:val="000F73C3"/>
    <w:rsid w:val="000F7CAE"/>
    <w:rsid w:val="000F7E0F"/>
    <w:rsid w:val="000F7F6A"/>
    <w:rsid w:val="00100098"/>
    <w:rsid w:val="00110AC2"/>
    <w:rsid w:val="00110EA8"/>
    <w:rsid w:val="00115065"/>
    <w:rsid w:val="001159A6"/>
    <w:rsid w:val="0011742C"/>
    <w:rsid w:val="00121824"/>
    <w:rsid w:val="00126B04"/>
    <w:rsid w:val="001364F7"/>
    <w:rsid w:val="001405E7"/>
    <w:rsid w:val="00140CEF"/>
    <w:rsid w:val="00141DEC"/>
    <w:rsid w:val="0017416B"/>
    <w:rsid w:val="00176052"/>
    <w:rsid w:val="0018599B"/>
    <w:rsid w:val="001874C5"/>
    <w:rsid w:val="001A0B6B"/>
    <w:rsid w:val="001B2021"/>
    <w:rsid w:val="001B65A4"/>
    <w:rsid w:val="001B723C"/>
    <w:rsid w:val="001D01E3"/>
    <w:rsid w:val="001D02AA"/>
    <w:rsid w:val="001E0FA8"/>
    <w:rsid w:val="001F0202"/>
    <w:rsid w:val="001F0363"/>
    <w:rsid w:val="001F47F7"/>
    <w:rsid w:val="001F6CE7"/>
    <w:rsid w:val="001F72CD"/>
    <w:rsid w:val="0020061C"/>
    <w:rsid w:val="00202A1E"/>
    <w:rsid w:val="0020486C"/>
    <w:rsid w:val="00206180"/>
    <w:rsid w:val="00210D19"/>
    <w:rsid w:val="00215EAD"/>
    <w:rsid w:val="002179AB"/>
    <w:rsid w:val="00220B02"/>
    <w:rsid w:val="00220E25"/>
    <w:rsid w:val="002215A8"/>
    <w:rsid w:val="00224CF4"/>
    <w:rsid w:val="002358A6"/>
    <w:rsid w:val="002434EF"/>
    <w:rsid w:val="0024384D"/>
    <w:rsid w:val="00243924"/>
    <w:rsid w:val="00250521"/>
    <w:rsid w:val="002533E7"/>
    <w:rsid w:val="00253628"/>
    <w:rsid w:val="00261C35"/>
    <w:rsid w:val="0026412A"/>
    <w:rsid w:val="002713D3"/>
    <w:rsid w:val="002753B0"/>
    <w:rsid w:val="00285BD4"/>
    <w:rsid w:val="0029107F"/>
    <w:rsid w:val="0029255E"/>
    <w:rsid w:val="002938D1"/>
    <w:rsid w:val="0029663C"/>
    <w:rsid w:val="002A44B3"/>
    <w:rsid w:val="002B048E"/>
    <w:rsid w:val="002B3408"/>
    <w:rsid w:val="002E1505"/>
    <w:rsid w:val="002F59F9"/>
    <w:rsid w:val="00304FF7"/>
    <w:rsid w:val="00307104"/>
    <w:rsid w:val="00311CCD"/>
    <w:rsid w:val="00322F9B"/>
    <w:rsid w:val="003246A6"/>
    <w:rsid w:val="003269F8"/>
    <w:rsid w:val="003302E6"/>
    <w:rsid w:val="00332969"/>
    <w:rsid w:val="00337B04"/>
    <w:rsid w:val="0034330C"/>
    <w:rsid w:val="003442EC"/>
    <w:rsid w:val="003451D6"/>
    <w:rsid w:val="00360C4C"/>
    <w:rsid w:val="00362544"/>
    <w:rsid w:val="00374142"/>
    <w:rsid w:val="00374D14"/>
    <w:rsid w:val="003768E0"/>
    <w:rsid w:val="0037734C"/>
    <w:rsid w:val="00377783"/>
    <w:rsid w:val="003821D5"/>
    <w:rsid w:val="00386D10"/>
    <w:rsid w:val="00387184"/>
    <w:rsid w:val="00393AAA"/>
    <w:rsid w:val="00395675"/>
    <w:rsid w:val="003A0548"/>
    <w:rsid w:val="003A398E"/>
    <w:rsid w:val="003A4726"/>
    <w:rsid w:val="003A4A61"/>
    <w:rsid w:val="003A4AC0"/>
    <w:rsid w:val="003B4601"/>
    <w:rsid w:val="003B5562"/>
    <w:rsid w:val="003C1FEE"/>
    <w:rsid w:val="003C5BC7"/>
    <w:rsid w:val="003C6604"/>
    <w:rsid w:val="003D3931"/>
    <w:rsid w:val="003D39BC"/>
    <w:rsid w:val="003E0E26"/>
    <w:rsid w:val="004014C3"/>
    <w:rsid w:val="00403A52"/>
    <w:rsid w:val="00403DEC"/>
    <w:rsid w:val="00413006"/>
    <w:rsid w:val="004223E4"/>
    <w:rsid w:val="0042456D"/>
    <w:rsid w:val="0043298E"/>
    <w:rsid w:val="0043416A"/>
    <w:rsid w:val="004345DA"/>
    <w:rsid w:val="0043577D"/>
    <w:rsid w:val="00435D56"/>
    <w:rsid w:val="0043622A"/>
    <w:rsid w:val="004371FF"/>
    <w:rsid w:val="00444799"/>
    <w:rsid w:val="00445A29"/>
    <w:rsid w:val="004544DE"/>
    <w:rsid w:val="004577B6"/>
    <w:rsid w:val="0045795F"/>
    <w:rsid w:val="0046030E"/>
    <w:rsid w:val="004616B0"/>
    <w:rsid w:val="00462D95"/>
    <w:rsid w:val="004645E5"/>
    <w:rsid w:val="00472478"/>
    <w:rsid w:val="0047672F"/>
    <w:rsid w:val="00481867"/>
    <w:rsid w:val="0048277B"/>
    <w:rsid w:val="0048403D"/>
    <w:rsid w:val="00490A56"/>
    <w:rsid w:val="004935C5"/>
    <w:rsid w:val="0049392C"/>
    <w:rsid w:val="004A0C1B"/>
    <w:rsid w:val="004A3D36"/>
    <w:rsid w:val="004A3F39"/>
    <w:rsid w:val="004A75EB"/>
    <w:rsid w:val="004B13D6"/>
    <w:rsid w:val="004B1505"/>
    <w:rsid w:val="004B2BBD"/>
    <w:rsid w:val="004B2E0C"/>
    <w:rsid w:val="004C4215"/>
    <w:rsid w:val="004D5861"/>
    <w:rsid w:val="004D751C"/>
    <w:rsid w:val="004E3B0B"/>
    <w:rsid w:val="004F310C"/>
    <w:rsid w:val="0051193D"/>
    <w:rsid w:val="00513517"/>
    <w:rsid w:val="005137E9"/>
    <w:rsid w:val="005146BD"/>
    <w:rsid w:val="005200DD"/>
    <w:rsid w:val="00520B87"/>
    <w:rsid w:val="00520EB0"/>
    <w:rsid w:val="00520FC3"/>
    <w:rsid w:val="005218CD"/>
    <w:rsid w:val="00521A6E"/>
    <w:rsid w:val="00524D6D"/>
    <w:rsid w:val="005321EC"/>
    <w:rsid w:val="00532EC6"/>
    <w:rsid w:val="00533E81"/>
    <w:rsid w:val="00536A16"/>
    <w:rsid w:val="00540809"/>
    <w:rsid w:val="0054176C"/>
    <w:rsid w:val="005429FF"/>
    <w:rsid w:val="00543F70"/>
    <w:rsid w:val="005560C1"/>
    <w:rsid w:val="0056109D"/>
    <w:rsid w:val="00563095"/>
    <w:rsid w:val="005646D4"/>
    <w:rsid w:val="00573D55"/>
    <w:rsid w:val="005743D2"/>
    <w:rsid w:val="00576E47"/>
    <w:rsid w:val="00576E61"/>
    <w:rsid w:val="00580AC1"/>
    <w:rsid w:val="0058196A"/>
    <w:rsid w:val="00582219"/>
    <w:rsid w:val="00585740"/>
    <w:rsid w:val="00586A35"/>
    <w:rsid w:val="00587633"/>
    <w:rsid w:val="00595AFA"/>
    <w:rsid w:val="005A0313"/>
    <w:rsid w:val="005B04D5"/>
    <w:rsid w:val="005B120C"/>
    <w:rsid w:val="005B2869"/>
    <w:rsid w:val="005C0207"/>
    <w:rsid w:val="005C5420"/>
    <w:rsid w:val="005D4DB2"/>
    <w:rsid w:val="005D5309"/>
    <w:rsid w:val="005F2A01"/>
    <w:rsid w:val="005F7DB2"/>
    <w:rsid w:val="00600AD0"/>
    <w:rsid w:val="00604268"/>
    <w:rsid w:val="00604E56"/>
    <w:rsid w:val="00610B22"/>
    <w:rsid w:val="00611731"/>
    <w:rsid w:val="00612C40"/>
    <w:rsid w:val="00621AE2"/>
    <w:rsid w:val="00625CAF"/>
    <w:rsid w:val="00626542"/>
    <w:rsid w:val="00630E41"/>
    <w:rsid w:val="00632609"/>
    <w:rsid w:val="00633CC9"/>
    <w:rsid w:val="006403A7"/>
    <w:rsid w:val="0064273C"/>
    <w:rsid w:val="00654D3A"/>
    <w:rsid w:val="00660234"/>
    <w:rsid w:val="00660B9E"/>
    <w:rsid w:val="0066264C"/>
    <w:rsid w:val="00664AFA"/>
    <w:rsid w:val="0066734A"/>
    <w:rsid w:val="00676AF1"/>
    <w:rsid w:val="00677E6D"/>
    <w:rsid w:val="0068097B"/>
    <w:rsid w:val="0068213F"/>
    <w:rsid w:val="006829FA"/>
    <w:rsid w:val="00697168"/>
    <w:rsid w:val="0069737E"/>
    <w:rsid w:val="006A193D"/>
    <w:rsid w:val="006A4C2F"/>
    <w:rsid w:val="006A51DC"/>
    <w:rsid w:val="006A5863"/>
    <w:rsid w:val="006B0D30"/>
    <w:rsid w:val="006B1790"/>
    <w:rsid w:val="006B363B"/>
    <w:rsid w:val="006C6E25"/>
    <w:rsid w:val="006D03F5"/>
    <w:rsid w:val="006D4C18"/>
    <w:rsid w:val="006D74BE"/>
    <w:rsid w:val="006F47CC"/>
    <w:rsid w:val="006F6A82"/>
    <w:rsid w:val="00702E51"/>
    <w:rsid w:val="007076A7"/>
    <w:rsid w:val="007157C4"/>
    <w:rsid w:val="00717412"/>
    <w:rsid w:val="007242F2"/>
    <w:rsid w:val="00727B4A"/>
    <w:rsid w:val="007320F0"/>
    <w:rsid w:val="0073370B"/>
    <w:rsid w:val="00740259"/>
    <w:rsid w:val="007412A0"/>
    <w:rsid w:val="00743FC6"/>
    <w:rsid w:val="007512AE"/>
    <w:rsid w:val="0075259C"/>
    <w:rsid w:val="00762B0E"/>
    <w:rsid w:val="007650E5"/>
    <w:rsid w:val="007667C2"/>
    <w:rsid w:val="00774561"/>
    <w:rsid w:val="007758F4"/>
    <w:rsid w:val="00776BA8"/>
    <w:rsid w:val="007A4E4B"/>
    <w:rsid w:val="007A78D0"/>
    <w:rsid w:val="007B201A"/>
    <w:rsid w:val="007B2C6D"/>
    <w:rsid w:val="007B73C2"/>
    <w:rsid w:val="007D0AF0"/>
    <w:rsid w:val="007D5787"/>
    <w:rsid w:val="00807703"/>
    <w:rsid w:val="008138A4"/>
    <w:rsid w:val="00814D9D"/>
    <w:rsid w:val="0081671E"/>
    <w:rsid w:val="00822FA3"/>
    <w:rsid w:val="00823603"/>
    <w:rsid w:val="00827000"/>
    <w:rsid w:val="00827097"/>
    <w:rsid w:val="00831C7E"/>
    <w:rsid w:val="00832713"/>
    <w:rsid w:val="00833CE0"/>
    <w:rsid w:val="008342A8"/>
    <w:rsid w:val="00845696"/>
    <w:rsid w:val="008529E8"/>
    <w:rsid w:val="0085714E"/>
    <w:rsid w:val="00864318"/>
    <w:rsid w:val="00885ED1"/>
    <w:rsid w:val="00886D7F"/>
    <w:rsid w:val="008B68A8"/>
    <w:rsid w:val="008B7CBA"/>
    <w:rsid w:val="008C011E"/>
    <w:rsid w:val="008D3598"/>
    <w:rsid w:val="008E0BBB"/>
    <w:rsid w:val="008E4B72"/>
    <w:rsid w:val="008F779C"/>
    <w:rsid w:val="00905095"/>
    <w:rsid w:val="00905AE5"/>
    <w:rsid w:val="00912C4F"/>
    <w:rsid w:val="00917B27"/>
    <w:rsid w:val="009240F9"/>
    <w:rsid w:val="00924B51"/>
    <w:rsid w:val="00930594"/>
    <w:rsid w:val="009307CD"/>
    <w:rsid w:val="00931732"/>
    <w:rsid w:val="0093468E"/>
    <w:rsid w:val="00953B8C"/>
    <w:rsid w:val="00953CA2"/>
    <w:rsid w:val="009558A5"/>
    <w:rsid w:val="00960464"/>
    <w:rsid w:val="00964F83"/>
    <w:rsid w:val="0096545A"/>
    <w:rsid w:val="00973C2B"/>
    <w:rsid w:val="00980587"/>
    <w:rsid w:val="0098182C"/>
    <w:rsid w:val="00982252"/>
    <w:rsid w:val="00984853"/>
    <w:rsid w:val="00993DAA"/>
    <w:rsid w:val="00994057"/>
    <w:rsid w:val="009A3FE0"/>
    <w:rsid w:val="009A44ED"/>
    <w:rsid w:val="009A5093"/>
    <w:rsid w:val="009E56AF"/>
    <w:rsid w:val="009F1873"/>
    <w:rsid w:val="009F43DE"/>
    <w:rsid w:val="009F65BF"/>
    <w:rsid w:val="00A1373B"/>
    <w:rsid w:val="00A16DE7"/>
    <w:rsid w:val="00A35A62"/>
    <w:rsid w:val="00A369EA"/>
    <w:rsid w:val="00A412D0"/>
    <w:rsid w:val="00A43170"/>
    <w:rsid w:val="00A43559"/>
    <w:rsid w:val="00A47A60"/>
    <w:rsid w:val="00A5297E"/>
    <w:rsid w:val="00A541BB"/>
    <w:rsid w:val="00A55813"/>
    <w:rsid w:val="00A62F9B"/>
    <w:rsid w:val="00A7531E"/>
    <w:rsid w:val="00A7678C"/>
    <w:rsid w:val="00A76A2A"/>
    <w:rsid w:val="00A829DB"/>
    <w:rsid w:val="00A85266"/>
    <w:rsid w:val="00A864DF"/>
    <w:rsid w:val="00A926CA"/>
    <w:rsid w:val="00A9546D"/>
    <w:rsid w:val="00AB7B3B"/>
    <w:rsid w:val="00AC3CAE"/>
    <w:rsid w:val="00AC701C"/>
    <w:rsid w:val="00AE44F6"/>
    <w:rsid w:val="00B1340F"/>
    <w:rsid w:val="00B21D43"/>
    <w:rsid w:val="00B35C6F"/>
    <w:rsid w:val="00B40FB6"/>
    <w:rsid w:val="00B46401"/>
    <w:rsid w:val="00B47D37"/>
    <w:rsid w:val="00B62B52"/>
    <w:rsid w:val="00B656C2"/>
    <w:rsid w:val="00B67A6D"/>
    <w:rsid w:val="00B72CF6"/>
    <w:rsid w:val="00B73654"/>
    <w:rsid w:val="00B75C1D"/>
    <w:rsid w:val="00B8029D"/>
    <w:rsid w:val="00B91806"/>
    <w:rsid w:val="00B93BB3"/>
    <w:rsid w:val="00B965DC"/>
    <w:rsid w:val="00BA03B5"/>
    <w:rsid w:val="00BA1BC5"/>
    <w:rsid w:val="00BA3924"/>
    <w:rsid w:val="00BB025E"/>
    <w:rsid w:val="00BB4198"/>
    <w:rsid w:val="00BC22C5"/>
    <w:rsid w:val="00BC4F42"/>
    <w:rsid w:val="00BC50B8"/>
    <w:rsid w:val="00BC6D46"/>
    <w:rsid w:val="00BD592A"/>
    <w:rsid w:val="00BD6D00"/>
    <w:rsid w:val="00BE03A5"/>
    <w:rsid w:val="00BE76B2"/>
    <w:rsid w:val="00BF03A9"/>
    <w:rsid w:val="00BF1B77"/>
    <w:rsid w:val="00BF4155"/>
    <w:rsid w:val="00BF4E70"/>
    <w:rsid w:val="00BF6DED"/>
    <w:rsid w:val="00C025E7"/>
    <w:rsid w:val="00C0303D"/>
    <w:rsid w:val="00C06AC6"/>
    <w:rsid w:val="00C138D2"/>
    <w:rsid w:val="00C253D7"/>
    <w:rsid w:val="00C25D2C"/>
    <w:rsid w:val="00C272F9"/>
    <w:rsid w:val="00C31AB2"/>
    <w:rsid w:val="00C37398"/>
    <w:rsid w:val="00C41E5D"/>
    <w:rsid w:val="00C44EF8"/>
    <w:rsid w:val="00C528D5"/>
    <w:rsid w:val="00C60A24"/>
    <w:rsid w:val="00C62F70"/>
    <w:rsid w:val="00C64815"/>
    <w:rsid w:val="00C76A4D"/>
    <w:rsid w:val="00C7703A"/>
    <w:rsid w:val="00C77853"/>
    <w:rsid w:val="00C8232C"/>
    <w:rsid w:val="00C93C8D"/>
    <w:rsid w:val="00CA1599"/>
    <w:rsid w:val="00CA4276"/>
    <w:rsid w:val="00CA4619"/>
    <w:rsid w:val="00CA6378"/>
    <w:rsid w:val="00CA67B0"/>
    <w:rsid w:val="00CB08AC"/>
    <w:rsid w:val="00CB109A"/>
    <w:rsid w:val="00CB6455"/>
    <w:rsid w:val="00CC4D2F"/>
    <w:rsid w:val="00CD1D2A"/>
    <w:rsid w:val="00CD22DF"/>
    <w:rsid w:val="00CD2A3C"/>
    <w:rsid w:val="00CD3E8D"/>
    <w:rsid w:val="00CD4171"/>
    <w:rsid w:val="00CD7282"/>
    <w:rsid w:val="00CE6E45"/>
    <w:rsid w:val="00CF4097"/>
    <w:rsid w:val="00D007F0"/>
    <w:rsid w:val="00D01D53"/>
    <w:rsid w:val="00D2079C"/>
    <w:rsid w:val="00D20811"/>
    <w:rsid w:val="00D25BD8"/>
    <w:rsid w:val="00D274F6"/>
    <w:rsid w:val="00D33C6C"/>
    <w:rsid w:val="00D369BB"/>
    <w:rsid w:val="00D418DC"/>
    <w:rsid w:val="00D44E91"/>
    <w:rsid w:val="00D46120"/>
    <w:rsid w:val="00D47229"/>
    <w:rsid w:val="00D50F38"/>
    <w:rsid w:val="00D522F9"/>
    <w:rsid w:val="00D5420E"/>
    <w:rsid w:val="00D604E4"/>
    <w:rsid w:val="00D60675"/>
    <w:rsid w:val="00D6762D"/>
    <w:rsid w:val="00D73D6B"/>
    <w:rsid w:val="00D82230"/>
    <w:rsid w:val="00D827D6"/>
    <w:rsid w:val="00D8789A"/>
    <w:rsid w:val="00D97B3F"/>
    <w:rsid w:val="00DA5065"/>
    <w:rsid w:val="00DB6EE7"/>
    <w:rsid w:val="00DC3314"/>
    <w:rsid w:val="00DC35FA"/>
    <w:rsid w:val="00DC6265"/>
    <w:rsid w:val="00DD2E84"/>
    <w:rsid w:val="00DE060C"/>
    <w:rsid w:val="00DF18FF"/>
    <w:rsid w:val="00DF1935"/>
    <w:rsid w:val="00DF362A"/>
    <w:rsid w:val="00DF6001"/>
    <w:rsid w:val="00DF60CA"/>
    <w:rsid w:val="00E02BB4"/>
    <w:rsid w:val="00E0322D"/>
    <w:rsid w:val="00E04A21"/>
    <w:rsid w:val="00E065A0"/>
    <w:rsid w:val="00E1231E"/>
    <w:rsid w:val="00E151E7"/>
    <w:rsid w:val="00E2381C"/>
    <w:rsid w:val="00E367DA"/>
    <w:rsid w:val="00E4114F"/>
    <w:rsid w:val="00E43CD3"/>
    <w:rsid w:val="00E476C3"/>
    <w:rsid w:val="00E63659"/>
    <w:rsid w:val="00E643B8"/>
    <w:rsid w:val="00E74067"/>
    <w:rsid w:val="00E81A96"/>
    <w:rsid w:val="00E86404"/>
    <w:rsid w:val="00E904B1"/>
    <w:rsid w:val="00E91405"/>
    <w:rsid w:val="00EB0E5C"/>
    <w:rsid w:val="00ED138A"/>
    <w:rsid w:val="00ED6984"/>
    <w:rsid w:val="00EF3064"/>
    <w:rsid w:val="00F00046"/>
    <w:rsid w:val="00F12C43"/>
    <w:rsid w:val="00F239FB"/>
    <w:rsid w:val="00F25C91"/>
    <w:rsid w:val="00F34782"/>
    <w:rsid w:val="00F57D32"/>
    <w:rsid w:val="00F70D6C"/>
    <w:rsid w:val="00F71B43"/>
    <w:rsid w:val="00F74CA8"/>
    <w:rsid w:val="00F835EA"/>
    <w:rsid w:val="00F86B53"/>
    <w:rsid w:val="00F9473C"/>
    <w:rsid w:val="00F97ADC"/>
    <w:rsid w:val="00FA3C6D"/>
    <w:rsid w:val="00FA3D60"/>
    <w:rsid w:val="00FA7CA9"/>
    <w:rsid w:val="00FB1612"/>
    <w:rsid w:val="00FB36D7"/>
    <w:rsid w:val="00FB4BEC"/>
    <w:rsid w:val="00FB560C"/>
    <w:rsid w:val="00FB7D81"/>
    <w:rsid w:val="00FC6871"/>
    <w:rsid w:val="00FD08ED"/>
    <w:rsid w:val="00FD568B"/>
    <w:rsid w:val="00FE0879"/>
    <w:rsid w:val="00FE2C5C"/>
    <w:rsid w:val="00FE7D44"/>
    <w:rsid w:val="00FF5FC6"/>
    <w:rsid w:val="01806039"/>
    <w:rsid w:val="0484DEFA"/>
    <w:rsid w:val="08793824"/>
    <w:rsid w:val="0B62AE0C"/>
    <w:rsid w:val="115A2DFE"/>
    <w:rsid w:val="11A57C22"/>
    <w:rsid w:val="14051963"/>
    <w:rsid w:val="1594ABB3"/>
    <w:rsid w:val="1981A983"/>
    <w:rsid w:val="1A78EA30"/>
    <w:rsid w:val="1A84EA07"/>
    <w:rsid w:val="1AC3D485"/>
    <w:rsid w:val="1AFEFDA5"/>
    <w:rsid w:val="1F2487CB"/>
    <w:rsid w:val="2056A7C8"/>
    <w:rsid w:val="21F32D49"/>
    <w:rsid w:val="23BB5502"/>
    <w:rsid w:val="257CCD21"/>
    <w:rsid w:val="25D119F7"/>
    <w:rsid w:val="290DCD65"/>
    <w:rsid w:val="2FCA0A9E"/>
    <w:rsid w:val="314EE223"/>
    <w:rsid w:val="31EC009F"/>
    <w:rsid w:val="38A5B62B"/>
    <w:rsid w:val="3B554A8F"/>
    <w:rsid w:val="3BAB1030"/>
    <w:rsid w:val="3E5D1C03"/>
    <w:rsid w:val="41C5070A"/>
    <w:rsid w:val="44904E74"/>
    <w:rsid w:val="489928B4"/>
    <w:rsid w:val="4F4BDE5C"/>
    <w:rsid w:val="50DE4EEA"/>
    <w:rsid w:val="5B68616C"/>
    <w:rsid w:val="647E369D"/>
    <w:rsid w:val="65ACE1EC"/>
    <w:rsid w:val="6AA6DABD"/>
    <w:rsid w:val="6B2325DA"/>
    <w:rsid w:val="6BB41249"/>
    <w:rsid w:val="6BD6392F"/>
    <w:rsid w:val="70875455"/>
    <w:rsid w:val="70F1E7B4"/>
    <w:rsid w:val="71FBAA5C"/>
    <w:rsid w:val="730C4A70"/>
    <w:rsid w:val="7BA8F9EB"/>
    <w:rsid w:val="7DE8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EE223"/>
  <w15:chartTrackingRefBased/>
  <w15:docId w15:val="{6F6C3AAF-EB26-491B-A549-5B46A174C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734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E762A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20B0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20B02"/>
  </w:style>
  <w:style w:type="paragraph" w:styleId="Footer">
    <w:name w:val="footer"/>
    <w:basedOn w:val="Normal"/>
    <w:link w:val="FooterChar"/>
    <w:uiPriority w:val="99"/>
    <w:unhideWhenUsed/>
    <w:rsid w:val="00220B0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20B02"/>
  </w:style>
  <w:style w:type="character" w:styleId="Heading1Char" w:customStyle="1">
    <w:name w:val="Heading 1 Char"/>
    <w:basedOn w:val="DefaultParagraphFont"/>
    <w:link w:val="Heading1"/>
    <w:uiPriority w:val="9"/>
    <w:rsid w:val="0066734A"/>
    <w:rPr>
      <w:rFonts w:asciiTheme="majorHAnsi" w:hAnsiTheme="majorHAnsi" w:eastAsiaTheme="majorEastAsia" w:cstheme="majorBidi"/>
      <w:color w:val="3E762A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5A0313"/>
    <w:pPr>
      <w:spacing w:after="0" w:line="240" w:lineRule="auto"/>
    </w:pPr>
    <w:rPr>
      <w:sz w:val="22"/>
      <w:szCs w:val="22"/>
      <w:lang w:val="en-GB" w:eastAsia="en-GB"/>
    </w:rPr>
  </w:style>
  <w:style w:type="character" w:styleId="NoSpacingChar" w:customStyle="1">
    <w:name w:val="No Spacing Char"/>
    <w:basedOn w:val="DefaultParagraphFont"/>
    <w:link w:val="NoSpacing"/>
    <w:uiPriority w:val="1"/>
    <w:rsid w:val="005A0313"/>
    <w:rPr>
      <w:sz w:val="22"/>
      <w:szCs w:val="22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BB025E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02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diagramQuickStyle" Target="diagrams/quickStyle1.xml" Id="rId13" /><Relationship Type="http://schemas.openxmlformats.org/officeDocument/2006/relationships/diagramQuickStyle" Target="diagrams/quickStyle2.xml" Id="rId18" /><Relationship Type="http://schemas.openxmlformats.org/officeDocument/2006/relationships/theme" Target="theme/theme1.xml" Id="rId26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diagramLayout" Target="diagrams/layout1.xml" Id="rId12" /><Relationship Type="http://schemas.openxmlformats.org/officeDocument/2006/relationships/diagramLayout" Target="diagrams/layout2.xml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diagramData" Target="diagrams/data2.xml" Id="rId16" /><Relationship Type="http://schemas.microsoft.com/office/2007/relationships/diagramDrawing" Target="diagrams/drawing2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diagramData" Target="diagrams/data1.xml" Id="rId11" /><Relationship Type="http://schemas.openxmlformats.org/officeDocument/2006/relationships/footer" Target="footer2.xml" Id="rId24" /><Relationship Type="http://schemas.openxmlformats.org/officeDocument/2006/relationships/settings" Target="settings.xml" Id="rId5" /><Relationship Type="http://schemas.microsoft.com/office/2007/relationships/diagramDrawing" Target="diagrams/drawing1.xml" Id="rId15" /><Relationship Type="http://schemas.openxmlformats.org/officeDocument/2006/relationships/image" Target="media/image2.png" Id="rId10" /><Relationship Type="http://schemas.openxmlformats.org/officeDocument/2006/relationships/diagramColors" Target="diagrams/colors2.xml" Id="rId19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diagramColors" Target="diagrams/colors1.xml" Id="rId14" /><Relationship Type="http://schemas.openxmlformats.org/officeDocument/2006/relationships/footer" Target="footer1.xml" Id="rId22" /><Relationship Type="http://schemas.openxmlformats.org/officeDocument/2006/relationships/header" Target="header3.xml" Id="R844c95554ea24e3d" /><Relationship Type="http://schemas.openxmlformats.org/officeDocument/2006/relationships/header" Target="header4.xml" Id="R5fe001a1f3654448" /><Relationship Type="http://schemas.microsoft.com/office/2020/10/relationships/intelligence" Target="intelligence2.xml" Id="R24dc5b986f00448c" 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5.jpg"/><Relationship Id="rId2" Type="http://schemas.openxmlformats.org/officeDocument/2006/relationships/image" Target="../media/image4.jpg"/><Relationship Id="rId1" Type="http://schemas.openxmlformats.org/officeDocument/2006/relationships/image" Target="../media/image3.jpg"/></Relationships>
</file>

<file path=word/diagrams/_rels/data2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jpg"/><Relationship Id="rId2" Type="http://schemas.openxmlformats.org/officeDocument/2006/relationships/image" Target="../media/image7.jpg"/><Relationship Id="rId1" Type="http://schemas.openxmlformats.org/officeDocument/2006/relationships/image" Target="../media/image6.jp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5.jpg"/><Relationship Id="rId2" Type="http://schemas.openxmlformats.org/officeDocument/2006/relationships/image" Target="../media/image4.jpg"/><Relationship Id="rId1" Type="http://schemas.openxmlformats.org/officeDocument/2006/relationships/image" Target="../media/image3.jpg"/></Relationships>
</file>

<file path=word/diagrams/_rels/drawing2.xml.rels><?xml version="1.0" encoding="UTF-8" standalone="yes"?>
<Relationships xmlns="http://schemas.openxmlformats.org/package/2006/relationships"><Relationship Id="rId3" Type="http://schemas.openxmlformats.org/officeDocument/2006/relationships/image" Target="../media/image8.jpg"/><Relationship Id="rId2" Type="http://schemas.openxmlformats.org/officeDocument/2006/relationships/image" Target="../media/image7.jpg"/><Relationship Id="rId1" Type="http://schemas.openxmlformats.org/officeDocument/2006/relationships/image" Target="../media/image6.jp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F88A306-D6A0-455D-8E74-BBFD2C42020B}" type="doc">
      <dgm:prSet loTypeId="urn:microsoft.com/office/officeart/2005/8/layout/pList2" loCatId="list" qsTypeId="urn:microsoft.com/office/officeart/2005/8/quickstyle/simple1" qsCatId="simple" csTypeId="urn:microsoft.com/office/officeart/2005/8/colors/accent1_2" csCatId="accent1" phldr="1"/>
      <dgm:spPr/>
    </dgm:pt>
    <dgm:pt modelId="{5456C82E-6246-45C5-B60D-7CC7921AE191}">
      <dgm:prSet phldrT="[Text]" custT="1"/>
      <dgm:spPr/>
      <dgm:t>
        <a:bodyPr/>
        <a:lstStyle/>
        <a:p>
          <a:pPr>
            <a:buNone/>
          </a:pPr>
          <a:r>
            <a:rPr lang="en-GB" sz="900" b="1">
              <a:latin typeface="Arial" panose="020B0604020202020204" pitchFamily="34" charset="0"/>
              <a:cs typeface="Arial" panose="020B0604020202020204" pitchFamily="34" charset="0"/>
            </a:rPr>
            <a:t>Definition of Depression (ICD-11)</a:t>
          </a:r>
        </a:p>
        <a:p>
          <a:pPr>
            <a:buNone/>
          </a:pPr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Depressive Disorder in ICD-11 is defined as a prolonged low mood and/or significantly reduced interest or pleasure, accompanied by symptoms including diminished energy, sleep disturbances, feelings of guilt or worthlessness, impaired attention, and suicide thinking (WHO, 2019). Depression is a primary contributor to global disability (WHO, 2022</a:t>
          </a:r>
          <a:r>
            <a:rPr lang="en-GB" sz="900"/>
            <a:t>).</a:t>
          </a:r>
          <a:endParaRPr lang="en-GB" sz="9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8BBF7565-DF53-4AB4-9060-CC8B9681519B}" type="parTrans" cxnId="{43C7644B-925C-471E-8BD8-2069ACEA7B6B}">
      <dgm:prSet/>
      <dgm:spPr/>
      <dgm:t>
        <a:bodyPr/>
        <a:lstStyle/>
        <a:p>
          <a:endParaRPr lang="en-GB"/>
        </a:p>
      </dgm:t>
    </dgm:pt>
    <dgm:pt modelId="{D12053CE-F612-4036-B34F-66ADBE1E1854}" type="sibTrans" cxnId="{43C7644B-925C-471E-8BD8-2069ACEA7B6B}">
      <dgm:prSet/>
      <dgm:spPr/>
      <dgm:t>
        <a:bodyPr/>
        <a:lstStyle/>
        <a:p>
          <a:endParaRPr lang="en-GB"/>
        </a:p>
      </dgm:t>
    </dgm:pt>
    <dgm:pt modelId="{DF480731-82CD-450D-B5DB-86DEEDC18834}">
      <dgm:prSet phldrT="[Text]" custT="1"/>
      <dgm:spPr/>
      <dgm:t>
        <a:bodyPr/>
        <a:lstStyle/>
        <a:p>
          <a:pPr>
            <a:buNone/>
          </a:pPr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2</a:t>
          </a:r>
          <a:r>
            <a:rPr lang="en-GB" sz="900" b="1">
              <a:latin typeface="Arial" panose="020B0604020202020204" pitchFamily="34" charset="0"/>
              <a:cs typeface="Arial" panose="020B0604020202020204" pitchFamily="34" charset="0"/>
            </a:rPr>
            <a:t>. Historical Approaches to Treating Depression</a:t>
          </a:r>
        </a:p>
        <a:p>
          <a:pPr>
            <a:buNone/>
          </a:pPr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Initial interpretations, such as melancholia, were founded on humoral theory and lacked empirical support (Albert, 2015).</a:t>
          </a:r>
          <a:br>
            <a:rPr lang="en-GB" sz="9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9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Institutionalisation persisted from the 18th to the 20th centuries, frequently leading to inadequate circumstances and restricted therapeutic efficacy (Kirmayer et al., 2017).</a:t>
          </a:r>
          <a:br>
            <a:rPr lang="en-GB" sz="9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9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Biological treatments from the mid-20th century, including ECT, MAOIs, and tricyclics, represented a key development but also raised ethical dilemmas (Miller &amp; Raison, 2016).</a:t>
          </a:r>
        </a:p>
      </dgm:t>
    </dgm:pt>
    <dgm:pt modelId="{7CE12932-C97B-4992-B59C-9C8D9E3BE397}" type="parTrans" cxnId="{AE2205DA-4E0A-43D7-BDBB-5C048AA73C8C}">
      <dgm:prSet/>
      <dgm:spPr/>
      <dgm:t>
        <a:bodyPr/>
        <a:lstStyle/>
        <a:p>
          <a:endParaRPr lang="en-GB"/>
        </a:p>
      </dgm:t>
    </dgm:pt>
    <dgm:pt modelId="{7900CBD2-B067-496B-924E-F9F994D97DAC}" type="sibTrans" cxnId="{AE2205DA-4E0A-43D7-BDBB-5C048AA73C8C}">
      <dgm:prSet/>
      <dgm:spPr/>
      <dgm:t>
        <a:bodyPr/>
        <a:lstStyle/>
        <a:p>
          <a:endParaRPr lang="en-GB"/>
        </a:p>
      </dgm:t>
    </dgm:pt>
    <dgm:pt modelId="{4C4D9092-2EEB-45C0-9460-CA62B92552F1}">
      <dgm:prSet custT="1"/>
      <dgm:spPr/>
      <dgm:t>
        <a:bodyPr/>
        <a:lstStyle/>
        <a:p>
          <a:pPr>
            <a:buNone/>
          </a:pPr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3</a:t>
          </a:r>
          <a:r>
            <a:rPr lang="en-GB" sz="900" b="1">
              <a:latin typeface="Arial" panose="020B0604020202020204" pitchFamily="34" charset="0"/>
              <a:cs typeface="Arial" panose="020B0604020202020204" pitchFamily="34" charset="0"/>
            </a:rPr>
            <a:t>.Contemporary Understanding and Treatment</a:t>
          </a:r>
        </a:p>
        <a:p>
          <a:pPr>
            <a:buNone/>
          </a:pPr>
          <a:r>
            <a:rPr lang="en-GB" sz="900"/>
            <a:t>Contemporary treatment include pharmacological alternatives, such SSRIs and SNRIs, alongside the introduction of esketamine for treatment-resistant depression (Daly et al., 2019).</a:t>
          </a:r>
          <a:br>
            <a:rPr lang="en-GB" sz="900"/>
          </a:br>
          <a:br>
            <a:rPr lang="en-GB" sz="900"/>
          </a:br>
          <a:r>
            <a:rPr lang="en-GB" sz="900"/>
            <a:t>Psychological therapies, including cognitive behavioural therapy (CBT) and mindfulness-based methods, continue to be the primary treatments (NICE, 2022).</a:t>
          </a:r>
          <a:br>
            <a:rPr lang="en-GB" sz="900"/>
          </a:br>
          <a:br>
            <a:rPr lang="en-GB" sz="900"/>
          </a:br>
          <a:r>
            <a:rPr lang="en-GB" sz="900"/>
            <a:t>Digital mental health solutions developed during COVID-19, improving accessibility while eliciting fairness concerns (Hollis et al., 2020).</a:t>
          </a:r>
          <a:br>
            <a:rPr lang="en-GB" sz="900"/>
          </a:br>
          <a:br>
            <a:rPr lang="en-GB" sz="900"/>
          </a:br>
          <a:r>
            <a:rPr lang="en-GB" sz="900"/>
            <a:t>Research underscores the significance of inflammation and immunological dysregulation in depression (Miller &amp; Raison, 2016).</a:t>
          </a:r>
          <a:endParaRPr lang="en-GB" sz="900" b="1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62C80351-71B7-4EAD-BCC4-D718E35CFBB3}" type="parTrans" cxnId="{1979DB19-67E3-4BFD-8FCD-884EA2FAB59F}">
      <dgm:prSet/>
      <dgm:spPr/>
      <dgm:t>
        <a:bodyPr/>
        <a:lstStyle/>
        <a:p>
          <a:endParaRPr lang="en-GB"/>
        </a:p>
      </dgm:t>
    </dgm:pt>
    <dgm:pt modelId="{22FCF022-B202-4980-BDF7-EB95BCC24585}" type="sibTrans" cxnId="{1979DB19-67E3-4BFD-8FCD-884EA2FAB59F}">
      <dgm:prSet/>
      <dgm:spPr/>
      <dgm:t>
        <a:bodyPr/>
        <a:lstStyle/>
        <a:p>
          <a:endParaRPr lang="en-GB"/>
        </a:p>
      </dgm:t>
    </dgm:pt>
    <dgm:pt modelId="{8E98261C-5D53-42E6-A5A1-774270B5CAE3}" type="pres">
      <dgm:prSet presAssocID="{DF88A306-D6A0-455D-8E74-BBFD2C42020B}" presName="Name0" presStyleCnt="0">
        <dgm:presLayoutVars>
          <dgm:dir/>
          <dgm:resizeHandles val="exact"/>
        </dgm:presLayoutVars>
      </dgm:prSet>
      <dgm:spPr/>
    </dgm:pt>
    <dgm:pt modelId="{27E0A3E6-1EE2-4E77-B4CA-2C4FB150FEDF}" type="pres">
      <dgm:prSet presAssocID="{DF88A306-D6A0-455D-8E74-BBFD2C42020B}" presName="bkgdShp" presStyleLbl="alignAccFollowNode1" presStyleIdx="0" presStyleCnt="1" custFlipVert="1" custScaleY="30339" custLinFactNeighborX="9167" custLinFactNeighborY="1382"/>
      <dgm:spPr/>
    </dgm:pt>
    <dgm:pt modelId="{920F5C48-596D-4B8B-81AA-6DC8ED094AEE}" type="pres">
      <dgm:prSet presAssocID="{DF88A306-D6A0-455D-8E74-BBFD2C42020B}" presName="linComp" presStyleCnt="0"/>
      <dgm:spPr/>
    </dgm:pt>
    <dgm:pt modelId="{73E570C9-7F17-4434-AC63-9EEFD342C3C7}" type="pres">
      <dgm:prSet presAssocID="{5456C82E-6246-45C5-B60D-7CC7921AE191}" presName="compNode" presStyleCnt="0"/>
      <dgm:spPr/>
    </dgm:pt>
    <dgm:pt modelId="{BE7D7B18-7CB2-4189-BEFE-5E5BD656146D}" type="pres">
      <dgm:prSet presAssocID="{5456C82E-6246-45C5-B60D-7CC7921AE191}" presName="node" presStyleLbl="node1" presStyleIdx="0" presStyleCnt="3">
        <dgm:presLayoutVars>
          <dgm:bulletEnabled val="1"/>
        </dgm:presLayoutVars>
      </dgm:prSet>
      <dgm:spPr/>
    </dgm:pt>
    <dgm:pt modelId="{F9A9C149-4F6E-4023-8521-49D0AA12F669}" type="pres">
      <dgm:prSet presAssocID="{5456C82E-6246-45C5-B60D-7CC7921AE191}" presName="invisiNode" presStyleLbl="node1" presStyleIdx="0" presStyleCnt="3"/>
      <dgm:spPr/>
    </dgm:pt>
    <dgm:pt modelId="{299B8F12-3EB8-4553-BD12-9E74B223B739}" type="pres">
      <dgm:prSet presAssocID="{5456C82E-6246-45C5-B60D-7CC7921AE191}" presName="imagNode" presStyleLbl="fgImgPlace1" presStyleIdx="0" presStyleCnt="3"/>
      <dgm:spPr>
        <a:blipFill>
          <a:blip xmlns:r="http://schemas.openxmlformats.org/officeDocument/2006/relationships" r:embed="rId1"/>
          <a:srcRect/>
          <a:stretch>
            <a:fillRect t="-1000" b="-1000"/>
          </a:stretch>
        </a:blipFill>
      </dgm:spPr>
      <dgm:extLst>
        <a:ext uri="{E40237B7-FDA0-4F09-8148-C483321AD2D9}">
          <dgm14:cNvPr xmlns:dgm14="http://schemas.microsoft.com/office/drawing/2010/diagram" id="0" name="" descr="Stick figure families holding hands"/>
        </a:ext>
      </dgm:extLst>
    </dgm:pt>
    <dgm:pt modelId="{EFBE8A3A-834F-428B-9FAE-45B1368037D1}" type="pres">
      <dgm:prSet presAssocID="{D12053CE-F612-4036-B34F-66ADBE1E1854}" presName="sibTrans" presStyleLbl="sibTrans2D1" presStyleIdx="0" presStyleCnt="0"/>
      <dgm:spPr/>
    </dgm:pt>
    <dgm:pt modelId="{0AFFB393-1230-41D1-B51C-5A12A84A5D5B}" type="pres">
      <dgm:prSet presAssocID="{DF480731-82CD-450D-B5DB-86DEEDC18834}" presName="compNode" presStyleCnt="0"/>
      <dgm:spPr/>
    </dgm:pt>
    <dgm:pt modelId="{923D6E06-EED9-47D9-8E83-5634DA3BC245}" type="pres">
      <dgm:prSet presAssocID="{DF480731-82CD-450D-B5DB-86DEEDC18834}" presName="node" presStyleLbl="node1" presStyleIdx="1" presStyleCnt="3">
        <dgm:presLayoutVars>
          <dgm:bulletEnabled val="1"/>
        </dgm:presLayoutVars>
      </dgm:prSet>
      <dgm:spPr/>
    </dgm:pt>
    <dgm:pt modelId="{DE239AAB-E6B4-468A-979C-D3CBEB450DC3}" type="pres">
      <dgm:prSet presAssocID="{DF480731-82CD-450D-B5DB-86DEEDC18834}" presName="invisiNode" presStyleLbl="node1" presStyleIdx="1" presStyleCnt="3"/>
      <dgm:spPr/>
    </dgm:pt>
    <dgm:pt modelId="{078D9C69-D8E9-4837-B985-08AA1867E3E0}" type="pres">
      <dgm:prSet presAssocID="{DF480731-82CD-450D-B5DB-86DEEDC18834}" presName="imagNode" presStyleLbl="fgImgPlace1" presStyleIdx="1" presStyleCnt="3" custLinFactNeighborX="-5201" custLinFactNeighborY="314"/>
      <dgm:spPr>
        <a:blipFill>
          <a:blip xmlns:r="http://schemas.openxmlformats.org/officeDocument/2006/relationships" r:embed="rId2"/>
          <a:srcRect/>
          <a:stretch>
            <a:fillRect t="-1000" b="-1000"/>
          </a:stretch>
        </a:blipFill>
      </dgm:spPr>
      <dgm:extLst>
        <a:ext uri="{E40237B7-FDA0-4F09-8148-C483321AD2D9}">
          <dgm14:cNvPr xmlns:dgm14="http://schemas.microsoft.com/office/drawing/2010/diagram" id="0" name="" descr="Person sitting on a ledge"/>
        </a:ext>
      </dgm:extLst>
    </dgm:pt>
    <dgm:pt modelId="{578B516C-8B88-47C1-8BEB-20AF0B5997B7}" type="pres">
      <dgm:prSet presAssocID="{7900CBD2-B067-496B-924E-F9F994D97DAC}" presName="sibTrans" presStyleLbl="sibTrans2D1" presStyleIdx="0" presStyleCnt="0"/>
      <dgm:spPr/>
    </dgm:pt>
    <dgm:pt modelId="{4A4A612D-251D-4C56-A2B8-C86CF7DFEE4E}" type="pres">
      <dgm:prSet presAssocID="{4C4D9092-2EEB-45C0-9460-CA62B92552F1}" presName="compNode" presStyleCnt="0"/>
      <dgm:spPr/>
    </dgm:pt>
    <dgm:pt modelId="{580ACDD2-0193-4627-BBD6-94789DF54E42}" type="pres">
      <dgm:prSet presAssocID="{4C4D9092-2EEB-45C0-9460-CA62B92552F1}" presName="node" presStyleLbl="node1" presStyleIdx="2" presStyleCnt="3" custLinFactNeighborX="0" custLinFactNeighborY="-513">
        <dgm:presLayoutVars>
          <dgm:bulletEnabled val="1"/>
        </dgm:presLayoutVars>
      </dgm:prSet>
      <dgm:spPr/>
    </dgm:pt>
    <dgm:pt modelId="{1137ACD6-B911-488B-94AA-1B0EF189AF7E}" type="pres">
      <dgm:prSet presAssocID="{4C4D9092-2EEB-45C0-9460-CA62B92552F1}" presName="invisiNode" presStyleLbl="node1" presStyleIdx="2" presStyleCnt="3"/>
      <dgm:spPr/>
    </dgm:pt>
    <dgm:pt modelId="{4A9C3D27-19FE-4D6E-8541-D10240BE70E3}" type="pres">
      <dgm:prSet presAssocID="{4C4D9092-2EEB-45C0-9460-CA62B92552F1}" presName="imagNode" presStyleLbl="fgImgPlace1" presStyleIdx="2" presStyleCnt="3" custLinFactNeighborX="-1891"/>
      <dgm:spPr>
        <a:blipFill>
          <a:blip xmlns:r="http://schemas.openxmlformats.org/officeDocument/2006/relationships" r:embed="rId3"/>
          <a:srcRect/>
          <a:stretch>
            <a:fillRect l="-63000" r="-63000"/>
          </a:stretch>
        </a:blipFill>
      </dgm:spPr>
      <dgm:extLst>
        <a:ext uri="{E40237B7-FDA0-4F09-8148-C483321AD2D9}">
          <dgm14:cNvPr xmlns:dgm14="http://schemas.microsoft.com/office/drawing/2010/diagram" id="0" name="" descr="Man praying"/>
        </a:ext>
      </dgm:extLst>
    </dgm:pt>
  </dgm:ptLst>
  <dgm:cxnLst>
    <dgm:cxn modelId="{1979DB19-67E3-4BFD-8FCD-884EA2FAB59F}" srcId="{DF88A306-D6A0-455D-8E74-BBFD2C42020B}" destId="{4C4D9092-2EEB-45C0-9460-CA62B92552F1}" srcOrd="2" destOrd="0" parTransId="{62C80351-71B7-4EAD-BCC4-D718E35CFBB3}" sibTransId="{22FCF022-B202-4980-BDF7-EB95BCC24585}"/>
    <dgm:cxn modelId="{A7AA1528-1588-4759-9AD9-9897710936EB}" type="presOf" srcId="{DF88A306-D6A0-455D-8E74-BBFD2C42020B}" destId="{8E98261C-5D53-42E6-A5A1-774270B5CAE3}" srcOrd="0" destOrd="0" presId="urn:microsoft.com/office/officeart/2005/8/layout/pList2"/>
    <dgm:cxn modelId="{F1900C2F-C012-4615-B1AD-753B7261AE16}" type="presOf" srcId="{5456C82E-6246-45C5-B60D-7CC7921AE191}" destId="{BE7D7B18-7CB2-4189-BEFE-5E5BD656146D}" srcOrd="0" destOrd="0" presId="urn:microsoft.com/office/officeart/2005/8/layout/pList2"/>
    <dgm:cxn modelId="{F9B0802F-C0D9-4748-8A31-7CBDA6A902F8}" type="presOf" srcId="{4C4D9092-2EEB-45C0-9460-CA62B92552F1}" destId="{580ACDD2-0193-4627-BBD6-94789DF54E42}" srcOrd="0" destOrd="0" presId="urn:microsoft.com/office/officeart/2005/8/layout/pList2"/>
    <dgm:cxn modelId="{0A56FB64-E97E-422F-AC18-96E80348C24A}" type="presOf" srcId="{7900CBD2-B067-496B-924E-F9F994D97DAC}" destId="{578B516C-8B88-47C1-8BEB-20AF0B5997B7}" srcOrd="0" destOrd="0" presId="urn:microsoft.com/office/officeart/2005/8/layout/pList2"/>
    <dgm:cxn modelId="{43C7644B-925C-471E-8BD8-2069ACEA7B6B}" srcId="{DF88A306-D6A0-455D-8E74-BBFD2C42020B}" destId="{5456C82E-6246-45C5-B60D-7CC7921AE191}" srcOrd="0" destOrd="0" parTransId="{8BBF7565-DF53-4AB4-9060-CC8B9681519B}" sibTransId="{D12053CE-F612-4036-B34F-66ADBE1E1854}"/>
    <dgm:cxn modelId="{967E7F51-5A11-4515-AEDB-1C5EBBF5445F}" type="presOf" srcId="{DF480731-82CD-450D-B5DB-86DEEDC18834}" destId="{923D6E06-EED9-47D9-8E83-5634DA3BC245}" srcOrd="0" destOrd="0" presId="urn:microsoft.com/office/officeart/2005/8/layout/pList2"/>
    <dgm:cxn modelId="{AE2205DA-4E0A-43D7-BDBB-5C048AA73C8C}" srcId="{DF88A306-D6A0-455D-8E74-BBFD2C42020B}" destId="{DF480731-82CD-450D-B5DB-86DEEDC18834}" srcOrd="1" destOrd="0" parTransId="{7CE12932-C97B-4992-B59C-9C8D9E3BE397}" sibTransId="{7900CBD2-B067-496B-924E-F9F994D97DAC}"/>
    <dgm:cxn modelId="{7EBFE5E0-AFF3-4C5A-AC86-ACC7FB204F50}" type="presOf" srcId="{D12053CE-F612-4036-B34F-66ADBE1E1854}" destId="{EFBE8A3A-834F-428B-9FAE-45B1368037D1}" srcOrd="0" destOrd="0" presId="urn:microsoft.com/office/officeart/2005/8/layout/pList2"/>
    <dgm:cxn modelId="{0DF2A2B1-7281-4DCF-BBE1-7EEDC3148E58}" type="presParOf" srcId="{8E98261C-5D53-42E6-A5A1-774270B5CAE3}" destId="{27E0A3E6-1EE2-4E77-B4CA-2C4FB150FEDF}" srcOrd="0" destOrd="0" presId="urn:microsoft.com/office/officeart/2005/8/layout/pList2"/>
    <dgm:cxn modelId="{44EA8F18-9D5E-4369-B13A-ACC005BE94BB}" type="presParOf" srcId="{8E98261C-5D53-42E6-A5A1-774270B5CAE3}" destId="{920F5C48-596D-4B8B-81AA-6DC8ED094AEE}" srcOrd="1" destOrd="0" presId="urn:microsoft.com/office/officeart/2005/8/layout/pList2"/>
    <dgm:cxn modelId="{DDCE761D-86A2-4193-9750-D32F78566FE4}" type="presParOf" srcId="{920F5C48-596D-4B8B-81AA-6DC8ED094AEE}" destId="{73E570C9-7F17-4434-AC63-9EEFD342C3C7}" srcOrd="0" destOrd="0" presId="urn:microsoft.com/office/officeart/2005/8/layout/pList2"/>
    <dgm:cxn modelId="{B8AAE979-FFF6-469A-9739-40CB99A9C142}" type="presParOf" srcId="{73E570C9-7F17-4434-AC63-9EEFD342C3C7}" destId="{BE7D7B18-7CB2-4189-BEFE-5E5BD656146D}" srcOrd="0" destOrd="0" presId="urn:microsoft.com/office/officeart/2005/8/layout/pList2"/>
    <dgm:cxn modelId="{179AFA2A-3925-408F-8723-8ADB4FD3CE15}" type="presParOf" srcId="{73E570C9-7F17-4434-AC63-9EEFD342C3C7}" destId="{F9A9C149-4F6E-4023-8521-49D0AA12F669}" srcOrd="1" destOrd="0" presId="urn:microsoft.com/office/officeart/2005/8/layout/pList2"/>
    <dgm:cxn modelId="{E8BBD275-4034-4F56-95E1-DAD41E3D1377}" type="presParOf" srcId="{73E570C9-7F17-4434-AC63-9EEFD342C3C7}" destId="{299B8F12-3EB8-4553-BD12-9E74B223B739}" srcOrd="2" destOrd="0" presId="urn:microsoft.com/office/officeart/2005/8/layout/pList2"/>
    <dgm:cxn modelId="{486F5170-9221-419E-8562-89A7412CBEAD}" type="presParOf" srcId="{920F5C48-596D-4B8B-81AA-6DC8ED094AEE}" destId="{EFBE8A3A-834F-428B-9FAE-45B1368037D1}" srcOrd="1" destOrd="0" presId="urn:microsoft.com/office/officeart/2005/8/layout/pList2"/>
    <dgm:cxn modelId="{8C643970-61A0-4A64-B08F-3DD12E84C04A}" type="presParOf" srcId="{920F5C48-596D-4B8B-81AA-6DC8ED094AEE}" destId="{0AFFB393-1230-41D1-B51C-5A12A84A5D5B}" srcOrd="2" destOrd="0" presId="urn:microsoft.com/office/officeart/2005/8/layout/pList2"/>
    <dgm:cxn modelId="{8D43005D-0196-4650-9BB1-19D5E2993713}" type="presParOf" srcId="{0AFFB393-1230-41D1-B51C-5A12A84A5D5B}" destId="{923D6E06-EED9-47D9-8E83-5634DA3BC245}" srcOrd="0" destOrd="0" presId="urn:microsoft.com/office/officeart/2005/8/layout/pList2"/>
    <dgm:cxn modelId="{1E8D2317-C1AB-4209-AC9A-14D776D47702}" type="presParOf" srcId="{0AFFB393-1230-41D1-B51C-5A12A84A5D5B}" destId="{DE239AAB-E6B4-468A-979C-D3CBEB450DC3}" srcOrd="1" destOrd="0" presId="urn:microsoft.com/office/officeart/2005/8/layout/pList2"/>
    <dgm:cxn modelId="{30CDC6EB-3AFC-4B29-A671-83026F50F666}" type="presParOf" srcId="{0AFFB393-1230-41D1-B51C-5A12A84A5D5B}" destId="{078D9C69-D8E9-4837-B985-08AA1867E3E0}" srcOrd="2" destOrd="0" presId="urn:microsoft.com/office/officeart/2005/8/layout/pList2"/>
    <dgm:cxn modelId="{5CE800C8-E7AC-468A-9375-7FA8DA941D18}" type="presParOf" srcId="{920F5C48-596D-4B8B-81AA-6DC8ED094AEE}" destId="{578B516C-8B88-47C1-8BEB-20AF0B5997B7}" srcOrd="3" destOrd="0" presId="urn:microsoft.com/office/officeart/2005/8/layout/pList2"/>
    <dgm:cxn modelId="{1A4CA219-A9D5-42BC-A026-22C5618E147C}" type="presParOf" srcId="{920F5C48-596D-4B8B-81AA-6DC8ED094AEE}" destId="{4A4A612D-251D-4C56-A2B8-C86CF7DFEE4E}" srcOrd="4" destOrd="0" presId="urn:microsoft.com/office/officeart/2005/8/layout/pList2"/>
    <dgm:cxn modelId="{32CFB32A-E487-4877-AF7D-3DE096EE9188}" type="presParOf" srcId="{4A4A612D-251D-4C56-A2B8-C86CF7DFEE4E}" destId="{580ACDD2-0193-4627-BBD6-94789DF54E42}" srcOrd="0" destOrd="0" presId="urn:microsoft.com/office/officeart/2005/8/layout/pList2"/>
    <dgm:cxn modelId="{40C238E0-3EE8-4711-8454-D19F83DC455C}" type="presParOf" srcId="{4A4A612D-251D-4C56-A2B8-C86CF7DFEE4E}" destId="{1137ACD6-B911-488B-94AA-1B0EF189AF7E}" srcOrd="1" destOrd="0" presId="urn:microsoft.com/office/officeart/2005/8/layout/pList2"/>
    <dgm:cxn modelId="{743152CC-6FB9-41A3-A4D4-CEB96A295DF1}" type="presParOf" srcId="{4A4A612D-251D-4C56-A2B8-C86CF7DFEE4E}" destId="{4A9C3D27-19FE-4D6E-8541-D10240BE70E3}" srcOrd="2" destOrd="0" presId="urn:microsoft.com/office/officeart/2005/8/layout/pList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73FC78F-6522-45C9-BC5B-0E1DB572AF1D}" type="doc">
      <dgm:prSet loTypeId="urn:microsoft.com/office/officeart/2005/8/layout/pList2" loCatId="list" qsTypeId="urn:microsoft.com/office/officeart/2005/8/quickstyle/simple1" qsCatId="simple" csTypeId="urn:microsoft.com/office/officeart/2005/8/colors/accent1_2" csCatId="accent1" phldr="1"/>
      <dgm:spPr/>
    </dgm:pt>
    <dgm:pt modelId="{A2C36A9A-1A9F-49B0-8E92-93F2F6264777}">
      <dgm:prSet phldrT="[Text]" custT="1"/>
      <dgm:spPr/>
      <dgm:t>
        <a:bodyPr/>
        <a:lstStyle/>
        <a:p>
          <a:pPr>
            <a:buNone/>
          </a:pPr>
          <a:r>
            <a:rPr lang="en-GB" sz="800" b="1">
              <a:latin typeface="Arial" panose="020B0604020202020204" pitchFamily="34" charset="0"/>
              <a:cs typeface="Arial" panose="020B0604020202020204" pitchFamily="34" charset="0"/>
            </a:rPr>
            <a:t>6. Current Policy and Service Provision</a:t>
          </a:r>
        </a:p>
        <a:p>
          <a:pPr>
            <a:buNone/>
          </a:pPr>
          <a:r>
            <a:rPr lang="en-GB" sz="800">
              <a:latin typeface="Arial" panose="020B0604020202020204" pitchFamily="34" charset="0"/>
              <a:cs typeface="Arial" panose="020B0604020202020204" pitchFamily="34" charset="0"/>
            </a:rPr>
            <a:t>The NHS Long Term Plan (2019–2025) promotes mental health, concentrating on early intervention and community-based services (NHS England, 2019).</a:t>
          </a: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>
              <a:latin typeface="Arial" panose="020B0604020202020204" pitchFamily="34" charset="0"/>
              <a:cs typeface="Arial" panose="020B0604020202020204" pitchFamily="34" charset="0"/>
            </a:rPr>
            <a:t>The Equality Act 2010 safeguards individuals with depression from discrimination in employment and services.</a:t>
          </a: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>
              <a:latin typeface="Arial" panose="020B0604020202020204" pitchFamily="34" charset="0"/>
              <a:cs typeface="Arial" panose="020B0604020202020204" pitchFamily="34" charset="0"/>
            </a:rPr>
            <a:t>The 2022 guidelines from NICE offer revised, evidence-based treatment recommendations (NICE, 2022).</a:t>
          </a: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>
              <a:latin typeface="Arial" panose="020B0604020202020204" pitchFamily="34" charset="0"/>
              <a:cs typeface="Arial" panose="020B0604020202020204" pitchFamily="34" charset="0"/>
            </a:rPr>
            <a:t>The COVID-19 pandemic resulted in heightened investment in mental health services due to an increase in prevalence (WHO, 2022</a:t>
          </a:r>
          <a:r>
            <a:rPr lang="en-GB" sz="800"/>
            <a:t>).</a:t>
          </a:r>
          <a:endParaRPr lang="en-GB" sz="800" b="1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12C12C00-B9DD-4377-BD89-A3962398C61D}" type="parTrans" cxnId="{8B4E19FA-AE48-4D97-B40C-6C1D85222998}">
      <dgm:prSet/>
      <dgm:spPr/>
      <dgm:t>
        <a:bodyPr/>
        <a:lstStyle/>
        <a:p>
          <a:endParaRPr lang="en-GB"/>
        </a:p>
      </dgm:t>
    </dgm:pt>
    <dgm:pt modelId="{78D0CB7B-4FB2-4423-A6FD-0463CF5E3202}" type="sibTrans" cxnId="{8B4E19FA-AE48-4D97-B40C-6C1D85222998}">
      <dgm:prSet/>
      <dgm:spPr/>
      <dgm:t>
        <a:bodyPr/>
        <a:lstStyle/>
        <a:p>
          <a:endParaRPr lang="en-GB"/>
        </a:p>
      </dgm:t>
    </dgm:pt>
    <dgm:pt modelId="{3845286D-49C6-4A46-9932-EBFE97A051FC}">
      <dgm:prSet phldrT="[Text]" custT="1"/>
      <dgm:spPr/>
      <dgm:t>
        <a:bodyPr/>
        <a:lstStyle/>
        <a:p>
          <a:pPr>
            <a:buNone/>
          </a:pPr>
          <a:r>
            <a:rPr lang="en-GB" sz="800" b="1">
              <a:latin typeface="Arial" panose="020B0604020202020204" pitchFamily="34" charset="0"/>
              <a:cs typeface="Arial" panose="020B0604020202020204" pitchFamily="34" charset="0"/>
            </a:rPr>
            <a:t>7. Future Recommendations for Practice</a:t>
          </a:r>
        </a:p>
        <a:p>
          <a:pPr>
            <a:buNone/>
          </a:pPr>
          <a:r>
            <a:rPr lang="en-GB" sz="800">
              <a:latin typeface="Arial" panose="020B0604020202020204" pitchFamily="34" charset="0"/>
              <a:cs typeface="Arial" panose="020B0604020202020204" pitchFamily="34" charset="0"/>
            </a:rPr>
            <a:t>Increase culturally aware and trauma-informed care (Kirmayer et al., 2017).</a:t>
          </a: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>
              <a:latin typeface="Arial" panose="020B0604020202020204" pitchFamily="34" charset="0"/>
              <a:cs typeface="Arial" panose="020B0604020202020204" pitchFamily="34" charset="0"/>
            </a:rPr>
            <a:t>Enhance accessibility to psychological therapy to diminish dependence on pharmacological treatments (NICE, 2022).</a:t>
          </a: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>
              <a:latin typeface="Arial" panose="020B0604020202020204" pitchFamily="34" charset="0"/>
              <a:cs typeface="Arial" panose="020B0604020202020204" pitchFamily="34" charset="0"/>
            </a:rPr>
            <a:t>Address social determinants including poverty, housing, and employment (NHS England, 2019).</a:t>
          </a: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>
              <a:latin typeface="Arial" panose="020B0604020202020204" pitchFamily="34" charset="0"/>
              <a:cs typeface="Arial" panose="020B0604020202020204" pitchFamily="34" charset="0"/>
            </a:rPr>
            <a:t>Enhance the regulation of digital mental health instruments to guarantee quality and safety (Hollis et al., 2020).</a:t>
          </a:r>
          <a:endParaRPr lang="en-GB" sz="800" b="1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C5BEA111-F787-4535-AF20-9B9F53CD7A44}" type="parTrans" cxnId="{AC969A04-63BC-4F44-B95A-425E2199DAC2}">
      <dgm:prSet/>
      <dgm:spPr/>
      <dgm:t>
        <a:bodyPr/>
        <a:lstStyle/>
        <a:p>
          <a:endParaRPr lang="en-GB"/>
        </a:p>
      </dgm:t>
    </dgm:pt>
    <dgm:pt modelId="{791ED4B4-4583-4B72-AB17-F349582A3610}" type="sibTrans" cxnId="{AC969A04-63BC-4F44-B95A-425E2199DAC2}">
      <dgm:prSet/>
      <dgm:spPr/>
      <dgm:t>
        <a:bodyPr/>
        <a:lstStyle/>
        <a:p>
          <a:endParaRPr lang="en-GB"/>
        </a:p>
      </dgm:t>
    </dgm:pt>
    <dgm:pt modelId="{3453CA11-7FF3-4242-9B99-95C05124F0AE}">
      <dgm:prSet custT="1"/>
      <dgm:spPr/>
      <dgm:t>
        <a:bodyPr/>
        <a:lstStyle/>
        <a:p>
          <a:r>
            <a:rPr lang="en-GB" sz="900">
              <a:latin typeface="Arial" panose="020B0604020202020204" pitchFamily="34" charset="0"/>
              <a:cs typeface="Arial" panose="020B0604020202020204" pitchFamily="34" charset="0"/>
            </a:rPr>
            <a:t>8 Conclusions </a:t>
          </a:r>
        </a:p>
        <a:p>
          <a:r>
            <a:rPr lang="en-GB" sz="900"/>
            <a:t>Depression has been recognised and addressed in significantly diverse manners throughout history.</a:t>
          </a:r>
          <a:br>
            <a:rPr lang="en-GB" sz="900"/>
          </a:br>
          <a:br>
            <a:rPr lang="en-GB" sz="900"/>
          </a:br>
          <a:r>
            <a:rPr lang="en-GB" sz="900"/>
            <a:t>Modern approaches are more grounded in statistical data and focused on the individual.</a:t>
          </a:r>
          <a:br>
            <a:rPr lang="en-GB" sz="900"/>
          </a:br>
          <a:br>
            <a:rPr lang="en-GB" sz="900"/>
          </a:br>
          <a:r>
            <a:rPr lang="en-GB" sz="900"/>
            <a:t>Nonetheless, disparities persist, necessitating ongoing policy advancement and investment (NHS England, 2019; WHO, 2022).</a:t>
          </a:r>
          <a:endParaRPr lang="en-GB" sz="800">
            <a:latin typeface="Arial" panose="020B0604020202020204" pitchFamily="34" charset="0"/>
            <a:cs typeface="Arial" panose="020B0604020202020204" pitchFamily="34" charset="0"/>
          </a:endParaRPr>
        </a:p>
      </dgm:t>
    </dgm:pt>
    <dgm:pt modelId="{B39662D0-2FA9-4932-86BA-966DA40246C3}" type="parTrans" cxnId="{101A8683-7EDE-4B56-B466-821752403221}">
      <dgm:prSet/>
      <dgm:spPr/>
      <dgm:t>
        <a:bodyPr/>
        <a:lstStyle/>
        <a:p>
          <a:endParaRPr lang="en-GB"/>
        </a:p>
      </dgm:t>
    </dgm:pt>
    <dgm:pt modelId="{1D063970-2D9D-4B98-8FDF-7A8DDB6FE681}" type="sibTrans" cxnId="{101A8683-7EDE-4B56-B466-821752403221}">
      <dgm:prSet/>
      <dgm:spPr/>
      <dgm:t>
        <a:bodyPr/>
        <a:lstStyle/>
        <a:p>
          <a:endParaRPr lang="en-GB"/>
        </a:p>
      </dgm:t>
    </dgm:pt>
    <dgm:pt modelId="{C02D5F31-E6EC-49A4-AE8C-DAAF9366AD99}" type="pres">
      <dgm:prSet presAssocID="{773FC78F-6522-45C9-BC5B-0E1DB572AF1D}" presName="Name0" presStyleCnt="0">
        <dgm:presLayoutVars>
          <dgm:dir/>
          <dgm:resizeHandles val="exact"/>
        </dgm:presLayoutVars>
      </dgm:prSet>
      <dgm:spPr/>
    </dgm:pt>
    <dgm:pt modelId="{905A4A73-E1E6-483E-B568-465329D88E85}" type="pres">
      <dgm:prSet presAssocID="{773FC78F-6522-45C9-BC5B-0E1DB572AF1D}" presName="bkgdShp" presStyleLbl="alignAccFollowNode1" presStyleIdx="0" presStyleCnt="1"/>
      <dgm:spPr/>
    </dgm:pt>
    <dgm:pt modelId="{D6864F00-BBA4-4AD7-BDEC-234C94BB6877}" type="pres">
      <dgm:prSet presAssocID="{773FC78F-6522-45C9-BC5B-0E1DB572AF1D}" presName="linComp" presStyleCnt="0"/>
      <dgm:spPr/>
    </dgm:pt>
    <dgm:pt modelId="{A1D4A267-6F12-4BC2-8C0A-5E9B6E1D1C77}" type="pres">
      <dgm:prSet presAssocID="{A2C36A9A-1A9F-49B0-8E92-93F2F6264777}" presName="compNode" presStyleCnt="0"/>
      <dgm:spPr/>
    </dgm:pt>
    <dgm:pt modelId="{9F8B447B-4781-472D-96FA-C4E7DA9F7043}" type="pres">
      <dgm:prSet presAssocID="{A2C36A9A-1A9F-49B0-8E92-93F2F6264777}" presName="node" presStyleLbl="node1" presStyleIdx="0" presStyleCnt="3" custLinFactNeighborX="3782" custLinFactNeighborY="-227">
        <dgm:presLayoutVars>
          <dgm:bulletEnabled val="1"/>
        </dgm:presLayoutVars>
      </dgm:prSet>
      <dgm:spPr/>
    </dgm:pt>
    <dgm:pt modelId="{F0ABA226-54E0-432E-94B7-E3308728D490}" type="pres">
      <dgm:prSet presAssocID="{A2C36A9A-1A9F-49B0-8E92-93F2F6264777}" presName="invisiNode" presStyleLbl="node1" presStyleIdx="0" presStyleCnt="3"/>
      <dgm:spPr/>
    </dgm:pt>
    <dgm:pt modelId="{525AB028-742B-44EE-848B-35BA33175A25}" type="pres">
      <dgm:prSet presAssocID="{A2C36A9A-1A9F-49B0-8E92-93F2F6264777}" presName="imagNode" presStyleLbl="fgImgPlace1" presStyleIdx="0" presStyleCnt="3"/>
      <dgm:spPr>
        <a:blipFill>
          <a:blip xmlns:r="http://schemas.openxmlformats.org/officeDocument/2006/relationships" r:embed="rId1"/>
          <a:srcRect/>
          <a:stretch>
            <a:fillRect l="-44000" r="-44000"/>
          </a:stretch>
        </a:blipFill>
      </dgm:spPr>
      <dgm:extLst>
        <a:ext uri="{E40237B7-FDA0-4F09-8148-C483321AD2D9}">
          <dgm14:cNvPr xmlns:dgm14="http://schemas.microsoft.com/office/drawing/2010/diagram" id="0" name="" descr="Law books section in library"/>
        </a:ext>
      </dgm:extLst>
    </dgm:pt>
    <dgm:pt modelId="{E9132AF7-B723-4E66-82AC-BF08E7EFACDA}" type="pres">
      <dgm:prSet presAssocID="{78D0CB7B-4FB2-4423-A6FD-0463CF5E3202}" presName="sibTrans" presStyleLbl="sibTrans2D1" presStyleIdx="0" presStyleCnt="0"/>
      <dgm:spPr/>
    </dgm:pt>
    <dgm:pt modelId="{17376FA7-A922-43DD-8BD2-B2B15034D3EE}" type="pres">
      <dgm:prSet presAssocID="{3845286D-49C6-4A46-9932-EBFE97A051FC}" presName="compNode" presStyleCnt="0"/>
      <dgm:spPr/>
    </dgm:pt>
    <dgm:pt modelId="{1FC0E73A-BE71-4F8D-9F4F-BEAAEFD2ACAB}" type="pres">
      <dgm:prSet presAssocID="{3845286D-49C6-4A46-9932-EBFE97A051FC}" presName="node" presStyleLbl="node1" presStyleIdx="1" presStyleCnt="3" custLinFactNeighborX="-473" custLinFactNeighborY="-681">
        <dgm:presLayoutVars>
          <dgm:bulletEnabled val="1"/>
        </dgm:presLayoutVars>
      </dgm:prSet>
      <dgm:spPr/>
    </dgm:pt>
    <dgm:pt modelId="{EE5F0371-1688-4E8D-A667-2E9A2B9D8D97}" type="pres">
      <dgm:prSet presAssocID="{3845286D-49C6-4A46-9932-EBFE97A051FC}" presName="invisiNode" presStyleLbl="node1" presStyleIdx="1" presStyleCnt="3"/>
      <dgm:spPr/>
    </dgm:pt>
    <dgm:pt modelId="{C7F40352-2E30-4F7B-B80D-239D653AF74F}" type="pres">
      <dgm:prSet presAssocID="{3845286D-49C6-4A46-9932-EBFE97A051FC}" presName="imagNode" presStyleLbl="fgImgPlace1" presStyleIdx="1" presStyleCnt="3"/>
      <dgm:spPr>
        <a:blipFill>
          <a:blip xmlns:r="http://schemas.openxmlformats.org/officeDocument/2006/relationships" r:embed="rId2"/>
          <a:srcRect/>
          <a:stretch>
            <a:fillRect l="-44000" r="-44000"/>
          </a:stretch>
        </a:blipFill>
      </dgm:spPr>
      <dgm:extLst>
        <a:ext uri="{E40237B7-FDA0-4F09-8148-C483321AD2D9}">
          <dgm14:cNvPr xmlns:dgm14="http://schemas.microsoft.com/office/drawing/2010/diagram" id="0" name="" descr="Statue on top of building"/>
        </a:ext>
      </dgm:extLst>
    </dgm:pt>
    <dgm:pt modelId="{ABCB9E21-CA1C-4626-BC22-8EC6040BCA2F}" type="pres">
      <dgm:prSet presAssocID="{791ED4B4-4583-4B72-AB17-F349582A3610}" presName="sibTrans" presStyleLbl="sibTrans2D1" presStyleIdx="0" presStyleCnt="0"/>
      <dgm:spPr/>
    </dgm:pt>
    <dgm:pt modelId="{516C9865-D3F9-4731-9307-C9EBDFD099F7}" type="pres">
      <dgm:prSet presAssocID="{3453CA11-7FF3-4242-9B99-95C05124F0AE}" presName="compNode" presStyleCnt="0"/>
      <dgm:spPr/>
    </dgm:pt>
    <dgm:pt modelId="{83E2DDB3-CEF1-4D1E-A48B-D6BBB1587BC8}" type="pres">
      <dgm:prSet presAssocID="{3453CA11-7FF3-4242-9B99-95C05124F0AE}" presName="node" presStyleLbl="node1" presStyleIdx="2" presStyleCnt="3" custLinFactNeighborX="2364" custLinFactNeighborY="908">
        <dgm:presLayoutVars>
          <dgm:bulletEnabled val="1"/>
        </dgm:presLayoutVars>
      </dgm:prSet>
      <dgm:spPr/>
    </dgm:pt>
    <dgm:pt modelId="{F3389C26-FCA7-4445-8B32-CB99F5596925}" type="pres">
      <dgm:prSet presAssocID="{3453CA11-7FF3-4242-9B99-95C05124F0AE}" presName="invisiNode" presStyleLbl="node1" presStyleIdx="2" presStyleCnt="3"/>
      <dgm:spPr/>
    </dgm:pt>
    <dgm:pt modelId="{8E5B1FD5-4E95-4962-8AA5-32D65006D4D3}" type="pres">
      <dgm:prSet presAssocID="{3453CA11-7FF3-4242-9B99-95C05124F0AE}" presName="imagNode" presStyleLbl="fgImgPlace1" presStyleIdx="2" presStyleCnt="3"/>
      <dgm:spPr>
        <a:blipFill>
          <a:blip xmlns:r="http://schemas.openxmlformats.org/officeDocument/2006/relationships" r:embed="rId3"/>
          <a:srcRect/>
          <a:stretch>
            <a:fillRect l="-44000" r="-44000"/>
          </a:stretch>
        </a:blipFill>
      </dgm:spPr>
      <dgm:extLst>
        <a:ext uri="{E40237B7-FDA0-4F09-8148-C483321AD2D9}">
          <dgm14:cNvPr xmlns:dgm14="http://schemas.microsoft.com/office/drawing/2010/diagram" id="0" name="" descr="Smiley face sticky notes"/>
        </a:ext>
      </dgm:extLst>
    </dgm:pt>
  </dgm:ptLst>
  <dgm:cxnLst>
    <dgm:cxn modelId="{AC969A04-63BC-4F44-B95A-425E2199DAC2}" srcId="{773FC78F-6522-45C9-BC5B-0E1DB572AF1D}" destId="{3845286D-49C6-4A46-9932-EBFE97A051FC}" srcOrd="1" destOrd="0" parTransId="{C5BEA111-F787-4535-AF20-9B9F53CD7A44}" sibTransId="{791ED4B4-4583-4B72-AB17-F349582A3610}"/>
    <dgm:cxn modelId="{15508064-C0D2-4AA8-9D66-B896C5D773F4}" type="presOf" srcId="{3453CA11-7FF3-4242-9B99-95C05124F0AE}" destId="{83E2DDB3-CEF1-4D1E-A48B-D6BBB1587BC8}" srcOrd="0" destOrd="0" presId="urn:microsoft.com/office/officeart/2005/8/layout/pList2"/>
    <dgm:cxn modelId="{9BFD1145-513D-4598-8EE9-709A18D04F02}" type="presOf" srcId="{3845286D-49C6-4A46-9932-EBFE97A051FC}" destId="{1FC0E73A-BE71-4F8D-9F4F-BEAAEFD2ACAB}" srcOrd="0" destOrd="0" presId="urn:microsoft.com/office/officeart/2005/8/layout/pList2"/>
    <dgm:cxn modelId="{FA14A068-B366-46F1-B505-EA70C79B9841}" type="presOf" srcId="{791ED4B4-4583-4B72-AB17-F349582A3610}" destId="{ABCB9E21-CA1C-4626-BC22-8EC6040BCA2F}" srcOrd="0" destOrd="0" presId="urn:microsoft.com/office/officeart/2005/8/layout/pList2"/>
    <dgm:cxn modelId="{101A8683-7EDE-4B56-B466-821752403221}" srcId="{773FC78F-6522-45C9-BC5B-0E1DB572AF1D}" destId="{3453CA11-7FF3-4242-9B99-95C05124F0AE}" srcOrd="2" destOrd="0" parTransId="{B39662D0-2FA9-4932-86BA-966DA40246C3}" sibTransId="{1D063970-2D9D-4B98-8FDF-7A8DDB6FE681}"/>
    <dgm:cxn modelId="{81652C9C-00FC-4B06-8A80-6440B62980B7}" type="presOf" srcId="{78D0CB7B-4FB2-4423-A6FD-0463CF5E3202}" destId="{E9132AF7-B723-4E66-82AC-BF08E7EFACDA}" srcOrd="0" destOrd="0" presId="urn:microsoft.com/office/officeart/2005/8/layout/pList2"/>
    <dgm:cxn modelId="{9238B99E-578E-4EF0-AE84-23B84F4AC865}" type="presOf" srcId="{773FC78F-6522-45C9-BC5B-0E1DB572AF1D}" destId="{C02D5F31-E6EC-49A4-AE8C-DAAF9366AD99}" srcOrd="0" destOrd="0" presId="urn:microsoft.com/office/officeart/2005/8/layout/pList2"/>
    <dgm:cxn modelId="{77BAE5A6-336A-4FF5-9BA5-28FB61324CAC}" type="presOf" srcId="{A2C36A9A-1A9F-49B0-8E92-93F2F6264777}" destId="{9F8B447B-4781-472D-96FA-C4E7DA9F7043}" srcOrd="0" destOrd="0" presId="urn:microsoft.com/office/officeart/2005/8/layout/pList2"/>
    <dgm:cxn modelId="{8B4E19FA-AE48-4D97-B40C-6C1D85222998}" srcId="{773FC78F-6522-45C9-BC5B-0E1DB572AF1D}" destId="{A2C36A9A-1A9F-49B0-8E92-93F2F6264777}" srcOrd="0" destOrd="0" parTransId="{12C12C00-B9DD-4377-BD89-A3962398C61D}" sibTransId="{78D0CB7B-4FB2-4423-A6FD-0463CF5E3202}"/>
    <dgm:cxn modelId="{FAFE067B-2D29-4A43-B651-A49F1EC89E63}" type="presParOf" srcId="{C02D5F31-E6EC-49A4-AE8C-DAAF9366AD99}" destId="{905A4A73-E1E6-483E-B568-465329D88E85}" srcOrd="0" destOrd="0" presId="urn:microsoft.com/office/officeart/2005/8/layout/pList2"/>
    <dgm:cxn modelId="{340B0339-DD81-48BD-9C4D-D2FA462226CC}" type="presParOf" srcId="{C02D5F31-E6EC-49A4-AE8C-DAAF9366AD99}" destId="{D6864F00-BBA4-4AD7-BDEC-234C94BB6877}" srcOrd="1" destOrd="0" presId="urn:microsoft.com/office/officeart/2005/8/layout/pList2"/>
    <dgm:cxn modelId="{83EFFCB9-9905-46BC-AF1A-FD76B78CD049}" type="presParOf" srcId="{D6864F00-BBA4-4AD7-BDEC-234C94BB6877}" destId="{A1D4A267-6F12-4BC2-8C0A-5E9B6E1D1C77}" srcOrd="0" destOrd="0" presId="urn:microsoft.com/office/officeart/2005/8/layout/pList2"/>
    <dgm:cxn modelId="{DE1021EB-DCDC-4B07-B6E4-8199D67B3A88}" type="presParOf" srcId="{A1D4A267-6F12-4BC2-8C0A-5E9B6E1D1C77}" destId="{9F8B447B-4781-472D-96FA-C4E7DA9F7043}" srcOrd="0" destOrd="0" presId="urn:microsoft.com/office/officeart/2005/8/layout/pList2"/>
    <dgm:cxn modelId="{4199596B-3522-4E4B-BB87-5DA936FDAAEF}" type="presParOf" srcId="{A1D4A267-6F12-4BC2-8C0A-5E9B6E1D1C77}" destId="{F0ABA226-54E0-432E-94B7-E3308728D490}" srcOrd="1" destOrd="0" presId="urn:microsoft.com/office/officeart/2005/8/layout/pList2"/>
    <dgm:cxn modelId="{DF34908E-A6E7-45E8-8E1B-AF28F0102472}" type="presParOf" srcId="{A1D4A267-6F12-4BC2-8C0A-5E9B6E1D1C77}" destId="{525AB028-742B-44EE-848B-35BA33175A25}" srcOrd="2" destOrd="0" presId="urn:microsoft.com/office/officeart/2005/8/layout/pList2"/>
    <dgm:cxn modelId="{84B37E9A-C133-417C-A0B4-59440F1E0D2D}" type="presParOf" srcId="{D6864F00-BBA4-4AD7-BDEC-234C94BB6877}" destId="{E9132AF7-B723-4E66-82AC-BF08E7EFACDA}" srcOrd="1" destOrd="0" presId="urn:microsoft.com/office/officeart/2005/8/layout/pList2"/>
    <dgm:cxn modelId="{721B5606-EC3E-4A07-8822-3BEBCAC9D233}" type="presParOf" srcId="{D6864F00-BBA4-4AD7-BDEC-234C94BB6877}" destId="{17376FA7-A922-43DD-8BD2-B2B15034D3EE}" srcOrd="2" destOrd="0" presId="urn:microsoft.com/office/officeart/2005/8/layout/pList2"/>
    <dgm:cxn modelId="{E09521CA-45D9-4DF6-9365-2863BA85EDD6}" type="presParOf" srcId="{17376FA7-A922-43DD-8BD2-B2B15034D3EE}" destId="{1FC0E73A-BE71-4F8D-9F4F-BEAAEFD2ACAB}" srcOrd="0" destOrd="0" presId="urn:microsoft.com/office/officeart/2005/8/layout/pList2"/>
    <dgm:cxn modelId="{434066A3-D848-464A-BF96-A51579C2EDEB}" type="presParOf" srcId="{17376FA7-A922-43DD-8BD2-B2B15034D3EE}" destId="{EE5F0371-1688-4E8D-A667-2E9A2B9D8D97}" srcOrd="1" destOrd="0" presId="urn:microsoft.com/office/officeart/2005/8/layout/pList2"/>
    <dgm:cxn modelId="{8867F434-265E-492E-B31C-6C3F666EE5B2}" type="presParOf" srcId="{17376FA7-A922-43DD-8BD2-B2B15034D3EE}" destId="{C7F40352-2E30-4F7B-B80D-239D653AF74F}" srcOrd="2" destOrd="0" presId="urn:microsoft.com/office/officeart/2005/8/layout/pList2"/>
    <dgm:cxn modelId="{7FA7535C-F746-4D8A-BA5B-EFFA75D4DEFA}" type="presParOf" srcId="{D6864F00-BBA4-4AD7-BDEC-234C94BB6877}" destId="{ABCB9E21-CA1C-4626-BC22-8EC6040BCA2F}" srcOrd="3" destOrd="0" presId="urn:microsoft.com/office/officeart/2005/8/layout/pList2"/>
    <dgm:cxn modelId="{9CF2A20B-B4F4-43E4-A14B-E54AFE90503B}" type="presParOf" srcId="{D6864F00-BBA4-4AD7-BDEC-234C94BB6877}" destId="{516C9865-D3F9-4731-9307-C9EBDFD099F7}" srcOrd="4" destOrd="0" presId="urn:microsoft.com/office/officeart/2005/8/layout/pList2"/>
    <dgm:cxn modelId="{9E4AF523-ECAD-48A3-AA7E-9383FF1680DC}" type="presParOf" srcId="{516C9865-D3F9-4731-9307-C9EBDFD099F7}" destId="{83E2DDB3-CEF1-4D1E-A48B-D6BBB1587BC8}" srcOrd="0" destOrd="0" presId="urn:microsoft.com/office/officeart/2005/8/layout/pList2"/>
    <dgm:cxn modelId="{B2E33DEE-9357-4FFE-808F-CB4063C7E004}" type="presParOf" srcId="{516C9865-D3F9-4731-9307-C9EBDFD099F7}" destId="{F3389C26-FCA7-4445-8B32-CB99F5596925}" srcOrd="1" destOrd="0" presId="urn:microsoft.com/office/officeart/2005/8/layout/pList2"/>
    <dgm:cxn modelId="{B28B7C2E-0995-45D2-9FD6-B72FF0545772}" type="presParOf" srcId="{516C9865-D3F9-4731-9307-C9EBDFD099F7}" destId="{8E5B1FD5-4E95-4962-8AA5-32D65006D4D3}" srcOrd="2" destOrd="0" presId="urn:microsoft.com/office/officeart/2005/8/layout/pList2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E0A3E6-1EE2-4E77-B4CA-2C4FB150FEDF}">
      <dsp:nvSpPr>
        <dsp:cNvPr id="0" name=""/>
        <dsp:cNvSpPr/>
      </dsp:nvSpPr>
      <dsp:spPr>
        <a:xfrm flipV="1">
          <a:off x="0" y="1265319"/>
          <a:ext cx="5486400" cy="1060090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99B8F12-3EB8-4553-BD12-9E74B223B739}">
      <dsp:nvSpPr>
        <dsp:cNvPr id="0" name=""/>
        <dsp:cNvSpPr/>
      </dsp:nvSpPr>
      <dsp:spPr>
        <a:xfrm>
          <a:off x="164592" y="465886"/>
          <a:ext cx="1611630" cy="2562377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1"/>
          <a:srcRect/>
          <a:stretch>
            <a:fillRect t="-1000" b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E7D7B18-7CB2-4189-BEFE-5E5BD656146D}">
      <dsp:nvSpPr>
        <dsp:cNvPr id="0" name=""/>
        <dsp:cNvSpPr/>
      </dsp:nvSpPr>
      <dsp:spPr>
        <a:xfrm rot="10800000">
          <a:off x="164592" y="3494151"/>
          <a:ext cx="1611630" cy="4270629"/>
        </a:xfrm>
        <a:prstGeom prst="round2SameRect">
          <a:avLst>
            <a:gd name="adj1" fmla="val 10500"/>
            <a:gd name="adj2" fmla="val 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kern="1200">
              <a:latin typeface="Arial" panose="020B0604020202020204" pitchFamily="34" charset="0"/>
              <a:cs typeface="Arial" panose="020B0604020202020204" pitchFamily="34" charset="0"/>
            </a:rPr>
            <a:t>Definition of Depression (ICD-11)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Depressive Disorder in ICD-11 is defined as a prolonged low mood and/or significantly reduced interest or pleasure, accompanied by symptoms including diminished energy, sleep disturbances, feelings of guilt or worthlessness, impaired attention, and suicide thinking (WHO, 2019). Depression is a primary contributor to global disability (WHO, 2022</a:t>
          </a:r>
          <a:r>
            <a:rPr lang="en-GB" sz="900" kern="1200"/>
            <a:t>).</a:t>
          </a:r>
          <a:endParaRPr lang="en-GB" sz="9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214155" y="3494151"/>
        <a:ext cx="1512504" cy="4221066"/>
      </dsp:txXfrm>
    </dsp:sp>
    <dsp:sp modelId="{078D9C69-D8E9-4837-B985-08AA1867E3E0}">
      <dsp:nvSpPr>
        <dsp:cNvPr id="0" name=""/>
        <dsp:cNvSpPr/>
      </dsp:nvSpPr>
      <dsp:spPr>
        <a:xfrm>
          <a:off x="1853564" y="473932"/>
          <a:ext cx="1611630" cy="2562377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2"/>
          <a:srcRect/>
          <a:stretch>
            <a:fillRect t="-1000" b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23D6E06-EED9-47D9-8E83-5634DA3BC245}">
      <dsp:nvSpPr>
        <dsp:cNvPr id="0" name=""/>
        <dsp:cNvSpPr/>
      </dsp:nvSpPr>
      <dsp:spPr>
        <a:xfrm rot="10800000">
          <a:off x="1937385" y="3494151"/>
          <a:ext cx="1611630" cy="4270629"/>
        </a:xfrm>
        <a:prstGeom prst="round2SameRect">
          <a:avLst>
            <a:gd name="adj1" fmla="val 10500"/>
            <a:gd name="adj2" fmla="val 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2</a:t>
          </a:r>
          <a:r>
            <a:rPr lang="en-GB" sz="900" b="1" kern="1200">
              <a:latin typeface="Arial" panose="020B0604020202020204" pitchFamily="34" charset="0"/>
              <a:cs typeface="Arial" panose="020B0604020202020204" pitchFamily="34" charset="0"/>
            </a:rPr>
            <a:t>. Historical Approaches to Treating Depression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Initial interpretations, such as melancholia, were founded on humoral theory and lacked empirical support (Albert, 2015).</a:t>
          </a:r>
          <a:b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Institutionalisation persisted from the 18th to the 20th centuries, frequently leading to inadequate circumstances and restricted therapeutic efficacy (Kirmayer et al., 2017).</a:t>
          </a:r>
          <a:b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Biological treatments from the mid-20th century, including ECT, MAOIs, and tricyclics, represented a key development but also raised ethical dilemmas (Miller &amp; Raison, 2016).</a:t>
          </a:r>
        </a:p>
      </dsp:txBody>
      <dsp:txXfrm rot="10800000">
        <a:off x="1986948" y="3494151"/>
        <a:ext cx="1512504" cy="4221066"/>
      </dsp:txXfrm>
    </dsp:sp>
    <dsp:sp modelId="{4A9C3D27-19FE-4D6E-8541-D10240BE70E3}">
      <dsp:nvSpPr>
        <dsp:cNvPr id="0" name=""/>
        <dsp:cNvSpPr/>
      </dsp:nvSpPr>
      <dsp:spPr>
        <a:xfrm>
          <a:off x="3679702" y="465886"/>
          <a:ext cx="1611630" cy="2562377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3"/>
          <a:srcRect/>
          <a:stretch>
            <a:fillRect l="-63000" r="-63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80ACDD2-0193-4627-BBD6-94789DF54E42}">
      <dsp:nvSpPr>
        <dsp:cNvPr id="0" name=""/>
        <dsp:cNvSpPr/>
      </dsp:nvSpPr>
      <dsp:spPr>
        <a:xfrm rot="10800000">
          <a:off x="3710178" y="3472242"/>
          <a:ext cx="1611630" cy="4270629"/>
        </a:xfrm>
        <a:prstGeom prst="round2SameRect">
          <a:avLst>
            <a:gd name="adj1" fmla="val 10500"/>
            <a:gd name="adj2" fmla="val 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3</a:t>
          </a:r>
          <a:r>
            <a:rPr lang="en-GB" sz="900" b="1" kern="1200">
              <a:latin typeface="Arial" panose="020B0604020202020204" pitchFamily="34" charset="0"/>
              <a:cs typeface="Arial" panose="020B0604020202020204" pitchFamily="34" charset="0"/>
            </a:rPr>
            <a:t>.Contemporary Understanding and Treatment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Contemporary treatment include pharmacological alternatives, such SSRIs and SNRIs, alongside the introduction of esketamine for treatment-resistant depression (Daly et al., 2019).</a:t>
          </a:r>
          <a:br>
            <a:rPr lang="en-GB" sz="900" kern="1200"/>
          </a:br>
          <a:br>
            <a:rPr lang="en-GB" sz="900" kern="1200"/>
          </a:br>
          <a:r>
            <a:rPr lang="en-GB" sz="900" kern="1200"/>
            <a:t>Psychological therapies, including cognitive behavioural therapy (CBT) and mindfulness-based methods, continue to be the primary treatments (NICE, 2022).</a:t>
          </a:r>
          <a:br>
            <a:rPr lang="en-GB" sz="900" kern="1200"/>
          </a:br>
          <a:br>
            <a:rPr lang="en-GB" sz="900" kern="1200"/>
          </a:br>
          <a:r>
            <a:rPr lang="en-GB" sz="900" kern="1200"/>
            <a:t>Digital mental health solutions developed during COVID-19, improving accessibility while eliciting fairness concerns (Hollis et al., 2020).</a:t>
          </a:r>
          <a:br>
            <a:rPr lang="en-GB" sz="900" kern="1200"/>
          </a:br>
          <a:br>
            <a:rPr lang="en-GB" sz="900" kern="1200"/>
          </a:br>
          <a:r>
            <a:rPr lang="en-GB" sz="900" kern="1200"/>
            <a:t>Research underscores the significance of inflammation and immunological dysregulation in depression (Miller &amp; Raison, 2016).</a:t>
          </a:r>
          <a:endParaRPr lang="en-GB" sz="900" b="1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759741" y="3472242"/>
        <a:ext cx="1512504" cy="422106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05A4A73-E1E6-483E-B568-465329D88E85}">
      <dsp:nvSpPr>
        <dsp:cNvPr id="0" name=""/>
        <dsp:cNvSpPr/>
      </dsp:nvSpPr>
      <dsp:spPr>
        <a:xfrm>
          <a:off x="0" y="0"/>
          <a:ext cx="5486400" cy="2746629"/>
        </a:xfrm>
        <a:prstGeom prst="roundRect">
          <a:avLst>
            <a:gd name="adj" fmla="val 10000"/>
          </a:avLst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25AB028-742B-44EE-848B-35BA33175A25}">
      <dsp:nvSpPr>
        <dsp:cNvPr id="0" name=""/>
        <dsp:cNvSpPr/>
      </dsp:nvSpPr>
      <dsp:spPr>
        <a:xfrm>
          <a:off x="164592" y="366217"/>
          <a:ext cx="1611630" cy="2014194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1"/>
          <a:srcRect/>
          <a:stretch>
            <a:fillRect l="-44000" r="-44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F8B447B-4781-472D-96FA-C4E7DA9F7043}">
      <dsp:nvSpPr>
        <dsp:cNvPr id="0" name=""/>
        <dsp:cNvSpPr/>
      </dsp:nvSpPr>
      <dsp:spPr>
        <a:xfrm rot="10800000">
          <a:off x="225543" y="2739008"/>
          <a:ext cx="1611630" cy="3356991"/>
        </a:xfrm>
        <a:prstGeom prst="round2SameRect">
          <a:avLst>
            <a:gd name="adj1" fmla="val 10500"/>
            <a:gd name="adj2" fmla="val 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t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>
              <a:latin typeface="Arial" panose="020B0604020202020204" pitchFamily="34" charset="0"/>
              <a:cs typeface="Arial" panose="020B0604020202020204" pitchFamily="34" charset="0"/>
            </a:rPr>
            <a:t>6. Current Policy and Service Provision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  <a:t>The NHS Long Term Plan (2019–2025) promotes mental health, concentrating on early intervention and community-based services (NHS England, 2019).</a:t>
          </a: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  <a:t>The Equality Act 2010 safeguards individuals with depression from discrimination in employment and services.</a:t>
          </a: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  <a:t>The 2022 guidelines from NICE offer revised, evidence-based treatment recommendations (NICE, 2022).</a:t>
          </a: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  <a:t>The COVID-19 pandemic resulted in heightened investment in mental health services due to an increase in prevalence (WHO, 2022</a:t>
          </a:r>
          <a:r>
            <a:rPr lang="en-GB" sz="800" kern="1200"/>
            <a:t>).</a:t>
          </a:r>
          <a:endParaRPr lang="en-GB" sz="800" b="1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275106" y="2739008"/>
        <a:ext cx="1512504" cy="3307428"/>
      </dsp:txXfrm>
    </dsp:sp>
    <dsp:sp modelId="{C7F40352-2E30-4F7B-B80D-239D653AF74F}">
      <dsp:nvSpPr>
        <dsp:cNvPr id="0" name=""/>
        <dsp:cNvSpPr/>
      </dsp:nvSpPr>
      <dsp:spPr>
        <a:xfrm>
          <a:off x="1937385" y="366217"/>
          <a:ext cx="1611630" cy="2014194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2"/>
          <a:srcRect/>
          <a:stretch>
            <a:fillRect l="-44000" r="-44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FC0E73A-BE71-4F8D-9F4F-BEAAEFD2ACAB}">
      <dsp:nvSpPr>
        <dsp:cNvPr id="0" name=""/>
        <dsp:cNvSpPr/>
      </dsp:nvSpPr>
      <dsp:spPr>
        <a:xfrm rot="10800000">
          <a:off x="1929761" y="2723767"/>
          <a:ext cx="1611630" cy="3356991"/>
        </a:xfrm>
        <a:prstGeom prst="round2SameRect">
          <a:avLst>
            <a:gd name="adj1" fmla="val 10500"/>
            <a:gd name="adj2" fmla="val 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896" tIns="56896" rIns="56896" bIns="56896" numCol="1" spcCol="1270" anchor="t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b="1" kern="1200">
              <a:latin typeface="Arial" panose="020B0604020202020204" pitchFamily="34" charset="0"/>
              <a:cs typeface="Arial" panose="020B0604020202020204" pitchFamily="34" charset="0"/>
            </a:rPr>
            <a:t>7. Future Recommendations for Practice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  <a:t>Increase culturally aware and trauma-informed care (Kirmayer et al., 2017).</a:t>
          </a: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  <a:t>Enhance accessibility to psychological therapy to diminish dependence on pharmacological treatments (NICE, 2022).</a:t>
          </a: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  <a:t>Address social determinants including poverty, housing, and employment (NHS England, 2019).</a:t>
          </a: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b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</a:br>
          <a:r>
            <a:rPr lang="en-GB" sz="800" kern="1200">
              <a:latin typeface="Arial" panose="020B0604020202020204" pitchFamily="34" charset="0"/>
              <a:cs typeface="Arial" panose="020B0604020202020204" pitchFamily="34" charset="0"/>
            </a:rPr>
            <a:t>Enhance the regulation of digital mental health instruments to guarantee quality and safety (Hollis et al., 2020).</a:t>
          </a:r>
          <a:endParaRPr lang="en-GB" sz="800" b="1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1979324" y="2723767"/>
        <a:ext cx="1512504" cy="3307428"/>
      </dsp:txXfrm>
    </dsp:sp>
    <dsp:sp modelId="{8E5B1FD5-4E95-4962-8AA5-32D65006D4D3}">
      <dsp:nvSpPr>
        <dsp:cNvPr id="0" name=""/>
        <dsp:cNvSpPr/>
      </dsp:nvSpPr>
      <dsp:spPr>
        <a:xfrm>
          <a:off x="3710178" y="366217"/>
          <a:ext cx="1611630" cy="2014194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3"/>
          <a:srcRect/>
          <a:stretch>
            <a:fillRect l="-44000" r="-44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3E2DDB3-CEF1-4D1E-A48B-D6BBB1587BC8}">
      <dsp:nvSpPr>
        <dsp:cNvPr id="0" name=""/>
        <dsp:cNvSpPr/>
      </dsp:nvSpPr>
      <dsp:spPr>
        <a:xfrm rot="10800000">
          <a:off x="3748276" y="2746628"/>
          <a:ext cx="1611630" cy="3356991"/>
        </a:xfrm>
        <a:prstGeom prst="round2SameRect">
          <a:avLst>
            <a:gd name="adj1" fmla="val 10500"/>
            <a:gd name="adj2" fmla="val 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64008" rIns="64008" bIns="64008" numCol="1" spcCol="1270" anchor="t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>
              <a:latin typeface="Arial" panose="020B0604020202020204" pitchFamily="34" charset="0"/>
              <a:cs typeface="Arial" panose="020B0604020202020204" pitchFamily="34" charset="0"/>
            </a:rPr>
            <a:t>8 Conclusions </a:t>
          </a:r>
        </a:p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kern="1200"/>
            <a:t>Depression has been recognised and addressed in significantly diverse manners throughout history.</a:t>
          </a:r>
          <a:br>
            <a:rPr lang="en-GB" sz="900" kern="1200"/>
          </a:br>
          <a:br>
            <a:rPr lang="en-GB" sz="900" kern="1200"/>
          </a:br>
          <a:r>
            <a:rPr lang="en-GB" sz="900" kern="1200"/>
            <a:t>Modern approaches are more grounded in statistical data and focused on the individual.</a:t>
          </a:r>
          <a:br>
            <a:rPr lang="en-GB" sz="900" kern="1200"/>
          </a:br>
          <a:br>
            <a:rPr lang="en-GB" sz="900" kern="1200"/>
          </a:br>
          <a:r>
            <a:rPr lang="en-GB" sz="900" kern="1200"/>
            <a:t>Nonetheless, disparities persist, necessitating ongoing policy advancement and investment (NHS England, 2019; WHO, 2022).</a:t>
          </a:r>
          <a:endParaRPr lang="en-GB" sz="800" kern="1200">
            <a:latin typeface="Arial" panose="020B0604020202020204" pitchFamily="34" charset="0"/>
            <a:cs typeface="Arial" panose="020B0604020202020204" pitchFamily="34" charset="0"/>
          </a:endParaRPr>
        </a:p>
      </dsp:txBody>
      <dsp:txXfrm rot="10800000">
        <a:off x="3797839" y="2746628"/>
        <a:ext cx="1512504" cy="330742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List2">
  <dgm:title val=""/>
  <dgm:desc val=""/>
  <dgm:catLst>
    <dgm:cat type="list" pri="11000"/>
    <dgm:cat type="picture" pri="24000"/>
    <dgm:cat type="pictureconvert" pri="2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bkgdShp" refType="w"/>
      <dgm:constr type="h" for="ch" forName="bkgdShp" refType="h" fact="0.45"/>
      <dgm:constr type="t" for="ch" forName="bkgdShp"/>
      <dgm:constr type="w" for="ch" forName="linComp" refType="w" fact="0.94"/>
      <dgm:constr type="h" for="ch" forName="linComp" refType="h"/>
      <dgm:constr type="ctrX" for="ch" forName="linComp" refType="w" fact="0.5"/>
    </dgm:constrLst>
    <dgm:ruleLst/>
    <dgm:choose name="Name1">
      <dgm:if name="Name2" axis="ch" ptType="node" func="cnt" op="gte" val="1">
        <dgm:layoutNode name="bkgdShp" styleLbl="alignAccFollow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/>
          <dgm:constrLst/>
          <dgm:ruleLst/>
        </dgm:layoutNode>
        <dgm:layoutNode name="linComp">
          <dgm:choose name="Name3">
            <dgm:if name="Name4" func="var" arg="dir" op="equ" val="norm">
              <dgm:alg type="lin"/>
            </dgm:if>
            <dgm:else name="Name5">
              <dgm:alg type="lin">
                <dgm:param type="linDir" val="from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w" for="ch" forName="compNode" refType="w"/>
            <dgm:constr type="h" for="ch" forName="compNode" refType="h"/>
            <dgm:constr type="w" for="ch" ptType="sibTrans" refType="w" refFor="ch" refForName="compNode" fact="0.1"/>
            <dgm:constr type="h" for="ch" ptType="sibTrans" op="equ"/>
            <dgm:constr type="h" for="ch" forName="compNode" op="equ"/>
            <dgm:constr type="primFontSz" for="des" forName="node" op="equ"/>
          </dgm:constrLst>
          <dgm:ruleLst/>
          <dgm:forEach name="nodesForEach" axis="ch" ptType="node">
            <dgm:layoutNode name="compNode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node" refType="w"/>
                <dgm:constr type="h" for="ch" forName="node" refType="h" fact="0.55"/>
                <dgm:constr type="b" for="ch" forName="node" refType="h"/>
                <dgm:constr type="w" for="ch" forName="invisiNode" refType="w" fact="0.75"/>
                <dgm:constr type="h" for="ch" forName="invisiNode" refType="h" fact="0.06"/>
                <dgm:constr type="t" for="ch" forName="invisiNode"/>
                <dgm:constr type="w" for="ch" forName="imagNode" refType="w"/>
                <dgm:constr type="h" for="ch" forName="imagNode" refType="h" fact="0.33"/>
                <dgm:constr type="ctrX" for="ch" forName="imagNode" refType="w" fact="0.5"/>
                <dgm:constr type="t" for="ch" forName="imagNode" refType="h" fact="0.06"/>
              </dgm:constrLst>
              <dgm:ruleLst/>
              <dgm:layoutNode name="node" styleLbl="node1">
                <dgm:varLst>
                  <dgm:bulletEnabled val="1"/>
                </dgm:varLst>
                <dgm:alg type="tx">
                  <dgm:param type="txAnchorVert" val="t"/>
                </dgm:alg>
                <dgm:shape xmlns:r="http://schemas.openxmlformats.org/officeDocument/2006/relationships" rot="180" type="round2Same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primFontSz" val="65"/>
                </dgm:constrLst>
                <dgm:ruleLst>
                  <dgm:rule type="primFontSz" val="5" fact="NaN" max="NaN"/>
                </dgm:ruleLst>
              </dgm:layoutNode>
              <dgm:layoutNode name="invisiNode">
                <dgm:alg type="sp"/>
                <dgm:shape xmlns:r="http://schemas.openxmlformats.org/officeDocument/2006/relationships" type="roundRect" r:blip="" hideGeom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  <dgm:layoutNode name="imagNode" styleLbl="fgImgPlace1">
                <dgm:alg type="sp"/>
                <dgm:shape xmlns:r="http://schemas.openxmlformats.org/officeDocument/2006/relationships" type="roundRect" r:blip="" zOrderOff="-2" blipPhldr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</dgm:layoutNode>
            <dgm:forEach name="sibTransForEach" axis="followSib" ptType="sibTrans" cnt="1">
              <dgm:layoutNode name="sibTrans">
                <dgm:alg type="sp"/>
                <dgm:shape xmlns:r="http://schemas.openxmlformats.org/officeDocument/2006/relationships" type="rect" r:blip="" hideGeom="1">
                  <dgm:adjLst/>
                </dgm:shape>
                <dgm:presOf axis="self"/>
                <dgm:constrLst/>
                <dgm:ruleLst/>
              </dgm:layoutNode>
            </dgm:forEach>
          </dgm:forEach>
        </dgm:layoutNode>
      </dgm:if>
      <dgm:else name="Name6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List2">
  <dgm:title val=""/>
  <dgm:desc val=""/>
  <dgm:catLst>
    <dgm:cat type="list" pri="11000"/>
    <dgm:cat type="picture" pri="24000"/>
    <dgm:cat type="pictureconvert" pri="2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bkgdShp" refType="w"/>
      <dgm:constr type="h" for="ch" forName="bkgdShp" refType="h" fact="0.45"/>
      <dgm:constr type="t" for="ch" forName="bkgdShp"/>
      <dgm:constr type="w" for="ch" forName="linComp" refType="w" fact="0.94"/>
      <dgm:constr type="h" for="ch" forName="linComp" refType="h"/>
      <dgm:constr type="ctrX" for="ch" forName="linComp" refType="w" fact="0.5"/>
    </dgm:constrLst>
    <dgm:ruleLst/>
    <dgm:choose name="Name1">
      <dgm:if name="Name2" axis="ch" ptType="node" func="cnt" op="gte" val="1">
        <dgm:layoutNode name="bkgdShp" styleLbl="alignAccFollow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/>
          <dgm:constrLst/>
          <dgm:ruleLst/>
        </dgm:layoutNode>
        <dgm:layoutNode name="linComp">
          <dgm:choose name="Name3">
            <dgm:if name="Name4" func="var" arg="dir" op="equ" val="norm">
              <dgm:alg type="lin"/>
            </dgm:if>
            <dgm:else name="Name5">
              <dgm:alg type="lin">
                <dgm:param type="linDir" val="from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w" for="ch" forName="compNode" refType="w"/>
            <dgm:constr type="h" for="ch" forName="compNode" refType="h"/>
            <dgm:constr type="w" for="ch" ptType="sibTrans" refType="w" refFor="ch" refForName="compNode" fact="0.1"/>
            <dgm:constr type="h" for="ch" ptType="sibTrans" op="equ"/>
            <dgm:constr type="h" for="ch" forName="compNode" op="equ"/>
            <dgm:constr type="primFontSz" for="des" forName="node" op="equ"/>
          </dgm:constrLst>
          <dgm:ruleLst/>
          <dgm:forEach name="nodesForEach" axis="ch" ptType="node">
            <dgm:layoutNode name="compNode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node" refType="w"/>
                <dgm:constr type="h" for="ch" forName="node" refType="h" fact="0.55"/>
                <dgm:constr type="b" for="ch" forName="node" refType="h"/>
                <dgm:constr type="w" for="ch" forName="invisiNode" refType="w" fact="0.75"/>
                <dgm:constr type="h" for="ch" forName="invisiNode" refType="h" fact="0.06"/>
                <dgm:constr type="t" for="ch" forName="invisiNode"/>
                <dgm:constr type="w" for="ch" forName="imagNode" refType="w"/>
                <dgm:constr type="h" for="ch" forName="imagNode" refType="h" fact="0.33"/>
                <dgm:constr type="ctrX" for="ch" forName="imagNode" refType="w" fact="0.5"/>
                <dgm:constr type="t" for="ch" forName="imagNode" refType="h" fact="0.06"/>
              </dgm:constrLst>
              <dgm:ruleLst/>
              <dgm:layoutNode name="node" styleLbl="node1">
                <dgm:varLst>
                  <dgm:bulletEnabled val="1"/>
                </dgm:varLst>
                <dgm:alg type="tx">
                  <dgm:param type="txAnchorVert" val="t"/>
                </dgm:alg>
                <dgm:shape xmlns:r="http://schemas.openxmlformats.org/officeDocument/2006/relationships" rot="180" type="round2Same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primFontSz" val="65"/>
                </dgm:constrLst>
                <dgm:ruleLst>
                  <dgm:rule type="primFontSz" val="5" fact="NaN" max="NaN"/>
                </dgm:ruleLst>
              </dgm:layoutNode>
              <dgm:layoutNode name="invisiNode">
                <dgm:alg type="sp"/>
                <dgm:shape xmlns:r="http://schemas.openxmlformats.org/officeDocument/2006/relationships" type="roundRect" r:blip="" hideGeom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  <dgm:layoutNode name="imagNode" styleLbl="fgImgPlace1">
                <dgm:alg type="sp"/>
                <dgm:shape xmlns:r="http://schemas.openxmlformats.org/officeDocument/2006/relationships" type="roundRect" r:blip="" zOrderOff="-2" blipPhldr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</dgm:layoutNode>
            <dgm:forEach name="sibTransForEach" axis="followSib" ptType="sibTrans" cnt="1">
              <dgm:layoutNode name="sibTrans">
                <dgm:alg type="sp"/>
                <dgm:shape xmlns:r="http://schemas.openxmlformats.org/officeDocument/2006/relationships" type="rect" r:blip="" hideGeom="1">
                  <dgm:adjLst/>
                </dgm:shape>
                <dgm:presOf axis="self"/>
                <dgm:constrLst/>
                <dgm:ruleLst/>
              </dgm:layoutNode>
            </dgm:forEach>
          </dgm:forEach>
        </dgm:layoutNode>
      </dgm:if>
      <dgm:else name="Name6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BMHP6029
Lecturer: Neale Haddon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5749D0-2368-4D4A-B575-B684AE679BA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>Psychopathological Classifications and Provisions, BSc H&amp;SC</dc:subject>
  <dc:creator>Ana Margarida Dias Gomes (2322062)</dc:creator>
  <keywords/>
  <dc:description/>
  <lastModifiedBy>Ana Margarida Dias Gomes (2322062)</lastModifiedBy>
  <revision>440</revision>
  <dcterms:created xsi:type="dcterms:W3CDTF">2026-01-27T11:32:00.0000000Z</dcterms:created>
  <dcterms:modified xsi:type="dcterms:W3CDTF">2026-03-05T17:26:21.1334160Z</dcterms:modified>
</coreProperties>
</file>