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3E76" w:rsidRDefault="00453E76" w:rsidP="00453E76">
      <w:pPr>
        <w:rPr>
          <w:b/>
          <w:u w:val="single"/>
        </w:rPr>
      </w:pPr>
    </w:p>
    <w:p w:rsidR="00453E76" w:rsidRDefault="00453E76" w:rsidP="00453E76">
      <w:pPr>
        <w:rPr>
          <w:b/>
          <w:u w:val="single"/>
        </w:rPr>
      </w:pPr>
      <w:r>
        <w:rPr>
          <w:b/>
          <w:u w:val="single"/>
        </w:rPr>
        <w:t xml:space="preserve">Module Name </w:t>
      </w:r>
    </w:p>
    <w:p w:rsidR="00453E76" w:rsidRDefault="00453E76" w:rsidP="00453E76">
      <w:pPr>
        <w:rPr>
          <w:b/>
          <w:u w:val="single"/>
        </w:rPr>
      </w:pPr>
    </w:p>
    <w:p w:rsidR="00453E76" w:rsidRDefault="00453E76" w:rsidP="00453E76">
      <w:pPr>
        <w:rPr>
          <w:b/>
          <w:u w:val="single"/>
        </w:rPr>
      </w:pPr>
      <w:r>
        <w:rPr>
          <w:b/>
          <w:u w:val="single"/>
        </w:rPr>
        <w:t>On the job submission</w:t>
      </w:r>
      <w:r w:rsidR="00222D21">
        <w:rPr>
          <w:b/>
          <w:u w:val="single"/>
        </w:rPr>
        <w:t xml:space="preserve">-Understanding Employee Engagement </w:t>
      </w:r>
    </w:p>
    <w:p w:rsidR="00453E76" w:rsidRDefault="00453E76" w:rsidP="00453E76">
      <w:pPr>
        <w:rPr>
          <w:b/>
          <w:u w:val="single"/>
        </w:rPr>
      </w:pPr>
    </w:p>
    <w:p w:rsidR="00453E76" w:rsidRDefault="00453E76" w:rsidP="00453E76">
      <w:pPr>
        <w:rPr>
          <w:b/>
          <w:u w:val="single"/>
        </w:rPr>
      </w:pPr>
      <w:r>
        <w:rPr>
          <w:b/>
          <w:u w:val="single"/>
        </w:rPr>
        <w:t xml:space="preserve">Word count </w:t>
      </w:r>
    </w:p>
    <w:p w:rsidR="00222D21" w:rsidRDefault="00222D21" w:rsidP="00453E76">
      <w:pPr>
        <w:rPr>
          <w:b/>
          <w:u w:val="single"/>
        </w:rPr>
      </w:pPr>
      <w:r>
        <w:rPr>
          <w:b/>
          <w:u w:val="single"/>
        </w:rPr>
        <w:t>1793</w:t>
      </w:r>
    </w:p>
    <w:p w:rsidR="00453E76" w:rsidRDefault="00453E76" w:rsidP="00453E76">
      <w:pPr>
        <w:rPr>
          <w:b/>
          <w:u w:val="single"/>
        </w:rPr>
      </w:pPr>
    </w:p>
    <w:p w:rsidR="00453E76" w:rsidRDefault="00453E76" w:rsidP="00453E76">
      <w:pPr>
        <w:rPr>
          <w:b/>
        </w:rPr>
      </w:pPr>
      <w:r>
        <w:rPr>
          <w:b/>
          <w:u w:val="single"/>
        </w:rPr>
        <w:t xml:space="preserve">Student Name:      </w:t>
      </w:r>
      <w:r>
        <w:rPr>
          <w:b/>
        </w:rPr>
        <w:t>Sarah Mason</w:t>
      </w:r>
    </w:p>
    <w:p w:rsidR="00453E76" w:rsidRDefault="00453E76" w:rsidP="00453E76">
      <w:pPr>
        <w:rPr>
          <w:b/>
          <w:u w:val="single"/>
        </w:rPr>
      </w:pPr>
      <w:r>
        <w:rPr>
          <w:b/>
          <w:u w:val="single"/>
        </w:rPr>
        <w:t>Student number: 2005783</w:t>
      </w:r>
    </w:p>
    <w:p w:rsidR="00453E76" w:rsidRDefault="00453E76" w:rsidP="00453E76">
      <w:pPr>
        <w:rPr>
          <w:b/>
          <w:u w:val="single"/>
        </w:rPr>
      </w:pPr>
      <w:r>
        <w:rPr>
          <w:b/>
          <w:u w:val="single"/>
        </w:rPr>
        <w:t>CIPD number: 5599128</w:t>
      </w:r>
    </w:p>
    <w:p w:rsidR="00453E76" w:rsidRDefault="00453E76" w:rsidP="00453E76">
      <w:pPr>
        <w:rPr>
          <w:b/>
          <w:u w:val="single"/>
        </w:rPr>
      </w:pPr>
      <w:bookmarkStart w:id="0" w:name="_GoBack"/>
      <w:bookmarkEnd w:id="0"/>
    </w:p>
    <w:p w:rsidR="00453E76" w:rsidRDefault="00453E76" w:rsidP="00453E76">
      <w:pPr>
        <w:rPr>
          <w:b/>
          <w:u w:val="single"/>
        </w:rPr>
      </w:pPr>
    </w:p>
    <w:p w:rsidR="00453E76" w:rsidRDefault="00453E76" w:rsidP="00453E76">
      <w:pPr>
        <w:rPr>
          <w:b/>
          <w:u w:val="single"/>
        </w:rPr>
      </w:pPr>
    </w:p>
    <w:p w:rsidR="00453E76" w:rsidRDefault="00453E76" w:rsidP="00453E76">
      <w:pPr>
        <w:rPr>
          <w:b/>
        </w:rPr>
      </w:pPr>
      <w:r>
        <w:rPr>
          <w:b/>
        </w:rPr>
        <w:t xml:space="preserve">By signing </w:t>
      </w:r>
      <w:r w:rsidR="00CD5CDC">
        <w:rPr>
          <w:b/>
        </w:rPr>
        <w:t>below,</w:t>
      </w:r>
      <w:r>
        <w:rPr>
          <w:b/>
        </w:rPr>
        <w:t xml:space="preserve"> I confirm that the work/evidence is my own, unaided work. I understand regulations pertaining to candidate’s malpractice and may be taken as a result.</w:t>
      </w:r>
    </w:p>
    <w:p w:rsidR="00453E76" w:rsidRDefault="00453E76" w:rsidP="00453E76">
      <w:pPr>
        <w:rPr>
          <w:b/>
        </w:rPr>
      </w:pPr>
    </w:p>
    <w:p w:rsidR="00453E76" w:rsidRDefault="00453E76" w:rsidP="00453E76">
      <w:pPr>
        <w:rPr>
          <w:b/>
          <w:u w:val="single"/>
        </w:rPr>
      </w:pPr>
      <w:r>
        <w:rPr>
          <w:b/>
          <w:u w:val="single"/>
        </w:rPr>
        <w:t>Signed: Sarah Mason</w:t>
      </w:r>
    </w:p>
    <w:p w:rsidR="00453E76" w:rsidRDefault="00453E76" w:rsidP="00453E76">
      <w:pPr>
        <w:rPr>
          <w:b/>
          <w:u w:val="single"/>
        </w:rPr>
      </w:pPr>
      <w:r>
        <w:rPr>
          <w:b/>
          <w:u w:val="single"/>
        </w:rPr>
        <w:t xml:space="preserve">Date: </w:t>
      </w:r>
      <w:r w:rsidR="00222D21">
        <w:rPr>
          <w:b/>
          <w:u w:val="single"/>
        </w:rPr>
        <w:t>7</w:t>
      </w:r>
      <w:r w:rsidR="00222D21" w:rsidRPr="00222D21">
        <w:rPr>
          <w:b/>
          <w:u w:val="single"/>
          <w:vertAlign w:val="superscript"/>
        </w:rPr>
        <w:t>th</w:t>
      </w:r>
      <w:r w:rsidR="00222D21">
        <w:rPr>
          <w:b/>
          <w:u w:val="single"/>
        </w:rPr>
        <w:t xml:space="preserve"> February 2022</w:t>
      </w: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p>
    <w:p w:rsidR="00453E76" w:rsidRDefault="00453E76" w:rsidP="00453E76">
      <w:pPr>
        <w:rPr>
          <w:b/>
          <w:u w:val="single"/>
        </w:rPr>
      </w:pPr>
      <w:r>
        <w:rPr>
          <w:b/>
          <w:u w:val="single"/>
        </w:rPr>
        <w:t>On the job Submission</w:t>
      </w:r>
    </w:p>
    <w:p w:rsidR="00B87D73" w:rsidRDefault="00B87D73" w:rsidP="00453E76">
      <w:pPr>
        <w:rPr>
          <w:b/>
          <w:u w:val="single"/>
        </w:rPr>
      </w:pPr>
      <w:r>
        <w:rPr>
          <w:b/>
          <w:u w:val="single"/>
        </w:rPr>
        <w:t>Understanding Employee Engagement.</w:t>
      </w:r>
    </w:p>
    <w:p w:rsidR="0097441F" w:rsidRDefault="0097441F" w:rsidP="00453E76">
      <w:pPr>
        <w:rPr>
          <w:b/>
          <w:u w:val="single"/>
        </w:rPr>
      </w:pPr>
      <w:r>
        <w:rPr>
          <w:b/>
          <w:u w:val="single"/>
        </w:rPr>
        <w:t>Question one.</w:t>
      </w:r>
    </w:p>
    <w:p w:rsidR="00453E76" w:rsidRDefault="00453E76" w:rsidP="00286C94">
      <w:pPr>
        <w:jc w:val="both"/>
      </w:pPr>
      <w:r>
        <w:t>Andrews Property Group engagement is a key focus. The organisation has spent a good part of quarter three and four in 2021 holding forum groups and meetings to decide the organisation purpose and values. Due to the business being a sales-based business a lot of the employees are only driven by pay and commissions, they do not value working for Andrews Property Group as a whole.</w:t>
      </w:r>
    </w:p>
    <w:p w:rsidR="00453E76" w:rsidRDefault="00453E76" w:rsidP="00286C94">
      <w:pPr>
        <w:jc w:val="both"/>
      </w:pPr>
      <w:r>
        <w:t>The business realised that to make profit and keep our customers they had to offer more than just selling and letting houses. Therefore, the business also offers other sources such as mortgages and insurances. The purpose and values are based on trust and doing the right thing.</w:t>
      </w:r>
    </w:p>
    <w:p w:rsidR="00453E76" w:rsidRDefault="00453E76" w:rsidP="00286C94">
      <w:pPr>
        <w:jc w:val="both"/>
      </w:pPr>
      <w:r>
        <w:t>The following was decided for our purpose and values:</w:t>
      </w:r>
    </w:p>
    <w:p w:rsidR="00453E76" w:rsidRDefault="00453E76" w:rsidP="00286C94">
      <w:pPr>
        <w:jc w:val="both"/>
        <w:rPr>
          <w:b/>
          <w:u w:val="single"/>
        </w:rPr>
      </w:pPr>
      <w:r>
        <w:rPr>
          <w:b/>
          <w:u w:val="single"/>
        </w:rPr>
        <w:t>Purpose</w:t>
      </w:r>
    </w:p>
    <w:p w:rsidR="00453E76" w:rsidRDefault="00453E76" w:rsidP="00286C94">
      <w:pPr>
        <w:jc w:val="both"/>
      </w:pPr>
      <w:r>
        <w:t>Trusted to take people to a better place.</w:t>
      </w:r>
    </w:p>
    <w:p w:rsidR="00453E76" w:rsidRDefault="00453E76" w:rsidP="00286C94">
      <w:pPr>
        <w:jc w:val="both"/>
        <w:rPr>
          <w:b/>
          <w:u w:val="single"/>
        </w:rPr>
      </w:pPr>
      <w:r>
        <w:rPr>
          <w:b/>
          <w:u w:val="single"/>
        </w:rPr>
        <w:t>Values</w:t>
      </w:r>
    </w:p>
    <w:p w:rsidR="00453E76" w:rsidRDefault="00453E76" w:rsidP="00286C94">
      <w:pPr>
        <w:jc w:val="both"/>
      </w:pPr>
      <w:r>
        <w:t>We treat every customer as our only customer, and as if they’re with us for life.</w:t>
      </w:r>
    </w:p>
    <w:p w:rsidR="00453E76" w:rsidRDefault="00453E76" w:rsidP="00286C94">
      <w:pPr>
        <w:jc w:val="both"/>
      </w:pPr>
      <w:r>
        <w:t>We value our people</w:t>
      </w:r>
    </w:p>
    <w:p w:rsidR="00453E76" w:rsidRDefault="00453E76" w:rsidP="00286C94">
      <w:pPr>
        <w:jc w:val="both"/>
      </w:pPr>
      <w:r>
        <w:t>We believe in giving back</w:t>
      </w:r>
    </w:p>
    <w:p w:rsidR="00906325" w:rsidRDefault="00906325" w:rsidP="00286C94">
      <w:pPr>
        <w:jc w:val="both"/>
      </w:pPr>
      <w:r>
        <w:t>(Andrews Property Group)</w:t>
      </w:r>
    </w:p>
    <w:p w:rsidR="00906325" w:rsidRDefault="00906325" w:rsidP="00286C94">
      <w:pPr>
        <w:jc w:val="both"/>
      </w:pPr>
      <w:r>
        <w:t>We looked at what we currently do and then looked at what we should do.</w:t>
      </w:r>
    </w:p>
    <w:p w:rsidR="00906325" w:rsidRDefault="00906325" w:rsidP="00286C94">
      <w:pPr>
        <w:jc w:val="both"/>
        <w:rPr>
          <w:rFonts w:ascii="Georgia" w:hAnsi="Georgia"/>
        </w:rPr>
      </w:pPr>
    </w:p>
    <w:p w:rsidR="00906325" w:rsidRDefault="00906325" w:rsidP="00906325">
      <w:pPr>
        <w:rPr>
          <w:rFonts w:ascii="Georgia" w:hAnsi="Georgia"/>
          <w:b/>
          <w:bCs/>
        </w:rPr>
      </w:pPr>
      <w:r>
        <w:rPr>
          <w:rFonts w:ascii="Georgia" w:hAnsi="Georgia"/>
          <w:b/>
          <w:bCs/>
        </w:rPr>
        <w:t>We treat every customer as our only customer, and as if they’re with us for life</w:t>
      </w:r>
    </w:p>
    <w:tbl>
      <w:tblPr>
        <w:tblW w:w="0" w:type="auto"/>
        <w:tblCellMar>
          <w:left w:w="0" w:type="dxa"/>
          <w:right w:w="0" w:type="dxa"/>
        </w:tblCellMar>
        <w:tblLook w:val="04A0" w:firstRow="1" w:lastRow="0" w:firstColumn="1" w:lastColumn="0" w:noHBand="0" w:noVBand="1"/>
      </w:tblPr>
      <w:tblGrid>
        <w:gridCol w:w="3231"/>
        <w:gridCol w:w="3150"/>
        <w:gridCol w:w="2625"/>
      </w:tblGrid>
      <w:tr w:rsidR="00906325" w:rsidTr="00906325">
        <w:tc>
          <w:tcPr>
            <w:tcW w:w="323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b/>
                <w:bCs/>
              </w:rPr>
            </w:pPr>
            <w:r>
              <w:rPr>
                <w:rFonts w:ascii="Georgia" w:hAnsi="Georgia"/>
                <w:b/>
                <w:bCs/>
              </w:rPr>
              <w:t>We will</w:t>
            </w:r>
          </w:p>
        </w:tc>
        <w:tc>
          <w:tcPr>
            <w:tcW w:w="31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b/>
                <w:bCs/>
              </w:rPr>
            </w:pPr>
            <w:r>
              <w:rPr>
                <w:rFonts w:ascii="Georgia" w:hAnsi="Georgia"/>
                <w:b/>
                <w:bCs/>
              </w:rPr>
              <w:t>We won’t</w:t>
            </w:r>
          </w:p>
        </w:tc>
        <w:tc>
          <w:tcPr>
            <w:tcW w:w="2625"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b/>
                <w:bCs/>
              </w:rPr>
            </w:pPr>
          </w:p>
        </w:tc>
      </w:tr>
      <w:tr w:rsidR="00906325" w:rsidTr="00906325">
        <w:tc>
          <w:tcPr>
            <w:tcW w:w="323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Invest time in understanding each customer’s current and future needs and motivations at every touchpoint</w:t>
            </w:r>
          </w:p>
        </w:tc>
        <w:tc>
          <w:tcPr>
            <w:tcW w:w="3150"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 xml:space="preserve">Stereotype customers and just assume we already know what they need </w:t>
            </w:r>
          </w:p>
        </w:tc>
        <w:tc>
          <w:tcPr>
            <w:tcW w:w="262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rPr>
            </w:pPr>
          </w:p>
        </w:tc>
      </w:tr>
      <w:tr w:rsidR="00906325" w:rsidTr="00906325">
        <w:tc>
          <w:tcPr>
            <w:tcW w:w="323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 xml:space="preserve">Record each step of every customer’s journey with us so Andrews can build a </w:t>
            </w:r>
            <w:r w:rsidR="00B87D73">
              <w:rPr>
                <w:rFonts w:ascii="Georgia" w:hAnsi="Georgia"/>
              </w:rPr>
              <w:t>long-term</w:t>
            </w:r>
            <w:r>
              <w:rPr>
                <w:rFonts w:ascii="Georgia" w:hAnsi="Georgia"/>
              </w:rPr>
              <w:t xml:space="preserve"> relationship with them</w:t>
            </w:r>
          </w:p>
        </w:tc>
        <w:tc>
          <w:tcPr>
            <w:tcW w:w="3150"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 xml:space="preserve">Cut corners on admin in order to move on to the next job more quickly  </w:t>
            </w:r>
          </w:p>
        </w:tc>
        <w:tc>
          <w:tcPr>
            <w:tcW w:w="262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rPr>
            </w:pPr>
          </w:p>
        </w:tc>
      </w:tr>
      <w:tr w:rsidR="00906325" w:rsidTr="00906325">
        <w:tc>
          <w:tcPr>
            <w:tcW w:w="323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CD5CDC">
            <w:pPr>
              <w:rPr>
                <w:rFonts w:ascii="Georgia" w:hAnsi="Georgia"/>
              </w:rPr>
            </w:pPr>
            <w:r>
              <w:rPr>
                <w:rFonts w:ascii="Georgia" w:hAnsi="Georgia"/>
              </w:rPr>
              <w:t>tell</w:t>
            </w:r>
            <w:r w:rsidR="00906325">
              <w:rPr>
                <w:rFonts w:ascii="Georgia" w:hAnsi="Georgia"/>
              </w:rPr>
              <w:t xml:space="preserve"> the truth and explain our actions, keeping things as simple as possible</w:t>
            </w:r>
          </w:p>
        </w:tc>
        <w:tc>
          <w:tcPr>
            <w:tcW w:w="3150"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Just tell customers what they want to hear, or hide behind complex explanations</w:t>
            </w:r>
          </w:p>
        </w:tc>
        <w:tc>
          <w:tcPr>
            <w:tcW w:w="262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rPr>
            </w:pPr>
          </w:p>
        </w:tc>
      </w:tr>
      <w:tr w:rsidR="00906325" w:rsidTr="00906325">
        <w:tc>
          <w:tcPr>
            <w:tcW w:w="323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Be nice to people and try to build a real rapport</w:t>
            </w:r>
          </w:p>
        </w:tc>
        <w:tc>
          <w:tcPr>
            <w:tcW w:w="3150"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Come across as aggressive or dismissive</w:t>
            </w:r>
          </w:p>
        </w:tc>
        <w:tc>
          <w:tcPr>
            <w:tcW w:w="262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rPr>
            </w:pPr>
          </w:p>
        </w:tc>
      </w:tr>
      <w:tr w:rsidR="00906325" w:rsidTr="00906325">
        <w:tc>
          <w:tcPr>
            <w:tcW w:w="323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lastRenderedPageBreak/>
              <w:t xml:space="preserve">Be brave enough to ask for the business </w:t>
            </w:r>
          </w:p>
        </w:tc>
        <w:tc>
          <w:tcPr>
            <w:tcW w:w="3150"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Beat about the bush</w:t>
            </w:r>
          </w:p>
        </w:tc>
        <w:tc>
          <w:tcPr>
            <w:tcW w:w="262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rPr>
            </w:pPr>
          </w:p>
        </w:tc>
      </w:tr>
    </w:tbl>
    <w:p w:rsidR="00906325" w:rsidRDefault="00906325" w:rsidP="00453E76"/>
    <w:p w:rsidR="00906325" w:rsidRDefault="00906325" w:rsidP="00906325">
      <w:pPr>
        <w:rPr>
          <w:rFonts w:ascii="Georgia" w:hAnsi="Georgia"/>
          <w:b/>
          <w:bCs/>
        </w:rPr>
      </w:pPr>
      <w:r>
        <w:rPr>
          <w:rFonts w:ascii="Georgia" w:hAnsi="Georgia"/>
          <w:b/>
          <w:bCs/>
        </w:rPr>
        <w:t>We value all our people</w:t>
      </w:r>
    </w:p>
    <w:tbl>
      <w:tblPr>
        <w:tblW w:w="0" w:type="auto"/>
        <w:tblCellMar>
          <w:left w:w="0" w:type="dxa"/>
          <w:right w:w="0" w:type="dxa"/>
        </w:tblCellMar>
        <w:tblLook w:val="04A0" w:firstRow="1" w:lastRow="0" w:firstColumn="1" w:lastColumn="0" w:noHBand="0" w:noVBand="1"/>
      </w:tblPr>
      <w:tblGrid>
        <w:gridCol w:w="3251"/>
        <w:gridCol w:w="3194"/>
        <w:gridCol w:w="2561"/>
      </w:tblGrid>
      <w:tr w:rsidR="00906325" w:rsidTr="00906325">
        <w:tc>
          <w:tcPr>
            <w:tcW w:w="450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b/>
                <w:bCs/>
              </w:rPr>
            </w:pPr>
            <w:r>
              <w:rPr>
                <w:rFonts w:ascii="Georgia" w:hAnsi="Georgia"/>
                <w:b/>
                <w:bCs/>
              </w:rPr>
              <w:t>We will</w:t>
            </w:r>
          </w:p>
        </w:tc>
        <w:tc>
          <w:tcPr>
            <w:tcW w:w="45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b/>
                <w:bCs/>
              </w:rPr>
            </w:pPr>
            <w:r>
              <w:rPr>
                <w:rFonts w:ascii="Georgia" w:hAnsi="Georgia"/>
                <w:b/>
                <w:bCs/>
              </w:rPr>
              <w:t>We won’t</w:t>
            </w:r>
          </w:p>
        </w:tc>
        <w:tc>
          <w:tcPr>
            <w:tcW w:w="4505"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b/>
                <w:b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lang w:val="en-US"/>
              </w:rPr>
              <w:t xml:space="preserve">Behave as one united team, </w:t>
            </w:r>
            <w:r>
              <w:rPr>
                <w:rFonts w:ascii="Georgia" w:hAnsi="Georgia"/>
              </w:rPr>
              <w:t>breaking down barriers between people and departments</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 xml:space="preserve">Indulge in internal politics, or pass the </w:t>
            </w:r>
            <w:r w:rsidR="00B87D73">
              <w:rPr>
                <w:rFonts w:ascii="Georgia" w:hAnsi="Georgia"/>
              </w:rPr>
              <w:t>buck to other</w:t>
            </w:r>
            <w:r>
              <w:rPr>
                <w:rFonts w:ascii="Georgia" w:hAnsi="Georgia"/>
              </w:rPr>
              <w:t xml:space="preserve"> people and departments</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Be positive and solution-focused</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Just keep talking about the same old problems</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Invest time and energy into personal development plans, providing opportunities for people to develop their skills</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Stick HR processes on the back burner when the commercial pressure is on</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Treat everyone equally regardless of background or identity, genuinely valuing difference</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Accept unfair or inequitable treatment</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Recognise everyone’s contribution – being fair and consistent in celebrating and rewarding success</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Allow people to feel that their efforts are unappreciated or under-rewarded</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Prioritise good two-way communication that ensures everyone is heard</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Tolerate poor internal comms, or turn a deaf ear if we don’t like what we’re hearing</w:t>
            </w: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906325" w:rsidRDefault="00906325">
            <w:pPr>
              <w:rPr>
                <w:rFonts w:ascii="Georgia" w:hAnsi="Georgia"/>
                <w:i/>
                <w:iCs/>
              </w:rPr>
            </w:pPr>
          </w:p>
        </w:tc>
      </w:tr>
      <w:tr w:rsidR="00906325" w:rsidTr="00906325">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Do what we say we’ll do</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rPr>
            </w:pPr>
            <w:r>
              <w:rPr>
                <w:rFonts w:ascii="Georgia" w:hAnsi="Georgia"/>
              </w:rPr>
              <w:t>Make empty promises to try to keep people happy</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906325" w:rsidRDefault="00906325">
            <w:pPr>
              <w:rPr>
                <w:rFonts w:ascii="Georgia" w:hAnsi="Georgia"/>
                <w:i/>
                <w:iCs/>
              </w:rPr>
            </w:pPr>
          </w:p>
        </w:tc>
      </w:tr>
    </w:tbl>
    <w:p w:rsidR="00906325" w:rsidRDefault="00906325" w:rsidP="00453E76"/>
    <w:p w:rsidR="0049307B" w:rsidRDefault="0049307B" w:rsidP="0049307B">
      <w:pPr>
        <w:rPr>
          <w:rFonts w:ascii="Georgia" w:hAnsi="Georgia"/>
          <w:b/>
          <w:bCs/>
        </w:rPr>
      </w:pPr>
      <w:r>
        <w:rPr>
          <w:rFonts w:ascii="Georgia" w:hAnsi="Georgia"/>
          <w:b/>
          <w:bCs/>
        </w:rPr>
        <w:t xml:space="preserve">We believe in giving back </w:t>
      </w:r>
    </w:p>
    <w:tbl>
      <w:tblPr>
        <w:tblW w:w="0" w:type="auto"/>
        <w:tblCellMar>
          <w:left w:w="0" w:type="dxa"/>
          <w:right w:w="0" w:type="dxa"/>
        </w:tblCellMar>
        <w:tblLook w:val="04A0" w:firstRow="1" w:lastRow="0" w:firstColumn="1" w:lastColumn="0" w:noHBand="0" w:noVBand="1"/>
      </w:tblPr>
      <w:tblGrid>
        <w:gridCol w:w="3351"/>
        <w:gridCol w:w="3177"/>
        <w:gridCol w:w="2478"/>
      </w:tblGrid>
      <w:tr w:rsidR="0049307B" w:rsidTr="0049307B">
        <w:tc>
          <w:tcPr>
            <w:tcW w:w="450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b/>
                <w:bCs/>
              </w:rPr>
            </w:pPr>
            <w:r>
              <w:rPr>
                <w:rFonts w:ascii="Georgia" w:hAnsi="Georgia"/>
                <w:b/>
                <w:bCs/>
              </w:rPr>
              <w:t>We will</w:t>
            </w:r>
          </w:p>
        </w:tc>
        <w:tc>
          <w:tcPr>
            <w:tcW w:w="45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b/>
                <w:bCs/>
              </w:rPr>
            </w:pPr>
            <w:r>
              <w:rPr>
                <w:rFonts w:ascii="Georgia" w:hAnsi="Georgia"/>
                <w:b/>
                <w:bCs/>
              </w:rPr>
              <w:t>We won’t</w:t>
            </w:r>
          </w:p>
        </w:tc>
        <w:tc>
          <w:tcPr>
            <w:tcW w:w="4505"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b/>
                <w:bCs/>
              </w:rPr>
            </w:pPr>
          </w:p>
        </w:tc>
      </w:tr>
      <w:tr w:rsidR="0049307B" w:rsidTr="0049307B">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Work hard to achieve our commercial profits so that we can reliably provide ongoing help to those in need via financial support of ACT</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Stop supporting ACT when times get tough</w:t>
            </w: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rPr>
            </w:pPr>
          </w:p>
        </w:tc>
      </w:tr>
      <w:tr w:rsidR="0049307B" w:rsidTr="0049307B">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Provide practical help/pro bono services to those in need</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Forget to volunteer when we’re busy with other things</w:t>
            </w: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rPr>
            </w:pPr>
          </w:p>
        </w:tc>
      </w:tr>
      <w:tr w:rsidR="0049307B" w:rsidTr="0049307B">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lastRenderedPageBreak/>
              <w:t>Make a positive contribution to the communities we serve</w:t>
            </w:r>
          </w:p>
        </w:tc>
        <w:tc>
          <w:tcPr>
            <w:tcW w:w="4505" w:type="dxa"/>
            <w:tcBorders>
              <w:top w:val="nil"/>
              <w:left w:val="nil"/>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Forget our responsibilities to be good local citizens because we’re supporting ACT</w:t>
            </w: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rPr>
            </w:pPr>
          </w:p>
        </w:tc>
      </w:tr>
      <w:tr w:rsidR="0049307B" w:rsidTr="0049307B">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49307B" w:rsidRDefault="0049307B">
            <w:pPr>
              <w:rPr>
                <w:rFonts w:ascii="Georgia" w:hAnsi="Georgia"/>
              </w:rPr>
            </w:pPr>
            <w:r>
              <w:rPr>
                <w:rFonts w:ascii="Georgia" w:hAnsi="Georgia"/>
              </w:rPr>
              <w:t>Consider the impact of our decisions on the environmental, social, and economic well-being of future generations</w:t>
            </w: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rPr>
            </w:pPr>
            <w:r>
              <w:rPr>
                <w:rFonts w:ascii="Georgia" w:hAnsi="Georgia"/>
              </w:rPr>
              <w:t>Prioritise our bottom line over our social and environmental responsibilities</w:t>
            </w:r>
          </w:p>
          <w:p w:rsidR="0049307B" w:rsidRDefault="0049307B">
            <w:pPr>
              <w:rPr>
                <w:rFonts w:ascii="Georgia" w:hAnsi="Georgia"/>
              </w:rPr>
            </w:pPr>
          </w:p>
        </w:tc>
        <w:tc>
          <w:tcPr>
            <w:tcW w:w="4505" w:type="dxa"/>
            <w:tcBorders>
              <w:top w:val="nil"/>
              <w:left w:val="nil"/>
              <w:bottom w:val="single" w:sz="8" w:space="0" w:color="auto"/>
              <w:right w:val="single" w:sz="8" w:space="0" w:color="auto"/>
            </w:tcBorders>
            <w:tcMar>
              <w:top w:w="0" w:type="dxa"/>
              <w:left w:w="108" w:type="dxa"/>
              <w:bottom w:w="0" w:type="dxa"/>
              <w:right w:w="108" w:type="dxa"/>
            </w:tcMar>
          </w:tcPr>
          <w:p w:rsidR="0049307B" w:rsidRDefault="0049307B">
            <w:pPr>
              <w:rPr>
                <w:rFonts w:ascii="Georgia" w:hAnsi="Georgia"/>
              </w:rPr>
            </w:pPr>
          </w:p>
        </w:tc>
      </w:tr>
    </w:tbl>
    <w:p w:rsidR="0049307B" w:rsidRDefault="0049307B" w:rsidP="0049307B">
      <w:pPr>
        <w:rPr>
          <w:rFonts w:ascii="Georgia" w:hAnsi="Georgia" w:cs="Calibri"/>
        </w:rPr>
      </w:pPr>
    </w:p>
    <w:p w:rsidR="00906325" w:rsidRDefault="0049307B" w:rsidP="00286C94">
      <w:pPr>
        <w:jc w:val="both"/>
      </w:pPr>
      <w:r>
        <w:t xml:space="preserve">We are rolling this out to the whole business in the next quarter, by the Regional Managers. </w:t>
      </w:r>
      <w:r w:rsidR="00B87D73">
        <w:t>Firstly,</w:t>
      </w:r>
      <w:r>
        <w:t xml:space="preserve"> we had to plan a training session with the Regional Managers and then they with the senior </w:t>
      </w:r>
      <w:r w:rsidR="00B87D73">
        <w:t>leader’s</w:t>
      </w:r>
      <w:r>
        <w:t xml:space="preserve"> support will deliver to the business. We will be reviewing how we are doing as a business later in the year, by holding listening groups. This will support with the open and trusted communication and visibly taking in account what our people say.</w:t>
      </w:r>
    </w:p>
    <w:p w:rsidR="00453E76" w:rsidRDefault="00801353" w:rsidP="00286C94">
      <w:pPr>
        <w:jc w:val="both"/>
      </w:pPr>
      <w:r>
        <w:t>As the four key drivers of employee engagement 2018, are leadership, ensuring line managers are engaged, giving the employee a voice, so that beliefs and opinions are listened too. Having engaged managers will result in trusted communication. If employees trust their manager, they are more likely to be engaged and maybe go that extra mile.</w:t>
      </w:r>
    </w:p>
    <w:p w:rsidR="00801353" w:rsidRDefault="00801353" w:rsidP="00286C94">
      <w:pPr>
        <w:jc w:val="both"/>
      </w:pPr>
      <w:r>
        <w:t xml:space="preserve">ACAS cited </w:t>
      </w:r>
      <w:r w:rsidR="00CD5CDC">
        <w:t>MacLeod</w:t>
      </w:r>
      <w:r>
        <w:t xml:space="preserve"> and Clarke research paper, when four main enablers were explained.</w:t>
      </w:r>
    </w:p>
    <w:p w:rsidR="00801353" w:rsidRDefault="00801353" w:rsidP="00286C94">
      <w:pPr>
        <w:jc w:val="both"/>
      </w:pPr>
      <w:r>
        <w:rPr>
          <w:b/>
          <w:u w:val="single"/>
        </w:rPr>
        <w:t xml:space="preserve">Strategic Narrative- </w:t>
      </w:r>
      <w:r>
        <w:t>This is about the organisation gives employees the vision and business strategy. This gives clear message of what is expected.</w:t>
      </w:r>
    </w:p>
    <w:p w:rsidR="00801353" w:rsidRDefault="00801353" w:rsidP="00286C94">
      <w:pPr>
        <w:jc w:val="both"/>
      </w:pPr>
      <w:r>
        <w:rPr>
          <w:b/>
          <w:u w:val="single"/>
        </w:rPr>
        <w:t xml:space="preserve">Employee Voice- </w:t>
      </w:r>
      <w:r>
        <w:t>Employee speak with integrity and are given a plat form where they can be open and honest.</w:t>
      </w:r>
    </w:p>
    <w:p w:rsidR="00801353" w:rsidRDefault="00801353" w:rsidP="00286C94">
      <w:pPr>
        <w:jc w:val="both"/>
      </w:pPr>
      <w:r>
        <w:rPr>
          <w:b/>
          <w:u w:val="single"/>
        </w:rPr>
        <w:t xml:space="preserve">Integrity – </w:t>
      </w:r>
      <w:r>
        <w:t>The business will visibly live and breathe the purpose and values.</w:t>
      </w:r>
    </w:p>
    <w:p w:rsidR="00801353" w:rsidRDefault="00906325" w:rsidP="00286C94">
      <w:pPr>
        <w:jc w:val="both"/>
      </w:pPr>
      <w:r>
        <w:t>By investing in our employees, we can achieve results.</w:t>
      </w:r>
    </w:p>
    <w:p w:rsidR="00906325" w:rsidRDefault="00906325" w:rsidP="00286C94">
      <w:pPr>
        <w:jc w:val="both"/>
      </w:pPr>
      <w:r>
        <w:t>Andrews Property Group has never issued an employee engagement survey. We do not know exactly how our employees feel. I have a new HR system which will also lunch an engagement survey that will support surveys and pulse surveys to all our people.</w:t>
      </w:r>
    </w:p>
    <w:p w:rsidR="00906325" w:rsidRDefault="00906325" w:rsidP="00286C94">
      <w:pPr>
        <w:jc w:val="both"/>
      </w:pPr>
      <w:r>
        <w:t>I am looking to keep the surveys anonymous however, ask what area of the business they work in, this will allow the head of that area to work with their people to improve the engagement. By the manager working on this it will also support their engagement with their employees.</w:t>
      </w:r>
    </w:p>
    <w:p w:rsidR="0049307B" w:rsidRDefault="0049307B" w:rsidP="00286C94">
      <w:pPr>
        <w:jc w:val="both"/>
      </w:pPr>
      <w:r>
        <w:t>I will be working with all the stakeholders in Andrews Property Group to improve the organisations engagement and culture.</w:t>
      </w:r>
    </w:p>
    <w:p w:rsidR="0049307B" w:rsidRDefault="0049307B" w:rsidP="00453E76"/>
    <w:p w:rsidR="0049307B" w:rsidRDefault="0049307B" w:rsidP="00453E76">
      <w:pPr>
        <w:rPr>
          <w:b/>
          <w:u w:val="single"/>
        </w:rPr>
      </w:pPr>
      <w:r>
        <w:rPr>
          <w:b/>
          <w:u w:val="single"/>
        </w:rPr>
        <w:t xml:space="preserve">References </w:t>
      </w:r>
    </w:p>
    <w:p w:rsidR="0049307B" w:rsidRPr="0049307B" w:rsidRDefault="0049307B" w:rsidP="0049307B">
      <w:pPr>
        <w:shd w:val="clear" w:color="auto" w:fill="FFFFFF"/>
        <w:spacing w:before="100" w:beforeAutospacing="1" w:after="100" w:afterAutospacing="1" w:line="240" w:lineRule="auto"/>
        <w:ind w:left="720"/>
        <w:rPr>
          <w:rFonts w:ascii="Tahoma" w:eastAsia="Times New Roman" w:hAnsi="Tahoma" w:cs="Tahoma"/>
          <w:color w:val="1A1A1A"/>
          <w:sz w:val="20"/>
          <w:szCs w:val="20"/>
          <w:lang w:eastAsia="en-GB"/>
        </w:rPr>
      </w:pPr>
      <w:r w:rsidRPr="0049307B">
        <w:rPr>
          <w:rFonts w:ascii="Tahoma" w:eastAsia="Times New Roman" w:hAnsi="Tahoma" w:cs="Tahoma"/>
          <w:color w:val="1A1A1A"/>
          <w:sz w:val="20"/>
          <w:szCs w:val="20"/>
          <w:lang w:eastAsia="en-GB"/>
        </w:rPr>
        <w:t>Archive.acas.org.uk. 2014. </w:t>
      </w:r>
      <w:r w:rsidRPr="0049307B">
        <w:rPr>
          <w:rFonts w:ascii="Tahoma" w:eastAsia="Times New Roman" w:hAnsi="Tahoma" w:cs="Tahoma"/>
          <w:i/>
          <w:iCs/>
          <w:color w:val="1A1A1A"/>
          <w:sz w:val="20"/>
          <w:szCs w:val="20"/>
          <w:lang w:eastAsia="en-GB"/>
        </w:rPr>
        <w:t xml:space="preserve">Macleod And </w:t>
      </w:r>
      <w:r w:rsidR="00CD5CDC" w:rsidRPr="0049307B">
        <w:rPr>
          <w:rFonts w:ascii="Tahoma" w:eastAsia="Times New Roman" w:hAnsi="Tahoma" w:cs="Tahoma"/>
          <w:i/>
          <w:iCs/>
          <w:color w:val="1A1A1A"/>
          <w:sz w:val="20"/>
          <w:szCs w:val="20"/>
          <w:lang w:eastAsia="en-GB"/>
        </w:rPr>
        <w:t>Clarkes’</w:t>
      </w:r>
      <w:r w:rsidRPr="0049307B">
        <w:rPr>
          <w:rFonts w:ascii="Tahoma" w:eastAsia="Times New Roman" w:hAnsi="Tahoma" w:cs="Tahoma"/>
          <w:i/>
          <w:iCs/>
          <w:color w:val="1A1A1A"/>
          <w:sz w:val="20"/>
          <w:szCs w:val="20"/>
          <w:lang w:eastAsia="en-GB"/>
        </w:rPr>
        <w:t xml:space="preserve"> Concept </w:t>
      </w:r>
      <w:r w:rsidR="00CD5CDC" w:rsidRPr="0049307B">
        <w:rPr>
          <w:rFonts w:ascii="Tahoma" w:eastAsia="Times New Roman" w:hAnsi="Tahoma" w:cs="Tahoma"/>
          <w:i/>
          <w:iCs/>
          <w:color w:val="1A1A1A"/>
          <w:sz w:val="20"/>
          <w:szCs w:val="20"/>
          <w:lang w:eastAsia="en-GB"/>
        </w:rPr>
        <w:t>of</w:t>
      </w:r>
      <w:r w:rsidRPr="0049307B">
        <w:rPr>
          <w:rFonts w:ascii="Tahoma" w:eastAsia="Times New Roman" w:hAnsi="Tahoma" w:cs="Tahoma"/>
          <w:i/>
          <w:iCs/>
          <w:color w:val="1A1A1A"/>
          <w:sz w:val="20"/>
          <w:szCs w:val="20"/>
          <w:lang w:eastAsia="en-GB"/>
        </w:rPr>
        <w:t xml:space="preserve"> Employee Engagement: An Analysis Based </w:t>
      </w:r>
      <w:r w:rsidR="00CD5CDC" w:rsidRPr="0049307B">
        <w:rPr>
          <w:rFonts w:ascii="Tahoma" w:eastAsia="Times New Roman" w:hAnsi="Tahoma" w:cs="Tahoma"/>
          <w:i/>
          <w:iCs/>
          <w:color w:val="1A1A1A"/>
          <w:sz w:val="20"/>
          <w:szCs w:val="20"/>
          <w:lang w:eastAsia="en-GB"/>
        </w:rPr>
        <w:t>on</w:t>
      </w:r>
      <w:r w:rsidRPr="0049307B">
        <w:rPr>
          <w:rFonts w:ascii="Tahoma" w:eastAsia="Times New Roman" w:hAnsi="Tahoma" w:cs="Tahoma"/>
          <w:i/>
          <w:iCs/>
          <w:color w:val="1A1A1A"/>
          <w:sz w:val="20"/>
          <w:szCs w:val="20"/>
          <w:lang w:eastAsia="en-GB"/>
        </w:rPr>
        <w:t xml:space="preserve"> The Workplace Employment Relations Study</w:t>
      </w:r>
      <w:r w:rsidRPr="0049307B">
        <w:rPr>
          <w:rFonts w:ascii="Tahoma" w:eastAsia="Times New Roman" w:hAnsi="Tahoma" w:cs="Tahoma"/>
          <w:color w:val="1A1A1A"/>
          <w:sz w:val="20"/>
          <w:szCs w:val="20"/>
          <w:lang w:eastAsia="en-GB"/>
        </w:rPr>
        <w:t xml:space="preserve">. [online] Available at: https://archive.acas.org.uk/media/4029/MacLeod-and-Clarkes-Concept-of-Employee-Engagement-An-Analysis-based-on-the-Workplace-Employment-Relations-Study/pdf/08140-MacLeod-Clarkes-Concept-of-Employee-Engagement. [Accessed </w:t>
      </w:r>
      <w:r>
        <w:rPr>
          <w:rFonts w:ascii="Tahoma" w:eastAsia="Times New Roman" w:hAnsi="Tahoma" w:cs="Tahoma"/>
          <w:color w:val="1A1A1A"/>
          <w:sz w:val="20"/>
          <w:szCs w:val="20"/>
          <w:lang w:eastAsia="en-GB"/>
        </w:rPr>
        <w:t>5</w:t>
      </w:r>
      <w:r w:rsidRPr="0049307B">
        <w:rPr>
          <w:rFonts w:ascii="Tahoma" w:eastAsia="Times New Roman" w:hAnsi="Tahoma" w:cs="Tahoma"/>
          <w:color w:val="1A1A1A"/>
          <w:sz w:val="20"/>
          <w:szCs w:val="20"/>
          <w:vertAlign w:val="superscript"/>
          <w:lang w:eastAsia="en-GB"/>
        </w:rPr>
        <w:t>th</w:t>
      </w:r>
      <w:r>
        <w:rPr>
          <w:rFonts w:ascii="Tahoma" w:eastAsia="Times New Roman" w:hAnsi="Tahoma" w:cs="Tahoma"/>
          <w:color w:val="1A1A1A"/>
          <w:sz w:val="20"/>
          <w:szCs w:val="20"/>
          <w:lang w:eastAsia="en-GB"/>
        </w:rPr>
        <w:t xml:space="preserve"> February 2022</w:t>
      </w:r>
      <w:r w:rsidRPr="0049307B">
        <w:rPr>
          <w:rFonts w:ascii="Tahoma" w:eastAsia="Times New Roman" w:hAnsi="Tahoma" w:cs="Tahoma"/>
          <w:color w:val="1A1A1A"/>
          <w:sz w:val="20"/>
          <w:szCs w:val="20"/>
          <w:lang w:eastAsia="en-GB"/>
        </w:rPr>
        <w:t>]</w:t>
      </w:r>
    </w:p>
    <w:p w:rsidR="0049307B" w:rsidRDefault="0049307B" w:rsidP="0049307B">
      <w:pPr>
        <w:shd w:val="clear" w:color="auto" w:fill="FFFFFF"/>
        <w:spacing w:after="0" w:line="240" w:lineRule="auto"/>
        <w:ind w:left="720"/>
        <w:rPr>
          <w:rFonts w:ascii="Tahoma" w:eastAsia="Times New Roman" w:hAnsi="Tahoma" w:cs="Tahoma"/>
          <w:color w:val="1A1A1A"/>
          <w:sz w:val="20"/>
          <w:szCs w:val="20"/>
          <w:lang w:eastAsia="en-GB"/>
        </w:rPr>
      </w:pPr>
      <w:r w:rsidRPr="0049307B">
        <w:rPr>
          <w:rFonts w:ascii="Tahoma" w:eastAsia="Times New Roman" w:hAnsi="Tahoma" w:cs="Tahoma"/>
          <w:color w:val="1A1A1A"/>
          <w:sz w:val="20"/>
          <w:szCs w:val="20"/>
          <w:lang w:eastAsia="en-GB"/>
        </w:rPr>
        <w:lastRenderedPageBreak/>
        <w:t> Taylor, S. and Woodhams, C., n.d. </w:t>
      </w:r>
      <w:r w:rsidRPr="0049307B">
        <w:rPr>
          <w:rFonts w:ascii="Tahoma" w:eastAsia="Times New Roman" w:hAnsi="Tahoma" w:cs="Tahoma"/>
          <w:i/>
          <w:iCs/>
          <w:color w:val="1A1A1A"/>
          <w:sz w:val="20"/>
          <w:szCs w:val="20"/>
          <w:lang w:eastAsia="en-GB"/>
        </w:rPr>
        <w:t>Human Resource Management</w:t>
      </w:r>
      <w:r w:rsidRPr="0049307B">
        <w:rPr>
          <w:rFonts w:ascii="Tahoma" w:eastAsia="Times New Roman" w:hAnsi="Tahoma" w:cs="Tahoma"/>
          <w:color w:val="1A1A1A"/>
          <w:sz w:val="20"/>
          <w:szCs w:val="20"/>
          <w:lang w:eastAsia="en-GB"/>
        </w:rPr>
        <w:t>. 2nd ed. London: Chartered Institute of Personnel and Development, p.81. </w:t>
      </w:r>
    </w:p>
    <w:p w:rsidR="0049307B" w:rsidRDefault="0049307B" w:rsidP="0049307B">
      <w:pPr>
        <w:shd w:val="clear" w:color="auto" w:fill="FFFFFF"/>
        <w:spacing w:after="0" w:line="240" w:lineRule="auto"/>
        <w:ind w:left="720"/>
        <w:rPr>
          <w:rFonts w:ascii="Tahoma" w:eastAsia="Times New Roman" w:hAnsi="Tahoma" w:cs="Tahoma"/>
          <w:color w:val="1A1A1A"/>
          <w:sz w:val="20"/>
          <w:szCs w:val="20"/>
          <w:lang w:eastAsia="en-GB"/>
        </w:rPr>
      </w:pPr>
    </w:p>
    <w:p w:rsidR="0049307B" w:rsidRDefault="0049307B" w:rsidP="0049307B">
      <w:pPr>
        <w:shd w:val="clear" w:color="auto" w:fill="FFFFFF"/>
        <w:spacing w:after="0" w:line="240" w:lineRule="auto"/>
        <w:ind w:left="720"/>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Andrews Property Group Available at:</w:t>
      </w:r>
    </w:p>
    <w:p w:rsidR="0049307B" w:rsidRDefault="0082131D" w:rsidP="0049307B">
      <w:pPr>
        <w:shd w:val="clear" w:color="auto" w:fill="FFFFFF"/>
        <w:spacing w:after="0" w:line="240" w:lineRule="auto"/>
        <w:ind w:left="720"/>
        <w:rPr>
          <w:rFonts w:ascii="Tahoma" w:eastAsia="Times New Roman" w:hAnsi="Tahoma" w:cs="Tahoma"/>
          <w:color w:val="1A1A1A"/>
          <w:sz w:val="20"/>
          <w:szCs w:val="20"/>
          <w:lang w:eastAsia="en-GB"/>
        </w:rPr>
      </w:pPr>
      <w:hyperlink r:id="rId7" w:history="1">
        <w:r w:rsidR="00227898" w:rsidRPr="00BE10C5">
          <w:rPr>
            <w:rStyle w:val="Hyperlink"/>
            <w:rFonts w:ascii="Tahoma" w:eastAsia="Times New Roman" w:hAnsi="Tahoma" w:cs="Tahoma"/>
            <w:sz w:val="20"/>
            <w:szCs w:val="20"/>
            <w:lang w:eastAsia="en-GB"/>
          </w:rPr>
          <w:t>https://www.andrewspropertygroup.com</w:t>
        </w:r>
      </w:hyperlink>
    </w:p>
    <w:p w:rsidR="00227898" w:rsidRDefault="00227898" w:rsidP="0049307B">
      <w:pPr>
        <w:shd w:val="clear" w:color="auto" w:fill="FFFFFF"/>
        <w:spacing w:after="0" w:line="240" w:lineRule="auto"/>
        <w:ind w:left="720"/>
        <w:rPr>
          <w:rFonts w:ascii="Tahoma" w:eastAsia="Times New Roman" w:hAnsi="Tahoma" w:cs="Tahoma"/>
          <w:color w:val="1A1A1A"/>
          <w:sz w:val="20"/>
          <w:szCs w:val="20"/>
          <w:lang w:eastAsia="en-GB"/>
        </w:rPr>
      </w:pPr>
    </w:p>
    <w:p w:rsidR="00B87D73" w:rsidRDefault="00227898" w:rsidP="00B87D73">
      <w:pPr>
        <w:numPr>
          <w:ilvl w:val="0"/>
          <w:numId w:val="4"/>
        </w:numPr>
        <w:shd w:val="clear" w:color="auto" w:fill="FFFFFF"/>
        <w:spacing w:before="100" w:beforeAutospacing="1" w:after="100" w:afterAutospacing="1" w:line="240" w:lineRule="auto"/>
        <w:rPr>
          <w:rFonts w:ascii="Tahoma" w:eastAsia="Times New Roman" w:hAnsi="Tahoma" w:cs="Tahoma"/>
          <w:color w:val="1A1A1A"/>
          <w:sz w:val="20"/>
          <w:szCs w:val="20"/>
          <w:lang w:eastAsia="en-GB"/>
        </w:rPr>
      </w:pPr>
      <w:r w:rsidRPr="00227898">
        <w:rPr>
          <w:rFonts w:ascii="Tahoma" w:eastAsia="Times New Roman" w:hAnsi="Tahoma" w:cs="Tahoma"/>
          <w:color w:val="1A1A1A"/>
          <w:sz w:val="20"/>
          <w:szCs w:val="20"/>
          <w:lang w:eastAsia="en-GB"/>
        </w:rPr>
        <w:t>Gifford, J., 2019. </w:t>
      </w:r>
      <w:r w:rsidRPr="00227898">
        <w:rPr>
          <w:rFonts w:ascii="Tahoma" w:eastAsia="Times New Roman" w:hAnsi="Tahoma" w:cs="Tahoma"/>
          <w:i/>
          <w:iCs/>
          <w:color w:val="1A1A1A"/>
          <w:sz w:val="20"/>
          <w:szCs w:val="20"/>
          <w:lang w:eastAsia="en-GB"/>
        </w:rPr>
        <w:t>Employee Engagement &amp; Motivation | Factsheets | CIPD</w:t>
      </w:r>
      <w:r w:rsidRPr="00227898">
        <w:rPr>
          <w:rFonts w:ascii="Tahoma" w:eastAsia="Times New Roman" w:hAnsi="Tahoma" w:cs="Tahoma"/>
          <w:color w:val="1A1A1A"/>
          <w:sz w:val="20"/>
          <w:szCs w:val="20"/>
          <w:lang w:eastAsia="en-GB"/>
        </w:rPr>
        <w:t xml:space="preserve">. [online] CIPD. Available at: </w:t>
      </w:r>
      <w:hyperlink r:id="rId8" w:history="1">
        <w:r w:rsidRPr="00BE10C5">
          <w:rPr>
            <w:rStyle w:val="Hyperlink"/>
            <w:rFonts w:ascii="Tahoma" w:eastAsia="Times New Roman" w:hAnsi="Tahoma" w:cs="Tahoma"/>
            <w:sz w:val="20"/>
            <w:szCs w:val="20"/>
            <w:lang w:eastAsia="en-GB"/>
          </w:rPr>
          <w:t>https://www.cipd.co.uk/knowledge/fundamentals/relations/engagement/factsheet</w:t>
        </w:r>
      </w:hyperlink>
      <w:r>
        <w:rPr>
          <w:rFonts w:ascii="Tahoma" w:eastAsia="Times New Roman" w:hAnsi="Tahoma" w:cs="Tahoma"/>
          <w:color w:val="1A1A1A"/>
          <w:sz w:val="20"/>
          <w:szCs w:val="20"/>
          <w:lang w:eastAsia="en-GB"/>
        </w:rPr>
        <w:t xml:space="preserve"> </w:t>
      </w:r>
      <w:r w:rsidRPr="00227898">
        <w:rPr>
          <w:rFonts w:ascii="Tahoma" w:eastAsia="Times New Roman" w:hAnsi="Tahoma" w:cs="Tahoma"/>
          <w:color w:val="1A1A1A"/>
          <w:sz w:val="20"/>
          <w:szCs w:val="20"/>
          <w:lang w:eastAsia="en-GB"/>
        </w:rPr>
        <w:t xml:space="preserve">[Accessed </w:t>
      </w:r>
      <w:r>
        <w:rPr>
          <w:rFonts w:ascii="Tahoma" w:eastAsia="Times New Roman" w:hAnsi="Tahoma" w:cs="Tahoma"/>
          <w:color w:val="1A1A1A"/>
          <w:sz w:val="20"/>
          <w:szCs w:val="20"/>
          <w:lang w:eastAsia="en-GB"/>
        </w:rPr>
        <w:t>6th February 2022</w:t>
      </w:r>
      <w:r w:rsidRPr="00227898">
        <w:rPr>
          <w:rFonts w:ascii="Tahoma" w:eastAsia="Times New Roman" w:hAnsi="Tahoma" w:cs="Tahoma"/>
          <w:color w:val="1A1A1A"/>
          <w:sz w:val="20"/>
          <w:szCs w:val="20"/>
          <w:lang w:eastAsia="en-GB"/>
        </w:rPr>
        <w:t>]. </w:t>
      </w:r>
    </w:p>
    <w:p w:rsidR="00CA7A90" w:rsidRDefault="00CA7A90" w:rsidP="00CA7A90">
      <w:pPr>
        <w:shd w:val="clear" w:color="auto" w:fill="FFFFFF"/>
        <w:spacing w:before="100" w:beforeAutospacing="1" w:after="100" w:afterAutospacing="1" w:line="240" w:lineRule="auto"/>
        <w:rPr>
          <w:rFonts w:ascii="Tahoma" w:eastAsia="Times New Roman" w:hAnsi="Tahoma" w:cs="Tahoma"/>
          <w:color w:val="1A1A1A"/>
          <w:sz w:val="20"/>
          <w:szCs w:val="20"/>
          <w:lang w:eastAsia="en-GB"/>
        </w:rPr>
      </w:pPr>
    </w:p>
    <w:p w:rsidR="00B87D73" w:rsidRDefault="00B87D73" w:rsidP="00B87D73">
      <w:pPr>
        <w:shd w:val="clear" w:color="auto" w:fill="FFFFFF"/>
        <w:spacing w:before="100" w:beforeAutospacing="1" w:after="100" w:afterAutospacing="1" w:line="240" w:lineRule="auto"/>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On the job submission</w:t>
      </w:r>
    </w:p>
    <w:p w:rsidR="00B87D73" w:rsidRDefault="00B87D73" w:rsidP="00B87D73">
      <w:pPr>
        <w:shd w:val="clear" w:color="auto" w:fill="FFFFFF"/>
        <w:spacing w:before="100" w:beforeAutospacing="1" w:after="100" w:afterAutospacing="1" w:line="240" w:lineRule="auto"/>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Question 2</w:t>
      </w:r>
    </w:p>
    <w:p w:rsidR="00B87D73" w:rsidRDefault="00B87D73"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Andrews Property Group has never issued an employee engagement survey. We do not know exactly how our people feel. I have a new HR system which will also launch an engagement system that will support surveys and pulse surveys to all employees.</w:t>
      </w:r>
    </w:p>
    <w:p w:rsidR="00B87D73" w:rsidRDefault="00B87D73"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I am looking to keep the survey anonymous, however ask what area of the business they work for, this will allow the head of the area to work with their people to improve the engagement. By the manager working on this improvement will also support the management with their employees.</w:t>
      </w:r>
    </w:p>
    <w:p w:rsidR="00B87D73" w:rsidRDefault="00B87D73"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 xml:space="preserve">The drivers of employee engagement include job security and value, opportunity for growth, appreciation and reward and employee </w:t>
      </w:r>
      <w:r w:rsidRPr="007B6275">
        <w:rPr>
          <w:rFonts w:ascii="Tahoma" w:eastAsia="Times New Roman" w:hAnsi="Tahoma" w:cs="Tahoma"/>
          <w:color w:val="1A1A1A"/>
          <w:sz w:val="20"/>
          <w:szCs w:val="20"/>
          <w:lang w:eastAsia="en-GB"/>
        </w:rPr>
        <w:t>welfare</w:t>
      </w:r>
      <w:r>
        <w:rPr>
          <w:rFonts w:ascii="Tahoma" w:eastAsia="Times New Roman" w:hAnsi="Tahoma" w:cs="Tahoma"/>
          <w:color w:val="1A1A1A"/>
          <w:sz w:val="20"/>
          <w:szCs w:val="20"/>
          <w:lang w:eastAsia="en-GB"/>
        </w:rPr>
        <w:t>. These are key to maximising the productivity of the workforce. When employees are content with their working conditions, their outputs complement other components by maximising impacts (Oluwatayo and Adetoro</w:t>
      </w:r>
      <w:r w:rsidR="005A103D">
        <w:rPr>
          <w:rFonts w:ascii="Tahoma" w:eastAsia="Times New Roman" w:hAnsi="Tahoma" w:cs="Tahoma"/>
          <w:color w:val="1A1A1A"/>
          <w:sz w:val="20"/>
          <w:szCs w:val="20"/>
          <w:lang w:eastAsia="en-GB"/>
        </w:rPr>
        <w:t xml:space="preserve">, </w:t>
      </w:r>
      <w:r>
        <w:rPr>
          <w:rFonts w:ascii="Tahoma" w:eastAsia="Times New Roman" w:hAnsi="Tahoma" w:cs="Tahoma"/>
          <w:color w:val="1A1A1A"/>
          <w:sz w:val="20"/>
          <w:szCs w:val="20"/>
          <w:lang w:eastAsia="en-GB"/>
        </w:rPr>
        <w:t>2020).</w:t>
      </w:r>
    </w:p>
    <w:p w:rsidR="005A103D" w:rsidRDefault="00A35E89"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 xml:space="preserve">Our internal </w:t>
      </w:r>
      <w:r w:rsidR="007B6275">
        <w:rPr>
          <w:rFonts w:ascii="Tahoma" w:eastAsia="Times New Roman" w:hAnsi="Tahoma" w:cs="Tahoma"/>
          <w:color w:val="1A1A1A"/>
          <w:sz w:val="20"/>
          <w:szCs w:val="20"/>
          <w:lang w:eastAsia="en-GB"/>
        </w:rPr>
        <w:t>documents are on the intranet that we call SharePoint. This platform is new to Andrews Property Group, this means that not everybody is using this. I have spoken to all the head of departments to engage and guide the employees to SharePoint for all information on general communication, policies and procedures, internal vacancies and information on all departments within Andrews Property Group. SharePoint is also a key area for ongoing training and coaching, with short videos for a more interactive learning experience. We are also looking at reintroducing Yammer as a form of communication. This will allow departments to have communication groups and the business to communicate to all. We can also put fun things on this platform to engage our employees like recipes and quizzes.</w:t>
      </w:r>
    </w:p>
    <w:p w:rsidR="00CA7A90" w:rsidRDefault="00932743"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I have set up employee engagement groups</w:t>
      </w:r>
      <w:r w:rsidR="00286C94">
        <w:rPr>
          <w:rFonts w:ascii="Tahoma" w:eastAsia="Times New Roman" w:hAnsi="Tahoma" w:cs="Tahoma"/>
          <w:color w:val="1A1A1A"/>
          <w:sz w:val="20"/>
          <w:szCs w:val="20"/>
          <w:lang w:eastAsia="en-GB"/>
        </w:rPr>
        <w:t>. This will be held quarterly, it is a group of ten employees and they provide questions prior to the meeting, so that we are able to answer as best as possible. Along with giving them information on the business and what will be happening going forward. The group are key communicators and they support with delivering to the business.</w:t>
      </w:r>
    </w:p>
    <w:p w:rsidR="00286C94" w:rsidRDefault="00286C94"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Exit interviews were not in place when I started in the business 12 months ago. However, exit interviews look to establish areas where things went wrong by focusing and asking questions of individuals. Some of our employees leave for personal reasons or some leave due to the business. We also ask what we can do to improve our business (Oluwayto and Adetoro, 2020). It is ideal that exit interviews are accompanied with a written survey as employees tend to be more open and honest (Shuck el as, 2017).</w:t>
      </w:r>
    </w:p>
    <w:p w:rsidR="0097441F" w:rsidRDefault="0097441F"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At Andrews Property Group there are many more things that I and the business can do to encourage and sustain employee engagement.</w:t>
      </w:r>
    </w:p>
    <w:p w:rsidR="0097441F" w:rsidRDefault="0097441F"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p>
    <w:p w:rsidR="00286C94" w:rsidRDefault="00286C94"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p>
    <w:p w:rsidR="001E4DD6" w:rsidRDefault="001E4DD6"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References</w:t>
      </w:r>
    </w:p>
    <w:p w:rsidR="001E4DD6" w:rsidRDefault="001E4DD6"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 xml:space="preserve">Andrews Property Group </w:t>
      </w:r>
      <w:hyperlink r:id="rId9" w:history="1">
        <w:r w:rsidRPr="003F1C3E">
          <w:rPr>
            <w:rStyle w:val="Hyperlink"/>
            <w:rFonts w:ascii="Tahoma" w:eastAsia="Times New Roman" w:hAnsi="Tahoma" w:cs="Tahoma"/>
            <w:sz w:val="20"/>
            <w:szCs w:val="20"/>
            <w:lang w:eastAsia="en-GB"/>
          </w:rPr>
          <w:t>https://www.andrewspropertygroup.com</w:t>
        </w:r>
      </w:hyperlink>
    </w:p>
    <w:p w:rsidR="001E4DD6" w:rsidRDefault="001E4DD6"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 xml:space="preserve">Oluwatayo, A.A and Adetoro, O 2020. Influence of employee attributes, Work context and human resources management practices on employee job engagement global journal of flexible </w:t>
      </w:r>
      <w:r w:rsidR="00CD5CDC">
        <w:rPr>
          <w:rFonts w:ascii="Tahoma" w:eastAsia="Times New Roman" w:hAnsi="Tahoma" w:cs="Tahoma"/>
          <w:color w:val="1A1A1A"/>
          <w:sz w:val="20"/>
          <w:szCs w:val="20"/>
          <w:lang w:eastAsia="en-GB"/>
        </w:rPr>
        <w:t>systems</w:t>
      </w:r>
      <w:r>
        <w:rPr>
          <w:rFonts w:ascii="Tahoma" w:eastAsia="Times New Roman" w:hAnsi="Tahoma" w:cs="Tahoma"/>
          <w:color w:val="1A1A1A"/>
          <w:sz w:val="20"/>
          <w:szCs w:val="20"/>
          <w:lang w:eastAsia="en-GB"/>
        </w:rPr>
        <w:t xml:space="preserve"> management, 21(4) pp 295-308.</w:t>
      </w:r>
    </w:p>
    <w:p w:rsidR="001E4DD6" w:rsidRDefault="001E4DD6"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Shuck B, Adelson, J.L. and Reio Jr, T.G 2017. The employee engagement scale: initial evidence for construc</w:t>
      </w:r>
      <w:r w:rsidR="0097441F">
        <w:rPr>
          <w:rFonts w:ascii="Tahoma" w:eastAsia="Times New Roman" w:hAnsi="Tahoma" w:cs="Tahoma"/>
          <w:color w:val="1A1A1A"/>
          <w:sz w:val="20"/>
          <w:szCs w:val="20"/>
          <w:lang w:eastAsia="en-GB"/>
        </w:rPr>
        <w:t>t validity and implications for theory and practice. Human resources management, 56(6) pp 953-977.</w:t>
      </w:r>
    </w:p>
    <w:p w:rsidR="0097441F" w:rsidRDefault="0097441F"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p>
    <w:p w:rsidR="007255BD" w:rsidRDefault="007255BD"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p>
    <w:p w:rsidR="007255BD" w:rsidRDefault="007255BD"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p>
    <w:p w:rsidR="007255BD" w:rsidRDefault="007255BD"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p>
    <w:p w:rsidR="0097441F" w:rsidRDefault="0097441F"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 xml:space="preserve">On the job submission </w:t>
      </w:r>
    </w:p>
    <w:p w:rsidR="0097441F" w:rsidRDefault="0097441F"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Question Three</w:t>
      </w:r>
    </w:p>
    <w:p w:rsidR="007255BD" w:rsidRDefault="007255BD" w:rsidP="00286C94">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p>
    <w:p w:rsidR="007255BD" w:rsidRDefault="007255BD"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As people team lead at Andrews Property Group I am involved in employee engagement at all levels. These include communication, engagement surveys, exit interviews, engagement forum groups and engraining with key stakeholder</w:t>
      </w:r>
    </w:p>
    <w:p w:rsidR="00286C94" w:rsidRDefault="00895F6D" w:rsidP="00286C94">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noProof/>
        </w:rPr>
        <w:lastRenderedPageBreak/>
        <w:drawing>
          <wp:inline distT="0" distB="0" distL="0" distR="0" wp14:anchorId="0D72CDD0" wp14:editId="2F8982FC">
            <wp:extent cx="4748530" cy="3909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48530" cy="3909060"/>
                    </a:xfrm>
                    <a:prstGeom prst="rect">
                      <a:avLst/>
                    </a:prstGeom>
                  </pic:spPr>
                </pic:pic>
              </a:graphicData>
            </a:graphic>
          </wp:inline>
        </w:drawing>
      </w:r>
    </w:p>
    <w:p w:rsidR="00B87D73" w:rsidRDefault="007255B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My people team are involved at all stages of the engagement process. We support the business with our knowledge and business cases for the need of employee engagement.</w:t>
      </w:r>
    </w:p>
    <w:p w:rsidR="007255BD" w:rsidRDefault="007255B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I have had a conversation with my line manage, as CIPD states, it is about understanding the role that line mangers and trust plays in the employment relationship. Employee engagement enables people to have a voice. It also looks at other factors which impact the work experience, such as well-being, employer brand and the way communication channels are used.</w:t>
      </w:r>
    </w:p>
    <w:p w:rsidR="007255BD" w:rsidRDefault="007255B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I am currently working on delivering the new brand and values with the learning and development team. These will be delivered to the whole business and planned listening groups will be set up later in the year to drive culture and employee engagement.</w:t>
      </w:r>
    </w:p>
    <w:p w:rsidR="007255BD" w:rsidRDefault="007255B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 xml:space="preserve">I am working on employee </w:t>
      </w:r>
      <w:r w:rsidR="00CD5CDC">
        <w:rPr>
          <w:rFonts w:ascii="Tahoma" w:eastAsia="Times New Roman" w:hAnsi="Tahoma" w:cs="Tahoma"/>
          <w:color w:val="1A1A1A"/>
          <w:sz w:val="20"/>
          <w:szCs w:val="20"/>
          <w:lang w:eastAsia="en-GB"/>
        </w:rPr>
        <w:t>engagement</w:t>
      </w:r>
      <w:r>
        <w:rPr>
          <w:rFonts w:ascii="Tahoma" w:eastAsia="Times New Roman" w:hAnsi="Tahoma" w:cs="Tahoma"/>
          <w:color w:val="1A1A1A"/>
          <w:sz w:val="20"/>
          <w:szCs w:val="20"/>
          <w:lang w:eastAsia="en-GB"/>
        </w:rPr>
        <w:t xml:space="preserve"> surveys. I will be coaching to the line mangers on how to improve their departments employee engagement</w:t>
      </w:r>
      <w:r w:rsidR="00CD5CDC">
        <w:rPr>
          <w:rFonts w:ascii="Tahoma" w:eastAsia="Times New Roman" w:hAnsi="Tahoma" w:cs="Tahoma"/>
          <w:color w:val="1A1A1A"/>
          <w:sz w:val="20"/>
          <w:szCs w:val="20"/>
          <w:lang w:eastAsia="en-GB"/>
        </w:rPr>
        <w:t>.</w:t>
      </w:r>
    </w:p>
    <w:p w:rsidR="00CD5CDC" w:rsidRDefault="00CD5CDC"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I believe that I fully understand what is required, I now have to influence key stakeholders.</w:t>
      </w:r>
    </w:p>
    <w:p w:rsidR="00CD5CDC" w:rsidRDefault="00CD5CDC"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p>
    <w:p w:rsidR="00CD5CDC" w:rsidRDefault="00CD5CDC" w:rsidP="007255BD">
      <w:pPr>
        <w:shd w:val="clear" w:color="auto" w:fill="FFFFFF"/>
        <w:spacing w:before="100" w:beforeAutospacing="1" w:after="100" w:afterAutospacing="1" w:line="240" w:lineRule="auto"/>
        <w:jc w:val="both"/>
        <w:rPr>
          <w:rFonts w:ascii="Tahoma" w:eastAsia="Times New Roman" w:hAnsi="Tahoma" w:cs="Tahoma"/>
          <w:b/>
          <w:color w:val="1A1A1A"/>
          <w:sz w:val="20"/>
          <w:szCs w:val="20"/>
          <w:u w:val="single"/>
          <w:lang w:eastAsia="en-GB"/>
        </w:rPr>
      </w:pPr>
      <w:r>
        <w:rPr>
          <w:rFonts w:ascii="Tahoma" w:eastAsia="Times New Roman" w:hAnsi="Tahoma" w:cs="Tahoma"/>
          <w:b/>
          <w:color w:val="1A1A1A"/>
          <w:sz w:val="20"/>
          <w:szCs w:val="20"/>
          <w:u w:val="single"/>
          <w:lang w:eastAsia="en-GB"/>
        </w:rPr>
        <w:t>Reference</w:t>
      </w:r>
    </w:p>
    <w:p w:rsidR="00CD5CDC" w:rsidRDefault="00CD5CDC"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CIPD Cipd profession map</w:t>
      </w:r>
    </w:p>
    <w:p w:rsidR="00CD5CDC" w:rsidRDefault="0082131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hyperlink r:id="rId11" w:history="1">
        <w:r w:rsidR="00CD5CDC" w:rsidRPr="003F1C3E">
          <w:rPr>
            <w:rStyle w:val="Hyperlink"/>
            <w:rFonts w:ascii="Tahoma" w:eastAsia="Times New Roman" w:hAnsi="Tahoma" w:cs="Tahoma"/>
            <w:sz w:val="20"/>
            <w:szCs w:val="20"/>
            <w:lang w:eastAsia="en-GB"/>
          </w:rPr>
          <w:t>https://peopleprofession.cipd.org/profession-map</w:t>
        </w:r>
      </w:hyperlink>
    </w:p>
    <w:p w:rsidR="00CD5CDC" w:rsidRDefault="00CD5CDC"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r>
        <w:rPr>
          <w:rFonts w:ascii="Tahoma" w:eastAsia="Times New Roman" w:hAnsi="Tahoma" w:cs="Tahoma"/>
          <w:color w:val="1A1A1A"/>
          <w:sz w:val="20"/>
          <w:szCs w:val="20"/>
          <w:lang w:eastAsia="en-GB"/>
        </w:rPr>
        <w:t>Andrews Property Group</w:t>
      </w:r>
    </w:p>
    <w:p w:rsidR="00CD5CDC" w:rsidRDefault="0082131D"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hyperlink r:id="rId12" w:history="1">
        <w:r w:rsidR="00CD5CDC" w:rsidRPr="003F1C3E">
          <w:rPr>
            <w:rStyle w:val="Hyperlink"/>
            <w:rFonts w:ascii="Tahoma" w:eastAsia="Times New Roman" w:hAnsi="Tahoma" w:cs="Tahoma"/>
            <w:sz w:val="20"/>
            <w:szCs w:val="20"/>
            <w:lang w:eastAsia="en-GB"/>
          </w:rPr>
          <w:t>https://andrewspropertygroup.com</w:t>
        </w:r>
      </w:hyperlink>
    </w:p>
    <w:p w:rsidR="00CD5CDC" w:rsidRPr="00CD5CDC" w:rsidRDefault="00CD5CDC" w:rsidP="007255BD">
      <w:pPr>
        <w:shd w:val="clear" w:color="auto" w:fill="FFFFFF"/>
        <w:spacing w:before="100" w:beforeAutospacing="1" w:after="100" w:afterAutospacing="1" w:line="240" w:lineRule="auto"/>
        <w:jc w:val="both"/>
        <w:rPr>
          <w:rFonts w:ascii="Tahoma" w:eastAsia="Times New Roman" w:hAnsi="Tahoma" w:cs="Tahoma"/>
          <w:color w:val="1A1A1A"/>
          <w:sz w:val="20"/>
          <w:szCs w:val="20"/>
          <w:lang w:eastAsia="en-GB"/>
        </w:rPr>
      </w:pPr>
    </w:p>
    <w:p w:rsidR="00B87D73" w:rsidRPr="00B87D73" w:rsidRDefault="00B87D73" w:rsidP="00B87D73">
      <w:pPr>
        <w:shd w:val="clear" w:color="auto" w:fill="FFFFFF"/>
        <w:spacing w:before="100" w:beforeAutospacing="1" w:after="100" w:afterAutospacing="1" w:line="240" w:lineRule="auto"/>
        <w:rPr>
          <w:rFonts w:ascii="Tahoma" w:eastAsia="Times New Roman" w:hAnsi="Tahoma" w:cs="Tahoma"/>
          <w:color w:val="1A1A1A"/>
          <w:sz w:val="20"/>
          <w:szCs w:val="20"/>
          <w:lang w:eastAsia="en-GB"/>
        </w:rPr>
      </w:pPr>
    </w:p>
    <w:p w:rsidR="00227898" w:rsidRPr="00227898" w:rsidRDefault="00227898" w:rsidP="0049307B">
      <w:pPr>
        <w:shd w:val="clear" w:color="auto" w:fill="FFFFFF"/>
        <w:spacing w:after="0" w:line="240" w:lineRule="auto"/>
        <w:ind w:left="720"/>
        <w:rPr>
          <w:rFonts w:ascii="Tahoma" w:eastAsia="Times New Roman" w:hAnsi="Tahoma" w:cs="Tahoma"/>
          <w:color w:val="1A1A1A"/>
          <w:sz w:val="20"/>
          <w:szCs w:val="20"/>
          <w:lang w:eastAsia="en-GB"/>
        </w:rPr>
      </w:pPr>
    </w:p>
    <w:p w:rsidR="0049307B" w:rsidRPr="0049307B" w:rsidRDefault="0049307B" w:rsidP="0049307B">
      <w:pPr>
        <w:shd w:val="clear" w:color="auto" w:fill="FFFFFF"/>
        <w:spacing w:after="0" w:line="240" w:lineRule="auto"/>
        <w:rPr>
          <w:rFonts w:ascii="Tahoma" w:eastAsia="Times New Roman" w:hAnsi="Tahoma" w:cs="Tahoma"/>
          <w:color w:val="1A1A1A"/>
          <w:sz w:val="20"/>
          <w:szCs w:val="20"/>
          <w:lang w:eastAsia="en-GB"/>
        </w:rPr>
      </w:pPr>
      <w:r w:rsidRPr="0049307B">
        <w:rPr>
          <w:rFonts w:ascii="Tahoma" w:eastAsia="Times New Roman" w:hAnsi="Tahoma" w:cs="Tahoma"/>
          <w:color w:val="1A1A1A"/>
          <w:sz w:val="20"/>
          <w:szCs w:val="20"/>
          <w:lang w:eastAsia="en-GB"/>
        </w:rPr>
        <w:t> </w:t>
      </w:r>
    </w:p>
    <w:p w:rsidR="0049307B" w:rsidRPr="0049307B" w:rsidRDefault="0049307B" w:rsidP="0049307B">
      <w:pPr>
        <w:shd w:val="clear" w:color="auto" w:fill="FFFFFF"/>
        <w:spacing w:after="0" w:line="240" w:lineRule="auto"/>
        <w:rPr>
          <w:rFonts w:ascii="Tahoma" w:eastAsia="Times New Roman" w:hAnsi="Tahoma" w:cs="Tahoma"/>
          <w:color w:val="1A1A1A"/>
          <w:sz w:val="20"/>
          <w:szCs w:val="20"/>
          <w:lang w:eastAsia="en-GB"/>
        </w:rPr>
      </w:pPr>
    </w:p>
    <w:p w:rsidR="0049307B" w:rsidRPr="00227898" w:rsidRDefault="0049307B" w:rsidP="00453E76">
      <w:pPr>
        <w:rPr>
          <w:b/>
          <w:sz w:val="20"/>
          <w:szCs w:val="20"/>
          <w:u w:val="single"/>
        </w:rPr>
      </w:pPr>
    </w:p>
    <w:p w:rsidR="0049307B" w:rsidRPr="00227898" w:rsidRDefault="0049307B" w:rsidP="00453E76">
      <w:pPr>
        <w:rPr>
          <w:b/>
          <w:sz w:val="20"/>
          <w:szCs w:val="20"/>
          <w:u w:val="single"/>
        </w:rPr>
      </w:pPr>
    </w:p>
    <w:p w:rsidR="00906325" w:rsidRPr="00227898" w:rsidRDefault="00906325" w:rsidP="00453E76">
      <w:pPr>
        <w:rPr>
          <w:sz w:val="20"/>
          <w:szCs w:val="20"/>
        </w:rPr>
      </w:pPr>
    </w:p>
    <w:p w:rsidR="007C6AD4" w:rsidRPr="00227898" w:rsidRDefault="007C6AD4">
      <w:pPr>
        <w:rPr>
          <w:sz w:val="20"/>
          <w:szCs w:val="20"/>
        </w:rPr>
      </w:pPr>
    </w:p>
    <w:sectPr w:rsidR="007C6AD4" w:rsidRPr="0022789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131D" w:rsidRDefault="0082131D" w:rsidP="007255BD">
      <w:pPr>
        <w:spacing w:after="0" w:line="240" w:lineRule="auto"/>
      </w:pPr>
      <w:r>
        <w:separator/>
      </w:r>
    </w:p>
  </w:endnote>
  <w:endnote w:type="continuationSeparator" w:id="0">
    <w:p w:rsidR="0082131D" w:rsidRDefault="0082131D" w:rsidP="00725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55BD" w:rsidRDefault="007255BD">
    <w:pPr>
      <w:pStyle w:val="Footer"/>
    </w:pPr>
  </w:p>
  <w:p w:rsidR="007255BD" w:rsidRDefault="00725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131D" w:rsidRDefault="0082131D" w:rsidP="007255BD">
      <w:pPr>
        <w:spacing w:after="0" w:line="240" w:lineRule="auto"/>
      </w:pPr>
      <w:r>
        <w:separator/>
      </w:r>
    </w:p>
  </w:footnote>
  <w:footnote w:type="continuationSeparator" w:id="0">
    <w:p w:rsidR="0082131D" w:rsidRDefault="0082131D" w:rsidP="007255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9041A"/>
    <w:multiLevelType w:val="multilevel"/>
    <w:tmpl w:val="2F064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FC42DE"/>
    <w:multiLevelType w:val="multilevel"/>
    <w:tmpl w:val="24D09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BB42E5"/>
    <w:multiLevelType w:val="multilevel"/>
    <w:tmpl w:val="1D7C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F069C1"/>
    <w:multiLevelType w:val="multilevel"/>
    <w:tmpl w:val="C17E8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E76"/>
    <w:rsid w:val="000F3B19"/>
    <w:rsid w:val="001E4DD6"/>
    <w:rsid w:val="00222D21"/>
    <w:rsid w:val="00227898"/>
    <w:rsid w:val="00286C94"/>
    <w:rsid w:val="00453E76"/>
    <w:rsid w:val="0049307B"/>
    <w:rsid w:val="005A103D"/>
    <w:rsid w:val="007255BD"/>
    <w:rsid w:val="007B6275"/>
    <w:rsid w:val="007C6AD4"/>
    <w:rsid w:val="00801353"/>
    <w:rsid w:val="0082131D"/>
    <w:rsid w:val="00895F6D"/>
    <w:rsid w:val="00906325"/>
    <w:rsid w:val="00932743"/>
    <w:rsid w:val="0097441F"/>
    <w:rsid w:val="00A35E89"/>
    <w:rsid w:val="00B87D73"/>
    <w:rsid w:val="00CA7A90"/>
    <w:rsid w:val="00CD5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C34D3"/>
  <w15:chartTrackingRefBased/>
  <w15:docId w15:val="{96E52E1C-41EE-44BC-807D-8E48F1B41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3E7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3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7898"/>
    <w:rPr>
      <w:color w:val="0563C1" w:themeColor="hyperlink"/>
      <w:u w:val="single"/>
    </w:rPr>
  </w:style>
  <w:style w:type="character" w:styleId="UnresolvedMention">
    <w:name w:val="Unresolved Mention"/>
    <w:basedOn w:val="DefaultParagraphFont"/>
    <w:uiPriority w:val="99"/>
    <w:semiHidden/>
    <w:unhideWhenUsed/>
    <w:rsid w:val="00227898"/>
    <w:rPr>
      <w:color w:val="605E5C"/>
      <w:shd w:val="clear" w:color="auto" w:fill="E1DFDD"/>
    </w:rPr>
  </w:style>
  <w:style w:type="paragraph" w:styleId="Header">
    <w:name w:val="header"/>
    <w:basedOn w:val="Normal"/>
    <w:link w:val="HeaderChar"/>
    <w:uiPriority w:val="99"/>
    <w:unhideWhenUsed/>
    <w:rsid w:val="00725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5BD"/>
  </w:style>
  <w:style w:type="paragraph" w:styleId="Footer">
    <w:name w:val="footer"/>
    <w:basedOn w:val="Normal"/>
    <w:link w:val="FooterChar"/>
    <w:uiPriority w:val="99"/>
    <w:unhideWhenUsed/>
    <w:rsid w:val="00725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044716">
      <w:bodyDiv w:val="1"/>
      <w:marLeft w:val="0"/>
      <w:marRight w:val="0"/>
      <w:marTop w:val="0"/>
      <w:marBottom w:val="0"/>
      <w:divBdr>
        <w:top w:val="none" w:sz="0" w:space="0" w:color="auto"/>
        <w:left w:val="none" w:sz="0" w:space="0" w:color="auto"/>
        <w:bottom w:val="none" w:sz="0" w:space="0" w:color="auto"/>
        <w:right w:val="none" w:sz="0" w:space="0" w:color="auto"/>
      </w:divBdr>
    </w:div>
    <w:div w:id="138768635">
      <w:bodyDiv w:val="1"/>
      <w:marLeft w:val="0"/>
      <w:marRight w:val="0"/>
      <w:marTop w:val="0"/>
      <w:marBottom w:val="0"/>
      <w:divBdr>
        <w:top w:val="none" w:sz="0" w:space="0" w:color="auto"/>
        <w:left w:val="none" w:sz="0" w:space="0" w:color="auto"/>
        <w:bottom w:val="none" w:sz="0" w:space="0" w:color="auto"/>
        <w:right w:val="none" w:sz="0" w:space="0" w:color="auto"/>
      </w:divBdr>
    </w:div>
    <w:div w:id="1203790774">
      <w:bodyDiv w:val="1"/>
      <w:marLeft w:val="0"/>
      <w:marRight w:val="0"/>
      <w:marTop w:val="0"/>
      <w:marBottom w:val="0"/>
      <w:divBdr>
        <w:top w:val="none" w:sz="0" w:space="0" w:color="auto"/>
        <w:left w:val="none" w:sz="0" w:space="0" w:color="auto"/>
        <w:bottom w:val="none" w:sz="0" w:space="0" w:color="auto"/>
        <w:right w:val="none" w:sz="0" w:space="0" w:color="auto"/>
      </w:divBdr>
    </w:div>
    <w:div w:id="1205602775">
      <w:bodyDiv w:val="1"/>
      <w:marLeft w:val="0"/>
      <w:marRight w:val="0"/>
      <w:marTop w:val="0"/>
      <w:marBottom w:val="0"/>
      <w:divBdr>
        <w:top w:val="none" w:sz="0" w:space="0" w:color="auto"/>
        <w:left w:val="none" w:sz="0" w:space="0" w:color="auto"/>
        <w:bottom w:val="none" w:sz="0" w:space="0" w:color="auto"/>
        <w:right w:val="none" w:sz="0" w:space="0" w:color="auto"/>
      </w:divBdr>
    </w:div>
    <w:div w:id="1322545933">
      <w:bodyDiv w:val="1"/>
      <w:marLeft w:val="0"/>
      <w:marRight w:val="0"/>
      <w:marTop w:val="0"/>
      <w:marBottom w:val="0"/>
      <w:divBdr>
        <w:top w:val="none" w:sz="0" w:space="0" w:color="auto"/>
        <w:left w:val="none" w:sz="0" w:space="0" w:color="auto"/>
        <w:bottom w:val="none" w:sz="0" w:space="0" w:color="auto"/>
        <w:right w:val="none" w:sz="0" w:space="0" w:color="auto"/>
      </w:divBdr>
    </w:div>
    <w:div w:id="1337462689">
      <w:bodyDiv w:val="1"/>
      <w:marLeft w:val="0"/>
      <w:marRight w:val="0"/>
      <w:marTop w:val="0"/>
      <w:marBottom w:val="0"/>
      <w:divBdr>
        <w:top w:val="none" w:sz="0" w:space="0" w:color="auto"/>
        <w:left w:val="none" w:sz="0" w:space="0" w:color="auto"/>
        <w:bottom w:val="none" w:sz="0" w:space="0" w:color="auto"/>
        <w:right w:val="none" w:sz="0" w:space="0" w:color="auto"/>
      </w:divBdr>
    </w:div>
    <w:div w:id="1447773256">
      <w:bodyDiv w:val="1"/>
      <w:marLeft w:val="0"/>
      <w:marRight w:val="0"/>
      <w:marTop w:val="0"/>
      <w:marBottom w:val="0"/>
      <w:divBdr>
        <w:top w:val="none" w:sz="0" w:space="0" w:color="auto"/>
        <w:left w:val="none" w:sz="0" w:space="0" w:color="auto"/>
        <w:bottom w:val="none" w:sz="0" w:space="0" w:color="auto"/>
        <w:right w:val="none" w:sz="0" w:space="0" w:color="auto"/>
      </w:divBdr>
    </w:div>
    <w:div w:id="203734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ngagement/factshee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ndrewspropertygroup.com" TargetMode="External"/><Relationship Id="rId12" Type="http://schemas.openxmlformats.org/officeDocument/2006/relationships/hyperlink" Target="https://andrewspropertygrou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andrewspropertygroup.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8</Pages>
  <Words>1739</Words>
  <Characters>9914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3</cp:revision>
  <dcterms:created xsi:type="dcterms:W3CDTF">2022-02-07T17:14:00Z</dcterms:created>
  <dcterms:modified xsi:type="dcterms:W3CDTF">2022-02-09T15:55:00Z</dcterms:modified>
</cp:coreProperties>
</file>