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1B1C" w:rsidRPr="00971B1C" w:rsidRDefault="00893B32" w:rsidP="008239AC">
      <w:pPr>
        <w:spacing w:after="0" w:line="240" w:lineRule="auto"/>
        <w:jc w:val="both"/>
        <w:rPr>
          <w:rFonts w:eastAsia="Times New Roman" w:cs="Arial"/>
          <w:b/>
          <w:color w:val="003366"/>
          <w:sz w:val="32"/>
          <w:szCs w:val="24"/>
          <w:lang w:eastAsia="en-GB"/>
        </w:rPr>
      </w:pPr>
      <w:bookmarkStart w:id="0" w:name="_Toc449702649"/>
      <w:bookmarkStart w:id="1" w:name="_GoBack"/>
      <w:bookmarkEnd w:id="1"/>
      <w:r>
        <w:rPr>
          <w:rFonts w:eastAsia="Times New Roman" w:cs="Arial"/>
          <w:b/>
          <w:color w:val="003366"/>
          <w:sz w:val="32"/>
          <w:szCs w:val="24"/>
          <w:lang w:eastAsia="en-GB"/>
        </w:rPr>
        <w:t>Coastal and Marine Science fieldtrip for assignment</w:t>
      </w:r>
    </w:p>
    <w:p w:rsidR="00971B1C" w:rsidRPr="00971B1C" w:rsidRDefault="00971B1C" w:rsidP="008239AC">
      <w:pPr>
        <w:spacing w:after="0" w:line="240" w:lineRule="auto"/>
        <w:jc w:val="both"/>
        <w:rPr>
          <w:rFonts w:eastAsia="Times New Roman" w:cs="Arial"/>
          <w:color w:val="003366"/>
          <w:sz w:val="24"/>
          <w:szCs w:val="24"/>
          <w:lang w:eastAsia="en-GB"/>
        </w:rPr>
      </w:pPr>
    </w:p>
    <w:p w:rsidR="008239AC" w:rsidRPr="00971B1C" w:rsidRDefault="008239AC" w:rsidP="008239AC">
      <w:pPr>
        <w:spacing w:after="0" w:line="240" w:lineRule="auto"/>
        <w:jc w:val="both"/>
        <w:rPr>
          <w:rFonts w:eastAsia="Times New Roman" w:cs="Arial"/>
          <w:color w:val="003366"/>
          <w:sz w:val="24"/>
          <w:szCs w:val="24"/>
          <w:lang w:eastAsia="en-GB"/>
        </w:rPr>
      </w:pPr>
      <w:r w:rsidRPr="00971B1C">
        <w:rPr>
          <w:rFonts w:eastAsia="Times New Roman" w:cs="Arial"/>
          <w:color w:val="003366"/>
          <w:sz w:val="24"/>
          <w:szCs w:val="24"/>
          <w:lang w:eastAsia="en-GB"/>
        </w:rPr>
        <w:t xml:space="preserve">Carmarthen Bay and Estuaries European Marine Site (EMS) is part of a European-wide network (Natura 2000) designated under the EU’s Habitats and Birds Directives because it contains some of the best examples of marine habitats and species of European importance. The site comprises of Carmarthen Bay and Estuaries Special Area of Conservation, Carmarthen Bay Special Protection Area (SPA) and the Burry Inlet SPA. Many of its species are considered </w:t>
      </w:r>
      <w:r w:rsidRPr="00971B1C">
        <w:rPr>
          <w:rFonts w:eastAsia="Times New Roman" w:cs="Arial"/>
          <w:i/>
          <w:color w:val="003366"/>
          <w:sz w:val="24"/>
          <w:szCs w:val="24"/>
          <w:lang w:eastAsia="en-GB"/>
        </w:rPr>
        <w:t xml:space="preserve">Threatened </w:t>
      </w:r>
      <w:r w:rsidRPr="00971B1C">
        <w:rPr>
          <w:rFonts w:eastAsia="Times New Roman" w:cs="Arial"/>
          <w:color w:val="003366"/>
          <w:sz w:val="24"/>
          <w:szCs w:val="24"/>
          <w:lang w:eastAsia="en-GB"/>
        </w:rPr>
        <w:t xml:space="preserve">and rare and this makes appropriate management of the sites all the more important when there are locally intensive human pressures such as tourism, waste management, inshore fisheries etc. competing for the same resources. </w:t>
      </w:r>
    </w:p>
    <w:p w:rsidR="008239AC" w:rsidRPr="00971B1C" w:rsidRDefault="008239AC" w:rsidP="008239AC">
      <w:pPr>
        <w:spacing w:after="0" w:line="240" w:lineRule="auto"/>
        <w:jc w:val="both"/>
        <w:rPr>
          <w:rFonts w:eastAsia="Times New Roman" w:cs="Arial"/>
          <w:color w:val="003366"/>
          <w:sz w:val="24"/>
          <w:szCs w:val="24"/>
          <w:lang w:eastAsia="en-GB"/>
        </w:rPr>
      </w:pPr>
    </w:p>
    <w:p w:rsidR="008239AC" w:rsidRPr="00971B1C" w:rsidRDefault="008239AC" w:rsidP="008239AC">
      <w:pPr>
        <w:spacing w:after="0" w:line="240" w:lineRule="auto"/>
        <w:jc w:val="both"/>
        <w:rPr>
          <w:rFonts w:eastAsia="Times New Roman" w:cs="Arial"/>
          <w:color w:val="003366"/>
          <w:sz w:val="24"/>
          <w:szCs w:val="24"/>
          <w:lang w:eastAsia="en-GB"/>
        </w:rPr>
      </w:pPr>
      <w:r w:rsidRPr="00971B1C">
        <w:rPr>
          <w:rFonts w:eastAsia="Times New Roman" w:cs="Arial"/>
          <w:color w:val="003366"/>
          <w:sz w:val="24"/>
          <w:szCs w:val="24"/>
          <w:lang w:eastAsia="en-GB"/>
        </w:rPr>
        <w:t>TASK:</w:t>
      </w:r>
    </w:p>
    <w:p w:rsidR="008239AC" w:rsidRPr="00971B1C" w:rsidRDefault="008239AC" w:rsidP="008239AC">
      <w:pPr>
        <w:spacing w:after="0" w:line="240" w:lineRule="auto"/>
        <w:jc w:val="both"/>
        <w:rPr>
          <w:rFonts w:eastAsia="Times New Roman" w:cs="Arial"/>
          <w:color w:val="003366"/>
          <w:sz w:val="24"/>
          <w:szCs w:val="24"/>
          <w:lang w:eastAsia="en-GB"/>
        </w:rPr>
      </w:pPr>
      <w:r w:rsidRPr="00971B1C">
        <w:rPr>
          <w:rFonts w:eastAsia="Times New Roman" w:cs="Arial"/>
          <w:color w:val="003366"/>
          <w:sz w:val="24"/>
          <w:szCs w:val="24"/>
          <w:lang w:eastAsia="en-GB"/>
        </w:rPr>
        <w:t>You are required to undertake a biological, economic and social review of the Carmarthen Bay &amp; Estuaries European Marine Site. Your report will need to identify and discuss key biological communities, and economic activities.  Mapping these graphically will also identify potential areas of conflict of use. Having mapped these coastal and marine areas, you will then be in a position to suggest suitable management in order to minimise any degradation or impact upon biological, social and economic activities. The mapping can be drawn by hand given coverage of some activities will be estimated and not accurately measured. That is beyond the scope of this assessment. However there</w:t>
      </w:r>
      <w:r w:rsidR="007E65E2">
        <w:rPr>
          <w:rFonts w:eastAsia="Times New Roman" w:cs="Arial"/>
          <w:color w:val="003366"/>
          <w:sz w:val="24"/>
          <w:szCs w:val="24"/>
          <w:lang w:eastAsia="en-GB"/>
        </w:rPr>
        <w:t xml:space="preserve"> will be an opportunity</w:t>
      </w:r>
      <w:r w:rsidRPr="00971B1C">
        <w:rPr>
          <w:rFonts w:eastAsia="Times New Roman" w:cs="Arial"/>
          <w:color w:val="003366"/>
          <w:sz w:val="24"/>
          <w:szCs w:val="24"/>
          <w:lang w:eastAsia="en-GB"/>
        </w:rPr>
        <w:t xml:space="preserve"> to clarify what is required and you will attend a fieldtrip to various Gower and Loughor vantage points to assist with the collection of data.</w:t>
      </w:r>
    </w:p>
    <w:p w:rsidR="008239AC" w:rsidRPr="00971B1C" w:rsidRDefault="008239AC" w:rsidP="008239AC">
      <w:pPr>
        <w:spacing w:after="0" w:line="240" w:lineRule="auto"/>
        <w:jc w:val="both"/>
        <w:rPr>
          <w:rFonts w:eastAsia="Times New Roman" w:cs="Arial"/>
          <w:color w:val="003366"/>
          <w:sz w:val="24"/>
          <w:szCs w:val="24"/>
          <w:lang w:eastAsia="en-GB"/>
        </w:rPr>
      </w:pPr>
    </w:p>
    <w:p w:rsidR="008239AC" w:rsidRPr="00971B1C" w:rsidRDefault="008239AC" w:rsidP="008239AC">
      <w:pPr>
        <w:spacing w:after="0" w:line="240" w:lineRule="auto"/>
        <w:jc w:val="both"/>
        <w:rPr>
          <w:rFonts w:eastAsia="Times New Roman" w:cs="Arial"/>
          <w:color w:val="003366"/>
          <w:sz w:val="24"/>
          <w:szCs w:val="24"/>
          <w:lang w:eastAsia="en-GB"/>
        </w:rPr>
      </w:pPr>
      <w:r w:rsidRPr="00971B1C">
        <w:rPr>
          <w:rFonts w:eastAsia="Times New Roman" w:cs="Arial"/>
          <w:color w:val="003366"/>
          <w:sz w:val="24"/>
          <w:szCs w:val="24"/>
          <w:lang w:eastAsia="en-GB"/>
        </w:rPr>
        <w:t>Also refer to Ketchum’s (1972) Coastal User categories.</w:t>
      </w:r>
    </w:p>
    <w:p w:rsidR="008239AC" w:rsidRPr="00971B1C" w:rsidRDefault="008239AC" w:rsidP="008239AC">
      <w:pPr>
        <w:spacing w:after="0" w:line="240" w:lineRule="auto"/>
        <w:jc w:val="both"/>
        <w:rPr>
          <w:rFonts w:eastAsia="Times New Roman" w:cs="Times New Roman"/>
          <w:sz w:val="24"/>
          <w:szCs w:val="24"/>
          <w:lang w:eastAsia="en-GB"/>
        </w:rPr>
      </w:pPr>
    </w:p>
    <w:p w:rsidR="008239AC" w:rsidRPr="00971B1C" w:rsidRDefault="008239AC" w:rsidP="008239AC">
      <w:pPr>
        <w:spacing w:after="0" w:line="240" w:lineRule="auto"/>
        <w:jc w:val="both"/>
        <w:rPr>
          <w:rFonts w:eastAsia="Times New Roman" w:cs="Times New Roman"/>
          <w:b/>
          <w:sz w:val="24"/>
          <w:szCs w:val="20"/>
          <w:lang w:eastAsia="en-GB"/>
        </w:rPr>
      </w:pPr>
      <w:r w:rsidRPr="00971B1C">
        <w:rPr>
          <w:rFonts w:eastAsia="Times New Roman" w:cs="Times New Roman"/>
          <w:b/>
          <w:sz w:val="24"/>
          <w:szCs w:val="20"/>
          <w:lang w:eastAsia="en-GB"/>
        </w:rPr>
        <w:t>(Report: 2500 ± 250 words, excluding references) The assignment will be submitted on the day of your presentation.</w:t>
      </w:r>
    </w:p>
    <w:p w:rsidR="008239AC" w:rsidRPr="00971B1C" w:rsidRDefault="008239AC" w:rsidP="008239AC">
      <w:pPr>
        <w:spacing w:after="0" w:line="240" w:lineRule="auto"/>
        <w:jc w:val="both"/>
        <w:rPr>
          <w:rFonts w:eastAsia="Times New Roman" w:cs="Times New Roman"/>
          <w:b/>
          <w:lang w:eastAsia="en-GB"/>
        </w:rPr>
      </w:pPr>
    </w:p>
    <w:p w:rsidR="008239AC" w:rsidRPr="00971B1C" w:rsidRDefault="008239AC" w:rsidP="008239AC">
      <w:pPr>
        <w:spacing w:after="0" w:line="240" w:lineRule="auto"/>
        <w:jc w:val="both"/>
        <w:rPr>
          <w:rFonts w:eastAsia="Times New Roman" w:cs="Arial"/>
          <w:b/>
          <w:caps/>
          <w:sz w:val="40"/>
          <w:szCs w:val="20"/>
          <w:lang w:eastAsia="en-GB"/>
        </w:rPr>
      </w:pPr>
      <w:r w:rsidRPr="00971B1C">
        <w:rPr>
          <w:rFonts w:eastAsia="Times New Roman" w:cs="Arial"/>
          <w:b/>
          <w:caps/>
          <w:sz w:val="40"/>
          <w:szCs w:val="20"/>
          <w:lang w:eastAsia="en-GB"/>
        </w:rPr>
        <w:t>GUIDANCE FOR Students IN THE COMPLETION OF TASKS</w:t>
      </w:r>
    </w:p>
    <w:p w:rsidR="008239AC" w:rsidRPr="00971B1C" w:rsidRDefault="008239AC" w:rsidP="008239AC">
      <w:pPr>
        <w:spacing w:after="0" w:line="240" w:lineRule="auto"/>
        <w:jc w:val="both"/>
        <w:rPr>
          <w:rFonts w:eastAsia="Times New Roman" w:cs="Times New Roman"/>
          <w:b/>
          <w:lang w:eastAsia="en-GB"/>
        </w:rPr>
      </w:pPr>
    </w:p>
    <w:p w:rsidR="008239AC" w:rsidRPr="00971B1C" w:rsidRDefault="008239AC" w:rsidP="008239AC">
      <w:pPr>
        <w:spacing w:after="0" w:line="240" w:lineRule="auto"/>
        <w:rPr>
          <w:rFonts w:eastAsia="Times New Roman" w:cs="Times New Roman"/>
          <w:sz w:val="24"/>
          <w:szCs w:val="20"/>
          <w:lang w:eastAsia="en-GB"/>
        </w:rPr>
      </w:pPr>
      <w:r w:rsidRPr="00971B1C">
        <w:rPr>
          <w:rFonts w:eastAsia="Times New Roman" w:cs="Times New Roman"/>
          <w:sz w:val="24"/>
          <w:szCs w:val="20"/>
          <w:lang w:eastAsia="en-GB"/>
        </w:rPr>
        <w:t>The presentation of the assignment should include (not necessarily in this order):</w:t>
      </w:r>
    </w:p>
    <w:p w:rsidR="008239AC" w:rsidRPr="00971B1C" w:rsidRDefault="008239AC" w:rsidP="008239AC">
      <w:pPr>
        <w:spacing w:after="0" w:line="240" w:lineRule="auto"/>
        <w:rPr>
          <w:rFonts w:eastAsia="Times New Roman" w:cs="Times New Roman"/>
          <w:sz w:val="24"/>
          <w:szCs w:val="20"/>
          <w:lang w:eastAsia="en-GB"/>
        </w:rPr>
      </w:pPr>
    </w:p>
    <w:p w:rsidR="008239AC" w:rsidRPr="00971B1C" w:rsidRDefault="008239AC" w:rsidP="008239AC">
      <w:pPr>
        <w:numPr>
          <w:ilvl w:val="0"/>
          <w:numId w:val="1"/>
        </w:numPr>
        <w:spacing w:after="0" w:line="240" w:lineRule="auto"/>
        <w:rPr>
          <w:rFonts w:eastAsia="Times New Roman" w:cs="Times New Roman"/>
          <w:sz w:val="24"/>
          <w:szCs w:val="20"/>
          <w:lang w:eastAsia="en-GB"/>
        </w:rPr>
      </w:pPr>
      <w:r w:rsidRPr="00971B1C">
        <w:rPr>
          <w:rFonts w:eastAsia="Times New Roman" w:cs="Times New Roman"/>
          <w:sz w:val="24"/>
          <w:szCs w:val="20"/>
          <w:lang w:eastAsia="en-GB"/>
        </w:rPr>
        <w:t xml:space="preserve">Habitat description; location, map(s), types of fauna and flora, geology, other social and economic impacting factors such as industry, tourism and shipping.                                                                                                                       </w:t>
      </w:r>
    </w:p>
    <w:p w:rsidR="008239AC" w:rsidRPr="00971B1C" w:rsidRDefault="008239AC" w:rsidP="008239AC">
      <w:pPr>
        <w:numPr>
          <w:ilvl w:val="0"/>
          <w:numId w:val="1"/>
        </w:numPr>
        <w:spacing w:after="0" w:line="240" w:lineRule="auto"/>
        <w:rPr>
          <w:rFonts w:eastAsia="Times New Roman" w:cs="Times New Roman"/>
          <w:sz w:val="24"/>
          <w:szCs w:val="20"/>
          <w:lang w:eastAsia="en-GB"/>
        </w:rPr>
      </w:pPr>
      <w:r w:rsidRPr="00971B1C">
        <w:rPr>
          <w:rFonts w:eastAsia="Times New Roman" w:cs="Times New Roman"/>
          <w:sz w:val="24"/>
          <w:szCs w:val="20"/>
          <w:lang w:eastAsia="en-GB"/>
        </w:rPr>
        <w:t xml:space="preserve">An evaluation of other MSACs management strategies and case studies </w:t>
      </w:r>
    </w:p>
    <w:p w:rsidR="008239AC" w:rsidRPr="00971B1C" w:rsidRDefault="008239AC" w:rsidP="008239AC">
      <w:pPr>
        <w:spacing w:after="0" w:line="240" w:lineRule="auto"/>
        <w:rPr>
          <w:rFonts w:eastAsia="Times New Roman" w:cs="Times New Roman"/>
          <w:sz w:val="24"/>
          <w:szCs w:val="20"/>
          <w:lang w:eastAsia="en-GB"/>
        </w:rPr>
      </w:pPr>
      <w:r w:rsidRPr="00971B1C">
        <w:rPr>
          <w:rFonts w:eastAsia="Times New Roman" w:cs="Times New Roman"/>
          <w:sz w:val="24"/>
          <w:szCs w:val="20"/>
          <w:lang w:eastAsia="en-GB"/>
        </w:rPr>
        <w:t>c)   Your recommendations for site management having considered any coastal and marine users</w:t>
      </w:r>
    </w:p>
    <w:p w:rsidR="008239AC" w:rsidRPr="00971B1C" w:rsidRDefault="008239AC" w:rsidP="008239AC">
      <w:pPr>
        <w:numPr>
          <w:ilvl w:val="0"/>
          <w:numId w:val="1"/>
        </w:numPr>
        <w:spacing w:after="0" w:line="240" w:lineRule="auto"/>
        <w:jc w:val="both"/>
        <w:rPr>
          <w:rFonts w:eastAsia="Times New Roman" w:cs="Times New Roman"/>
          <w:sz w:val="20"/>
          <w:szCs w:val="20"/>
          <w:lang w:eastAsia="en-GB"/>
        </w:rPr>
      </w:pPr>
      <w:r w:rsidRPr="00971B1C">
        <w:rPr>
          <w:rFonts w:eastAsia="Times New Roman" w:cs="Times New Roman"/>
          <w:sz w:val="24"/>
          <w:szCs w:val="20"/>
          <w:lang w:eastAsia="en-GB"/>
        </w:rPr>
        <w:t xml:space="preserve">Academic skills and referencing - </w:t>
      </w:r>
      <w:r w:rsidRPr="00971B1C">
        <w:rPr>
          <w:rFonts w:eastAsia="Times New Roman" w:cs="Times New Roman"/>
          <w:sz w:val="24"/>
          <w:szCs w:val="24"/>
          <w:lang w:eastAsia="en-GB"/>
        </w:rPr>
        <w:t>Academic use of secondary information, appropriately cited using Harvard System.</w:t>
      </w:r>
      <w:r w:rsidR="00971B1C">
        <w:rPr>
          <w:rFonts w:eastAsia="Times New Roman" w:cs="Times New Roman"/>
          <w:sz w:val="24"/>
          <w:szCs w:val="24"/>
          <w:lang w:eastAsia="en-GB"/>
        </w:rPr>
        <w:tab/>
      </w:r>
    </w:p>
    <w:p w:rsidR="008239AC" w:rsidRPr="00971B1C" w:rsidRDefault="008239AC" w:rsidP="00971B1C">
      <w:pPr>
        <w:spacing w:after="0" w:line="240" w:lineRule="auto"/>
        <w:ind w:left="9360"/>
        <w:jc w:val="both"/>
        <w:rPr>
          <w:rFonts w:eastAsia="Times New Roman" w:cs="Times New Roman"/>
          <w:b/>
          <w:sz w:val="20"/>
          <w:szCs w:val="20"/>
          <w:lang w:eastAsia="en-GB"/>
        </w:rPr>
      </w:pPr>
      <w:r w:rsidRPr="00971B1C">
        <w:rPr>
          <w:rFonts w:eastAsia="Times New Roman" w:cs="Times New Roman"/>
          <w:b/>
          <w:sz w:val="24"/>
          <w:szCs w:val="24"/>
          <w:lang w:eastAsia="en-GB"/>
        </w:rPr>
        <w:t xml:space="preserve">                                                                                                                                                                           </w:t>
      </w:r>
    </w:p>
    <w:p w:rsidR="008239AC" w:rsidRDefault="008239AC" w:rsidP="008239AC">
      <w:pPr>
        <w:spacing w:after="0" w:line="240" w:lineRule="auto"/>
        <w:jc w:val="both"/>
        <w:rPr>
          <w:rFonts w:eastAsia="Times New Roman" w:cs="Times New Roman"/>
          <w:sz w:val="24"/>
          <w:szCs w:val="20"/>
          <w:lang w:eastAsia="en-GB"/>
        </w:rPr>
      </w:pPr>
      <w:r w:rsidRPr="00971B1C">
        <w:rPr>
          <w:rFonts w:eastAsia="Times New Roman" w:cs="Times New Roman"/>
          <w:sz w:val="24"/>
          <w:szCs w:val="20"/>
          <w:lang w:eastAsia="en-GB"/>
        </w:rPr>
        <w:t xml:space="preserve">All photographs and other illustrations should be titled and sourced.  Where appropriate, photos should be dated. Management strategies explored in this work may be significant in the end of year examination.  </w:t>
      </w:r>
    </w:p>
    <w:p w:rsidR="00971B1C" w:rsidRDefault="00971B1C">
      <w:pPr>
        <w:rPr>
          <w:rFonts w:eastAsia="Times New Roman" w:cs="Times New Roman"/>
          <w:sz w:val="24"/>
          <w:szCs w:val="20"/>
          <w:lang w:eastAsia="en-GB"/>
        </w:rPr>
      </w:pPr>
      <w:r>
        <w:rPr>
          <w:rFonts w:eastAsia="Times New Roman" w:cs="Times New Roman"/>
          <w:sz w:val="24"/>
          <w:szCs w:val="20"/>
          <w:lang w:eastAsia="en-GB"/>
        </w:rPr>
        <w:br w:type="page"/>
      </w:r>
    </w:p>
    <w:p w:rsidR="00971B1C" w:rsidRPr="00971B1C" w:rsidRDefault="00971B1C" w:rsidP="008239AC">
      <w:pPr>
        <w:spacing w:after="0" w:line="240" w:lineRule="auto"/>
        <w:jc w:val="both"/>
        <w:rPr>
          <w:rFonts w:eastAsia="Times New Roman" w:cs="Times New Roman"/>
          <w:sz w:val="24"/>
          <w:szCs w:val="20"/>
          <w:lang w:eastAsia="en-GB"/>
        </w:rPr>
      </w:pPr>
    </w:p>
    <w:tbl>
      <w:tblPr>
        <w:tblW w:w="1029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68"/>
        <w:gridCol w:w="1260"/>
        <w:gridCol w:w="1080"/>
        <w:gridCol w:w="2019"/>
        <w:gridCol w:w="709"/>
        <w:gridCol w:w="3860"/>
      </w:tblGrid>
      <w:tr w:rsidR="00372960" w:rsidRPr="00971B1C" w:rsidTr="00372960">
        <w:trPr>
          <w:cantSplit/>
          <w:jc w:val="center"/>
        </w:trPr>
        <w:tc>
          <w:tcPr>
            <w:tcW w:w="5727" w:type="dxa"/>
            <w:gridSpan w:val="4"/>
            <w:shd w:val="clear" w:color="auto" w:fill="B3B3B3"/>
          </w:tcPr>
          <w:p w:rsidR="00372960" w:rsidRPr="00971B1C" w:rsidRDefault="00372960" w:rsidP="00372960">
            <w:pPr>
              <w:spacing w:after="0" w:line="240" w:lineRule="auto"/>
              <w:rPr>
                <w:rFonts w:eastAsia="Times New Roman" w:cs="Times New Roman"/>
                <w:b/>
                <w:bCs/>
                <w:sz w:val="16"/>
                <w:szCs w:val="16"/>
              </w:rPr>
            </w:pPr>
            <w:r w:rsidRPr="00971B1C">
              <w:rPr>
                <w:rFonts w:eastAsia="Times New Roman" w:cs="Times New Roman"/>
                <w:b/>
                <w:bCs/>
                <w:sz w:val="16"/>
                <w:szCs w:val="16"/>
              </w:rPr>
              <w:t xml:space="preserve">FIELD NOTES                  COASTAL USES               SITE </w:t>
            </w:r>
          </w:p>
          <w:p w:rsidR="00372960" w:rsidRPr="00971B1C" w:rsidRDefault="00971B1C" w:rsidP="00372960">
            <w:pPr>
              <w:spacing w:after="0" w:line="240" w:lineRule="auto"/>
              <w:rPr>
                <w:rFonts w:eastAsia="Times New Roman" w:cs="Times New Roman"/>
                <w:b/>
                <w:bCs/>
                <w:sz w:val="16"/>
                <w:szCs w:val="16"/>
              </w:rPr>
            </w:pPr>
            <w:r>
              <w:rPr>
                <w:rFonts w:eastAsia="Times New Roman" w:cs="Times New Roman"/>
                <w:b/>
                <w:bCs/>
                <w:sz w:val="16"/>
                <w:szCs w:val="16"/>
              </w:rPr>
              <w:t>Ketchum</w:t>
            </w:r>
          </w:p>
        </w:tc>
        <w:tc>
          <w:tcPr>
            <w:tcW w:w="4569" w:type="dxa"/>
            <w:gridSpan w:val="2"/>
            <w:shd w:val="clear" w:color="auto" w:fill="B3B3B3"/>
          </w:tcPr>
          <w:p w:rsidR="00372960" w:rsidRPr="00971B1C" w:rsidRDefault="00372960" w:rsidP="00372960">
            <w:pPr>
              <w:spacing w:after="0" w:line="240" w:lineRule="auto"/>
              <w:rPr>
                <w:rFonts w:eastAsia="Times New Roman" w:cs="Times New Roman"/>
                <w:b/>
                <w:bCs/>
                <w:sz w:val="16"/>
                <w:szCs w:val="16"/>
              </w:rPr>
            </w:pPr>
            <w:r w:rsidRPr="00971B1C">
              <w:rPr>
                <w:rFonts w:eastAsia="Times New Roman" w:cs="Times New Roman"/>
                <w:b/>
                <w:bCs/>
                <w:sz w:val="16"/>
                <w:szCs w:val="16"/>
              </w:rPr>
              <w:t xml:space="preserve">LEVEL OF CONFLICT (SAC) </w:t>
            </w:r>
          </w:p>
          <w:p w:rsidR="00372960" w:rsidRPr="00971B1C" w:rsidRDefault="00372960" w:rsidP="00372960">
            <w:pPr>
              <w:spacing w:after="0" w:line="240" w:lineRule="auto"/>
              <w:rPr>
                <w:rFonts w:eastAsia="Times New Roman" w:cs="Times New Roman"/>
                <w:b/>
                <w:bCs/>
                <w:sz w:val="16"/>
                <w:szCs w:val="16"/>
              </w:rPr>
            </w:pPr>
            <w:r w:rsidRPr="00971B1C">
              <w:rPr>
                <w:rFonts w:eastAsia="Times New Roman" w:cs="Times New Roman"/>
                <w:b/>
                <w:bCs/>
                <w:sz w:val="16"/>
                <w:szCs w:val="16"/>
              </w:rPr>
              <w:t>1=NO CONFLICT 5=SEVERE</w:t>
            </w:r>
          </w:p>
        </w:tc>
      </w:tr>
      <w:tr w:rsidR="00372960" w:rsidRPr="00971B1C" w:rsidTr="00971B1C">
        <w:trPr>
          <w:cantSplit/>
          <w:jc w:val="center"/>
        </w:trPr>
        <w:tc>
          <w:tcPr>
            <w:tcW w:w="1368" w:type="dxa"/>
            <w:vMerge w:val="restart"/>
            <w:shd w:val="clear" w:color="auto" w:fill="C6D9F1"/>
          </w:tcPr>
          <w:p w:rsidR="00372960" w:rsidRPr="00971B1C" w:rsidRDefault="00372960" w:rsidP="00372960">
            <w:pPr>
              <w:spacing w:after="0" w:line="240" w:lineRule="auto"/>
              <w:rPr>
                <w:rFonts w:eastAsia="Times New Roman" w:cs="Times New Roman"/>
                <w:b/>
                <w:sz w:val="16"/>
                <w:szCs w:val="16"/>
              </w:rPr>
            </w:pPr>
            <w:r w:rsidRPr="00971B1C">
              <w:rPr>
                <w:rFonts w:eastAsia="Times New Roman" w:cs="Times New Roman"/>
                <w:b/>
                <w:sz w:val="16"/>
                <w:szCs w:val="16"/>
              </w:rPr>
              <w:t>Commercial and Industrial</w:t>
            </w:r>
          </w:p>
        </w:tc>
        <w:tc>
          <w:tcPr>
            <w:tcW w:w="126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Commercial</w:t>
            </w: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Tourism Developments</w:t>
            </w:r>
          </w:p>
        </w:tc>
        <w:tc>
          <w:tcPr>
            <w:tcW w:w="709" w:type="dxa"/>
          </w:tcPr>
          <w:p w:rsidR="00372960" w:rsidRPr="00971B1C" w:rsidRDefault="00372960" w:rsidP="00372960">
            <w:pPr>
              <w:spacing w:after="0" w:line="240" w:lineRule="auto"/>
              <w:rPr>
                <w:rFonts w:eastAsia="Times New Roman" w:cs="Times New Roman"/>
                <w:sz w:val="16"/>
                <w:szCs w:val="16"/>
              </w:rPr>
            </w:pPr>
          </w:p>
        </w:tc>
        <w:tc>
          <w:tcPr>
            <w:tcW w:w="3860" w:type="dxa"/>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Marina Services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single" w:sz="4" w:space="0" w:color="auto"/>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108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Transport</w:t>
            </w: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Ferries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Shipping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Customs etc</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Educational studies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Industrial</w:t>
            </w: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Maintenance dredging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Aggregate Dredging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Cable laying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Ports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Oil refineries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Port</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108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Energy</w:t>
            </w: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Wind</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 xml:space="preserve">Tidal </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1080" w:type="dxa"/>
            <w:vMerge/>
          </w:tcPr>
          <w:p w:rsidR="00372960" w:rsidRPr="00971B1C" w:rsidRDefault="00372960" w:rsidP="00372960">
            <w:pPr>
              <w:spacing w:after="0" w:line="240" w:lineRule="auto"/>
              <w:rPr>
                <w:rFonts w:eastAsia="Times New Roman" w:cs="Times New Roman"/>
                <w:sz w:val="16"/>
                <w:szCs w:val="16"/>
              </w:rPr>
            </w:pPr>
          </w:p>
        </w:tc>
        <w:tc>
          <w:tcPr>
            <w:tcW w:w="2019" w:type="dxa"/>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LNG</w:t>
            </w:r>
          </w:p>
        </w:tc>
        <w:tc>
          <w:tcPr>
            <w:tcW w:w="709" w:type="dxa"/>
            <w:tcBorders>
              <w:bottom w:val="single" w:sz="4" w:space="0" w:color="auto"/>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tcBorders>
              <w:bottom w:val="single" w:sz="4" w:space="0" w:color="auto"/>
            </w:tcBorders>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1080" w:type="dxa"/>
            <w:vMerge/>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2019" w:type="dxa"/>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Other</w:t>
            </w:r>
          </w:p>
        </w:tc>
        <w:tc>
          <w:tcPr>
            <w:tcW w:w="709" w:type="dxa"/>
            <w:tcBorders>
              <w:bottom w:val="single" w:sz="4" w:space="0" w:color="auto"/>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val="restart"/>
            <w:shd w:val="clear" w:color="auto" w:fill="C6D9F1"/>
          </w:tcPr>
          <w:p w:rsidR="00372960" w:rsidRPr="00971B1C" w:rsidRDefault="00372960" w:rsidP="00372960">
            <w:pPr>
              <w:spacing w:after="0" w:line="240" w:lineRule="auto"/>
              <w:rPr>
                <w:rFonts w:eastAsia="Times New Roman" w:cs="Times New Roman"/>
                <w:b/>
                <w:sz w:val="16"/>
                <w:szCs w:val="16"/>
              </w:rPr>
            </w:pPr>
            <w:r w:rsidRPr="00971B1C">
              <w:rPr>
                <w:rFonts w:eastAsia="Times New Roman" w:cs="Times New Roman"/>
                <w:b/>
                <w:sz w:val="16"/>
                <w:szCs w:val="16"/>
              </w:rPr>
              <w:t>Residency and Recreation</w:t>
            </w:r>
          </w:p>
        </w:tc>
        <w:tc>
          <w:tcPr>
            <w:tcW w:w="126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Residency</w:t>
            </w: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Maritime Quarter</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Holiday homes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trHeight w:val="211"/>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Recreation</w:t>
            </w:r>
          </w:p>
        </w:tc>
        <w:tc>
          <w:tcPr>
            <w:tcW w:w="108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Boating activities</w:t>
            </w: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Sailing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jc w:val="center"/>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Jet ski</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jc w:val="center"/>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Water skiing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jc w:val="center"/>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Canoeing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jc w:val="center"/>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Power boating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jc w:val="center"/>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RIB Excursions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jc w:val="center"/>
              <w:rPr>
                <w:rFonts w:eastAsia="Times New Roman" w:cs="Times New Roman"/>
                <w:sz w:val="16"/>
                <w:szCs w:val="16"/>
              </w:rPr>
            </w:pPr>
          </w:p>
        </w:tc>
        <w:tc>
          <w:tcPr>
            <w:tcW w:w="108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Water sports</w:t>
            </w: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Wind/kite surfing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jc w:val="center"/>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Swimming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jc w:val="center"/>
              <w:rPr>
                <w:rFonts w:eastAsia="Times New Roman" w:cs="Times New Roman"/>
                <w:sz w:val="16"/>
                <w:szCs w:val="16"/>
              </w:rPr>
            </w:pPr>
          </w:p>
        </w:tc>
        <w:tc>
          <w:tcPr>
            <w:tcW w:w="1080" w:type="dxa"/>
            <w:vMerge/>
          </w:tcPr>
          <w:p w:rsidR="00372960" w:rsidRPr="00971B1C" w:rsidRDefault="00372960" w:rsidP="00372960">
            <w:pPr>
              <w:spacing w:after="0" w:line="240" w:lineRule="auto"/>
              <w:jc w:val="center"/>
              <w:rPr>
                <w:rFonts w:eastAsia="Times New Roman" w:cs="Times New Roman"/>
                <w:sz w:val="16"/>
                <w:szCs w:val="16"/>
              </w:rPr>
            </w:pPr>
          </w:p>
        </w:tc>
        <w:tc>
          <w:tcPr>
            <w:tcW w:w="2019" w:type="dxa"/>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Diving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tcBorders>
              <w:bottom w:val="single" w:sz="4" w:space="0" w:color="auto"/>
            </w:tcBorders>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Borders>
              <w:bottom w:val="single" w:sz="4" w:space="0" w:color="auto"/>
            </w:tcBorders>
          </w:tcPr>
          <w:p w:rsidR="00372960" w:rsidRPr="00971B1C" w:rsidRDefault="00372960" w:rsidP="00372960">
            <w:pPr>
              <w:spacing w:after="0" w:line="240" w:lineRule="auto"/>
              <w:jc w:val="center"/>
              <w:rPr>
                <w:rFonts w:eastAsia="Times New Roman" w:cs="Times New Roman"/>
                <w:sz w:val="16"/>
                <w:szCs w:val="16"/>
              </w:rPr>
            </w:pPr>
          </w:p>
        </w:tc>
        <w:tc>
          <w:tcPr>
            <w:tcW w:w="1080" w:type="dxa"/>
            <w:vMerge/>
            <w:tcBorders>
              <w:bottom w:val="single" w:sz="4" w:space="0" w:color="auto"/>
            </w:tcBorders>
          </w:tcPr>
          <w:p w:rsidR="00372960" w:rsidRPr="00971B1C" w:rsidRDefault="00372960" w:rsidP="00372960">
            <w:pPr>
              <w:spacing w:after="0" w:line="240" w:lineRule="auto"/>
              <w:jc w:val="center"/>
              <w:rPr>
                <w:rFonts w:eastAsia="Times New Roman" w:cs="Times New Roman"/>
                <w:sz w:val="16"/>
                <w:szCs w:val="16"/>
              </w:rPr>
            </w:pPr>
          </w:p>
        </w:tc>
        <w:tc>
          <w:tcPr>
            <w:tcW w:w="2019" w:type="dxa"/>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Surfing</w:t>
            </w:r>
          </w:p>
        </w:tc>
        <w:tc>
          <w:tcPr>
            <w:tcW w:w="709" w:type="dxa"/>
            <w:tcBorders>
              <w:bottom w:val="single" w:sz="4" w:space="0" w:color="auto"/>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val="restart"/>
            <w:shd w:val="clear" w:color="auto" w:fill="C6D9F1"/>
          </w:tcPr>
          <w:p w:rsidR="00372960" w:rsidRPr="00971B1C" w:rsidRDefault="00372960" w:rsidP="00372960">
            <w:pPr>
              <w:spacing w:after="0" w:line="240" w:lineRule="auto"/>
              <w:rPr>
                <w:rFonts w:eastAsia="Times New Roman" w:cs="Times New Roman"/>
                <w:b/>
                <w:sz w:val="16"/>
                <w:szCs w:val="16"/>
              </w:rPr>
            </w:pPr>
            <w:r w:rsidRPr="00971B1C">
              <w:rPr>
                <w:rFonts w:eastAsia="Times New Roman" w:cs="Times New Roman"/>
                <w:b/>
                <w:sz w:val="16"/>
                <w:szCs w:val="16"/>
              </w:rPr>
              <w:t>Agriculture, Aquaculture and Fishing</w:t>
            </w:r>
          </w:p>
        </w:tc>
        <w:tc>
          <w:tcPr>
            <w:tcW w:w="126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Agriculture</w:t>
            </w: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Arable</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Livestock</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Fishing</w:t>
            </w: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Trawling</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Set Nets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Drift Nets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Pots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Recreational</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tcBorders>
              <w:bottom w:val="single" w:sz="4" w:space="0" w:color="auto"/>
            </w:tcBorders>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099" w:type="dxa"/>
            <w:gridSpan w:val="2"/>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Mussel dredging</w:t>
            </w:r>
          </w:p>
        </w:tc>
        <w:tc>
          <w:tcPr>
            <w:tcW w:w="709" w:type="dxa"/>
            <w:tcBorders>
              <w:bottom w:val="single" w:sz="4" w:space="0" w:color="auto"/>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val="restart"/>
            <w:shd w:val="clear" w:color="auto" w:fill="C6D9F1"/>
          </w:tcPr>
          <w:p w:rsidR="00372960" w:rsidRPr="00971B1C" w:rsidRDefault="00372960" w:rsidP="00372960">
            <w:pPr>
              <w:spacing w:after="0" w:line="240" w:lineRule="auto"/>
              <w:rPr>
                <w:rFonts w:eastAsia="Times New Roman" w:cs="Times New Roman"/>
                <w:b/>
                <w:sz w:val="16"/>
                <w:szCs w:val="16"/>
              </w:rPr>
            </w:pPr>
            <w:r w:rsidRPr="00971B1C">
              <w:rPr>
                <w:rFonts w:eastAsia="Times New Roman" w:cs="Times New Roman"/>
                <w:b/>
                <w:sz w:val="16"/>
                <w:szCs w:val="16"/>
              </w:rPr>
              <w:t>Military and Strategic</w:t>
            </w:r>
          </w:p>
        </w:tc>
        <w:tc>
          <w:tcPr>
            <w:tcW w:w="126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Military</w:t>
            </w: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Aircraft</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tcBorders>
              <w:bottom w:val="single" w:sz="4" w:space="0" w:color="auto"/>
            </w:tcBorders>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Borders>
              <w:bottom w:val="single" w:sz="4" w:space="0" w:color="auto"/>
            </w:tcBorders>
          </w:tcPr>
          <w:p w:rsidR="00372960" w:rsidRPr="00971B1C" w:rsidRDefault="00372960" w:rsidP="00372960">
            <w:pPr>
              <w:spacing w:after="0" w:line="240" w:lineRule="auto"/>
              <w:jc w:val="center"/>
              <w:rPr>
                <w:rFonts w:eastAsia="Times New Roman" w:cs="Times New Roman"/>
                <w:sz w:val="16"/>
                <w:szCs w:val="16"/>
              </w:rPr>
            </w:pPr>
          </w:p>
        </w:tc>
        <w:tc>
          <w:tcPr>
            <w:tcW w:w="3099" w:type="dxa"/>
            <w:gridSpan w:val="2"/>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Shipping</w:t>
            </w:r>
          </w:p>
        </w:tc>
        <w:tc>
          <w:tcPr>
            <w:tcW w:w="709" w:type="dxa"/>
            <w:tcBorders>
              <w:bottom w:val="single" w:sz="4" w:space="0" w:color="auto"/>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val="restart"/>
            <w:shd w:val="clear" w:color="auto" w:fill="C6D9F1"/>
          </w:tcPr>
          <w:p w:rsidR="00372960" w:rsidRPr="00971B1C" w:rsidRDefault="00372960" w:rsidP="00372960">
            <w:pPr>
              <w:spacing w:after="0" w:line="240" w:lineRule="auto"/>
              <w:rPr>
                <w:rFonts w:eastAsia="Times New Roman" w:cs="Times New Roman"/>
                <w:b/>
                <w:sz w:val="16"/>
                <w:szCs w:val="16"/>
              </w:rPr>
            </w:pPr>
            <w:r w:rsidRPr="00971B1C">
              <w:rPr>
                <w:rFonts w:eastAsia="Times New Roman" w:cs="Times New Roman"/>
                <w:b/>
                <w:sz w:val="16"/>
                <w:szCs w:val="16"/>
              </w:rPr>
              <w:t>Conservation</w:t>
            </w:r>
          </w:p>
          <w:p w:rsidR="00372960" w:rsidRPr="00971B1C" w:rsidRDefault="00372960" w:rsidP="00372960">
            <w:pPr>
              <w:spacing w:after="0" w:line="240" w:lineRule="auto"/>
              <w:rPr>
                <w:rFonts w:eastAsia="Times New Roman" w:cs="Times New Roman"/>
                <w:b/>
                <w:sz w:val="16"/>
                <w:szCs w:val="16"/>
              </w:rPr>
            </w:pPr>
          </w:p>
        </w:tc>
        <w:tc>
          <w:tcPr>
            <w:tcW w:w="1260" w:type="dxa"/>
            <w:vMerge w:val="restart"/>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Coastal</w:t>
            </w: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AONB</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Heritage Coast</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SSSI</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RAMSAR</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SPA</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vMerge/>
          </w:tcPr>
          <w:p w:rsidR="00372960" w:rsidRPr="00971B1C" w:rsidRDefault="00372960" w:rsidP="00372960">
            <w:pPr>
              <w:spacing w:after="0" w:line="240" w:lineRule="auto"/>
              <w:rPr>
                <w:rFonts w:eastAsia="Times New Roman" w:cs="Times New Roman"/>
                <w:sz w:val="16"/>
                <w:szCs w:val="16"/>
              </w:rPr>
            </w:pPr>
          </w:p>
        </w:tc>
        <w:tc>
          <w:tcPr>
            <w:tcW w:w="3099" w:type="dxa"/>
            <w:gridSpan w:val="2"/>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National Park</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tcBorders>
              <w:bottom w:val="single" w:sz="4" w:space="0" w:color="auto"/>
            </w:tcBorders>
            <w:shd w:val="clear" w:color="auto" w:fill="C6D9F1"/>
          </w:tcPr>
          <w:p w:rsidR="00372960" w:rsidRPr="00971B1C" w:rsidRDefault="00372960" w:rsidP="00372960">
            <w:pPr>
              <w:spacing w:after="0" w:line="240" w:lineRule="auto"/>
              <w:rPr>
                <w:rFonts w:eastAsia="Times New Roman" w:cs="Times New Roman"/>
                <w:b/>
                <w:sz w:val="16"/>
                <w:szCs w:val="16"/>
              </w:rPr>
            </w:pPr>
          </w:p>
        </w:tc>
        <w:tc>
          <w:tcPr>
            <w:tcW w:w="1260" w:type="dxa"/>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Marine</w:t>
            </w:r>
          </w:p>
        </w:tc>
        <w:tc>
          <w:tcPr>
            <w:tcW w:w="3099" w:type="dxa"/>
            <w:gridSpan w:val="2"/>
            <w:tcBorders>
              <w:bottom w:val="single" w:sz="4" w:space="0" w:color="auto"/>
            </w:tcBorders>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SAC</w:t>
            </w:r>
          </w:p>
        </w:tc>
        <w:tc>
          <w:tcPr>
            <w:tcW w:w="709" w:type="dxa"/>
            <w:tcBorders>
              <w:bottom w:val="single" w:sz="4" w:space="0" w:color="auto"/>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val="restart"/>
            <w:shd w:val="clear" w:color="auto" w:fill="C6D9F1"/>
          </w:tcPr>
          <w:p w:rsidR="00372960" w:rsidRPr="00971B1C" w:rsidRDefault="00372960" w:rsidP="00372960">
            <w:pPr>
              <w:spacing w:after="0" w:line="240" w:lineRule="auto"/>
              <w:rPr>
                <w:rFonts w:eastAsia="Times New Roman" w:cs="Times New Roman"/>
                <w:b/>
                <w:sz w:val="16"/>
                <w:szCs w:val="16"/>
              </w:rPr>
            </w:pPr>
            <w:r w:rsidRPr="00971B1C">
              <w:rPr>
                <w:rFonts w:eastAsia="Times New Roman" w:cs="Times New Roman"/>
                <w:b/>
                <w:sz w:val="16"/>
                <w:szCs w:val="16"/>
              </w:rPr>
              <w:t>Waste Disposal</w:t>
            </w:r>
          </w:p>
          <w:p w:rsidR="00372960" w:rsidRPr="00971B1C" w:rsidRDefault="00372960" w:rsidP="00372960">
            <w:pPr>
              <w:spacing w:after="0" w:line="240" w:lineRule="auto"/>
              <w:rPr>
                <w:rFonts w:eastAsia="Times New Roman" w:cs="Times New Roman"/>
                <w:b/>
                <w:sz w:val="16"/>
                <w:szCs w:val="16"/>
              </w:rPr>
            </w:pPr>
          </w:p>
        </w:tc>
        <w:tc>
          <w:tcPr>
            <w:tcW w:w="4359" w:type="dxa"/>
            <w:gridSpan w:val="3"/>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Persistent marine debris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sz w:val="16"/>
                <w:szCs w:val="16"/>
              </w:rPr>
            </w:pPr>
          </w:p>
        </w:tc>
        <w:tc>
          <w:tcPr>
            <w:tcW w:w="4359" w:type="dxa"/>
            <w:gridSpan w:val="3"/>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Sewage Treatment works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971B1C">
        <w:trPr>
          <w:cantSplit/>
          <w:jc w:val="center"/>
        </w:trPr>
        <w:tc>
          <w:tcPr>
            <w:tcW w:w="1368" w:type="dxa"/>
            <w:vMerge/>
            <w:shd w:val="clear" w:color="auto" w:fill="C6D9F1"/>
          </w:tcPr>
          <w:p w:rsidR="00372960" w:rsidRPr="00971B1C" w:rsidRDefault="00372960" w:rsidP="00372960">
            <w:pPr>
              <w:spacing w:after="0" w:line="240" w:lineRule="auto"/>
              <w:rPr>
                <w:rFonts w:eastAsia="Times New Roman" w:cs="Times New Roman"/>
                <w:sz w:val="16"/>
                <w:szCs w:val="16"/>
              </w:rPr>
            </w:pPr>
          </w:p>
        </w:tc>
        <w:tc>
          <w:tcPr>
            <w:tcW w:w="4359" w:type="dxa"/>
            <w:gridSpan w:val="3"/>
          </w:tcPr>
          <w:p w:rsidR="00372960" w:rsidRPr="00971B1C" w:rsidRDefault="00372960" w:rsidP="00372960">
            <w:pPr>
              <w:spacing w:after="0" w:line="240" w:lineRule="auto"/>
              <w:rPr>
                <w:rFonts w:eastAsia="Times New Roman" w:cs="Times New Roman"/>
                <w:sz w:val="16"/>
                <w:szCs w:val="16"/>
              </w:rPr>
            </w:pPr>
            <w:r w:rsidRPr="00971B1C">
              <w:rPr>
                <w:rFonts w:eastAsia="Times New Roman" w:cs="Times New Roman"/>
                <w:sz w:val="16"/>
                <w:szCs w:val="16"/>
              </w:rPr>
              <w:t>Storm water overflows</w:t>
            </w:r>
          </w:p>
        </w:tc>
        <w:tc>
          <w:tcPr>
            <w:tcW w:w="709" w:type="dxa"/>
            <w:tcBorders>
              <w:right w:val="single" w:sz="4" w:space="0" w:color="auto"/>
            </w:tcBorders>
          </w:tcPr>
          <w:p w:rsidR="00372960" w:rsidRPr="00971B1C" w:rsidRDefault="00372960" w:rsidP="00372960">
            <w:pPr>
              <w:spacing w:after="0" w:line="240" w:lineRule="auto"/>
              <w:rPr>
                <w:rFonts w:eastAsia="Times New Roman" w:cs="Times New Roman"/>
                <w:sz w:val="16"/>
                <w:szCs w:val="16"/>
              </w:rPr>
            </w:pPr>
          </w:p>
        </w:tc>
        <w:tc>
          <w:tcPr>
            <w:tcW w:w="3860" w:type="dxa"/>
            <w:tcBorders>
              <w:top w:val="nil"/>
              <w:left w:val="single" w:sz="4" w:space="0" w:color="auto"/>
              <w:bottom w:val="single" w:sz="4" w:space="0" w:color="auto"/>
              <w:right w:val="single" w:sz="4" w:space="0" w:color="auto"/>
            </w:tcBorders>
          </w:tcPr>
          <w:p w:rsidR="00372960" w:rsidRPr="00971B1C" w:rsidRDefault="00372960" w:rsidP="00372960">
            <w:pPr>
              <w:spacing w:after="0" w:line="240" w:lineRule="auto"/>
              <w:rPr>
                <w:rFonts w:eastAsia="Times New Roman" w:cs="Times New Roman"/>
                <w:sz w:val="16"/>
                <w:szCs w:val="16"/>
              </w:rPr>
            </w:pPr>
          </w:p>
        </w:tc>
      </w:tr>
      <w:tr w:rsidR="00372960" w:rsidRPr="00971B1C" w:rsidTr="00372960">
        <w:trPr>
          <w:cantSplit/>
          <w:trHeight w:val="1190"/>
          <w:jc w:val="center"/>
        </w:trPr>
        <w:tc>
          <w:tcPr>
            <w:tcW w:w="10296" w:type="dxa"/>
            <w:gridSpan w:val="6"/>
          </w:tcPr>
          <w:p w:rsidR="00372960" w:rsidRPr="00971B1C" w:rsidRDefault="00372960" w:rsidP="00372960">
            <w:pPr>
              <w:spacing w:after="0" w:line="240" w:lineRule="auto"/>
              <w:rPr>
                <w:rFonts w:eastAsia="Times New Roman" w:cs="Times New Roman"/>
                <w:b/>
                <w:sz w:val="20"/>
                <w:szCs w:val="24"/>
              </w:rPr>
            </w:pPr>
            <w:r w:rsidRPr="00971B1C">
              <w:rPr>
                <w:rFonts w:eastAsia="Times New Roman" w:cs="Times New Roman"/>
                <w:b/>
                <w:sz w:val="20"/>
                <w:szCs w:val="24"/>
              </w:rPr>
              <w:t>Identify possible /actual management resolution at the site.</w:t>
            </w:r>
          </w:p>
          <w:p w:rsidR="00372960" w:rsidRPr="00971B1C" w:rsidRDefault="00372960" w:rsidP="00372960">
            <w:pPr>
              <w:spacing w:after="0" w:line="240" w:lineRule="auto"/>
              <w:rPr>
                <w:rFonts w:eastAsia="Times New Roman" w:cs="Times New Roman"/>
                <w:b/>
                <w:sz w:val="20"/>
                <w:szCs w:val="24"/>
              </w:rPr>
            </w:pPr>
          </w:p>
          <w:p w:rsidR="00372960" w:rsidRPr="00971B1C" w:rsidRDefault="00372960" w:rsidP="00372960">
            <w:pPr>
              <w:spacing w:after="0" w:line="240" w:lineRule="auto"/>
              <w:rPr>
                <w:rFonts w:eastAsia="Times New Roman" w:cs="Times New Roman"/>
                <w:sz w:val="20"/>
                <w:szCs w:val="24"/>
              </w:rPr>
            </w:pPr>
          </w:p>
          <w:p w:rsidR="00372960" w:rsidRPr="00971B1C" w:rsidRDefault="00372960" w:rsidP="00372960">
            <w:pPr>
              <w:spacing w:after="0" w:line="240" w:lineRule="auto"/>
              <w:rPr>
                <w:rFonts w:eastAsia="Times New Roman" w:cs="Times New Roman"/>
                <w:sz w:val="20"/>
                <w:szCs w:val="24"/>
              </w:rPr>
            </w:pPr>
          </w:p>
          <w:p w:rsidR="00372960" w:rsidRPr="00971B1C" w:rsidRDefault="00372960" w:rsidP="00372960">
            <w:pPr>
              <w:spacing w:after="0" w:line="240" w:lineRule="auto"/>
              <w:rPr>
                <w:rFonts w:eastAsia="Times New Roman" w:cs="Times New Roman"/>
                <w:sz w:val="20"/>
                <w:szCs w:val="24"/>
              </w:rPr>
            </w:pPr>
          </w:p>
          <w:p w:rsidR="00372960" w:rsidRPr="00971B1C" w:rsidRDefault="00372960" w:rsidP="00372960">
            <w:pPr>
              <w:spacing w:after="0" w:line="240" w:lineRule="auto"/>
              <w:rPr>
                <w:rFonts w:eastAsia="Times New Roman" w:cs="Times New Roman"/>
                <w:sz w:val="20"/>
                <w:szCs w:val="24"/>
              </w:rPr>
            </w:pPr>
          </w:p>
          <w:p w:rsidR="00372960" w:rsidRPr="00971B1C" w:rsidRDefault="00372960" w:rsidP="00372960">
            <w:pPr>
              <w:spacing w:after="0" w:line="240" w:lineRule="auto"/>
              <w:rPr>
                <w:rFonts w:eastAsia="Times New Roman" w:cs="Times New Roman"/>
                <w:sz w:val="20"/>
                <w:szCs w:val="24"/>
              </w:rPr>
            </w:pPr>
          </w:p>
          <w:p w:rsidR="00372960" w:rsidRPr="00971B1C" w:rsidRDefault="00372960" w:rsidP="00372960">
            <w:pPr>
              <w:spacing w:after="0" w:line="240" w:lineRule="auto"/>
              <w:rPr>
                <w:rFonts w:eastAsia="Times New Roman" w:cs="Times New Roman"/>
                <w:sz w:val="20"/>
                <w:szCs w:val="24"/>
              </w:rPr>
            </w:pPr>
          </w:p>
          <w:p w:rsidR="00372960" w:rsidRDefault="00372960" w:rsidP="00372960">
            <w:pPr>
              <w:spacing w:after="0" w:line="240" w:lineRule="auto"/>
              <w:rPr>
                <w:rFonts w:eastAsia="Times New Roman" w:cs="Times New Roman"/>
                <w:sz w:val="20"/>
                <w:szCs w:val="24"/>
              </w:rPr>
            </w:pPr>
          </w:p>
          <w:p w:rsidR="00971B1C" w:rsidRDefault="00971B1C" w:rsidP="00372960">
            <w:pPr>
              <w:spacing w:after="0" w:line="240" w:lineRule="auto"/>
              <w:rPr>
                <w:rFonts w:eastAsia="Times New Roman" w:cs="Times New Roman"/>
                <w:sz w:val="20"/>
                <w:szCs w:val="24"/>
              </w:rPr>
            </w:pPr>
          </w:p>
          <w:p w:rsidR="00971B1C" w:rsidRDefault="00971B1C" w:rsidP="00372960">
            <w:pPr>
              <w:spacing w:after="0" w:line="240" w:lineRule="auto"/>
              <w:rPr>
                <w:rFonts w:eastAsia="Times New Roman" w:cs="Times New Roman"/>
                <w:sz w:val="20"/>
                <w:szCs w:val="24"/>
              </w:rPr>
            </w:pPr>
          </w:p>
          <w:p w:rsidR="00971B1C" w:rsidRDefault="00971B1C" w:rsidP="00372960">
            <w:pPr>
              <w:spacing w:after="0" w:line="240" w:lineRule="auto"/>
              <w:rPr>
                <w:rFonts w:eastAsia="Times New Roman" w:cs="Times New Roman"/>
                <w:sz w:val="20"/>
                <w:szCs w:val="24"/>
              </w:rPr>
            </w:pPr>
          </w:p>
          <w:p w:rsidR="00971B1C" w:rsidRDefault="00971B1C" w:rsidP="00372960">
            <w:pPr>
              <w:spacing w:after="0" w:line="240" w:lineRule="auto"/>
              <w:rPr>
                <w:rFonts w:eastAsia="Times New Roman" w:cs="Times New Roman"/>
                <w:sz w:val="20"/>
                <w:szCs w:val="24"/>
              </w:rPr>
            </w:pPr>
          </w:p>
          <w:p w:rsidR="00971B1C" w:rsidRDefault="00971B1C" w:rsidP="00372960">
            <w:pPr>
              <w:spacing w:after="0" w:line="240" w:lineRule="auto"/>
              <w:rPr>
                <w:rFonts w:eastAsia="Times New Roman" w:cs="Times New Roman"/>
                <w:sz w:val="20"/>
                <w:szCs w:val="24"/>
              </w:rPr>
            </w:pPr>
          </w:p>
          <w:p w:rsidR="00971B1C" w:rsidRPr="00971B1C" w:rsidRDefault="00971B1C" w:rsidP="00372960">
            <w:pPr>
              <w:spacing w:after="0" w:line="240" w:lineRule="auto"/>
              <w:rPr>
                <w:rFonts w:eastAsia="Times New Roman" w:cs="Times New Roman"/>
                <w:sz w:val="20"/>
                <w:szCs w:val="24"/>
              </w:rPr>
            </w:pPr>
          </w:p>
          <w:p w:rsidR="00372960" w:rsidRDefault="00372960" w:rsidP="00372960">
            <w:pPr>
              <w:spacing w:after="0" w:line="240" w:lineRule="auto"/>
              <w:rPr>
                <w:rFonts w:eastAsia="Times New Roman" w:cs="Times New Roman"/>
                <w:sz w:val="20"/>
                <w:szCs w:val="24"/>
              </w:rPr>
            </w:pPr>
          </w:p>
          <w:p w:rsidR="00971B1C" w:rsidRPr="00971B1C" w:rsidRDefault="00971B1C" w:rsidP="00372960">
            <w:pPr>
              <w:spacing w:after="0" w:line="240" w:lineRule="auto"/>
              <w:rPr>
                <w:rFonts w:eastAsia="Times New Roman" w:cs="Times New Roman"/>
                <w:sz w:val="20"/>
                <w:szCs w:val="24"/>
              </w:rPr>
            </w:pPr>
          </w:p>
        </w:tc>
      </w:tr>
      <w:tr w:rsidR="00971B1C" w:rsidRPr="00971B1C" w:rsidTr="00971B1C">
        <w:trPr>
          <w:cantSplit/>
          <w:jc w:val="center"/>
        </w:trPr>
        <w:tc>
          <w:tcPr>
            <w:tcW w:w="5727" w:type="dxa"/>
            <w:gridSpan w:val="4"/>
            <w:shd w:val="clear" w:color="auto" w:fill="B3B3B3"/>
          </w:tcPr>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lastRenderedPageBreak/>
              <w:t xml:space="preserve">FIELD NOTES                  COASTAL USES               SITE </w:t>
            </w:r>
          </w:p>
          <w:p w:rsidR="00971B1C" w:rsidRPr="00971B1C" w:rsidRDefault="00971B1C" w:rsidP="00971B1C">
            <w:pPr>
              <w:spacing w:after="0" w:line="240" w:lineRule="auto"/>
              <w:rPr>
                <w:rFonts w:eastAsia="Times New Roman" w:cs="Times New Roman"/>
                <w:b/>
                <w:bCs/>
                <w:sz w:val="16"/>
                <w:szCs w:val="16"/>
              </w:rPr>
            </w:pPr>
          </w:p>
        </w:tc>
        <w:tc>
          <w:tcPr>
            <w:tcW w:w="4569" w:type="dxa"/>
            <w:gridSpan w:val="2"/>
            <w:shd w:val="clear" w:color="auto" w:fill="B3B3B3"/>
          </w:tcPr>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t xml:space="preserve">LEVEL OF CONFLICT (SAC) </w:t>
            </w:r>
          </w:p>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t>1=NO CONFLICT 5=SEVERE</w:t>
            </w: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Commercial and Industrial</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Commercial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Tourism Developments</w:t>
            </w:r>
          </w:p>
        </w:tc>
        <w:tc>
          <w:tcPr>
            <w:tcW w:w="709" w:type="dxa"/>
          </w:tcPr>
          <w:p w:rsidR="00971B1C" w:rsidRPr="00971B1C" w:rsidRDefault="00971B1C" w:rsidP="00971B1C">
            <w:pPr>
              <w:spacing w:after="0" w:line="240" w:lineRule="auto"/>
              <w:rPr>
                <w:rFonts w:eastAsia="Times New Roman" w:cs="Times New Roman"/>
                <w:sz w:val="16"/>
                <w:szCs w:val="16"/>
              </w:rPr>
            </w:pPr>
          </w:p>
        </w:tc>
        <w:tc>
          <w:tcPr>
            <w:tcW w:w="3860"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Marina Services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single" w:sz="4" w:space="0" w:color="auto"/>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Transport</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Ferries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Shipping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Customs etc</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Educational studies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Industrial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Maintenance dredging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Aggregate Dredging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Cable laying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Ports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Oil refineries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Port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Energy</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Wind</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 xml:space="preserve">Tidal </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LNG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108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Other</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Residency and Recreation</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Residency</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Maritime Quarter</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Holiday homes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trHeight w:val="211"/>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Recreation</w:t>
            </w: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Boating activities</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Sailing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Jet ski</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Water skiing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Canoeing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Power boating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RIB Excursions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Water sports</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Wind/kite surfing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Swimming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Diving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108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Surfing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Agriculture, Aquaculture and Fishing</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Agriculture</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Arable</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Livestock</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Fishing</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Trawling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Set Nets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Drift Nets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Recreational</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Mussel dredging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Military and Strategic</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Military</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Aircraft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Shipping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Conservation</w:t>
            </w:r>
          </w:p>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Coastal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AONB</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Heritage Coast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SSSI</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RAMSAR</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SPA</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National Park</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Marine</w:t>
            </w: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SAC</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Waste Disposal</w:t>
            </w:r>
          </w:p>
          <w:p w:rsidR="00971B1C" w:rsidRPr="00971B1C" w:rsidRDefault="00971B1C" w:rsidP="00971B1C">
            <w:pPr>
              <w:spacing w:after="0" w:line="240" w:lineRule="auto"/>
              <w:rPr>
                <w:rFonts w:eastAsia="Times New Roman" w:cs="Times New Roman"/>
                <w:b/>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Persistent marine debris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Sewage Treatment works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Storm water overflows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trHeight w:val="1190"/>
          <w:jc w:val="center"/>
        </w:trPr>
        <w:tc>
          <w:tcPr>
            <w:tcW w:w="10296" w:type="dxa"/>
            <w:gridSpan w:val="6"/>
          </w:tcPr>
          <w:p w:rsidR="00971B1C" w:rsidRPr="00971B1C" w:rsidRDefault="00971B1C" w:rsidP="00971B1C">
            <w:pPr>
              <w:spacing w:after="0" w:line="240" w:lineRule="auto"/>
              <w:rPr>
                <w:rFonts w:eastAsia="Times New Roman" w:cs="Times New Roman"/>
                <w:b/>
                <w:sz w:val="20"/>
                <w:szCs w:val="24"/>
              </w:rPr>
            </w:pPr>
            <w:r w:rsidRPr="00971B1C">
              <w:rPr>
                <w:rFonts w:eastAsia="Times New Roman" w:cs="Times New Roman"/>
                <w:b/>
                <w:sz w:val="20"/>
                <w:szCs w:val="24"/>
              </w:rPr>
              <w:t>Identify possible /actual management resolution at the site.</w:t>
            </w:r>
          </w:p>
          <w:p w:rsidR="00971B1C" w:rsidRPr="00971B1C" w:rsidRDefault="00971B1C" w:rsidP="00971B1C">
            <w:pPr>
              <w:spacing w:after="0" w:line="240" w:lineRule="auto"/>
              <w:rPr>
                <w:rFonts w:eastAsia="Times New Roman" w:cs="Times New Roman"/>
                <w:b/>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5C610E" w:rsidRDefault="005C610E" w:rsidP="00971B1C">
            <w:pPr>
              <w:spacing w:after="0" w:line="240" w:lineRule="auto"/>
              <w:rPr>
                <w:rFonts w:eastAsia="Times New Roman" w:cs="Times New Roman"/>
                <w:sz w:val="20"/>
                <w:szCs w:val="24"/>
              </w:rPr>
            </w:pPr>
          </w:p>
          <w:p w:rsidR="005C610E" w:rsidRDefault="005C610E" w:rsidP="00971B1C">
            <w:pPr>
              <w:spacing w:after="0" w:line="240" w:lineRule="auto"/>
              <w:rPr>
                <w:rFonts w:eastAsia="Times New Roman" w:cs="Times New Roman"/>
                <w:sz w:val="20"/>
                <w:szCs w:val="24"/>
              </w:rPr>
            </w:pPr>
          </w:p>
          <w:p w:rsidR="005C610E" w:rsidRDefault="005C610E" w:rsidP="00971B1C">
            <w:pPr>
              <w:spacing w:after="0" w:line="240" w:lineRule="auto"/>
              <w:rPr>
                <w:rFonts w:eastAsia="Times New Roman" w:cs="Times New Roman"/>
                <w:sz w:val="20"/>
                <w:szCs w:val="24"/>
              </w:rPr>
            </w:pPr>
          </w:p>
          <w:p w:rsidR="005C610E" w:rsidRDefault="005C610E" w:rsidP="00971B1C">
            <w:pPr>
              <w:spacing w:after="0" w:line="240" w:lineRule="auto"/>
              <w:rPr>
                <w:rFonts w:eastAsia="Times New Roman" w:cs="Times New Roman"/>
                <w:sz w:val="20"/>
                <w:szCs w:val="24"/>
              </w:rPr>
            </w:pPr>
          </w:p>
          <w:p w:rsidR="005C610E" w:rsidRDefault="005C610E"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tc>
      </w:tr>
      <w:tr w:rsidR="00971B1C" w:rsidRPr="00971B1C" w:rsidTr="00971B1C">
        <w:trPr>
          <w:cantSplit/>
          <w:jc w:val="center"/>
        </w:trPr>
        <w:tc>
          <w:tcPr>
            <w:tcW w:w="5727" w:type="dxa"/>
            <w:gridSpan w:val="4"/>
            <w:shd w:val="clear" w:color="auto" w:fill="B3B3B3"/>
          </w:tcPr>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lastRenderedPageBreak/>
              <w:t xml:space="preserve">FIELD NOTES                  COASTAL USES               SITE </w:t>
            </w:r>
          </w:p>
          <w:p w:rsidR="00971B1C" w:rsidRPr="00971B1C" w:rsidRDefault="00971B1C" w:rsidP="00971B1C">
            <w:pPr>
              <w:spacing w:after="0" w:line="240" w:lineRule="auto"/>
              <w:rPr>
                <w:rFonts w:eastAsia="Times New Roman" w:cs="Times New Roman"/>
                <w:b/>
                <w:bCs/>
                <w:sz w:val="16"/>
                <w:szCs w:val="16"/>
              </w:rPr>
            </w:pPr>
          </w:p>
        </w:tc>
        <w:tc>
          <w:tcPr>
            <w:tcW w:w="4569" w:type="dxa"/>
            <w:gridSpan w:val="2"/>
            <w:shd w:val="clear" w:color="auto" w:fill="B3B3B3"/>
          </w:tcPr>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t xml:space="preserve">LEVEL OF CONFLICT (SAC) </w:t>
            </w:r>
          </w:p>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t>1=NO CONFLICT 5=SEVERE</w:t>
            </w: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Commercial and Industrial</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Commercial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Tourism Developments</w:t>
            </w:r>
          </w:p>
        </w:tc>
        <w:tc>
          <w:tcPr>
            <w:tcW w:w="709" w:type="dxa"/>
          </w:tcPr>
          <w:p w:rsidR="00971B1C" w:rsidRPr="00971B1C" w:rsidRDefault="00971B1C" w:rsidP="00971B1C">
            <w:pPr>
              <w:spacing w:after="0" w:line="240" w:lineRule="auto"/>
              <w:rPr>
                <w:rFonts w:eastAsia="Times New Roman" w:cs="Times New Roman"/>
                <w:sz w:val="16"/>
                <w:szCs w:val="16"/>
              </w:rPr>
            </w:pPr>
          </w:p>
        </w:tc>
        <w:tc>
          <w:tcPr>
            <w:tcW w:w="3860"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Marina Services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single" w:sz="4" w:space="0" w:color="auto"/>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Transport</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Ferries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Shipping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Customs etc</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Educational studies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Industrial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Maintenance dredging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Aggregate Dredging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Cable laying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Ports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Oil refineries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Port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Energy</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Wind</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 xml:space="preserve">Tidal </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LNG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108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Other</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Residency and Recreation</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Residency</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Maritime Quarter</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Holiday homes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trHeight w:val="211"/>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Recreation</w:t>
            </w: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Boating activities</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Sailing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Jet ski</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Water skiing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Canoeing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Power boating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RIB Excursions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Water sports</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Wind/kite surfing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Swimming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Diving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108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Surfing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Agriculture, Aquaculture and Fishing</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Agriculture</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Arable</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Livestock</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Fishing</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Trawling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Set Nets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Drift Nets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Recreational</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Mussel dredging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Military and Strategic</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Military</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Aircraft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Shipping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Conservation</w:t>
            </w:r>
          </w:p>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Coastal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AONB</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Heritage Coast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SSSI</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RAMSAR</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SPA</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National Park</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Marine</w:t>
            </w: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SAC</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Waste Disposal</w:t>
            </w:r>
          </w:p>
          <w:p w:rsidR="00971B1C" w:rsidRPr="00971B1C" w:rsidRDefault="00971B1C" w:rsidP="00971B1C">
            <w:pPr>
              <w:spacing w:after="0" w:line="240" w:lineRule="auto"/>
              <w:rPr>
                <w:rFonts w:eastAsia="Times New Roman" w:cs="Times New Roman"/>
                <w:b/>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Persistent marine debris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Sewage Treatment works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Storm water overflows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trHeight w:val="1190"/>
          <w:jc w:val="center"/>
        </w:trPr>
        <w:tc>
          <w:tcPr>
            <w:tcW w:w="10296" w:type="dxa"/>
            <w:gridSpan w:val="6"/>
          </w:tcPr>
          <w:p w:rsidR="00971B1C" w:rsidRPr="00971B1C" w:rsidRDefault="00971B1C" w:rsidP="00971B1C">
            <w:pPr>
              <w:spacing w:after="0" w:line="240" w:lineRule="auto"/>
              <w:rPr>
                <w:rFonts w:eastAsia="Times New Roman" w:cs="Times New Roman"/>
                <w:b/>
                <w:sz w:val="20"/>
                <w:szCs w:val="24"/>
              </w:rPr>
            </w:pPr>
            <w:r w:rsidRPr="00971B1C">
              <w:rPr>
                <w:rFonts w:eastAsia="Times New Roman" w:cs="Times New Roman"/>
                <w:b/>
                <w:sz w:val="20"/>
                <w:szCs w:val="24"/>
              </w:rPr>
              <w:t>Identify possible /actual management resolution at the site.</w:t>
            </w:r>
          </w:p>
          <w:p w:rsidR="00971B1C" w:rsidRPr="00971B1C" w:rsidRDefault="00971B1C" w:rsidP="00971B1C">
            <w:pPr>
              <w:spacing w:after="0" w:line="240" w:lineRule="auto"/>
              <w:rPr>
                <w:rFonts w:eastAsia="Times New Roman" w:cs="Times New Roman"/>
                <w:b/>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tc>
      </w:tr>
      <w:tr w:rsidR="00971B1C" w:rsidRPr="00971B1C" w:rsidTr="00971B1C">
        <w:trPr>
          <w:cantSplit/>
          <w:jc w:val="center"/>
        </w:trPr>
        <w:tc>
          <w:tcPr>
            <w:tcW w:w="5727" w:type="dxa"/>
            <w:gridSpan w:val="4"/>
            <w:shd w:val="clear" w:color="auto" w:fill="B3B3B3"/>
          </w:tcPr>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lastRenderedPageBreak/>
              <w:t xml:space="preserve">FIELD NOTES                  COASTAL USES               SITE </w:t>
            </w:r>
          </w:p>
          <w:p w:rsidR="00971B1C" w:rsidRPr="00971B1C" w:rsidRDefault="00971B1C" w:rsidP="00971B1C">
            <w:pPr>
              <w:spacing w:after="0" w:line="240" w:lineRule="auto"/>
              <w:rPr>
                <w:rFonts w:eastAsia="Times New Roman" w:cs="Times New Roman"/>
                <w:b/>
                <w:bCs/>
                <w:sz w:val="16"/>
                <w:szCs w:val="16"/>
              </w:rPr>
            </w:pPr>
          </w:p>
        </w:tc>
        <w:tc>
          <w:tcPr>
            <w:tcW w:w="4569" w:type="dxa"/>
            <w:gridSpan w:val="2"/>
            <w:shd w:val="clear" w:color="auto" w:fill="B3B3B3"/>
          </w:tcPr>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t xml:space="preserve">LEVEL OF CONFLICT (SAC) </w:t>
            </w:r>
          </w:p>
          <w:p w:rsidR="00971B1C" w:rsidRPr="00971B1C" w:rsidRDefault="00971B1C" w:rsidP="00971B1C">
            <w:pPr>
              <w:spacing w:after="0" w:line="240" w:lineRule="auto"/>
              <w:rPr>
                <w:rFonts w:eastAsia="Times New Roman" w:cs="Times New Roman"/>
                <w:b/>
                <w:bCs/>
                <w:sz w:val="16"/>
                <w:szCs w:val="16"/>
              </w:rPr>
            </w:pPr>
            <w:r w:rsidRPr="00971B1C">
              <w:rPr>
                <w:rFonts w:eastAsia="Times New Roman" w:cs="Times New Roman"/>
                <w:b/>
                <w:bCs/>
                <w:sz w:val="16"/>
                <w:szCs w:val="16"/>
              </w:rPr>
              <w:t>1=NO CONFLICT 5=SEVERE</w:t>
            </w: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Commercial and Industrial</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Commercial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Tourism Developments</w:t>
            </w:r>
          </w:p>
        </w:tc>
        <w:tc>
          <w:tcPr>
            <w:tcW w:w="709" w:type="dxa"/>
          </w:tcPr>
          <w:p w:rsidR="00971B1C" w:rsidRPr="00971B1C" w:rsidRDefault="00971B1C" w:rsidP="00971B1C">
            <w:pPr>
              <w:spacing w:after="0" w:line="240" w:lineRule="auto"/>
              <w:rPr>
                <w:rFonts w:eastAsia="Times New Roman" w:cs="Times New Roman"/>
                <w:sz w:val="16"/>
                <w:szCs w:val="16"/>
              </w:rPr>
            </w:pPr>
          </w:p>
        </w:tc>
        <w:tc>
          <w:tcPr>
            <w:tcW w:w="3860"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Marina Services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single" w:sz="4" w:space="0" w:color="auto"/>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Transport</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Ferries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Shipping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Customs etc</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Educational studies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Industrial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Maintenance dredging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Aggregate Dredging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Cable laying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Ports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Oil refineries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Port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Energy</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Wind</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 xml:space="preserve">Tidal </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1080" w:type="dxa"/>
            <w:vMerge/>
          </w:tcPr>
          <w:p w:rsidR="00971B1C" w:rsidRPr="00971B1C" w:rsidRDefault="00971B1C" w:rsidP="00971B1C">
            <w:pPr>
              <w:spacing w:after="0" w:line="240" w:lineRule="auto"/>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LNG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108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Other</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Residency and Recreation</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Residency</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Maritime Quarter</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Holiday homes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trHeight w:val="211"/>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Recreation</w:t>
            </w: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Boating activities</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Sailing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Jet ski</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Water skiing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Canoeing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Power boating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RIB Excursions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Water sports</w:t>
            </w: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Wind/kite surfing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Swimming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jc w:val="center"/>
              <w:rPr>
                <w:rFonts w:eastAsia="Times New Roman" w:cs="Times New Roman"/>
                <w:sz w:val="16"/>
                <w:szCs w:val="16"/>
              </w:rPr>
            </w:pPr>
          </w:p>
        </w:tc>
        <w:tc>
          <w:tcPr>
            <w:tcW w:w="1080" w:type="dxa"/>
            <w:vMerge/>
          </w:tcPr>
          <w:p w:rsidR="00971B1C" w:rsidRPr="00971B1C" w:rsidRDefault="00971B1C" w:rsidP="00971B1C">
            <w:pPr>
              <w:spacing w:after="0" w:line="240" w:lineRule="auto"/>
              <w:jc w:val="center"/>
              <w:rPr>
                <w:rFonts w:eastAsia="Times New Roman" w:cs="Times New Roman"/>
                <w:sz w:val="16"/>
                <w:szCs w:val="16"/>
              </w:rPr>
            </w:pPr>
          </w:p>
        </w:tc>
        <w:tc>
          <w:tcPr>
            <w:tcW w:w="2019" w:type="dxa"/>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Diving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108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2019"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Surfing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Agriculture, Aquaculture and Fishing</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Agriculture</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Arable</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Livestock</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Fishing</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Trawling</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Set Nets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Drift Nets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Pots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Recreational</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Mussel dredging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Military and Strategic</w:t>
            </w: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Military</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Aircraft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Borders>
              <w:bottom w:val="single" w:sz="4" w:space="0" w:color="auto"/>
            </w:tcBorders>
          </w:tcPr>
          <w:p w:rsidR="00971B1C" w:rsidRPr="00971B1C" w:rsidRDefault="00971B1C" w:rsidP="00971B1C">
            <w:pPr>
              <w:spacing w:after="0" w:line="240" w:lineRule="auto"/>
              <w:jc w:val="center"/>
              <w:rPr>
                <w:rFonts w:eastAsia="Times New Roman" w:cs="Times New Roman"/>
                <w:sz w:val="16"/>
                <w:szCs w:val="16"/>
              </w:rPr>
            </w:pP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Shipping</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Conservation</w:t>
            </w:r>
          </w:p>
          <w:p w:rsidR="00971B1C" w:rsidRPr="00971B1C" w:rsidRDefault="00971B1C" w:rsidP="00971B1C">
            <w:pPr>
              <w:spacing w:after="0" w:line="240" w:lineRule="auto"/>
              <w:rPr>
                <w:rFonts w:eastAsia="Times New Roman" w:cs="Times New Roman"/>
                <w:b/>
                <w:sz w:val="16"/>
                <w:szCs w:val="16"/>
              </w:rPr>
            </w:pPr>
          </w:p>
        </w:tc>
        <w:tc>
          <w:tcPr>
            <w:tcW w:w="1260" w:type="dxa"/>
            <w:vMerge w:val="restart"/>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Coastal</w:t>
            </w: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AONB</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Heritage Coast</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SSSI</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RAMSAR</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SPA</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vMerge/>
          </w:tcPr>
          <w:p w:rsidR="00971B1C" w:rsidRPr="00971B1C" w:rsidRDefault="00971B1C" w:rsidP="00971B1C">
            <w:pPr>
              <w:spacing w:after="0" w:line="240" w:lineRule="auto"/>
              <w:rPr>
                <w:rFonts w:eastAsia="Times New Roman" w:cs="Times New Roman"/>
                <w:sz w:val="16"/>
                <w:szCs w:val="16"/>
              </w:rPr>
            </w:pPr>
          </w:p>
        </w:tc>
        <w:tc>
          <w:tcPr>
            <w:tcW w:w="3099" w:type="dxa"/>
            <w:gridSpan w:val="2"/>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National Park</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tcBorders>
              <w:bottom w:val="single" w:sz="4" w:space="0" w:color="auto"/>
            </w:tcBorders>
            <w:shd w:val="clear" w:color="auto" w:fill="C6D9F1"/>
          </w:tcPr>
          <w:p w:rsidR="00971B1C" w:rsidRPr="00971B1C" w:rsidRDefault="00971B1C" w:rsidP="00971B1C">
            <w:pPr>
              <w:spacing w:after="0" w:line="240" w:lineRule="auto"/>
              <w:rPr>
                <w:rFonts w:eastAsia="Times New Roman" w:cs="Times New Roman"/>
                <w:b/>
                <w:sz w:val="16"/>
                <w:szCs w:val="16"/>
              </w:rPr>
            </w:pPr>
          </w:p>
        </w:tc>
        <w:tc>
          <w:tcPr>
            <w:tcW w:w="1260" w:type="dxa"/>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Marine</w:t>
            </w:r>
          </w:p>
        </w:tc>
        <w:tc>
          <w:tcPr>
            <w:tcW w:w="3099" w:type="dxa"/>
            <w:gridSpan w:val="2"/>
            <w:tcBorders>
              <w:bottom w:val="single" w:sz="4" w:space="0" w:color="auto"/>
            </w:tcBorders>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SAC</w:t>
            </w:r>
          </w:p>
        </w:tc>
        <w:tc>
          <w:tcPr>
            <w:tcW w:w="709" w:type="dxa"/>
            <w:tcBorders>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val="restart"/>
            <w:shd w:val="clear" w:color="auto" w:fill="C6D9F1"/>
          </w:tcPr>
          <w:p w:rsidR="00971B1C" w:rsidRPr="00971B1C" w:rsidRDefault="00971B1C" w:rsidP="00971B1C">
            <w:pPr>
              <w:spacing w:after="0" w:line="240" w:lineRule="auto"/>
              <w:rPr>
                <w:rFonts w:eastAsia="Times New Roman" w:cs="Times New Roman"/>
                <w:b/>
                <w:sz w:val="16"/>
                <w:szCs w:val="16"/>
              </w:rPr>
            </w:pPr>
            <w:r w:rsidRPr="00971B1C">
              <w:rPr>
                <w:rFonts w:eastAsia="Times New Roman" w:cs="Times New Roman"/>
                <w:b/>
                <w:sz w:val="16"/>
                <w:szCs w:val="16"/>
              </w:rPr>
              <w:t>Waste Disposal</w:t>
            </w:r>
          </w:p>
          <w:p w:rsidR="00971B1C" w:rsidRPr="00971B1C" w:rsidRDefault="00971B1C" w:rsidP="00971B1C">
            <w:pPr>
              <w:spacing w:after="0" w:line="240" w:lineRule="auto"/>
              <w:rPr>
                <w:rFonts w:eastAsia="Times New Roman" w:cs="Times New Roman"/>
                <w:b/>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Persistent marine debris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Sewage Treatment works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nil"/>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jc w:val="center"/>
        </w:trPr>
        <w:tc>
          <w:tcPr>
            <w:tcW w:w="1368" w:type="dxa"/>
            <w:vMerge/>
            <w:shd w:val="clear" w:color="auto" w:fill="C6D9F1"/>
          </w:tcPr>
          <w:p w:rsidR="00971B1C" w:rsidRPr="00971B1C" w:rsidRDefault="00971B1C" w:rsidP="00971B1C">
            <w:pPr>
              <w:spacing w:after="0" w:line="240" w:lineRule="auto"/>
              <w:rPr>
                <w:rFonts w:eastAsia="Times New Roman" w:cs="Times New Roman"/>
                <w:sz w:val="16"/>
                <w:szCs w:val="16"/>
              </w:rPr>
            </w:pPr>
          </w:p>
        </w:tc>
        <w:tc>
          <w:tcPr>
            <w:tcW w:w="4359" w:type="dxa"/>
            <w:gridSpan w:val="3"/>
          </w:tcPr>
          <w:p w:rsidR="00971B1C" w:rsidRPr="00971B1C" w:rsidRDefault="00971B1C" w:rsidP="00971B1C">
            <w:pPr>
              <w:spacing w:after="0" w:line="240" w:lineRule="auto"/>
              <w:rPr>
                <w:rFonts w:eastAsia="Times New Roman" w:cs="Times New Roman"/>
                <w:sz w:val="16"/>
                <w:szCs w:val="16"/>
              </w:rPr>
            </w:pPr>
            <w:r w:rsidRPr="00971B1C">
              <w:rPr>
                <w:rFonts w:eastAsia="Times New Roman" w:cs="Times New Roman"/>
                <w:sz w:val="16"/>
                <w:szCs w:val="16"/>
              </w:rPr>
              <w:t>Storm water overflows</w:t>
            </w:r>
          </w:p>
        </w:tc>
        <w:tc>
          <w:tcPr>
            <w:tcW w:w="709" w:type="dxa"/>
            <w:tcBorders>
              <w:right w:val="single" w:sz="4" w:space="0" w:color="auto"/>
            </w:tcBorders>
          </w:tcPr>
          <w:p w:rsidR="00971B1C" w:rsidRPr="00971B1C" w:rsidRDefault="00971B1C" w:rsidP="00971B1C">
            <w:pPr>
              <w:spacing w:after="0" w:line="240" w:lineRule="auto"/>
              <w:rPr>
                <w:rFonts w:eastAsia="Times New Roman" w:cs="Times New Roman"/>
                <w:sz w:val="16"/>
                <w:szCs w:val="16"/>
              </w:rPr>
            </w:pPr>
          </w:p>
        </w:tc>
        <w:tc>
          <w:tcPr>
            <w:tcW w:w="3860" w:type="dxa"/>
            <w:tcBorders>
              <w:top w:val="nil"/>
              <w:left w:val="single" w:sz="4" w:space="0" w:color="auto"/>
              <w:bottom w:val="single" w:sz="4" w:space="0" w:color="auto"/>
              <w:right w:val="single" w:sz="4" w:space="0" w:color="auto"/>
            </w:tcBorders>
          </w:tcPr>
          <w:p w:rsidR="00971B1C" w:rsidRPr="00971B1C" w:rsidRDefault="00971B1C" w:rsidP="00971B1C">
            <w:pPr>
              <w:spacing w:after="0" w:line="240" w:lineRule="auto"/>
              <w:rPr>
                <w:rFonts w:eastAsia="Times New Roman" w:cs="Times New Roman"/>
                <w:sz w:val="16"/>
                <w:szCs w:val="16"/>
              </w:rPr>
            </w:pPr>
          </w:p>
        </w:tc>
      </w:tr>
      <w:tr w:rsidR="00971B1C" w:rsidRPr="00971B1C" w:rsidTr="00971B1C">
        <w:trPr>
          <w:cantSplit/>
          <w:trHeight w:val="1190"/>
          <w:jc w:val="center"/>
        </w:trPr>
        <w:tc>
          <w:tcPr>
            <w:tcW w:w="10296" w:type="dxa"/>
            <w:gridSpan w:val="6"/>
          </w:tcPr>
          <w:p w:rsidR="00971B1C" w:rsidRPr="00971B1C" w:rsidRDefault="00971B1C" w:rsidP="00971B1C">
            <w:pPr>
              <w:spacing w:after="0" w:line="240" w:lineRule="auto"/>
              <w:rPr>
                <w:rFonts w:eastAsia="Times New Roman" w:cs="Times New Roman"/>
                <w:b/>
                <w:sz w:val="20"/>
                <w:szCs w:val="24"/>
              </w:rPr>
            </w:pPr>
            <w:r w:rsidRPr="00971B1C">
              <w:rPr>
                <w:rFonts w:eastAsia="Times New Roman" w:cs="Times New Roman"/>
                <w:b/>
                <w:sz w:val="20"/>
                <w:szCs w:val="24"/>
              </w:rPr>
              <w:t>Identify possible /actual management resolution at the site.</w:t>
            </w:r>
          </w:p>
          <w:p w:rsidR="00971B1C" w:rsidRPr="00971B1C" w:rsidRDefault="00971B1C" w:rsidP="00971B1C">
            <w:pPr>
              <w:spacing w:after="0" w:line="240" w:lineRule="auto"/>
              <w:rPr>
                <w:rFonts w:eastAsia="Times New Roman" w:cs="Times New Roman"/>
                <w:b/>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p w:rsidR="00971B1C" w:rsidRPr="00971B1C" w:rsidRDefault="00971B1C" w:rsidP="00971B1C">
            <w:pPr>
              <w:spacing w:after="0" w:line="240" w:lineRule="auto"/>
              <w:rPr>
                <w:rFonts w:eastAsia="Times New Roman" w:cs="Times New Roman"/>
                <w:sz w:val="20"/>
                <w:szCs w:val="24"/>
              </w:rPr>
            </w:pPr>
          </w:p>
        </w:tc>
      </w:tr>
    </w:tbl>
    <w:p w:rsidR="00971B1C" w:rsidRDefault="00971B1C" w:rsidP="002937FE">
      <w:pPr>
        <w:rPr>
          <w:b/>
          <w:sz w:val="40"/>
        </w:rPr>
      </w:pPr>
    </w:p>
    <w:p w:rsidR="002937FE" w:rsidRPr="00971B1C" w:rsidRDefault="002937FE" w:rsidP="002937FE">
      <w:pPr>
        <w:rPr>
          <w:b/>
          <w:sz w:val="40"/>
        </w:rPr>
      </w:pPr>
      <w:r w:rsidRPr="00971B1C">
        <w:rPr>
          <w:b/>
          <w:sz w:val="40"/>
        </w:rPr>
        <w:t>Loughor Estuary Field trip</w:t>
      </w:r>
    </w:p>
    <w:p w:rsidR="002937FE" w:rsidRPr="00971B1C" w:rsidRDefault="002937FE" w:rsidP="002937FE">
      <w:pPr>
        <w:rPr>
          <w:b/>
        </w:rPr>
      </w:pPr>
      <w:r w:rsidRPr="00971B1C">
        <w:rPr>
          <w:b/>
        </w:rPr>
        <w:t>Overview of the study area</w:t>
      </w:r>
      <w:bookmarkEnd w:id="0"/>
    </w:p>
    <w:p w:rsidR="002937FE" w:rsidRPr="00971B1C" w:rsidRDefault="002937FE" w:rsidP="002937FE">
      <w:r w:rsidRPr="00971B1C">
        <w:t xml:space="preserve">The Loughor estuary is located on the south coast of Wales, forming the opening to Carmarthen Bay and the north side of Gower (51 38 56 N; 04 10 40 W). </w:t>
      </w:r>
    </w:p>
    <w:p w:rsidR="002937FE" w:rsidRPr="00971B1C" w:rsidRDefault="002937FE" w:rsidP="002937FE">
      <w:r w:rsidRPr="00971B1C">
        <w:t xml:space="preserve">The lower and middle area of the very broad estuary is known as the Burry Inlet. Consisting of narrow channels, the whole estuary is essentially sedimentary and mostly very shallow with large expanses of sediment flats and fringing saltmarshes which are the largest continuous saltmarshes in South Wales. A high tidal range at approximately 8.2m results in a very energetic environment with mobile sands found in the south and muddy shores to the north. The north side differs vastly from the south in terms of man-made structures such as harbour walls, sea defences and slag from previous industrial activity. Freshwater flow is relatively high and salinities fluctuate vastly between high and low water, throughout the estuary (JNCC, 2016).      </w:t>
      </w:r>
    </w:p>
    <w:p w:rsidR="002937FE" w:rsidRPr="00971B1C" w:rsidRDefault="002937FE" w:rsidP="002937FE">
      <w:r w:rsidRPr="00971B1C">
        <w:t xml:space="preserve">Human activity in this area includes two quiet ports: BP and LL. Large volumes of sewage and industrial waste water are discharged from the LL area resulting in high heavy metal loads, particularly Chromium (JNCC, 2016). According to the South Llanelli Development Plan in 2014 </w:t>
      </w:r>
      <w:r w:rsidRPr="00971B1C">
        <w:rPr>
          <w:i/>
        </w:rPr>
        <w:t>“Water quality issues are known to exist and are known to be failing to meet the Water Framework Directive (WFD) standards for nutrient loading (e.g. phosphates)”</w:t>
      </w:r>
      <w:r w:rsidRPr="00971B1C">
        <w:t xml:space="preserve"> (South Llanelli Planning and Development Brief, 2016: pp.22) and as such, the Loughor estuary was designated as a sensitive area [Eutrophic] under the Urban Waste Treatment Directive (South Llanelli Planning and Development Brief, 2016). </w:t>
      </w:r>
    </w:p>
    <w:p w:rsidR="002937FE" w:rsidRPr="00971B1C" w:rsidRDefault="002937FE" w:rsidP="002937FE">
      <w:pPr>
        <w:rPr>
          <w:b/>
        </w:rPr>
      </w:pPr>
      <w:bookmarkStart w:id="2" w:name="_Toc449702650"/>
      <w:r w:rsidRPr="00971B1C">
        <w:rPr>
          <w:b/>
        </w:rPr>
        <w:t>Socio-economics of the study area</w:t>
      </w:r>
      <w:bookmarkEnd w:id="2"/>
    </w:p>
    <w:p w:rsidR="002937FE" w:rsidRPr="00971B1C" w:rsidRDefault="002937FE" w:rsidP="002937FE">
      <w:r w:rsidRPr="00971B1C">
        <w:t xml:space="preserve">Recreational and tourism pressures are light, with angling, birdwatching and walking the principal pursuits (JNCC, 2016). This said, investment in the local tourism industry has resulted in the formation of the Millennium Coastal Park and WWT Wetland Centre in LL (Discovercarmarthenshire.com, 2016). The beaches and caravan/camping sites of the Gower peninsula also attract high tourist numbers (Visitswanseabay.com, 2016). Therefore, this area as a whole is of high value for the local tourism industry.           </w:t>
      </w:r>
    </w:p>
    <w:p w:rsidR="002937FE" w:rsidRPr="00971B1C" w:rsidRDefault="002937FE" w:rsidP="002937FE">
      <w:r w:rsidRPr="00971B1C">
        <w:t xml:space="preserve">LL has a history of coal mining and tin plate production. Tin plate production is still present at the Trostre works owned by Tata Steel although recent announcements of job loses has worried employees (Llanelli Star, 2016). Dyfed Steels is another large industrial employer worthy of note (Insider, 2016). In the surrounding areas, industrial development is varied, with the remnants of development in BP, LO and PC.  </w:t>
      </w:r>
    </w:p>
    <w:p w:rsidR="002937FE" w:rsidRPr="00971B1C" w:rsidRDefault="002937FE" w:rsidP="002937FE">
      <w:r w:rsidRPr="00971B1C">
        <w:t>The Gross Value Added (GVA) index is based on income and is a good indicator of economic background. Llanelli and Swansea be found towards the lower end of Wales’ GVA; Wales itself is at the very bottom of the UK GVA (ON</w:t>
      </w:r>
      <w:r w:rsidR="00971B1C">
        <w:t>S, 2015; BBC, 2015)</w:t>
      </w:r>
      <w:r w:rsidRPr="00971B1C">
        <w:t xml:space="preserve">.   </w:t>
      </w:r>
    </w:p>
    <w:p w:rsidR="002937FE" w:rsidRPr="00971B1C" w:rsidRDefault="002937FE" w:rsidP="002937FE">
      <w:r w:rsidRPr="00971B1C">
        <w:t>Unemployment in the areas around the Loughor estuary is considered high. 2014 figures for unemployed ‘economically active individuals’ from the Office of National Statistics (ONS) ranked the two surrounding constituencies – LL and Swansea West – 12</w:t>
      </w:r>
      <w:r w:rsidRPr="00971B1C">
        <w:rPr>
          <w:vertAlign w:val="superscript"/>
        </w:rPr>
        <w:t>th</w:t>
      </w:r>
      <w:r w:rsidRPr="00971B1C">
        <w:t xml:space="preserve"> and 2</w:t>
      </w:r>
      <w:r w:rsidRPr="00971B1C">
        <w:rPr>
          <w:vertAlign w:val="superscript"/>
        </w:rPr>
        <w:t>nd</w:t>
      </w:r>
      <w:r w:rsidRPr="00971B1C">
        <w:t xml:space="preserve"> (out of 40 in Wales) respectively. Unemployment figures of 7.9% (LL) and at 12.5% (Swansea West) were both above the national averages for Wales (6.9%) and the UK (6.5%) (National Assembly for Wales, 2015) (Appendix K). Furthermore, a key indicator to reflect the economic situation of a particular area is the deprivation index. Appendix I highlights that both LL and Swansea are areas of deprivation (WIMD, 2014).    </w:t>
      </w:r>
    </w:p>
    <w:p w:rsidR="002937FE" w:rsidRPr="00971B1C" w:rsidRDefault="002937FE" w:rsidP="002937FE">
      <w:pPr>
        <w:rPr>
          <w:b/>
        </w:rPr>
      </w:pPr>
      <w:bookmarkStart w:id="3" w:name="_Toc449702651"/>
      <w:r w:rsidRPr="00971B1C">
        <w:rPr>
          <w:b/>
        </w:rPr>
        <w:t>Ecology of the study area</w:t>
      </w:r>
      <w:bookmarkEnd w:id="3"/>
    </w:p>
    <w:p w:rsidR="002937FE" w:rsidRPr="00971B1C" w:rsidRDefault="002937FE" w:rsidP="002937FE">
      <w:r w:rsidRPr="00971B1C">
        <w:t xml:space="preserve">The UK’s third largest cockle fishery can be found in the Burry Inlet which is strictly controlled by the South Wales Fisheries Committee (CBP, 2013). The area around WP has also been identified as an important mussel fishery. Mechanical farming within this fishery is banned under the Burry Inlet Cockle Fishing Order 1965 (NRW, 2013). Cattle </w:t>
      </w:r>
      <w:r w:rsidRPr="00971B1C">
        <w:lastRenderedPageBreak/>
        <w:t xml:space="preserve">and sheep grazing are widespread in salt marsh areas to the south which harbours a highly successful salted lamb industry (Prince, 2011). </w:t>
      </w:r>
    </w:p>
    <w:p w:rsidR="002937FE" w:rsidRPr="00971B1C" w:rsidRDefault="002937FE" w:rsidP="002937FE">
      <w:r w:rsidRPr="00971B1C">
        <w:t xml:space="preserve">The whole of the Burry Inlet is covered by a Site of Special Scientific Interest (SSSI) (Wildlife and Countryside Act 1981) which is one of many designations in the estuary. The main conservation interest is ornithological which calls for a status of Special Protection Area (SPA) and Ramsar Site under the EC Birds Directive and International Convention on Wetlands respectively. The area is internationally important for its large populations of wildfowl and waders. Bird species of international importance include Pintails and Oystercatchers. On a national level, Dark-bellied Brent Goose, Shelduck, Shoveler, Knot, and Dunlin are also of importance (JNCC, 2015). The area is also listed in European Natura 2000 list which falls under the EU Habitats Directive (Hough and Holt, 2000). Substantial sand dune systems and saltmarsh around WP are managed as a National Nature Reserve (NNR) and the wetlands in LL are managed by the Wildfowls and Wetlands Trust (WWT) (WWT, 2016).  Other designations to note are a marine Special Area of Conservation (SAC) in Carmarthen bay (including the Burry Inlet), and an Area of Outstanding Natural Beauty (AONB) on Gower peninsula to the east (JNCC, 2016).     </w:t>
      </w:r>
    </w:p>
    <w:p w:rsidR="002937FE" w:rsidRPr="00971B1C" w:rsidRDefault="002937FE" w:rsidP="002937FE">
      <w:r w:rsidRPr="00971B1C">
        <w:t>A survey in intertidal and subtidal dredge sites was carried out by the JNCC in 2008. Extensive areas of rich bivalve dominated sediment communities are were identified in this area, and as such are of great interest. Furthermore, communities of algae and animals on the mussel scars at WP are very rich and diverse. A rarely recorded polychaete (</w:t>
      </w:r>
      <w:r w:rsidRPr="00971B1C">
        <w:rPr>
          <w:i/>
        </w:rPr>
        <w:t>Ophelia bicornis)</w:t>
      </w:r>
      <w:r w:rsidRPr="00971B1C">
        <w:t xml:space="preserve"> was found in Llanrhidian Sands which was the only species of conservation/scientific recorded at time of research (JNCC, 2008). Important beds of nationally scarce flora species can also be found on Gower peninsula (CBP, 2013). </w:t>
      </w:r>
    </w:p>
    <w:p w:rsidR="002937FE" w:rsidRPr="00971B1C" w:rsidRDefault="002937FE" w:rsidP="002937FE">
      <w:r w:rsidRPr="00971B1C">
        <w:t xml:space="preserve">The river Loughor is classed as ‘at risk’ in terms of migratory salmon and trout that frequent the river on a seasonal basis. This has resulted in heavy policing in the area by Natural Resources Wales (NRW, 2014; NRW, 2015). Other marine life of national importance include shad species, lamprey and otters. Grey seals and harbour porpoise are also known to use the channel to feed (JNCC, 2008; Oakley et al., 2015).    </w:t>
      </w:r>
    </w:p>
    <w:p w:rsidR="002937FE" w:rsidRPr="00971B1C" w:rsidRDefault="002937FE" w:rsidP="002937FE">
      <w:r w:rsidRPr="00971B1C">
        <w:t xml:space="preserve">Research of this largely post-industrial area has found it to be an area of high deprivation in need of economic stimulation. The environmental value is high, therefore it could be suggested that conflict may arise here.   </w:t>
      </w:r>
    </w:p>
    <w:p w:rsidR="00924A6B" w:rsidRPr="00924A6B" w:rsidRDefault="00924A6B" w:rsidP="00924A6B">
      <w:pPr>
        <w:rPr>
          <w:b/>
        </w:rPr>
      </w:pPr>
      <w:r w:rsidRPr="00924A6B">
        <w:rPr>
          <w:b/>
        </w:rPr>
        <w:t xml:space="preserve">Underground Coal Gasification </w:t>
      </w:r>
    </w:p>
    <w:p w:rsidR="00924A6B" w:rsidRDefault="00924A6B" w:rsidP="00924A6B">
      <w:r>
        <w:t xml:space="preserve">Underground Coal Gasification (or ‘UCG’) is one emerging technology, and despite being piloted and tested for decades, has not yet been fully utilised as a method for energy production (Macalister, 2011). This process involves drilling down into coal seams, either on land or in coastal waters, and then igniting the underlying strata in situ. With a combination of heat, high pressured air and/or steam, the coal releases syn-gases with the predominant gas being methane. Once collected, the gas is then processed and ready for use in a variety of applications (Klimenko, 2009; Ludwik-Pardała and Stańczyk, 2015). </w:t>
      </w:r>
    </w:p>
    <w:p w:rsidR="00924A6B" w:rsidRDefault="00924A6B" w:rsidP="00924A6B">
      <w:r>
        <w:t xml:space="preserve">It has been suggested that UCG is a promising option for the future use of un-worked coal (DTI UK  2003; Friedmann et al, 2009). As compared to conventional mining, with less than one sixth of the world’s coal economically accessible (Bhutto et al, 2012), UCG not only offers the opportunity to access reserves that are either inaccessible or too costly to mine in the traditional sense, but also promises lower capital and operational costs (BBC, 2015). According to a study in 2012 by Bhutto et al “Underground coal gasification (UCG), taken on its own, offers the prospect of increasing the world’s usable coal reserves by a factor of at least three” (Bhutto et al 2012: 190). Biggar Economics (2015) estimated that over a 30 year period, the UCG sector has the potential to generate £12.8 billion GVA for the UK economy. Other advantages include a reduced surface footprint (due to coal being burned underground in situ), the non-requirement for human labour underground, and the potential to be linked with carbon capture and sequestration (CCS) (DTI UK, 2003; Pei et al., 2016).  </w:t>
      </w:r>
    </w:p>
    <w:p w:rsidR="00924A6B" w:rsidRDefault="00924A6B" w:rsidP="00924A6B">
      <w:r>
        <w:t xml:space="preserve">However, there are hurdles to overcome. Key are economic viability, planning permission and associated negative environmental and health issues. Environmental concerns include the creation and spread of contaminants, waste water and solids, subsidence, emissions and general industrialisation issues such as increased traffic (Imran et al., 2014; Krause et al, 2015; Ludwik-Pardała and Stańczyk, 2015; Lloyd Smith, 2015).. During research it was clear that </w:t>
      </w:r>
      <w:r>
        <w:lastRenderedPageBreak/>
        <w:t xml:space="preserve">there is conflicting opinions regarding the impacts of UCG on the environment. For example, work by Pei et al (2016) at a UCG test site in North Dakota, USA concluded that “the geological and hydrogeological conditions present minimal risks for aquifer pollution and subsidence” (Pei et al., 2016:103). In contrast, work by Kapusta and Stańczyk (2011) highlighted that “A variety of hazardous water-born contaminants have been identified during different UCG operations conducted so far, and in some locations long-term groundwater contaminations were observed” (Kapusta and Stańczyk, 2011: 1). This was backed up by LIU et al (2007). Separate reports from the Department of Trade and Industry (UK) acknowledge environmental concerns, however, they were deemed to be minimal and low risk (DTI UK, 2003; DTI UK, 2004) </w:t>
      </w:r>
    </w:p>
    <w:p w:rsidR="00924A6B" w:rsidRDefault="00924A6B" w:rsidP="00924A6B"/>
    <w:p w:rsidR="00924A6B" w:rsidRDefault="00924A6B" w:rsidP="00924A6B">
      <w:r>
        <w:rPr>
          <w:noProof/>
          <w:lang w:eastAsia="en-GB"/>
        </w:rPr>
        <w:drawing>
          <wp:inline distT="0" distB="0" distL="0" distR="0" wp14:anchorId="1F5FCF1C" wp14:editId="1F5FCF1D">
            <wp:extent cx="5523230" cy="4145915"/>
            <wp:effectExtent l="0" t="0" r="127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3230" cy="4145915"/>
                    </a:xfrm>
                    <a:prstGeom prst="rect">
                      <a:avLst/>
                    </a:prstGeom>
                    <a:noFill/>
                  </pic:spPr>
                </pic:pic>
              </a:graphicData>
            </a:graphic>
          </wp:inline>
        </w:drawing>
      </w:r>
    </w:p>
    <w:p w:rsidR="00924A6B" w:rsidRDefault="00924A6B" w:rsidP="00924A6B"/>
    <w:p w:rsidR="00924A6B" w:rsidRDefault="00924A6B" w:rsidP="00924A6B">
      <w:r>
        <w:t>UCG is generally classed as an ‘unconventional gas extraction method’ and as such is likened with techniques such as hydraulic fracturing (or ‘fracking’). Fracking involves a similar process to UCG in that gas is extracted from underlying strata post drilling. The major differences between the two are that fracking utilises gas trapped in shale formations opposed to coal, and the method of extraction involves pumping a mix of fresh water and chemicals at high pressure to fracture onshore geological formations (thus releasing gas) opposed to the gasification/oxidation process associated with UCG (Kasperson, 2014; Hammond, et al 2015; Goodman et al., 2016). Environmental concerns related to fracking differ slightly to UCG in that higher volumes of water (mixed with chemicals to form ‘fracking fluid’) are used that poses a threat to surface ecology as well as local water bodies such as aquifers and rivers. The migration of contaminants is considered more likely due to the disturbance of geology which also leads to the increased risk of local seismic activity (Goodman et al., 2016).</w:t>
      </w:r>
    </w:p>
    <w:p w:rsidR="00924A6B" w:rsidRDefault="00924A6B" w:rsidP="00924A6B"/>
    <w:p w:rsidR="00924A6B" w:rsidRDefault="00924A6B" w:rsidP="00924A6B">
      <w:r>
        <w:t>Although UCG is currently untested in the UK, studies from around the worl</w:t>
      </w:r>
      <w:r w:rsidR="004B1362">
        <w:t>d can be found</w:t>
      </w:r>
      <w:r>
        <w:t>. In 2014, the UK government backed the development of the fracking/UCG industry and pledged that local authorities would retain 100% of business rates collected (Watt, 2014). Exploratory licenses for UCG have been granted throughout the UK</w:t>
      </w:r>
      <w:r w:rsidR="004B1362">
        <w:t xml:space="preserve"> at specific coastal sites</w:t>
      </w:r>
      <w:r>
        <w:t xml:space="preserve">, and full scale production was seen to be likely in 2014 (Leake, 2014). However, during research </w:t>
      </w:r>
      <w:r>
        <w:lastRenderedPageBreak/>
        <w:t xml:space="preserve">there have been several policy changes that may determine the outcome of UCG in the UK. Despite licenses being granted, the Scottish government imposed a moratorium on UCG in 2015 due to a lack of research regarding the environmental issues related to this process (BBC, 2015). Similarly, the Welsh government followed suit for the same reasons in 2016 (BBC, 2016). Both governments outlined that the moratoriums apply to UCG specifically, and not the unconventional gas sector as a whole. That said, pressure from green groups coupled with public support, as well as ambiguity in research, has resulted in temporary bans of onshore unconventional techniques (i.e. fracking) in Scotland (BBC, 2015; Hammond et al, 2015). </w:t>
      </w:r>
    </w:p>
    <w:p w:rsidR="00924A6B" w:rsidRDefault="00924A6B" w:rsidP="00924A6B"/>
    <w:p w:rsidR="00924A6B" w:rsidRDefault="00924A6B" w:rsidP="00924A6B">
      <w:r>
        <w:t xml:space="preserve">It is clear that UCG is a contemporary issue which has a political dimension as well as an environmental one. The halted development of this sector in the UK is most likely associated with the inherent conflict between developers and conservationists.  </w:t>
      </w:r>
    </w:p>
    <w:p w:rsidR="00924A6B" w:rsidRDefault="00924A6B" w:rsidP="00924A6B"/>
    <w:p w:rsidR="00524F70" w:rsidRDefault="00924A6B" w:rsidP="00924A6B">
      <w:r>
        <w:t>The absence of a systematic approach to identify and quantify conflict between developers and conservationists can lead to the ineffective management of resources and habitats (Amyot and Grant 2014). Under schedule 2 of the Town and Country Planning (EIA) Regulations 2011, “it is unlikely that an Environmental Impact Assessment will be required for exploratory drilling operations which do not involve hydraulic fracturing” (Town and Country Planning (EIA) Regulations 2011: 2, 2,). Therefore it is likely that UCG exploratory drilling will not require an EIA. However, the regulations also state that “Applications for the production phase……where more than 500 tonnes of oil or 500,000 cubic metres of gas will be extracted per day may fall under Schedule 1, in which case an Environmental Impact Assessment is mandatory” (Town and Country Planning (EIA) Regulations 2011: 2, 2,) which highlights that EIA will need to be carried out prior to large scale production. However, at time of research there were no other methods available that related to conflict identification, especially for use in the early stages of development.</w:t>
      </w:r>
    </w:p>
    <w:p w:rsidR="00924A6B" w:rsidRPr="005C610E" w:rsidRDefault="00924A6B" w:rsidP="00924A6B">
      <w:pPr>
        <w:rPr>
          <w:b/>
          <w:sz w:val="24"/>
        </w:rPr>
      </w:pPr>
      <w:r w:rsidRPr="005C610E">
        <w:rPr>
          <w:b/>
          <w:sz w:val="24"/>
        </w:rPr>
        <w:t>Some figures for consideration</w:t>
      </w:r>
    </w:p>
    <w:p w:rsidR="00924A6B" w:rsidRPr="005C610E" w:rsidRDefault="00924A6B" w:rsidP="007E65E2">
      <w:pPr>
        <w:numPr>
          <w:ilvl w:val="0"/>
          <w:numId w:val="6"/>
        </w:numPr>
        <w:rPr>
          <w:b/>
        </w:rPr>
      </w:pPr>
      <w:bookmarkStart w:id="4" w:name="_Toc449702674"/>
      <w:r w:rsidRPr="005C610E">
        <w:rPr>
          <w:b/>
        </w:rPr>
        <w:t>Water Quality</w:t>
      </w:r>
      <w:bookmarkEnd w:id="4"/>
      <w:r w:rsidRPr="005C610E">
        <w:rPr>
          <w:b/>
        </w:rPr>
        <w:t xml:space="preserve"> </w:t>
      </w:r>
      <w:r w:rsidRPr="00924A6B">
        <w:rPr>
          <w:b/>
          <w:noProof/>
          <w:lang w:eastAsia="en-GB"/>
        </w:rPr>
        <mc:AlternateContent>
          <mc:Choice Requires="wps">
            <w:drawing>
              <wp:anchor distT="45720" distB="45720" distL="114300" distR="114300" simplePos="0" relativeHeight="251659264" behindDoc="0" locked="0" layoutInCell="1" allowOverlap="1" wp14:anchorId="1F5FCF1E" wp14:editId="1F5FCF1F">
                <wp:simplePos x="0" y="0"/>
                <wp:positionH relativeFrom="margin">
                  <wp:align>left</wp:align>
                </wp:positionH>
                <wp:positionV relativeFrom="paragraph">
                  <wp:posOffset>3059430</wp:posOffset>
                </wp:positionV>
                <wp:extent cx="6414135" cy="1143000"/>
                <wp:effectExtent l="0" t="0" r="5715"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4135" cy="1143000"/>
                        </a:xfrm>
                        <a:prstGeom prst="rect">
                          <a:avLst/>
                        </a:prstGeom>
                        <a:solidFill>
                          <a:srgbClr val="FFFFFF"/>
                        </a:solidFill>
                        <a:ln w="9525">
                          <a:noFill/>
                          <a:miter lim="800000"/>
                          <a:headEnd/>
                          <a:tailEnd/>
                        </a:ln>
                      </wps:spPr>
                      <wps:txbx>
                        <w:txbxContent>
                          <w:p w:rsidR="007E65E2" w:rsidRDefault="007E65E2" w:rsidP="00924A6B">
                            <w:r>
                              <w:t xml:space="preserve">Shows the water quality test plots in the Loughor Estuary.  The 2009 report from Dwr Cymru Welsh Water found water quality to be good to high with quality decreasing further into the estuary. Source: Dwr Cymru Welsh Water, 2009. However, later research carried out by Llanelli county council in 2016 put the area at risk of eutrophication and nutrient loading </w:t>
                            </w:r>
                          </w:p>
                          <w:p w:rsidR="007E65E2" w:rsidRDefault="007E65E2" w:rsidP="00924A6B"/>
                          <w:p w:rsidR="007E65E2" w:rsidRDefault="007E65E2" w:rsidP="00924A6B">
                            <w:r>
                              <w:t xml:space="preserve">Appendix E shows the water quality test plots in the Loughor Estuary.  The 2009 report from Dwr Cymru Welsh Water found water quality to be good to high with quality decreasing further into the estuary. Source: Dwr Cymru Welsh Water, 2009. However, later research carried out by Llanelli county council in 2016 put the area at risk of eutrophication and nutrient loading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5FCF1E" id="_x0000_t202" coordsize="21600,21600" o:spt="202" path="m,l,21600r21600,l21600,xe">
                <v:stroke joinstyle="miter"/>
                <v:path gradientshapeok="t" o:connecttype="rect"/>
              </v:shapetype>
              <v:shape id="Text Box 2" o:spid="_x0000_s1026" type="#_x0000_t202" style="position:absolute;left:0;text-align:left;margin-left:0;margin-top:240.9pt;width:505.05pt;height:90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" stroked="f">
                <v:textbox>
                  <w:txbxContent>
                    <w:p w:rsidR="007E65E2" w:rsidRDefault="007E65E2" w:rsidP="00924A6B">
                      <w:r>
                        <w:t xml:space="preserve">Shows the water quality test plots in the Loughor Estuary.  The 2009 report from Dwr Cymru Welsh Water found water quality to be good to high with quality decreasing further into the estuary. Source: Dwr Cymru Welsh Water, 2009. However, later research carried out by Llanelli county council in 2016 put the area at risk of eutrophication and nutrient loading </w:t>
                      </w:r>
                    </w:p>
                    <w:p w:rsidR="007E65E2" w:rsidRDefault="007E65E2" w:rsidP="00924A6B"/>
                    <w:p w:rsidR="007E65E2" w:rsidRDefault="007E65E2" w:rsidP="00924A6B">
                      <w:r>
                        <w:t xml:space="preserve">Appendix E shows the water quality test plots in the Loughor Estuary.  The 2009 report from Dwr Cymru Welsh Water found water quality to be good to high with quality decreasing further into the estuary. Source: Dwr Cymru Welsh Water, 2009. However, later research carried out by Llanelli county council in 2016 put the area at risk of eutrophication and nutrient loading </w:t>
                      </w:r>
                    </w:p>
                  </w:txbxContent>
                </v:textbox>
                <w10:wrap type="square" anchorx="margin"/>
              </v:shape>
            </w:pict>
          </mc:Fallback>
        </mc:AlternateContent>
      </w:r>
      <w:r w:rsidRPr="00924A6B">
        <w:rPr>
          <w:b/>
          <w:noProof/>
          <w:lang w:eastAsia="en-GB"/>
        </w:rPr>
        <w:drawing>
          <wp:inline distT="0" distB="0" distL="0" distR="0" wp14:anchorId="1F5FCF20" wp14:editId="1F5FCF21">
            <wp:extent cx="4135272" cy="2906504"/>
            <wp:effectExtent l="0" t="0" r="0" b="825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7226" t="38113" r="33691" b="25546"/>
                    <a:stretch/>
                  </pic:blipFill>
                  <pic:spPr bwMode="auto">
                    <a:xfrm>
                      <a:off x="0" y="0"/>
                      <a:ext cx="4204079" cy="2954866"/>
                    </a:xfrm>
                    <a:prstGeom prst="rect">
                      <a:avLst/>
                    </a:prstGeom>
                    <a:ln>
                      <a:noFill/>
                    </a:ln>
                    <a:extLst>
                      <a:ext uri="{53640926-AAD7-44D8-BBD7-CCE9431645EC}">
                        <a14:shadowObscured xmlns:a14="http://schemas.microsoft.com/office/drawing/2010/main"/>
                      </a:ext>
                    </a:extLst>
                  </pic:spPr>
                </pic:pic>
              </a:graphicData>
            </a:graphic>
          </wp:inline>
        </w:drawing>
      </w:r>
    </w:p>
    <w:p w:rsidR="00924A6B" w:rsidRDefault="00924A6B" w:rsidP="00924A6B">
      <w:pPr>
        <w:rPr>
          <w:b/>
        </w:rPr>
      </w:pPr>
    </w:p>
    <w:p w:rsidR="00924A6B" w:rsidRDefault="00924A6B" w:rsidP="00924A6B">
      <w:pPr>
        <w:rPr>
          <w:b/>
        </w:rPr>
      </w:pPr>
    </w:p>
    <w:p w:rsidR="00924A6B" w:rsidRPr="00924A6B" w:rsidRDefault="00924A6B" w:rsidP="00924A6B">
      <w:pPr>
        <w:rPr>
          <w:b/>
        </w:rPr>
      </w:pPr>
    </w:p>
    <w:p w:rsidR="00924A6B" w:rsidRPr="00924A6B" w:rsidRDefault="00924A6B" w:rsidP="00924A6B">
      <w:pPr>
        <w:numPr>
          <w:ilvl w:val="0"/>
          <w:numId w:val="6"/>
        </w:numPr>
        <w:rPr>
          <w:b/>
        </w:rPr>
      </w:pPr>
      <w:bookmarkStart w:id="5" w:name="_Toc449702675"/>
      <w:r w:rsidRPr="00924A6B">
        <w:rPr>
          <w:b/>
        </w:rPr>
        <w:t>Hydrology</w:t>
      </w:r>
      <w:bookmarkEnd w:id="5"/>
      <w:r w:rsidRPr="00924A6B">
        <w:rPr>
          <w:b/>
        </w:rPr>
        <w:t xml:space="preserve"> </w:t>
      </w:r>
    </w:p>
    <w:p w:rsidR="00924A6B" w:rsidRPr="00924A6B" w:rsidRDefault="00924A6B" w:rsidP="00924A6B">
      <w:pPr>
        <w:rPr>
          <w:b/>
        </w:rPr>
      </w:pPr>
      <w:r w:rsidRPr="00924A6B">
        <w:rPr>
          <w:b/>
          <w:noProof/>
          <w:lang w:eastAsia="en-GB"/>
        </w:rPr>
        <w:drawing>
          <wp:inline distT="0" distB="0" distL="0" distR="0" wp14:anchorId="1F5FCF22" wp14:editId="1F5FCF23">
            <wp:extent cx="5459104" cy="3893147"/>
            <wp:effectExtent l="0" t="0" r="8255"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415" t="21863" r="28872" b="25251"/>
                    <a:stretch/>
                  </pic:blipFill>
                  <pic:spPr bwMode="auto">
                    <a:xfrm>
                      <a:off x="0" y="0"/>
                      <a:ext cx="5521771" cy="3937838"/>
                    </a:xfrm>
                    <a:prstGeom prst="rect">
                      <a:avLst/>
                    </a:prstGeom>
                    <a:ln>
                      <a:noFill/>
                    </a:ln>
                    <a:extLst>
                      <a:ext uri="{53640926-AAD7-44D8-BBD7-CCE9431645EC}">
                        <a14:shadowObscured xmlns:a14="http://schemas.microsoft.com/office/drawing/2010/main"/>
                      </a:ext>
                    </a:extLst>
                  </pic:spPr>
                </pic:pic>
              </a:graphicData>
            </a:graphic>
          </wp:inline>
        </w:drawing>
      </w:r>
    </w:p>
    <w:p w:rsidR="00924A6B" w:rsidRPr="00924A6B" w:rsidRDefault="00924A6B" w:rsidP="00924A6B">
      <w:pPr>
        <w:rPr>
          <w:b/>
        </w:rPr>
      </w:pPr>
      <w:r w:rsidRPr="00924A6B">
        <w:rPr>
          <w:b/>
          <w:noProof/>
          <w:lang w:eastAsia="en-GB"/>
        </w:rPr>
        <mc:AlternateContent>
          <mc:Choice Requires="wps">
            <w:drawing>
              <wp:anchor distT="45720" distB="45720" distL="114300" distR="114300" simplePos="0" relativeHeight="251660288" behindDoc="0" locked="0" layoutInCell="1" allowOverlap="1" wp14:anchorId="1F5FCF24" wp14:editId="1F5FCF25">
                <wp:simplePos x="0" y="0"/>
                <wp:positionH relativeFrom="margin">
                  <wp:align>left</wp:align>
                </wp:positionH>
                <wp:positionV relativeFrom="paragraph">
                  <wp:posOffset>26035</wp:posOffset>
                </wp:positionV>
                <wp:extent cx="6031865" cy="245110"/>
                <wp:effectExtent l="0" t="0" r="6985" b="254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1865" cy="245110"/>
                        </a:xfrm>
                        <a:prstGeom prst="rect">
                          <a:avLst/>
                        </a:prstGeom>
                        <a:solidFill>
                          <a:srgbClr val="FFFFFF"/>
                        </a:solidFill>
                        <a:ln w="9525">
                          <a:noFill/>
                          <a:miter lim="800000"/>
                          <a:headEnd/>
                          <a:tailEnd/>
                        </a:ln>
                      </wps:spPr>
                      <wps:txbx>
                        <w:txbxContent>
                          <w:p w:rsidR="007E65E2" w:rsidRDefault="007E65E2" w:rsidP="00924A6B">
                            <w:r>
                              <w:t>Shows the hydrology of the Loughor Estuary  (Dwr Cymru Welsh Water, 2009)</w:t>
                            </w:r>
                          </w:p>
                          <w:p w:rsidR="007E65E2" w:rsidRDefault="007E65E2" w:rsidP="00924A6B"/>
                          <w:p w:rsidR="007E65E2" w:rsidRDefault="007E65E2" w:rsidP="00924A6B"/>
                          <w:p w:rsidR="007E65E2" w:rsidRDefault="007E65E2" w:rsidP="00924A6B">
                            <w:r>
                              <w:t xml:space="preserve">Appendix F shows the hydrology of the Loughor Estuary </w:t>
                            </w:r>
                          </w:p>
                          <w:p w:rsidR="007E65E2" w:rsidRDefault="007E65E2" w:rsidP="00924A6B">
                            <w:r>
                              <w:t>(Dwr Cymru Welsh Water, 2009)</w:t>
                            </w:r>
                          </w:p>
                          <w:p w:rsidR="007E65E2" w:rsidRDefault="007E65E2" w:rsidP="00924A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5FCF24" id="_x0000_s1027" type="#_x0000_t202" style="position:absolute;margin-left:0;margin-top:2.05pt;width:474.95pt;height:19.3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" stroked="f">
                <v:textbox>
                  <w:txbxContent>
                    <w:p w:rsidR="007E65E2" w:rsidRDefault="007E65E2" w:rsidP="00924A6B">
                      <w:r>
                        <w:t>Shows the hydrology of the Loughor Estuary  (Dwr Cymru Welsh Water, 2009)</w:t>
                      </w:r>
                    </w:p>
                    <w:p w:rsidR="007E65E2" w:rsidRDefault="007E65E2" w:rsidP="00924A6B"/>
                    <w:p w:rsidR="007E65E2" w:rsidRDefault="007E65E2" w:rsidP="00924A6B"/>
                    <w:p w:rsidR="007E65E2" w:rsidRDefault="007E65E2" w:rsidP="00924A6B">
                      <w:r>
                        <w:t xml:space="preserve">Appendix F shows the hydrology of the Loughor Estuary </w:t>
                      </w:r>
                    </w:p>
                    <w:p w:rsidR="007E65E2" w:rsidRDefault="007E65E2" w:rsidP="00924A6B">
                      <w:r>
                        <w:t>(Dwr Cymru Welsh Water, 2009)</w:t>
                      </w:r>
                    </w:p>
                    <w:p w:rsidR="007E65E2" w:rsidRDefault="007E65E2" w:rsidP="00924A6B"/>
                  </w:txbxContent>
                </v:textbox>
                <w10:wrap type="square" anchorx="margin"/>
              </v:shape>
            </w:pict>
          </mc:Fallback>
        </mc:AlternateContent>
      </w:r>
    </w:p>
    <w:p w:rsidR="00924A6B" w:rsidRDefault="00924A6B" w:rsidP="005C610E">
      <w:pPr>
        <w:ind w:left="720"/>
        <w:rPr>
          <w:b/>
        </w:rPr>
      </w:pPr>
      <w:bookmarkStart w:id="6" w:name="_Toc449702676"/>
    </w:p>
    <w:p w:rsidR="00924A6B" w:rsidRDefault="00924A6B" w:rsidP="00924A6B">
      <w:pPr>
        <w:ind w:left="720"/>
        <w:rPr>
          <w:b/>
        </w:rPr>
      </w:pPr>
      <w:r w:rsidRPr="00924A6B">
        <w:rPr>
          <w:b/>
          <w:noProof/>
          <w:lang w:eastAsia="en-GB"/>
        </w:rPr>
        <w:drawing>
          <wp:inline distT="0" distB="0" distL="0" distR="0" wp14:anchorId="1F5FCF26" wp14:editId="1F5FCF27">
            <wp:extent cx="5612130" cy="2942590"/>
            <wp:effectExtent l="0" t="0" r="762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298" t="26590" r="22723" b="12842"/>
                    <a:stretch/>
                  </pic:blipFill>
                  <pic:spPr bwMode="auto">
                    <a:xfrm>
                      <a:off x="0" y="0"/>
                      <a:ext cx="5612130" cy="2942590"/>
                    </a:xfrm>
                    <a:prstGeom prst="rect">
                      <a:avLst/>
                    </a:prstGeom>
                    <a:ln>
                      <a:noFill/>
                    </a:ln>
                    <a:extLst>
                      <a:ext uri="{53640926-AAD7-44D8-BBD7-CCE9431645EC}">
                        <a14:shadowObscured xmlns:a14="http://schemas.microsoft.com/office/drawing/2010/main"/>
                      </a:ext>
                    </a:extLst>
                  </pic:spPr>
                </pic:pic>
              </a:graphicData>
            </a:graphic>
          </wp:inline>
        </w:drawing>
      </w:r>
    </w:p>
    <w:p w:rsidR="00924A6B" w:rsidRPr="00924A6B" w:rsidRDefault="00924A6B" w:rsidP="00924A6B">
      <w:pPr>
        <w:numPr>
          <w:ilvl w:val="0"/>
          <w:numId w:val="6"/>
        </w:numPr>
        <w:rPr>
          <w:b/>
        </w:rPr>
      </w:pPr>
      <w:bookmarkStart w:id="7" w:name="_Toc449702677"/>
      <w:r w:rsidRPr="00924A6B">
        <w:rPr>
          <w:b/>
        </w:rPr>
        <w:t>Population</w:t>
      </w:r>
      <w:bookmarkEnd w:id="7"/>
      <w:r w:rsidRPr="00924A6B">
        <w:rPr>
          <w:b/>
        </w:rPr>
        <w:t xml:space="preserve"> </w:t>
      </w:r>
    </w:p>
    <w:p w:rsidR="00924A6B" w:rsidRDefault="00924A6B" w:rsidP="00924A6B">
      <w:pPr>
        <w:rPr>
          <w:b/>
        </w:rPr>
      </w:pPr>
      <w:r>
        <w:rPr>
          <w:b/>
          <w:noProof/>
          <w:lang w:eastAsia="en-GB"/>
        </w:rPr>
        <w:lastRenderedPageBreak/>
        <w:drawing>
          <wp:inline distT="0" distB="0" distL="0" distR="0" wp14:anchorId="1F5FCF28" wp14:editId="1F5FCF29">
            <wp:extent cx="5715635" cy="781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635" cy="781050"/>
                    </a:xfrm>
                    <a:prstGeom prst="rect">
                      <a:avLst/>
                    </a:prstGeom>
                    <a:noFill/>
                  </pic:spPr>
                </pic:pic>
              </a:graphicData>
            </a:graphic>
          </wp:inline>
        </w:drawing>
      </w:r>
    </w:p>
    <w:p w:rsidR="00924A6B" w:rsidRDefault="00924A6B" w:rsidP="00924A6B">
      <w:pPr>
        <w:rPr>
          <w:b/>
        </w:rPr>
      </w:pPr>
    </w:p>
    <w:p w:rsidR="00924A6B" w:rsidRDefault="00924A6B" w:rsidP="00924A6B">
      <w:pPr>
        <w:rPr>
          <w:b/>
        </w:rPr>
      </w:pPr>
    </w:p>
    <w:p w:rsidR="00924A6B" w:rsidRDefault="00924A6B" w:rsidP="00924A6B">
      <w:pPr>
        <w:rPr>
          <w:b/>
        </w:rPr>
      </w:pPr>
    </w:p>
    <w:p w:rsidR="00924A6B" w:rsidRPr="00924A6B" w:rsidRDefault="00924A6B" w:rsidP="00924A6B">
      <w:pPr>
        <w:numPr>
          <w:ilvl w:val="0"/>
          <w:numId w:val="6"/>
        </w:numPr>
        <w:rPr>
          <w:b/>
        </w:rPr>
      </w:pPr>
      <w:r w:rsidRPr="00924A6B">
        <w:rPr>
          <w:b/>
        </w:rPr>
        <w:t>Aquifers</w:t>
      </w:r>
      <w:bookmarkEnd w:id="6"/>
    </w:p>
    <w:p w:rsidR="00924A6B" w:rsidRPr="00924A6B" w:rsidRDefault="00924A6B" w:rsidP="00924A6B">
      <w:pPr>
        <w:rPr>
          <w:b/>
        </w:rPr>
      </w:pPr>
      <w:r w:rsidRPr="00924A6B">
        <w:rPr>
          <w:b/>
          <w:noProof/>
          <w:lang w:eastAsia="en-GB"/>
        </w:rPr>
        <w:drawing>
          <wp:anchor distT="0" distB="0" distL="114300" distR="114300" simplePos="0" relativeHeight="251663360" behindDoc="0" locked="0" layoutInCell="1" allowOverlap="1" wp14:anchorId="1F5FCF2A" wp14:editId="1F5FCF2B">
            <wp:simplePos x="0" y="0"/>
            <wp:positionH relativeFrom="page">
              <wp:align>center</wp:align>
            </wp:positionH>
            <wp:positionV relativeFrom="paragraph">
              <wp:posOffset>6350</wp:posOffset>
            </wp:positionV>
            <wp:extent cx="4781550" cy="3246731"/>
            <wp:effectExtent l="0" t="0" r="0" b="0"/>
            <wp:wrapNone/>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0303" t="5909" r="49314" b="45342"/>
                    <a:stretch/>
                  </pic:blipFill>
                  <pic:spPr bwMode="auto">
                    <a:xfrm>
                      <a:off x="0" y="0"/>
                      <a:ext cx="4781550" cy="3246731"/>
                    </a:xfrm>
                    <a:prstGeom prst="rect">
                      <a:avLst/>
                    </a:prstGeom>
                    <a:ln>
                      <a:noFill/>
                    </a:ln>
                    <a:extLst>
                      <a:ext uri="{53640926-AAD7-44D8-BBD7-CCE9431645EC}">
                        <a14:shadowObscured xmlns:a14="http://schemas.microsoft.com/office/drawing/2010/main"/>
                      </a:ext>
                    </a:extLst>
                  </pic:spPr>
                </pic:pic>
              </a:graphicData>
            </a:graphic>
          </wp:anchor>
        </w:drawing>
      </w: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Default="00924A6B" w:rsidP="00924A6B">
      <w:pPr>
        <w:rPr>
          <w:b/>
        </w:rPr>
      </w:pPr>
    </w:p>
    <w:p w:rsidR="00924A6B" w:rsidRDefault="00924A6B" w:rsidP="00924A6B">
      <w:pPr>
        <w:rPr>
          <w:b/>
        </w:rPr>
      </w:pPr>
    </w:p>
    <w:p w:rsidR="00924A6B" w:rsidRPr="00924A6B" w:rsidRDefault="00924A6B" w:rsidP="00924A6B">
      <w:pPr>
        <w:rPr>
          <w:b/>
        </w:rPr>
      </w:pPr>
    </w:p>
    <w:p w:rsidR="00924A6B" w:rsidRPr="00924A6B" w:rsidRDefault="005C610E" w:rsidP="00924A6B">
      <w:pPr>
        <w:rPr>
          <w:b/>
        </w:rPr>
      </w:pPr>
      <w:r w:rsidRPr="00924A6B">
        <w:rPr>
          <w:b/>
          <w:noProof/>
          <w:lang w:eastAsia="en-GB"/>
        </w:rPr>
        <mc:AlternateContent>
          <mc:Choice Requires="wps">
            <w:drawing>
              <wp:anchor distT="45720" distB="45720" distL="114300" distR="114300" simplePos="0" relativeHeight="251661312" behindDoc="0" locked="0" layoutInCell="1" allowOverlap="1" wp14:anchorId="1F5FCF2C" wp14:editId="1F5FCF2D">
                <wp:simplePos x="0" y="0"/>
                <wp:positionH relativeFrom="column">
                  <wp:posOffset>2712862</wp:posOffset>
                </wp:positionH>
                <wp:positionV relativeFrom="paragraph">
                  <wp:posOffset>249886</wp:posOffset>
                </wp:positionV>
                <wp:extent cx="2360930" cy="1404620"/>
                <wp:effectExtent l="0" t="0" r="22225" b="2286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E65E2" w:rsidRDefault="007E65E2" w:rsidP="00924A6B">
                            <w:r>
                              <w:t>highlights the aquifers surrounding the Loughor Estuary. Source: EA, 2016</w:t>
                            </w:r>
                          </w:p>
                          <w:p w:rsidR="007E65E2" w:rsidRDefault="007E65E2" w:rsidP="00924A6B"/>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F5FCF2C" id="_x0000_s1028" type="#_x0000_t202" style="position:absolute;margin-left:213.6pt;margin-top:19.7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">
                <v:textbox style="mso-fit-shape-to-text:t">
                  <w:txbxContent>
                    <w:p w:rsidR="007E65E2" w:rsidRDefault="007E65E2" w:rsidP="00924A6B">
                      <w:r>
                        <w:t>highlights the aquifers surrounding the Loughor Estuary. Source: EA, 2016</w:t>
                      </w:r>
                    </w:p>
                    <w:p w:rsidR="007E65E2" w:rsidRDefault="007E65E2" w:rsidP="00924A6B"/>
                  </w:txbxContent>
                </v:textbox>
              </v:shape>
            </w:pict>
          </mc:Fallback>
        </mc:AlternateContent>
      </w:r>
      <w:r w:rsidR="00924A6B" w:rsidRPr="00924A6B">
        <w:rPr>
          <w:b/>
          <w:noProof/>
          <w:lang w:eastAsia="en-GB"/>
        </w:rPr>
        <w:drawing>
          <wp:anchor distT="0" distB="0" distL="114300" distR="114300" simplePos="0" relativeHeight="251662336" behindDoc="0" locked="0" layoutInCell="1" allowOverlap="1" wp14:anchorId="1F5FCF2E" wp14:editId="1F5FCF2F">
            <wp:simplePos x="0" y="0"/>
            <wp:positionH relativeFrom="column">
              <wp:posOffset>112395</wp:posOffset>
            </wp:positionH>
            <wp:positionV relativeFrom="paragraph">
              <wp:posOffset>5715</wp:posOffset>
            </wp:positionV>
            <wp:extent cx="2095500" cy="2272665"/>
            <wp:effectExtent l="0" t="0" r="0" b="0"/>
            <wp:wrapNone/>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33" t="53477" r="89863" b="27614"/>
                    <a:stretch/>
                  </pic:blipFill>
                  <pic:spPr bwMode="auto">
                    <a:xfrm>
                      <a:off x="0" y="0"/>
                      <a:ext cx="2095500" cy="2272665"/>
                    </a:xfrm>
                    <a:prstGeom prst="rect">
                      <a:avLst/>
                    </a:prstGeom>
                    <a:ln>
                      <a:noFill/>
                    </a:ln>
                    <a:extLst>
                      <a:ext uri="{53640926-AAD7-44D8-BBD7-CCE9431645EC}">
                        <a14:shadowObscured xmlns:a14="http://schemas.microsoft.com/office/drawing/2010/main"/>
                      </a:ext>
                    </a:extLst>
                  </pic:spPr>
                </pic:pic>
              </a:graphicData>
            </a:graphic>
          </wp:anchor>
        </w:drawing>
      </w: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p w:rsidR="00924A6B" w:rsidRPr="00924A6B" w:rsidRDefault="00924A6B" w:rsidP="00924A6B">
      <w:pPr>
        <w:rPr>
          <w:b/>
        </w:rPr>
      </w:pPr>
    </w:p>
    <w:sectPr w:rsidR="00924A6B" w:rsidRPr="00924A6B" w:rsidSect="00971B1C">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2135" w:rsidRDefault="003D2135" w:rsidP="005C610E">
      <w:pPr>
        <w:spacing w:after="0" w:line="240" w:lineRule="auto"/>
      </w:pPr>
      <w:r>
        <w:separator/>
      </w:r>
    </w:p>
  </w:endnote>
  <w:endnote w:type="continuationSeparator" w:id="0">
    <w:p w:rsidR="003D2135" w:rsidRDefault="003D2135" w:rsidP="005C6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364830"/>
      <w:docPartObj>
        <w:docPartGallery w:val="Page Numbers (Bottom of Page)"/>
        <w:docPartUnique/>
      </w:docPartObj>
    </w:sdtPr>
    <w:sdtEndPr>
      <w:rPr>
        <w:noProof/>
      </w:rPr>
    </w:sdtEndPr>
    <w:sdtContent>
      <w:p w:rsidR="007E65E2" w:rsidRDefault="007E65E2">
        <w:pPr>
          <w:pStyle w:val="Footer"/>
          <w:jc w:val="right"/>
        </w:pPr>
        <w:r>
          <w:fldChar w:fldCharType="begin"/>
        </w:r>
        <w:r>
          <w:instrText xml:space="preserve"> PAGE   \* MERGEFORMAT </w:instrText>
        </w:r>
        <w:r>
          <w:fldChar w:fldCharType="separate"/>
        </w:r>
        <w:r w:rsidR="00B06C17">
          <w:rPr>
            <w:noProof/>
          </w:rPr>
          <w:t>1</w:t>
        </w:r>
        <w:r>
          <w:rPr>
            <w:noProof/>
          </w:rPr>
          <w:fldChar w:fldCharType="end"/>
        </w:r>
      </w:p>
    </w:sdtContent>
  </w:sdt>
  <w:p w:rsidR="007E65E2" w:rsidRDefault="007E6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2135" w:rsidRDefault="003D2135" w:rsidP="005C610E">
      <w:pPr>
        <w:spacing w:after="0" w:line="240" w:lineRule="auto"/>
      </w:pPr>
      <w:r>
        <w:separator/>
      </w:r>
    </w:p>
  </w:footnote>
  <w:footnote w:type="continuationSeparator" w:id="0">
    <w:p w:rsidR="003D2135" w:rsidRDefault="003D2135" w:rsidP="005C61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254C17"/>
    <w:multiLevelType w:val="hybridMultilevel"/>
    <w:tmpl w:val="8C74A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2" w15:restartNumberingAfterBreak="0">
    <w:nsid w:val="567810E2"/>
    <w:multiLevelType w:val="hybridMultilevel"/>
    <w:tmpl w:val="A1CE00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770548"/>
    <w:multiLevelType w:val="hybridMultilevel"/>
    <w:tmpl w:val="AA2CE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2F3C8B"/>
    <w:multiLevelType w:val="hybridMultilevel"/>
    <w:tmpl w:val="8C3EB64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8E5182"/>
    <w:multiLevelType w:val="hybridMultilevel"/>
    <w:tmpl w:val="3976CF90"/>
    <w:lvl w:ilvl="0" w:tplc="3C7489F8">
      <w:start w:val="1"/>
      <w:numFmt w:val="bullet"/>
      <w:lvlText w:val=""/>
      <w:lvlJc w:val="left"/>
      <w:pPr>
        <w:tabs>
          <w:tab w:val="num" w:pos="720"/>
        </w:tabs>
        <w:ind w:left="720" w:hanging="360"/>
      </w:pPr>
      <w:rPr>
        <w:rFonts w:ascii="Wingdings 2" w:hAnsi="Wingdings 2" w:hint="default"/>
      </w:rPr>
    </w:lvl>
    <w:lvl w:ilvl="1" w:tplc="950A07DE">
      <w:numFmt w:val="bullet"/>
      <w:lvlText w:val="◦"/>
      <w:lvlJc w:val="left"/>
      <w:pPr>
        <w:tabs>
          <w:tab w:val="num" w:pos="1440"/>
        </w:tabs>
        <w:ind w:left="1440" w:hanging="360"/>
      </w:pPr>
      <w:rPr>
        <w:rFonts w:ascii="Verdana" w:hAnsi="Verdana" w:hint="default"/>
      </w:rPr>
    </w:lvl>
    <w:lvl w:ilvl="2" w:tplc="38464A30" w:tentative="1">
      <w:start w:val="1"/>
      <w:numFmt w:val="bullet"/>
      <w:lvlText w:val=""/>
      <w:lvlJc w:val="left"/>
      <w:pPr>
        <w:tabs>
          <w:tab w:val="num" w:pos="2160"/>
        </w:tabs>
        <w:ind w:left="2160" w:hanging="360"/>
      </w:pPr>
      <w:rPr>
        <w:rFonts w:ascii="Wingdings 2" w:hAnsi="Wingdings 2" w:hint="default"/>
      </w:rPr>
    </w:lvl>
    <w:lvl w:ilvl="3" w:tplc="6B6A56FE" w:tentative="1">
      <w:start w:val="1"/>
      <w:numFmt w:val="bullet"/>
      <w:lvlText w:val=""/>
      <w:lvlJc w:val="left"/>
      <w:pPr>
        <w:tabs>
          <w:tab w:val="num" w:pos="2880"/>
        </w:tabs>
        <w:ind w:left="2880" w:hanging="360"/>
      </w:pPr>
      <w:rPr>
        <w:rFonts w:ascii="Wingdings 2" w:hAnsi="Wingdings 2" w:hint="default"/>
      </w:rPr>
    </w:lvl>
    <w:lvl w:ilvl="4" w:tplc="AEACAE0E" w:tentative="1">
      <w:start w:val="1"/>
      <w:numFmt w:val="bullet"/>
      <w:lvlText w:val=""/>
      <w:lvlJc w:val="left"/>
      <w:pPr>
        <w:tabs>
          <w:tab w:val="num" w:pos="3600"/>
        </w:tabs>
        <w:ind w:left="3600" w:hanging="360"/>
      </w:pPr>
      <w:rPr>
        <w:rFonts w:ascii="Wingdings 2" w:hAnsi="Wingdings 2" w:hint="default"/>
      </w:rPr>
    </w:lvl>
    <w:lvl w:ilvl="5" w:tplc="D57A5676" w:tentative="1">
      <w:start w:val="1"/>
      <w:numFmt w:val="bullet"/>
      <w:lvlText w:val=""/>
      <w:lvlJc w:val="left"/>
      <w:pPr>
        <w:tabs>
          <w:tab w:val="num" w:pos="4320"/>
        </w:tabs>
        <w:ind w:left="4320" w:hanging="360"/>
      </w:pPr>
      <w:rPr>
        <w:rFonts w:ascii="Wingdings 2" w:hAnsi="Wingdings 2" w:hint="default"/>
      </w:rPr>
    </w:lvl>
    <w:lvl w:ilvl="6" w:tplc="40349492" w:tentative="1">
      <w:start w:val="1"/>
      <w:numFmt w:val="bullet"/>
      <w:lvlText w:val=""/>
      <w:lvlJc w:val="left"/>
      <w:pPr>
        <w:tabs>
          <w:tab w:val="num" w:pos="5040"/>
        </w:tabs>
        <w:ind w:left="5040" w:hanging="360"/>
      </w:pPr>
      <w:rPr>
        <w:rFonts w:ascii="Wingdings 2" w:hAnsi="Wingdings 2" w:hint="default"/>
      </w:rPr>
    </w:lvl>
    <w:lvl w:ilvl="7" w:tplc="3F807070" w:tentative="1">
      <w:start w:val="1"/>
      <w:numFmt w:val="bullet"/>
      <w:lvlText w:val=""/>
      <w:lvlJc w:val="left"/>
      <w:pPr>
        <w:tabs>
          <w:tab w:val="num" w:pos="5760"/>
        </w:tabs>
        <w:ind w:left="5760" w:hanging="360"/>
      </w:pPr>
      <w:rPr>
        <w:rFonts w:ascii="Wingdings 2" w:hAnsi="Wingdings 2" w:hint="default"/>
      </w:rPr>
    </w:lvl>
    <w:lvl w:ilvl="8" w:tplc="D99E2B54"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3"/>
  </w:num>
  <w:num w:numId="3">
    <w:abstractNumId w:val="5"/>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37FE"/>
    <w:rsid w:val="002937FE"/>
    <w:rsid w:val="00372960"/>
    <w:rsid w:val="003A21B7"/>
    <w:rsid w:val="003B22B7"/>
    <w:rsid w:val="003D2135"/>
    <w:rsid w:val="004B1362"/>
    <w:rsid w:val="00524F70"/>
    <w:rsid w:val="005C610E"/>
    <w:rsid w:val="007E65E2"/>
    <w:rsid w:val="008239AC"/>
    <w:rsid w:val="0084057C"/>
    <w:rsid w:val="00893B32"/>
    <w:rsid w:val="00924A6B"/>
    <w:rsid w:val="00971B1C"/>
    <w:rsid w:val="00B06C17"/>
    <w:rsid w:val="00CD0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966F11-0848-4631-A6EE-B52ACE3ED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39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39AC"/>
    <w:rPr>
      <w:rFonts w:ascii="Segoe UI" w:hAnsi="Segoe UI" w:cs="Segoe UI"/>
      <w:sz w:val="18"/>
      <w:szCs w:val="18"/>
    </w:rPr>
  </w:style>
  <w:style w:type="numbering" w:customStyle="1" w:styleId="NoList1">
    <w:name w:val="No List1"/>
    <w:next w:val="NoList"/>
    <w:uiPriority w:val="99"/>
    <w:semiHidden/>
    <w:unhideWhenUsed/>
    <w:rsid w:val="00372960"/>
  </w:style>
  <w:style w:type="paragraph" w:styleId="Header">
    <w:name w:val="header"/>
    <w:basedOn w:val="Normal"/>
    <w:link w:val="HeaderChar"/>
    <w:uiPriority w:val="99"/>
    <w:unhideWhenUsed/>
    <w:rsid w:val="00372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960"/>
  </w:style>
  <w:style w:type="paragraph" w:styleId="Footer">
    <w:name w:val="footer"/>
    <w:basedOn w:val="Normal"/>
    <w:link w:val="FooterChar"/>
    <w:uiPriority w:val="99"/>
    <w:unhideWhenUsed/>
    <w:rsid w:val="00372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960"/>
  </w:style>
  <w:style w:type="paragraph" w:styleId="ListParagraph">
    <w:name w:val="List Paragraph"/>
    <w:basedOn w:val="Normal"/>
    <w:uiPriority w:val="34"/>
    <w:qFormat/>
    <w:rsid w:val="00372960"/>
    <w:pPr>
      <w:spacing w:after="200" w:line="276" w:lineRule="auto"/>
      <w:ind w:left="720"/>
      <w:contextualSpacing/>
    </w:pPr>
  </w:style>
  <w:style w:type="table" w:styleId="TableGrid">
    <w:name w:val="Table Grid"/>
    <w:basedOn w:val="TableNormal"/>
    <w:uiPriority w:val="59"/>
    <w:rsid w:val="003729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49825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3154</Words>
  <Characters>17982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House</dc:creator>
  <cp:keywords/>
  <dc:description/>
  <cp:lastModifiedBy>Rhian Jenkins</cp:lastModifiedBy>
  <cp:revision>2</cp:revision>
  <cp:lastPrinted>2018-11-05T08:30:00Z</cp:lastPrinted>
  <dcterms:created xsi:type="dcterms:W3CDTF">2018-11-26T09:08:00Z</dcterms:created>
  <dcterms:modified xsi:type="dcterms:W3CDTF">2018-11-26T09:08:00Z</dcterms:modified>
</cp:coreProperties>
</file>