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Times New Roman" w:hAnsi="Times New Roman" w:eastAsia="Times New Roman"/>
          <w:sz w:val="24"/>
        </w:rPr>
      </w:pPr>
    </w:p>
    <w:p>
      <w:pPr>
        <w:rPr>
          <w:rFonts w:ascii="Times New Roman" w:hAnsi="Times New Roman" w:eastAsia="Times New Roman"/>
          <w:sz w:val="24"/>
        </w:rPr>
      </w:pPr>
    </w:p>
    <w:p>
      <w:pPr>
        <w:jc w:val="center"/>
        <w:rPr>
          <w:rFonts w:ascii="Times New Roman" w:hAnsi="Times New Roman" w:eastAsia="Times New Roman"/>
          <w:sz w:val="28"/>
        </w:rPr>
      </w:pPr>
      <w:r>
        <w:rPr>
          <w:rFonts w:ascii="Times New Roman" w:hAnsi="Times New Roman" w:eastAsia="Times New Roman"/>
          <w:sz w:val="28"/>
        </w:rPr>
        <w:t>TRRS 5008</w:t>
      </w:r>
    </w:p>
    <w:p>
      <w:pPr>
        <w:jc w:val="center"/>
        <w:rPr>
          <w:rFonts w:ascii="Times New Roman" w:hAnsi="Times New Roman" w:eastAsia="Times New Roman"/>
          <w:sz w:val="28"/>
        </w:rPr>
      </w:pPr>
    </w:p>
    <w:p>
      <w:pPr>
        <w:jc w:val="center"/>
        <w:rPr>
          <w:rFonts w:ascii="Times New Roman" w:hAnsi="Times New Roman" w:eastAsia="Times New Roman"/>
          <w:sz w:val="28"/>
        </w:rPr>
      </w:pPr>
      <w:r>
        <w:rPr>
          <w:rFonts w:ascii="Times New Roman" w:hAnsi="Times New Roman" w:eastAsia="Times New Roman"/>
          <w:sz w:val="28"/>
        </w:rPr>
        <w:t>Assignment 3</w:t>
      </w:r>
    </w:p>
    <w:p>
      <w:pPr>
        <w:jc w:val="center"/>
        <w:rPr>
          <w:rFonts w:ascii="Times New Roman" w:hAnsi="Times New Roman" w:eastAsia="Times New Roman"/>
          <w:sz w:val="28"/>
        </w:rPr>
      </w:pPr>
    </w:p>
    <w:p>
      <w:pPr>
        <w:jc w:val="center"/>
        <w:rPr>
          <w:rFonts w:ascii="Times New Roman" w:hAnsi="Times New Roman" w:eastAsia="Times New Roman"/>
          <w:sz w:val="28"/>
        </w:rPr>
      </w:pPr>
      <w:r>
        <w:rPr>
          <w:rFonts w:ascii="Times New Roman" w:hAnsi="Times New Roman" w:eastAsia="Times New Roman"/>
          <w:sz w:val="28"/>
        </w:rPr>
        <w:t>Student Number 1604278</w:t>
      </w:r>
    </w:p>
    <w:p>
      <w:pPr>
        <w:jc w:val="center"/>
        <w:rPr>
          <w:rFonts w:ascii="Times New Roman" w:hAnsi="Times New Roman" w:eastAsia="Times New Roman"/>
          <w:sz w:val="28"/>
        </w:rPr>
      </w:pPr>
    </w:p>
    <w:p>
      <w:pPr>
        <w:jc w:val="center"/>
        <w:rPr>
          <w:rFonts w:ascii="Times New Roman" w:hAnsi="Times New Roman" w:eastAsia="Times New Roman"/>
          <w:sz w:val="28"/>
        </w:rPr>
      </w:pPr>
      <w:r>
        <w:rPr>
          <w:rFonts w:ascii="Times New Roman" w:hAnsi="Times New Roman" w:eastAsia="Times New Roman"/>
          <w:sz w:val="28"/>
        </w:rPr>
        <w:t>Stephen Moyes</w:t>
      </w:r>
    </w:p>
    <w:p>
      <w:pPr>
        <w:jc w:val="center"/>
        <w:rPr>
          <w:rFonts w:ascii="Times New Roman" w:hAnsi="Times New Roman" w:eastAsia="Times New Roman"/>
          <w:sz w:val="28"/>
        </w:rPr>
      </w:pPr>
    </w:p>
    <w:p>
      <w:pPr>
        <w:jc w:val="center"/>
        <w:rPr>
          <w:rFonts w:ascii="Times New Roman" w:hAnsi="Times New Roman" w:eastAsia="Times New Roman"/>
          <w:sz w:val="28"/>
        </w:rPr>
      </w:pPr>
      <w:r>
        <w:rPr>
          <w:rFonts w:ascii="Times New Roman" w:hAnsi="Times New Roman" w:eastAsia="Times New Roman"/>
          <w:sz w:val="28"/>
        </w:rPr>
        <w:t>10 January 2018</w:t>
      </w:r>
    </w:p>
    <w:p>
      <w:pPr>
        <w:jc w:val="cente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Essay Question: Hunt (2003, 183-4) says that health, healing and human potential are given ‘religious’ qualities, and that our current emphasis on health ‘is now bordering on a form of religiosity – or even a form of fetishism’.  Is he correct?</w:t>
      </w:r>
    </w:p>
    <w:p>
      <w:pPr>
        <w:spacing w:line="360" w:lineRule="auto"/>
        <w:jc w:val="center"/>
        <w:rPr>
          <w:rFonts w:ascii="Times New Roman" w:hAnsi="Times New Roman" w:eastAsia="Times New Roman"/>
          <w:sz w:val="28"/>
        </w:rPr>
      </w:pPr>
      <w:r>
        <w:rPr>
          <w:rFonts w:ascii="Times New Roman" w:hAnsi="Times New Roman" w:eastAsia="Times New Roman"/>
          <w:sz w:val="28"/>
        </w:rPr>
        <w:br w:type="page"/>
      </w:r>
      <w:r>
        <w:rPr>
          <w:rFonts w:ascii="Times New Roman" w:hAnsi="Times New Roman" w:eastAsia="Times New Roman"/>
          <w:sz w:val="28"/>
          <w:u w:val="single"/>
        </w:rPr>
        <w:t>The Pursuit of Health as a New Form of Religiosity</w:t>
      </w:r>
    </w:p>
    <w:p>
      <w:pPr>
        <w:spacing w:line="360" w:lineRule="auto"/>
        <w:rPr>
          <w:rFonts w:ascii="Times New Roman" w:hAnsi="Times New Roman" w:eastAsia="Times New Roman"/>
          <w:sz w:val="28"/>
        </w:rPr>
      </w:pPr>
      <w:r>
        <w:rPr>
          <w:rFonts w:ascii="Times New Roman" w:hAnsi="Times New Roman" w:eastAsia="Times New Roman"/>
          <w:sz w:val="28"/>
        </w:rPr>
        <w:t>The pursuit of physical and psychological has, for many people, in recent years, become an important issue in their lives, and perhaps even a matter of morality. Stephen Hunt’s assertion (2003, 183-4) that health “is now bordering on a form of religiosity – or even a form of fetishism” may seem rather convincing, but it may also merit further thought and discussion.</w:t>
      </w:r>
    </w:p>
    <w:p>
      <w:pPr>
        <w:spacing w:line="360" w:lineRule="auto"/>
        <w:rPr>
          <w:rFonts w:ascii="Times New Roman" w:hAnsi="Times New Roman" w:eastAsia="Times New Roman"/>
          <w:sz w:val="28"/>
        </w:rPr>
      </w:pPr>
    </w:p>
    <w:p>
      <w:pPr>
        <w:spacing w:line="360" w:lineRule="auto"/>
        <w:rPr>
          <w:rFonts w:ascii="Times New Roman" w:hAnsi="Times New Roman" w:eastAsia="Times New Roman"/>
          <w:sz w:val="28"/>
        </w:rPr>
      </w:pPr>
      <w:r>
        <w:rPr>
          <w:rFonts w:ascii="Times New Roman" w:hAnsi="Times New Roman" w:eastAsia="Times New Roman"/>
          <w:sz w:val="28"/>
        </w:rPr>
        <w:t>A major part of  Hunt’s argument for health-as-religiosity comes from Crawford’s concept of ‘healthism’ (1984). Crawford believes that health has come to be viewed in Western society as a matter of individual responsibility, to such an extent that if we are not in the best possible health, we are seen as in some way lacking in morality. Those who fail to live up to perceived ideals of  health are seen as ‘sinning’ – not getting enough exercise, not eating ‘properly’, or perhaps even not meditating enough. In an increasingly secularised world, this could almost be seen as a replacement for religious faith. Whereas religious believers may seek help for their health worries by praying to a deity, or visiting  a spiritual healer, may now prefer to visit a gym or a health food shop.</w:t>
      </w:r>
    </w:p>
    <w:p>
      <w:pPr>
        <w:spacing w:line="360" w:lineRule="auto"/>
        <w:rPr>
          <w:rFonts w:ascii="Times New Roman" w:hAnsi="Times New Roman" w:eastAsia="Times New Roman"/>
          <w:sz w:val="28"/>
        </w:rPr>
      </w:pPr>
    </w:p>
    <w:p>
      <w:pPr>
        <w:spacing w:line="360" w:lineRule="auto"/>
        <w:rPr>
          <w:rFonts w:ascii="Times New Roman" w:hAnsi="Times New Roman" w:eastAsia="Times New Roman"/>
          <w:sz w:val="28"/>
        </w:rPr>
      </w:pPr>
      <w:r>
        <w:rPr>
          <w:rFonts w:ascii="Times New Roman" w:hAnsi="Times New Roman" w:eastAsia="Times New Roman"/>
          <w:sz w:val="28"/>
        </w:rPr>
        <w:t xml:space="preserve">Diet, in particular, has become seen by many as a matter of morality. Purveyors of diet-related advice often use the language of  religion to encourage their followers to adopt what they hope will be seen as a healthy lifestyle. The website </w:t>
      </w:r>
      <w:r>
        <w:rPr>
          <w:rFonts w:ascii="Times New Roman" w:hAnsi="Times New Roman" w:eastAsia="Times New Roman"/>
          <w:sz w:val="28"/>
          <w:i/>
        </w:rPr>
        <w:t xml:space="preserve">HealthGuru </w:t>
      </w:r>
      <w:r>
        <w:rPr>
          <w:rFonts w:ascii="Times New Roman" w:hAnsi="Times New Roman" w:eastAsia="Times New Roman"/>
          <w:sz w:val="28"/>
        </w:rPr>
        <w:t>(2017) has nothing to do with actual Hindu, Sikh or Jain religious teachers, as the name may imply, but does give plenty of advice on health matters, mainly centred around ‘healthy’ eating. Followers of this 21</w:t>
      </w:r>
      <w:r>
        <w:rPr>
          <w:rFonts w:ascii="Times New Roman" w:hAnsi="Times New Roman" w:eastAsia="Times New Roman"/>
          <w:sz w:val="28"/>
          <w:vertAlign w:val="superscript"/>
        </w:rPr>
        <w:t>st</w:t>
      </w:r>
      <w:r>
        <w:rPr>
          <w:rFonts w:ascii="Times New Roman" w:hAnsi="Times New Roman" w:eastAsia="Times New Roman"/>
          <w:sz w:val="28"/>
        </w:rPr>
        <w:t xml:space="preserve"> century guru are given extensive advice on what they should, or shouldn’t be eating, just as an Indian religious guru may give instruction on how to adhere to the dietary proscriptions relevant to their particular faith. Similarly, </w:t>
      </w:r>
      <w:r>
        <w:rPr>
          <w:rFonts w:ascii="Times New Roman" w:hAnsi="Times New Roman" w:eastAsia="Times New Roman"/>
          <w:sz w:val="28"/>
          <w:i/>
        </w:rPr>
        <w:t>Gluten is the Devil</w:t>
      </w:r>
      <w:r>
        <w:rPr>
          <w:rFonts w:ascii="Times New Roman" w:hAnsi="Times New Roman" w:eastAsia="Times New Roman"/>
          <w:sz w:val="28"/>
        </w:rPr>
        <w:t xml:space="preserve"> does not refer to the Satan of the Bible or Quran, but is concerned with dissuading us from indulging in the evil pursuit of consuming wheat.</w:t>
      </w:r>
    </w:p>
    <w:p>
      <w:pPr>
        <w:spacing w:line="360" w:lineRule="auto"/>
        <w:rPr>
          <w:rFonts w:ascii="Times New Roman" w:hAnsi="Times New Roman" w:eastAsia="Times New Roman"/>
          <w:sz w:val="28"/>
        </w:rPr>
      </w:pPr>
    </w:p>
    <w:p>
      <w:pPr>
        <w:spacing w:line="360" w:lineRule="auto"/>
        <w:rPr>
          <w:rFonts w:ascii="Times New Roman" w:hAnsi="Times New Roman" w:eastAsia="Times New Roman"/>
          <w:sz w:val="28"/>
        </w:rPr>
      </w:pPr>
      <w:r>
        <w:rPr>
          <w:rFonts w:ascii="Times New Roman" w:hAnsi="Times New Roman" w:eastAsia="Times New Roman"/>
          <w:sz w:val="28"/>
        </w:rPr>
        <w:t>As Pelters and Wijma (2015) point out, however, there is more to religious belief than morality. There is usually a belief in some form of divinity, which not only provides moral guidance, but also “provides a sense of connectedness and a spiritual home” (p.2). This provides an emotional connection, which cannot be matched by the mere pursuance of health, as an end in itself. They also point out that the pursuit of health has always been connected to religious belief, so although health may be seen as a form of religiosity, there is really nothing new in that. It is simply something that has long existed, but the gym has become the new temple, and the element of divinity has been largely stripped away.</w:t>
      </w:r>
    </w:p>
    <w:p>
      <w:pPr>
        <w:spacing w:line="360" w:lineRule="auto"/>
        <w:rPr>
          <w:rFonts w:ascii="Times New Roman" w:hAnsi="Times New Roman" w:eastAsia="Times New Roman"/>
          <w:sz w:val="28"/>
        </w:rPr>
      </w:pPr>
    </w:p>
    <w:p>
      <w:pPr>
        <w:spacing w:line="360" w:lineRule="auto"/>
        <w:rPr>
          <w:rFonts w:ascii="Times New Roman" w:hAnsi="Times New Roman" w:eastAsia="Times New Roman"/>
          <w:sz w:val="28"/>
        </w:rPr>
      </w:pPr>
      <w:r>
        <w:rPr>
          <w:rFonts w:ascii="Times New Roman" w:hAnsi="Times New Roman" w:eastAsia="Times New Roman"/>
          <w:sz w:val="28"/>
        </w:rPr>
        <w:t xml:space="preserve">In looking at physical exercise, Håman, Lindgren, and Prell (2017) contend that this too has become a matter of moral imperative for many people. They see personal trainers as another kind of health guru. They aggressively promote gym-based exercise to the extent that can lead to exercise being such an obsession, addiction even, that it actually becomes harmful to health. Such a potentially harmful degree of obsession may go some way towards supporting Hunt’s claim to health as a fetish. </w:t>
      </w:r>
    </w:p>
    <w:p>
      <w:pPr>
        <w:spacing w:line="360" w:lineRule="auto"/>
        <w:rPr>
          <w:rFonts w:ascii="Times New Roman" w:hAnsi="Times New Roman" w:eastAsia="Times New Roman"/>
          <w:sz w:val="28"/>
        </w:rPr>
      </w:pPr>
    </w:p>
    <w:p>
      <w:pPr>
        <w:spacing w:line="360" w:lineRule="auto"/>
        <w:rPr>
          <w:rFonts w:ascii="Times New Roman" w:hAnsi="Times New Roman" w:eastAsia="Times New Roman"/>
          <w:sz w:val="28"/>
        </w:rPr>
      </w:pPr>
      <w:r>
        <w:rPr>
          <w:rFonts w:ascii="Times New Roman" w:hAnsi="Times New Roman" w:eastAsia="Times New Roman"/>
          <w:sz w:val="28"/>
        </w:rPr>
        <w:t xml:space="preserve">It should be pointed out, however, that the motivation to promote a particular diet, or exercise regime may not be based on morality or spirituality, there may a large degree of financial incentive. The diet industry and the exercise industry are both highly profitable. The extent to which financial gain is a motivation for religious organisations is more difficult to ascertain. </w:t>
      </w:r>
    </w:p>
    <w:p>
      <w:pPr>
        <w:spacing w:line="360" w:lineRule="auto"/>
        <w:rPr>
          <w:rFonts w:ascii="Times New Roman" w:hAnsi="Times New Roman" w:eastAsia="Times New Roman"/>
          <w:sz w:val="28"/>
        </w:rPr>
      </w:pPr>
    </w:p>
    <w:p>
      <w:pPr>
        <w:spacing w:line="360" w:lineRule="auto"/>
        <w:rPr>
          <w:rFonts w:ascii="Times New Roman" w:hAnsi="Times New Roman" w:eastAsia="Times New Roman"/>
          <w:sz w:val="28"/>
        </w:rPr>
      </w:pPr>
      <w:r>
        <w:rPr>
          <w:rFonts w:ascii="Times New Roman" w:hAnsi="Times New Roman" w:eastAsia="Times New Roman"/>
          <w:sz w:val="28"/>
        </w:rPr>
        <w:t xml:space="preserve">Health-promoting activities relating to Eastern religions have also become commonplace in the West. In </w:t>
      </w:r>
      <w:r>
        <w:rPr>
          <w:rFonts w:ascii="Times New Roman" w:hAnsi="Times New Roman" w:eastAsia="Times New Roman"/>
          <w:sz w:val="28"/>
          <w:i/>
        </w:rPr>
        <w:t>The Spiritual Revolution</w:t>
      </w:r>
      <w:r>
        <w:rPr>
          <w:rFonts w:ascii="Times New Roman" w:hAnsi="Times New Roman" w:eastAsia="Times New Roman"/>
          <w:sz w:val="28"/>
        </w:rPr>
        <w:t>, Heelas and Woodhead (2005) list a wide range of  “Holistic Milieu Activities” (p. 156) that they found being practised around the Cumbrian market town of Kendal. These include Buddhist groups (which involve meditation), Indian head massage, Tai chi/Chi kung, reiki and yoga. Despite the religious/spiritual origins of the practices, it seems that they are commonly practices in non-spirituals forms, mainly for the promotion of physical health, psychological well-being and relaxation. The sense of well-being may not necessarily be spiritual, or religious in nature, but the effects bay be similar. Heelas and Woodhead found that they “provided opportunities for the participants to ‘grow’: to move beyond those ‘barriers’, ‘blocks’, ‘patterns’ or ‘habits’ associated with ‘dis-ease’” (p. 26). They were usually aware of the religious origins of the practices, although religious belief was not their motivation.</w:t>
      </w:r>
    </w:p>
    <w:p>
      <w:pPr>
        <w:spacing w:line="360" w:lineRule="auto"/>
        <w:rPr>
          <w:rFonts w:ascii="Times New Roman" w:hAnsi="Times New Roman" w:eastAsia="Times New Roman"/>
          <w:sz w:val="28"/>
        </w:rPr>
      </w:pPr>
    </w:p>
    <w:p>
      <w:pPr>
        <w:spacing w:line="360" w:lineRule="auto"/>
        <w:rPr>
          <w:rFonts w:ascii="Times New Roman" w:hAnsi="Times New Roman" w:eastAsia="Times New Roman"/>
          <w:sz w:val="28"/>
        </w:rPr>
      </w:pPr>
      <w:r>
        <w:rPr>
          <w:rFonts w:ascii="Times New Roman" w:hAnsi="Times New Roman" w:eastAsia="Times New Roman"/>
          <w:sz w:val="28"/>
        </w:rPr>
        <w:t>So health may be seen as a new form of religiosity, or in some cases a fetish, but this does not necessarily mean it is replacing other religions. It may replace the ritual and possibly the social aspects of religion, but it probably does not, at least for many people, fulfil all the need for a sense of spirituality, or belief in the divine.</w:t>
      </w:r>
    </w:p>
    <w:p>
      <w:pPr>
        <w:spacing w:line="360" w:lineRule="auto"/>
        <w:rPr>
          <w:rFonts w:ascii="Times New Roman" w:hAnsi="Times New Roman" w:eastAsia="Times New Roman"/>
          <w:sz w:val="28"/>
        </w:rPr>
      </w:pPr>
    </w:p>
    <w:p>
      <w:pPr>
        <w:spacing w:line="360" w:lineRule="auto"/>
        <w:rPr>
          <w:rFonts w:ascii="Times New Roman" w:hAnsi="Times New Roman" w:eastAsia="Times New Roman"/>
          <w:sz w:val="28"/>
        </w:rPr>
      </w:pPr>
    </w:p>
    <w:p>
      <w:pPr>
        <w:spacing w:line="360" w:lineRule="auto"/>
        <w:rPr>
          <w:rFonts w:ascii="Times New Roman" w:hAnsi="Times New Roman" w:eastAsia="Times New Roman"/>
          <w:sz w:val="28"/>
        </w:rPr>
      </w:pPr>
    </w:p>
    <w:p>
      <w:pPr>
        <w:spacing w:line="360" w:lineRule="auto"/>
        <w:rPr>
          <w:rFonts w:ascii="Times New Roman" w:hAnsi="Times New Roman" w:eastAsia="Times New Roman"/>
          <w:sz w:val="28"/>
        </w:rPr>
      </w:pPr>
    </w:p>
    <w:p>
      <w:pPr>
        <w:jc w:val="center"/>
        <w:rPr>
          <w:rFonts w:ascii="Times New Roman" w:hAnsi="Times New Roman" w:eastAsia="Times New Roman"/>
          <w:sz w:val="28"/>
          <w:u w:val="single"/>
        </w:rPr>
      </w:pPr>
      <w:r>
        <w:rPr>
          <w:rFonts w:ascii="Times New Roman" w:hAnsi="Times New Roman" w:eastAsia="Times New Roman"/>
          <w:sz w:val="28"/>
        </w:rPr>
        <w:br w:type="page"/>
      </w:r>
      <w:r>
        <w:rPr>
          <w:rFonts w:ascii="Times New Roman" w:hAnsi="Times New Roman" w:eastAsia="Times New Roman"/>
          <w:sz w:val="28"/>
          <w:u w:val="single"/>
        </w:rPr>
        <w:t>References</w:t>
      </w:r>
    </w:p>
    <w:p>
      <w:pPr>
        <w:rPr>
          <w:rFonts w:ascii="Times New Roman" w:hAnsi="Times New Roman" w:eastAsia="Times New Roman"/>
          <w:sz w:val="28"/>
        </w:rPr>
      </w:pPr>
      <w:r>
        <w:rPr>
          <w:rFonts w:ascii="Times New Roman" w:hAnsi="Times New Roman" w:eastAsia="Times New Roman"/>
          <w:sz w:val="28"/>
        </w:rPr>
        <w:t xml:space="preserve">Crawford, R., 1984. A cultural account of Health: Control, Release and the Social Body, in McKinley, J. (ed), </w:t>
      </w:r>
      <w:r>
        <w:rPr>
          <w:rFonts w:ascii="Times New Roman" w:hAnsi="Times New Roman" w:eastAsia="Times New Roman"/>
          <w:sz w:val="28"/>
          <w:i/>
        </w:rPr>
        <w:t>Issues in the Political Economy of Health Care</w:t>
      </w:r>
      <w:r>
        <w:rPr>
          <w:rFonts w:ascii="Times New Roman" w:hAnsi="Times New Roman" w:eastAsia="Times New Roman"/>
          <w:sz w:val="28"/>
        </w:rPr>
        <w:t>. New York, Tavistock.</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Gluten is the Devil, 2014. </w:t>
      </w:r>
      <w:r>
        <w:rPr>
          <w:rFonts w:ascii="Times New Roman" w:hAnsi="Times New Roman" w:eastAsia="Times New Roman"/>
          <w:sz w:val="28"/>
          <w:i/>
        </w:rPr>
        <w:t>Gluten is the Devil website</w:t>
      </w:r>
      <w:r>
        <w:rPr>
          <w:rFonts w:ascii="Times New Roman" w:hAnsi="Times New Roman" w:eastAsia="Times New Roman"/>
          <w:sz w:val="28"/>
        </w:rPr>
        <w:t>. [Online]. Available at: &lt;</w:t>
        <w:fldChar w:fldCharType="begin"/>
        <w:instrText xml:space="preserve"> HYPERLINK "http://www.glutenisthedevil.com/&gt; [Accessed" </w:instrText>
        <w:fldChar w:fldCharType="separate"/>
        <w:t>http://www.glutenisthedevil.com/&gt; [Accessed</w:t>
        <w:fldChar w:fldCharType="end"/>
        <w:t xml:space="preserve"> 5 January 2018.</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Håman, L., Lindgren, E-C. and Prell, H., 2017. “If it’s not Iron it’s Iron f*cking biggest Ironman”: personal trainers’ views on health norms, orthorexia and deviant behaviours. </w:t>
      </w:r>
      <w:r>
        <w:rPr>
          <w:rFonts w:ascii="Times New Roman" w:hAnsi="Times New Roman" w:eastAsia="Times New Roman"/>
          <w:sz w:val="28"/>
          <w:i/>
        </w:rPr>
        <w:t>International Journal of Qualitative Studies on Health and Well-being</w:t>
      </w:r>
      <w:r>
        <w:rPr>
          <w:rFonts w:ascii="Times New Roman" w:hAnsi="Times New Roman" w:eastAsia="Times New Roman"/>
          <w:sz w:val="28"/>
        </w:rPr>
        <w:t xml:space="preserve">, [online]. Available at:&lt; </w:t>
        <w:fldChar w:fldCharType="begin"/>
        <w:instrText xml:space="preserve"> HYPERLINK "http://www.tandfonline.com/doi/full/10.1080/17482631.2017.1364602" </w:instrText>
        <w:fldChar w:fldCharType="separate"/>
      </w:r>
      <w:r>
        <w:rPr>
          <w:rFonts w:ascii="Times New Roman" w:hAnsi="Times New Roman" w:eastAsia="Times New Roman"/>
          <w:sz w:val="28"/>
          <w:color w:val="000000"/>
        </w:rPr>
        <w:t>http://www.tandfonline.com/doi/full/10.1080/17482631.2017.1364602</w:t>
        <w:fldChar w:fldCharType="end"/>
      </w:r>
      <w:r>
        <w:rPr>
          <w:rFonts w:ascii="Times New Roman" w:hAnsi="Times New Roman" w:eastAsia="Times New Roman"/>
          <w:sz w:val="28"/>
        </w:rPr>
        <w:t>&gt; [Accessed 5 January 2018].</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HealthGuru, 2017. HealthGuru website. [Online] Available at: &lt;https://www.healthguru.com/&gt; [Accessed 5 January 2017].</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Heelas, P., and Woodhead, L., 2005. </w:t>
      </w:r>
      <w:r>
        <w:rPr>
          <w:rFonts w:ascii="Times New Roman" w:hAnsi="Times New Roman" w:eastAsia="Times New Roman"/>
          <w:sz w:val="28"/>
          <w:i/>
        </w:rPr>
        <w:t>The Spiritual Revolution: Why Religion is Giving Way to Spirituality</w:t>
      </w:r>
      <w:r>
        <w:rPr>
          <w:rFonts w:ascii="Times New Roman" w:hAnsi="Times New Roman" w:eastAsia="Times New Roman"/>
          <w:sz w:val="28"/>
        </w:rPr>
        <w:t>. Malden: Blackwell.</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Hunt, S. J., 2003. </w:t>
      </w:r>
      <w:r>
        <w:rPr>
          <w:rFonts w:ascii="Times New Roman" w:hAnsi="Times New Roman" w:eastAsia="Times New Roman"/>
          <w:sz w:val="28"/>
          <w:i/>
        </w:rPr>
        <w:t>Alternative Religions: A Sociological Introduction</w:t>
      </w:r>
      <w:r>
        <w:rPr>
          <w:rFonts w:ascii="Times New Roman" w:hAnsi="Times New Roman" w:eastAsia="Times New Roman"/>
          <w:sz w:val="28"/>
        </w:rPr>
        <w:t>. Aldershot: Ashgate.</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Pelters, B. and Wijma, B., 2015. Neither a sinner nor a saint: Health as a present day religion in the age of healthism. </w:t>
      </w:r>
      <w:r>
        <w:rPr>
          <w:rFonts w:ascii="Times New Roman" w:hAnsi="Times New Roman" w:eastAsia="Times New Roman"/>
          <w:sz w:val="28"/>
          <w:i/>
        </w:rPr>
        <w:t>Social Theory and Health</w:t>
      </w:r>
      <w:r>
        <w:rPr>
          <w:rFonts w:ascii="Times New Roman" w:hAnsi="Times New Roman" w:eastAsia="Times New Roman"/>
          <w:sz w:val="28"/>
        </w:rPr>
        <w:t>, [Online]. Available at:&lt;https://link.springer.com/article/10.1057/sth.2015.21&gt; [Accessed 5 January 2018].</w:t>
      </w:r>
    </w:p>
    <w:p>
      <w:pPr>
        <w:spacing w:line="360" w:lineRule="auto"/>
        <w:rPr>
          <w:rFonts w:ascii="Times New Roman" w:hAnsi="Times New Roman" w:eastAsia="Times New Roman"/>
          <w:sz w:val="28"/>
        </w:rPr>
      </w:pPr>
    </w:p>
    <w:p>
      <w:pPr>
        <w:spacing w:line="360" w:lineRule="auto"/>
        <w:rPr>
          <w:rFonts w:ascii="Times New Roman" w:hAnsi="Times New Roman" w:eastAsia="Times New Roman"/>
          <w:sz w:val="28"/>
        </w:rPr>
      </w:pPr>
    </w:p>
    <w:p>
      <w:pPr>
        <w:jc w:val="center"/>
        <w:rPr>
          <w:rFonts w:ascii="Times New Roman" w:hAnsi="Times New Roman" w:eastAsia="Times New Roman"/>
          <w:sz w:val="28"/>
          <w:u w:val="single"/>
        </w:rPr>
      </w:pPr>
      <w:r>
        <w:rPr>
          <w:rFonts w:ascii="Times New Roman" w:hAnsi="Times New Roman" w:eastAsia="Times New Roman"/>
          <w:sz w:val="28"/>
        </w:rPr>
        <w:br w:type="page"/>
      </w:r>
      <w:r>
        <w:rPr>
          <w:rFonts w:ascii="Times New Roman" w:hAnsi="Times New Roman" w:eastAsia="Times New Roman"/>
          <w:sz w:val="28"/>
          <w:u w:val="single"/>
        </w:rPr>
        <w:t>Bibliography</w:t>
      </w:r>
    </w:p>
    <w:p>
      <w:pPr>
        <w:jc w:val="center"/>
        <w:rPr>
          <w:rFonts w:ascii="Times New Roman" w:hAnsi="Times New Roman" w:eastAsia="Times New Roman"/>
          <w:sz w:val="28"/>
          <w:u w:val="single"/>
        </w:rPr>
      </w:pPr>
    </w:p>
    <w:p>
      <w:pPr>
        <w:rPr>
          <w:rFonts w:ascii="Times New Roman" w:hAnsi="Times New Roman" w:eastAsia="Times New Roman"/>
          <w:sz w:val="28"/>
        </w:rPr>
      </w:pPr>
      <w:r>
        <w:rPr>
          <w:rFonts w:ascii="Times New Roman" w:hAnsi="Times New Roman" w:eastAsia="Times New Roman"/>
          <w:sz w:val="28"/>
        </w:rPr>
        <w:t xml:space="preserve">Abbotts, E-J., and Lavis, A. (eds), 2013. </w:t>
      </w:r>
      <w:r>
        <w:rPr>
          <w:rFonts w:ascii="Times New Roman" w:hAnsi="Times New Roman" w:eastAsia="Times New Roman"/>
          <w:sz w:val="28"/>
          <w:i/>
        </w:rPr>
        <w:t>Why We Eat, How We Eat: Contemporary Encounters between Foods and Bodies</w:t>
      </w:r>
      <w:r>
        <w:rPr>
          <w:rFonts w:ascii="Times New Roman" w:hAnsi="Times New Roman" w:eastAsia="Times New Roman"/>
          <w:sz w:val="28"/>
        </w:rPr>
        <w:t>. Farnham: Ashgate.</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Allen, I. and Allen, S., 2016. God Terms and Activity Systems: A Definition of Religion for Political Science. </w:t>
      </w:r>
      <w:r>
        <w:rPr>
          <w:rFonts w:ascii="Times New Roman" w:hAnsi="Times New Roman" w:eastAsia="Times New Roman"/>
          <w:sz w:val="28"/>
          <w:i/>
        </w:rPr>
        <w:t>Political Research Quarterly</w:t>
      </w:r>
      <w:r>
        <w:rPr>
          <w:rFonts w:ascii="Times New Roman" w:hAnsi="Times New Roman" w:eastAsia="Times New Roman"/>
          <w:sz w:val="28"/>
        </w:rPr>
        <w:t>, 69(3), pp. 557-570.</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Barrett, D. V., 1996. </w:t>
      </w:r>
      <w:r>
        <w:rPr>
          <w:rFonts w:ascii="Times New Roman" w:hAnsi="Times New Roman" w:eastAsia="Times New Roman"/>
          <w:sz w:val="28"/>
          <w:i/>
        </w:rPr>
        <w:t>Sects, ‘Cults’ &amp; Religions: A World Survey and Sourcebook</w:t>
      </w:r>
      <w:r>
        <w:rPr>
          <w:rFonts w:ascii="Times New Roman" w:hAnsi="Times New Roman" w:eastAsia="Times New Roman"/>
          <w:sz w:val="28"/>
        </w:rPr>
        <w:t>. London: Blandford.</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Chryssides, G. D., 1999. </w:t>
      </w:r>
      <w:r>
        <w:rPr>
          <w:rFonts w:ascii="Times New Roman" w:hAnsi="Times New Roman" w:eastAsia="Times New Roman"/>
          <w:sz w:val="28"/>
          <w:i/>
        </w:rPr>
        <w:t>Exploring New Religions</w:t>
      </w:r>
      <w:r>
        <w:rPr>
          <w:rFonts w:ascii="Times New Roman" w:hAnsi="Times New Roman" w:eastAsia="Times New Roman"/>
          <w:sz w:val="28"/>
        </w:rPr>
        <w:t>. London: Continuum.</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Crawford, R., 1984. A cultural account of Health: Control, Release and the Social Body, in McKinley, J. (ed), </w:t>
      </w:r>
      <w:r>
        <w:rPr>
          <w:rFonts w:ascii="Times New Roman" w:hAnsi="Times New Roman" w:eastAsia="Times New Roman"/>
          <w:sz w:val="28"/>
          <w:i/>
        </w:rPr>
        <w:t>Issues in the Political Economy of Health Care</w:t>
      </w:r>
      <w:r>
        <w:rPr>
          <w:rFonts w:ascii="Times New Roman" w:hAnsi="Times New Roman" w:eastAsia="Times New Roman"/>
          <w:sz w:val="28"/>
        </w:rPr>
        <w:t>. New York, Tavistock.</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Ferré, F., 1970. The Definition of Religion. </w:t>
      </w:r>
      <w:r>
        <w:rPr>
          <w:rFonts w:ascii="Times New Roman" w:hAnsi="Times New Roman" w:eastAsia="Times New Roman"/>
          <w:sz w:val="28"/>
          <w:i/>
        </w:rPr>
        <w:t>Journal of the American Academy of Religion</w:t>
      </w:r>
      <w:r>
        <w:rPr>
          <w:rFonts w:ascii="Times New Roman" w:hAnsi="Times New Roman" w:eastAsia="Times New Roman"/>
          <w:sz w:val="28"/>
        </w:rPr>
        <w:t>, 38(1), pp. 3-16.</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Gluten is the Devil, 2014. </w:t>
      </w:r>
      <w:r>
        <w:rPr>
          <w:rFonts w:ascii="Times New Roman" w:hAnsi="Times New Roman" w:eastAsia="Times New Roman"/>
          <w:sz w:val="28"/>
          <w:i/>
        </w:rPr>
        <w:t>Gluten is the Devil website</w:t>
      </w:r>
      <w:r>
        <w:rPr>
          <w:rFonts w:ascii="Times New Roman" w:hAnsi="Times New Roman" w:eastAsia="Times New Roman"/>
          <w:sz w:val="28"/>
        </w:rPr>
        <w:t>. [Online]. Available at: &lt;</w:t>
        <w:fldChar w:fldCharType="begin"/>
        <w:instrText xml:space="preserve"> HYPERLINK "http://www.glutenisthedevil.com/&gt; [Accessed" </w:instrText>
        <w:fldChar w:fldCharType="separate"/>
        <w:t>http://www.glutenisthedevil.com/&gt; [Accessed</w:t>
        <w:fldChar w:fldCharType="end"/>
        <w:t xml:space="preserve"> 5 January 2018.</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Håman, L., Lindgren, E-C. and Prell, H., 2017. “If it’s not Iron it’s Iron f*cking biggest Ironman”: personal trainers’ views on health norms, orthorexia and deviant behaviours. </w:t>
      </w:r>
      <w:r>
        <w:rPr>
          <w:rFonts w:ascii="Times New Roman" w:hAnsi="Times New Roman" w:eastAsia="Times New Roman"/>
          <w:sz w:val="28"/>
          <w:i/>
        </w:rPr>
        <w:t>International Journal of Qualitative Studies on Health and Well-being</w:t>
      </w:r>
      <w:r>
        <w:rPr>
          <w:rFonts w:ascii="Times New Roman" w:hAnsi="Times New Roman" w:eastAsia="Times New Roman"/>
          <w:sz w:val="28"/>
        </w:rPr>
        <w:t xml:space="preserve">, [online]. Available at:&lt; </w:t>
        <w:fldChar w:fldCharType="begin"/>
        <w:instrText xml:space="preserve"> HYPERLINK "http://www.tandfonline.com/doi/full/10.1080/17482631.2017.1364602" </w:instrText>
        <w:fldChar w:fldCharType="separate"/>
      </w:r>
      <w:r>
        <w:rPr>
          <w:rFonts w:ascii="Times New Roman" w:hAnsi="Times New Roman" w:eastAsia="Times New Roman"/>
          <w:sz w:val="28"/>
          <w:color w:val="000000"/>
        </w:rPr>
        <w:t>http://www.tandfonline.com/doi/full/10.1080/17482631.2017.1364602</w:t>
        <w:fldChar w:fldCharType="end"/>
      </w:r>
      <w:r>
        <w:rPr>
          <w:rFonts w:ascii="Times New Roman" w:hAnsi="Times New Roman" w:eastAsia="Times New Roman"/>
          <w:sz w:val="28"/>
        </w:rPr>
        <w:t>&gt; [Accessed 5 January 2018].</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HealthGuru, 2017. HealthGuru website. [Online] Available at: &lt;https://www.healthguru.com/&gt; [Accessed 5 January 2017].</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Heelas, P., and Woodhead, L., 2005. </w:t>
      </w:r>
      <w:r>
        <w:rPr>
          <w:rFonts w:ascii="Times New Roman" w:hAnsi="Times New Roman" w:eastAsia="Times New Roman"/>
          <w:sz w:val="28"/>
          <w:i/>
        </w:rPr>
        <w:t>The Spiritual Revolution: Why Religion is Giving Way to Spirituality</w:t>
      </w:r>
      <w:r>
        <w:rPr>
          <w:rFonts w:ascii="Times New Roman" w:hAnsi="Times New Roman" w:eastAsia="Times New Roman"/>
          <w:sz w:val="28"/>
        </w:rPr>
        <w:t>. Malden: Blackwell.</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Hunt, S. J., 2003. </w:t>
      </w:r>
      <w:r>
        <w:rPr>
          <w:rFonts w:ascii="Times New Roman" w:hAnsi="Times New Roman" w:eastAsia="Times New Roman"/>
          <w:sz w:val="28"/>
          <w:i/>
        </w:rPr>
        <w:t>Alternative Religions: A Sociological Introduction</w:t>
      </w:r>
      <w:r>
        <w:rPr>
          <w:rFonts w:ascii="Times New Roman" w:hAnsi="Times New Roman" w:eastAsia="Times New Roman"/>
          <w:sz w:val="28"/>
        </w:rPr>
        <w:t>. Aldershot: Ashgate.</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Pelters, B. and Wijma, B., 2015. Neither a sinner nor a saint: Health as a present day religion in the age of healthism. </w:t>
      </w:r>
      <w:r>
        <w:rPr>
          <w:rFonts w:ascii="Times New Roman" w:hAnsi="Times New Roman" w:eastAsia="Times New Roman"/>
          <w:sz w:val="28"/>
          <w:i/>
        </w:rPr>
        <w:t>Social Theory and Health</w:t>
      </w:r>
      <w:r>
        <w:rPr>
          <w:rFonts w:ascii="Times New Roman" w:hAnsi="Times New Roman" w:eastAsia="Times New Roman"/>
          <w:sz w:val="28"/>
        </w:rPr>
        <w:t>, [Online]. Available at:&lt;https://link.springer.com/article/10.1057/sth.2015.21&gt; [Accessed 5 January 2018].</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Woodhead, L. and Heelas, P. (eds), 2000. </w:t>
      </w:r>
      <w:r>
        <w:rPr>
          <w:rFonts w:ascii="Times New Roman" w:hAnsi="Times New Roman" w:eastAsia="Times New Roman"/>
          <w:sz w:val="28"/>
          <w:i/>
        </w:rPr>
        <w:t>Religion in Modern Times: An Interpretive Anthology</w:t>
      </w:r>
      <w:r>
        <w:rPr>
          <w:rFonts w:ascii="Times New Roman" w:hAnsi="Times New Roman" w:eastAsia="Times New Roman"/>
          <w:sz w:val="28"/>
        </w:rPr>
        <w:t>. Oxford: Blackwell.</w:t>
      </w:r>
    </w:p>
    <w:p>
      <w:pPr>
        <w:rPr>
          <w:rFonts w:ascii="Times New Roman" w:hAnsi="Times New Roman" w:eastAsia="Times New Roman"/>
          <w:sz w:val="28"/>
        </w:rPr>
      </w:pPr>
    </w:p>
    <w:p>
      <w:pPr>
        <w:rPr>
          <w:rFonts w:ascii="Times New Roman" w:hAnsi="Times New Roman" w:eastAsia="Times New Roman"/>
          <w:sz w:val="28"/>
        </w:rPr>
      </w:pPr>
      <w:r>
        <w:rPr>
          <w:rFonts w:ascii="Times New Roman" w:hAnsi="Times New Roman" w:eastAsia="Times New Roman"/>
          <w:sz w:val="28"/>
        </w:rPr>
        <w:t xml:space="preserve">Yosupoff, E., 2016. The Dangers of Health-fetishism. </w:t>
        <w:fldChar w:fldCharType="begin"/>
        <w:instrText xml:space="preserve"> HYPERLINK "http://Adamsmith.org" </w:instrText>
        <w:fldChar w:fldCharType="separate"/>
      </w:r>
      <w:r>
        <w:rPr>
          <w:rFonts w:ascii="Times New Roman" w:hAnsi="Times New Roman" w:eastAsia="Times New Roman"/>
          <w:sz w:val="28"/>
          <w:i/>
          <w:color w:val="000000"/>
        </w:rPr>
        <w:t>Adamsmith.org</w:t>
        <w:fldChar w:fldCharType="end"/>
      </w:r>
      <w:r>
        <w:rPr>
          <w:rFonts w:ascii="Times New Roman" w:hAnsi="Times New Roman" w:eastAsia="Times New Roman"/>
          <w:sz w:val="28"/>
          <w:i/>
        </w:rPr>
        <w:t xml:space="preserve"> blog</w:t>
      </w:r>
      <w:r>
        <w:rPr>
          <w:rFonts w:ascii="Times New Roman" w:hAnsi="Times New Roman" w:eastAsia="Times New Roman"/>
          <w:sz w:val="28"/>
        </w:rPr>
        <w:t>, [blog] 9 June. Available at:&lt;https://www.adamsmith.org/blog/the-dangers-of-health-fetishism&gt; [Accessed 5 January 2018].</w:t>
      </w:r>
    </w:p>
    <w:p>
      <w:pPr>
        <w:rPr>
          <w:rFonts w:ascii="Times New Roman" w:hAnsi="Times New Roman" w:eastAsia="Times New Roman"/>
          <w:sz w:val="28"/>
        </w:rPr>
      </w:pPr>
    </w:p>
    <w:sectPr>
      <w:pgSz w:w="11905" w:h="16838"/>
      <w:pgMar w:top="567" w:right="567" w:bottom="567" w:left="567" w:header="0" w:footer="0"/>
      <w:cols w:space="720"/>
      <w:noEndnote/>
      <w:pgNumType w:fmt="decimal"/>
      <w:footnotePr>
        <w:numFmt w:val="decimal"/>
        <w:numRestart w:val="continuous"/>
        <w:numStart w:val="1"/>
        <w:pos w:val="pageBottom"/>
      </w:footnotePr>
      <w:endnotePr>
        <w:numFmt w:val="lowerRoman"/>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GB"/>
      </w:rPr>
    </w:rPrDefault>
    <w:pPrDefault>
      <w:pPr>
        <w:spacing w:line="240" w:lineRule="auto"/>
      </w:pPr>
    </w:pPrDefault>
  </w:docDefaults>
  <w:style w:type="paragraph" w:default="1" w:styleId="Normal">
    <w:name w:val="Normal"/>
    <w:rPr>
      <w:rFonts w:ascii="Arial" w:hAnsi="Arial" w:eastAsia="Arial"/>
      <w:sz w:val="22"/>
    </w:rPr>
    <w:pPr>
      <w:widowControl/>
    </w:pPr>
  </w:style>
  <w:style w:type="paragraph" w:styleId="Heading1">
    <w:name w:val="Heading 1"/>
    <w:basedOn w:val="Normal"/>
    <w:next w:val="Normal"/>
    <w:rPr>
      <w:sz w:val="28"/>
      <w:b/>
      <w:kerning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5.12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dc:creator>
  <dcterms:created xsi:type="dcterms:W3CDTF">2017-12-28T21:08:11Z</dcterms:created>
  <dcterms:modified xsi:type="dcterms:W3CDTF">2018-01-10T23:50:27Z</dcterms:modified>
</cp:coreProperties>
</file>