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216913" w14:textId="77777777" w:rsidR="005405CC" w:rsidRPr="00FF5E2D" w:rsidRDefault="005405CC" w:rsidP="00FF5E2D">
      <w:pPr>
        <w:spacing w:line="360" w:lineRule="auto"/>
        <w:jc w:val="both"/>
        <w:rPr>
          <w:rFonts w:ascii="Chalkboard" w:hAnsi="Chalkboard"/>
          <w:b/>
          <w:bCs/>
          <w:i/>
          <w:iCs/>
          <w:sz w:val="32"/>
          <w:szCs w:val="32"/>
          <w:lang w:val="en-US"/>
        </w:rPr>
      </w:pPr>
      <w:r w:rsidRPr="00FF5E2D">
        <w:rPr>
          <w:rFonts w:ascii="Chalkboard" w:hAnsi="Chalkboard"/>
          <w:b/>
          <w:bCs/>
          <w:i/>
          <w:iCs/>
          <w:sz w:val="32"/>
          <w:szCs w:val="32"/>
          <w:lang w:val="en-US"/>
        </w:rPr>
        <w:t xml:space="preserve">What can be expected from the poster </w:t>
      </w:r>
    </w:p>
    <w:p w14:paraId="4CD3CDC1" w14:textId="4D97313B" w:rsidR="005405CC" w:rsidRPr="00FF5E2D" w:rsidRDefault="005405CC" w:rsidP="00FF5E2D">
      <w:pPr>
        <w:pStyle w:val="ListParagraph"/>
        <w:numPr>
          <w:ilvl w:val="0"/>
          <w:numId w:val="1"/>
        </w:numPr>
        <w:spacing w:line="360" w:lineRule="auto"/>
        <w:jc w:val="both"/>
        <w:rPr>
          <w:rFonts w:ascii="Chalkboard" w:hAnsi="Chalkboard"/>
          <w:lang w:val="en-US"/>
        </w:rPr>
      </w:pPr>
      <w:r w:rsidRPr="00FF5E2D">
        <w:rPr>
          <w:rFonts w:ascii="Chalkboard" w:hAnsi="Chalkboard"/>
          <w:lang w:val="en-US"/>
        </w:rPr>
        <w:t xml:space="preserve">SEN </w:t>
      </w:r>
      <w:r w:rsidR="00FF5E2D" w:rsidRPr="00FF5E2D">
        <w:rPr>
          <w:rFonts w:ascii="Chalkboard" w:hAnsi="Chalkboard"/>
          <w:lang w:val="en-US"/>
        </w:rPr>
        <w:t>System and The Reason Why It Was Replaced (Context)</w:t>
      </w:r>
    </w:p>
    <w:p w14:paraId="5369E13B" w14:textId="64233D2D" w:rsidR="005405CC" w:rsidRPr="00FF5E2D" w:rsidRDefault="00FF5E2D" w:rsidP="00FF5E2D">
      <w:pPr>
        <w:spacing w:line="360" w:lineRule="auto"/>
        <w:jc w:val="both"/>
        <w:rPr>
          <w:rFonts w:ascii="Chalkboard" w:hAnsi="Chalkboard"/>
          <w:lang w:val="en-US"/>
        </w:rPr>
      </w:pPr>
      <w:r w:rsidRPr="00FF5E2D">
        <w:rPr>
          <w:rFonts w:ascii="Chalkboard" w:hAnsi="Chalkboard"/>
          <w:lang w:val="en-US"/>
        </w:rPr>
        <w:t xml:space="preserve">Wales was the first UK country to incorporate the United Nations Convention on the Rights of the Child into domestic law and the first to appoint a Children's Commissioner. Wales is unique in the close link between education and the promotion of the Welsh language, as evidenced in successive Welsh language strategies. </w:t>
      </w:r>
      <w:proofErr w:type="gramStart"/>
      <w:r w:rsidRPr="00FF5E2D">
        <w:rPr>
          <w:rFonts w:ascii="Chalkboard" w:hAnsi="Chalkboard"/>
          <w:lang w:val="en-US"/>
        </w:rPr>
        <w:t>With regard to</w:t>
      </w:r>
      <w:proofErr w:type="gramEnd"/>
      <w:r w:rsidRPr="00FF5E2D">
        <w:rPr>
          <w:rFonts w:ascii="Chalkboard" w:hAnsi="Chalkboard"/>
          <w:lang w:val="en-US"/>
        </w:rPr>
        <w:t xml:space="preserve"> children with special educational needs, the Additional Learning Needs and Education Tribunals Act 2018 states that children's voices must be heard</w:t>
      </w:r>
      <w:r>
        <w:rPr>
          <w:rFonts w:ascii="Chalkboard" w:hAnsi="Chalkboard"/>
          <w:lang w:val="en-US"/>
        </w:rPr>
        <w:t xml:space="preserve"> </w:t>
      </w:r>
      <w:r w:rsidR="006F45AB" w:rsidRPr="006F45AB">
        <w:rPr>
          <w:rFonts w:ascii="Chalkboard" w:hAnsi="Chalkboard"/>
          <w:lang w:val="en-US"/>
        </w:rPr>
        <w:t>(Ware, 2019)</w:t>
      </w:r>
      <w:r w:rsidRPr="00FF5E2D">
        <w:rPr>
          <w:rFonts w:ascii="Chalkboard" w:hAnsi="Chalkboard"/>
          <w:lang w:val="en-US"/>
        </w:rPr>
        <w:t>.</w:t>
      </w:r>
      <w:r>
        <w:rPr>
          <w:rFonts w:ascii="Chalkboard" w:hAnsi="Chalkboard"/>
          <w:lang w:val="en-US"/>
        </w:rPr>
        <w:t xml:space="preserve"> </w:t>
      </w:r>
      <w:r w:rsidR="005405CC" w:rsidRPr="00FF5E2D">
        <w:rPr>
          <w:rFonts w:ascii="Chalkboard" w:hAnsi="Chalkboard"/>
          <w:lang w:val="en-US"/>
        </w:rPr>
        <w:t>Secondly, there are many challenges regarding different aspects of the SEN system, the most representative of which is the identification of SEN children.</w:t>
      </w:r>
      <w:r w:rsidR="005405CC" w:rsidRPr="00FF5E2D">
        <w:rPr>
          <w:rFonts w:ascii="Chalkboard" w:hAnsi="Chalkboard"/>
          <w:lang w:val="en-US"/>
        </w:rPr>
        <w:t xml:space="preserve"> A chapter conducted by </w:t>
      </w:r>
      <w:r w:rsidR="005405CC" w:rsidRPr="00FF5E2D">
        <w:rPr>
          <w:rFonts w:ascii="Chalkboard" w:hAnsi="Chalkboard"/>
          <w:lang w:val="en-US"/>
        </w:rPr>
        <w:t>Knight and Crick, (2021)</w:t>
      </w:r>
      <w:r w:rsidR="005405CC" w:rsidRPr="00FF5E2D">
        <w:rPr>
          <w:rFonts w:ascii="Chalkboard" w:hAnsi="Chalkboard"/>
          <w:lang w:val="en-US"/>
        </w:rPr>
        <w:t xml:space="preserve"> </w:t>
      </w:r>
      <w:r w:rsidR="007531E3" w:rsidRPr="00FF5E2D">
        <w:rPr>
          <w:rFonts w:ascii="Chalkboard" w:hAnsi="Chalkboard"/>
          <w:lang w:val="en-US"/>
        </w:rPr>
        <w:t>contributed to such judgement, which is t</w:t>
      </w:r>
      <w:r w:rsidR="005405CC" w:rsidRPr="00FF5E2D">
        <w:rPr>
          <w:rFonts w:ascii="Chalkboard" w:hAnsi="Chalkboard"/>
          <w:lang w:val="en-US"/>
        </w:rPr>
        <w:t>he provision of education for disabled children and those identified as having special educational needs has changed over the past 25 years. Prior to the Education Act 1981, the education of children who were considered abnormal was largely based on their medical or quasi-medical diagnosis, and educational provision, including the school they attended, was often almost automatically determined based on that diagnosis. So, for example, children with "physical disabilities" (as they were known) were often placed in schools for such children, children with visual impairments were placed in schools for blind children, children with hearing impairments were placed in schools for deaf children, and so on. Some of the categories of children that were placed were in some way vague, and some were positively offensive. For example, there were schools for "regressive" children, "delicate" children, and "educationally abnormal" children!</w:t>
      </w:r>
      <w:r w:rsidR="005405CC" w:rsidRPr="00FF5E2D">
        <w:rPr>
          <w:rFonts w:ascii="Chalkboard" w:hAnsi="Chalkboard"/>
          <w:lang w:val="en-US"/>
        </w:rPr>
        <w:t xml:space="preserve"> </w:t>
      </w:r>
      <w:r w:rsidR="007531E3" w:rsidRPr="00FF5E2D">
        <w:rPr>
          <w:rFonts w:ascii="Chalkboard" w:hAnsi="Chalkboard"/>
          <w:lang w:val="en-US"/>
        </w:rPr>
        <w:t xml:space="preserve">Meanwhile, </w:t>
      </w:r>
      <w:r w:rsidR="007531E3" w:rsidRPr="00FF5E2D">
        <w:rPr>
          <w:rFonts w:ascii="Chalkboard" w:hAnsi="Chalkboard" w:cs="Arial"/>
        </w:rPr>
        <w:t xml:space="preserve">Knight, Lowthian, Crick, Jones, Rees, et al., </w:t>
      </w:r>
      <w:r w:rsidR="007531E3" w:rsidRPr="00FF5E2D">
        <w:rPr>
          <w:rFonts w:ascii="Chalkboard" w:hAnsi="Chalkboard" w:cs="Arial"/>
        </w:rPr>
        <w:t>(</w:t>
      </w:r>
      <w:r w:rsidR="007531E3" w:rsidRPr="00FF5E2D">
        <w:rPr>
          <w:rFonts w:ascii="Chalkboard" w:hAnsi="Chalkboard" w:cs="Arial"/>
        </w:rPr>
        <w:t>2024) also made statement that the main reasons include the education system's failure to mitigate the negative impact of SEN on learners' educational outcomes, and the fact that long-term SEN does not alleviate the educational needs of these learners and the negative impact on their academic performance. The finding of Knight et al. (2024) and Knight, Lowthian, Crick, Jones, Rees, et al. (2024) might be able to be regarded as crucial reasons which promote the transition from SEN system to ALN system.</w:t>
      </w:r>
    </w:p>
    <w:p w14:paraId="4F49E74C" w14:textId="77777777" w:rsidR="007531E3" w:rsidRPr="00FF5E2D" w:rsidRDefault="007531E3" w:rsidP="00FF5E2D">
      <w:pPr>
        <w:spacing w:line="360" w:lineRule="auto"/>
        <w:jc w:val="both"/>
        <w:rPr>
          <w:rFonts w:ascii="Chalkboard" w:hAnsi="Chalkboard"/>
          <w:lang w:val="en-US"/>
        </w:rPr>
      </w:pPr>
    </w:p>
    <w:p w14:paraId="25C43D77" w14:textId="7E1D1108" w:rsidR="005405CC" w:rsidRPr="00FF5E2D" w:rsidRDefault="005405CC" w:rsidP="00FF5E2D">
      <w:pPr>
        <w:pStyle w:val="ListParagraph"/>
        <w:numPr>
          <w:ilvl w:val="0"/>
          <w:numId w:val="1"/>
        </w:numPr>
        <w:spacing w:line="360" w:lineRule="auto"/>
        <w:jc w:val="both"/>
        <w:rPr>
          <w:rFonts w:ascii="Chalkboard" w:hAnsi="Chalkboard"/>
          <w:lang w:val="en-US"/>
        </w:rPr>
      </w:pPr>
      <w:r w:rsidRPr="00FF5E2D">
        <w:rPr>
          <w:rFonts w:ascii="Chalkboard" w:hAnsi="Chalkboard"/>
          <w:b/>
          <w:bCs/>
          <w:lang w:val="en-US"/>
        </w:rPr>
        <w:t>How</w:t>
      </w:r>
      <w:r w:rsidRPr="00FF5E2D">
        <w:rPr>
          <w:rFonts w:ascii="Chalkboard" w:hAnsi="Chalkboard"/>
          <w:lang w:val="en-US"/>
        </w:rPr>
        <w:t xml:space="preserve"> </w:t>
      </w:r>
      <w:r w:rsidR="00FF5E2D" w:rsidRPr="00FF5E2D">
        <w:rPr>
          <w:rFonts w:ascii="Chalkboard" w:hAnsi="Chalkboard"/>
          <w:lang w:val="en-US"/>
        </w:rPr>
        <w:t xml:space="preserve">And </w:t>
      </w:r>
      <w:r w:rsidRPr="00FF5E2D">
        <w:rPr>
          <w:rFonts w:ascii="Chalkboard" w:hAnsi="Chalkboard"/>
          <w:b/>
          <w:bCs/>
          <w:lang w:val="en-US"/>
        </w:rPr>
        <w:t>What</w:t>
      </w:r>
      <w:r w:rsidRPr="00FF5E2D">
        <w:rPr>
          <w:rFonts w:ascii="Chalkboard" w:hAnsi="Chalkboard"/>
          <w:lang w:val="en-US"/>
        </w:rPr>
        <w:t xml:space="preserve"> </w:t>
      </w:r>
      <w:r w:rsidR="00FF5E2D" w:rsidRPr="00FF5E2D">
        <w:rPr>
          <w:rFonts w:ascii="Chalkboard" w:hAnsi="Chalkboard"/>
          <w:lang w:val="en-US"/>
        </w:rPr>
        <w:t xml:space="preserve">Does the </w:t>
      </w:r>
      <w:r w:rsidRPr="00FF5E2D">
        <w:rPr>
          <w:rFonts w:ascii="Chalkboard" w:hAnsi="Chalkboard"/>
          <w:lang w:val="en-US"/>
        </w:rPr>
        <w:t xml:space="preserve">ALN </w:t>
      </w:r>
      <w:r w:rsidR="00FF5E2D" w:rsidRPr="00FF5E2D">
        <w:rPr>
          <w:rFonts w:ascii="Chalkboard" w:hAnsi="Chalkboard"/>
          <w:lang w:val="en-US"/>
        </w:rPr>
        <w:t xml:space="preserve">System Improve the Condition </w:t>
      </w:r>
      <w:proofErr w:type="gramStart"/>
      <w:r w:rsidR="00FF5E2D" w:rsidRPr="00FF5E2D">
        <w:rPr>
          <w:rFonts w:ascii="Chalkboard" w:hAnsi="Chalkboard"/>
          <w:lang w:val="en-US"/>
        </w:rPr>
        <w:t>Of</w:t>
      </w:r>
      <w:proofErr w:type="gramEnd"/>
      <w:r w:rsidR="00FF5E2D" w:rsidRPr="00FF5E2D">
        <w:rPr>
          <w:rFonts w:ascii="Chalkboard" w:hAnsi="Chalkboard"/>
          <w:lang w:val="en-US"/>
        </w:rPr>
        <w:t xml:space="preserve"> Children With Extra Needs (Text)</w:t>
      </w:r>
    </w:p>
    <w:p w14:paraId="5AB01E51" w14:textId="60C4FB86" w:rsidR="007531E3" w:rsidRPr="00FF5E2D" w:rsidRDefault="007531E3" w:rsidP="00FF5E2D">
      <w:pPr>
        <w:spacing w:line="360" w:lineRule="auto"/>
        <w:jc w:val="both"/>
        <w:rPr>
          <w:rFonts w:ascii="Chalkboard" w:hAnsi="Chalkboard"/>
          <w:lang w:val="en-US"/>
        </w:rPr>
      </w:pPr>
      <w:r w:rsidRPr="00FF5E2D">
        <w:rPr>
          <w:rFonts w:ascii="Chalkboard" w:hAnsi="Chalkboard"/>
          <w:lang w:val="en-US"/>
        </w:rPr>
        <w:lastRenderedPageBreak/>
        <w:t>Generally, compared with SEN system, ALN policy provided children with extra needs more detailed and personalized guidance and support. L</w:t>
      </w:r>
      <w:r w:rsidRPr="00FF5E2D">
        <w:rPr>
          <w:rFonts w:ascii="Chalkboard" w:hAnsi="Chalkboard"/>
          <w:lang w:val="en-US"/>
        </w:rPr>
        <w:t xml:space="preserve">earners who were in education before 1 September 2021 are supported by the SEN system; by whom start education support for the first time after this date and are in Year 0 or below will have their support provided within the ALN framework. The identification process </w:t>
      </w:r>
      <w:r w:rsidRPr="00FF5E2D">
        <w:rPr>
          <w:rFonts w:ascii="Chalkboard" w:hAnsi="Chalkboard"/>
          <w:lang w:val="en-US"/>
        </w:rPr>
        <w:t>maintains</w:t>
      </w:r>
      <w:r w:rsidRPr="00FF5E2D">
        <w:rPr>
          <w:rFonts w:ascii="Chalkboard" w:hAnsi="Chalkboard"/>
          <w:lang w:val="en-US"/>
        </w:rPr>
        <w:t xml:space="preserve"> a significant role. The authorized schools and further education institutions must appoint a person responsible for identifying ALNs for children and young people, who will collect evidence to assess whether your child has an ALN. Evidence may come from a variety of sources, including staff within the setting, other services related to your child and/or directly from you or your child. If they decide that your child does have an ALN, the local authority or education provider must prepare an individual development plan (IDP), which is a document that sets out the child's ALN and describes the additional support they will receive to meet their needs.</w:t>
      </w:r>
    </w:p>
    <w:p w14:paraId="237E9661" w14:textId="3187E79D" w:rsidR="005405CC" w:rsidRPr="00FF5E2D" w:rsidRDefault="007531E3" w:rsidP="00FF5E2D">
      <w:pPr>
        <w:spacing w:line="360" w:lineRule="auto"/>
        <w:jc w:val="both"/>
        <w:rPr>
          <w:rFonts w:ascii="Chalkboard" w:hAnsi="Chalkboard"/>
          <w:lang w:val="en-US"/>
        </w:rPr>
      </w:pPr>
      <w:r w:rsidRPr="00FF5E2D">
        <w:rPr>
          <w:rFonts w:ascii="Chalkboard" w:hAnsi="Chalkboard"/>
          <w:lang w:val="en-US"/>
        </w:rPr>
        <w:t>Compared with SEN system, ALN has a more inclusive and clearer process and a more supportive identification system. For learners with extra needs, the ALN system can better provide them with better conditions for their education and life, as well as support them to have more educational opportunities after the end of compulsory education.</w:t>
      </w:r>
    </w:p>
    <w:p w14:paraId="43796759" w14:textId="77777777" w:rsidR="005405CC" w:rsidRPr="00FF5E2D" w:rsidRDefault="005405CC" w:rsidP="00FF5E2D">
      <w:pPr>
        <w:spacing w:line="360" w:lineRule="auto"/>
        <w:jc w:val="both"/>
        <w:rPr>
          <w:rFonts w:ascii="Chalkboard" w:hAnsi="Chalkboard"/>
          <w:lang w:val="en-US"/>
        </w:rPr>
      </w:pPr>
    </w:p>
    <w:p w14:paraId="49B0F2A5" w14:textId="5CCA9E66" w:rsidR="005405CC" w:rsidRPr="00FF5E2D" w:rsidRDefault="005405CC" w:rsidP="00FF5E2D">
      <w:pPr>
        <w:pStyle w:val="ListParagraph"/>
        <w:numPr>
          <w:ilvl w:val="0"/>
          <w:numId w:val="1"/>
        </w:numPr>
        <w:spacing w:line="360" w:lineRule="auto"/>
        <w:jc w:val="both"/>
        <w:rPr>
          <w:rFonts w:ascii="Chalkboard" w:hAnsi="Chalkboard"/>
          <w:lang w:val="en-US"/>
        </w:rPr>
      </w:pPr>
      <w:r w:rsidRPr="00FF5E2D">
        <w:rPr>
          <w:rFonts w:ascii="Chalkboard" w:hAnsi="Chalkboard"/>
          <w:lang w:val="en-US"/>
        </w:rPr>
        <w:t xml:space="preserve">Does </w:t>
      </w:r>
      <w:r w:rsidR="00FF5E2D" w:rsidRPr="00FF5E2D">
        <w:rPr>
          <w:rFonts w:ascii="Chalkboard" w:hAnsi="Chalkboard"/>
          <w:lang w:val="en-US"/>
        </w:rPr>
        <w:t xml:space="preserve">The New </w:t>
      </w:r>
      <w:r w:rsidRPr="00FF5E2D">
        <w:rPr>
          <w:rFonts w:ascii="Chalkboard" w:hAnsi="Chalkboard"/>
          <w:lang w:val="en-US"/>
        </w:rPr>
        <w:t xml:space="preserve">ALN </w:t>
      </w:r>
      <w:r w:rsidR="00FF5E2D" w:rsidRPr="00FF5E2D">
        <w:rPr>
          <w:rFonts w:ascii="Chalkboard" w:hAnsi="Chalkboard"/>
          <w:lang w:val="en-US"/>
        </w:rPr>
        <w:t xml:space="preserve">System Have Any Issues So Far? </w:t>
      </w:r>
      <w:r w:rsidRPr="00FF5E2D">
        <w:rPr>
          <w:rFonts w:ascii="Chalkboard" w:hAnsi="Chalkboard"/>
          <w:lang w:val="en-US"/>
        </w:rPr>
        <w:t xml:space="preserve">What </w:t>
      </w:r>
      <w:r w:rsidR="00FF5E2D" w:rsidRPr="00FF5E2D">
        <w:rPr>
          <w:rFonts w:ascii="Chalkboard" w:hAnsi="Chalkboard"/>
          <w:lang w:val="en-US"/>
        </w:rPr>
        <w:t>Is It? (Consequence)</w:t>
      </w:r>
    </w:p>
    <w:p w14:paraId="24A0FD99" w14:textId="6CA889A2" w:rsidR="005405CC" w:rsidRPr="00FF5E2D" w:rsidRDefault="00FF5E2D" w:rsidP="00FF5E2D">
      <w:pPr>
        <w:spacing w:line="360" w:lineRule="auto"/>
        <w:jc w:val="both"/>
        <w:rPr>
          <w:rFonts w:ascii="Chalkboard" w:hAnsi="Chalkboard"/>
          <w:lang w:val="en-US"/>
        </w:rPr>
      </w:pPr>
      <w:r w:rsidRPr="00FF5E2D">
        <w:rPr>
          <w:rFonts w:ascii="Chalkboard" w:hAnsi="Chalkboard" w:cs="Arial"/>
        </w:rPr>
        <w:t xml:space="preserve">By reading and summarizing literatures and official news about the new ALN system in Wales, there are </w:t>
      </w:r>
      <w:proofErr w:type="gramStart"/>
      <w:r w:rsidRPr="00FF5E2D">
        <w:rPr>
          <w:rFonts w:ascii="Chalkboard" w:hAnsi="Chalkboard" w:cs="Arial"/>
        </w:rPr>
        <w:t>a number of</w:t>
      </w:r>
      <w:proofErr w:type="gramEnd"/>
      <w:r w:rsidRPr="00FF5E2D">
        <w:rPr>
          <w:rFonts w:ascii="Chalkboard" w:hAnsi="Chalkboard" w:cs="Arial"/>
        </w:rPr>
        <w:t xml:space="preserve"> challenges identified in the past few years, especially since the ALN system began to replace the timeworn one. A recent year’s news reported that a mother and her son had to wait for at least 26 months for an assessment, to support the boy with ALN identification (Edward, 2022), which reflected that the efficiency of policy implementor such as ALN cooperator and teachers may have problems in ability of improving work proficiency. In addition, to one ALN school guaranteed by the government, the plan could not be implemented as scheduled due to insufficient funds (Thomas and Parr, 2024), which indicated that there may be management and allocation loopholes in the government's funding issues, which led to the gap between the goals and the actual situation in the policy implementation process, which also affected the identification on children with ALN, because they could not be guaranteed a good learning and living environment to support them being identified by the policy. On the other hand, as of November 2024, there are some literatures associated to the ALN policy in Wales that provide some suggestions for the identification of children with ALN system. The process </w:t>
      </w:r>
      <w:r w:rsidRPr="00FF5E2D">
        <w:rPr>
          <w:rFonts w:ascii="Chalkboard" w:hAnsi="Chalkboard" w:cs="Arial"/>
        </w:rPr>
        <w:lastRenderedPageBreak/>
        <w:t>has also been challenged from different perspectives, such as the lack of coherence in the key messages articulated in Welsh education policy documents, which has led to unexpected differences in the identification of children with ALNs between policy and guidance documents, and the underlying roles in implementing policy (Knight and Crick, 2021).</w:t>
      </w:r>
    </w:p>
    <w:p w14:paraId="53EBF868" w14:textId="03E76DE5" w:rsidR="006F45AB" w:rsidRDefault="006F45AB" w:rsidP="00FF5E2D">
      <w:pPr>
        <w:spacing w:line="360" w:lineRule="auto"/>
        <w:jc w:val="both"/>
        <w:rPr>
          <w:rFonts w:ascii="Chalkboard" w:hAnsi="Chalkboard"/>
          <w:lang w:val="en-US"/>
        </w:rPr>
      </w:pPr>
    </w:p>
    <w:p w14:paraId="606F90EE" w14:textId="77777777" w:rsidR="006F45AB" w:rsidRDefault="006F45AB">
      <w:pPr>
        <w:rPr>
          <w:rFonts w:ascii="Chalkboard" w:hAnsi="Chalkboard"/>
          <w:lang w:val="en-US"/>
        </w:rPr>
      </w:pPr>
      <w:r>
        <w:rPr>
          <w:rFonts w:ascii="Chalkboard" w:hAnsi="Chalkboard"/>
          <w:lang w:val="en-US"/>
        </w:rPr>
        <w:br w:type="page"/>
      </w:r>
    </w:p>
    <w:p w14:paraId="71F434B6" w14:textId="77777777" w:rsidR="006F45AB" w:rsidRPr="006F45AB" w:rsidRDefault="006F45AB" w:rsidP="006F45AB">
      <w:pPr>
        <w:spacing w:line="360" w:lineRule="auto"/>
        <w:jc w:val="both"/>
        <w:rPr>
          <w:rFonts w:ascii="Times New Roman" w:hAnsi="Times New Roman" w:cs="Times New Roman"/>
          <w:b/>
          <w:bCs/>
          <w:sz w:val="32"/>
          <w:szCs w:val="32"/>
        </w:rPr>
      </w:pPr>
      <w:r w:rsidRPr="006F45AB">
        <w:rPr>
          <w:rFonts w:ascii="Times New Roman" w:hAnsi="Times New Roman" w:cs="Times New Roman"/>
          <w:b/>
          <w:bCs/>
          <w:sz w:val="32"/>
          <w:szCs w:val="32"/>
        </w:rPr>
        <w:lastRenderedPageBreak/>
        <w:t>Reference list</w:t>
      </w:r>
    </w:p>
    <w:p w14:paraId="40972201"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Cohen, L., Manion, L. and Morrison, K. (2018) </w:t>
      </w:r>
      <w:r w:rsidRPr="006F45AB">
        <w:rPr>
          <w:rFonts w:ascii="Times New Roman" w:hAnsi="Times New Roman" w:cs="Times New Roman"/>
          <w:i/>
          <w:iCs/>
        </w:rPr>
        <w:t>Research Methods in Education</w:t>
      </w:r>
      <w:r w:rsidRPr="006F45AB">
        <w:rPr>
          <w:rFonts w:ascii="Times New Roman" w:hAnsi="Times New Roman" w:cs="Times New Roman"/>
        </w:rPr>
        <w:t xml:space="preserve">. 8th </w:t>
      </w:r>
      <w:proofErr w:type="spellStart"/>
      <w:r w:rsidRPr="006F45AB">
        <w:rPr>
          <w:rFonts w:ascii="Times New Roman" w:hAnsi="Times New Roman" w:cs="Times New Roman"/>
        </w:rPr>
        <w:t>edn</w:t>
      </w:r>
      <w:proofErr w:type="spellEnd"/>
      <w:r w:rsidRPr="006F45AB">
        <w:rPr>
          <w:rFonts w:ascii="Times New Roman" w:hAnsi="Times New Roman" w:cs="Times New Roman"/>
        </w:rPr>
        <w:t>. New York: Routledge.</w:t>
      </w:r>
    </w:p>
    <w:p w14:paraId="01004BD2"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Conn, C. and Davis, S. (2023) ‘Policy Implications of Collective Agency for inclusion: Evidence from the Welsh Context’, </w:t>
      </w:r>
      <w:r w:rsidRPr="006F45AB">
        <w:rPr>
          <w:rFonts w:ascii="Times New Roman" w:hAnsi="Times New Roman" w:cs="Times New Roman"/>
          <w:i/>
          <w:iCs/>
        </w:rPr>
        <w:t>Journal of Education Policy</w:t>
      </w:r>
      <w:r w:rsidRPr="006F45AB">
        <w:rPr>
          <w:rFonts w:ascii="Times New Roman" w:hAnsi="Times New Roman" w:cs="Times New Roman"/>
        </w:rPr>
        <w:t>, 39(1), pp. 1–22. Available at: https://doi.org/10.1080/02680939.2023.2222372.</w:t>
      </w:r>
    </w:p>
    <w:p w14:paraId="03696766"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Conn, C. and Hutt, M. (2020) ‘Successful futures for all? Additional learning needs in Wales in the light of curriculum reform’, </w:t>
      </w:r>
      <w:r w:rsidRPr="006F45AB">
        <w:rPr>
          <w:rFonts w:ascii="Times New Roman" w:hAnsi="Times New Roman" w:cs="Times New Roman"/>
          <w:i/>
          <w:iCs/>
        </w:rPr>
        <w:t>British Journal of Special Education</w:t>
      </w:r>
      <w:r w:rsidRPr="006F45AB">
        <w:rPr>
          <w:rFonts w:ascii="Times New Roman" w:hAnsi="Times New Roman" w:cs="Times New Roman"/>
        </w:rPr>
        <w:t>, 47(2). Available at: https://doi.org/10.1111/1467-8578.12307.</w:t>
      </w:r>
    </w:p>
    <w:p w14:paraId="7DB058B1"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Contact a Family (2024) </w:t>
      </w:r>
      <w:r w:rsidRPr="006F45AB">
        <w:rPr>
          <w:rFonts w:ascii="Times New Roman" w:hAnsi="Times New Roman" w:cs="Times New Roman"/>
          <w:i/>
          <w:iCs/>
        </w:rPr>
        <w:t>Support under the ALN framework</w:t>
      </w:r>
      <w:r w:rsidRPr="006F45AB">
        <w:rPr>
          <w:rFonts w:ascii="Times New Roman" w:hAnsi="Times New Roman" w:cs="Times New Roman"/>
        </w:rPr>
        <w:t>, </w:t>
      </w:r>
      <w:r w:rsidRPr="006F45AB">
        <w:rPr>
          <w:rFonts w:ascii="Times New Roman" w:hAnsi="Times New Roman" w:cs="Times New Roman"/>
          <w:i/>
          <w:iCs/>
        </w:rPr>
        <w:t>Contact</w:t>
      </w:r>
      <w:r w:rsidRPr="006F45AB">
        <w:rPr>
          <w:rFonts w:ascii="Times New Roman" w:hAnsi="Times New Roman" w:cs="Times New Roman"/>
        </w:rPr>
        <w:t>. Available at: https://contact.org.uk/help-for-families/information-advice-services/education-start/education-learning-wales/support-in-education-wales/.</w:t>
      </w:r>
    </w:p>
    <w:p w14:paraId="7147832F"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Edwards, O. (2022) ‘Additional learning needs: Mum feels a failure over ALN’, </w:t>
      </w:r>
      <w:r w:rsidRPr="006F45AB">
        <w:rPr>
          <w:rFonts w:ascii="Times New Roman" w:hAnsi="Times New Roman" w:cs="Times New Roman"/>
          <w:i/>
          <w:iCs/>
        </w:rPr>
        <w:t>BBC News</w:t>
      </w:r>
      <w:r w:rsidRPr="006F45AB">
        <w:rPr>
          <w:rFonts w:ascii="Times New Roman" w:hAnsi="Times New Roman" w:cs="Times New Roman"/>
        </w:rPr>
        <w:t>, 3 November. Available at: https://www.bbc.co.uk/news/uk-wales-63160416.</w:t>
      </w:r>
    </w:p>
    <w:p w14:paraId="5F80947D"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Gill Richards and Armstrong, F. (2016) </w:t>
      </w:r>
      <w:r w:rsidRPr="006F45AB">
        <w:rPr>
          <w:rFonts w:ascii="Times New Roman" w:hAnsi="Times New Roman" w:cs="Times New Roman"/>
          <w:i/>
          <w:iCs/>
        </w:rPr>
        <w:t xml:space="preserve">Key Issues for Teaching </w:t>
      </w:r>
      <w:proofErr w:type="gramStart"/>
      <w:r w:rsidRPr="006F45AB">
        <w:rPr>
          <w:rFonts w:ascii="Times New Roman" w:hAnsi="Times New Roman" w:cs="Times New Roman"/>
          <w:i/>
          <w:iCs/>
        </w:rPr>
        <w:t>Assistants :</w:t>
      </w:r>
      <w:proofErr w:type="gramEnd"/>
      <w:r w:rsidRPr="006F45AB">
        <w:rPr>
          <w:rFonts w:ascii="Times New Roman" w:hAnsi="Times New Roman" w:cs="Times New Roman"/>
          <w:i/>
          <w:iCs/>
        </w:rPr>
        <w:t xml:space="preserve"> Working in Diverse and Inclusive Classrooms</w:t>
      </w:r>
      <w:r w:rsidRPr="006F45AB">
        <w:rPr>
          <w:rFonts w:ascii="Times New Roman" w:hAnsi="Times New Roman" w:cs="Times New Roman"/>
        </w:rPr>
        <w:t>. New York: Routledge, p. 10.</w:t>
      </w:r>
    </w:p>
    <w:p w14:paraId="62CD6755"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Knight, C. </w:t>
      </w:r>
      <w:r w:rsidRPr="006F45AB">
        <w:rPr>
          <w:rFonts w:ascii="Times New Roman" w:hAnsi="Times New Roman" w:cs="Times New Roman"/>
          <w:i/>
          <w:iCs/>
        </w:rPr>
        <w:t>et al.</w:t>
      </w:r>
      <w:r w:rsidRPr="006F45AB">
        <w:rPr>
          <w:rFonts w:ascii="Times New Roman" w:hAnsi="Times New Roman" w:cs="Times New Roman"/>
        </w:rPr>
        <w:t> (2022) ‘Aspiring to Include versus Implicit “othering”: teachers’ Perceptions of Inclusive Education in Wales’, </w:t>
      </w:r>
      <w:r w:rsidRPr="006F45AB">
        <w:rPr>
          <w:rFonts w:ascii="Times New Roman" w:hAnsi="Times New Roman" w:cs="Times New Roman"/>
          <w:i/>
          <w:iCs/>
        </w:rPr>
        <w:t>British Journal of Special Education</w:t>
      </w:r>
      <w:r w:rsidRPr="006F45AB">
        <w:rPr>
          <w:rFonts w:ascii="Times New Roman" w:hAnsi="Times New Roman" w:cs="Times New Roman"/>
        </w:rPr>
        <w:t>, 49(1). Available at: https://doi.org/10.1111/1467-8578.12394.</w:t>
      </w:r>
    </w:p>
    <w:p w14:paraId="7D02259B"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Knight, C. </w:t>
      </w:r>
      <w:r w:rsidRPr="006F45AB">
        <w:rPr>
          <w:rFonts w:ascii="Times New Roman" w:hAnsi="Times New Roman" w:cs="Times New Roman"/>
          <w:i/>
          <w:iCs/>
        </w:rPr>
        <w:t>et al.</w:t>
      </w:r>
      <w:r w:rsidRPr="006F45AB">
        <w:rPr>
          <w:rFonts w:ascii="Times New Roman" w:hAnsi="Times New Roman" w:cs="Times New Roman"/>
        </w:rPr>
        <w:t> (2024) ‘Quantifying the Impact of Additional Learning Needs Identification in Wales’, </w:t>
      </w:r>
      <w:r w:rsidRPr="006F45AB">
        <w:rPr>
          <w:rFonts w:ascii="Times New Roman" w:hAnsi="Times New Roman" w:cs="Times New Roman"/>
          <w:i/>
          <w:iCs/>
        </w:rPr>
        <w:t>Bristol Working Paper in Education Series</w:t>
      </w:r>
      <w:r w:rsidRPr="006F45AB">
        <w:rPr>
          <w:rFonts w:ascii="Times New Roman" w:hAnsi="Times New Roman" w:cs="Times New Roman"/>
        </w:rPr>
        <w:t> [Preprint]. Available at: https://doi.org/10.5281/zenodo.11489765.</w:t>
      </w:r>
    </w:p>
    <w:p w14:paraId="5669A391"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Knight, C. </w:t>
      </w:r>
      <w:r w:rsidRPr="006F45AB">
        <w:rPr>
          <w:rFonts w:ascii="Times New Roman" w:hAnsi="Times New Roman" w:cs="Times New Roman"/>
          <w:i/>
          <w:iCs/>
        </w:rPr>
        <w:t>et al.</w:t>
      </w:r>
      <w:r w:rsidRPr="006F45AB">
        <w:rPr>
          <w:rFonts w:ascii="Times New Roman" w:hAnsi="Times New Roman" w:cs="Times New Roman"/>
        </w:rPr>
        <w:t> (2024) ‘Sociodemographic trends in special educational needs identification in Wales’, </w:t>
      </w:r>
      <w:r w:rsidRPr="006F45AB">
        <w:rPr>
          <w:rFonts w:ascii="Times New Roman" w:hAnsi="Times New Roman" w:cs="Times New Roman"/>
          <w:i/>
          <w:iCs/>
        </w:rPr>
        <w:t>British Educational Research Journal</w:t>
      </w:r>
      <w:r w:rsidRPr="006F45AB">
        <w:rPr>
          <w:rFonts w:ascii="Times New Roman" w:hAnsi="Times New Roman" w:cs="Times New Roman"/>
        </w:rPr>
        <w:t> [Preprint]. Available at: https://doi.org/10.1002/berj.4083.</w:t>
      </w:r>
    </w:p>
    <w:p w14:paraId="2DB4E00C"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Knight, C. and Crick, T. (2021) ‘Inclusive Education in Wales: Interpreting Discourses of Values and Practice Using Critical Policy Analysis’, </w:t>
      </w:r>
      <w:r w:rsidRPr="006F45AB">
        <w:rPr>
          <w:rFonts w:ascii="Times New Roman" w:hAnsi="Times New Roman" w:cs="Times New Roman"/>
          <w:i/>
          <w:iCs/>
        </w:rPr>
        <w:t>ECNU Review of Education</w:t>
      </w:r>
      <w:r w:rsidRPr="006F45AB">
        <w:rPr>
          <w:rFonts w:ascii="Times New Roman" w:hAnsi="Times New Roman" w:cs="Times New Roman"/>
        </w:rPr>
        <w:t>, 5(2), p. 209653112110398. Available at: https://doi.org/10.1177/20965311211039858.</w:t>
      </w:r>
    </w:p>
    <w:p w14:paraId="0F03F531"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 xml:space="preserve">Packer, R., </w:t>
      </w:r>
      <w:proofErr w:type="spellStart"/>
      <w:r w:rsidRPr="006F45AB">
        <w:rPr>
          <w:rFonts w:ascii="Times New Roman" w:hAnsi="Times New Roman" w:cs="Times New Roman"/>
        </w:rPr>
        <w:t>Abbinett</w:t>
      </w:r>
      <w:proofErr w:type="spellEnd"/>
      <w:r w:rsidRPr="006F45AB">
        <w:rPr>
          <w:rFonts w:ascii="Times New Roman" w:hAnsi="Times New Roman" w:cs="Times New Roman"/>
        </w:rPr>
        <w:t>, E. and Morris, E. (2022) ‘“Be Prepared and Give It a go!” Transitions into Further Education for Learners with Additional Learning Needs’, </w:t>
      </w:r>
      <w:r w:rsidRPr="006F45AB">
        <w:rPr>
          <w:rFonts w:ascii="Times New Roman" w:hAnsi="Times New Roman" w:cs="Times New Roman"/>
          <w:i/>
          <w:iCs/>
        </w:rPr>
        <w:t>British Journal of Special Education</w:t>
      </w:r>
      <w:r w:rsidRPr="006F45AB">
        <w:rPr>
          <w:rFonts w:ascii="Times New Roman" w:hAnsi="Times New Roman" w:cs="Times New Roman"/>
        </w:rPr>
        <w:t>, 49(3), pp. 463–485. Available at: https://doi.org/10.1111/1467-8578.12409.</w:t>
      </w:r>
    </w:p>
    <w:p w14:paraId="25E2218F"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Richards, A.B. </w:t>
      </w:r>
      <w:r w:rsidRPr="006F45AB">
        <w:rPr>
          <w:rFonts w:ascii="Times New Roman" w:hAnsi="Times New Roman" w:cs="Times New Roman"/>
          <w:i/>
          <w:iCs/>
        </w:rPr>
        <w:t>et al.</w:t>
      </w:r>
      <w:r w:rsidRPr="006F45AB">
        <w:rPr>
          <w:rFonts w:ascii="Times New Roman" w:hAnsi="Times New Roman" w:cs="Times New Roman"/>
        </w:rPr>
        <w:t> (2023) ‘Motor Competence between Children with and without Additional Learning Needs: A Cross-Sectional Population-Level Study’, </w:t>
      </w:r>
      <w:r w:rsidRPr="006F45AB">
        <w:rPr>
          <w:rFonts w:ascii="Times New Roman" w:hAnsi="Times New Roman" w:cs="Times New Roman"/>
          <w:i/>
          <w:iCs/>
        </w:rPr>
        <w:t>Children</w:t>
      </w:r>
      <w:r w:rsidRPr="006F45AB">
        <w:rPr>
          <w:rFonts w:ascii="Times New Roman" w:hAnsi="Times New Roman" w:cs="Times New Roman"/>
        </w:rPr>
        <w:t>, 10(9), p. 1537. Available at: https://doi.org/10.3390/children10091537.</w:t>
      </w:r>
    </w:p>
    <w:p w14:paraId="6F2E2CBC"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lastRenderedPageBreak/>
        <w:t>Thomas, A. and Parr, C. (2024) </w:t>
      </w:r>
      <w:r w:rsidRPr="006F45AB">
        <w:rPr>
          <w:rFonts w:ascii="Times New Roman" w:hAnsi="Times New Roman" w:cs="Times New Roman"/>
          <w:i/>
          <w:iCs/>
        </w:rPr>
        <w:t>Llanelli: Parents protest after ALN school funding pulled</w:t>
      </w:r>
      <w:r w:rsidRPr="006F45AB">
        <w:rPr>
          <w:rFonts w:ascii="Times New Roman" w:hAnsi="Times New Roman" w:cs="Times New Roman"/>
        </w:rPr>
        <w:t>, </w:t>
      </w:r>
      <w:r w:rsidRPr="006F45AB">
        <w:rPr>
          <w:rFonts w:ascii="Times New Roman" w:hAnsi="Times New Roman" w:cs="Times New Roman"/>
          <w:i/>
          <w:iCs/>
        </w:rPr>
        <w:t>BBC News</w:t>
      </w:r>
      <w:r w:rsidRPr="006F45AB">
        <w:rPr>
          <w:rFonts w:ascii="Times New Roman" w:hAnsi="Times New Roman" w:cs="Times New Roman"/>
        </w:rPr>
        <w:t>. Available at: https://www.bbc.co.uk/news/articles/crggzkk3pvmo.</w:t>
      </w:r>
    </w:p>
    <w:p w14:paraId="59771491"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Ware, J. (2019) ‘Autonomy, Rights and Children with Special Educational needs: the Distinctiveness of Wales’, </w:t>
      </w:r>
      <w:r w:rsidRPr="006F45AB">
        <w:rPr>
          <w:rFonts w:ascii="Times New Roman" w:hAnsi="Times New Roman" w:cs="Times New Roman"/>
          <w:i/>
          <w:iCs/>
        </w:rPr>
        <w:t>International Journal of Inclusive Education</w:t>
      </w:r>
      <w:r w:rsidRPr="006F45AB">
        <w:rPr>
          <w:rFonts w:ascii="Times New Roman" w:hAnsi="Times New Roman" w:cs="Times New Roman"/>
        </w:rPr>
        <w:t>, 23(5), pp. 507–518. Available at: https://doi.org/10.1080/13603116.2019.1580928.</w:t>
      </w:r>
    </w:p>
    <w:p w14:paraId="485CEAA6"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Welsh Government (2018) </w:t>
      </w:r>
      <w:r w:rsidRPr="006F45AB">
        <w:rPr>
          <w:rFonts w:ascii="Times New Roman" w:hAnsi="Times New Roman" w:cs="Times New Roman"/>
          <w:i/>
          <w:iCs/>
        </w:rPr>
        <w:t>Additional Learning Needs and Education Tribunal (Wales) Act 2018</w:t>
      </w:r>
      <w:r w:rsidRPr="006F45AB">
        <w:rPr>
          <w:rFonts w:ascii="Times New Roman" w:hAnsi="Times New Roman" w:cs="Times New Roman"/>
        </w:rPr>
        <w:t>, </w:t>
      </w:r>
      <w:r w:rsidRPr="006F45AB">
        <w:rPr>
          <w:rFonts w:ascii="Times New Roman" w:hAnsi="Times New Roman" w:cs="Times New Roman"/>
          <w:i/>
          <w:iCs/>
        </w:rPr>
        <w:t>Legislation.gov.uk</w:t>
      </w:r>
      <w:r w:rsidRPr="006F45AB">
        <w:rPr>
          <w:rFonts w:ascii="Times New Roman" w:hAnsi="Times New Roman" w:cs="Times New Roman"/>
        </w:rPr>
        <w:t>. Available at: https://www.legislation.gov.uk/anaw/2018/2/part/2/chapter/2.</w:t>
      </w:r>
    </w:p>
    <w:p w14:paraId="2FA2B254" w14:textId="77777777" w:rsidR="006F45AB" w:rsidRPr="006F45AB" w:rsidRDefault="006F45AB" w:rsidP="006F45AB">
      <w:pPr>
        <w:spacing w:line="360" w:lineRule="auto"/>
        <w:jc w:val="both"/>
        <w:rPr>
          <w:rFonts w:ascii="Times New Roman" w:hAnsi="Times New Roman" w:cs="Times New Roman"/>
        </w:rPr>
      </w:pPr>
      <w:r w:rsidRPr="006F45AB">
        <w:rPr>
          <w:rFonts w:ascii="Times New Roman" w:hAnsi="Times New Roman" w:cs="Times New Roman"/>
        </w:rPr>
        <w:t>Welsh Government (2023) </w:t>
      </w:r>
      <w:r w:rsidRPr="006F45AB">
        <w:rPr>
          <w:rFonts w:ascii="Times New Roman" w:hAnsi="Times New Roman" w:cs="Times New Roman"/>
          <w:i/>
          <w:iCs/>
        </w:rPr>
        <w:t>Search results for ‘ALN’ | GOV.WALES</w:t>
      </w:r>
      <w:r w:rsidRPr="006F45AB">
        <w:rPr>
          <w:rFonts w:ascii="Times New Roman" w:hAnsi="Times New Roman" w:cs="Times New Roman"/>
        </w:rPr>
        <w:t>, </w:t>
      </w:r>
      <w:proofErr w:type="spellStart"/>
      <w:r w:rsidRPr="006F45AB">
        <w:rPr>
          <w:rFonts w:ascii="Times New Roman" w:hAnsi="Times New Roman" w:cs="Times New Roman"/>
          <w:i/>
          <w:iCs/>
        </w:rPr>
        <w:t>Gov.wales</w:t>
      </w:r>
      <w:proofErr w:type="spellEnd"/>
      <w:r w:rsidRPr="006F45AB">
        <w:rPr>
          <w:rFonts w:ascii="Times New Roman" w:hAnsi="Times New Roman" w:cs="Times New Roman"/>
        </w:rPr>
        <w:t>. Available at: https://www.gov.wales/search?globalkeywords=ALN+ (Accessed: 21 October 2024).</w:t>
      </w:r>
    </w:p>
    <w:p w14:paraId="006D8080" w14:textId="77777777" w:rsidR="005405CC" w:rsidRPr="0088788A" w:rsidRDefault="005405CC" w:rsidP="00FF5E2D">
      <w:pPr>
        <w:spacing w:line="360" w:lineRule="auto"/>
        <w:jc w:val="both"/>
        <w:rPr>
          <w:rFonts w:ascii="Times New Roman" w:hAnsi="Times New Roman" w:cs="Times New Roman"/>
        </w:rPr>
      </w:pPr>
    </w:p>
    <w:sectPr w:rsidR="005405CC" w:rsidRPr="0088788A" w:rsidSect="00AE58D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halkboard">
    <w:panose1 w:val="03050602040202020205"/>
    <w:charset w:val="4D"/>
    <w:family w:val="script"/>
    <w:pitch w:val="variable"/>
    <w:sig w:usb0="8000002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C26E0"/>
    <w:multiLevelType w:val="hybridMultilevel"/>
    <w:tmpl w:val="E6F6E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702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DE"/>
    <w:rsid w:val="000677DE"/>
    <w:rsid w:val="00141539"/>
    <w:rsid w:val="002D2668"/>
    <w:rsid w:val="0045304E"/>
    <w:rsid w:val="004B6A07"/>
    <w:rsid w:val="005405CC"/>
    <w:rsid w:val="005A1280"/>
    <w:rsid w:val="006F45AB"/>
    <w:rsid w:val="007375B4"/>
    <w:rsid w:val="00746B07"/>
    <w:rsid w:val="007531E3"/>
    <w:rsid w:val="0081290C"/>
    <w:rsid w:val="0088788A"/>
    <w:rsid w:val="008906D4"/>
    <w:rsid w:val="009D44EB"/>
    <w:rsid w:val="00AB52AD"/>
    <w:rsid w:val="00AE58D7"/>
    <w:rsid w:val="00DE0151"/>
    <w:rsid w:val="00DE4B21"/>
    <w:rsid w:val="00EF140A"/>
    <w:rsid w:val="00FE6769"/>
    <w:rsid w:val="00FF5E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7A645F8"/>
  <w15:chartTrackingRefBased/>
  <w15:docId w15:val="{6A5038A9-8469-D64D-A7C3-8651654F1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7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77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7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7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7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7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7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7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7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7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7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7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7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7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7DE"/>
    <w:rPr>
      <w:rFonts w:eastAsiaTheme="majorEastAsia" w:cstheme="majorBidi"/>
      <w:color w:val="272727" w:themeColor="text1" w:themeTint="D8"/>
    </w:rPr>
  </w:style>
  <w:style w:type="paragraph" w:styleId="Title">
    <w:name w:val="Title"/>
    <w:basedOn w:val="Normal"/>
    <w:next w:val="Normal"/>
    <w:link w:val="TitleChar"/>
    <w:uiPriority w:val="10"/>
    <w:qFormat/>
    <w:rsid w:val="000677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7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7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7DE"/>
    <w:pPr>
      <w:spacing w:before="160"/>
      <w:jc w:val="center"/>
    </w:pPr>
    <w:rPr>
      <w:i/>
      <w:iCs/>
      <w:color w:val="404040" w:themeColor="text1" w:themeTint="BF"/>
    </w:rPr>
  </w:style>
  <w:style w:type="character" w:customStyle="1" w:styleId="QuoteChar">
    <w:name w:val="Quote Char"/>
    <w:basedOn w:val="DefaultParagraphFont"/>
    <w:link w:val="Quote"/>
    <w:uiPriority w:val="29"/>
    <w:rsid w:val="000677DE"/>
    <w:rPr>
      <w:i/>
      <w:iCs/>
      <w:color w:val="404040" w:themeColor="text1" w:themeTint="BF"/>
    </w:rPr>
  </w:style>
  <w:style w:type="paragraph" w:styleId="ListParagraph">
    <w:name w:val="List Paragraph"/>
    <w:basedOn w:val="Normal"/>
    <w:uiPriority w:val="34"/>
    <w:qFormat/>
    <w:rsid w:val="000677DE"/>
    <w:pPr>
      <w:ind w:left="720"/>
      <w:contextualSpacing/>
    </w:pPr>
  </w:style>
  <w:style w:type="character" w:styleId="IntenseEmphasis">
    <w:name w:val="Intense Emphasis"/>
    <w:basedOn w:val="DefaultParagraphFont"/>
    <w:uiPriority w:val="21"/>
    <w:qFormat/>
    <w:rsid w:val="000677DE"/>
    <w:rPr>
      <w:i/>
      <w:iCs/>
      <w:color w:val="0F4761" w:themeColor="accent1" w:themeShade="BF"/>
    </w:rPr>
  </w:style>
  <w:style w:type="paragraph" w:styleId="IntenseQuote">
    <w:name w:val="Intense Quote"/>
    <w:basedOn w:val="Normal"/>
    <w:next w:val="Normal"/>
    <w:link w:val="IntenseQuoteChar"/>
    <w:uiPriority w:val="30"/>
    <w:qFormat/>
    <w:rsid w:val="000677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7DE"/>
    <w:rPr>
      <w:i/>
      <w:iCs/>
      <w:color w:val="0F4761" w:themeColor="accent1" w:themeShade="BF"/>
    </w:rPr>
  </w:style>
  <w:style w:type="character" w:styleId="IntenseReference">
    <w:name w:val="Intense Reference"/>
    <w:basedOn w:val="DefaultParagraphFont"/>
    <w:uiPriority w:val="32"/>
    <w:qFormat/>
    <w:rsid w:val="000677DE"/>
    <w:rPr>
      <w:b/>
      <w:bCs/>
      <w:smallCaps/>
      <w:color w:val="0F4761" w:themeColor="accent1" w:themeShade="BF"/>
      <w:spacing w:val="5"/>
    </w:rPr>
  </w:style>
  <w:style w:type="character" w:styleId="Hyperlink">
    <w:name w:val="Hyperlink"/>
    <w:basedOn w:val="DefaultParagraphFont"/>
    <w:uiPriority w:val="99"/>
    <w:unhideWhenUsed/>
    <w:rsid w:val="00AE58D7"/>
    <w:rPr>
      <w:color w:val="467886" w:themeColor="hyperlink"/>
      <w:u w:val="single"/>
    </w:rPr>
  </w:style>
  <w:style w:type="character" w:styleId="UnresolvedMention">
    <w:name w:val="Unresolved Mention"/>
    <w:basedOn w:val="DefaultParagraphFont"/>
    <w:uiPriority w:val="99"/>
    <w:semiHidden/>
    <w:unhideWhenUsed/>
    <w:rsid w:val="00AE58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868428">
      <w:bodyDiv w:val="1"/>
      <w:marLeft w:val="0"/>
      <w:marRight w:val="0"/>
      <w:marTop w:val="0"/>
      <w:marBottom w:val="0"/>
      <w:divBdr>
        <w:top w:val="none" w:sz="0" w:space="0" w:color="auto"/>
        <w:left w:val="none" w:sz="0" w:space="0" w:color="auto"/>
        <w:bottom w:val="none" w:sz="0" w:space="0" w:color="auto"/>
        <w:right w:val="none" w:sz="0" w:space="0" w:color="auto"/>
      </w:divBdr>
    </w:div>
    <w:div w:id="277685199">
      <w:bodyDiv w:val="1"/>
      <w:marLeft w:val="0"/>
      <w:marRight w:val="0"/>
      <w:marTop w:val="0"/>
      <w:marBottom w:val="0"/>
      <w:divBdr>
        <w:top w:val="none" w:sz="0" w:space="0" w:color="auto"/>
        <w:left w:val="none" w:sz="0" w:space="0" w:color="auto"/>
        <w:bottom w:val="none" w:sz="0" w:space="0" w:color="auto"/>
        <w:right w:val="none" w:sz="0" w:space="0" w:color="auto"/>
      </w:divBdr>
    </w:div>
    <w:div w:id="300186852">
      <w:bodyDiv w:val="1"/>
      <w:marLeft w:val="0"/>
      <w:marRight w:val="0"/>
      <w:marTop w:val="0"/>
      <w:marBottom w:val="0"/>
      <w:divBdr>
        <w:top w:val="none" w:sz="0" w:space="0" w:color="auto"/>
        <w:left w:val="none" w:sz="0" w:space="0" w:color="auto"/>
        <w:bottom w:val="none" w:sz="0" w:space="0" w:color="auto"/>
        <w:right w:val="none" w:sz="0" w:space="0" w:color="auto"/>
      </w:divBdr>
      <w:divsChild>
        <w:div w:id="1312174741">
          <w:marLeft w:val="0"/>
          <w:marRight w:val="0"/>
          <w:marTop w:val="240"/>
          <w:marBottom w:val="240"/>
          <w:divBdr>
            <w:top w:val="single" w:sz="6" w:space="0" w:color="E6E6E6"/>
            <w:left w:val="single" w:sz="6" w:space="0" w:color="E6E6E6"/>
            <w:bottom w:val="single" w:sz="6" w:space="0" w:color="E6E6E6"/>
            <w:right w:val="single" w:sz="6" w:space="0" w:color="E6E6E6"/>
          </w:divBdr>
        </w:div>
      </w:divsChild>
    </w:div>
    <w:div w:id="1438404084">
      <w:bodyDiv w:val="1"/>
      <w:marLeft w:val="0"/>
      <w:marRight w:val="0"/>
      <w:marTop w:val="0"/>
      <w:marBottom w:val="0"/>
      <w:divBdr>
        <w:top w:val="none" w:sz="0" w:space="0" w:color="auto"/>
        <w:left w:val="none" w:sz="0" w:space="0" w:color="auto"/>
        <w:bottom w:val="none" w:sz="0" w:space="0" w:color="auto"/>
        <w:right w:val="none" w:sz="0" w:space="0" w:color="auto"/>
      </w:divBdr>
      <w:divsChild>
        <w:div w:id="460806489">
          <w:marLeft w:val="0"/>
          <w:marRight w:val="0"/>
          <w:marTop w:val="240"/>
          <w:marBottom w:val="240"/>
          <w:divBdr>
            <w:top w:val="single" w:sz="6" w:space="0" w:color="E6E6E6"/>
            <w:left w:val="single" w:sz="6" w:space="0" w:color="E6E6E6"/>
            <w:bottom w:val="single" w:sz="6" w:space="0" w:color="E6E6E6"/>
            <w:right w:val="single" w:sz="6" w:space="0" w:color="E6E6E6"/>
          </w:divBdr>
        </w:div>
      </w:divsChild>
    </w:div>
    <w:div w:id="1448231325">
      <w:bodyDiv w:val="1"/>
      <w:marLeft w:val="0"/>
      <w:marRight w:val="0"/>
      <w:marTop w:val="0"/>
      <w:marBottom w:val="0"/>
      <w:divBdr>
        <w:top w:val="none" w:sz="0" w:space="0" w:color="auto"/>
        <w:left w:val="none" w:sz="0" w:space="0" w:color="auto"/>
        <w:bottom w:val="none" w:sz="0" w:space="0" w:color="auto"/>
        <w:right w:val="none" w:sz="0" w:space="0" w:color="auto"/>
      </w:divBdr>
      <w:divsChild>
        <w:div w:id="208878091">
          <w:marLeft w:val="0"/>
          <w:marRight w:val="0"/>
          <w:marTop w:val="0"/>
          <w:marBottom w:val="0"/>
          <w:divBdr>
            <w:top w:val="none" w:sz="0" w:space="0" w:color="auto"/>
            <w:left w:val="none" w:sz="0" w:space="0" w:color="auto"/>
            <w:bottom w:val="none" w:sz="0" w:space="0" w:color="auto"/>
            <w:right w:val="none" w:sz="0" w:space="0" w:color="auto"/>
          </w:divBdr>
        </w:div>
      </w:divsChild>
    </w:div>
    <w:div w:id="1491215750">
      <w:bodyDiv w:val="1"/>
      <w:marLeft w:val="0"/>
      <w:marRight w:val="0"/>
      <w:marTop w:val="0"/>
      <w:marBottom w:val="0"/>
      <w:divBdr>
        <w:top w:val="none" w:sz="0" w:space="0" w:color="auto"/>
        <w:left w:val="none" w:sz="0" w:space="0" w:color="auto"/>
        <w:bottom w:val="none" w:sz="0" w:space="0" w:color="auto"/>
        <w:right w:val="none" w:sz="0" w:space="0" w:color="auto"/>
      </w:divBdr>
      <w:divsChild>
        <w:div w:id="1376084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5</Pages>
  <Words>1318</Words>
  <Characters>7519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ccey</dc:creator>
  <cp:keywords/>
  <dc:description/>
  <cp:lastModifiedBy>ccey</cp:lastModifiedBy>
  <cp:revision>8</cp:revision>
  <dcterms:created xsi:type="dcterms:W3CDTF">2024-10-15T20:05:00Z</dcterms:created>
  <dcterms:modified xsi:type="dcterms:W3CDTF">2024-11-12T23:51:00Z</dcterms:modified>
</cp:coreProperties>
</file>