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37FCB" w14:textId="77777777" w:rsidR="0014060E" w:rsidRDefault="0014060E"/>
    <w:p w14:paraId="721B3EB2" w14:textId="60654B12" w:rsidR="0014060E" w:rsidRPr="00B0008E" w:rsidRDefault="000421CF" w:rsidP="00B0008E">
      <w:pPr>
        <w:jc w:val="center"/>
        <w:rPr>
          <w:rFonts w:ascii="Arial" w:hAnsi="Arial" w:cs="Arial"/>
          <w:sz w:val="24"/>
          <w:szCs w:val="24"/>
        </w:rPr>
      </w:pPr>
      <w:r>
        <w:rPr>
          <w:rFonts w:ascii="Arial" w:hAnsi="Arial" w:cs="Arial"/>
          <w:sz w:val="24"/>
          <w:szCs w:val="24"/>
        </w:rPr>
        <w:t>An Exploration</w:t>
      </w:r>
      <w:r w:rsidR="005C113F">
        <w:rPr>
          <w:rFonts w:ascii="Arial" w:hAnsi="Arial" w:cs="Arial"/>
          <w:sz w:val="24"/>
          <w:szCs w:val="24"/>
        </w:rPr>
        <w:t xml:space="preserve"> on how </w:t>
      </w:r>
      <w:r w:rsidR="00AF36FF">
        <w:rPr>
          <w:rFonts w:ascii="Arial" w:hAnsi="Arial" w:cs="Arial"/>
          <w:sz w:val="24"/>
          <w:szCs w:val="24"/>
        </w:rPr>
        <w:t xml:space="preserve">pretend </w:t>
      </w:r>
      <w:r w:rsidR="005C113F">
        <w:rPr>
          <w:rFonts w:ascii="Arial" w:hAnsi="Arial" w:cs="Arial"/>
          <w:sz w:val="24"/>
          <w:szCs w:val="24"/>
        </w:rPr>
        <w:t>play promotes Language development</w:t>
      </w:r>
      <w:r w:rsidR="00F4192E">
        <w:rPr>
          <w:rFonts w:ascii="Arial" w:hAnsi="Arial" w:cs="Arial"/>
          <w:sz w:val="24"/>
          <w:szCs w:val="24"/>
        </w:rPr>
        <w:t xml:space="preserve"> in Early Years </w:t>
      </w:r>
    </w:p>
    <w:p w14:paraId="4DB754F5" w14:textId="20EF91D4" w:rsidR="0014060E" w:rsidRDefault="0014060E">
      <w:pPr>
        <w:rPr>
          <w:rFonts w:ascii="Arial" w:hAnsi="Arial" w:cs="Arial"/>
        </w:rPr>
      </w:pPr>
      <w:r w:rsidRPr="008F2D6B">
        <w:rPr>
          <w:rFonts w:ascii="Arial" w:hAnsi="Arial" w:cs="Arial"/>
        </w:rPr>
        <w:t>Abstract:</w:t>
      </w:r>
      <w:r w:rsidR="004867F8">
        <w:rPr>
          <w:rFonts w:ascii="Arial" w:hAnsi="Arial" w:cs="Arial"/>
        </w:rPr>
        <w:t xml:space="preserve"> </w:t>
      </w:r>
    </w:p>
    <w:p w14:paraId="28DFB5B0" w14:textId="160C15BC" w:rsidR="00D079A1" w:rsidRDefault="0097140D">
      <w:pPr>
        <w:rPr>
          <w:rFonts w:ascii="Arial" w:hAnsi="Arial" w:cs="Arial"/>
        </w:rPr>
      </w:pPr>
      <w:r w:rsidRPr="0097140D">
        <w:rPr>
          <w:rFonts w:ascii="Arial" w:hAnsi="Arial" w:cs="Arial"/>
        </w:rPr>
        <w:t xml:space="preserve">This article gives an outline of pretend play and its impact on children's language development, as well as its connection with it. The connection between the two areas has been proven by researchers, however, further research involving interventions is needed to establish the cause-and-effect relationship of pretend play. Many research studies have </w:t>
      </w:r>
      <w:r w:rsidR="00D079A1" w:rsidRPr="0097140D">
        <w:rPr>
          <w:rFonts w:ascii="Arial" w:hAnsi="Arial" w:cs="Arial"/>
        </w:rPr>
        <w:t>investigated</w:t>
      </w:r>
      <w:r w:rsidRPr="0097140D">
        <w:rPr>
          <w:rFonts w:ascii="Arial" w:hAnsi="Arial" w:cs="Arial"/>
        </w:rPr>
        <w:t xml:space="preserve"> how make-believe play affects young children's language development and have found links between pretend play and children`s vocabulary diversity and structure, as well as their capacity to use grammar and put words together in innovative ways to meet the demands of pretend play. Pretend play allows children to practice and display their proficiency in employing specific speech acts in a suitable way.</w:t>
      </w:r>
    </w:p>
    <w:p w14:paraId="7DD92E0B" w14:textId="00B02F52" w:rsidR="00B129AD" w:rsidRPr="00B0008E" w:rsidRDefault="00B129AD">
      <w:pPr>
        <w:rPr>
          <w:rFonts w:ascii="Arial" w:hAnsi="Arial" w:cs="Arial"/>
          <w:b/>
          <w:bCs/>
        </w:rPr>
      </w:pPr>
      <w:r w:rsidRPr="00B0008E">
        <w:rPr>
          <w:rFonts w:ascii="Arial" w:hAnsi="Arial" w:cs="Arial"/>
          <w:b/>
          <w:bCs/>
        </w:rPr>
        <w:t>Key words:</w:t>
      </w:r>
      <w:r w:rsidR="00F6366C" w:rsidRPr="00B0008E">
        <w:rPr>
          <w:rFonts w:ascii="Arial" w:hAnsi="Arial" w:cs="Arial"/>
          <w:b/>
          <w:bCs/>
        </w:rPr>
        <w:t xml:space="preserve"> Pretend play,</w:t>
      </w:r>
      <w:r w:rsidR="00F6366C" w:rsidRPr="00B0008E">
        <w:rPr>
          <w:b/>
          <w:bCs/>
        </w:rPr>
        <w:t xml:space="preserve"> </w:t>
      </w:r>
      <w:r w:rsidR="00F6366C" w:rsidRPr="00B0008E">
        <w:rPr>
          <w:rFonts w:ascii="Arial" w:hAnsi="Arial" w:cs="Arial"/>
          <w:b/>
          <w:bCs/>
        </w:rPr>
        <w:t>Language Acquisition Device, "make-believe play" or "symbolic play, naturalistic observation</w:t>
      </w:r>
    </w:p>
    <w:p w14:paraId="40460AC9" w14:textId="725218A4" w:rsidR="0014060E" w:rsidRDefault="0014060E">
      <w:pPr>
        <w:rPr>
          <w:rFonts w:ascii="Arial" w:hAnsi="Arial" w:cs="Arial"/>
        </w:rPr>
      </w:pPr>
      <w:r w:rsidRPr="008F2D6B">
        <w:rPr>
          <w:rFonts w:ascii="Arial" w:hAnsi="Arial" w:cs="Arial"/>
        </w:rPr>
        <w:t>Introduction</w:t>
      </w:r>
      <w:r w:rsidR="008F2D6B">
        <w:rPr>
          <w:rFonts w:ascii="Arial" w:hAnsi="Arial" w:cs="Arial"/>
        </w:rPr>
        <w:t>:</w:t>
      </w:r>
    </w:p>
    <w:p w14:paraId="4FDC94B0" w14:textId="62616D88" w:rsidR="00040ED1" w:rsidRDefault="00040ED1" w:rsidP="00040ED1">
      <w:pPr>
        <w:rPr>
          <w:rFonts w:ascii="Arial" w:hAnsi="Arial" w:cs="Arial"/>
        </w:rPr>
      </w:pPr>
      <w:r w:rsidRPr="00040ED1">
        <w:rPr>
          <w:rFonts w:ascii="Arial" w:hAnsi="Arial" w:cs="Arial"/>
        </w:rPr>
        <w:t>The are to explore how play promotes language development in early years, to identify if language is promoted during play, to investigate how children engage in play during early years, and to explore the roles needed during play for language to be promoted</w:t>
      </w:r>
      <w:r w:rsidR="002C2DEA">
        <w:rPr>
          <w:rFonts w:ascii="Arial" w:hAnsi="Arial" w:cs="Arial"/>
        </w:rPr>
        <w:t xml:space="preserve">. </w:t>
      </w:r>
      <w:r w:rsidR="00623477" w:rsidRPr="00623477">
        <w:rPr>
          <w:rFonts w:ascii="Arial" w:hAnsi="Arial" w:cs="Arial"/>
        </w:rPr>
        <w:t>Pretend play and language display symbolic characteristics (Miller &amp; Almon, 2009). During early years, pretend play involves using objects or gestures as symbols for things that may not be physically present (Smith, 2010: Stone, 2007)</w:t>
      </w:r>
      <w:r w:rsidR="0056163F" w:rsidRPr="00623477">
        <w:rPr>
          <w:rFonts w:ascii="Arial" w:hAnsi="Arial" w:cs="Arial"/>
        </w:rPr>
        <w:t xml:space="preserve">. </w:t>
      </w:r>
      <w:r w:rsidR="00623477" w:rsidRPr="00623477">
        <w:rPr>
          <w:rFonts w:ascii="Arial" w:hAnsi="Arial" w:cs="Arial"/>
        </w:rPr>
        <w:t xml:space="preserve">Bates (2003) explains that language is </w:t>
      </w:r>
      <w:r w:rsidR="00BF4CAD" w:rsidRPr="00623477">
        <w:rPr>
          <w:rFonts w:ascii="Arial" w:hAnsi="Arial" w:cs="Arial"/>
        </w:rPr>
        <w:t>an</w:t>
      </w:r>
      <w:r w:rsidR="00623477" w:rsidRPr="00623477">
        <w:rPr>
          <w:rFonts w:ascii="Arial" w:hAnsi="Arial" w:cs="Arial"/>
        </w:rPr>
        <w:t xml:space="preserve"> intricate system of symbols used by people to represent things, express feelings, and communicate ideas. The correlation of symbolic features in pretend play and language indicates a potential relationship between the two domains. According to the research by Miller and Almon (2009), using symbols during pretend play can play a crucial role in language development.</w:t>
      </w:r>
    </w:p>
    <w:p w14:paraId="5ADA6EBB" w14:textId="145F519A" w:rsidR="00A258E4" w:rsidRDefault="00A258E4" w:rsidP="00040ED1">
      <w:pPr>
        <w:rPr>
          <w:rFonts w:ascii="Arial" w:hAnsi="Arial" w:cs="Arial"/>
        </w:rPr>
      </w:pPr>
      <w:r w:rsidRPr="00A258E4">
        <w:rPr>
          <w:rFonts w:ascii="Arial" w:hAnsi="Arial" w:cs="Arial"/>
        </w:rPr>
        <w:t>Vygotsky (1967) emphasizes an aspect of pretend play where in children engage in the imaginative roles. Vygotsky</w:t>
      </w:r>
      <w:r w:rsidR="009E58DF">
        <w:rPr>
          <w:rFonts w:ascii="Arial" w:hAnsi="Arial" w:cs="Arial"/>
        </w:rPr>
        <w:t xml:space="preserve"> (1967)</w:t>
      </w:r>
      <w:r w:rsidRPr="00A258E4">
        <w:rPr>
          <w:rFonts w:ascii="Arial" w:hAnsi="Arial" w:cs="Arial"/>
        </w:rPr>
        <w:t xml:space="preserve"> believed that when children engage in role-playing, they </w:t>
      </w:r>
      <w:proofErr w:type="gramStart"/>
      <w:r w:rsidRPr="00A258E4">
        <w:rPr>
          <w:rFonts w:ascii="Arial" w:hAnsi="Arial" w:cs="Arial"/>
        </w:rPr>
        <w:t>are able to</w:t>
      </w:r>
      <w:proofErr w:type="gramEnd"/>
      <w:r w:rsidRPr="00A258E4">
        <w:rPr>
          <w:rFonts w:ascii="Arial" w:hAnsi="Arial" w:cs="Arial"/>
        </w:rPr>
        <w:t xml:space="preserve"> develop their language and gestural skills by immersing themselves in a fictional world. This helps them to construct and imagine scenarios with greater sophistication. In addition, it is a frequent occurrence for pretend play to incorporate an imaginative script that encompasses different situations, events, characters, and their corresponding actions and dialogues (Smith, 2010).</w:t>
      </w:r>
      <w:r w:rsidR="003A2758">
        <w:rPr>
          <w:rFonts w:ascii="Arial" w:hAnsi="Arial" w:cs="Arial"/>
        </w:rPr>
        <w:t xml:space="preserve"> </w:t>
      </w:r>
      <w:r w:rsidRPr="00A258E4">
        <w:rPr>
          <w:rFonts w:ascii="Arial" w:hAnsi="Arial" w:cs="Arial"/>
        </w:rPr>
        <w:t>Therefore, when playing pretend, children use imaginative language to create stories and maintain their make-believe scenarios. Engaging in imaginative play helps children develop their creativity and language skills in an optimal setting.</w:t>
      </w:r>
    </w:p>
    <w:p w14:paraId="3727CD53" w14:textId="5EACCB87" w:rsidR="00015C15" w:rsidRPr="00040ED1" w:rsidRDefault="00D908E9" w:rsidP="00040ED1">
      <w:pPr>
        <w:rPr>
          <w:rFonts w:ascii="Arial" w:hAnsi="Arial" w:cs="Arial"/>
        </w:rPr>
      </w:pPr>
      <w:r w:rsidRPr="00D908E9">
        <w:rPr>
          <w:rFonts w:ascii="Arial" w:hAnsi="Arial" w:cs="Arial"/>
        </w:rPr>
        <w:t xml:space="preserve">Pretend play's impact on children's language development has been extensively explored in the literature, as evidenced by numerous studies (Bates </w:t>
      </w:r>
      <w:proofErr w:type="gramStart"/>
      <w:r w:rsidRPr="00D908E9">
        <w:rPr>
          <w:rFonts w:ascii="Arial" w:hAnsi="Arial" w:cs="Arial"/>
        </w:rPr>
        <w:t>et al. ,</w:t>
      </w:r>
      <w:proofErr w:type="gramEnd"/>
      <w:r w:rsidRPr="00D908E9">
        <w:rPr>
          <w:rFonts w:ascii="Arial" w:hAnsi="Arial" w:cs="Arial"/>
        </w:rPr>
        <w:t xml:space="preserve"> 1980; Casby &amp; Corte, 1987; Griswold, 2007; Lewis et al. , 2000; Lyytinen et al. , 1997; </w:t>
      </w:r>
      <w:proofErr w:type="spellStart"/>
      <w:r w:rsidRPr="00D908E9">
        <w:rPr>
          <w:rFonts w:ascii="Arial" w:hAnsi="Arial" w:cs="Arial"/>
        </w:rPr>
        <w:t>Stagnitti</w:t>
      </w:r>
      <w:proofErr w:type="spellEnd"/>
      <w:r w:rsidRPr="00D908E9">
        <w:rPr>
          <w:rFonts w:ascii="Arial" w:hAnsi="Arial" w:cs="Arial"/>
        </w:rPr>
        <w:t xml:space="preserve"> &amp; Lewis, 2015; </w:t>
      </w:r>
      <w:proofErr w:type="spellStart"/>
      <w:r w:rsidRPr="00D908E9">
        <w:rPr>
          <w:rFonts w:ascii="Arial" w:hAnsi="Arial" w:cs="Arial"/>
        </w:rPr>
        <w:t>Tykkyläinen</w:t>
      </w:r>
      <w:proofErr w:type="spellEnd"/>
      <w:r w:rsidRPr="00D908E9">
        <w:rPr>
          <w:rFonts w:ascii="Arial" w:hAnsi="Arial" w:cs="Arial"/>
        </w:rPr>
        <w:t xml:space="preserve"> &amp; Laakso, 2010; Ungerer &amp; Sigman, 1984, etc.). Some suggest that pretend play is intricately associated with</w:t>
      </w:r>
      <w:r>
        <w:rPr>
          <w:rFonts w:ascii="Arial" w:hAnsi="Arial" w:cs="Arial"/>
        </w:rPr>
        <w:t xml:space="preserve"> the</w:t>
      </w:r>
      <w:r w:rsidR="00A4469B">
        <w:rPr>
          <w:rFonts w:ascii="Arial" w:hAnsi="Arial" w:cs="Arial"/>
        </w:rPr>
        <w:t xml:space="preserve"> </w:t>
      </w:r>
      <w:r w:rsidRPr="00D908E9">
        <w:rPr>
          <w:rFonts w:ascii="Arial" w:hAnsi="Arial" w:cs="Arial"/>
        </w:rPr>
        <w:t xml:space="preserve">language acquisition of children and may have an impact on its development. It is essential to thoroughly examine relevant research </w:t>
      </w:r>
      <w:r w:rsidR="003C6068" w:rsidRPr="00D908E9">
        <w:rPr>
          <w:rFonts w:ascii="Arial" w:hAnsi="Arial" w:cs="Arial"/>
        </w:rPr>
        <w:t>to</w:t>
      </w:r>
      <w:r w:rsidRPr="00D908E9">
        <w:rPr>
          <w:rFonts w:ascii="Arial" w:hAnsi="Arial" w:cs="Arial"/>
        </w:rPr>
        <w:t xml:space="preserve"> concisely summarize existing studies that have explored the link between the two </w:t>
      </w:r>
      <w:r w:rsidR="003C6068" w:rsidRPr="00D908E9">
        <w:rPr>
          <w:rFonts w:ascii="Arial" w:hAnsi="Arial" w:cs="Arial"/>
        </w:rPr>
        <w:t>areas. In</w:t>
      </w:r>
      <w:r w:rsidRPr="00D908E9">
        <w:rPr>
          <w:rFonts w:ascii="Arial" w:hAnsi="Arial" w:cs="Arial"/>
        </w:rPr>
        <w:t xml:space="preserve"> addition, it is important to recognize any shortcomings in the literature that require further </w:t>
      </w:r>
      <w:r w:rsidRPr="00D908E9">
        <w:rPr>
          <w:rFonts w:ascii="Arial" w:hAnsi="Arial" w:cs="Arial"/>
        </w:rPr>
        <w:lastRenderedPageBreak/>
        <w:t xml:space="preserve">study </w:t>
      </w:r>
      <w:proofErr w:type="gramStart"/>
      <w:r w:rsidRPr="00D908E9">
        <w:rPr>
          <w:rFonts w:ascii="Arial" w:hAnsi="Arial" w:cs="Arial"/>
        </w:rPr>
        <w:t>in order to</w:t>
      </w:r>
      <w:proofErr w:type="gramEnd"/>
      <w:r w:rsidRPr="00D908E9">
        <w:rPr>
          <w:rFonts w:ascii="Arial" w:hAnsi="Arial" w:cs="Arial"/>
        </w:rPr>
        <w:t xml:space="preserve"> accurately assess the true impact of imaginative play on children's language development, rather than exaggerating its benefits.</w:t>
      </w:r>
    </w:p>
    <w:p w14:paraId="7D4C377D" w14:textId="38AA9F47" w:rsidR="0014060E" w:rsidRDefault="000677AE">
      <w:pPr>
        <w:rPr>
          <w:rFonts w:ascii="Arial" w:hAnsi="Arial" w:cs="Arial"/>
        </w:rPr>
      </w:pPr>
      <w:r>
        <w:rPr>
          <w:rFonts w:ascii="Arial" w:hAnsi="Arial" w:cs="Arial"/>
        </w:rPr>
        <w:t>Literature Review</w:t>
      </w:r>
    </w:p>
    <w:p w14:paraId="3D4F900D" w14:textId="34B3275A" w:rsidR="00015C15" w:rsidRDefault="007536D4">
      <w:pPr>
        <w:rPr>
          <w:rFonts w:ascii="Arial" w:hAnsi="Arial" w:cs="Arial"/>
        </w:rPr>
      </w:pPr>
      <w:r w:rsidRPr="007536D4">
        <w:rPr>
          <w:rFonts w:ascii="Arial" w:hAnsi="Arial" w:cs="Arial"/>
        </w:rPr>
        <w:t xml:space="preserve">This literature review examines the correlation between </w:t>
      </w:r>
      <w:r w:rsidR="00FC203E" w:rsidRPr="007536D4">
        <w:rPr>
          <w:rFonts w:ascii="Arial" w:hAnsi="Arial" w:cs="Arial"/>
        </w:rPr>
        <w:t>pretend</w:t>
      </w:r>
      <w:r w:rsidRPr="007536D4">
        <w:rPr>
          <w:rFonts w:ascii="Arial" w:hAnsi="Arial" w:cs="Arial"/>
        </w:rPr>
        <w:t xml:space="preserve"> play and children's language development. Therefore, it is imperative to provide a brief overview of the concept of play before delving into the intricacies of preten</w:t>
      </w:r>
      <w:r w:rsidR="00FC203E">
        <w:rPr>
          <w:rFonts w:ascii="Arial" w:hAnsi="Arial" w:cs="Arial"/>
        </w:rPr>
        <w:t>d</w:t>
      </w:r>
      <w:r w:rsidRPr="007536D4">
        <w:rPr>
          <w:rFonts w:ascii="Arial" w:hAnsi="Arial" w:cs="Arial"/>
        </w:rPr>
        <w:t xml:space="preserve"> play. Ortega (2003) posited that Piaget's theoretical framework represents the earliest attempt to establish a connection between play and cognitive development. Piaget (1951) constructs his theoretical framework of play based on the fundamental concepts of assimilation and accommodation. Piaget (1951) described assimilation as the process of incorporating external objects into existing cognitive structures, and accommodation as the act of modifying the structures to adapt to the external environment. According to Piaget (1951), play is a process of assimilating reality into the psychological self, contrasting with serious thought which involves a balance of assimilation and accommodation in relation to other individuals and objects. The concept that </w:t>
      </w:r>
      <w:r w:rsidR="00BF4CAD" w:rsidRPr="007536D4">
        <w:rPr>
          <w:rFonts w:ascii="Arial" w:hAnsi="Arial" w:cs="Arial"/>
        </w:rPr>
        <w:t>plays</w:t>
      </w:r>
      <w:r w:rsidRPr="007536D4">
        <w:rPr>
          <w:rFonts w:ascii="Arial" w:hAnsi="Arial" w:cs="Arial"/>
        </w:rPr>
        <w:t xml:space="preserve"> is not driven by extrinsic motivation aligns with Piaget's criterion of spontaneity. The structural approach is concerned with the examination of </w:t>
      </w:r>
      <w:r w:rsidR="00FC203E" w:rsidRPr="007536D4">
        <w:rPr>
          <w:rFonts w:ascii="Arial" w:hAnsi="Arial" w:cs="Arial"/>
        </w:rPr>
        <w:t>behaviours</w:t>
      </w:r>
      <w:r w:rsidRPr="007536D4">
        <w:rPr>
          <w:rFonts w:ascii="Arial" w:hAnsi="Arial" w:cs="Arial"/>
        </w:rPr>
        <w:t xml:space="preserve"> and their organization </w:t>
      </w:r>
      <w:proofErr w:type="gramStart"/>
      <w:r w:rsidRPr="007536D4">
        <w:rPr>
          <w:rFonts w:ascii="Arial" w:hAnsi="Arial" w:cs="Arial"/>
        </w:rPr>
        <w:t>in order to</w:t>
      </w:r>
      <w:proofErr w:type="gramEnd"/>
      <w:r w:rsidRPr="007536D4">
        <w:rPr>
          <w:rFonts w:ascii="Arial" w:hAnsi="Arial" w:cs="Arial"/>
        </w:rPr>
        <w:t xml:space="preserve"> discern and distinguish between play and non-play activities (Smith, 2010).</w:t>
      </w:r>
    </w:p>
    <w:p w14:paraId="3DBE2EF6" w14:textId="63C2E70A" w:rsidR="00FC203E" w:rsidRDefault="00725BA6">
      <w:pPr>
        <w:rPr>
          <w:rFonts w:ascii="Arial" w:hAnsi="Arial" w:cs="Arial"/>
        </w:rPr>
      </w:pPr>
      <w:r w:rsidRPr="00725BA6">
        <w:rPr>
          <w:rFonts w:ascii="Arial" w:hAnsi="Arial" w:cs="Arial"/>
        </w:rPr>
        <w:t>Piaget (1951) denoted pretend play as "make-believe play" or "symbolic play. " He postulated that the notion of symbolic play is intricately intertwined with the concept of "symbolic schemas," which is defined as "the ability to elicit the behaviour when its usual objective is not present, either in the presence of new objects treated as substitutes or without any material support" (Piaget, 1951, p. 120). Vygotsky (1967) posited that pretend play comprises three distinct characteristics, namely the imaginative creation of a situation by children, the enactment of designated roles, and the adherence to prescribed rules associated with the specific roles being portrayed. Vygotsky (1967) identified characteristics that can be likened to the "symbolic schemas" proposed by Piaget (1951).</w:t>
      </w:r>
      <w:r w:rsidR="008B244A" w:rsidRPr="008B244A">
        <w:t xml:space="preserve"> </w:t>
      </w:r>
      <w:r w:rsidR="008B244A" w:rsidRPr="008B244A">
        <w:rPr>
          <w:rFonts w:ascii="Arial" w:hAnsi="Arial" w:cs="Arial"/>
        </w:rPr>
        <w:t xml:space="preserve">Smith (2010, p, 153) contends that pretend play can be understood as a form of </w:t>
      </w:r>
      <w:r w:rsidR="00F54087" w:rsidRPr="008B244A">
        <w:rPr>
          <w:rFonts w:ascii="Arial" w:hAnsi="Arial" w:cs="Arial"/>
        </w:rPr>
        <w:t>prete</w:t>
      </w:r>
      <w:r w:rsidR="00F54087">
        <w:rPr>
          <w:rFonts w:ascii="Arial" w:hAnsi="Arial" w:cs="Arial"/>
        </w:rPr>
        <w:t>nd play</w:t>
      </w:r>
      <w:r w:rsidR="008B244A" w:rsidRPr="008B244A">
        <w:rPr>
          <w:rFonts w:ascii="Arial" w:hAnsi="Arial" w:cs="Arial"/>
        </w:rPr>
        <w:t xml:space="preserve"> characterized by the traditional attributes</w:t>
      </w:r>
      <w:r w:rsidR="00F279B3">
        <w:rPr>
          <w:rFonts w:ascii="Arial" w:hAnsi="Arial" w:cs="Arial"/>
        </w:rPr>
        <w:t xml:space="preserve"> </w:t>
      </w:r>
      <w:r w:rsidR="008B244A" w:rsidRPr="008B244A">
        <w:rPr>
          <w:rFonts w:ascii="Arial" w:hAnsi="Arial" w:cs="Arial"/>
        </w:rPr>
        <w:t xml:space="preserve">of </w:t>
      </w:r>
      <w:r w:rsidR="006C5ABE" w:rsidRPr="008B244A">
        <w:rPr>
          <w:rFonts w:ascii="Arial" w:hAnsi="Arial" w:cs="Arial"/>
        </w:rPr>
        <w:t>play</w:t>
      </w:r>
      <w:r w:rsidR="006C5ABE">
        <w:rPr>
          <w:rFonts w:ascii="Arial" w:hAnsi="Arial" w:cs="Arial"/>
        </w:rPr>
        <w:t xml:space="preserve">, </w:t>
      </w:r>
      <w:r w:rsidR="006C5ABE" w:rsidRPr="008B244A">
        <w:rPr>
          <w:rFonts w:ascii="Arial" w:hAnsi="Arial" w:cs="Arial"/>
        </w:rPr>
        <w:t>enjoyment</w:t>
      </w:r>
      <w:r w:rsidR="008B244A" w:rsidRPr="008B244A">
        <w:rPr>
          <w:rFonts w:ascii="Arial" w:hAnsi="Arial" w:cs="Arial"/>
        </w:rPr>
        <w:t xml:space="preserve">, intrinsically motivated, and prioritizing the process over the outcome. </w:t>
      </w:r>
    </w:p>
    <w:p w14:paraId="4D79A442" w14:textId="3B1CC2BE" w:rsidR="00573DA5" w:rsidRDefault="00573DA5">
      <w:pPr>
        <w:rPr>
          <w:rFonts w:ascii="Arial" w:hAnsi="Arial" w:cs="Arial"/>
        </w:rPr>
      </w:pPr>
      <w:r w:rsidRPr="00573DA5">
        <w:rPr>
          <w:rFonts w:ascii="Arial" w:hAnsi="Arial" w:cs="Arial"/>
        </w:rPr>
        <w:t xml:space="preserve">Chomsky </w:t>
      </w:r>
      <w:r w:rsidRPr="00873E2F">
        <w:rPr>
          <w:rFonts w:ascii="Arial" w:hAnsi="Arial" w:cs="Arial"/>
          <w:i/>
          <w:iCs/>
        </w:rPr>
        <w:t>et al</w:t>
      </w:r>
      <w:r w:rsidRPr="00573DA5">
        <w:rPr>
          <w:rFonts w:ascii="Arial" w:hAnsi="Arial" w:cs="Arial"/>
        </w:rPr>
        <w:t xml:space="preserve">. (2002) suggests the prevailing hypothesis in linguistics posits that children possess an inherent "language faculty" and an instinctive proclivity for language. The cognitive ability in question facilitates the identification of linguistic cues amidst other auditory stimuli and subsequently supports the development of a robust linguistic repertoire by leveraging the internal cognitive resources stimulated by exposure to language. The nativist theoretical framework proposes that language acquisition is driven by innate cognitive abilities. For instance, Chomsky's </w:t>
      </w:r>
      <w:bookmarkStart w:id="0" w:name="_Hlk166366764"/>
      <w:r w:rsidRPr="00573DA5">
        <w:rPr>
          <w:rFonts w:ascii="Arial" w:hAnsi="Arial" w:cs="Arial"/>
        </w:rPr>
        <w:t xml:space="preserve">Language Acquisition Device </w:t>
      </w:r>
      <w:bookmarkEnd w:id="0"/>
      <w:r w:rsidRPr="00573DA5">
        <w:rPr>
          <w:rFonts w:ascii="Arial" w:hAnsi="Arial" w:cs="Arial"/>
        </w:rPr>
        <w:t xml:space="preserve">(LAD) posits that children possess an inherent predisposition for language acquisition, likening the LAD to a set of switches that determine the grammar structures that can be acquired by the child. This theory emerged in the 1950s and has since influenced scholarly discourse on the topic of language acquisition. Exposure to a specific language result in the activation of neural switches corresponding to that language. The "set of switches" serves as a conceptual framework for rendering the LAD more comprehensible and tangibly discernible. It is widely theorized that children possess </w:t>
      </w:r>
      <w:r w:rsidR="00BF4CAD" w:rsidRPr="00573DA5">
        <w:rPr>
          <w:rFonts w:ascii="Arial" w:hAnsi="Arial" w:cs="Arial"/>
        </w:rPr>
        <w:t>an</w:t>
      </w:r>
      <w:r w:rsidRPr="00573DA5">
        <w:rPr>
          <w:rFonts w:ascii="Arial" w:hAnsi="Arial" w:cs="Arial"/>
        </w:rPr>
        <w:t xml:space="preserve"> innate capacity to comprehend the principles of language, and that when they are immersed in a particular linguistic setting, they </w:t>
      </w:r>
      <w:r w:rsidR="00C70A09" w:rsidRPr="00573DA5">
        <w:rPr>
          <w:rFonts w:ascii="Arial" w:hAnsi="Arial" w:cs="Arial"/>
        </w:rPr>
        <w:t>can discover</w:t>
      </w:r>
      <w:r w:rsidRPr="00573DA5">
        <w:rPr>
          <w:rFonts w:ascii="Arial" w:hAnsi="Arial" w:cs="Arial"/>
        </w:rPr>
        <w:t xml:space="preserve"> and formulating the rules of that language </w:t>
      </w:r>
      <w:r w:rsidR="00C70A09" w:rsidRPr="00573DA5">
        <w:rPr>
          <w:rFonts w:ascii="Arial" w:hAnsi="Arial" w:cs="Arial"/>
        </w:rPr>
        <w:t>autonomously.</w:t>
      </w:r>
    </w:p>
    <w:p w14:paraId="35CCFA50" w14:textId="33723418" w:rsidR="00A13AAD" w:rsidRPr="00786449" w:rsidRDefault="00AF7552">
      <w:pPr>
        <w:rPr>
          <w:rFonts w:ascii="Arial" w:hAnsi="Arial" w:cs="Arial"/>
        </w:rPr>
      </w:pPr>
      <w:r w:rsidRPr="00AF7552">
        <w:rPr>
          <w:rFonts w:ascii="Arial" w:hAnsi="Arial" w:cs="Arial"/>
        </w:rPr>
        <w:lastRenderedPageBreak/>
        <w:t>The empiricist approach, also known as "</w:t>
      </w:r>
      <w:r w:rsidR="008748DB" w:rsidRPr="00AF7552">
        <w:rPr>
          <w:rFonts w:ascii="Arial" w:hAnsi="Arial" w:cs="Arial"/>
        </w:rPr>
        <w:t>behaviourism</w:t>
      </w:r>
      <w:r w:rsidRPr="00AF7552">
        <w:rPr>
          <w:rFonts w:ascii="Arial" w:hAnsi="Arial" w:cs="Arial"/>
        </w:rPr>
        <w:t xml:space="preserve">" and "associationism," posits that children's language acquisition cannot be attributed to innate abilities. Alternatively, the authors explicate the process by which children acquire language through the emulation of the verbal patterns in their environment (Bates, 2003). Children are provided with positive reinforcement for accurate production, while negative reinforcement is utilized to mitigate inaccurate </w:t>
      </w:r>
      <w:r w:rsidR="00957489" w:rsidRPr="00AF7552">
        <w:rPr>
          <w:rFonts w:ascii="Arial" w:hAnsi="Arial" w:cs="Arial"/>
        </w:rPr>
        <w:t>production. The</w:t>
      </w:r>
      <w:r w:rsidRPr="00AF7552">
        <w:rPr>
          <w:rFonts w:ascii="Arial" w:hAnsi="Arial" w:cs="Arial"/>
        </w:rPr>
        <w:t xml:space="preserve"> constructivist approach, also termed as "interactionism" and "</w:t>
      </w:r>
      <w:r w:rsidR="00BF4CAD" w:rsidRPr="00AF7552">
        <w:rPr>
          <w:rFonts w:ascii="Arial" w:hAnsi="Arial" w:cs="Arial"/>
        </w:rPr>
        <w:t>emergentist</w:t>
      </w:r>
      <w:r w:rsidRPr="00AF7552">
        <w:rPr>
          <w:rFonts w:ascii="Arial" w:hAnsi="Arial" w:cs="Arial"/>
        </w:rPr>
        <w:t xml:space="preserve">," as exemplified by Jean Piaget, posits that language development is driven by the child's effort to comprehend the world (Bates, 2003). The process of language acquisition is often regarded </w:t>
      </w:r>
      <w:r w:rsidR="00474FF9" w:rsidRPr="00AF7552">
        <w:rPr>
          <w:rFonts w:ascii="Arial" w:hAnsi="Arial" w:cs="Arial"/>
        </w:rPr>
        <w:t>because of</w:t>
      </w:r>
      <w:r w:rsidRPr="00AF7552">
        <w:rPr>
          <w:rFonts w:ascii="Arial" w:hAnsi="Arial" w:cs="Arial"/>
        </w:rPr>
        <w:t xml:space="preserve"> overall cognitive advancement, which encompasses the development of the entire body, including both physical and mental growth, rather than being solely attributed to a distinct language processing capacity (Bates, 2003).</w:t>
      </w:r>
      <w:r w:rsidR="008311B2" w:rsidRPr="008311B2">
        <w:t xml:space="preserve"> </w:t>
      </w:r>
      <w:r w:rsidR="008311B2" w:rsidRPr="008311B2">
        <w:rPr>
          <w:rFonts w:ascii="Arial" w:hAnsi="Arial" w:cs="Arial"/>
        </w:rPr>
        <w:t>This tells us that pretend play develops the child holistically and that intellect is the driving force for the speech and language</w:t>
      </w:r>
      <w:r w:rsidR="008311B2">
        <w:rPr>
          <w:rFonts w:ascii="Arial" w:hAnsi="Arial" w:cs="Arial"/>
        </w:rPr>
        <w:t xml:space="preserve">. </w:t>
      </w:r>
      <w:r w:rsidRPr="00AF7552">
        <w:rPr>
          <w:rFonts w:ascii="Arial" w:hAnsi="Arial" w:cs="Arial"/>
        </w:rPr>
        <w:t xml:space="preserve">Piaget delineates the cognitive development of children via the concepts of "schema," "equilibration," and "operation. " The attainment of knowledge and understanding of the world necessitates the use of operations. Piaget (1964) outlined in his seminal work the cognitive developmental stages of children, and he posited that their cognitive abilities progress through four distinct stages from infancy to adolescence. The argument presented is that an individual's knowledge of an object is demonstrated through their actions on it, including modification and transformation. Understanding the process of this transformation and the construction of the object are essential components of knowing the object. The Piagetian approach exhibits a parallel with Chomsky's perspective by emphasizing internal factors of the child, such as their schema and equilibration or self-regulation. Additionally, this approach underscores the significance of external factors, including the environment in which children interact and manipulate objects to comprehend the world. </w:t>
      </w:r>
    </w:p>
    <w:p w14:paraId="1ADFC01A" w14:textId="6BBC3231" w:rsidR="009D69C1" w:rsidRPr="00366FB6" w:rsidRDefault="00450A64">
      <w:pPr>
        <w:rPr>
          <w:rFonts w:ascii="Arial" w:hAnsi="Arial" w:cs="Arial"/>
          <w:b/>
          <w:bCs/>
        </w:rPr>
      </w:pPr>
      <w:r w:rsidRPr="00366FB6">
        <w:rPr>
          <w:rFonts w:ascii="Arial" w:hAnsi="Arial" w:cs="Arial"/>
          <w:b/>
          <w:bCs/>
        </w:rPr>
        <w:t>Methodological</w:t>
      </w:r>
      <w:r w:rsidR="007574DA" w:rsidRPr="00366FB6">
        <w:rPr>
          <w:rFonts w:ascii="Arial" w:hAnsi="Arial" w:cs="Arial"/>
          <w:b/>
          <w:bCs/>
        </w:rPr>
        <w:t xml:space="preserve"> Con</w:t>
      </w:r>
      <w:r w:rsidRPr="00366FB6">
        <w:rPr>
          <w:rFonts w:ascii="Arial" w:hAnsi="Arial" w:cs="Arial"/>
          <w:b/>
          <w:bCs/>
        </w:rPr>
        <w:t>siderations</w:t>
      </w:r>
    </w:p>
    <w:p w14:paraId="55266E9A" w14:textId="63DAD511" w:rsidR="00F50B63" w:rsidRDefault="00313859" w:rsidP="00350A22">
      <w:pPr>
        <w:jc w:val="both"/>
        <w:rPr>
          <w:rFonts w:ascii="Arial" w:hAnsi="Arial" w:cs="Arial"/>
        </w:rPr>
      </w:pPr>
      <w:r>
        <w:rPr>
          <w:rFonts w:ascii="Arial" w:hAnsi="Arial" w:cs="Arial"/>
        </w:rPr>
        <w:t>T</w:t>
      </w:r>
      <w:r w:rsidR="00A011D5">
        <w:rPr>
          <w:rFonts w:ascii="Arial" w:hAnsi="Arial" w:cs="Arial"/>
        </w:rPr>
        <w:t>he re</w:t>
      </w:r>
      <w:r w:rsidR="00F40027">
        <w:rPr>
          <w:rFonts w:ascii="Arial" w:hAnsi="Arial" w:cs="Arial"/>
        </w:rPr>
        <w:t>searcher will</w:t>
      </w:r>
      <w:r w:rsidR="007B3336">
        <w:rPr>
          <w:rFonts w:ascii="Arial" w:hAnsi="Arial" w:cs="Arial"/>
        </w:rPr>
        <w:t xml:space="preserve"> evaluate</w:t>
      </w:r>
      <w:r w:rsidR="00F40027">
        <w:rPr>
          <w:rFonts w:ascii="Arial" w:hAnsi="Arial" w:cs="Arial"/>
        </w:rPr>
        <w:t xml:space="preserve"> a range of methods </w:t>
      </w:r>
      <w:r w:rsidR="007B3336">
        <w:rPr>
          <w:rFonts w:ascii="Arial" w:hAnsi="Arial" w:cs="Arial"/>
        </w:rPr>
        <w:t>for the proposed study including obs</w:t>
      </w:r>
      <w:r w:rsidR="003219CB">
        <w:rPr>
          <w:rFonts w:ascii="Arial" w:hAnsi="Arial" w:cs="Arial"/>
        </w:rPr>
        <w:t>ervations</w:t>
      </w:r>
      <w:r w:rsidR="007B3336">
        <w:rPr>
          <w:rFonts w:ascii="Arial" w:hAnsi="Arial" w:cs="Arial"/>
        </w:rPr>
        <w:t xml:space="preserve"> and questionnaires</w:t>
      </w:r>
      <w:r w:rsidR="00F40027">
        <w:rPr>
          <w:rFonts w:ascii="Arial" w:hAnsi="Arial" w:cs="Arial"/>
        </w:rPr>
        <w:t>.</w:t>
      </w:r>
      <w:r w:rsidR="00295040">
        <w:rPr>
          <w:rFonts w:ascii="Arial" w:hAnsi="Arial" w:cs="Arial"/>
        </w:rPr>
        <w:t xml:space="preserve"> </w:t>
      </w:r>
      <w:r w:rsidR="00295040" w:rsidRPr="00295040">
        <w:rPr>
          <w:rFonts w:ascii="Arial" w:hAnsi="Arial" w:cs="Arial"/>
        </w:rPr>
        <w:t>Hughes (2010: 36</w:t>
      </w:r>
      <w:r w:rsidR="00694537">
        <w:rPr>
          <w:rFonts w:ascii="Arial" w:hAnsi="Arial" w:cs="Arial"/>
        </w:rPr>
        <w:t xml:space="preserve"> cited in Mukherji an</w:t>
      </w:r>
      <w:r w:rsidR="001B06E0">
        <w:rPr>
          <w:rFonts w:ascii="Arial" w:hAnsi="Arial" w:cs="Arial"/>
        </w:rPr>
        <w:t>d Albon. 2015, p.7</w:t>
      </w:r>
      <w:r w:rsidR="00295040" w:rsidRPr="00295040">
        <w:rPr>
          <w:rFonts w:ascii="Arial" w:hAnsi="Arial" w:cs="Arial"/>
        </w:rPr>
        <w:t>) defines methodology as the process of determining research aims, selecting appropriate investigative methods, identifying assessment measures, and implementing the chosen techniques.</w:t>
      </w:r>
    </w:p>
    <w:p w14:paraId="13EBE414" w14:textId="1115A7F6" w:rsidR="00217CF2" w:rsidRDefault="0052758C" w:rsidP="00350A22">
      <w:pPr>
        <w:jc w:val="both"/>
        <w:rPr>
          <w:rFonts w:ascii="Arial" w:hAnsi="Arial" w:cs="Arial"/>
        </w:rPr>
      </w:pPr>
      <w:r w:rsidRPr="0052758C">
        <w:rPr>
          <w:rFonts w:ascii="Arial" w:hAnsi="Arial" w:cs="Arial"/>
        </w:rPr>
        <w:t>Kumar (2014) explains that the quantitative methodological approach is defined by a systematic and structured methodology, with all research process elements predetermined before data collection begins. The qualitative methodological approach is often characterized by its perceived lack of rigid structure, allowing for flexibility and adaptability in response to emergent events throughout the research process.</w:t>
      </w:r>
    </w:p>
    <w:p w14:paraId="1B82431E" w14:textId="1460813C" w:rsidR="00174AF2" w:rsidRDefault="00174AF2" w:rsidP="00350A22">
      <w:pPr>
        <w:jc w:val="both"/>
        <w:rPr>
          <w:rFonts w:ascii="Arial" w:hAnsi="Arial" w:cs="Arial"/>
        </w:rPr>
      </w:pPr>
      <w:r w:rsidRPr="00174AF2">
        <w:rPr>
          <w:rFonts w:ascii="Arial" w:hAnsi="Arial" w:cs="Arial"/>
        </w:rPr>
        <w:t>Aubery et al. (2000) states that it is contended that quantitative and qualitative research methodologies should not be construed as mutually exclusive or in direct opposition to one another. It is posited that these variables are mutually complementary, potentially representing distinct stages within the research process.</w:t>
      </w:r>
    </w:p>
    <w:p w14:paraId="40D3B603" w14:textId="1F3B0737" w:rsidR="00A97EF7" w:rsidRDefault="00786449" w:rsidP="00350A22">
      <w:pPr>
        <w:jc w:val="both"/>
        <w:rPr>
          <w:rFonts w:ascii="Arial" w:hAnsi="Arial" w:cs="Arial"/>
        </w:rPr>
      </w:pPr>
      <w:r w:rsidRPr="00786449">
        <w:rPr>
          <w:rFonts w:ascii="Arial" w:hAnsi="Arial" w:cs="Arial"/>
        </w:rPr>
        <w:t xml:space="preserve">This research will utilize the stratified sampling technique to examine the relationship between pretend play and language development in early childhood, as well as to identify potential variables that may influence the results of the investigation. This study will focus on a sample size consisting of </w:t>
      </w:r>
      <w:r w:rsidR="008A159A" w:rsidRPr="00786449">
        <w:rPr>
          <w:rFonts w:ascii="Arial" w:hAnsi="Arial" w:cs="Arial"/>
        </w:rPr>
        <w:t>2–3-year-olds</w:t>
      </w:r>
      <w:r w:rsidRPr="00786449">
        <w:rPr>
          <w:rFonts w:ascii="Arial" w:hAnsi="Arial" w:cs="Arial"/>
        </w:rPr>
        <w:t xml:space="preserve"> in an </w:t>
      </w:r>
      <w:r w:rsidR="008370B9" w:rsidRPr="00786449">
        <w:rPr>
          <w:rFonts w:ascii="Arial" w:hAnsi="Arial" w:cs="Arial"/>
        </w:rPr>
        <w:t>early year</w:t>
      </w:r>
      <w:r w:rsidRPr="00786449">
        <w:rPr>
          <w:rFonts w:ascii="Arial" w:hAnsi="Arial" w:cs="Arial"/>
        </w:rPr>
        <w:t xml:space="preserve"> setting, aiming to investigate the initial stages of language skill development through engagement in pretend play. The selected sample was used to perform an initial evaluation of the variables expected to influence the study's results, as well as to ascertain the prevalence of these variables within the </w:t>
      </w:r>
      <w:r w:rsidR="008A159A" w:rsidRPr="00786449">
        <w:rPr>
          <w:rFonts w:ascii="Arial" w:hAnsi="Arial" w:cs="Arial"/>
        </w:rPr>
        <w:t>population, to</w:t>
      </w:r>
      <w:r w:rsidRPr="00786449">
        <w:rPr>
          <w:rFonts w:ascii="Arial" w:hAnsi="Arial" w:cs="Arial"/>
        </w:rPr>
        <w:t xml:space="preserve"> choose a sample that accurately represents these proportions.</w:t>
      </w:r>
    </w:p>
    <w:p w14:paraId="1134D442" w14:textId="6EDFA44F" w:rsidR="00F50B63" w:rsidRDefault="00F50B63" w:rsidP="00350A22">
      <w:pPr>
        <w:jc w:val="both"/>
        <w:rPr>
          <w:rFonts w:ascii="Arial" w:hAnsi="Arial" w:cs="Arial"/>
        </w:rPr>
      </w:pPr>
      <w:r w:rsidRPr="00F50B63">
        <w:rPr>
          <w:rFonts w:ascii="Arial" w:hAnsi="Arial" w:cs="Arial"/>
        </w:rPr>
        <w:lastRenderedPageBreak/>
        <w:t>Conversely, Kirkham et al. (2013) observed a correlation between language production and pretend play in a cohort of 3- to 4-year-old children. Furthermore, variations exist in the approaches used to encourage children's pretend play across various research studies. In certain research investigations, children are furnished with toys and permitted to engage in unstructured play with the provided toys, devoid of any accompanying demonstrations or instructions (Orr &amp; Geva, 2015). The linguistic approach utilized to promote playful engagement among children in the context of academic pursuits lacks consistency. In certain research investigations, researchers may designate toys with specific labels, such as "play hat" (Casby &amp; Corte, 1987), while in other studies, only imperative verbs requesting attention are employed, such as "look" (Kirkham et al. 2013).</w:t>
      </w:r>
    </w:p>
    <w:p w14:paraId="3F88FF2B" w14:textId="3E1A576D" w:rsidR="002D4D35" w:rsidRDefault="002D4D35" w:rsidP="00350A22">
      <w:pPr>
        <w:jc w:val="both"/>
        <w:rPr>
          <w:rFonts w:ascii="Arial" w:hAnsi="Arial" w:cs="Arial"/>
        </w:rPr>
      </w:pPr>
      <w:r w:rsidRPr="002D4D35">
        <w:rPr>
          <w:rFonts w:ascii="Arial" w:hAnsi="Arial" w:cs="Arial"/>
        </w:rPr>
        <w:t>Johnson and Christensen (2012) as cited in Mukherji and Albon (2015) delineate the features of quantitative research, highlighting the overarching goal of research to analyse and anticipate. The researcher underscores the focus on comprehending universal principles that apply to entire populations rather than distinct subgroups within a specific context. Furthermore, they emphasize the emphasis on examining statistical relationships in data analysis.</w:t>
      </w:r>
    </w:p>
    <w:p w14:paraId="2F946778" w14:textId="3BEDC81F" w:rsidR="00C736A2" w:rsidRDefault="00C1025C" w:rsidP="00350A22">
      <w:pPr>
        <w:jc w:val="both"/>
        <w:rPr>
          <w:rFonts w:ascii="Arial" w:hAnsi="Arial" w:cs="Arial"/>
        </w:rPr>
      </w:pPr>
      <w:r w:rsidRPr="00C1025C">
        <w:rPr>
          <w:rFonts w:ascii="Arial" w:hAnsi="Arial" w:cs="Arial"/>
        </w:rPr>
        <w:t>Albon and Rosen (2015, p. 131) state that observations are utilized as a means of collecting primary data within both qualitative and quantitative methodologies. It is noted that while these observations may bear resemblance to those conducted by practitioners within a particular setting, there exist substantial distinctions, primarily due to the dissemination of research observations to a wider audience through publications and reports.</w:t>
      </w:r>
      <w:r w:rsidR="00FD4713">
        <w:rPr>
          <w:rFonts w:ascii="Arial" w:hAnsi="Arial" w:cs="Arial"/>
        </w:rPr>
        <w:t xml:space="preserve"> </w:t>
      </w:r>
      <w:r w:rsidR="002565A1">
        <w:rPr>
          <w:rFonts w:ascii="Arial" w:hAnsi="Arial" w:cs="Arial"/>
        </w:rPr>
        <w:t xml:space="preserve">However, </w:t>
      </w:r>
      <w:r w:rsidR="00C736A2">
        <w:rPr>
          <w:rFonts w:ascii="Arial" w:hAnsi="Arial" w:cs="Arial"/>
        </w:rPr>
        <w:t>Muk</w:t>
      </w:r>
      <w:r w:rsidR="003A7778">
        <w:rPr>
          <w:rFonts w:ascii="Arial" w:hAnsi="Arial" w:cs="Arial"/>
        </w:rPr>
        <w:t>herji and Albon (2015, p</w:t>
      </w:r>
      <w:r w:rsidR="002917EA">
        <w:rPr>
          <w:rFonts w:ascii="Arial" w:hAnsi="Arial" w:cs="Arial"/>
        </w:rPr>
        <w:t>p,</w:t>
      </w:r>
      <w:r w:rsidR="00971CA8">
        <w:rPr>
          <w:rFonts w:ascii="Arial" w:hAnsi="Arial" w:cs="Arial"/>
        </w:rPr>
        <w:t xml:space="preserve"> 131-132)</w:t>
      </w:r>
      <w:r w:rsidR="00F26F94">
        <w:rPr>
          <w:rFonts w:ascii="Arial" w:hAnsi="Arial" w:cs="Arial"/>
        </w:rPr>
        <w:t xml:space="preserve"> mention that the</w:t>
      </w:r>
      <w:r w:rsidR="00F26F94" w:rsidRPr="00F26F94">
        <w:rPr>
          <w:rFonts w:ascii="Arial" w:hAnsi="Arial" w:cs="Arial"/>
        </w:rPr>
        <w:t xml:space="preserve"> use of observations in research aims to obtain relevant information that is connected to the main purpose of the study or to address specific research questions. The act of observing children, whether for professional or research reasons, naturally brings about ethical considerations. In addition, there will be a focus on addressing additional ethical considerations that are specific to observing children in research, which will be expanded upon in the ethical considerations section.</w:t>
      </w:r>
    </w:p>
    <w:p w14:paraId="1BF5434C" w14:textId="1768AC66" w:rsidR="00C55721" w:rsidRDefault="00C55721" w:rsidP="00C55721">
      <w:pPr>
        <w:rPr>
          <w:rFonts w:ascii="Arial" w:hAnsi="Arial" w:cs="Arial"/>
        </w:rPr>
      </w:pPr>
      <w:r w:rsidRPr="00C55721">
        <w:rPr>
          <w:rFonts w:ascii="Arial" w:hAnsi="Arial" w:cs="Arial"/>
        </w:rPr>
        <w:t>Coombs and Smith (2003) assert that the utilization of observations presents a valuable method for collecting qualitative data and documenting authentic behaviours. However, it is imperative for the observer to refrain from influencing behavioural patterns and outcomes.  The Hawthorn effect shows how individuals modify their actions when they are being monitored or researched. The Hawthorne effect represents a significant obstacle for researchers during data collection and has been widely regarded as a vulnerability in research methodology.</w:t>
      </w:r>
    </w:p>
    <w:p w14:paraId="20EB590F" w14:textId="5A36BFDC" w:rsidR="008B4F79" w:rsidRDefault="008B4F79" w:rsidP="00350A22">
      <w:pPr>
        <w:jc w:val="both"/>
        <w:rPr>
          <w:rFonts w:ascii="Arial" w:hAnsi="Arial" w:cs="Arial"/>
        </w:rPr>
      </w:pPr>
      <w:r w:rsidRPr="008B4F79">
        <w:rPr>
          <w:rFonts w:ascii="Arial" w:hAnsi="Arial" w:cs="Arial"/>
        </w:rPr>
        <w:t xml:space="preserve">The research method </w:t>
      </w:r>
      <w:r w:rsidR="00780ACE">
        <w:rPr>
          <w:rFonts w:ascii="Arial" w:hAnsi="Arial" w:cs="Arial"/>
        </w:rPr>
        <w:t xml:space="preserve">chosen for this study is </w:t>
      </w:r>
      <w:r w:rsidRPr="008B4F79">
        <w:rPr>
          <w:rFonts w:ascii="Arial" w:hAnsi="Arial" w:cs="Arial"/>
        </w:rPr>
        <w:t xml:space="preserve">naturalistic observation, also commonly referred to as "narrative observation," involves the use of descriptive narratives, running records, and written observations. The practice of </w:t>
      </w:r>
      <w:r w:rsidR="001C6AFC">
        <w:rPr>
          <w:rFonts w:ascii="Arial" w:hAnsi="Arial" w:cs="Arial"/>
        </w:rPr>
        <w:t xml:space="preserve">this </w:t>
      </w:r>
      <w:r w:rsidRPr="008B4F79">
        <w:rPr>
          <w:rFonts w:ascii="Arial" w:hAnsi="Arial" w:cs="Arial"/>
        </w:rPr>
        <w:t xml:space="preserve">observation is widely utilized </w:t>
      </w:r>
      <w:r w:rsidR="00304596">
        <w:rPr>
          <w:rFonts w:ascii="Arial" w:hAnsi="Arial" w:cs="Arial"/>
        </w:rPr>
        <w:t>with</w:t>
      </w:r>
      <w:r w:rsidRPr="008B4F79">
        <w:rPr>
          <w:rFonts w:ascii="Arial" w:hAnsi="Arial" w:cs="Arial"/>
        </w:rPr>
        <w:t xml:space="preserve">in </w:t>
      </w:r>
      <w:r w:rsidR="00304596">
        <w:rPr>
          <w:rFonts w:ascii="Arial" w:hAnsi="Arial" w:cs="Arial"/>
        </w:rPr>
        <w:t xml:space="preserve">the </w:t>
      </w:r>
      <w:r w:rsidRPr="008B4F79">
        <w:rPr>
          <w:rFonts w:ascii="Arial" w:hAnsi="Arial" w:cs="Arial"/>
        </w:rPr>
        <w:t>early childhood education settings as a component of regular activities. However, the rationale for conducting these observations will be approached differently for the purposes of this research. This form of observation entails recording precise visual and auditory data in real-time</w:t>
      </w:r>
      <w:r w:rsidR="00D10290">
        <w:rPr>
          <w:rFonts w:ascii="Arial" w:hAnsi="Arial" w:cs="Arial"/>
        </w:rPr>
        <w:t xml:space="preserve">. </w:t>
      </w:r>
      <w:r w:rsidR="00803C18">
        <w:rPr>
          <w:rFonts w:ascii="Arial" w:hAnsi="Arial" w:cs="Arial"/>
        </w:rPr>
        <w:t>M</w:t>
      </w:r>
      <w:r w:rsidR="00251D8B">
        <w:rPr>
          <w:rFonts w:ascii="Arial" w:hAnsi="Arial" w:cs="Arial"/>
        </w:rPr>
        <w:t>ukerji and Albon (2015</w:t>
      </w:r>
      <w:r w:rsidR="00760C46">
        <w:rPr>
          <w:rFonts w:ascii="Arial" w:hAnsi="Arial" w:cs="Arial"/>
        </w:rPr>
        <w:t xml:space="preserve">. p. 137). </w:t>
      </w:r>
      <w:r w:rsidR="004539AA" w:rsidRPr="004539AA">
        <w:rPr>
          <w:rFonts w:ascii="Arial" w:hAnsi="Arial" w:cs="Arial"/>
        </w:rPr>
        <w:t>Mukherji and Albon (2015</w:t>
      </w:r>
      <w:r w:rsidR="004539AA">
        <w:rPr>
          <w:rFonts w:ascii="Arial" w:hAnsi="Arial" w:cs="Arial"/>
        </w:rPr>
        <w:t>, p. 135</w:t>
      </w:r>
      <w:r w:rsidR="004539AA" w:rsidRPr="004539AA">
        <w:rPr>
          <w:rFonts w:ascii="Arial" w:hAnsi="Arial" w:cs="Arial"/>
        </w:rPr>
        <w:t>) assert that naturalistic observation involves the conducting of observations within the natural and everyday settings of the participants, such as their homes or nursery environments, particularly in the case of young children. Various types of observation are well-known to practitioners and are not exempt from their own set of limitations.</w:t>
      </w:r>
    </w:p>
    <w:p w14:paraId="2E8C3098" w14:textId="5B3711EA" w:rsidR="00C55721" w:rsidRDefault="009554B2" w:rsidP="00350A22">
      <w:pPr>
        <w:jc w:val="both"/>
        <w:rPr>
          <w:rFonts w:ascii="Arial" w:hAnsi="Arial" w:cs="Arial"/>
        </w:rPr>
      </w:pPr>
      <w:r w:rsidRPr="009554B2">
        <w:rPr>
          <w:rFonts w:ascii="Arial" w:hAnsi="Arial" w:cs="Arial"/>
        </w:rPr>
        <w:t>According to Lombardo (2015</w:t>
      </w:r>
      <w:r w:rsidR="007A2076">
        <w:rPr>
          <w:rFonts w:ascii="Arial" w:hAnsi="Arial" w:cs="Arial"/>
        </w:rPr>
        <w:t>, cited in</w:t>
      </w:r>
      <w:r w:rsidR="003050F0" w:rsidRPr="003050F0">
        <w:t xml:space="preserve"> </w:t>
      </w:r>
      <w:r w:rsidR="003050F0" w:rsidRPr="003050F0">
        <w:rPr>
          <w:rFonts w:ascii="Arial" w:hAnsi="Arial" w:cs="Arial"/>
        </w:rPr>
        <w:t>Bradley, R (2021)</w:t>
      </w:r>
      <w:r w:rsidRPr="009554B2">
        <w:rPr>
          <w:rFonts w:ascii="Arial" w:hAnsi="Arial" w:cs="Arial"/>
        </w:rPr>
        <w:t xml:space="preserve">, naturalistic observation offers significant advantages in terms of high ecological and external validity, indicating the potential </w:t>
      </w:r>
      <w:r w:rsidRPr="009554B2">
        <w:rPr>
          <w:rFonts w:ascii="Arial" w:hAnsi="Arial" w:cs="Arial"/>
        </w:rPr>
        <w:lastRenderedPageBreak/>
        <w:t>for generalizability of observed results to real-world contexts. The practice of natural observation facilitates the investigation of aspects that are impractical to manipulate within a laboratory environment, typically due to ethical considerations and subject matter. In this context, the observation of more authentic behaviours can contribute to the confirmation of previously conducted research</w:t>
      </w:r>
      <w:r w:rsidR="00777BF6">
        <w:rPr>
          <w:rFonts w:ascii="Arial" w:hAnsi="Arial" w:cs="Arial"/>
        </w:rPr>
        <w:t xml:space="preserve">. </w:t>
      </w:r>
      <w:r w:rsidR="00EA486F">
        <w:rPr>
          <w:rFonts w:ascii="Arial" w:hAnsi="Arial" w:cs="Arial"/>
        </w:rPr>
        <w:t xml:space="preserve">However, the </w:t>
      </w:r>
      <w:r w:rsidR="00EA486F" w:rsidRPr="00EA486F">
        <w:rPr>
          <w:rFonts w:ascii="Arial" w:hAnsi="Arial" w:cs="Arial"/>
        </w:rPr>
        <w:t>limitations of naturalistic observation encompass the potential for observer bias, leading to varying interpretations of observed actions and behaviours. Also, challenges may arise when the subjects are conscious of being under observation, leading them to modify their behaviour to align with their perceptions of the expectations of the observer.</w:t>
      </w:r>
    </w:p>
    <w:p w14:paraId="29C1D855" w14:textId="5926E9DC" w:rsidR="00691D0B" w:rsidRDefault="00FE29B6" w:rsidP="00350A22">
      <w:pPr>
        <w:jc w:val="both"/>
        <w:rPr>
          <w:rFonts w:ascii="Arial" w:hAnsi="Arial" w:cs="Arial"/>
        </w:rPr>
      </w:pPr>
      <w:r w:rsidRPr="00FE29B6">
        <w:rPr>
          <w:rFonts w:ascii="Arial" w:hAnsi="Arial" w:cs="Arial"/>
        </w:rPr>
        <w:t xml:space="preserve">According to </w:t>
      </w:r>
      <w:proofErr w:type="spellStart"/>
      <w:r w:rsidRPr="00FE29B6">
        <w:rPr>
          <w:rFonts w:ascii="Arial" w:hAnsi="Arial" w:cs="Arial"/>
        </w:rPr>
        <w:t>Walliman</w:t>
      </w:r>
      <w:proofErr w:type="spellEnd"/>
      <w:r w:rsidRPr="00FE29B6">
        <w:rPr>
          <w:rFonts w:ascii="Arial" w:hAnsi="Arial" w:cs="Arial"/>
        </w:rPr>
        <w:t xml:space="preserve"> (2001, as cited in Mukherji and Albon 2015, p. 164), questionnaires are a versatile and cost-effective instrument for research and are commonly employed for the collection of primary quantitative data. Mukherji and Albon (2015) highlight the need to thoroughly construct a questionnaire </w:t>
      </w:r>
      <w:r w:rsidR="0096613E" w:rsidRPr="00FE29B6">
        <w:rPr>
          <w:rFonts w:ascii="Arial" w:hAnsi="Arial" w:cs="Arial"/>
        </w:rPr>
        <w:t>to</w:t>
      </w:r>
      <w:r w:rsidRPr="00FE29B6">
        <w:rPr>
          <w:rFonts w:ascii="Arial" w:hAnsi="Arial" w:cs="Arial"/>
        </w:rPr>
        <w:t xml:space="preserve"> obtain desired information from a specific group of respondents, ensuring the validity and reliability of the findings</w:t>
      </w:r>
      <w:r w:rsidR="00E0256D">
        <w:rPr>
          <w:rFonts w:ascii="Arial" w:hAnsi="Arial" w:cs="Arial"/>
        </w:rPr>
        <w:t xml:space="preserve">. </w:t>
      </w:r>
      <w:r w:rsidR="00F74569">
        <w:rPr>
          <w:rFonts w:ascii="Arial" w:hAnsi="Arial" w:cs="Arial"/>
        </w:rPr>
        <w:t xml:space="preserve">However, </w:t>
      </w:r>
      <w:r w:rsidR="00DC2C19" w:rsidRPr="00DC2C19">
        <w:rPr>
          <w:rFonts w:ascii="Arial" w:hAnsi="Arial" w:cs="Arial"/>
        </w:rPr>
        <w:t>Mukherji and Albon</w:t>
      </w:r>
      <w:r w:rsidR="00A9120C">
        <w:rPr>
          <w:rFonts w:ascii="Arial" w:hAnsi="Arial" w:cs="Arial"/>
        </w:rPr>
        <w:t xml:space="preserve"> </w:t>
      </w:r>
      <w:r w:rsidR="00DC2C19" w:rsidRPr="00DC2C19">
        <w:rPr>
          <w:rFonts w:ascii="Arial" w:hAnsi="Arial" w:cs="Arial"/>
        </w:rPr>
        <w:t>(2015) suggests questionnaires are often criticized for their potential unreliability and invalidity. Nevertheless,</w:t>
      </w:r>
      <w:r w:rsidR="00C40A53">
        <w:rPr>
          <w:rFonts w:ascii="Arial" w:hAnsi="Arial" w:cs="Arial"/>
        </w:rPr>
        <w:t xml:space="preserve"> </w:t>
      </w:r>
      <w:r w:rsidR="00DC2C19" w:rsidRPr="00DC2C19">
        <w:rPr>
          <w:rFonts w:ascii="Arial" w:hAnsi="Arial" w:cs="Arial"/>
        </w:rPr>
        <w:t>Bell</w:t>
      </w:r>
      <w:r w:rsidR="00C40A53">
        <w:rPr>
          <w:rFonts w:ascii="Arial" w:hAnsi="Arial" w:cs="Arial"/>
        </w:rPr>
        <w:t xml:space="preserve"> </w:t>
      </w:r>
      <w:r w:rsidR="00DC2C19" w:rsidRPr="00DC2C19">
        <w:rPr>
          <w:rFonts w:ascii="Arial" w:hAnsi="Arial" w:cs="Arial"/>
        </w:rPr>
        <w:t>(2015:15) asserts that questionnaires can be remarkably challenging to construct and are not suitable for direct use with young children, thus unlikely to yield useful results.</w:t>
      </w:r>
    </w:p>
    <w:p w14:paraId="5EAF5638" w14:textId="2C62B970" w:rsidR="006A184B" w:rsidRDefault="00674B58" w:rsidP="00B0008E">
      <w:pPr>
        <w:jc w:val="both"/>
        <w:rPr>
          <w:rFonts w:ascii="Arial" w:hAnsi="Arial" w:cs="Arial"/>
        </w:rPr>
      </w:pPr>
      <w:r w:rsidRPr="00674B58">
        <w:rPr>
          <w:rFonts w:ascii="Arial" w:hAnsi="Arial" w:cs="Arial"/>
        </w:rPr>
        <w:t>The rationale for selecting the naturalistic observation method over a questionnaire,</w:t>
      </w:r>
      <w:r w:rsidR="00CC739F">
        <w:rPr>
          <w:rFonts w:ascii="Arial" w:hAnsi="Arial" w:cs="Arial"/>
        </w:rPr>
        <w:t xml:space="preserve"> </w:t>
      </w:r>
      <w:r w:rsidRPr="00674B58">
        <w:rPr>
          <w:rFonts w:ascii="Arial" w:hAnsi="Arial" w:cs="Arial"/>
        </w:rPr>
        <w:t xml:space="preserve">is </w:t>
      </w:r>
      <w:r w:rsidR="00CC739F">
        <w:rPr>
          <w:rFonts w:ascii="Arial" w:hAnsi="Arial" w:cs="Arial"/>
        </w:rPr>
        <w:t xml:space="preserve">that it is </w:t>
      </w:r>
      <w:r w:rsidRPr="00674B58">
        <w:rPr>
          <w:rFonts w:ascii="Arial" w:hAnsi="Arial" w:cs="Arial"/>
        </w:rPr>
        <w:t>grounded in the methodology's reliance on descriptive narratives, running records, and written observations. This approach involves the collection of precise visual and auditory data in real-time.</w:t>
      </w:r>
      <w:r w:rsidR="001B671C" w:rsidRPr="001B671C">
        <w:t xml:space="preserve"> </w:t>
      </w:r>
      <w:r w:rsidR="001B671C" w:rsidRPr="001B671C">
        <w:rPr>
          <w:rFonts w:ascii="Arial" w:hAnsi="Arial" w:cs="Arial"/>
        </w:rPr>
        <w:t>Instead of employing questionnaires, which have been frequently scrutinized for their potential lack of reliability and validity</w:t>
      </w:r>
      <w:r w:rsidR="001B671C">
        <w:rPr>
          <w:rFonts w:ascii="Arial" w:hAnsi="Arial" w:cs="Arial"/>
        </w:rPr>
        <w:t xml:space="preserve"> (Mu</w:t>
      </w:r>
      <w:r w:rsidR="00A011AF">
        <w:rPr>
          <w:rFonts w:ascii="Arial" w:hAnsi="Arial" w:cs="Arial"/>
        </w:rPr>
        <w:t>kherji and Albon 2015)</w:t>
      </w:r>
    </w:p>
    <w:p w14:paraId="09520934" w14:textId="218F0B9E" w:rsidR="00811475" w:rsidRDefault="0091680B">
      <w:pPr>
        <w:rPr>
          <w:rFonts w:ascii="Arial" w:hAnsi="Arial" w:cs="Arial"/>
        </w:rPr>
      </w:pPr>
      <w:r w:rsidRPr="0091680B">
        <w:rPr>
          <w:rFonts w:ascii="Arial" w:hAnsi="Arial" w:cs="Arial"/>
        </w:rPr>
        <w:t xml:space="preserve">Aubrey </w:t>
      </w:r>
      <w:r w:rsidRPr="003355FD">
        <w:rPr>
          <w:rFonts w:ascii="Arial" w:hAnsi="Arial" w:cs="Arial"/>
          <w:i/>
          <w:iCs/>
        </w:rPr>
        <w:t>et al</w:t>
      </w:r>
      <w:r w:rsidRPr="0091680B">
        <w:rPr>
          <w:rFonts w:ascii="Arial" w:hAnsi="Arial" w:cs="Arial"/>
        </w:rPr>
        <w:t>. (2000</w:t>
      </w:r>
      <w:r w:rsidR="006F2C58">
        <w:rPr>
          <w:rFonts w:ascii="Arial" w:hAnsi="Arial" w:cs="Arial"/>
        </w:rPr>
        <w:t>, cited in</w:t>
      </w:r>
      <w:r w:rsidR="006F2C58" w:rsidRPr="006F2C58">
        <w:t xml:space="preserve"> </w:t>
      </w:r>
      <w:r w:rsidR="006F2C58" w:rsidRPr="006F2C58">
        <w:rPr>
          <w:rFonts w:ascii="Arial" w:hAnsi="Arial" w:cs="Arial"/>
        </w:rPr>
        <w:t>Mukherji and Albon 2015, p. 37</w:t>
      </w:r>
      <w:r w:rsidRPr="0091680B">
        <w:rPr>
          <w:rFonts w:ascii="Arial" w:hAnsi="Arial" w:cs="Arial"/>
        </w:rPr>
        <w:t>) mention that certain research initiatives call for the use of both quantitative techniques, such as implementing structured questionnaires, and qualitative approaches, such as conducting semi-structured interviews. Employing multiple data collection methods to bolster the reliability and validity of data is commonly known as triangulation.  This method combines the strengths of different approaches to compensate for any weaknesses, making the findings more reliable.</w:t>
      </w:r>
      <w:r>
        <w:rPr>
          <w:rFonts w:ascii="Arial" w:hAnsi="Arial" w:cs="Arial"/>
        </w:rPr>
        <w:t xml:space="preserve"> However, </w:t>
      </w:r>
      <w:r w:rsidR="00A77392" w:rsidRPr="00A77392">
        <w:rPr>
          <w:rFonts w:ascii="Arial" w:hAnsi="Arial" w:cs="Arial"/>
        </w:rPr>
        <w:t>Kasunic (2005</w:t>
      </w:r>
      <w:r w:rsidR="00F73ADB">
        <w:rPr>
          <w:rFonts w:ascii="Arial" w:hAnsi="Arial" w:cs="Arial"/>
        </w:rPr>
        <w:t xml:space="preserve">, </w:t>
      </w:r>
      <w:r w:rsidR="003B6152">
        <w:rPr>
          <w:rFonts w:ascii="Arial" w:hAnsi="Arial" w:cs="Arial"/>
        </w:rPr>
        <w:t>cited in</w:t>
      </w:r>
      <w:r w:rsidR="003B6152" w:rsidRPr="003B6152">
        <w:t xml:space="preserve"> </w:t>
      </w:r>
      <w:r w:rsidR="003B6152" w:rsidRPr="003B6152">
        <w:rPr>
          <w:rFonts w:ascii="Arial" w:hAnsi="Arial" w:cs="Arial"/>
        </w:rPr>
        <w:t>Mukherji and Albon 2015</w:t>
      </w:r>
      <w:r w:rsidR="00A356B1">
        <w:rPr>
          <w:rFonts w:ascii="Arial" w:hAnsi="Arial" w:cs="Arial"/>
        </w:rPr>
        <w:t xml:space="preserve">, p. </w:t>
      </w:r>
      <w:r w:rsidR="00AC1C0D">
        <w:rPr>
          <w:rFonts w:ascii="Arial" w:hAnsi="Arial" w:cs="Arial"/>
        </w:rPr>
        <w:t>37</w:t>
      </w:r>
      <w:r w:rsidR="00A77392" w:rsidRPr="00A77392">
        <w:rPr>
          <w:rFonts w:ascii="Arial" w:hAnsi="Arial" w:cs="Arial"/>
        </w:rPr>
        <w:t>) explains the principle of triangulation as a method to validate research findings by integrating multiple perspectives and sources of data. The convergence of perspectives is considered to signify the representation of actuality.</w:t>
      </w:r>
      <w:r w:rsidR="00BD1D5D">
        <w:rPr>
          <w:rFonts w:ascii="Arial" w:hAnsi="Arial" w:cs="Arial"/>
        </w:rPr>
        <w:t xml:space="preserve"> </w:t>
      </w:r>
      <w:r w:rsidR="00B969B9">
        <w:rPr>
          <w:rFonts w:ascii="Arial" w:hAnsi="Arial" w:cs="Arial"/>
        </w:rPr>
        <w:t xml:space="preserve">In </w:t>
      </w:r>
      <w:r w:rsidR="00B969B9" w:rsidRPr="00B969B9">
        <w:rPr>
          <w:rFonts w:ascii="Arial" w:hAnsi="Arial" w:cs="Arial"/>
        </w:rPr>
        <w:t xml:space="preserve">agreement with Aubrey </w:t>
      </w:r>
      <w:r w:rsidR="00B969B9" w:rsidRPr="003355FD">
        <w:rPr>
          <w:rFonts w:ascii="Arial" w:hAnsi="Arial" w:cs="Arial"/>
          <w:i/>
          <w:iCs/>
        </w:rPr>
        <w:t>et al</w:t>
      </w:r>
      <w:r w:rsidR="00B969B9" w:rsidRPr="00B969B9">
        <w:rPr>
          <w:rFonts w:ascii="Arial" w:hAnsi="Arial" w:cs="Arial"/>
        </w:rPr>
        <w:t>.</w:t>
      </w:r>
      <w:r w:rsidR="00B969B9">
        <w:rPr>
          <w:rFonts w:ascii="Arial" w:hAnsi="Arial" w:cs="Arial"/>
        </w:rPr>
        <w:t xml:space="preserve"> (2000</w:t>
      </w:r>
      <w:r w:rsidR="003355FD">
        <w:rPr>
          <w:rFonts w:ascii="Arial" w:hAnsi="Arial" w:cs="Arial"/>
        </w:rPr>
        <w:t xml:space="preserve">), </w:t>
      </w:r>
      <w:r w:rsidR="003355FD" w:rsidRPr="00B969B9">
        <w:rPr>
          <w:rFonts w:ascii="Arial" w:hAnsi="Arial" w:cs="Arial"/>
        </w:rPr>
        <w:t>Roberts</w:t>
      </w:r>
      <w:r w:rsidR="00B969B9" w:rsidRPr="00B969B9">
        <w:rPr>
          <w:rFonts w:ascii="Arial" w:hAnsi="Arial" w:cs="Arial"/>
        </w:rPr>
        <w:t>-Holmes (2018</w:t>
      </w:r>
      <w:r w:rsidR="00436D02">
        <w:rPr>
          <w:rFonts w:ascii="Arial" w:hAnsi="Arial" w:cs="Arial"/>
        </w:rPr>
        <w:t>, p. 84</w:t>
      </w:r>
      <w:r w:rsidR="00B969B9" w:rsidRPr="00B969B9">
        <w:rPr>
          <w:rFonts w:ascii="Arial" w:hAnsi="Arial" w:cs="Arial"/>
        </w:rPr>
        <w:t xml:space="preserve">) posits </w:t>
      </w:r>
      <w:r w:rsidR="003355FD">
        <w:rPr>
          <w:rFonts w:ascii="Arial" w:hAnsi="Arial" w:cs="Arial"/>
        </w:rPr>
        <w:t>t</w:t>
      </w:r>
      <w:r w:rsidR="00B969B9" w:rsidRPr="00B969B9">
        <w:rPr>
          <w:rFonts w:ascii="Arial" w:hAnsi="Arial" w:cs="Arial"/>
        </w:rPr>
        <w:t>he use of different research methods gives the researcher the chance to support their results through a variety of evidence sources. This method permits a more comprehensive and thorough analysis.</w:t>
      </w:r>
      <w:r w:rsidR="008A0E56" w:rsidRPr="008A0E56">
        <w:t xml:space="preserve"> </w:t>
      </w:r>
      <w:r w:rsidR="008A0E56" w:rsidRPr="008A0E56">
        <w:rPr>
          <w:rFonts w:ascii="Arial" w:hAnsi="Arial" w:cs="Arial"/>
        </w:rPr>
        <w:t xml:space="preserve">Mukherji and Albon (2015) </w:t>
      </w:r>
      <w:r w:rsidR="009E3E9B">
        <w:rPr>
          <w:rFonts w:ascii="Arial" w:hAnsi="Arial" w:cs="Arial"/>
        </w:rPr>
        <w:t>states the same as</w:t>
      </w:r>
      <w:r w:rsidR="009E3E9B" w:rsidRPr="009E3E9B">
        <w:t xml:space="preserve"> </w:t>
      </w:r>
      <w:r w:rsidR="009E3E9B" w:rsidRPr="009E3E9B">
        <w:rPr>
          <w:rFonts w:ascii="Arial" w:hAnsi="Arial" w:cs="Arial"/>
        </w:rPr>
        <w:t>Aubrey et al. (2000, cited in Mukherji and Albon 2015, p. 37</w:t>
      </w:r>
      <w:r w:rsidR="009E3E9B">
        <w:rPr>
          <w:rFonts w:ascii="Arial" w:hAnsi="Arial" w:cs="Arial"/>
        </w:rPr>
        <w:t>)</w:t>
      </w:r>
      <w:r w:rsidR="008A0E56" w:rsidRPr="008A0E56">
        <w:rPr>
          <w:rFonts w:ascii="Arial" w:hAnsi="Arial" w:cs="Arial"/>
        </w:rPr>
        <w:t xml:space="preserve"> the utilization of various data collection methods, including observations, interviews, questionnaires, and case studies, as a form of triangulation that can enhance the validity of the gathered information.</w:t>
      </w:r>
    </w:p>
    <w:p w14:paraId="2CE44992" w14:textId="64D509DB" w:rsidR="005612DB" w:rsidRPr="00366FB6" w:rsidRDefault="005612DB">
      <w:pPr>
        <w:rPr>
          <w:rFonts w:ascii="Arial" w:hAnsi="Arial" w:cs="Arial"/>
        </w:rPr>
      </w:pPr>
      <w:r w:rsidRPr="005612DB">
        <w:rPr>
          <w:rFonts w:ascii="Arial" w:hAnsi="Arial" w:cs="Arial"/>
        </w:rPr>
        <w:t xml:space="preserve">The utilization of triangulation was unnecessary in this </w:t>
      </w:r>
      <w:proofErr w:type="gramStart"/>
      <w:r w:rsidRPr="005612DB">
        <w:rPr>
          <w:rFonts w:ascii="Arial" w:hAnsi="Arial" w:cs="Arial"/>
        </w:rPr>
        <w:t>particular research</w:t>
      </w:r>
      <w:proofErr w:type="gramEnd"/>
      <w:r w:rsidRPr="005612DB">
        <w:rPr>
          <w:rFonts w:ascii="Arial" w:hAnsi="Arial" w:cs="Arial"/>
        </w:rPr>
        <w:t xml:space="preserve"> project, as </w:t>
      </w:r>
      <w:r w:rsidR="00C15C59">
        <w:rPr>
          <w:rFonts w:ascii="Arial" w:hAnsi="Arial" w:cs="Arial"/>
        </w:rPr>
        <w:t>this research</w:t>
      </w:r>
      <w:r w:rsidR="001B2A28">
        <w:rPr>
          <w:rFonts w:ascii="Arial" w:hAnsi="Arial" w:cs="Arial"/>
        </w:rPr>
        <w:t>er</w:t>
      </w:r>
      <w:r w:rsidRPr="005612DB">
        <w:rPr>
          <w:rFonts w:ascii="Arial" w:hAnsi="Arial" w:cs="Arial"/>
        </w:rPr>
        <w:t xml:space="preserve"> relied solely on qualitative observations. </w:t>
      </w:r>
      <w:r w:rsidR="00060073">
        <w:rPr>
          <w:rFonts w:ascii="Arial" w:hAnsi="Arial" w:cs="Arial"/>
        </w:rPr>
        <w:t>As mentioned</w:t>
      </w:r>
      <w:r w:rsidR="00E13AFD">
        <w:rPr>
          <w:rFonts w:ascii="Arial" w:hAnsi="Arial" w:cs="Arial"/>
        </w:rPr>
        <w:t xml:space="preserve"> by</w:t>
      </w:r>
      <w:r w:rsidR="00E13AFD" w:rsidRPr="00E13AFD">
        <w:t xml:space="preserve"> </w:t>
      </w:r>
      <w:r w:rsidR="00E13AFD" w:rsidRPr="00E13AFD">
        <w:rPr>
          <w:rFonts w:ascii="Arial" w:hAnsi="Arial" w:cs="Arial"/>
        </w:rPr>
        <w:t xml:space="preserve">Lombardo (2015), </w:t>
      </w:r>
      <w:r w:rsidRPr="005612DB">
        <w:rPr>
          <w:rFonts w:ascii="Arial" w:hAnsi="Arial" w:cs="Arial"/>
        </w:rPr>
        <w:t>Naturalistic observations</w:t>
      </w:r>
      <w:r w:rsidR="00204B78">
        <w:rPr>
          <w:rFonts w:ascii="Arial" w:hAnsi="Arial" w:cs="Arial"/>
        </w:rPr>
        <w:t xml:space="preserve"> that</w:t>
      </w:r>
      <w:r w:rsidRPr="005612DB">
        <w:rPr>
          <w:rFonts w:ascii="Arial" w:hAnsi="Arial" w:cs="Arial"/>
        </w:rPr>
        <w:t xml:space="preserve"> have been conducted, with the researcher recording</w:t>
      </w:r>
      <w:r w:rsidR="00EF4059">
        <w:rPr>
          <w:rFonts w:ascii="Arial" w:hAnsi="Arial" w:cs="Arial"/>
        </w:rPr>
        <w:t>s</w:t>
      </w:r>
      <w:r w:rsidRPr="005612DB">
        <w:rPr>
          <w:rFonts w:ascii="Arial" w:hAnsi="Arial" w:cs="Arial"/>
        </w:rPr>
        <w:t xml:space="preserve"> their observations in line with the overarching research </w:t>
      </w:r>
      <w:r w:rsidR="0025379A" w:rsidRPr="005612DB">
        <w:rPr>
          <w:rFonts w:ascii="Arial" w:hAnsi="Arial" w:cs="Arial"/>
        </w:rPr>
        <w:t>objectives and</w:t>
      </w:r>
      <w:r w:rsidRPr="005612DB">
        <w:rPr>
          <w:rFonts w:ascii="Arial" w:hAnsi="Arial" w:cs="Arial"/>
        </w:rPr>
        <w:t xml:space="preserve"> documenting interesting occurrences as they occur.</w:t>
      </w:r>
      <w:r w:rsidR="008D672F">
        <w:rPr>
          <w:rFonts w:ascii="Arial" w:hAnsi="Arial" w:cs="Arial"/>
        </w:rPr>
        <w:t xml:space="preserve"> </w:t>
      </w:r>
      <w:r w:rsidR="00041E6D">
        <w:rPr>
          <w:rFonts w:ascii="Arial" w:hAnsi="Arial" w:cs="Arial"/>
        </w:rPr>
        <w:t xml:space="preserve">Rather than </w:t>
      </w:r>
      <w:r w:rsidR="00041E6D" w:rsidRPr="00041E6D">
        <w:rPr>
          <w:rFonts w:ascii="Arial" w:hAnsi="Arial" w:cs="Arial"/>
        </w:rPr>
        <w:t xml:space="preserve">Questionnaires have been scrutinized for their perceived lack of reliability and validity, </w:t>
      </w:r>
      <w:r w:rsidR="00041E6D">
        <w:rPr>
          <w:rFonts w:ascii="Arial" w:hAnsi="Arial" w:cs="Arial"/>
        </w:rPr>
        <w:t>as stated by</w:t>
      </w:r>
      <w:r w:rsidR="00041E6D" w:rsidRPr="00041E6D">
        <w:rPr>
          <w:rFonts w:ascii="Arial" w:hAnsi="Arial" w:cs="Arial"/>
        </w:rPr>
        <w:t xml:space="preserve"> Mukherji and Albon (2015).</w:t>
      </w:r>
    </w:p>
    <w:p w14:paraId="7DDFF380" w14:textId="77777777" w:rsidR="00061BBD" w:rsidRDefault="00061BBD">
      <w:pPr>
        <w:rPr>
          <w:rFonts w:ascii="Arial" w:hAnsi="Arial" w:cs="Arial"/>
          <w:b/>
          <w:bCs/>
        </w:rPr>
      </w:pPr>
    </w:p>
    <w:p w14:paraId="621BF534" w14:textId="4F39F7B0" w:rsidR="00CB0AB5" w:rsidRDefault="00380401">
      <w:pPr>
        <w:rPr>
          <w:rFonts w:ascii="Arial" w:hAnsi="Arial" w:cs="Arial"/>
          <w:b/>
          <w:bCs/>
        </w:rPr>
      </w:pPr>
      <w:r w:rsidRPr="00380401">
        <w:rPr>
          <w:rFonts w:ascii="Arial" w:hAnsi="Arial" w:cs="Arial"/>
          <w:b/>
          <w:bCs/>
        </w:rPr>
        <w:lastRenderedPageBreak/>
        <w:t>Ethical Considerations</w:t>
      </w:r>
      <w:r w:rsidR="00E248BE">
        <w:rPr>
          <w:rFonts w:ascii="Arial" w:hAnsi="Arial" w:cs="Arial"/>
          <w:b/>
          <w:bCs/>
        </w:rPr>
        <w:t xml:space="preserve"> </w:t>
      </w:r>
    </w:p>
    <w:p w14:paraId="796BCEFD" w14:textId="5CC02BB7" w:rsidR="00344C15" w:rsidRDefault="00344C15" w:rsidP="00B67359">
      <w:pPr>
        <w:rPr>
          <w:rFonts w:ascii="Arial" w:hAnsi="Arial" w:cs="Arial"/>
        </w:rPr>
      </w:pPr>
      <w:r w:rsidRPr="00344C15">
        <w:rPr>
          <w:rFonts w:ascii="Arial" w:hAnsi="Arial" w:cs="Arial"/>
        </w:rPr>
        <w:t xml:space="preserve">The researcher must adhere to a set of ethical considerations </w:t>
      </w:r>
      <w:proofErr w:type="gramStart"/>
      <w:r w:rsidRPr="00344C15">
        <w:rPr>
          <w:rFonts w:ascii="Arial" w:hAnsi="Arial" w:cs="Arial"/>
        </w:rPr>
        <w:t>in order to</w:t>
      </w:r>
      <w:proofErr w:type="gramEnd"/>
      <w:r w:rsidRPr="00344C15">
        <w:rPr>
          <w:rFonts w:ascii="Arial" w:hAnsi="Arial" w:cs="Arial"/>
        </w:rPr>
        <w:t xml:space="preserve"> conduct a competent study.</w:t>
      </w:r>
    </w:p>
    <w:p w14:paraId="3A691057" w14:textId="05F326B5" w:rsidR="007F4572" w:rsidRDefault="007F4572" w:rsidP="00B67359">
      <w:pPr>
        <w:rPr>
          <w:rFonts w:ascii="Arial" w:hAnsi="Arial" w:cs="Arial"/>
        </w:rPr>
      </w:pPr>
      <w:r w:rsidRPr="007F4572">
        <w:rPr>
          <w:rFonts w:ascii="Arial" w:hAnsi="Arial" w:cs="Arial"/>
        </w:rPr>
        <w:t xml:space="preserve">According to Nolan, Macfarlane, and Cartmel (2013), ethical considerations are an integral component of all research </w:t>
      </w:r>
      <w:r w:rsidR="00624657" w:rsidRPr="007F4572">
        <w:rPr>
          <w:rFonts w:ascii="Arial" w:hAnsi="Arial" w:cs="Arial"/>
        </w:rPr>
        <w:t>endeavours and</w:t>
      </w:r>
      <w:r w:rsidRPr="007F4572">
        <w:rPr>
          <w:rFonts w:ascii="Arial" w:hAnsi="Arial" w:cs="Arial"/>
        </w:rPr>
        <w:t xml:space="preserve"> are particularly intricate when young children are incorporated in any aspect of the research process. When conducting research with children, it is imperative to adhere to a set of ethical principles. This includes recognizing the significance of granting children a voice in matters that impact them, maintaining realistic expectations regarding their participation and the duration of the study, and ensuring that the research experience is both enjoyable and beneficial for the children involved.</w:t>
      </w:r>
      <w:r w:rsidR="00A7621B">
        <w:rPr>
          <w:rFonts w:ascii="Arial" w:hAnsi="Arial" w:cs="Arial"/>
        </w:rPr>
        <w:t xml:space="preserve"> </w:t>
      </w:r>
      <w:r w:rsidR="00A7621B" w:rsidRPr="00A7621B">
        <w:rPr>
          <w:rFonts w:ascii="Arial" w:hAnsi="Arial" w:cs="Arial"/>
        </w:rPr>
        <w:t>It is imperative that children are provided with equivalent rights and respect as would be accorded to adult participants by researchers. It is possible for young children to participate as subjects in research projects, provided that the researcher selects participation methods that are developmentally appropriate for the children involved.</w:t>
      </w:r>
    </w:p>
    <w:p w14:paraId="6870933F" w14:textId="1B0554F3" w:rsidR="0030219D" w:rsidRDefault="0030219D" w:rsidP="00B67359">
      <w:pPr>
        <w:rPr>
          <w:rFonts w:ascii="Arial" w:hAnsi="Arial" w:cs="Arial"/>
        </w:rPr>
      </w:pPr>
      <w:r w:rsidRPr="0030219D">
        <w:rPr>
          <w:rFonts w:ascii="Arial" w:hAnsi="Arial" w:cs="Arial"/>
        </w:rPr>
        <w:t>According to Aubrey et al. (2000) Ethics can be defined as the branch of philosophy concerned with the determining of what is morally right or wrong, good, or bad, and how individuals should act in certain situations. It encompasses a set of moral principles that serve as the foundation for guiding decision-making and behaviour within a given project or context. According to Coady (2010), children are disproportionately represented as victims in research studies. Roberts and Holmes (2005, p. 29), states that ethics in research are primarily focused on the researcher's attitudes. It is vital to have a respectful approach towards all individuals engaged in the research project.</w:t>
      </w:r>
    </w:p>
    <w:p w14:paraId="697D359F" w14:textId="7257BB72" w:rsidR="00624657" w:rsidRDefault="00C50D86" w:rsidP="00B67359">
      <w:pPr>
        <w:rPr>
          <w:rFonts w:ascii="Arial" w:hAnsi="Arial" w:cs="Arial"/>
        </w:rPr>
      </w:pPr>
      <w:r w:rsidRPr="00C50D86">
        <w:rPr>
          <w:rFonts w:ascii="Arial" w:hAnsi="Arial" w:cs="Arial"/>
        </w:rPr>
        <w:t>Gray (2012</w:t>
      </w:r>
      <w:r w:rsidR="0033163F">
        <w:rPr>
          <w:rFonts w:ascii="Arial" w:hAnsi="Arial" w:cs="Arial"/>
        </w:rPr>
        <w:t>, p. 69</w:t>
      </w:r>
      <w:r w:rsidRPr="00C50D86">
        <w:rPr>
          <w:rFonts w:ascii="Arial" w:hAnsi="Arial" w:cs="Arial"/>
        </w:rPr>
        <w:t>) stated that emphasized the importance of careful consideration when seeking informed consent from young children with limited vocabulary. In addition, Green (2012</w:t>
      </w:r>
      <w:r w:rsidR="000060B7">
        <w:rPr>
          <w:rFonts w:ascii="Arial" w:hAnsi="Arial" w:cs="Arial"/>
        </w:rPr>
        <w:t xml:space="preserve">, p. </w:t>
      </w:r>
      <w:r w:rsidR="0033163F">
        <w:rPr>
          <w:rFonts w:ascii="Arial" w:hAnsi="Arial" w:cs="Arial"/>
        </w:rPr>
        <w:t>26</w:t>
      </w:r>
      <w:r w:rsidRPr="00C50D86">
        <w:rPr>
          <w:rFonts w:ascii="Arial" w:hAnsi="Arial" w:cs="Arial"/>
        </w:rPr>
        <w:t>) stated that the acquisition of ethical permissions from children, as well as from their parents, caregivers, or other significant figures in their lives, is highlighted in the literature. This process involves establishing and nurturing relationships, attentive listening, and fostering meaningful participation without merely tokenistic involvement. These steps are necessary before young children can authentically provide their own ethical permissions.</w:t>
      </w:r>
    </w:p>
    <w:p w14:paraId="12CCCD70" w14:textId="5AD96EF0" w:rsidR="00D657B0" w:rsidRDefault="00131172" w:rsidP="00B67359">
      <w:pPr>
        <w:rPr>
          <w:rFonts w:ascii="Arial" w:hAnsi="Arial" w:cs="Arial"/>
        </w:rPr>
      </w:pPr>
      <w:r w:rsidRPr="00131172">
        <w:rPr>
          <w:rFonts w:ascii="Arial" w:hAnsi="Arial" w:cs="Arial"/>
        </w:rPr>
        <w:t>Nolan, Macfarlane, and Cartmel (2013),</w:t>
      </w:r>
      <w:r w:rsidR="0084495D" w:rsidRPr="0084495D">
        <w:t xml:space="preserve"> </w:t>
      </w:r>
      <w:r w:rsidR="0084495D">
        <w:t xml:space="preserve">mentions that </w:t>
      </w:r>
      <w:r w:rsidR="0084495D">
        <w:rPr>
          <w:rFonts w:ascii="Arial" w:hAnsi="Arial" w:cs="Arial"/>
        </w:rPr>
        <w:t>i</w:t>
      </w:r>
      <w:r w:rsidR="0084495D" w:rsidRPr="0084495D">
        <w:rPr>
          <w:rFonts w:ascii="Arial" w:hAnsi="Arial" w:cs="Arial"/>
        </w:rPr>
        <w:t>n any research study, it is imperative to obtain informed consent from all participating individuals. In the informed consent procedure, it is imperative to furnish prospective participants with comprehensive information regarding the research project before applying their consent to partake in it. The provided information is typically presented in the format of an informational document. The informational document delineates for prospective participants in a transparent manner the various protocols encompassed within the research study, thereby enabling them to make a well-informed determination regarding their potential involvement</w:t>
      </w:r>
      <w:r w:rsidR="00B06257">
        <w:rPr>
          <w:rFonts w:ascii="Arial" w:hAnsi="Arial" w:cs="Arial"/>
        </w:rPr>
        <w:t xml:space="preserve"> in the research study</w:t>
      </w:r>
      <w:r w:rsidR="00BB5F3D">
        <w:rPr>
          <w:rFonts w:ascii="Arial" w:hAnsi="Arial" w:cs="Arial"/>
        </w:rPr>
        <w:t xml:space="preserve">. </w:t>
      </w:r>
      <w:r w:rsidR="00FC7F47" w:rsidRPr="00FC7F47">
        <w:rPr>
          <w:rFonts w:ascii="Arial" w:hAnsi="Arial" w:cs="Arial"/>
        </w:rPr>
        <w:t>Moreover, individuals may exhibit signs of discontent, unwillingness, and unhappiness when they are upset.</w:t>
      </w:r>
    </w:p>
    <w:p w14:paraId="39409E0E" w14:textId="379DDCE4" w:rsidR="00416B8C" w:rsidRDefault="000011C3" w:rsidP="00B67359">
      <w:pPr>
        <w:rPr>
          <w:rFonts w:ascii="Arial" w:hAnsi="Arial" w:cs="Arial"/>
        </w:rPr>
      </w:pPr>
      <w:r w:rsidRPr="000011C3">
        <w:rPr>
          <w:rFonts w:ascii="Arial" w:hAnsi="Arial" w:cs="Arial"/>
        </w:rPr>
        <w:t>According to Gray (2012</w:t>
      </w:r>
      <w:r w:rsidR="00B26966">
        <w:rPr>
          <w:rFonts w:ascii="Arial" w:hAnsi="Arial" w:cs="Arial"/>
        </w:rPr>
        <w:t>, p. 72</w:t>
      </w:r>
      <w:r w:rsidRPr="000011C3">
        <w:rPr>
          <w:rFonts w:ascii="Arial" w:hAnsi="Arial" w:cs="Arial"/>
        </w:rPr>
        <w:t xml:space="preserve">), researcher bear the responsibility of determining children's involvement in research in accordance with the provisions of Article 12 </w:t>
      </w:r>
      <w:r w:rsidR="00383275">
        <w:rPr>
          <w:rFonts w:ascii="Arial" w:hAnsi="Arial" w:cs="Arial"/>
        </w:rPr>
        <w:t>and A</w:t>
      </w:r>
      <w:r w:rsidR="00B14E00">
        <w:rPr>
          <w:rFonts w:ascii="Arial" w:hAnsi="Arial" w:cs="Arial"/>
        </w:rPr>
        <w:t xml:space="preserve">rticle 13. </w:t>
      </w:r>
      <w:r w:rsidR="00C8338C" w:rsidRPr="00C8338C">
        <w:rPr>
          <w:rFonts w:ascii="Arial" w:hAnsi="Arial" w:cs="Arial"/>
        </w:rPr>
        <w:t xml:space="preserve">The United Nations Convention on the Rights of the Child (1989) </w:t>
      </w:r>
      <w:r w:rsidR="00E91134">
        <w:rPr>
          <w:rFonts w:ascii="Arial" w:hAnsi="Arial" w:cs="Arial"/>
        </w:rPr>
        <w:t>(</w:t>
      </w:r>
      <w:r w:rsidR="009318E5">
        <w:rPr>
          <w:rFonts w:ascii="Arial" w:hAnsi="Arial" w:cs="Arial"/>
        </w:rPr>
        <w:t xml:space="preserve">UNCRC) </w:t>
      </w:r>
      <w:r w:rsidR="00C8338C" w:rsidRPr="00C8338C">
        <w:rPr>
          <w:rFonts w:ascii="Arial" w:hAnsi="Arial" w:cs="Arial"/>
        </w:rPr>
        <w:t>states in Article 12</w:t>
      </w:r>
      <w:r w:rsidR="003B3B6D">
        <w:rPr>
          <w:rFonts w:ascii="Arial" w:hAnsi="Arial" w:cs="Arial"/>
        </w:rPr>
        <w:t xml:space="preserve"> </w:t>
      </w:r>
      <w:r w:rsidR="00C8338C" w:rsidRPr="00C8338C">
        <w:rPr>
          <w:rFonts w:ascii="Arial" w:hAnsi="Arial" w:cs="Arial"/>
        </w:rPr>
        <w:t>specifies, Parties shall assure to the child who is capable of forming his or her own views the right to express those views freely in all matters affecting the child, the views of the child being given due weight in accordance with the age and maturity of the child</w:t>
      </w:r>
      <w:r w:rsidR="00416B8C">
        <w:rPr>
          <w:rFonts w:ascii="Arial" w:hAnsi="Arial" w:cs="Arial"/>
        </w:rPr>
        <w:t xml:space="preserve">, and </w:t>
      </w:r>
      <w:r w:rsidR="00C8338C" w:rsidRPr="00C8338C">
        <w:rPr>
          <w:rFonts w:ascii="Arial" w:hAnsi="Arial" w:cs="Arial"/>
        </w:rPr>
        <w:t>Article</w:t>
      </w:r>
      <w:r w:rsidR="003B3B6D">
        <w:rPr>
          <w:rFonts w:ascii="Arial" w:hAnsi="Arial" w:cs="Arial"/>
        </w:rPr>
        <w:t xml:space="preserve"> </w:t>
      </w:r>
      <w:r w:rsidR="00C8338C" w:rsidRPr="00C8338C">
        <w:rPr>
          <w:rFonts w:ascii="Arial" w:hAnsi="Arial" w:cs="Arial"/>
        </w:rPr>
        <w:t>1</w:t>
      </w:r>
      <w:r w:rsidR="003B3B6D">
        <w:rPr>
          <w:rFonts w:ascii="Arial" w:hAnsi="Arial" w:cs="Arial"/>
        </w:rPr>
        <w:t>3</w:t>
      </w:r>
      <w:r w:rsidR="00C8338C" w:rsidRPr="00C8338C">
        <w:rPr>
          <w:rFonts w:ascii="Arial" w:hAnsi="Arial" w:cs="Arial"/>
        </w:rPr>
        <w:t xml:space="preserve"> states, the child shall have the right to freedom of expression; this right shall include freedom </w:t>
      </w:r>
      <w:r w:rsidR="00C8338C" w:rsidRPr="00C8338C">
        <w:rPr>
          <w:rFonts w:ascii="Arial" w:hAnsi="Arial" w:cs="Arial"/>
        </w:rPr>
        <w:lastRenderedPageBreak/>
        <w:t>to seek, receive and impart information and ideas of all kinds, regardless of frontiers, either orally, in writing or in print, in the form of art, or through any other media of the child’s choice. (UNICEF, 2003)</w:t>
      </w:r>
    </w:p>
    <w:p w14:paraId="2B1E624A" w14:textId="62952C73" w:rsidR="005A11E5" w:rsidRDefault="005A11E5" w:rsidP="00B67359">
      <w:pPr>
        <w:rPr>
          <w:rFonts w:ascii="Arial" w:hAnsi="Arial" w:cs="Arial"/>
        </w:rPr>
      </w:pPr>
      <w:r>
        <w:rPr>
          <w:rFonts w:ascii="Arial" w:hAnsi="Arial" w:cs="Arial"/>
        </w:rPr>
        <w:t>Mu</w:t>
      </w:r>
      <w:r w:rsidR="003E3BB9">
        <w:rPr>
          <w:rFonts w:ascii="Arial" w:hAnsi="Arial" w:cs="Arial"/>
        </w:rPr>
        <w:t>kherji and Albon (2015</w:t>
      </w:r>
      <w:r w:rsidR="009318E5">
        <w:rPr>
          <w:rFonts w:ascii="Arial" w:hAnsi="Arial" w:cs="Arial"/>
        </w:rPr>
        <w:t>, p</w:t>
      </w:r>
      <w:r w:rsidR="00D53A90">
        <w:rPr>
          <w:rFonts w:ascii="Arial" w:hAnsi="Arial" w:cs="Arial"/>
        </w:rPr>
        <w:t>. 53</w:t>
      </w:r>
      <w:r w:rsidR="003E3BB9">
        <w:rPr>
          <w:rFonts w:ascii="Arial" w:hAnsi="Arial" w:cs="Arial"/>
        </w:rPr>
        <w:t>) says the</w:t>
      </w:r>
      <w:r w:rsidR="003E3BB9" w:rsidRPr="003E3BB9">
        <w:rPr>
          <w:rFonts w:ascii="Arial" w:hAnsi="Arial" w:cs="Arial"/>
        </w:rPr>
        <w:t xml:space="preserve"> Data Protection Act of 1998 serves as a legal framework for addressing certain ethical considerations. The Data Protection Act mandates that researchers adhere to specific guidelines, including the secure storage of data, transparent communication with research participants regarding data usage and access, and the restriction of data usage to the duration of a specific research project unless explicit consent has been obtained from participants.</w:t>
      </w:r>
    </w:p>
    <w:p w14:paraId="3E6845D7" w14:textId="14FB275C" w:rsidR="002848A4" w:rsidRDefault="002848A4" w:rsidP="002848A4">
      <w:pPr>
        <w:rPr>
          <w:rFonts w:ascii="Arial" w:hAnsi="Arial" w:cs="Arial"/>
        </w:rPr>
      </w:pPr>
      <w:r w:rsidRPr="002848A4">
        <w:rPr>
          <w:rFonts w:ascii="Arial" w:hAnsi="Arial" w:cs="Arial"/>
        </w:rPr>
        <w:t>To</w:t>
      </w:r>
      <w:r w:rsidRPr="002848A4">
        <w:rPr>
          <w:rFonts w:ascii="Arial" w:hAnsi="Arial" w:cs="Arial"/>
        </w:rPr>
        <w:t xml:space="preserve"> maintain the confidentiality and privacy of their subjects, researchers use various methodologies.</w:t>
      </w:r>
      <w:r>
        <w:rPr>
          <w:rFonts w:ascii="Arial" w:hAnsi="Arial" w:cs="Arial"/>
        </w:rPr>
        <w:t xml:space="preserve"> </w:t>
      </w:r>
      <w:r w:rsidRPr="002848A4">
        <w:rPr>
          <w:rFonts w:ascii="Arial" w:hAnsi="Arial" w:cs="Arial"/>
        </w:rPr>
        <w:t xml:space="preserve">The information contained within is of a confidential nature. Primary measures are implemented to ensure the preservation of their records, including the utilization of password-protected files, encryption for information transmission via the internet, and the utilization of traditional methods such as secured doors and drawers. The collection of </w:t>
      </w:r>
      <w:r w:rsidR="00390667" w:rsidRPr="002848A4">
        <w:rPr>
          <w:rFonts w:ascii="Arial" w:hAnsi="Arial" w:cs="Arial"/>
        </w:rPr>
        <w:t>personally identifying</w:t>
      </w:r>
      <w:r w:rsidRPr="002848A4">
        <w:rPr>
          <w:rFonts w:ascii="Arial" w:hAnsi="Arial" w:cs="Arial"/>
        </w:rPr>
        <w:t xml:space="preserve"> information is precluded in an anonymous study. The category of </w:t>
      </w:r>
      <w:r w:rsidR="00390667" w:rsidRPr="002848A4">
        <w:rPr>
          <w:rFonts w:ascii="Arial" w:hAnsi="Arial" w:cs="Arial"/>
        </w:rPr>
        <w:t>personally identifying</w:t>
      </w:r>
      <w:r w:rsidRPr="002848A4">
        <w:rPr>
          <w:rFonts w:ascii="Arial" w:hAnsi="Arial" w:cs="Arial"/>
        </w:rPr>
        <w:t xml:space="preserve"> information encompasses a range of data, including, but not restricted to, names, addresses, e-mail addresses, and phone numbers.</w:t>
      </w:r>
    </w:p>
    <w:p w14:paraId="22D2DECE" w14:textId="39705354" w:rsidR="00AC7FDA" w:rsidRDefault="00AC7FDA" w:rsidP="00B67359">
      <w:pPr>
        <w:rPr>
          <w:rFonts w:ascii="Arial" w:hAnsi="Arial" w:cs="Arial"/>
        </w:rPr>
      </w:pPr>
      <w:r>
        <w:rPr>
          <w:rFonts w:ascii="Arial" w:hAnsi="Arial" w:cs="Arial"/>
        </w:rPr>
        <w:t>University of London</w:t>
      </w:r>
      <w:r w:rsidR="001118F3">
        <w:rPr>
          <w:rFonts w:ascii="Arial" w:hAnsi="Arial" w:cs="Arial"/>
        </w:rPr>
        <w:t xml:space="preserve"> (no</w:t>
      </w:r>
      <w:r w:rsidR="00C56B31">
        <w:rPr>
          <w:rFonts w:ascii="Arial" w:hAnsi="Arial" w:cs="Arial"/>
        </w:rPr>
        <w:t xml:space="preserve"> date) </w:t>
      </w:r>
      <w:r w:rsidRPr="00AC7FDA">
        <w:rPr>
          <w:rFonts w:ascii="Arial" w:hAnsi="Arial" w:cs="Arial"/>
        </w:rPr>
        <w:t>Identif</w:t>
      </w:r>
      <w:r w:rsidR="00C56B31">
        <w:rPr>
          <w:rFonts w:ascii="Arial" w:hAnsi="Arial" w:cs="Arial"/>
        </w:rPr>
        <w:t>ies the</w:t>
      </w:r>
      <w:r w:rsidRPr="00AC7FDA">
        <w:rPr>
          <w:rFonts w:ascii="Arial" w:hAnsi="Arial" w:cs="Arial"/>
        </w:rPr>
        <w:t xml:space="preserve"> ethical risks can pose a </w:t>
      </w:r>
      <w:r w:rsidR="00302DAA" w:rsidRPr="00AC7FDA">
        <w:rPr>
          <w:rFonts w:ascii="Arial" w:hAnsi="Arial" w:cs="Arial"/>
        </w:rPr>
        <w:t>challenge;</w:t>
      </w:r>
      <w:r w:rsidRPr="00AC7FDA">
        <w:rPr>
          <w:rFonts w:ascii="Arial" w:hAnsi="Arial" w:cs="Arial"/>
        </w:rPr>
        <w:t xml:space="preserve"> however, it is imperative to address this issue when formulating and strategizing research </w:t>
      </w:r>
      <w:r w:rsidR="001118F3" w:rsidRPr="00AC7FDA">
        <w:rPr>
          <w:rFonts w:ascii="Arial" w:hAnsi="Arial" w:cs="Arial"/>
        </w:rPr>
        <w:t>endeavours</w:t>
      </w:r>
      <w:r w:rsidRPr="00AC7FDA">
        <w:rPr>
          <w:rFonts w:ascii="Arial" w:hAnsi="Arial" w:cs="Arial"/>
        </w:rPr>
        <w:t xml:space="preserve">. It is imperative for researchers to carefully assess and acknowledge the potential hazards to both </w:t>
      </w:r>
      <w:r w:rsidR="001118F3" w:rsidRPr="00AC7FDA">
        <w:rPr>
          <w:rFonts w:ascii="Arial" w:hAnsi="Arial" w:cs="Arial"/>
        </w:rPr>
        <w:t>them</w:t>
      </w:r>
      <w:r w:rsidR="001118F3">
        <w:rPr>
          <w:rFonts w:ascii="Arial" w:hAnsi="Arial" w:cs="Arial"/>
        </w:rPr>
        <w:t xml:space="preserve"> </w:t>
      </w:r>
      <w:r w:rsidRPr="00AC7FDA">
        <w:rPr>
          <w:rFonts w:ascii="Arial" w:hAnsi="Arial" w:cs="Arial"/>
        </w:rPr>
        <w:t xml:space="preserve">and others who are associated with or influenced by the research process. Efforts must be made to undertake appropriate measures to mitigate the </w:t>
      </w:r>
      <w:r w:rsidR="001118F3" w:rsidRPr="00AC7FDA">
        <w:rPr>
          <w:rFonts w:ascii="Arial" w:hAnsi="Arial" w:cs="Arial"/>
        </w:rPr>
        <w:t>risks</w:t>
      </w:r>
      <w:r w:rsidRPr="00AC7FDA">
        <w:rPr>
          <w:rFonts w:ascii="Arial" w:hAnsi="Arial" w:cs="Arial"/>
        </w:rPr>
        <w:t xml:space="preserve">. It is essential for participants to be thoroughly and accurately informed of the potential risks associated with their involvement in research </w:t>
      </w:r>
      <w:r w:rsidR="001118F3" w:rsidRPr="00AC7FDA">
        <w:rPr>
          <w:rFonts w:ascii="Arial" w:hAnsi="Arial" w:cs="Arial"/>
        </w:rPr>
        <w:t>to</w:t>
      </w:r>
      <w:r w:rsidRPr="00AC7FDA">
        <w:rPr>
          <w:rFonts w:ascii="Arial" w:hAnsi="Arial" w:cs="Arial"/>
        </w:rPr>
        <w:t xml:space="preserve"> enable them to make an informed decision regarding their participation in the study.</w:t>
      </w:r>
      <w:r w:rsidR="001F4785">
        <w:rPr>
          <w:rFonts w:ascii="Arial" w:hAnsi="Arial" w:cs="Arial"/>
        </w:rPr>
        <w:t xml:space="preserve"> </w:t>
      </w:r>
      <w:r w:rsidR="003C078C" w:rsidRPr="003C078C">
        <w:rPr>
          <w:rFonts w:ascii="Arial" w:hAnsi="Arial" w:cs="Arial"/>
        </w:rPr>
        <w:t>In addition, universities are expected to establish their own ethics committees to regulate the approval of various research projects conducted within the institution's jurisdiction. This would encompass research conducted by the academic institution and its graduate students</w:t>
      </w:r>
      <w:r w:rsidR="00533F62">
        <w:rPr>
          <w:rFonts w:ascii="Arial" w:hAnsi="Arial" w:cs="Arial"/>
        </w:rPr>
        <w:t xml:space="preserve"> (Mu</w:t>
      </w:r>
      <w:r w:rsidR="00B80026">
        <w:rPr>
          <w:rFonts w:ascii="Arial" w:hAnsi="Arial" w:cs="Arial"/>
        </w:rPr>
        <w:t>kherji and Albon 20</w:t>
      </w:r>
      <w:r w:rsidR="006F41FF">
        <w:rPr>
          <w:rFonts w:ascii="Arial" w:hAnsi="Arial" w:cs="Arial"/>
        </w:rPr>
        <w:t>15</w:t>
      </w:r>
      <w:r w:rsidR="00FC36AB">
        <w:rPr>
          <w:rFonts w:ascii="Arial" w:hAnsi="Arial" w:cs="Arial"/>
        </w:rPr>
        <w:t>, p</w:t>
      </w:r>
      <w:r w:rsidR="00516256">
        <w:rPr>
          <w:rFonts w:ascii="Arial" w:hAnsi="Arial" w:cs="Arial"/>
        </w:rPr>
        <w:t>p</w:t>
      </w:r>
      <w:r w:rsidR="00E64297">
        <w:rPr>
          <w:rFonts w:ascii="Arial" w:hAnsi="Arial" w:cs="Arial"/>
        </w:rPr>
        <w:t>. 52-</w:t>
      </w:r>
      <w:r w:rsidR="00FC36AB">
        <w:rPr>
          <w:rFonts w:ascii="Arial" w:hAnsi="Arial" w:cs="Arial"/>
        </w:rPr>
        <w:t>53)</w:t>
      </w:r>
      <w:r w:rsidR="003C078C" w:rsidRPr="003C078C">
        <w:rPr>
          <w:rFonts w:ascii="Arial" w:hAnsi="Arial" w:cs="Arial"/>
        </w:rPr>
        <w:t>.</w:t>
      </w:r>
      <w:r w:rsidR="003C078C">
        <w:rPr>
          <w:rFonts w:ascii="Arial" w:hAnsi="Arial" w:cs="Arial"/>
        </w:rPr>
        <w:t xml:space="preserve"> </w:t>
      </w:r>
      <w:r w:rsidR="005867A7">
        <w:rPr>
          <w:rFonts w:ascii="Arial" w:hAnsi="Arial" w:cs="Arial"/>
        </w:rPr>
        <w:t xml:space="preserve">Furthermore, </w:t>
      </w:r>
      <w:r w:rsidR="001F4785">
        <w:rPr>
          <w:rFonts w:ascii="Arial" w:hAnsi="Arial" w:cs="Arial"/>
        </w:rPr>
        <w:t>the University</w:t>
      </w:r>
      <w:r w:rsidR="003326B1">
        <w:rPr>
          <w:rFonts w:ascii="Arial" w:hAnsi="Arial" w:cs="Arial"/>
        </w:rPr>
        <w:t xml:space="preserve"> of Wales Trinity Saint David</w:t>
      </w:r>
      <w:r w:rsidR="00852DE8">
        <w:rPr>
          <w:rFonts w:ascii="Arial" w:hAnsi="Arial" w:cs="Arial"/>
        </w:rPr>
        <w:t>`s</w:t>
      </w:r>
      <w:r w:rsidR="002D1338">
        <w:rPr>
          <w:rFonts w:ascii="Arial" w:hAnsi="Arial" w:cs="Arial"/>
        </w:rPr>
        <w:t xml:space="preserve"> (2022)</w:t>
      </w:r>
      <w:r w:rsidR="00852DE8" w:rsidRPr="00852DE8">
        <w:rPr>
          <w:rFonts w:ascii="Arial" w:hAnsi="Arial" w:cs="Arial"/>
        </w:rPr>
        <w:t xml:space="preserve"> protocols and regulations stipulated in this Code of Practice are under the purview of the University's Ethics Committee, which, in collaboration with the University's Data Protection Officer, is responsible for the supervision of data protection adherence in the research conducted at the University.</w:t>
      </w:r>
      <w:r w:rsidR="003C078C">
        <w:rPr>
          <w:rFonts w:ascii="Arial" w:hAnsi="Arial" w:cs="Arial"/>
        </w:rPr>
        <w:t xml:space="preserve"> </w:t>
      </w:r>
    </w:p>
    <w:p w14:paraId="7B13AEBD" w14:textId="79E3FD4A" w:rsidR="00CB0AB5" w:rsidRPr="009D69C1" w:rsidRDefault="00132613">
      <w:pPr>
        <w:rPr>
          <w:rFonts w:ascii="Arial" w:hAnsi="Arial" w:cs="Arial"/>
        </w:rPr>
      </w:pPr>
      <w:r>
        <w:rPr>
          <w:rFonts w:ascii="Arial" w:hAnsi="Arial" w:cs="Arial"/>
        </w:rPr>
        <w:t>As BERA</w:t>
      </w:r>
      <w:r w:rsidR="00EE5EA1">
        <w:rPr>
          <w:rFonts w:ascii="Arial" w:hAnsi="Arial" w:cs="Arial"/>
        </w:rPr>
        <w:t xml:space="preserve"> (2018)</w:t>
      </w:r>
      <w:r>
        <w:rPr>
          <w:rFonts w:ascii="Arial" w:hAnsi="Arial" w:cs="Arial"/>
        </w:rPr>
        <w:t xml:space="preserve"> states</w:t>
      </w:r>
      <w:r w:rsidR="007E0D5D">
        <w:rPr>
          <w:rFonts w:ascii="Arial" w:hAnsi="Arial" w:cs="Arial"/>
        </w:rPr>
        <w:t xml:space="preserve"> e</w:t>
      </w:r>
      <w:r w:rsidR="007E0D5D" w:rsidRPr="007E0D5D">
        <w:rPr>
          <w:rFonts w:ascii="Arial" w:hAnsi="Arial" w:cs="Arial"/>
        </w:rPr>
        <w:t>ducational researchers are urged to adhere to a code of ethics that emphasizes the utmost respect for all individuals, including themselves, who are impacted by or involved in the research pursuits they are engaged in. It is essential to provide fair and sensitive treatment to individuals, while upholding their dignity and safeguarding them from prejudice. Such treatment should be extended in acknowledgment of the diverse rights and differences stemming from age, gender, sexuality, ethnicity, social class, nationality, cultural identity, partnership status, faith, disability, political belief, or any other significant characteristic.</w:t>
      </w:r>
    </w:p>
    <w:p w14:paraId="700262C2" w14:textId="77777777" w:rsidR="00A26A4B" w:rsidRDefault="00A26A4B" w:rsidP="00A26A4B">
      <w:pPr>
        <w:jc w:val="center"/>
        <w:rPr>
          <w:rFonts w:ascii="Arial" w:hAnsi="Arial" w:cs="Arial"/>
        </w:rPr>
      </w:pPr>
    </w:p>
    <w:p w14:paraId="0B40165B" w14:textId="77777777" w:rsidR="00A26A4B" w:rsidRDefault="00A26A4B" w:rsidP="00A26A4B">
      <w:pPr>
        <w:jc w:val="center"/>
        <w:rPr>
          <w:rFonts w:ascii="Arial" w:hAnsi="Arial" w:cs="Arial"/>
        </w:rPr>
      </w:pPr>
    </w:p>
    <w:p w14:paraId="6E19A583" w14:textId="77777777" w:rsidR="00A26A4B" w:rsidRDefault="00A26A4B" w:rsidP="00A26A4B">
      <w:pPr>
        <w:jc w:val="center"/>
        <w:rPr>
          <w:rFonts w:ascii="Arial" w:hAnsi="Arial" w:cs="Arial"/>
        </w:rPr>
      </w:pPr>
    </w:p>
    <w:p w14:paraId="4A88DFF0" w14:textId="77777777" w:rsidR="00A26A4B" w:rsidRDefault="00A26A4B" w:rsidP="00A26A4B">
      <w:pPr>
        <w:jc w:val="center"/>
        <w:rPr>
          <w:rFonts w:ascii="Arial" w:hAnsi="Arial" w:cs="Arial"/>
        </w:rPr>
      </w:pPr>
    </w:p>
    <w:p w14:paraId="2DFE0150" w14:textId="77777777" w:rsidR="00A26A4B" w:rsidRDefault="00A26A4B" w:rsidP="00A26A4B">
      <w:pPr>
        <w:jc w:val="center"/>
        <w:rPr>
          <w:rFonts w:ascii="Arial" w:hAnsi="Arial" w:cs="Arial"/>
        </w:rPr>
      </w:pPr>
    </w:p>
    <w:p w14:paraId="00C116FC" w14:textId="77777777" w:rsidR="00A26A4B" w:rsidRDefault="00A26A4B" w:rsidP="00A26A4B">
      <w:pPr>
        <w:jc w:val="center"/>
        <w:rPr>
          <w:rFonts w:ascii="Arial" w:hAnsi="Arial" w:cs="Arial"/>
        </w:rPr>
      </w:pPr>
    </w:p>
    <w:p w14:paraId="600DDE6F" w14:textId="0485169C" w:rsidR="00A26A4B" w:rsidRDefault="00A26A4B" w:rsidP="00A26A4B">
      <w:pPr>
        <w:jc w:val="center"/>
        <w:rPr>
          <w:rFonts w:ascii="Arial" w:hAnsi="Arial" w:cs="Arial"/>
        </w:rPr>
      </w:pPr>
      <w:r>
        <w:rPr>
          <w:rFonts w:ascii="Arial" w:hAnsi="Arial" w:cs="Arial"/>
        </w:rPr>
        <w:t xml:space="preserve">References </w:t>
      </w:r>
    </w:p>
    <w:p w14:paraId="04A4A63A" w14:textId="77777777" w:rsidR="00B5265D" w:rsidRPr="00A26A4B" w:rsidRDefault="00B5265D" w:rsidP="00A26A4B">
      <w:pPr>
        <w:rPr>
          <w:rFonts w:ascii="Arial" w:hAnsi="Arial" w:cs="Arial"/>
        </w:rPr>
      </w:pPr>
      <w:r w:rsidRPr="00A26A4B">
        <w:rPr>
          <w:rFonts w:ascii="Arial" w:hAnsi="Arial" w:cs="Arial"/>
        </w:rPr>
        <w:t xml:space="preserve">Bates E. (2003). On the nature and nurture of language. In Levi-Montalcini R., Baltimore D., Dulbecco R., Series F. Jacob (Eds.), </w:t>
      </w:r>
      <w:r w:rsidRPr="008952AE">
        <w:rPr>
          <w:rFonts w:ascii="Arial" w:hAnsi="Arial" w:cs="Arial"/>
          <w:i/>
          <w:iCs/>
        </w:rPr>
        <w:t>Frontiers of biology: The brain of homo sapiens</w:t>
      </w:r>
      <w:r w:rsidRPr="00A26A4B">
        <w:rPr>
          <w:rFonts w:ascii="Arial" w:hAnsi="Arial" w:cs="Arial"/>
        </w:rPr>
        <w:t xml:space="preserve"> (pp. 241–265). </w:t>
      </w:r>
    </w:p>
    <w:p w14:paraId="3B89AE47" w14:textId="77777777" w:rsidR="00B5265D" w:rsidRDefault="00B5265D" w:rsidP="00BE53AA">
      <w:pPr>
        <w:rPr>
          <w:rFonts w:ascii="Arial" w:hAnsi="Arial" w:cs="Arial"/>
        </w:rPr>
      </w:pPr>
      <w:r w:rsidRPr="00BE53AA">
        <w:rPr>
          <w:rFonts w:ascii="Arial" w:hAnsi="Arial" w:cs="Arial"/>
        </w:rPr>
        <w:t>Bradley, R (</w:t>
      </w:r>
      <w:r>
        <w:rPr>
          <w:rFonts w:ascii="Arial" w:hAnsi="Arial" w:cs="Arial"/>
        </w:rPr>
        <w:t>2021</w:t>
      </w:r>
      <w:r w:rsidRPr="00BE53AA">
        <w:rPr>
          <w:rFonts w:ascii="Arial" w:hAnsi="Arial" w:cs="Arial"/>
        </w:rPr>
        <w:t>) "</w:t>
      </w:r>
      <w:r w:rsidRPr="003050F0">
        <w:rPr>
          <w:rFonts w:ascii="Arial" w:hAnsi="Arial" w:cs="Arial"/>
          <w:i/>
          <w:iCs/>
        </w:rPr>
        <w:t>Naturalistic Child Observation," Gettysburg Social Sciences Review</w:t>
      </w:r>
      <w:r w:rsidRPr="00BE53AA">
        <w:rPr>
          <w:rFonts w:ascii="Arial" w:hAnsi="Arial" w:cs="Arial"/>
        </w:rPr>
        <w:t xml:space="preserve">: Vol. 5: </w:t>
      </w:r>
      <w:r>
        <w:rPr>
          <w:rFonts w:ascii="Arial" w:hAnsi="Arial" w:cs="Arial"/>
        </w:rPr>
        <w:t>(1)</w:t>
      </w:r>
      <w:r w:rsidRPr="00BE53AA">
        <w:rPr>
          <w:rFonts w:ascii="Arial" w:hAnsi="Arial" w:cs="Arial"/>
        </w:rPr>
        <w:t xml:space="preserve">. Available at: </w:t>
      </w:r>
      <w:hyperlink r:id="rId7" w:history="1">
        <w:r w:rsidRPr="00544E6F">
          <w:rPr>
            <w:rStyle w:val="Hyperlink"/>
            <w:rFonts w:ascii="Arial" w:hAnsi="Arial" w:cs="Arial"/>
          </w:rPr>
          <w:t>https://cupola.gettysburg.edu/gssr/vol5/iss1/3</w:t>
        </w:r>
      </w:hyperlink>
      <w:r>
        <w:rPr>
          <w:rFonts w:ascii="Arial" w:hAnsi="Arial" w:cs="Arial"/>
        </w:rPr>
        <w:t xml:space="preserve"> (Accessed: 17 May 2024)</w:t>
      </w:r>
    </w:p>
    <w:p w14:paraId="2BEF9DE8" w14:textId="77777777" w:rsidR="00B5265D" w:rsidRPr="00A26A4B" w:rsidRDefault="00B5265D" w:rsidP="00A26A4B">
      <w:pPr>
        <w:rPr>
          <w:rFonts w:ascii="Arial" w:hAnsi="Arial" w:cs="Arial"/>
        </w:rPr>
      </w:pPr>
      <w:r w:rsidRPr="00A26A4B">
        <w:rPr>
          <w:rFonts w:ascii="Arial" w:hAnsi="Arial" w:cs="Arial"/>
        </w:rPr>
        <w:t xml:space="preserve">Casby M. W., Corte M. D. (1987). </w:t>
      </w:r>
      <w:r w:rsidRPr="008952AE">
        <w:rPr>
          <w:rFonts w:ascii="Arial" w:hAnsi="Arial" w:cs="Arial"/>
          <w:i/>
          <w:iCs/>
        </w:rPr>
        <w:t>Symbolic play performance and early language development</w:t>
      </w:r>
      <w:r w:rsidRPr="00A26A4B">
        <w:rPr>
          <w:rFonts w:ascii="Arial" w:hAnsi="Arial" w:cs="Arial"/>
        </w:rPr>
        <w:t>. Journal of Psycholinguistic Research, 16(1), 31–42.</w:t>
      </w:r>
    </w:p>
    <w:p w14:paraId="22898508" w14:textId="77777777" w:rsidR="00B5265D" w:rsidRPr="00A26A4B" w:rsidRDefault="00B5265D" w:rsidP="00A26A4B">
      <w:pPr>
        <w:rPr>
          <w:rFonts w:ascii="Arial" w:hAnsi="Arial" w:cs="Arial"/>
        </w:rPr>
      </w:pPr>
      <w:r w:rsidRPr="00A26A4B">
        <w:rPr>
          <w:rFonts w:ascii="Arial" w:hAnsi="Arial" w:cs="Arial"/>
        </w:rPr>
        <w:t xml:space="preserve">Chomsky N., Belletti A., Rizzi L. (2002). </w:t>
      </w:r>
      <w:r w:rsidRPr="008952AE">
        <w:rPr>
          <w:rFonts w:ascii="Arial" w:hAnsi="Arial" w:cs="Arial"/>
          <w:i/>
          <w:iCs/>
        </w:rPr>
        <w:t>On nature and language</w:t>
      </w:r>
      <w:r w:rsidRPr="00A26A4B">
        <w:rPr>
          <w:rFonts w:ascii="Arial" w:hAnsi="Arial" w:cs="Arial"/>
        </w:rPr>
        <w:t>. Cambridge University Press.</w:t>
      </w:r>
    </w:p>
    <w:p w14:paraId="10C13CC8" w14:textId="77777777" w:rsidR="00B5265D" w:rsidRDefault="00B5265D">
      <w:pPr>
        <w:rPr>
          <w:rFonts w:ascii="Arial" w:hAnsi="Arial" w:cs="Arial"/>
        </w:rPr>
      </w:pPr>
      <w:r>
        <w:rPr>
          <w:rFonts w:ascii="Arial" w:hAnsi="Arial" w:cs="Arial"/>
        </w:rPr>
        <w:t xml:space="preserve">Gray. C. (2012) Ethical Research with Children and Vulnerable Group, in Palaiologou, I (2012) (eds) </w:t>
      </w:r>
      <w:r w:rsidRPr="00495920">
        <w:rPr>
          <w:rFonts w:ascii="Arial" w:hAnsi="Arial" w:cs="Arial"/>
          <w:i/>
          <w:iCs/>
        </w:rPr>
        <w:t>Ethical Practice in Early Childhood</w:t>
      </w:r>
      <w:r>
        <w:rPr>
          <w:rFonts w:ascii="Arial" w:hAnsi="Arial" w:cs="Arial"/>
        </w:rPr>
        <w:t>. London: Sage publications, p. 69</w:t>
      </w:r>
    </w:p>
    <w:p w14:paraId="604572F6" w14:textId="77777777" w:rsidR="00B5265D" w:rsidRPr="008F2D6B" w:rsidRDefault="00B5265D">
      <w:pPr>
        <w:rPr>
          <w:rFonts w:ascii="Arial" w:hAnsi="Arial" w:cs="Arial"/>
        </w:rPr>
      </w:pPr>
      <w:r>
        <w:rPr>
          <w:rFonts w:ascii="Arial" w:hAnsi="Arial" w:cs="Arial"/>
        </w:rPr>
        <w:t>Green. D (2012) Involving Young Children in Research</w:t>
      </w:r>
      <w:r w:rsidRPr="009674F3">
        <w:rPr>
          <w:rFonts w:ascii="Arial" w:hAnsi="Arial" w:cs="Arial"/>
        </w:rPr>
        <w:t>, in Palaiologou, I</w:t>
      </w:r>
      <w:r>
        <w:rPr>
          <w:rFonts w:ascii="Arial" w:hAnsi="Arial" w:cs="Arial"/>
        </w:rPr>
        <w:t xml:space="preserve"> (2012)</w:t>
      </w:r>
      <w:r w:rsidRPr="009674F3">
        <w:rPr>
          <w:rFonts w:ascii="Arial" w:hAnsi="Arial" w:cs="Arial"/>
        </w:rPr>
        <w:t xml:space="preserve"> (eds) </w:t>
      </w:r>
      <w:r w:rsidRPr="00B2247D">
        <w:rPr>
          <w:rFonts w:ascii="Arial" w:hAnsi="Arial" w:cs="Arial"/>
          <w:i/>
          <w:iCs/>
        </w:rPr>
        <w:t>Ethical Practice in Early Childhood</w:t>
      </w:r>
      <w:r w:rsidRPr="009674F3">
        <w:rPr>
          <w:rFonts w:ascii="Arial" w:hAnsi="Arial" w:cs="Arial"/>
        </w:rPr>
        <w:t>. London: Sage publications</w:t>
      </w:r>
    </w:p>
    <w:p w14:paraId="63582AF2" w14:textId="77777777" w:rsidR="00B5265D" w:rsidRPr="00A26A4B" w:rsidRDefault="00B5265D" w:rsidP="00A26A4B">
      <w:pPr>
        <w:rPr>
          <w:rFonts w:ascii="Arial" w:hAnsi="Arial" w:cs="Arial"/>
        </w:rPr>
      </w:pPr>
      <w:r w:rsidRPr="00A26A4B">
        <w:rPr>
          <w:rFonts w:ascii="Arial" w:hAnsi="Arial" w:cs="Arial"/>
        </w:rPr>
        <w:t xml:space="preserve">Griswold O. (2007). Achieving authority: </w:t>
      </w:r>
      <w:r w:rsidRPr="008952AE">
        <w:rPr>
          <w:rFonts w:ascii="Arial" w:hAnsi="Arial" w:cs="Arial"/>
          <w:i/>
          <w:iCs/>
        </w:rPr>
        <w:t xml:space="preserve">Discursive practices in Russian </w:t>
      </w:r>
      <w:proofErr w:type="gramStart"/>
      <w:r w:rsidRPr="008952AE">
        <w:rPr>
          <w:rFonts w:ascii="Arial" w:hAnsi="Arial" w:cs="Arial"/>
          <w:i/>
          <w:iCs/>
        </w:rPr>
        <w:t>girls’</w:t>
      </w:r>
      <w:proofErr w:type="gramEnd"/>
      <w:r w:rsidRPr="008952AE">
        <w:rPr>
          <w:rFonts w:ascii="Arial" w:hAnsi="Arial" w:cs="Arial"/>
          <w:i/>
          <w:iCs/>
        </w:rPr>
        <w:t xml:space="preserve"> pretend play.</w:t>
      </w:r>
      <w:r w:rsidRPr="00A26A4B">
        <w:rPr>
          <w:rFonts w:ascii="Arial" w:hAnsi="Arial" w:cs="Arial"/>
        </w:rPr>
        <w:t xml:space="preserve"> Research on Language and Social Interaction, 40(4), 291–319. </w:t>
      </w:r>
      <w:hyperlink r:id="rId8" w:history="1">
        <w:r w:rsidRPr="00544E6F">
          <w:rPr>
            <w:rStyle w:val="Hyperlink"/>
            <w:rFonts w:ascii="Arial" w:hAnsi="Arial" w:cs="Arial"/>
          </w:rPr>
          <w:t>https://doi.org/10.1080/08351810701471286</w:t>
        </w:r>
      </w:hyperlink>
      <w:r>
        <w:rPr>
          <w:rFonts w:ascii="Arial" w:hAnsi="Arial" w:cs="Arial"/>
        </w:rPr>
        <w:t xml:space="preserve"> (Accessed: 9 Mayb 2024)</w:t>
      </w:r>
    </w:p>
    <w:p w14:paraId="48746F1D" w14:textId="77777777" w:rsidR="00B5265D" w:rsidRPr="00A26A4B" w:rsidRDefault="00B5265D" w:rsidP="00A26A4B">
      <w:pPr>
        <w:rPr>
          <w:rFonts w:ascii="Arial" w:hAnsi="Arial" w:cs="Arial"/>
        </w:rPr>
      </w:pPr>
      <w:r w:rsidRPr="00A26A4B">
        <w:rPr>
          <w:rFonts w:ascii="Arial" w:hAnsi="Arial" w:cs="Arial"/>
        </w:rPr>
        <w:t xml:space="preserve">Kirkham J., Stewart A., Kidd E. (2013). </w:t>
      </w:r>
      <w:r w:rsidRPr="008952AE">
        <w:rPr>
          <w:rFonts w:ascii="Arial" w:hAnsi="Arial" w:cs="Arial"/>
          <w:i/>
          <w:iCs/>
        </w:rPr>
        <w:t>Concurrent and longitudinal relationships between development in graphic, language, and symbolic play domains from the fourth to the fifth year</w:t>
      </w:r>
      <w:r w:rsidRPr="00A26A4B">
        <w:rPr>
          <w:rFonts w:ascii="Arial" w:hAnsi="Arial" w:cs="Arial"/>
        </w:rPr>
        <w:t xml:space="preserve">. Infant and Child Development, 22(3), 297–319. </w:t>
      </w:r>
      <w:hyperlink r:id="rId9" w:history="1">
        <w:r w:rsidRPr="00544E6F">
          <w:rPr>
            <w:rStyle w:val="Hyperlink"/>
            <w:rFonts w:ascii="Arial" w:hAnsi="Arial" w:cs="Arial"/>
          </w:rPr>
          <w:t>https://doi.org/10.1002/icd.1786</w:t>
        </w:r>
      </w:hyperlink>
      <w:r>
        <w:rPr>
          <w:rFonts w:ascii="Arial" w:hAnsi="Arial" w:cs="Arial"/>
        </w:rPr>
        <w:t xml:space="preserve"> (Accessed: 9 May 2024)</w:t>
      </w:r>
    </w:p>
    <w:p w14:paraId="35D78646" w14:textId="77777777" w:rsidR="00B5265D" w:rsidRPr="00A26A4B" w:rsidRDefault="00B5265D" w:rsidP="00A26A4B">
      <w:pPr>
        <w:rPr>
          <w:rFonts w:ascii="Arial" w:hAnsi="Arial" w:cs="Arial"/>
        </w:rPr>
      </w:pPr>
      <w:r w:rsidRPr="00A26A4B">
        <w:rPr>
          <w:rFonts w:ascii="Arial" w:hAnsi="Arial" w:cs="Arial"/>
        </w:rPr>
        <w:t xml:space="preserve">Lewis </w:t>
      </w:r>
      <w:proofErr w:type="spellStart"/>
      <w:r w:rsidRPr="00A26A4B">
        <w:rPr>
          <w:rFonts w:ascii="Arial" w:hAnsi="Arial" w:cs="Arial"/>
        </w:rPr>
        <w:t>Stagnitti</w:t>
      </w:r>
      <w:proofErr w:type="spellEnd"/>
      <w:r w:rsidRPr="00A26A4B">
        <w:rPr>
          <w:rFonts w:ascii="Arial" w:hAnsi="Arial" w:cs="Arial"/>
        </w:rPr>
        <w:t>, 2015</w:t>
      </w:r>
      <w:r w:rsidRPr="00D57419">
        <w:rPr>
          <w:rFonts w:ascii="Arial" w:hAnsi="Arial" w:cs="Arial"/>
          <w:i/>
          <w:iCs/>
        </w:rPr>
        <w:t>. Quality of pre-school children pretend play and subsequent development of semantic organization and narrative re-telling skills</w:t>
      </w:r>
      <w:r w:rsidRPr="00A26A4B">
        <w:rPr>
          <w:rFonts w:ascii="Arial" w:hAnsi="Arial" w:cs="Arial"/>
        </w:rPr>
        <w:t xml:space="preserve">. International Journal of Speech-Language Pathology 17(2):1–11. </w:t>
      </w:r>
      <w:hyperlink r:id="rId10" w:history="1">
        <w:r w:rsidRPr="00544E6F">
          <w:rPr>
            <w:rStyle w:val="Hyperlink"/>
            <w:rFonts w:ascii="Arial" w:hAnsi="Arial" w:cs="Arial"/>
          </w:rPr>
          <w:t>https://doi.org/10.3109/17549507.2014.941934</w:t>
        </w:r>
      </w:hyperlink>
      <w:r>
        <w:rPr>
          <w:rFonts w:ascii="Arial" w:hAnsi="Arial" w:cs="Arial"/>
        </w:rPr>
        <w:t xml:space="preserve"> (Accessed:13 May 2024)</w:t>
      </w:r>
    </w:p>
    <w:p w14:paraId="284703FF" w14:textId="77777777" w:rsidR="00B5265D" w:rsidRPr="00A26A4B" w:rsidRDefault="00B5265D" w:rsidP="00A26A4B">
      <w:pPr>
        <w:rPr>
          <w:rFonts w:ascii="Arial" w:hAnsi="Arial" w:cs="Arial"/>
        </w:rPr>
      </w:pPr>
      <w:r w:rsidRPr="00A26A4B">
        <w:rPr>
          <w:rFonts w:ascii="Arial" w:hAnsi="Arial" w:cs="Arial"/>
        </w:rPr>
        <w:t xml:space="preserve">Lyytinen P., Laakso M. L., </w:t>
      </w:r>
      <w:proofErr w:type="spellStart"/>
      <w:r w:rsidRPr="00A26A4B">
        <w:rPr>
          <w:rFonts w:ascii="Arial" w:hAnsi="Arial" w:cs="Arial"/>
        </w:rPr>
        <w:t>Poikkeus</w:t>
      </w:r>
      <w:proofErr w:type="spellEnd"/>
      <w:r w:rsidRPr="00A26A4B">
        <w:rPr>
          <w:rFonts w:ascii="Arial" w:hAnsi="Arial" w:cs="Arial"/>
        </w:rPr>
        <w:t xml:space="preserve"> A. M., Rita N. (1999). </w:t>
      </w:r>
      <w:r w:rsidRPr="008952AE">
        <w:rPr>
          <w:rFonts w:ascii="Arial" w:hAnsi="Arial" w:cs="Arial"/>
          <w:i/>
          <w:iCs/>
        </w:rPr>
        <w:t>The development and predictive relations of play and language across the second year</w:t>
      </w:r>
      <w:r w:rsidRPr="00A26A4B">
        <w:rPr>
          <w:rFonts w:ascii="Arial" w:hAnsi="Arial" w:cs="Arial"/>
        </w:rPr>
        <w:t xml:space="preserve">. Scandinavian Journal of Psychology, 40, 177–186. </w:t>
      </w:r>
      <w:hyperlink r:id="rId11" w:history="1">
        <w:r w:rsidRPr="00544E6F">
          <w:rPr>
            <w:rStyle w:val="Hyperlink"/>
            <w:rFonts w:ascii="Arial" w:hAnsi="Arial" w:cs="Arial"/>
          </w:rPr>
          <w:t>https://doi.org/10.1111/1467-9450.00115</w:t>
        </w:r>
      </w:hyperlink>
      <w:r>
        <w:rPr>
          <w:rFonts w:ascii="Arial" w:hAnsi="Arial" w:cs="Arial"/>
        </w:rPr>
        <w:t xml:space="preserve"> (Accessed 13 May 2024)</w:t>
      </w:r>
    </w:p>
    <w:p w14:paraId="47711BF0" w14:textId="77777777" w:rsidR="00B5265D" w:rsidRPr="00A26A4B" w:rsidRDefault="00B5265D" w:rsidP="00A26A4B">
      <w:pPr>
        <w:rPr>
          <w:rFonts w:ascii="Arial" w:hAnsi="Arial" w:cs="Arial"/>
        </w:rPr>
      </w:pPr>
      <w:r w:rsidRPr="00A26A4B">
        <w:rPr>
          <w:rFonts w:ascii="Arial" w:hAnsi="Arial" w:cs="Arial"/>
        </w:rPr>
        <w:t xml:space="preserve">Lyytinen P., </w:t>
      </w:r>
      <w:proofErr w:type="spellStart"/>
      <w:r w:rsidRPr="00A26A4B">
        <w:rPr>
          <w:rFonts w:ascii="Arial" w:hAnsi="Arial" w:cs="Arial"/>
        </w:rPr>
        <w:t>Poikkeus</w:t>
      </w:r>
      <w:proofErr w:type="spellEnd"/>
      <w:r w:rsidRPr="00A26A4B">
        <w:rPr>
          <w:rFonts w:ascii="Arial" w:hAnsi="Arial" w:cs="Arial"/>
        </w:rPr>
        <w:t xml:space="preserve"> A. M., Laakso M. L. (1997). </w:t>
      </w:r>
      <w:r w:rsidRPr="00D45C41">
        <w:rPr>
          <w:rFonts w:ascii="Arial" w:hAnsi="Arial" w:cs="Arial"/>
          <w:i/>
          <w:iCs/>
        </w:rPr>
        <w:t xml:space="preserve">Language and symbolic play in toddlers. International Journal of </w:t>
      </w:r>
      <w:proofErr w:type="spellStart"/>
      <w:r w:rsidRPr="00D45C41">
        <w:rPr>
          <w:rFonts w:ascii="Arial" w:hAnsi="Arial" w:cs="Arial"/>
          <w:i/>
          <w:iCs/>
        </w:rPr>
        <w:t>Behavioral</w:t>
      </w:r>
      <w:proofErr w:type="spellEnd"/>
      <w:r w:rsidRPr="00D45C41">
        <w:rPr>
          <w:rFonts w:ascii="Arial" w:hAnsi="Arial" w:cs="Arial"/>
          <w:i/>
          <w:iCs/>
        </w:rPr>
        <w:t xml:space="preserve"> Development</w:t>
      </w:r>
      <w:r w:rsidRPr="00A26A4B">
        <w:rPr>
          <w:rFonts w:ascii="Arial" w:hAnsi="Arial" w:cs="Arial"/>
        </w:rPr>
        <w:t xml:space="preserve">, 21, 289–302. </w:t>
      </w:r>
      <w:hyperlink r:id="rId12" w:history="1">
        <w:r w:rsidRPr="00544E6F">
          <w:rPr>
            <w:rStyle w:val="Hyperlink"/>
            <w:rFonts w:ascii="Arial" w:hAnsi="Arial" w:cs="Arial"/>
          </w:rPr>
          <w:t>https://doi.org/10.1080/016502597384875</w:t>
        </w:r>
      </w:hyperlink>
      <w:r>
        <w:rPr>
          <w:rFonts w:ascii="Arial" w:hAnsi="Arial" w:cs="Arial"/>
        </w:rPr>
        <w:t xml:space="preserve"> (Accessed: 13 May 2024)</w:t>
      </w:r>
    </w:p>
    <w:p w14:paraId="594998E8" w14:textId="77777777" w:rsidR="00B5265D" w:rsidRPr="00A26A4B" w:rsidRDefault="00B5265D" w:rsidP="00A26A4B">
      <w:pPr>
        <w:rPr>
          <w:rFonts w:ascii="Arial" w:hAnsi="Arial" w:cs="Arial"/>
        </w:rPr>
      </w:pPr>
      <w:r w:rsidRPr="00A26A4B">
        <w:rPr>
          <w:rFonts w:ascii="Arial" w:hAnsi="Arial" w:cs="Arial"/>
        </w:rPr>
        <w:t xml:space="preserve">Miller E., Almon J. (2009). Crisis in the kindergarten: </w:t>
      </w:r>
      <w:r w:rsidRPr="00202683">
        <w:rPr>
          <w:rFonts w:ascii="Arial" w:hAnsi="Arial" w:cs="Arial"/>
          <w:i/>
          <w:iCs/>
        </w:rPr>
        <w:t>Why children need to play in school</w:t>
      </w:r>
      <w:r w:rsidRPr="00A26A4B">
        <w:rPr>
          <w:rFonts w:ascii="Arial" w:hAnsi="Arial" w:cs="Arial"/>
        </w:rPr>
        <w:t>. Alliance for Childhood.</w:t>
      </w:r>
    </w:p>
    <w:p w14:paraId="777BEA7F" w14:textId="77777777" w:rsidR="00B5265D" w:rsidRDefault="00B5265D">
      <w:pPr>
        <w:rPr>
          <w:rFonts w:ascii="Arial" w:hAnsi="Arial" w:cs="Arial"/>
        </w:rPr>
      </w:pPr>
      <w:r>
        <w:rPr>
          <w:rFonts w:ascii="Arial" w:hAnsi="Arial" w:cs="Arial"/>
        </w:rPr>
        <w:t xml:space="preserve">Mukherji, P and Albon, D (2015) Research Methods in Early Childhood. </w:t>
      </w:r>
      <w:r w:rsidRPr="006E58FC">
        <w:rPr>
          <w:rFonts w:ascii="Arial" w:hAnsi="Arial" w:cs="Arial"/>
          <w:i/>
          <w:iCs/>
        </w:rPr>
        <w:t>An Introductory Guide</w:t>
      </w:r>
      <w:r>
        <w:rPr>
          <w:rFonts w:ascii="Arial" w:hAnsi="Arial" w:cs="Arial"/>
        </w:rPr>
        <w:t>. 2</w:t>
      </w:r>
      <w:r w:rsidRPr="00ED45ED">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London: Sage Publications</w:t>
      </w:r>
    </w:p>
    <w:p w14:paraId="67E011C1" w14:textId="77777777" w:rsidR="00B5265D" w:rsidRPr="008F2D6B" w:rsidRDefault="00B5265D">
      <w:pPr>
        <w:rPr>
          <w:rFonts w:ascii="Arial" w:hAnsi="Arial" w:cs="Arial"/>
        </w:rPr>
      </w:pPr>
      <w:r>
        <w:rPr>
          <w:rFonts w:ascii="Arial" w:hAnsi="Arial" w:cs="Arial"/>
        </w:rPr>
        <w:t xml:space="preserve">Nolan, P, Macfarlane, K, and Cartmel, J (2013) </w:t>
      </w:r>
      <w:r w:rsidRPr="006E58FC">
        <w:rPr>
          <w:rFonts w:ascii="Arial" w:hAnsi="Arial" w:cs="Arial"/>
          <w:i/>
          <w:iCs/>
        </w:rPr>
        <w:t>Research in Early Childhood</w:t>
      </w:r>
      <w:r>
        <w:rPr>
          <w:rFonts w:ascii="Arial" w:hAnsi="Arial" w:cs="Arial"/>
        </w:rPr>
        <w:t xml:space="preserve">. London: Sage Publications </w:t>
      </w:r>
    </w:p>
    <w:p w14:paraId="1A1610A0" w14:textId="77777777" w:rsidR="00B5265D" w:rsidRPr="00A26A4B" w:rsidRDefault="00B5265D" w:rsidP="00A26A4B">
      <w:pPr>
        <w:rPr>
          <w:rFonts w:ascii="Arial" w:hAnsi="Arial" w:cs="Arial"/>
        </w:rPr>
      </w:pPr>
      <w:r w:rsidRPr="00A26A4B">
        <w:rPr>
          <w:rFonts w:ascii="Arial" w:hAnsi="Arial" w:cs="Arial"/>
        </w:rPr>
        <w:lastRenderedPageBreak/>
        <w:t xml:space="preserve">Orr E., Geva R. (2015). </w:t>
      </w:r>
      <w:r w:rsidRPr="00D45C41">
        <w:rPr>
          <w:rFonts w:ascii="Arial" w:hAnsi="Arial" w:cs="Arial"/>
          <w:i/>
          <w:iCs/>
        </w:rPr>
        <w:t xml:space="preserve">Symbolic play and language development. Infant </w:t>
      </w:r>
      <w:proofErr w:type="spellStart"/>
      <w:r w:rsidRPr="00D45C41">
        <w:rPr>
          <w:rFonts w:ascii="Arial" w:hAnsi="Arial" w:cs="Arial"/>
          <w:i/>
          <w:iCs/>
        </w:rPr>
        <w:t>Behavior</w:t>
      </w:r>
      <w:proofErr w:type="spellEnd"/>
      <w:r w:rsidRPr="00D45C41">
        <w:rPr>
          <w:rFonts w:ascii="Arial" w:hAnsi="Arial" w:cs="Arial"/>
          <w:i/>
          <w:iCs/>
        </w:rPr>
        <w:t xml:space="preserve"> &amp; Development,</w:t>
      </w:r>
      <w:r w:rsidRPr="00A26A4B">
        <w:rPr>
          <w:rFonts w:ascii="Arial" w:hAnsi="Arial" w:cs="Arial"/>
        </w:rPr>
        <w:t xml:space="preserve"> 38(2015), 147–161. </w:t>
      </w:r>
      <w:hyperlink r:id="rId13" w:history="1">
        <w:r w:rsidRPr="00544E6F">
          <w:rPr>
            <w:rStyle w:val="Hyperlink"/>
            <w:rFonts w:ascii="Arial" w:hAnsi="Arial" w:cs="Arial"/>
          </w:rPr>
          <w:t>https://doi.org/10.1016/j.infbeh.2015.01.002</w:t>
        </w:r>
      </w:hyperlink>
      <w:r>
        <w:rPr>
          <w:rFonts w:ascii="Arial" w:hAnsi="Arial" w:cs="Arial"/>
        </w:rPr>
        <w:t xml:space="preserve"> (Accessed:13 May 2024)</w:t>
      </w:r>
    </w:p>
    <w:p w14:paraId="5B889919" w14:textId="77777777" w:rsidR="00B5265D" w:rsidRPr="00A26A4B" w:rsidRDefault="00B5265D" w:rsidP="00A26A4B">
      <w:pPr>
        <w:rPr>
          <w:rFonts w:ascii="Arial" w:hAnsi="Arial" w:cs="Arial"/>
        </w:rPr>
      </w:pPr>
      <w:r w:rsidRPr="00A26A4B">
        <w:rPr>
          <w:rFonts w:ascii="Arial" w:hAnsi="Arial" w:cs="Arial"/>
        </w:rPr>
        <w:t>Ortega R. (2003). Play, activity, and thought: Reflections on Piaget’s and Vygotsky’s theories. In Lytle D. E. (Eds</w:t>
      </w:r>
      <w:r w:rsidRPr="00166D1F">
        <w:rPr>
          <w:rFonts w:ascii="Arial" w:hAnsi="Arial" w:cs="Arial"/>
        </w:rPr>
        <w:t>.)</w:t>
      </w:r>
      <w:r w:rsidRPr="00166D1F">
        <w:rPr>
          <w:rFonts w:ascii="Arial" w:hAnsi="Arial" w:cs="Arial"/>
          <w:i/>
          <w:iCs/>
        </w:rPr>
        <w:t xml:space="preserve">, Play and educational theory and practice </w:t>
      </w:r>
      <w:r w:rsidRPr="00A26A4B">
        <w:rPr>
          <w:rFonts w:ascii="Arial" w:hAnsi="Arial" w:cs="Arial"/>
        </w:rPr>
        <w:t>(pp. 99–115). Praeger.</w:t>
      </w:r>
    </w:p>
    <w:p w14:paraId="22663F28" w14:textId="77777777" w:rsidR="00B5265D" w:rsidRPr="00A26A4B" w:rsidRDefault="00B5265D" w:rsidP="00A26A4B">
      <w:pPr>
        <w:rPr>
          <w:rFonts w:ascii="Arial" w:hAnsi="Arial" w:cs="Arial"/>
        </w:rPr>
      </w:pPr>
      <w:r w:rsidRPr="00A26A4B">
        <w:rPr>
          <w:rFonts w:ascii="Arial" w:hAnsi="Arial" w:cs="Arial"/>
        </w:rPr>
        <w:t xml:space="preserve">Piaget J. (1951). </w:t>
      </w:r>
      <w:r w:rsidRPr="00D57419">
        <w:rPr>
          <w:rFonts w:ascii="Arial" w:hAnsi="Arial" w:cs="Arial"/>
          <w:i/>
          <w:iCs/>
        </w:rPr>
        <w:t>Play, dreams and imitation in childhood</w:t>
      </w:r>
      <w:r w:rsidRPr="00A26A4B">
        <w:rPr>
          <w:rFonts w:ascii="Arial" w:hAnsi="Arial" w:cs="Arial"/>
        </w:rPr>
        <w:t>. Routledge.</w:t>
      </w:r>
    </w:p>
    <w:p w14:paraId="4791AAA9" w14:textId="77777777" w:rsidR="00B5265D" w:rsidRPr="00A26A4B" w:rsidRDefault="00B5265D" w:rsidP="00A26A4B">
      <w:pPr>
        <w:rPr>
          <w:rFonts w:ascii="Arial" w:hAnsi="Arial" w:cs="Arial"/>
        </w:rPr>
      </w:pPr>
      <w:r w:rsidRPr="00A26A4B">
        <w:rPr>
          <w:rFonts w:ascii="Arial" w:hAnsi="Arial" w:cs="Arial"/>
        </w:rPr>
        <w:t xml:space="preserve">Piaget J. (1964). Development and learning. In Ripple R. E., </w:t>
      </w:r>
      <w:proofErr w:type="spellStart"/>
      <w:r w:rsidRPr="00A26A4B">
        <w:rPr>
          <w:rFonts w:ascii="Arial" w:hAnsi="Arial" w:cs="Arial"/>
        </w:rPr>
        <w:t>Rockcastel</w:t>
      </w:r>
      <w:proofErr w:type="spellEnd"/>
      <w:r w:rsidRPr="00A26A4B">
        <w:rPr>
          <w:rFonts w:ascii="Arial" w:hAnsi="Arial" w:cs="Arial"/>
        </w:rPr>
        <w:t xml:space="preserve"> V. N. (Eds.), </w:t>
      </w:r>
      <w:r w:rsidRPr="00D57419">
        <w:rPr>
          <w:rFonts w:ascii="Arial" w:hAnsi="Arial" w:cs="Arial"/>
          <w:i/>
          <w:iCs/>
        </w:rPr>
        <w:t>Piaget rediscovered</w:t>
      </w:r>
      <w:r w:rsidRPr="00A26A4B">
        <w:rPr>
          <w:rFonts w:ascii="Arial" w:hAnsi="Arial" w:cs="Arial"/>
        </w:rPr>
        <w:t xml:space="preserve"> (pp. 7–20). Cornell University Press.</w:t>
      </w:r>
    </w:p>
    <w:p w14:paraId="3A4CFA06" w14:textId="77777777" w:rsidR="00B5265D" w:rsidRDefault="00B5265D">
      <w:pPr>
        <w:rPr>
          <w:rFonts w:ascii="Arial" w:hAnsi="Arial" w:cs="Arial"/>
        </w:rPr>
      </w:pPr>
      <w:r>
        <w:rPr>
          <w:rFonts w:ascii="Arial" w:hAnsi="Arial" w:cs="Arial"/>
        </w:rPr>
        <w:t xml:space="preserve">Queen Mary University of London (no date) </w:t>
      </w:r>
      <w:r w:rsidRPr="003323B6">
        <w:rPr>
          <w:rFonts w:ascii="Arial" w:hAnsi="Arial" w:cs="Arial"/>
          <w:i/>
          <w:iCs/>
        </w:rPr>
        <w:t>Risk considerations</w:t>
      </w:r>
      <w:r>
        <w:rPr>
          <w:rFonts w:ascii="Arial" w:hAnsi="Arial" w:cs="Arial"/>
        </w:rPr>
        <w:t>. Available at:</w:t>
      </w:r>
      <w:hyperlink r:id="rId14" w:history="1">
        <w:r w:rsidRPr="00B63307">
          <w:rPr>
            <w:rStyle w:val="Hyperlink"/>
            <w:rFonts w:ascii="Arial" w:hAnsi="Arial" w:cs="Arial"/>
          </w:rPr>
          <w:t>https://www.jrmo.org.uk/performing-research/conducting-research-with-human-participants-outside-the-nhs/risk-considerations/#A11</w:t>
        </w:r>
      </w:hyperlink>
      <w:r>
        <w:rPr>
          <w:rFonts w:ascii="Arial" w:hAnsi="Arial" w:cs="Arial"/>
        </w:rPr>
        <w:t xml:space="preserve"> (Accessed: 19 May 2024) </w:t>
      </w:r>
    </w:p>
    <w:p w14:paraId="36208FD9" w14:textId="77777777" w:rsidR="00B5265D" w:rsidRDefault="00B5265D">
      <w:pPr>
        <w:rPr>
          <w:rFonts w:ascii="Arial" w:hAnsi="Arial" w:cs="Arial"/>
        </w:rPr>
      </w:pPr>
      <w:r>
        <w:rPr>
          <w:rFonts w:ascii="Arial" w:hAnsi="Arial" w:cs="Arial"/>
        </w:rPr>
        <w:t xml:space="preserve">Rober-Holmes. G. (2010) ` Doing practitioner research, in Bruce, T (2010) (eds) </w:t>
      </w:r>
      <w:r w:rsidRPr="00495920">
        <w:rPr>
          <w:rFonts w:ascii="Arial" w:hAnsi="Arial" w:cs="Arial"/>
          <w:i/>
          <w:iCs/>
        </w:rPr>
        <w:t>Early Childhood: A guide for students</w:t>
      </w:r>
      <w:r>
        <w:rPr>
          <w:rFonts w:ascii="Arial" w:hAnsi="Arial" w:cs="Arial"/>
        </w:rPr>
        <w:t>. London: Sage publications, p. 29</w:t>
      </w:r>
    </w:p>
    <w:p w14:paraId="1A3B3F3E" w14:textId="77777777" w:rsidR="00B5265D" w:rsidRDefault="00B5265D">
      <w:pPr>
        <w:rPr>
          <w:rFonts w:ascii="Arial" w:hAnsi="Arial" w:cs="Arial"/>
        </w:rPr>
      </w:pPr>
      <w:r>
        <w:rPr>
          <w:rFonts w:ascii="Arial" w:hAnsi="Arial" w:cs="Arial"/>
        </w:rPr>
        <w:t xml:space="preserve">Roberts-Holmes, G (2018) </w:t>
      </w:r>
      <w:r w:rsidRPr="003050F0">
        <w:rPr>
          <w:rFonts w:ascii="Arial" w:hAnsi="Arial" w:cs="Arial"/>
          <w:i/>
          <w:iCs/>
        </w:rPr>
        <w:t>Doing your early years research project</w:t>
      </w:r>
      <w:r>
        <w:rPr>
          <w:rFonts w:ascii="Arial" w:hAnsi="Arial" w:cs="Arial"/>
        </w:rPr>
        <w:t>: A step-by-step guide London: Sage</w:t>
      </w:r>
    </w:p>
    <w:p w14:paraId="6DF5E4F8" w14:textId="77777777" w:rsidR="00B5265D" w:rsidRPr="00A26A4B" w:rsidRDefault="00B5265D" w:rsidP="00A26A4B">
      <w:pPr>
        <w:rPr>
          <w:rFonts w:ascii="Arial" w:hAnsi="Arial" w:cs="Arial"/>
        </w:rPr>
      </w:pPr>
      <w:r w:rsidRPr="00A26A4B">
        <w:rPr>
          <w:rFonts w:ascii="Arial" w:hAnsi="Arial" w:cs="Arial"/>
        </w:rPr>
        <w:t>Smith P. K. (2010</w:t>
      </w:r>
      <w:r w:rsidRPr="00D57419">
        <w:rPr>
          <w:rFonts w:ascii="Arial" w:hAnsi="Arial" w:cs="Arial"/>
          <w:i/>
          <w:iCs/>
        </w:rPr>
        <w:t>). Children and play: Understanding children’s worlds</w:t>
      </w:r>
      <w:r w:rsidRPr="00A26A4B">
        <w:rPr>
          <w:rFonts w:ascii="Arial" w:hAnsi="Arial" w:cs="Arial"/>
        </w:rPr>
        <w:t>. Wiley-Blackwell.</w:t>
      </w:r>
    </w:p>
    <w:p w14:paraId="0D5DE7D2" w14:textId="77777777" w:rsidR="00B5265D" w:rsidRPr="00A26A4B" w:rsidRDefault="00B5265D" w:rsidP="00A26A4B">
      <w:pPr>
        <w:rPr>
          <w:rFonts w:ascii="Arial" w:hAnsi="Arial" w:cs="Arial"/>
        </w:rPr>
      </w:pPr>
      <w:r w:rsidRPr="00A26A4B">
        <w:rPr>
          <w:rFonts w:ascii="Arial" w:hAnsi="Arial" w:cs="Arial"/>
        </w:rPr>
        <w:t xml:space="preserve">Stone S. J. (2007). </w:t>
      </w:r>
      <w:r w:rsidRPr="00F649D3">
        <w:rPr>
          <w:rFonts w:ascii="Arial" w:hAnsi="Arial" w:cs="Arial"/>
          <w:i/>
          <w:iCs/>
        </w:rPr>
        <w:t>An analysis of mixed-age children’s scaffolding during symbolic play transformations.</w:t>
      </w:r>
      <w:r w:rsidRPr="00A26A4B">
        <w:rPr>
          <w:rFonts w:ascii="Arial" w:hAnsi="Arial" w:cs="Arial"/>
        </w:rPr>
        <w:t xml:space="preserve"> Chicago, IL.</w:t>
      </w:r>
    </w:p>
    <w:p w14:paraId="66932227" w14:textId="77777777" w:rsidR="00B5265D" w:rsidRPr="007D36EE" w:rsidRDefault="00B5265D" w:rsidP="00A26A4B">
      <w:pPr>
        <w:rPr>
          <w:rFonts w:ascii="Arial" w:hAnsi="Arial" w:cs="Arial"/>
          <w:color w:val="467886" w:themeColor="hyperlink"/>
          <w:u w:val="single"/>
        </w:rPr>
      </w:pPr>
      <w:proofErr w:type="spellStart"/>
      <w:r w:rsidRPr="00A26A4B">
        <w:rPr>
          <w:rFonts w:ascii="Arial" w:hAnsi="Arial" w:cs="Arial"/>
        </w:rPr>
        <w:t>Tykkyläinen</w:t>
      </w:r>
      <w:proofErr w:type="spellEnd"/>
      <w:r w:rsidRPr="00A26A4B">
        <w:rPr>
          <w:rFonts w:ascii="Arial" w:hAnsi="Arial" w:cs="Arial"/>
        </w:rPr>
        <w:t xml:space="preserve"> T., Laakso M. (2010). F</w:t>
      </w:r>
      <w:r w:rsidRPr="00F649D3">
        <w:rPr>
          <w:rFonts w:ascii="Arial" w:hAnsi="Arial" w:cs="Arial"/>
          <w:i/>
          <w:iCs/>
        </w:rPr>
        <w:t>ive-year-old girls negotiating pretend play</w:t>
      </w:r>
      <w:r w:rsidRPr="00A26A4B">
        <w:rPr>
          <w:rFonts w:ascii="Arial" w:hAnsi="Arial" w:cs="Arial"/>
        </w:rPr>
        <w:t xml:space="preserve">: Proposals with the Finnish particle </w:t>
      </w:r>
      <w:proofErr w:type="spellStart"/>
      <w:r w:rsidRPr="00A26A4B">
        <w:rPr>
          <w:rFonts w:ascii="Arial" w:hAnsi="Arial" w:cs="Arial"/>
        </w:rPr>
        <w:t>jooko</w:t>
      </w:r>
      <w:proofErr w:type="spellEnd"/>
      <w:r w:rsidRPr="00A26A4B">
        <w:rPr>
          <w:rFonts w:ascii="Arial" w:hAnsi="Arial" w:cs="Arial"/>
        </w:rPr>
        <w:t xml:space="preserve">. Journal of Pragmatics, 42(2010), 242–256. </w:t>
      </w:r>
      <w:hyperlink r:id="rId15" w:history="1">
        <w:r w:rsidRPr="0099162B">
          <w:rPr>
            <w:rStyle w:val="Hyperlink"/>
            <w:rFonts w:ascii="Arial" w:hAnsi="Arial" w:cs="Arial"/>
          </w:rPr>
          <w:t>https://doi.org/10.1016/j.pragma.2009.05.006</w:t>
        </w:r>
      </w:hyperlink>
      <w:r>
        <w:rPr>
          <w:rStyle w:val="Hyperlink"/>
          <w:rFonts w:ascii="Arial" w:hAnsi="Arial" w:cs="Arial"/>
        </w:rPr>
        <w:t xml:space="preserve"> </w:t>
      </w:r>
    </w:p>
    <w:p w14:paraId="35921B38" w14:textId="77777777" w:rsidR="00B5265D" w:rsidRPr="00A26A4B" w:rsidRDefault="00B5265D" w:rsidP="00A26A4B">
      <w:pPr>
        <w:rPr>
          <w:rFonts w:ascii="Arial" w:hAnsi="Arial" w:cs="Arial"/>
        </w:rPr>
      </w:pPr>
      <w:r w:rsidRPr="00A26A4B">
        <w:rPr>
          <w:rFonts w:ascii="Arial" w:hAnsi="Arial" w:cs="Arial"/>
        </w:rPr>
        <w:t xml:space="preserve">Ungerer J. A., Sigman M. (1984). </w:t>
      </w:r>
      <w:r w:rsidRPr="00F649D3">
        <w:rPr>
          <w:rFonts w:ascii="Arial" w:hAnsi="Arial" w:cs="Arial"/>
          <w:i/>
          <w:iCs/>
        </w:rPr>
        <w:t xml:space="preserve">The relation of play and </w:t>
      </w:r>
      <w:proofErr w:type="spellStart"/>
      <w:r w:rsidRPr="00F649D3">
        <w:rPr>
          <w:rFonts w:ascii="Arial" w:hAnsi="Arial" w:cs="Arial"/>
          <w:i/>
          <w:iCs/>
        </w:rPr>
        <w:t>sensori</w:t>
      </w:r>
      <w:proofErr w:type="spellEnd"/>
      <w:r w:rsidRPr="00F649D3">
        <w:rPr>
          <w:rFonts w:ascii="Arial" w:hAnsi="Arial" w:cs="Arial"/>
          <w:i/>
          <w:iCs/>
        </w:rPr>
        <w:t xml:space="preserve">-motor </w:t>
      </w:r>
      <w:proofErr w:type="spellStart"/>
      <w:r w:rsidRPr="00F649D3">
        <w:rPr>
          <w:rFonts w:ascii="Arial" w:hAnsi="Arial" w:cs="Arial"/>
          <w:i/>
          <w:iCs/>
        </w:rPr>
        <w:t>behavior</w:t>
      </w:r>
      <w:proofErr w:type="spellEnd"/>
      <w:r w:rsidRPr="00F649D3">
        <w:rPr>
          <w:rFonts w:ascii="Arial" w:hAnsi="Arial" w:cs="Arial"/>
          <w:i/>
          <w:iCs/>
        </w:rPr>
        <w:t xml:space="preserve"> to language in the second year. Child Development,</w:t>
      </w:r>
      <w:r w:rsidRPr="00A26A4B">
        <w:rPr>
          <w:rFonts w:ascii="Arial" w:hAnsi="Arial" w:cs="Arial"/>
        </w:rPr>
        <w:t xml:space="preserve"> 55, 1448–1455. </w:t>
      </w:r>
      <w:hyperlink r:id="rId16" w:history="1">
        <w:r w:rsidRPr="00544E6F">
          <w:rPr>
            <w:rStyle w:val="Hyperlink"/>
            <w:rFonts w:ascii="Arial" w:hAnsi="Arial" w:cs="Arial"/>
          </w:rPr>
          <w:t>https://doi.org/10.2307/1130014</w:t>
        </w:r>
      </w:hyperlink>
      <w:r>
        <w:rPr>
          <w:rFonts w:ascii="Arial" w:hAnsi="Arial" w:cs="Arial"/>
        </w:rPr>
        <w:t xml:space="preserve"> </w:t>
      </w:r>
      <w:proofErr w:type="gramStart"/>
      <w:r>
        <w:rPr>
          <w:rFonts w:ascii="Arial" w:hAnsi="Arial" w:cs="Arial"/>
        </w:rPr>
        <w:t>( Accessed</w:t>
      </w:r>
      <w:proofErr w:type="gramEnd"/>
      <w:r>
        <w:rPr>
          <w:rFonts w:ascii="Arial" w:hAnsi="Arial" w:cs="Arial"/>
        </w:rPr>
        <w:t>:15 May 2024)</w:t>
      </w:r>
    </w:p>
    <w:p w14:paraId="412B0025" w14:textId="77777777" w:rsidR="00B5265D" w:rsidRPr="00A26A4B" w:rsidRDefault="00B5265D" w:rsidP="00A26A4B">
      <w:pPr>
        <w:rPr>
          <w:rFonts w:ascii="Arial" w:hAnsi="Arial" w:cs="Arial"/>
        </w:rPr>
      </w:pPr>
      <w:r w:rsidRPr="00B67359">
        <w:rPr>
          <w:rFonts w:ascii="Arial" w:hAnsi="Arial" w:cs="Arial"/>
        </w:rPr>
        <w:t xml:space="preserve">UNICEF (2003) </w:t>
      </w:r>
      <w:r w:rsidRPr="00F649D3">
        <w:rPr>
          <w:rFonts w:ascii="Arial" w:hAnsi="Arial" w:cs="Arial"/>
          <w:i/>
          <w:iCs/>
        </w:rPr>
        <w:t>Convention on the Rights of the Child</w:t>
      </w:r>
      <w:r w:rsidRPr="00B67359">
        <w:rPr>
          <w:rFonts w:ascii="Arial" w:hAnsi="Arial" w:cs="Arial"/>
        </w:rPr>
        <w:t xml:space="preserve">. Available at: </w:t>
      </w:r>
      <w:hyperlink r:id="rId17" w:history="1">
        <w:r w:rsidRPr="00544E6F">
          <w:rPr>
            <w:rStyle w:val="Hyperlink"/>
            <w:rFonts w:ascii="Arial" w:hAnsi="Arial" w:cs="Arial"/>
          </w:rPr>
          <w:t>http://www.unicef.org.uk/Documents/Publication-pdfs/UNCRC_PRESS200910web.pdf</w:t>
        </w:r>
      </w:hyperlink>
      <w:r>
        <w:rPr>
          <w:rFonts w:ascii="Arial" w:hAnsi="Arial" w:cs="Arial"/>
        </w:rPr>
        <w:t xml:space="preserve"> </w:t>
      </w:r>
      <w:r w:rsidRPr="00B67359">
        <w:rPr>
          <w:rFonts w:ascii="Arial" w:hAnsi="Arial" w:cs="Arial"/>
        </w:rPr>
        <w:t>(</w:t>
      </w:r>
      <w:r>
        <w:rPr>
          <w:rFonts w:ascii="Arial" w:hAnsi="Arial" w:cs="Arial"/>
        </w:rPr>
        <w:t>A</w:t>
      </w:r>
      <w:r w:rsidRPr="00B67359">
        <w:rPr>
          <w:rFonts w:ascii="Arial" w:hAnsi="Arial" w:cs="Arial"/>
        </w:rPr>
        <w:t>ccessed</w:t>
      </w:r>
      <w:r>
        <w:rPr>
          <w:rFonts w:ascii="Arial" w:hAnsi="Arial" w:cs="Arial"/>
        </w:rPr>
        <w:t>:</w:t>
      </w:r>
      <w:r w:rsidRPr="00B67359">
        <w:rPr>
          <w:rFonts w:ascii="Arial" w:hAnsi="Arial" w:cs="Arial"/>
        </w:rPr>
        <w:t xml:space="preserve"> </w:t>
      </w:r>
      <w:r>
        <w:rPr>
          <w:rFonts w:ascii="Arial" w:hAnsi="Arial" w:cs="Arial"/>
        </w:rPr>
        <w:t>13</w:t>
      </w:r>
      <w:r w:rsidRPr="00B67359">
        <w:rPr>
          <w:rFonts w:ascii="Arial" w:hAnsi="Arial" w:cs="Arial"/>
        </w:rPr>
        <w:t xml:space="preserve"> May 20</w:t>
      </w:r>
      <w:r>
        <w:rPr>
          <w:rFonts w:ascii="Arial" w:hAnsi="Arial" w:cs="Arial"/>
        </w:rPr>
        <w:t>24</w:t>
      </w:r>
      <w:r w:rsidRPr="00B67359">
        <w:rPr>
          <w:rFonts w:ascii="Arial" w:hAnsi="Arial" w:cs="Arial"/>
        </w:rPr>
        <w:t>).</w:t>
      </w:r>
    </w:p>
    <w:p w14:paraId="29B16C40" w14:textId="77777777" w:rsidR="00B5265D" w:rsidRDefault="00B5265D">
      <w:pPr>
        <w:rPr>
          <w:rFonts w:ascii="Arial" w:hAnsi="Arial" w:cs="Arial"/>
        </w:rPr>
      </w:pPr>
      <w:r>
        <w:rPr>
          <w:rFonts w:ascii="Arial" w:hAnsi="Arial" w:cs="Arial"/>
        </w:rPr>
        <w:t xml:space="preserve">University of Wales Trinity Saint David (2022) </w:t>
      </w:r>
      <w:r w:rsidRPr="006E58FC">
        <w:rPr>
          <w:rFonts w:ascii="Arial" w:hAnsi="Arial" w:cs="Arial"/>
          <w:i/>
          <w:iCs/>
        </w:rPr>
        <w:t>Research Integrity and Ethics</w:t>
      </w:r>
      <w:r>
        <w:rPr>
          <w:rFonts w:ascii="Arial" w:hAnsi="Arial" w:cs="Arial"/>
        </w:rPr>
        <w:t>. Available at:</w:t>
      </w:r>
      <w:hyperlink r:id="rId18" w:history="1">
        <w:r w:rsidRPr="00B63307">
          <w:rPr>
            <w:rStyle w:val="Hyperlink"/>
            <w:rFonts w:ascii="Arial" w:hAnsi="Arial" w:cs="Arial"/>
          </w:rPr>
          <w:t>https://www.uwtsd.ac.uk/research/research-integrity-and-ethics</w:t>
        </w:r>
      </w:hyperlink>
      <w:r>
        <w:rPr>
          <w:rFonts w:ascii="Arial" w:hAnsi="Arial" w:cs="Arial"/>
        </w:rPr>
        <w:t xml:space="preserve"> (Accessed: 19 May 2024)</w:t>
      </w:r>
    </w:p>
    <w:p w14:paraId="1692A0CE" w14:textId="77777777" w:rsidR="00B5265D" w:rsidRDefault="00B5265D" w:rsidP="00A26A4B">
      <w:pPr>
        <w:rPr>
          <w:rFonts w:ascii="Arial" w:hAnsi="Arial" w:cs="Arial"/>
        </w:rPr>
      </w:pPr>
      <w:r w:rsidRPr="00A26A4B">
        <w:rPr>
          <w:rFonts w:ascii="Arial" w:hAnsi="Arial" w:cs="Arial"/>
        </w:rPr>
        <w:t xml:space="preserve">Vygotsky L. S. (1967). </w:t>
      </w:r>
      <w:r w:rsidRPr="00F649D3">
        <w:rPr>
          <w:rFonts w:ascii="Arial" w:hAnsi="Arial" w:cs="Arial"/>
          <w:i/>
          <w:iCs/>
        </w:rPr>
        <w:t>Play and its role in the mental development of the child</w:t>
      </w:r>
      <w:r w:rsidRPr="00A26A4B">
        <w:rPr>
          <w:rFonts w:ascii="Arial" w:hAnsi="Arial" w:cs="Arial"/>
        </w:rPr>
        <w:t>. Soviet Psychology, 5, 6–18.</w:t>
      </w:r>
    </w:p>
    <w:sectPr w:rsidR="00B5265D">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07375A" w14:textId="77777777" w:rsidR="00CF12FA" w:rsidRDefault="00CF12FA" w:rsidP="0014060E">
      <w:pPr>
        <w:spacing w:after="0" w:line="240" w:lineRule="auto"/>
      </w:pPr>
      <w:r>
        <w:separator/>
      </w:r>
    </w:p>
  </w:endnote>
  <w:endnote w:type="continuationSeparator" w:id="0">
    <w:p w14:paraId="48BED1D2" w14:textId="77777777" w:rsidR="00CF12FA" w:rsidRDefault="00CF12FA" w:rsidP="00140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0125531"/>
      <w:docPartObj>
        <w:docPartGallery w:val="Page Numbers (Bottom of Page)"/>
        <w:docPartUnique/>
      </w:docPartObj>
    </w:sdtPr>
    <w:sdtEndPr/>
    <w:sdtContent>
      <w:p w14:paraId="37F85877" w14:textId="7280D91C" w:rsidR="0014060E" w:rsidRDefault="0014060E">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3A7992D3" w14:textId="77777777" w:rsidR="0014060E" w:rsidRDefault="001406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0FE30" w14:textId="77777777" w:rsidR="00CF12FA" w:rsidRDefault="00CF12FA" w:rsidP="0014060E">
      <w:pPr>
        <w:spacing w:after="0" w:line="240" w:lineRule="auto"/>
      </w:pPr>
      <w:r>
        <w:separator/>
      </w:r>
    </w:p>
  </w:footnote>
  <w:footnote w:type="continuationSeparator" w:id="0">
    <w:p w14:paraId="32298426" w14:textId="77777777" w:rsidR="00CF12FA" w:rsidRDefault="00CF12FA" w:rsidP="001406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4F71A" w14:textId="66FDAAEC" w:rsidR="0014060E" w:rsidRDefault="0014060E">
    <w:pPr>
      <w:pStyle w:val="Header"/>
    </w:pPr>
    <w:r>
      <w:t>Claire Thomas</w:t>
    </w:r>
  </w:p>
  <w:p w14:paraId="73A8B29F" w14:textId="13DFF70A" w:rsidR="0014060E" w:rsidRDefault="0014060E">
    <w:pPr>
      <w:pStyle w:val="Header"/>
    </w:pPr>
    <w:r>
      <w:t>Student Number: 2210937</w:t>
    </w:r>
  </w:p>
  <w:p w14:paraId="5C4382C0" w14:textId="47C6F4E9" w:rsidR="0014060E" w:rsidRDefault="0014060E">
    <w:pPr>
      <w:pStyle w:val="Header"/>
    </w:pPr>
    <w:r>
      <w:t>Word Count</w:t>
    </w:r>
    <w:r w:rsidR="00D67397">
      <w:t>:</w:t>
    </w:r>
    <w:r w:rsidR="005E3B1C">
      <w:t xml:space="preserve"> 3811</w:t>
    </w:r>
  </w:p>
  <w:p w14:paraId="52EB5EFC" w14:textId="77777777" w:rsidR="0014060E" w:rsidRDefault="001406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9F3"/>
    <w:rsid w:val="000011C3"/>
    <w:rsid w:val="000060B7"/>
    <w:rsid w:val="00015C15"/>
    <w:rsid w:val="00021658"/>
    <w:rsid w:val="000248B5"/>
    <w:rsid w:val="00025BD7"/>
    <w:rsid w:val="00027D13"/>
    <w:rsid w:val="00040ED1"/>
    <w:rsid w:val="00041E6D"/>
    <w:rsid w:val="000421CF"/>
    <w:rsid w:val="00060073"/>
    <w:rsid w:val="000617BF"/>
    <w:rsid w:val="00061BBD"/>
    <w:rsid w:val="000677AE"/>
    <w:rsid w:val="000741B6"/>
    <w:rsid w:val="00076A46"/>
    <w:rsid w:val="00076BF4"/>
    <w:rsid w:val="00076D3F"/>
    <w:rsid w:val="000931C8"/>
    <w:rsid w:val="000A1D6E"/>
    <w:rsid w:val="000A2A1C"/>
    <w:rsid w:val="000B2351"/>
    <w:rsid w:val="000B6FC7"/>
    <w:rsid w:val="000E20D3"/>
    <w:rsid w:val="000E52B4"/>
    <w:rsid w:val="000F4352"/>
    <w:rsid w:val="000F4A68"/>
    <w:rsid w:val="00105244"/>
    <w:rsid w:val="001118F3"/>
    <w:rsid w:val="00114783"/>
    <w:rsid w:val="00117662"/>
    <w:rsid w:val="00120B82"/>
    <w:rsid w:val="0012213C"/>
    <w:rsid w:val="00131172"/>
    <w:rsid w:val="00132613"/>
    <w:rsid w:val="0013334E"/>
    <w:rsid w:val="00134562"/>
    <w:rsid w:val="0014060E"/>
    <w:rsid w:val="00157A22"/>
    <w:rsid w:val="00157C24"/>
    <w:rsid w:val="0016297B"/>
    <w:rsid w:val="00166D1F"/>
    <w:rsid w:val="00167F17"/>
    <w:rsid w:val="00174AF2"/>
    <w:rsid w:val="001816BC"/>
    <w:rsid w:val="00183AEA"/>
    <w:rsid w:val="00186419"/>
    <w:rsid w:val="00187EDF"/>
    <w:rsid w:val="001915AC"/>
    <w:rsid w:val="001B06E0"/>
    <w:rsid w:val="001B13D5"/>
    <w:rsid w:val="001B2A28"/>
    <w:rsid w:val="001B671C"/>
    <w:rsid w:val="001C6AFC"/>
    <w:rsid w:val="001D5A0D"/>
    <w:rsid w:val="001E25CB"/>
    <w:rsid w:val="001E7322"/>
    <w:rsid w:val="001F0F08"/>
    <w:rsid w:val="001F2AF2"/>
    <w:rsid w:val="001F4785"/>
    <w:rsid w:val="001F5F36"/>
    <w:rsid w:val="00202683"/>
    <w:rsid w:val="002026BF"/>
    <w:rsid w:val="00202C40"/>
    <w:rsid w:val="00204B78"/>
    <w:rsid w:val="002170BE"/>
    <w:rsid w:val="00217CF2"/>
    <w:rsid w:val="00235854"/>
    <w:rsid w:val="002511F0"/>
    <w:rsid w:val="00251D8B"/>
    <w:rsid w:val="0025379A"/>
    <w:rsid w:val="002565A1"/>
    <w:rsid w:val="00257BB0"/>
    <w:rsid w:val="002621AA"/>
    <w:rsid w:val="002711DD"/>
    <w:rsid w:val="00274382"/>
    <w:rsid w:val="00274940"/>
    <w:rsid w:val="0028357D"/>
    <w:rsid w:val="002848A4"/>
    <w:rsid w:val="002917EA"/>
    <w:rsid w:val="00294CB1"/>
    <w:rsid w:val="00295040"/>
    <w:rsid w:val="002A3C89"/>
    <w:rsid w:val="002B733F"/>
    <w:rsid w:val="002C016C"/>
    <w:rsid w:val="002C2DEA"/>
    <w:rsid w:val="002D1338"/>
    <w:rsid w:val="002D4D35"/>
    <w:rsid w:val="002E2160"/>
    <w:rsid w:val="002F23E9"/>
    <w:rsid w:val="002F445D"/>
    <w:rsid w:val="002F631B"/>
    <w:rsid w:val="00300778"/>
    <w:rsid w:val="0030219D"/>
    <w:rsid w:val="00302CE2"/>
    <w:rsid w:val="00302DAA"/>
    <w:rsid w:val="00304596"/>
    <w:rsid w:val="003050F0"/>
    <w:rsid w:val="00313859"/>
    <w:rsid w:val="003219CB"/>
    <w:rsid w:val="00322CD7"/>
    <w:rsid w:val="003265B3"/>
    <w:rsid w:val="00330B41"/>
    <w:rsid w:val="0033163F"/>
    <w:rsid w:val="003323B6"/>
    <w:rsid w:val="003326B1"/>
    <w:rsid w:val="003355FD"/>
    <w:rsid w:val="00342A35"/>
    <w:rsid w:val="00344C15"/>
    <w:rsid w:val="00350A22"/>
    <w:rsid w:val="003559BB"/>
    <w:rsid w:val="00356041"/>
    <w:rsid w:val="00363575"/>
    <w:rsid w:val="00366FB6"/>
    <w:rsid w:val="00380401"/>
    <w:rsid w:val="00383275"/>
    <w:rsid w:val="00384CD6"/>
    <w:rsid w:val="00390667"/>
    <w:rsid w:val="003A136B"/>
    <w:rsid w:val="003A2758"/>
    <w:rsid w:val="003A5749"/>
    <w:rsid w:val="003A7778"/>
    <w:rsid w:val="003B0751"/>
    <w:rsid w:val="003B3B6D"/>
    <w:rsid w:val="003B6152"/>
    <w:rsid w:val="003C078C"/>
    <w:rsid w:val="003C6068"/>
    <w:rsid w:val="003C73AF"/>
    <w:rsid w:val="003D0B6F"/>
    <w:rsid w:val="003D17F1"/>
    <w:rsid w:val="003D4473"/>
    <w:rsid w:val="003E3BB9"/>
    <w:rsid w:val="003E5E57"/>
    <w:rsid w:val="003F4D4B"/>
    <w:rsid w:val="00416B8C"/>
    <w:rsid w:val="004228B0"/>
    <w:rsid w:val="00426F05"/>
    <w:rsid w:val="00436D02"/>
    <w:rsid w:val="004428C0"/>
    <w:rsid w:val="0044467B"/>
    <w:rsid w:val="00445A73"/>
    <w:rsid w:val="0045022B"/>
    <w:rsid w:val="00450A64"/>
    <w:rsid w:val="004539AA"/>
    <w:rsid w:val="00460A28"/>
    <w:rsid w:val="00461A7B"/>
    <w:rsid w:val="0046718D"/>
    <w:rsid w:val="00467C1E"/>
    <w:rsid w:val="00470326"/>
    <w:rsid w:val="00473244"/>
    <w:rsid w:val="0047355D"/>
    <w:rsid w:val="00474FF9"/>
    <w:rsid w:val="00482C80"/>
    <w:rsid w:val="004867F8"/>
    <w:rsid w:val="00495920"/>
    <w:rsid w:val="004A281D"/>
    <w:rsid w:val="004B5119"/>
    <w:rsid w:val="004C74D3"/>
    <w:rsid w:val="004D3F20"/>
    <w:rsid w:val="004F3008"/>
    <w:rsid w:val="005059B6"/>
    <w:rsid w:val="00516256"/>
    <w:rsid w:val="00516C36"/>
    <w:rsid w:val="0052758C"/>
    <w:rsid w:val="0053334B"/>
    <w:rsid w:val="00533F62"/>
    <w:rsid w:val="0053673A"/>
    <w:rsid w:val="00536D0B"/>
    <w:rsid w:val="00542167"/>
    <w:rsid w:val="005612DB"/>
    <w:rsid w:val="0056163F"/>
    <w:rsid w:val="00573DA5"/>
    <w:rsid w:val="00580BA9"/>
    <w:rsid w:val="005867A7"/>
    <w:rsid w:val="0059320F"/>
    <w:rsid w:val="00594281"/>
    <w:rsid w:val="005A11E5"/>
    <w:rsid w:val="005B0D92"/>
    <w:rsid w:val="005C037A"/>
    <w:rsid w:val="005C113F"/>
    <w:rsid w:val="005C1F30"/>
    <w:rsid w:val="005D126E"/>
    <w:rsid w:val="005D32B6"/>
    <w:rsid w:val="005E1A6D"/>
    <w:rsid w:val="005E3B1C"/>
    <w:rsid w:val="005E6EEB"/>
    <w:rsid w:val="005F58A8"/>
    <w:rsid w:val="006024D9"/>
    <w:rsid w:val="00616E44"/>
    <w:rsid w:val="00623477"/>
    <w:rsid w:val="00624657"/>
    <w:rsid w:val="00650F12"/>
    <w:rsid w:val="006552BF"/>
    <w:rsid w:val="00657D3F"/>
    <w:rsid w:val="0066442E"/>
    <w:rsid w:val="00674B58"/>
    <w:rsid w:val="0068237F"/>
    <w:rsid w:val="0068653A"/>
    <w:rsid w:val="00686A74"/>
    <w:rsid w:val="00687A02"/>
    <w:rsid w:val="006910F4"/>
    <w:rsid w:val="00691D0B"/>
    <w:rsid w:val="006932A4"/>
    <w:rsid w:val="00694537"/>
    <w:rsid w:val="00696DF5"/>
    <w:rsid w:val="006A184B"/>
    <w:rsid w:val="006B68BD"/>
    <w:rsid w:val="006C18B0"/>
    <w:rsid w:val="006C24F3"/>
    <w:rsid w:val="006C5ABE"/>
    <w:rsid w:val="006D2533"/>
    <w:rsid w:val="006E0AD7"/>
    <w:rsid w:val="006E58FC"/>
    <w:rsid w:val="006E7FD9"/>
    <w:rsid w:val="006F2C58"/>
    <w:rsid w:val="006F41FF"/>
    <w:rsid w:val="006F58DF"/>
    <w:rsid w:val="00701F20"/>
    <w:rsid w:val="00710340"/>
    <w:rsid w:val="00712C0C"/>
    <w:rsid w:val="00725BA6"/>
    <w:rsid w:val="0073180D"/>
    <w:rsid w:val="0074684C"/>
    <w:rsid w:val="007536D4"/>
    <w:rsid w:val="007574DA"/>
    <w:rsid w:val="00757B76"/>
    <w:rsid w:val="00760C46"/>
    <w:rsid w:val="00772811"/>
    <w:rsid w:val="00777BF6"/>
    <w:rsid w:val="00780ACE"/>
    <w:rsid w:val="00786449"/>
    <w:rsid w:val="00797D2D"/>
    <w:rsid w:val="007A1210"/>
    <w:rsid w:val="007A2076"/>
    <w:rsid w:val="007A6AFC"/>
    <w:rsid w:val="007B3336"/>
    <w:rsid w:val="007C23CB"/>
    <w:rsid w:val="007C3393"/>
    <w:rsid w:val="007C67A5"/>
    <w:rsid w:val="007D2934"/>
    <w:rsid w:val="007D36EE"/>
    <w:rsid w:val="007D4BE7"/>
    <w:rsid w:val="007D721A"/>
    <w:rsid w:val="007E0D5D"/>
    <w:rsid w:val="007E5C54"/>
    <w:rsid w:val="007F4572"/>
    <w:rsid w:val="00803C18"/>
    <w:rsid w:val="00811080"/>
    <w:rsid w:val="00811475"/>
    <w:rsid w:val="008147B4"/>
    <w:rsid w:val="00816F7B"/>
    <w:rsid w:val="0081722F"/>
    <w:rsid w:val="008215B7"/>
    <w:rsid w:val="008311B2"/>
    <w:rsid w:val="00832CE1"/>
    <w:rsid w:val="008370B9"/>
    <w:rsid w:val="00843BEC"/>
    <w:rsid w:val="0084495D"/>
    <w:rsid w:val="00844A21"/>
    <w:rsid w:val="00845862"/>
    <w:rsid w:val="00852DE8"/>
    <w:rsid w:val="008561ED"/>
    <w:rsid w:val="00873E2F"/>
    <w:rsid w:val="008748DB"/>
    <w:rsid w:val="00875B97"/>
    <w:rsid w:val="00894C77"/>
    <w:rsid w:val="008952AE"/>
    <w:rsid w:val="008968E9"/>
    <w:rsid w:val="008A0E56"/>
    <w:rsid w:val="008A159A"/>
    <w:rsid w:val="008B0320"/>
    <w:rsid w:val="008B244A"/>
    <w:rsid w:val="008B4866"/>
    <w:rsid w:val="008B4F79"/>
    <w:rsid w:val="008D672F"/>
    <w:rsid w:val="008E6781"/>
    <w:rsid w:val="008F2D6B"/>
    <w:rsid w:val="008F4F94"/>
    <w:rsid w:val="008F641C"/>
    <w:rsid w:val="008F6480"/>
    <w:rsid w:val="008F6EB6"/>
    <w:rsid w:val="00914377"/>
    <w:rsid w:val="0091680B"/>
    <w:rsid w:val="00923B78"/>
    <w:rsid w:val="009318E5"/>
    <w:rsid w:val="009349F4"/>
    <w:rsid w:val="009554B2"/>
    <w:rsid w:val="00957489"/>
    <w:rsid w:val="0096613E"/>
    <w:rsid w:val="009674F3"/>
    <w:rsid w:val="0097140D"/>
    <w:rsid w:val="00971CA8"/>
    <w:rsid w:val="00977781"/>
    <w:rsid w:val="0098527E"/>
    <w:rsid w:val="00996C2C"/>
    <w:rsid w:val="009A0375"/>
    <w:rsid w:val="009C306D"/>
    <w:rsid w:val="009D1307"/>
    <w:rsid w:val="009D4ED1"/>
    <w:rsid w:val="009D69C1"/>
    <w:rsid w:val="009E3583"/>
    <w:rsid w:val="009E3E9B"/>
    <w:rsid w:val="009E58DF"/>
    <w:rsid w:val="009F3047"/>
    <w:rsid w:val="009F4FE2"/>
    <w:rsid w:val="00A011AF"/>
    <w:rsid w:val="00A011D5"/>
    <w:rsid w:val="00A01FE7"/>
    <w:rsid w:val="00A0427A"/>
    <w:rsid w:val="00A053B2"/>
    <w:rsid w:val="00A13AAD"/>
    <w:rsid w:val="00A225AC"/>
    <w:rsid w:val="00A22C77"/>
    <w:rsid w:val="00A236BB"/>
    <w:rsid w:val="00A258E4"/>
    <w:rsid w:val="00A26A4B"/>
    <w:rsid w:val="00A356B1"/>
    <w:rsid w:val="00A37D63"/>
    <w:rsid w:val="00A4469B"/>
    <w:rsid w:val="00A47062"/>
    <w:rsid w:val="00A51D51"/>
    <w:rsid w:val="00A55385"/>
    <w:rsid w:val="00A565BC"/>
    <w:rsid w:val="00A64ECC"/>
    <w:rsid w:val="00A70547"/>
    <w:rsid w:val="00A75588"/>
    <w:rsid w:val="00A7621B"/>
    <w:rsid w:val="00A77392"/>
    <w:rsid w:val="00A842F3"/>
    <w:rsid w:val="00A85C95"/>
    <w:rsid w:val="00A9120C"/>
    <w:rsid w:val="00A97EF7"/>
    <w:rsid w:val="00AA2B33"/>
    <w:rsid w:val="00AA2D81"/>
    <w:rsid w:val="00AC01F2"/>
    <w:rsid w:val="00AC1C0D"/>
    <w:rsid w:val="00AC2141"/>
    <w:rsid w:val="00AC2CE6"/>
    <w:rsid w:val="00AC7FDA"/>
    <w:rsid w:val="00AD02C3"/>
    <w:rsid w:val="00AE007A"/>
    <w:rsid w:val="00AE0EA4"/>
    <w:rsid w:val="00AF36FF"/>
    <w:rsid w:val="00AF7552"/>
    <w:rsid w:val="00B0008E"/>
    <w:rsid w:val="00B0569C"/>
    <w:rsid w:val="00B06257"/>
    <w:rsid w:val="00B0663E"/>
    <w:rsid w:val="00B129AD"/>
    <w:rsid w:val="00B14E00"/>
    <w:rsid w:val="00B2247D"/>
    <w:rsid w:val="00B25423"/>
    <w:rsid w:val="00B2680D"/>
    <w:rsid w:val="00B26966"/>
    <w:rsid w:val="00B40938"/>
    <w:rsid w:val="00B41804"/>
    <w:rsid w:val="00B47478"/>
    <w:rsid w:val="00B5265D"/>
    <w:rsid w:val="00B55C78"/>
    <w:rsid w:val="00B67359"/>
    <w:rsid w:val="00B80026"/>
    <w:rsid w:val="00B838B7"/>
    <w:rsid w:val="00B949A9"/>
    <w:rsid w:val="00B969B9"/>
    <w:rsid w:val="00BA36EC"/>
    <w:rsid w:val="00BB5F3D"/>
    <w:rsid w:val="00BC4248"/>
    <w:rsid w:val="00BD1D5D"/>
    <w:rsid w:val="00BD7D68"/>
    <w:rsid w:val="00BE53AA"/>
    <w:rsid w:val="00BF4CAD"/>
    <w:rsid w:val="00C068EA"/>
    <w:rsid w:val="00C1025C"/>
    <w:rsid w:val="00C15C59"/>
    <w:rsid w:val="00C34FCE"/>
    <w:rsid w:val="00C3629F"/>
    <w:rsid w:val="00C4091E"/>
    <w:rsid w:val="00C40945"/>
    <w:rsid w:val="00C40A53"/>
    <w:rsid w:val="00C42866"/>
    <w:rsid w:val="00C50D86"/>
    <w:rsid w:val="00C53B32"/>
    <w:rsid w:val="00C550DA"/>
    <w:rsid w:val="00C55721"/>
    <w:rsid w:val="00C56B31"/>
    <w:rsid w:val="00C66430"/>
    <w:rsid w:val="00C70816"/>
    <w:rsid w:val="00C70A09"/>
    <w:rsid w:val="00C71198"/>
    <w:rsid w:val="00C736A2"/>
    <w:rsid w:val="00C75210"/>
    <w:rsid w:val="00C77E95"/>
    <w:rsid w:val="00C81092"/>
    <w:rsid w:val="00C81536"/>
    <w:rsid w:val="00C819F3"/>
    <w:rsid w:val="00C8338C"/>
    <w:rsid w:val="00C84859"/>
    <w:rsid w:val="00C849E7"/>
    <w:rsid w:val="00C873DA"/>
    <w:rsid w:val="00C9305B"/>
    <w:rsid w:val="00C94EA3"/>
    <w:rsid w:val="00C96AC8"/>
    <w:rsid w:val="00CA3E0E"/>
    <w:rsid w:val="00CB0AB5"/>
    <w:rsid w:val="00CB777E"/>
    <w:rsid w:val="00CC0530"/>
    <w:rsid w:val="00CC3554"/>
    <w:rsid w:val="00CC6060"/>
    <w:rsid w:val="00CC739F"/>
    <w:rsid w:val="00CD163C"/>
    <w:rsid w:val="00CF12FA"/>
    <w:rsid w:val="00CF4EC8"/>
    <w:rsid w:val="00D0326F"/>
    <w:rsid w:val="00D079A1"/>
    <w:rsid w:val="00D10290"/>
    <w:rsid w:val="00D10BD4"/>
    <w:rsid w:val="00D11A61"/>
    <w:rsid w:val="00D20F4D"/>
    <w:rsid w:val="00D22935"/>
    <w:rsid w:val="00D45C41"/>
    <w:rsid w:val="00D53A90"/>
    <w:rsid w:val="00D57419"/>
    <w:rsid w:val="00D623B5"/>
    <w:rsid w:val="00D657B0"/>
    <w:rsid w:val="00D6666B"/>
    <w:rsid w:val="00D67397"/>
    <w:rsid w:val="00D70D99"/>
    <w:rsid w:val="00D71EB0"/>
    <w:rsid w:val="00D74B66"/>
    <w:rsid w:val="00D9034E"/>
    <w:rsid w:val="00D908E9"/>
    <w:rsid w:val="00DA03BC"/>
    <w:rsid w:val="00DA1416"/>
    <w:rsid w:val="00DB6899"/>
    <w:rsid w:val="00DC2C19"/>
    <w:rsid w:val="00DC34B4"/>
    <w:rsid w:val="00DC41D1"/>
    <w:rsid w:val="00DE424F"/>
    <w:rsid w:val="00DE65C1"/>
    <w:rsid w:val="00DF3144"/>
    <w:rsid w:val="00E02067"/>
    <w:rsid w:val="00E0256D"/>
    <w:rsid w:val="00E13AFD"/>
    <w:rsid w:val="00E13F3C"/>
    <w:rsid w:val="00E248BE"/>
    <w:rsid w:val="00E54396"/>
    <w:rsid w:val="00E5746A"/>
    <w:rsid w:val="00E64297"/>
    <w:rsid w:val="00E91134"/>
    <w:rsid w:val="00EA486F"/>
    <w:rsid w:val="00EC5E8B"/>
    <w:rsid w:val="00ED3F57"/>
    <w:rsid w:val="00ED45ED"/>
    <w:rsid w:val="00ED4A5B"/>
    <w:rsid w:val="00EE5EA1"/>
    <w:rsid w:val="00EF0F30"/>
    <w:rsid w:val="00EF4059"/>
    <w:rsid w:val="00EF4B73"/>
    <w:rsid w:val="00F0366D"/>
    <w:rsid w:val="00F07362"/>
    <w:rsid w:val="00F13109"/>
    <w:rsid w:val="00F15924"/>
    <w:rsid w:val="00F17C12"/>
    <w:rsid w:val="00F26F94"/>
    <w:rsid w:val="00F279B3"/>
    <w:rsid w:val="00F3004E"/>
    <w:rsid w:val="00F40027"/>
    <w:rsid w:val="00F4192E"/>
    <w:rsid w:val="00F45736"/>
    <w:rsid w:val="00F50B63"/>
    <w:rsid w:val="00F533DA"/>
    <w:rsid w:val="00F54087"/>
    <w:rsid w:val="00F62032"/>
    <w:rsid w:val="00F6366C"/>
    <w:rsid w:val="00F642BF"/>
    <w:rsid w:val="00F649D3"/>
    <w:rsid w:val="00F653CC"/>
    <w:rsid w:val="00F65D00"/>
    <w:rsid w:val="00F73ADB"/>
    <w:rsid w:val="00F74569"/>
    <w:rsid w:val="00F75DFD"/>
    <w:rsid w:val="00F86396"/>
    <w:rsid w:val="00F867D2"/>
    <w:rsid w:val="00F877D5"/>
    <w:rsid w:val="00F9116A"/>
    <w:rsid w:val="00FA0F39"/>
    <w:rsid w:val="00FA139F"/>
    <w:rsid w:val="00FA6C5F"/>
    <w:rsid w:val="00FC203E"/>
    <w:rsid w:val="00FC36AB"/>
    <w:rsid w:val="00FC3B15"/>
    <w:rsid w:val="00FC73BD"/>
    <w:rsid w:val="00FC7F47"/>
    <w:rsid w:val="00FD0319"/>
    <w:rsid w:val="00FD4713"/>
    <w:rsid w:val="00FD57E6"/>
    <w:rsid w:val="00FD6831"/>
    <w:rsid w:val="00FD75CF"/>
    <w:rsid w:val="00FE29B6"/>
    <w:rsid w:val="00FE5AFD"/>
    <w:rsid w:val="00FF3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F11D5"/>
  <w15:chartTrackingRefBased/>
  <w15:docId w15:val="{168298B0-06FB-42FA-8C55-557B2F8D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19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19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19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19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19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19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19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19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19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9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19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19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9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9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9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9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9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9F3"/>
    <w:rPr>
      <w:rFonts w:eastAsiaTheme="majorEastAsia" w:cstheme="majorBidi"/>
      <w:color w:val="272727" w:themeColor="text1" w:themeTint="D8"/>
    </w:rPr>
  </w:style>
  <w:style w:type="paragraph" w:styleId="Title">
    <w:name w:val="Title"/>
    <w:basedOn w:val="Normal"/>
    <w:next w:val="Normal"/>
    <w:link w:val="TitleChar"/>
    <w:uiPriority w:val="10"/>
    <w:qFormat/>
    <w:rsid w:val="00C819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9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9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19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19F3"/>
    <w:pPr>
      <w:spacing w:before="160"/>
      <w:jc w:val="center"/>
    </w:pPr>
    <w:rPr>
      <w:i/>
      <w:iCs/>
      <w:color w:val="404040" w:themeColor="text1" w:themeTint="BF"/>
    </w:rPr>
  </w:style>
  <w:style w:type="character" w:customStyle="1" w:styleId="QuoteChar">
    <w:name w:val="Quote Char"/>
    <w:basedOn w:val="DefaultParagraphFont"/>
    <w:link w:val="Quote"/>
    <w:uiPriority w:val="29"/>
    <w:rsid w:val="00C819F3"/>
    <w:rPr>
      <w:i/>
      <w:iCs/>
      <w:color w:val="404040" w:themeColor="text1" w:themeTint="BF"/>
    </w:rPr>
  </w:style>
  <w:style w:type="paragraph" w:styleId="ListParagraph">
    <w:name w:val="List Paragraph"/>
    <w:basedOn w:val="Normal"/>
    <w:uiPriority w:val="34"/>
    <w:qFormat/>
    <w:rsid w:val="00C819F3"/>
    <w:pPr>
      <w:ind w:left="720"/>
      <w:contextualSpacing/>
    </w:pPr>
  </w:style>
  <w:style w:type="character" w:styleId="IntenseEmphasis">
    <w:name w:val="Intense Emphasis"/>
    <w:basedOn w:val="DefaultParagraphFont"/>
    <w:uiPriority w:val="21"/>
    <w:qFormat/>
    <w:rsid w:val="00C819F3"/>
    <w:rPr>
      <w:i/>
      <w:iCs/>
      <w:color w:val="0F4761" w:themeColor="accent1" w:themeShade="BF"/>
    </w:rPr>
  </w:style>
  <w:style w:type="paragraph" w:styleId="IntenseQuote">
    <w:name w:val="Intense Quote"/>
    <w:basedOn w:val="Normal"/>
    <w:next w:val="Normal"/>
    <w:link w:val="IntenseQuoteChar"/>
    <w:uiPriority w:val="30"/>
    <w:qFormat/>
    <w:rsid w:val="00C819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19F3"/>
    <w:rPr>
      <w:i/>
      <w:iCs/>
      <w:color w:val="0F4761" w:themeColor="accent1" w:themeShade="BF"/>
    </w:rPr>
  </w:style>
  <w:style w:type="character" w:styleId="IntenseReference">
    <w:name w:val="Intense Reference"/>
    <w:basedOn w:val="DefaultParagraphFont"/>
    <w:uiPriority w:val="32"/>
    <w:qFormat/>
    <w:rsid w:val="00C819F3"/>
    <w:rPr>
      <w:b/>
      <w:bCs/>
      <w:smallCaps/>
      <w:color w:val="0F4761" w:themeColor="accent1" w:themeShade="BF"/>
      <w:spacing w:val="5"/>
    </w:rPr>
  </w:style>
  <w:style w:type="character" w:styleId="Hyperlink">
    <w:name w:val="Hyperlink"/>
    <w:basedOn w:val="DefaultParagraphFont"/>
    <w:uiPriority w:val="99"/>
    <w:unhideWhenUsed/>
    <w:rsid w:val="00C819F3"/>
    <w:rPr>
      <w:color w:val="467886" w:themeColor="hyperlink"/>
      <w:u w:val="single"/>
    </w:rPr>
  </w:style>
  <w:style w:type="character" w:styleId="UnresolvedMention">
    <w:name w:val="Unresolved Mention"/>
    <w:basedOn w:val="DefaultParagraphFont"/>
    <w:uiPriority w:val="99"/>
    <w:semiHidden/>
    <w:unhideWhenUsed/>
    <w:rsid w:val="00C819F3"/>
    <w:rPr>
      <w:color w:val="605E5C"/>
      <w:shd w:val="clear" w:color="auto" w:fill="E1DFDD"/>
    </w:rPr>
  </w:style>
  <w:style w:type="paragraph" w:styleId="Header">
    <w:name w:val="header"/>
    <w:basedOn w:val="Normal"/>
    <w:link w:val="HeaderChar"/>
    <w:uiPriority w:val="99"/>
    <w:unhideWhenUsed/>
    <w:rsid w:val="001406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60E"/>
  </w:style>
  <w:style w:type="paragraph" w:styleId="Footer">
    <w:name w:val="footer"/>
    <w:basedOn w:val="Normal"/>
    <w:link w:val="FooterChar"/>
    <w:uiPriority w:val="99"/>
    <w:unhideWhenUsed/>
    <w:rsid w:val="001406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60E"/>
  </w:style>
  <w:style w:type="character" w:styleId="FollowedHyperlink">
    <w:name w:val="FollowedHyperlink"/>
    <w:basedOn w:val="DefaultParagraphFont"/>
    <w:uiPriority w:val="99"/>
    <w:semiHidden/>
    <w:unhideWhenUsed/>
    <w:rsid w:val="0014060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8351810701471286" TargetMode="External"/><Relationship Id="rId13" Type="http://schemas.openxmlformats.org/officeDocument/2006/relationships/hyperlink" Target="https://doi.org/10.1016/j.infbeh.2015.01.002" TargetMode="External"/><Relationship Id="rId18" Type="http://schemas.openxmlformats.org/officeDocument/2006/relationships/hyperlink" Target="https://www.uwtsd.ac.uk/research/research-integrity-and-ethic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cupola.gettysburg.edu/gssr/vol5/iss1/3" TargetMode="External"/><Relationship Id="rId12" Type="http://schemas.openxmlformats.org/officeDocument/2006/relationships/hyperlink" Target="https://doi.org/10.1080/016502597384875" TargetMode="External"/><Relationship Id="rId17" Type="http://schemas.openxmlformats.org/officeDocument/2006/relationships/hyperlink" Target="http://www.unicef.org.uk/Documents/Publication-pdfs/UNCRC_PRESS200910web.pdf" TargetMode="External"/><Relationship Id="rId2" Type="http://schemas.openxmlformats.org/officeDocument/2006/relationships/styles" Target="styles.xml"/><Relationship Id="rId16" Type="http://schemas.openxmlformats.org/officeDocument/2006/relationships/hyperlink" Target="https://doi.org/10.2307/113001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11/1467-9450.00115" TargetMode="External"/><Relationship Id="rId5" Type="http://schemas.openxmlformats.org/officeDocument/2006/relationships/footnotes" Target="footnotes.xml"/><Relationship Id="rId15" Type="http://schemas.openxmlformats.org/officeDocument/2006/relationships/hyperlink" Target="https://doi.org/10.1016/j.pragma.2009.05.006" TargetMode="External"/><Relationship Id="rId10" Type="http://schemas.openxmlformats.org/officeDocument/2006/relationships/hyperlink" Target="https://doi.org/10.3109/17549507.2014.941934"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02/icd.1786" TargetMode="External"/><Relationship Id="rId14" Type="http://schemas.openxmlformats.org/officeDocument/2006/relationships/hyperlink" Target="https://www.jrmo.org.uk/performing-research/conducting-research-with-human-participants-outside-the-nhs/risk-considerations/#A1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13676-ADEE-4272-A17E-F1D942898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10533</TotalTime>
  <Pages>9</Pages>
  <Words>4791</Words>
  <Characters>27313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dc:creator>
  <cp:keywords/>
  <dc:description/>
  <cp:lastModifiedBy>claire thomas</cp:lastModifiedBy>
  <cp:revision>477</cp:revision>
  <dcterms:created xsi:type="dcterms:W3CDTF">2024-04-29T11:37:00Z</dcterms:created>
  <dcterms:modified xsi:type="dcterms:W3CDTF">2024-05-19T20:52:00Z</dcterms:modified>
</cp:coreProperties>
</file>