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87269C9">
      <w:pPr>
        <w:pStyle w:val="2"/>
        <w:keepNext w:val="0"/>
        <w:keepLines w:val="0"/>
        <w:widowControl/>
        <w:suppressLineNumbers w:val="0"/>
        <w:rPr>
          <w:sz w:val="24"/>
          <w:szCs w:val="24"/>
        </w:rPr>
      </w:pPr>
      <w:r>
        <w:rPr>
          <w:sz w:val="24"/>
          <w:szCs w:val="24"/>
        </w:rPr>
        <w:t>I contributed to marketing the conference by sharing its promotional materials on my WeChat Moments, which is one of the most widely used social networking features in China and an important channel for peer-to-peer communication. I posted the conference poster and programme in a clear and visually engaging way, accompanied by a short introduction to the event and its relevance to art and design research. This helped raise awareness of the conference among people in my personal and academic network.</w:t>
      </w:r>
    </w:p>
    <w:p w14:paraId="52EBEB3A">
      <w:pPr>
        <w:pStyle w:val="2"/>
        <w:keepNext w:val="0"/>
        <w:keepLines w:val="0"/>
        <w:widowControl/>
        <w:suppressLineNumbers w:val="0"/>
        <w:rPr>
          <w:sz w:val="24"/>
          <w:szCs w:val="24"/>
        </w:rPr>
      </w:pPr>
      <w:r>
        <w:rPr>
          <w:sz w:val="24"/>
          <w:szCs w:val="24"/>
        </w:rPr>
        <w:t>I chose WeChat Moments because it is the platform I use most regularly to communicate with friends, classmates, researchers, and contacts in the art and design field. Unlike more formal mailing channels, WeChat allows information to circulate quickly through personal trust networks. When people see a post shared by someone they know, they are often more likely to pay attention to it, engage with it, and potentially pass it on. This makes it especially useful for promoting academic and cultural events in a way that feels direct and accessible.</w:t>
      </w:r>
    </w:p>
    <w:p w14:paraId="7B455B91">
      <w:pPr>
        <w:pStyle w:val="2"/>
        <w:keepNext w:val="0"/>
        <w:keepLines w:val="0"/>
        <w:widowControl/>
        <w:suppressLineNumbers w:val="0"/>
        <w:rPr>
          <w:sz w:val="24"/>
          <w:szCs w:val="24"/>
        </w:rPr>
      </w:pPr>
      <w:r>
        <w:rPr>
          <w:sz w:val="24"/>
          <w:szCs w:val="24"/>
        </w:rPr>
        <w:t>Sharing the conference on WeChat Moments also allowed me to reach a mixed audience, including fellow postgraduate students, artists, and contacts in China who may not otherwise encounter the event through university or institutional channels. In this sense, the platform helped extend the conference’s visibility beyond its immediate organisers and participants. My contribution therefore supported the conference’s promotion by using a familiar and effective social media space to widen its reach and encourage interest through my own personal network.</w:t>
      </w:r>
    </w:p>
    <w:p w14:paraId="5720545D">
      <w:pPr>
        <w:pStyle w:val="2"/>
        <w:keepNext w:val="0"/>
        <w:keepLines w:val="0"/>
        <w:widowControl/>
        <w:suppressLineNumbers w:val="0"/>
        <w:jc w:val="center"/>
      </w:pPr>
      <w:r>
        <w:rPr>
          <w:rFonts w:hint="eastAsia" w:eastAsiaTheme="minorEastAsia"/>
          <w:lang w:eastAsia="zh-CN"/>
        </w:rPr>
        <w:drawing>
          <wp:inline distT="0" distB="0" distL="114300" distR="114300">
            <wp:extent cx="3189605" cy="4123055"/>
            <wp:effectExtent l="0" t="0" r="1270" b="1270"/>
            <wp:docPr id="1" name="图片 1" descr="14584972d603f091dc0d3c4fec2c14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4584972d603f091dc0d3c4fec2c1487"/>
                    <pic:cNvPicPr>
                      <a:picLocks noChangeAspect="1"/>
                    </pic:cNvPicPr>
                  </pic:nvPicPr>
                  <pic:blipFill>
                    <a:blip r:embed="rId4"/>
                    <a:stretch>
                      <a:fillRect/>
                    </a:stretch>
                  </pic:blipFill>
                  <pic:spPr>
                    <a:xfrm>
                      <a:off x="0" y="0"/>
                      <a:ext cx="3189605" cy="4123055"/>
                    </a:xfrm>
                    <a:prstGeom prst="rect">
                      <a:avLst/>
                    </a:prstGeom>
                  </pic:spPr>
                </pic:pic>
              </a:graphicData>
            </a:graphic>
          </wp:inline>
        </w:drawing>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9"/>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DC6231F"/>
    <w:rsid w:val="0DC623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Office_12.1.0.25865_F1E327BC-269C-435d-A152-05C5408002CA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2026-05-04T13:57:00Z</dcterms:created>
  <dc:creator>虚数</dc:creator>
  <cp:lastModifiedBy>虚数</cp:lastModifiedBy>
  <dcterms:modified xsi:type="dcterms:W3CDTF">2026-05-04T14:00:06Z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2052-12.1.0.25865</vt:lpwstr>
  </property>
  <property fmtid="{D5CDD505-2E9C-101B-9397-08002B2CF9AE}" pid="3" name="ICV">
    <vt:lpwstr>2B5A2D6B5F044442AED744C0B1F03C7B_11</vt:lpwstr>
  </property>
  <property fmtid="{D5CDD505-2E9C-101B-9397-08002B2CF9AE}" pid="4" name="KSOTemplateDocerSaveRecord">
    <vt:lpwstr>eyJoZGlkIjoiODVjZjNkZjc2NWZhYWY3Y2MyMjQxYjU0YWIwZTQ5YTQiLCJ1c2VySWQiOiI0MjQyNjUzMDgifQ==</vt:lpwstr>
  </property>
</Properties>
</file>