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BE5D49B" w14:textId="1B9994D9" w:rsidR="00DA1D2B" w:rsidRDefault="00DA1D2B" w:rsidP="00584A3C">
      <w:pPr>
        <w:spacing w:before="480" w:after="200"/>
        <w:jc w:val="center"/>
        <w:rPr>
          <w:rFonts w:ascii="Arial" w:eastAsia="SimSun" w:hAnsi="Arial" w:cs="Arial"/>
          <w:b/>
          <w:bCs/>
          <w:sz w:val="24"/>
          <w:szCs w:val="24"/>
        </w:rPr>
      </w:pPr>
      <w:r>
        <w:rPr>
          <w:rFonts w:ascii="Arial" w:eastAsia="SimSun" w:hAnsi="Arial" w:cs="Arial"/>
          <w:b/>
          <w:bCs/>
          <w:sz w:val="24"/>
          <w:szCs w:val="24"/>
        </w:rPr>
        <w:t xml:space="preserve">Module </w:t>
      </w:r>
      <w:r w:rsidR="005004C9">
        <w:rPr>
          <w:rFonts w:ascii="Arial" w:eastAsia="SimSun" w:hAnsi="Arial" w:cs="Arial"/>
          <w:b/>
          <w:bCs/>
          <w:sz w:val="24"/>
          <w:szCs w:val="24"/>
        </w:rPr>
        <w:t>cod</w:t>
      </w:r>
      <w:r w:rsidR="00172154">
        <w:rPr>
          <w:rFonts w:ascii="Arial" w:eastAsia="SimSun" w:hAnsi="Arial" w:cs="Arial"/>
          <w:b/>
          <w:bCs/>
          <w:sz w:val="24"/>
          <w:szCs w:val="24"/>
        </w:rPr>
        <w:t xml:space="preserve">e: </w:t>
      </w:r>
      <w:r w:rsidR="009575B5">
        <w:rPr>
          <w:rFonts w:ascii="Arial" w:eastAsia="SimSun" w:hAnsi="Arial" w:cs="Arial"/>
          <w:b/>
          <w:bCs/>
          <w:sz w:val="24"/>
          <w:szCs w:val="24"/>
        </w:rPr>
        <w:t>LCBB</w:t>
      </w:r>
      <w:r w:rsidR="006E7A2B">
        <w:rPr>
          <w:rFonts w:ascii="Arial" w:eastAsia="SimSun" w:hAnsi="Arial" w:cs="Arial"/>
          <w:b/>
          <w:bCs/>
          <w:sz w:val="24"/>
          <w:szCs w:val="24"/>
        </w:rPr>
        <w:t>6014</w:t>
      </w:r>
    </w:p>
    <w:p w14:paraId="20017550" w14:textId="6A5C4AD7" w:rsidR="00887A8B" w:rsidRDefault="00887A8B" w:rsidP="00584A3C">
      <w:pPr>
        <w:spacing w:before="480" w:after="200"/>
        <w:jc w:val="center"/>
        <w:rPr>
          <w:rFonts w:ascii="Arial" w:eastAsia="SimSun" w:hAnsi="Arial" w:cs="Arial"/>
          <w:b/>
          <w:bCs/>
          <w:sz w:val="24"/>
          <w:szCs w:val="24"/>
        </w:rPr>
      </w:pPr>
      <w:r>
        <w:rPr>
          <w:rFonts w:ascii="Arial" w:eastAsia="SimSun" w:hAnsi="Arial" w:cs="Arial"/>
          <w:b/>
          <w:bCs/>
          <w:sz w:val="24"/>
          <w:szCs w:val="24"/>
        </w:rPr>
        <w:t>Assignment title</w:t>
      </w:r>
      <w:r w:rsidR="00C46967">
        <w:rPr>
          <w:rFonts w:ascii="Arial" w:eastAsia="SimSun" w:hAnsi="Arial" w:cs="Arial"/>
          <w:b/>
          <w:bCs/>
          <w:sz w:val="24"/>
          <w:szCs w:val="24"/>
        </w:rPr>
        <w:t xml:space="preserve">: Research proposal </w:t>
      </w:r>
    </w:p>
    <w:p w14:paraId="5AF5B8D6" w14:textId="38A34DA0" w:rsidR="00FB193D" w:rsidRDefault="00446490" w:rsidP="00584A3C">
      <w:pPr>
        <w:spacing w:before="480" w:after="200"/>
        <w:jc w:val="center"/>
        <w:rPr>
          <w:rFonts w:ascii="Arial" w:eastAsia="SimSun" w:hAnsi="Arial" w:cs="Arial"/>
          <w:b/>
          <w:bCs/>
          <w:sz w:val="24"/>
          <w:szCs w:val="24"/>
        </w:rPr>
      </w:pPr>
      <w:r>
        <w:rPr>
          <w:rFonts w:ascii="Arial" w:eastAsia="SimSun" w:hAnsi="Arial" w:cs="Arial"/>
          <w:b/>
          <w:bCs/>
          <w:sz w:val="24"/>
          <w:szCs w:val="24"/>
        </w:rPr>
        <w:t>Student name</w:t>
      </w:r>
      <w:r w:rsidR="00A86B7D">
        <w:rPr>
          <w:rFonts w:ascii="Arial" w:eastAsia="SimSun" w:hAnsi="Arial" w:cs="Arial"/>
          <w:b/>
          <w:bCs/>
          <w:sz w:val="24"/>
          <w:szCs w:val="24"/>
        </w:rPr>
        <w:t xml:space="preserve">: </w:t>
      </w:r>
      <w:proofErr w:type="spellStart"/>
      <w:r w:rsidR="00A86B7D">
        <w:rPr>
          <w:rFonts w:ascii="Arial" w:eastAsia="SimSun" w:hAnsi="Arial" w:cs="Arial"/>
          <w:b/>
          <w:bCs/>
          <w:sz w:val="24"/>
          <w:szCs w:val="24"/>
        </w:rPr>
        <w:t>Amadu</w:t>
      </w:r>
      <w:proofErr w:type="spellEnd"/>
      <w:r w:rsidR="00A86B7D">
        <w:rPr>
          <w:rFonts w:ascii="Arial" w:eastAsia="SimSun" w:hAnsi="Arial" w:cs="Arial"/>
          <w:b/>
          <w:bCs/>
          <w:sz w:val="24"/>
          <w:szCs w:val="24"/>
        </w:rPr>
        <w:t xml:space="preserve"> Barrie</w:t>
      </w:r>
    </w:p>
    <w:p w14:paraId="43A8FDC8" w14:textId="0EAB4153" w:rsidR="00A86B7D" w:rsidRDefault="00A86B7D" w:rsidP="00584A3C">
      <w:pPr>
        <w:spacing w:before="480" w:after="200"/>
        <w:jc w:val="center"/>
        <w:rPr>
          <w:rFonts w:ascii="Arial" w:eastAsia="SimSun" w:hAnsi="Arial" w:cs="Arial"/>
          <w:b/>
          <w:bCs/>
          <w:sz w:val="24"/>
          <w:szCs w:val="24"/>
        </w:rPr>
      </w:pPr>
      <w:r>
        <w:rPr>
          <w:rFonts w:ascii="Arial" w:eastAsia="SimSun" w:hAnsi="Arial" w:cs="Arial"/>
          <w:b/>
          <w:bCs/>
          <w:sz w:val="24"/>
          <w:szCs w:val="24"/>
        </w:rPr>
        <w:t xml:space="preserve">Student </w:t>
      </w:r>
      <w:r w:rsidR="00C2671B">
        <w:rPr>
          <w:rFonts w:ascii="Arial" w:eastAsia="SimSun" w:hAnsi="Arial" w:cs="Arial"/>
          <w:b/>
          <w:bCs/>
          <w:sz w:val="24"/>
          <w:szCs w:val="24"/>
        </w:rPr>
        <w:t>ID</w:t>
      </w:r>
      <w:r>
        <w:rPr>
          <w:rFonts w:ascii="Arial" w:eastAsia="SimSun" w:hAnsi="Arial" w:cs="Arial"/>
          <w:b/>
          <w:bCs/>
          <w:sz w:val="24"/>
          <w:szCs w:val="24"/>
        </w:rPr>
        <w:t xml:space="preserve">: </w:t>
      </w:r>
      <w:r w:rsidR="00A33108">
        <w:rPr>
          <w:rFonts w:ascii="Arial" w:eastAsia="SimSun" w:hAnsi="Arial" w:cs="Arial"/>
          <w:b/>
          <w:bCs/>
          <w:sz w:val="24"/>
          <w:szCs w:val="24"/>
        </w:rPr>
        <w:t>232</w:t>
      </w:r>
      <w:r w:rsidR="00115062">
        <w:rPr>
          <w:rFonts w:ascii="Arial" w:eastAsia="SimSun" w:hAnsi="Arial" w:cs="Arial"/>
          <w:b/>
          <w:bCs/>
          <w:sz w:val="24"/>
          <w:szCs w:val="24"/>
        </w:rPr>
        <w:t>3784</w:t>
      </w:r>
    </w:p>
    <w:p w14:paraId="1B6DB610" w14:textId="77777777" w:rsidR="00597E2D" w:rsidRDefault="00597E2D" w:rsidP="00A77CFA">
      <w:pPr>
        <w:spacing w:before="480" w:after="200" w:line="360" w:lineRule="auto"/>
        <w:rPr>
          <w:rFonts w:ascii="Arial" w:eastAsia="SimSun" w:hAnsi="Arial" w:cs="Arial"/>
          <w:b/>
          <w:bCs/>
          <w:sz w:val="24"/>
          <w:szCs w:val="24"/>
        </w:rPr>
      </w:pPr>
    </w:p>
    <w:p w14:paraId="3F1A7485" w14:textId="0828AC7C" w:rsidR="00005A3C" w:rsidRPr="003827D7" w:rsidRDefault="00462943" w:rsidP="005C309F">
      <w:pPr>
        <w:spacing w:before="480" w:after="200" w:line="360" w:lineRule="auto"/>
        <w:jc w:val="center"/>
        <w:rPr>
          <w:rFonts w:ascii="Arial" w:hAnsi="Arial" w:cs="Arial"/>
          <w:sz w:val="24"/>
          <w:szCs w:val="24"/>
        </w:rPr>
      </w:pPr>
      <w:r>
        <w:rPr>
          <w:rFonts w:ascii="Arial" w:eastAsia="SimSun" w:hAnsi="Arial" w:cs="Arial"/>
          <w:b/>
          <w:bCs/>
          <w:sz w:val="24"/>
          <w:szCs w:val="24"/>
        </w:rPr>
        <w:t>Research Proposal</w:t>
      </w:r>
    </w:p>
    <w:p w14:paraId="74F4DD51" w14:textId="77777777" w:rsidR="00005A3C" w:rsidRPr="003827D7" w:rsidRDefault="005C309F" w:rsidP="005C309F">
      <w:pPr>
        <w:spacing w:after="200" w:line="360" w:lineRule="auto"/>
        <w:rPr>
          <w:rFonts w:ascii="Arial" w:hAnsi="Arial" w:cs="Arial"/>
          <w:sz w:val="24"/>
          <w:szCs w:val="24"/>
        </w:rPr>
      </w:pPr>
      <w:r>
        <w:rPr>
          <w:rFonts w:ascii="Arial" w:eastAsia="SimSun" w:hAnsi="Arial" w:cs="Arial"/>
          <w:b/>
          <w:bCs/>
          <w:sz w:val="24"/>
          <w:szCs w:val="24"/>
        </w:rPr>
        <w:t>Research Topic: Impacts of the UK-EU TCA on SMEs in the food and beverage sector in West Midlands: Perishable Goods, Trade Barriers and Business Resilience</w:t>
      </w:r>
    </w:p>
    <w:p w14:paraId="70DB65CF" w14:textId="77777777" w:rsidR="00005A3C" w:rsidRPr="003827D7" w:rsidRDefault="00462943" w:rsidP="003827D7">
      <w:pPr>
        <w:pStyle w:val="Heading1"/>
        <w:spacing w:before="320" w:after="160" w:line="360" w:lineRule="auto"/>
        <w:rPr>
          <w:rFonts w:ascii="Arial" w:hAnsi="Arial" w:cs="Arial"/>
          <w:color w:val="auto"/>
          <w:sz w:val="24"/>
          <w:szCs w:val="24"/>
        </w:rPr>
      </w:pPr>
      <w:r>
        <w:rPr>
          <w:rFonts w:ascii="Arial" w:eastAsia="SimSun" w:hAnsi="Arial" w:cs="Arial"/>
          <w:b/>
          <w:bCs/>
          <w:color w:val="auto"/>
          <w:sz w:val="24"/>
          <w:szCs w:val="24"/>
        </w:rPr>
        <w:t>1. Introduction (300 words)</w:t>
      </w:r>
    </w:p>
    <w:p w14:paraId="2BDD99EE" w14:textId="77777777" w:rsidR="00005A3C" w:rsidRPr="003827D7" w:rsidRDefault="00462943" w:rsidP="003827D7">
      <w:pPr>
        <w:spacing w:after="160" w:line="360" w:lineRule="auto"/>
        <w:ind w:firstLine="475"/>
        <w:rPr>
          <w:rFonts w:ascii="Arial" w:hAnsi="Arial" w:cs="Arial"/>
          <w:sz w:val="24"/>
          <w:szCs w:val="24"/>
        </w:rPr>
      </w:pPr>
      <w:r>
        <w:rPr>
          <w:rFonts w:ascii="Arial" w:eastAsia="SimSun" w:hAnsi="Arial" w:cs="Arial"/>
          <w:sz w:val="24"/>
          <w:szCs w:val="24"/>
        </w:rPr>
        <w:t xml:space="preserve">Since January 2021, UK-EU trade has been governed by the Trade and Cooperation Agreement (TCA). Although the TCA preserved zero tariffs and quotas, it ended frictionless single market access and introduced customs formalities, rules of origin and sanitary, and phytosanitary (SPS) controls. Du, </w:t>
      </w:r>
      <w:proofErr w:type="spellStart"/>
      <w:r>
        <w:rPr>
          <w:rFonts w:ascii="Arial" w:eastAsia="SimSun" w:hAnsi="Arial" w:cs="Arial"/>
          <w:sz w:val="24"/>
          <w:szCs w:val="24"/>
        </w:rPr>
        <w:t>Shepotylo</w:t>
      </w:r>
      <w:proofErr w:type="spellEnd"/>
      <w:r>
        <w:rPr>
          <w:rFonts w:ascii="Arial" w:eastAsia="SimSun" w:hAnsi="Arial" w:cs="Arial"/>
          <w:sz w:val="24"/>
          <w:szCs w:val="24"/>
        </w:rPr>
        <w:t xml:space="preserve"> and </w:t>
      </w:r>
      <w:proofErr w:type="spellStart"/>
      <w:r>
        <w:rPr>
          <w:rFonts w:ascii="Arial" w:eastAsia="SimSun" w:hAnsi="Arial" w:cs="Arial"/>
          <w:sz w:val="24"/>
          <w:szCs w:val="24"/>
        </w:rPr>
        <w:t>Shi</w:t>
      </w:r>
      <w:proofErr w:type="spellEnd"/>
      <w:r>
        <w:rPr>
          <w:rFonts w:ascii="Arial" w:eastAsia="SimSun" w:hAnsi="Arial" w:cs="Arial"/>
          <w:sz w:val="24"/>
          <w:szCs w:val="24"/>
        </w:rPr>
        <w:t xml:space="preserve"> (2025) estimate that the TCA cut the value of UK agri-food exports to the EU by 35.1% and volumes by 46.6% and raised export prices by 20.8%. For businesses trading perishable goods, border delays directly cause quality risks, waste and lost contracts (Du, Messenger and </w:t>
      </w:r>
      <w:proofErr w:type="spellStart"/>
      <w:r>
        <w:rPr>
          <w:rFonts w:ascii="Arial" w:eastAsia="SimSun" w:hAnsi="Arial" w:cs="Arial"/>
          <w:sz w:val="24"/>
          <w:szCs w:val="24"/>
        </w:rPr>
        <w:t>Shepotylo</w:t>
      </w:r>
      <w:proofErr w:type="spellEnd"/>
      <w:r>
        <w:rPr>
          <w:rFonts w:ascii="Arial" w:eastAsia="SimSun" w:hAnsi="Arial" w:cs="Arial"/>
          <w:sz w:val="24"/>
          <w:szCs w:val="24"/>
        </w:rPr>
        <w:t>, 2024).</w:t>
      </w:r>
    </w:p>
    <w:p w14:paraId="6F67104E" w14:textId="77777777" w:rsidR="00005A3C" w:rsidRPr="003827D7" w:rsidRDefault="00462943" w:rsidP="003827D7">
      <w:pPr>
        <w:spacing w:after="160" w:line="360" w:lineRule="auto"/>
        <w:ind w:firstLine="475"/>
        <w:rPr>
          <w:rFonts w:ascii="Arial" w:hAnsi="Arial" w:cs="Arial"/>
          <w:sz w:val="24"/>
          <w:szCs w:val="24"/>
        </w:rPr>
      </w:pPr>
      <w:r>
        <w:rPr>
          <w:rFonts w:ascii="Arial" w:eastAsia="SimSun" w:hAnsi="Arial" w:cs="Arial"/>
          <w:sz w:val="24"/>
          <w:szCs w:val="24"/>
        </w:rPr>
        <w:t xml:space="preserve">These costs mostly impact the small and medium-sized enterprises (SMEs), which lack the financial capacity to absorb an increase in fixed compliance costs (Du, </w:t>
      </w:r>
      <w:proofErr w:type="spellStart"/>
      <w:r>
        <w:rPr>
          <w:rFonts w:ascii="Arial" w:eastAsia="SimSun" w:hAnsi="Arial" w:cs="Arial"/>
          <w:sz w:val="24"/>
          <w:szCs w:val="24"/>
        </w:rPr>
        <w:t>Shepotylo</w:t>
      </w:r>
      <w:proofErr w:type="spellEnd"/>
      <w:r>
        <w:rPr>
          <w:rFonts w:ascii="Arial" w:eastAsia="SimSun" w:hAnsi="Arial" w:cs="Arial"/>
          <w:sz w:val="24"/>
          <w:szCs w:val="24"/>
        </w:rPr>
        <w:t xml:space="preserve"> and </w:t>
      </w:r>
      <w:proofErr w:type="spellStart"/>
      <w:r>
        <w:rPr>
          <w:rFonts w:ascii="Arial" w:eastAsia="SimSun" w:hAnsi="Arial" w:cs="Arial"/>
          <w:sz w:val="24"/>
          <w:szCs w:val="24"/>
        </w:rPr>
        <w:t>Shi</w:t>
      </w:r>
      <w:proofErr w:type="spellEnd"/>
      <w:r>
        <w:rPr>
          <w:rFonts w:ascii="Arial" w:eastAsia="SimSun" w:hAnsi="Arial" w:cs="Arial"/>
          <w:sz w:val="24"/>
          <w:szCs w:val="24"/>
        </w:rPr>
        <w:t xml:space="preserve">, 2025; European Parliamentary Research Service, 2025). The West Midlands provides a compelling context as research by Wilson and </w:t>
      </w:r>
      <w:proofErr w:type="spellStart"/>
      <w:r>
        <w:rPr>
          <w:rFonts w:ascii="Arial" w:eastAsia="SimSun" w:hAnsi="Arial" w:cs="Arial"/>
          <w:sz w:val="24"/>
          <w:szCs w:val="24"/>
        </w:rPr>
        <w:t>Linares-Zegarra</w:t>
      </w:r>
      <w:proofErr w:type="spellEnd"/>
      <w:r>
        <w:rPr>
          <w:rFonts w:ascii="Arial" w:eastAsia="SimSun" w:hAnsi="Arial" w:cs="Arial"/>
          <w:sz w:val="24"/>
          <w:szCs w:val="24"/>
        </w:rPr>
        <w:t xml:space="preserve"> (2023) found that 42.4% of the region's SMEs anticipating a fall in turnover attributed this to Brexit. However, evidence remains largely national and quantitative, with evidence that shows how the region's food and beverage SMEs have experienced the TCA.</w:t>
      </w:r>
    </w:p>
    <w:p w14:paraId="5FE98029" w14:textId="77777777" w:rsidR="00005A3C" w:rsidRPr="003827D7" w:rsidRDefault="00462943" w:rsidP="003827D7">
      <w:pPr>
        <w:spacing w:after="160" w:line="360" w:lineRule="auto"/>
        <w:ind w:firstLine="475"/>
        <w:rPr>
          <w:rFonts w:ascii="Arial" w:hAnsi="Arial" w:cs="Arial"/>
          <w:sz w:val="24"/>
          <w:szCs w:val="24"/>
        </w:rPr>
      </w:pPr>
      <w:r>
        <w:rPr>
          <w:rFonts w:ascii="Arial" w:eastAsia="SimSun" w:hAnsi="Arial" w:cs="Arial"/>
          <w:sz w:val="24"/>
          <w:szCs w:val="24"/>
        </w:rPr>
        <w:lastRenderedPageBreak/>
        <w:t>Using a qualitative design, the study will conduct semi-structured interviews with owners and managers of West Midlands food and beverage SMEs trading with the EU to establish the impact of the post-TCA UK trading environment on their business. The potential outcome is a detailed account of how the TCA has affected cross-border trade, product quality, delivery times and costs, together with the adaptation strategies firms employ and the support they need, producing evidence of value to policymakers, support organisations and the academic debate on regional resilience.</w:t>
      </w:r>
    </w:p>
    <w:p w14:paraId="1BE6A074" w14:textId="77777777" w:rsidR="00005A3C" w:rsidRPr="003827D7" w:rsidRDefault="00462943" w:rsidP="003827D7">
      <w:pPr>
        <w:pStyle w:val="Heading1"/>
        <w:spacing w:before="320" w:after="160" w:line="360" w:lineRule="auto"/>
        <w:rPr>
          <w:rFonts w:ascii="Arial" w:hAnsi="Arial" w:cs="Arial"/>
          <w:color w:val="auto"/>
          <w:sz w:val="24"/>
          <w:szCs w:val="24"/>
        </w:rPr>
      </w:pPr>
      <w:r>
        <w:rPr>
          <w:rFonts w:ascii="Arial" w:eastAsia="SimSun" w:hAnsi="Arial" w:cs="Arial"/>
          <w:b/>
          <w:bCs/>
          <w:color w:val="auto"/>
          <w:sz w:val="24"/>
          <w:szCs w:val="24"/>
        </w:rPr>
        <w:t>2. Research Aim, Objectives and Research Questions (170 words)</w:t>
      </w:r>
    </w:p>
    <w:p w14:paraId="79A649C5" w14:textId="77777777" w:rsidR="0078240B" w:rsidRDefault="008C0D37">
      <w:pPr>
        <w:spacing w:after="160" w:line="360" w:lineRule="auto"/>
      </w:pPr>
      <w:r>
        <w:rPr>
          <w:rFonts w:ascii="Arial" w:eastAsia="SimSun" w:hAnsi="Arial" w:cs="Arial"/>
          <w:b/>
          <w:bCs/>
          <w:sz w:val="24"/>
          <w:szCs w:val="24"/>
        </w:rPr>
        <w:t xml:space="preserve">Aim: </w:t>
      </w:r>
      <w:r>
        <w:rPr>
          <w:rFonts w:ascii="Arial" w:eastAsia="SimSun" w:hAnsi="Arial" w:cs="Arial"/>
          <w:sz w:val="24"/>
          <w:szCs w:val="24"/>
        </w:rPr>
        <w:t>To investigate how the UK-EU TCA has affected cross-border trade, product quality, delivery times and costs for food and beverage SMEs in the West Midlands, and to identify how they adapt and what support they need to remain resilient.</w:t>
      </w:r>
    </w:p>
    <w:p w14:paraId="7B68FD47" w14:textId="77777777" w:rsidR="00005A3C" w:rsidRPr="003827D7" w:rsidRDefault="00462943" w:rsidP="00F9340C">
      <w:pPr>
        <w:spacing w:after="160" w:line="360" w:lineRule="auto"/>
        <w:rPr>
          <w:rFonts w:ascii="Arial" w:hAnsi="Arial" w:cs="Arial"/>
          <w:sz w:val="24"/>
          <w:szCs w:val="24"/>
        </w:rPr>
      </w:pPr>
      <w:r>
        <w:rPr>
          <w:rFonts w:ascii="Arial" w:eastAsia="SimSun" w:hAnsi="Arial" w:cs="Arial"/>
          <w:sz w:val="24"/>
          <w:szCs w:val="24"/>
        </w:rPr>
        <w:t>Three focused, manageable objectives reflect realistic access to genuine data through regional business networks:</w:t>
      </w:r>
    </w:p>
    <w:p w14:paraId="05C99099" w14:textId="77777777" w:rsidR="00005A3C" w:rsidRPr="00F9340C" w:rsidRDefault="00462943" w:rsidP="00F9340C">
      <w:pPr>
        <w:spacing w:after="160" w:line="276" w:lineRule="auto"/>
        <w:ind w:firstLine="475"/>
        <w:rPr>
          <w:rFonts w:ascii="Arial" w:hAnsi="Arial" w:cs="Arial"/>
          <w:sz w:val="22"/>
          <w:szCs w:val="22"/>
        </w:rPr>
      </w:pPr>
      <w:r>
        <w:rPr>
          <w:rFonts w:ascii="Arial" w:eastAsia="SimSun" w:hAnsi="Arial" w:cs="Arial"/>
          <w:sz w:val="22"/>
          <w:szCs w:val="22"/>
        </w:rPr>
        <w:t>1. To examine how TCA-related trade barriers have affected cross-border trade volumes, delivery times and costs for food and beverage SMEs in the West Midlands.</w:t>
      </w:r>
    </w:p>
    <w:p w14:paraId="20BCDE2E" w14:textId="77777777" w:rsidR="00005A3C" w:rsidRPr="00F9340C" w:rsidRDefault="00462943" w:rsidP="00F9340C">
      <w:pPr>
        <w:spacing w:after="160" w:line="276" w:lineRule="auto"/>
        <w:ind w:firstLine="475"/>
        <w:rPr>
          <w:rFonts w:ascii="Arial" w:hAnsi="Arial" w:cs="Arial"/>
          <w:sz w:val="22"/>
          <w:szCs w:val="22"/>
        </w:rPr>
      </w:pPr>
      <w:r>
        <w:rPr>
          <w:rFonts w:ascii="Arial" w:eastAsia="SimSun" w:hAnsi="Arial" w:cs="Arial"/>
          <w:sz w:val="22"/>
          <w:szCs w:val="22"/>
        </w:rPr>
        <w:t>2. To explore how product perishability and quality requirements shape the responses of these SMEs to post-TCA trading conditions.</w:t>
      </w:r>
    </w:p>
    <w:p w14:paraId="08A43EB7" w14:textId="77777777" w:rsidR="00005A3C" w:rsidRPr="00F9340C" w:rsidRDefault="00462943" w:rsidP="00F9340C">
      <w:pPr>
        <w:spacing w:after="160" w:line="276" w:lineRule="auto"/>
        <w:ind w:firstLine="475"/>
        <w:rPr>
          <w:rFonts w:ascii="Arial" w:hAnsi="Arial" w:cs="Arial"/>
          <w:sz w:val="22"/>
          <w:szCs w:val="22"/>
        </w:rPr>
      </w:pPr>
      <w:r>
        <w:rPr>
          <w:rFonts w:ascii="Arial" w:eastAsia="SimSun" w:hAnsi="Arial" w:cs="Arial"/>
          <w:sz w:val="22"/>
          <w:szCs w:val="22"/>
        </w:rPr>
        <w:t>3. To identify the adaptation strategies these businesses have adopted and the support they need to build resilience.</w:t>
      </w:r>
    </w:p>
    <w:p w14:paraId="2006A835" w14:textId="77777777" w:rsidR="00F9340C" w:rsidRDefault="00F9340C" w:rsidP="00F9340C">
      <w:pPr>
        <w:spacing w:after="160" w:line="360" w:lineRule="auto"/>
        <w:jc w:val="both"/>
        <w:rPr>
          <w:rFonts w:ascii="Arial" w:eastAsia="SimSun" w:hAnsi="Arial" w:cs="Arial"/>
          <w:sz w:val="24"/>
          <w:szCs w:val="24"/>
        </w:rPr>
      </w:pPr>
    </w:p>
    <w:p w14:paraId="3A6FB5CC" w14:textId="77777777" w:rsidR="00005A3C" w:rsidRPr="003827D7" w:rsidRDefault="00462943" w:rsidP="00F9340C">
      <w:pPr>
        <w:spacing w:after="160" w:line="360" w:lineRule="auto"/>
        <w:rPr>
          <w:rFonts w:ascii="Arial" w:hAnsi="Arial" w:cs="Arial"/>
          <w:sz w:val="24"/>
          <w:szCs w:val="24"/>
        </w:rPr>
      </w:pPr>
      <w:r>
        <w:rPr>
          <w:rFonts w:ascii="Arial" w:eastAsia="SimSun" w:hAnsi="Arial" w:cs="Arial"/>
          <w:sz w:val="24"/>
          <w:szCs w:val="24"/>
        </w:rPr>
        <w:t>The corresponding research questions are:</w:t>
      </w:r>
    </w:p>
    <w:p w14:paraId="6A9E23F4" w14:textId="77777777" w:rsidR="00005A3C" w:rsidRPr="00F9340C" w:rsidRDefault="00462943" w:rsidP="00F9340C">
      <w:pPr>
        <w:spacing w:after="160" w:line="276" w:lineRule="auto"/>
        <w:ind w:firstLine="475"/>
        <w:rPr>
          <w:rFonts w:ascii="Arial" w:hAnsi="Arial" w:cs="Arial"/>
          <w:sz w:val="22"/>
          <w:szCs w:val="22"/>
        </w:rPr>
      </w:pPr>
      <w:r>
        <w:rPr>
          <w:rFonts w:ascii="Arial" w:eastAsia="SimSun" w:hAnsi="Arial" w:cs="Arial"/>
          <w:sz w:val="22"/>
          <w:szCs w:val="22"/>
        </w:rPr>
        <w:t>1. How has the UK-EU TCA affected trade volumes, delivery times, costs and product quality for food and beverage SMEs in the West Midlands?</w:t>
      </w:r>
    </w:p>
    <w:p w14:paraId="4FD64778" w14:textId="77777777" w:rsidR="00005A3C" w:rsidRPr="00F9340C" w:rsidRDefault="00462943" w:rsidP="00F9340C">
      <w:pPr>
        <w:spacing w:after="160" w:line="276" w:lineRule="auto"/>
        <w:ind w:firstLine="475"/>
        <w:rPr>
          <w:rFonts w:ascii="Arial" w:hAnsi="Arial" w:cs="Arial"/>
          <w:sz w:val="22"/>
          <w:szCs w:val="22"/>
        </w:rPr>
      </w:pPr>
      <w:r>
        <w:rPr>
          <w:rFonts w:ascii="Arial" w:eastAsia="SimSun" w:hAnsi="Arial" w:cs="Arial"/>
          <w:sz w:val="22"/>
          <w:szCs w:val="22"/>
        </w:rPr>
        <w:t>2. How are these SMEs adapting their operations and supply chains in response to these changes?</w:t>
      </w:r>
    </w:p>
    <w:p w14:paraId="6A809BC9" w14:textId="77777777" w:rsidR="00005A3C" w:rsidRPr="00F9340C" w:rsidRDefault="00462943" w:rsidP="00F9340C">
      <w:pPr>
        <w:spacing w:after="160" w:line="276" w:lineRule="auto"/>
        <w:ind w:firstLine="475"/>
        <w:rPr>
          <w:rFonts w:ascii="Arial" w:hAnsi="Arial" w:cs="Arial"/>
          <w:sz w:val="22"/>
          <w:szCs w:val="22"/>
        </w:rPr>
      </w:pPr>
      <w:r>
        <w:rPr>
          <w:rFonts w:ascii="Arial" w:eastAsia="SimSun" w:hAnsi="Arial" w:cs="Arial"/>
          <w:sz w:val="22"/>
          <w:szCs w:val="22"/>
        </w:rPr>
        <w:t>3. What forms of support would most effectively strengthen the resilience of these businesses?</w:t>
      </w:r>
    </w:p>
    <w:p w14:paraId="62E55C03" w14:textId="77777777" w:rsidR="00005A3C" w:rsidRPr="003827D7" w:rsidRDefault="00462943" w:rsidP="003827D7">
      <w:pPr>
        <w:pStyle w:val="Heading1"/>
        <w:spacing w:before="320" w:after="160" w:line="360" w:lineRule="auto"/>
        <w:rPr>
          <w:rFonts w:ascii="Arial" w:hAnsi="Arial" w:cs="Arial"/>
          <w:color w:val="auto"/>
          <w:sz w:val="24"/>
          <w:szCs w:val="24"/>
        </w:rPr>
      </w:pPr>
      <w:r>
        <w:rPr>
          <w:rFonts w:ascii="Arial" w:eastAsia="SimSun" w:hAnsi="Arial" w:cs="Arial"/>
          <w:b/>
          <w:bCs/>
          <w:color w:val="auto"/>
          <w:sz w:val="24"/>
          <w:szCs w:val="24"/>
        </w:rPr>
        <w:t>3. Literature Review (340 words)</w:t>
      </w:r>
    </w:p>
    <w:p w14:paraId="1407D1CF" w14:textId="77777777" w:rsidR="00005A3C" w:rsidRPr="003827D7" w:rsidRDefault="00462943" w:rsidP="00F9340C">
      <w:pPr>
        <w:spacing w:after="160" w:line="360" w:lineRule="auto"/>
        <w:ind w:firstLine="475"/>
        <w:rPr>
          <w:rFonts w:ascii="Arial" w:hAnsi="Arial" w:cs="Arial"/>
          <w:sz w:val="24"/>
          <w:szCs w:val="24"/>
        </w:rPr>
      </w:pPr>
      <w:r>
        <w:rPr>
          <w:rFonts w:ascii="Arial" w:eastAsia="SimSun" w:hAnsi="Arial" w:cs="Arial"/>
          <w:sz w:val="24"/>
          <w:szCs w:val="24"/>
        </w:rPr>
        <w:t xml:space="preserve">Research measuring the aggregate effect of the TCA is growing. Du, </w:t>
      </w:r>
      <w:proofErr w:type="spellStart"/>
      <w:r>
        <w:rPr>
          <w:rFonts w:ascii="Arial" w:eastAsia="SimSun" w:hAnsi="Arial" w:cs="Arial"/>
          <w:sz w:val="24"/>
          <w:szCs w:val="24"/>
        </w:rPr>
        <w:t>Satoglu</w:t>
      </w:r>
      <w:proofErr w:type="spellEnd"/>
      <w:r>
        <w:rPr>
          <w:rFonts w:ascii="Arial" w:eastAsia="SimSun" w:hAnsi="Arial" w:cs="Arial"/>
          <w:sz w:val="24"/>
          <w:szCs w:val="24"/>
        </w:rPr>
        <w:t xml:space="preserve"> and </w:t>
      </w:r>
      <w:proofErr w:type="spellStart"/>
      <w:r>
        <w:rPr>
          <w:rFonts w:ascii="Arial" w:eastAsia="SimSun" w:hAnsi="Arial" w:cs="Arial"/>
          <w:sz w:val="24"/>
          <w:szCs w:val="24"/>
        </w:rPr>
        <w:t>Shepotylo</w:t>
      </w:r>
      <w:proofErr w:type="spellEnd"/>
      <w:r>
        <w:rPr>
          <w:rFonts w:ascii="Arial" w:eastAsia="SimSun" w:hAnsi="Arial" w:cs="Arial"/>
          <w:sz w:val="24"/>
          <w:szCs w:val="24"/>
        </w:rPr>
        <w:t xml:space="preserve"> (2023) document significant declines in UK-EU trade during the </w:t>
      </w:r>
      <w:r>
        <w:rPr>
          <w:rFonts w:ascii="Arial" w:eastAsia="SimSun" w:hAnsi="Arial" w:cs="Arial"/>
          <w:sz w:val="24"/>
          <w:szCs w:val="24"/>
        </w:rPr>
        <w:lastRenderedPageBreak/>
        <w:t xml:space="preserve">agreement's first year, while Du, Liu, </w:t>
      </w:r>
      <w:proofErr w:type="spellStart"/>
      <w:r>
        <w:rPr>
          <w:rFonts w:ascii="Arial" w:eastAsia="SimSun" w:hAnsi="Arial" w:cs="Arial"/>
          <w:sz w:val="24"/>
          <w:szCs w:val="24"/>
        </w:rPr>
        <w:t>Shepotylo</w:t>
      </w:r>
      <w:proofErr w:type="spellEnd"/>
      <w:r>
        <w:rPr>
          <w:rFonts w:ascii="Arial" w:eastAsia="SimSun" w:hAnsi="Arial" w:cs="Arial"/>
          <w:sz w:val="24"/>
          <w:szCs w:val="24"/>
        </w:rPr>
        <w:t xml:space="preserve"> and </w:t>
      </w:r>
      <w:proofErr w:type="spellStart"/>
      <w:r>
        <w:rPr>
          <w:rFonts w:ascii="Arial" w:eastAsia="SimSun" w:hAnsi="Arial" w:cs="Arial"/>
          <w:sz w:val="24"/>
          <w:szCs w:val="24"/>
        </w:rPr>
        <w:t>Shi</w:t>
      </w:r>
      <w:proofErr w:type="spellEnd"/>
      <w:r>
        <w:rPr>
          <w:rFonts w:ascii="Arial" w:eastAsia="SimSun" w:hAnsi="Arial" w:cs="Arial"/>
          <w:sz w:val="24"/>
          <w:szCs w:val="24"/>
        </w:rPr>
        <w:t xml:space="preserve"> (2024) show that UK exports to the EU fell by 27% between 2021 and 2023, with exported product varieties declining by 33%. Both attribute these outcomes principally to non-tariff measures, finding that the effects intensified over time. Focusing on agri-food trade, Du, </w:t>
      </w:r>
      <w:proofErr w:type="spellStart"/>
      <w:r>
        <w:rPr>
          <w:rFonts w:ascii="Arial" w:eastAsia="SimSun" w:hAnsi="Arial" w:cs="Arial"/>
          <w:sz w:val="24"/>
          <w:szCs w:val="24"/>
        </w:rPr>
        <w:t>Shepotylo</w:t>
      </w:r>
      <w:proofErr w:type="spellEnd"/>
      <w:r>
        <w:rPr>
          <w:rFonts w:ascii="Arial" w:eastAsia="SimSun" w:hAnsi="Arial" w:cs="Arial"/>
          <w:sz w:val="24"/>
          <w:szCs w:val="24"/>
        </w:rPr>
        <w:t xml:space="preserve"> and </w:t>
      </w:r>
      <w:proofErr w:type="spellStart"/>
      <w:r>
        <w:rPr>
          <w:rFonts w:ascii="Arial" w:eastAsia="SimSun" w:hAnsi="Arial" w:cs="Arial"/>
          <w:sz w:val="24"/>
          <w:szCs w:val="24"/>
        </w:rPr>
        <w:t>Shi</w:t>
      </w:r>
      <w:proofErr w:type="spellEnd"/>
      <w:r>
        <w:rPr>
          <w:rFonts w:ascii="Arial" w:eastAsia="SimSun" w:hAnsi="Arial" w:cs="Arial"/>
          <w:sz w:val="24"/>
          <w:szCs w:val="24"/>
        </w:rPr>
        <w:t xml:space="preserve"> (2025) show that the absence of mutual recognition of SPS standards has created border checks, paperwork and costs that mostly heavily impact smaller exporters in the SME sector.</w:t>
      </w:r>
    </w:p>
    <w:p w14:paraId="0B08A933" w14:textId="77777777" w:rsidR="00005A3C" w:rsidRPr="003827D7" w:rsidRDefault="00462943" w:rsidP="002919FA">
      <w:pPr>
        <w:spacing w:after="160" w:line="360" w:lineRule="auto"/>
        <w:ind w:firstLine="475"/>
        <w:rPr>
          <w:rFonts w:ascii="Arial" w:hAnsi="Arial" w:cs="Arial"/>
          <w:sz w:val="24"/>
          <w:szCs w:val="24"/>
        </w:rPr>
      </w:pPr>
      <w:r>
        <w:rPr>
          <w:rFonts w:ascii="Arial" w:eastAsia="SimSun" w:hAnsi="Arial" w:cs="Arial"/>
          <w:sz w:val="24"/>
          <w:szCs w:val="24"/>
        </w:rPr>
        <w:t xml:space="preserve">A second angle of research has examined how SMEs experience Brexit-related disruption. In their study, Brown, </w:t>
      </w:r>
      <w:proofErr w:type="spellStart"/>
      <w:r>
        <w:rPr>
          <w:rFonts w:ascii="Arial" w:eastAsia="SimSun" w:hAnsi="Arial" w:cs="Arial"/>
          <w:sz w:val="24"/>
          <w:szCs w:val="24"/>
        </w:rPr>
        <w:t>Linares-Zegarra</w:t>
      </w:r>
      <w:proofErr w:type="spellEnd"/>
      <w:r>
        <w:rPr>
          <w:rFonts w:ascii="Arial" w:eastAsia="SimSun" w:hAnsi="Arial" w:cs="Arial"/>
          <w:sz w:val="24"/>
          <w:szCs w:val="24"/>
        </w:rPr>
        <w:t xml:space="preserve"> and Wilson (2019) showed that, even before departure, that small and exporting SMEs were the most exposed to Brexit-related uncertainty. Using the Longitudinal Small Business Survey, Wilson and </w:t>
      </w:r>
      <w:proofErr w:type="spellStart"/>
      <w:r>
        <w:rPr>
          <w:rFonts w:ascii="Arial" w:eastAsia="SimSun" w:hAnsi="Arial" w:cs="Arial"/>
          <w:sz w:val="24"/>
          <w:szCs w:val="24"/>
        </w:rPr>
        <w:t>Linares-Zegarra</w:t>
      </w:r>
      <w:proofErr w:type="spellEnd"/>
      <w:r>
        <w:rPr>
          <w:rFonts w:ascii="Arial" w:eastAsia="SimSun" w:hAnsi="Arial" w:cs="Arial"/>
          <w:sz w:val="24"/>
          <w:szCs w:val="24"/>
        </w:rPr>
        <w:t xml:space="preserve"> (2023) found that between 20.3% and 24.5% of UK SMEs regarded Brexit as a major obstacle between 2018 and 2021 that had consequences for investment, internationalisation and turnover expectations. The European Parliamentary Research Service (2025) also reports that smaller firms struggle most with customs formalities and regulatory checks, which confirms that the burden of trade disintegration affects the SMEs more than the big businesses.</w:t>
      </w:r>
    </w:p>
    <w:p w14:paraId="664FC970" w14:textId="77777777" w:rsidR="00005A3C" w:rsidRPr="003827D7" w:rsidRDefault="00462943" w:rsidP="00950791">
      <w:pPr>
        <w:spacing w:after="160" w:line="360" w:lineRule="auto"/>
        <w:ind w:firstLine="475"/>
        <w:rPr>
          <w:rFonts w:ascii="Arial" w:hAnsi="Arial" w:cs="Arial"/>
          <w:sz w:val="24"/>
          <w:szCs w:val="24"/>
        </w:rPr>
      </w:pPr>
      <w:r>
        <w:rPr>
          <w:rFonts w:ascii="Arial" w:eastAsia="SimSun" w:hAnsi="Arial" w:cs="Arial"/>
          <w:sz w:val="24"/>
          <w:szCs w:val="24"/>
        </w:rPr>
        <w:t xml:space="preserve">A third angle of research addresses resilience and adaptation of SMEs. Brown, </w:t>
      </w:r>
      <w:proofErr w:type="spellStart"/>
      <w:r>
        <w:rPr>
          <w:rFonts w:ascii="Arial" w:eastAsia="SimSun" w:hAnsi="Arial" w:cs="Arial"/>
          <w:sz w:val="24"/>
          <w:szCs w:val="24"/>
        </w:rPr>
        <w:t>Kalafsky</w:t>
      </w:r>
      <w:proofErr w:type="spellEnd"/>
      <w:r>
        <w:rPr>
          <w:rFonts w:ascii="Arial" w:eastAsia="SimSun" w:hAnsi="Arial" w:cs="Arial"/>
          <w:sz w:val="24"/>
          <w:szCs w:val="24"/>
        </w:rPr>
        <w:t xml:space="preserve">, Mawson and Davies (2020), studying Scottish SMEs, conceptualise Brexit as an external shock and show that regional resilience depends on the resources and adaptive capabilities of small firms. </w:t>
      </w:r>
      <w:proofErr w:type="spellStart"/>
      <w:r>
        <w:rPr>
          <w:rFonts w:ascii="Arial" w:eastAsia="SimSun" w:hAnsi="Arial" w:cs="Arial"/>
          <w:sz w:val="24"/>
          <w:szCs w:val="24"/>
        </w:rPr>
        <w:t>Filippaios</w:t>
      </w:r>
      <w:proofErr w:type="spellEnd"/>
      <w:r>
        <w:rPr>
          <w:rFonts w:ascii="Arial" w:eastAsia="SimSun" w:hAnsi="Arial" w:cs="Arial"/>
          <w:sz w:val="24"/>
          <w:szCs w:val="24"/>
        </w:rPr>
        <w:t xml:space="preserve"> (2019) found that currency volatility, fragile customer networks and rising trade costs undermined SME confidence, arguing that targeted support could mitigate these effects. At the aggregate level, Du, Liu, </w:t>
      </w:r>
      <w:proofErr w:type="spellStart"/>
      <w:r>
        <w:rPr>
          <w:rFonts w:ascii="Arial" w:eastAsia="SimSun" w:hAnsi="Arial" w:cs="Arial"/>
          <w:sz w:val="24"/>
          <w:szCs w:val="24"/>
        </w:rPr>
        <w:t>Shepotylo</w:t>
      </w:r>
      <w:proofErr w:type="spellEnd"/>
      <w:r>
        <w:rPr>
          <w:rFonts w:ascii="Arial" w:eastAsia="SimSun" w:hAnsi="Arial" w:cs="Arial"/>
          <w:sz w:val="24"/>
          <w:szCs w:val="24"/>
        </w:rPr>
        <w:t xml:space="preserve"> and </w:t>
      </w:r>
      <w:proofErr w:type="spellStart"/>
      <w:r>
        <w:rPr>
          <w:rFonts w:ascii="Arial" w:eastAsia="SimSun" w:hAnsi="Arial" w:cs="Arial"/>
          <w:sz w:val="24"/>
          <w:szCs w:val="24"/>
        </w:rPr>
        <w:t>Shi</w:t>
      </w:r>
      <w:proofErr w:type="spellEnd"/>
      <w:r>
        <w:rPr>
          <w:rFonts w:ascii="Arial" w:eastAsia="SimSun" w:hAnsi="Arial" w:cs="Arial"/>
          <w:sz w:val="24"/>
          <w:szCs w:val="24"/>
        </w:rPr>
        <w:t xml:space="preserve"> (2024) observe adaptation through export diversion towards non-EU markets.</w:t>
      </w:r>
    </w:p>
    <w:p w14:paraId="1DEFCB92" w14:textId="77777777" w:rsidR="00005A3C" w:rsidRPr="003827D7" w:rsidRDefault="00462943" w:rsidP="00950791">
      <w:pPr>
        <w:spacing w:after="160" w:line="360" w:lineRule="auto"/>
        <w:ind w:firstLine="475"/>
        <w:rPr>
          <w:rFonts w:ascii="Arial" w:hAnsi="Arial" w:cs="Arial"/>
          <w:sz w:val="24"/>
          <w:szCs w:val="24"/>
        </w:rPr>
      </w:pPr>
      <w:r>
        <w:rPr>
          <w:rFonts w:ascii="Arial" w:eastAsia="SimSun" w:hAnsi="Arial" w:cs="Arial"/>
          <w:sz w:val="24"/>
          <w:szCs w:val="24"/>
        </w:rPr>
        <w:t xml:space="preserve">Despite this literature, gaps remain as existing studies rely on national statistics or large surveys, which reveal little about the lived experience and coping strategies of individual firms. Almost no research examines food and beverage SMEs qualitatively, none focuses on the West Midlands, and the distinctive challenges of perishable goods, including quality deterioration and delivery time sensitivity, remain underexplored. </w:t>
      </w:r>
    </w:p>
    <w:p w14:paraId="13615983" w14:textId="77777777" w:rsidR="00005A3C" w:rsidRPr="003827D7" w:rsidRDefault="00462943" w:rsidP="003827D7">
      <w:pPr>
        <w:pStyle w:val="Heading1"/>
        <w:spacing w:before="320" w:after="160" w:line="360" w:lineRule="auto"/>
        <w:rPr>
          <w:rFonts w:ascii="Arial" w:hAnsi="Arial" w:cs="Arial"/>
          <w:color w:val="auto"/>
          <w:sz w:val="24"/>
          <w:szCs w:val="24"/>
        </w:rPr>
      </w:pPr>
      <w:r>
        <w:rPr>
          <w:rFonts w:ascii="Arial" w:eastAsia="SimSun" w:hAnsi="Arial" w:cs="Arial"/>
          <w:b/>
          <w:bCs/>
          <w:color w:val="auto"/>
          <w:sz w:val="24"/>
          <w:szCs w:val="24"/>
        </w:rPr>
        <w:t>4. Research Methods (250 words)</w:t>
      </w:r>
    </w:p>
    <w:p w14:paraId="18B3B648" w14:textId="34D797FF" w:rsidR="00005A3C" w:rsidRPr="003827D7" w:rsidRDefault="00462943" w:rsidP="005C309F">
      <w:pPr>
        <w:spacing w:after="160" w:line="360" w:lineRule="auto"/>
        <w:ind w:firstLine="475"/>
        <w:rPr>
          <w:rFonts w:ascii="Arial" w:hAnsi="Arial" w:cs="Arial"/>
          <w:sz w:val="24"/>
          <w:szCs w:val="24"/>
        </w:rPr>
      </w:pPr>
      <w:r>
        <w:rPr>
          <w:rFonts w:ascii="Arial" w:eastAsia="SimSun" w:hAnsi="Arial" w:cs="Arial"/>
          <w:sz w:val="24"/>
          <w:szCs w:val="24"/>
        </w:rPr>
        <w:lastRenderedPageBreak/>
        <w:t xml:space="preserve">The study adopts an interpretivist philosophy and an inductive, qualitative approach, which is appropriate because the research questions concern the experiences and perceptions of SME owners and managers rather than hypothesis testing (Saunders, Lewis and Thornhill, 2019). A single qualitative method is chosen deliberately because the aim is depth within a defined population, and a </w:t>
      </w:r>
      <w:r w:rsidR="00321C38">
        <w:rPr>
          <w:rFonts w:ascii="Arial" w:eastAsia="SimSun" w:hAnsi="Arial" w:cs="Arial"/>
          <w:sz w:val="24"/>
          <w:szCs w:val="24"/>
        </w:rPr>
        <w:t>qua</w:t>
      </w:r>
      <w:r w:rsidR="00424F3A">
        <w:rPr>
          <w:rFonts w:ascii="Arial" w:eastAsia="SimSun" w:hAnsi="Arial" w:cs="Arial"/>
          <w:sz w:val="24"/>
          <w:szCs w:val="24"/>
        </w:rPr>
        <w:t>litative</w:t>
      </w:r>
      <w:r w:rsidR="00321C38">
        <w:rPr>
          <w:rFonts w:ascii="Arial" w:eastAsia="SimSun" w:hAnsi="Arial" w:cs="Arial"/>
          <w:sz w:val="24"/>
          <w:szCs w:val="24"/>
        </w:rPr>
        <w:t xml:space="preserve"> </w:t>
      </w:r>
      <w:r>
        <w:rPr>
          <w:rFonts w:ascii="Arial" w:eastAsia="SimSun" w:hAnsi="Arial" w:cs="Arial"/>
          <w:sz w:val="24"/>
          <w:szCs w:val="24"/>
        </w:rPr>
        <w:t>design would exceed the manageable scope of the study.</w:t>
      </w:r>
    </w:p>
    <w:p w14:paraId="4164AAC5" w14:textId="77777777" w:rsidR="00005A3C" w:rsidRDefault="00462943" w:rsidP="005C309F">
      <w:pPr>
        <w:spacing w:after="160" w:line="360" w:lineRule="auto"/>
        <w:ind w:firstLine="475"/>
        <w:rPr>
          <w:rFonts w:ascii="Arial" w:eastAsia="SimSun" w:hAnsi="Arial" w:cs="Arial"/>
          <w:b/>
          <w:bCs/>
          <w:sz w:val="24"/>
          <w:szCs w:val="24"/>
        </w:rPr>
      </w:pPr>
      <w:r>
        <w:rPr>
          <w:rFonts w:ascii="Arial" w:eastAsia="SimSun" w:hAnsi="Arial" w:cs="Arial"/>
          <w:sz w:val="24"/>
          <w:szCs w:val="24"/>
        </w:rPr>
        <w:t xml:space="preserve">The population comprises West Midlands food and beverage SMEs, defined as businesses with fewer than 250 employees, that export to or import from the EU. </w:t>
      </w:r>
      <w:r w:rsidRPr="00C42D91">
        <w:rPr>
          <w:rFonts w:ascii="Arial" w:eastAsia="SimSun" w:hAnsi="Arial" w:cs="Arial"/>
          <w:b/>
          <w:bCs/>
          <w:sz w:val="24"/>
          <w:szCs w:val="24"/>
        </w:rPr>
        <w:t>Purposive sampling will recruit 12 to 15 owners or senior managers through genuine regional channels, including the Food and beverage Federation, chambers of commerce and growth hubs. Data will be collected through semi-structured interviews of 30 to 45 minutes, conducted online or in person, recorded with consent and transcribed verbatim. Questions will map onto the research questions, covering trade volumes, costs, delivery times, product quality, adaptation and support needs.</w:t>
      </w:r>
    </w:p>
    <w:p w14:paraId="4BB9A26A" w14:textId="77777777" w:rsidR="00996F17" w:rsidRDefault="00996F17" w:rsidP="005C309F">
      <w:pPr>
        <w:spacing w:after="160" w:line="360" w:lineRule="auto"/>
        <w:ind w:firstLine="475"/>
        <w:rPr>
          <w:rFonts w:ascii="Arial" w:eastAsia="SimSun" w:hAnsi="Arial" w:cs="Arial"/>
          <w:b/>
          <w:bCs/>
          <w:sz w:val="24"/>
          <w:szCs w:val="24"/>
        </w:rPr>
      </w:pPr>
    </w:p>
    <w:p w14:paraId="4DF80D66" w14:textId="77777777" w:rsidR="00005A3C" w:rsidRPr="003827D7" w:rsidRDefault="00462943" w:rsidP="005C309F">
      <w:pPr>
        <w:spacing w:after="160" w:line="360" w:lineRule="auto"/>
        <w:ind w:firstLine="475"/>
        <w:rPr>
          <w:rFonts w:ascii="Arial" w:hAnsi="Arial" w:cs="Arial"/>
          <w:sz w:val="24"/>
          <w:szCs w:val="24"/>
        </w:rPr>
      </w:pPr>
      <w:r w:rsidRPr="00C42D91">
        <w:rPr>
          <w:rFonts w:ascii="Arial" w:eastAsia="SimSun" w:hAnsi="Arial" w:cs="Arial"/>
          <w:b/>
          <w:bCs/>
          <w:sz w:val="24"/>
          <w:szCs w:val="24"/>
        </w:rPr>
        <w:t xml:space="preserve">Data will be </w:t>
      </w:r>
      <w:proofErr w:type="spellStart"/>
      <w:r w:rsidRPr="00C42D91">
        <w:rPr>
          <w:rFonts w:ascii="Arial" w:eastAsia="SimSun" w:hAnsi="Arial" w:cs="Arial"/>
          <w:b/>
          <w:bCs/>
          <w:sz w:val="24"/>
          <w:szCs w:val="24"/>
        </w:rPr>
        <w:t>analysed</w:t>
      </w:r>
      <w:proofErr w:type="spellEnd"/>
      <w:r w:rsidRPr="00C42D91">
        <w:rPr>
          <w:rFonts w:ascii="Arial" w:eastAsia="SimSun" w:hAnsi="Arial" w:cs="Arial"/>
          <w:b/>
          <w:bCs/>
          <w:sz w:val="24"/>
          <w:szCs w:val="24"/>
        </w:rPr>
        <w:t xml:space="preserve"> using reflexive thematic analysis, following the six pha</w:t>
      </w:r>
      <w:r>
        <w:rPr>
          <w:rFonts w:ascii="Arial" w:eastAsia="SimSun" w:hAnsi="Arial" w:cs="Arial"/>
          <w:sz w:val="24"/>
          <w:szCs w:val="24"/>
        </w:rPr>
        <w:t>se procedure of familiarisation, coding, theme generation, review, definition and reporting (Braun and Clarke, 2021), with themes interpreted against each research question and contextualized using published trade data. Ethical safeguards include informed consent, anonymisation, secure data storage and university ethics approval. The main limitation is that a small qualitative sample cannot support statistical generalisation; however, the depth of insight suits the exploratory purpose of the research.</w:t>
      </w:r>
    </w:p>
    <w:p w14:paraId="4026E6FC" w14:textId="77777777" w:rsidR="00005A3C" w:rsidRPr="003827D7" w:rsidRDefault="00462943" w:rsidP="003827D7">
      <w:pPr>
        <w:pStyle w:val="Heading1"/>
        <w:spacing w:before="320" w:after="160" w:line="360" w:lineRule="auto"/>
        <w:rPr>
          <w:rFonts w:ascii="Arial" w:hAnsi="Arial" w:cs="Arial"/>
          <w:color w:val="auto"/>
          <w:sz w:val="24"/>
          <w:szCs w:val="24"/>
        </w:rPr>
      </w:pPr>
      <w:r>
        <w:rPr>
          <w:rFonts w:ascii="Arial" w:eastAsia="SimSun" w:hAnsi="Arial" w:cs="Arial"/>
          <w:b/>
          <w:bCs/>
          <w:color w:val="auto"/>
          <w:sz w:val="24"/>
          <w:szCs w:val="24"/>
        </w:rPr>
        <w:t>5. Potential Implications (140 words)</w:t>
      </w:r>
    </w:p>
    <w:p w14:paraId="2F781EB9" w14:textId="77777777" w:rsidR="00005A3C" w:rsidRPr="003827D7" w:rsidRDefault="00462943" w:rsidP="005C309F">
      <w:pPr>
        <w:spacing w:after="160" w:line="360" w:lineRule="auto"/>
        <w:ind w:firstLine="475"/>
        <w:rPr>
          <w:rFonts w:ascii="Arial" w:hAnsi="Arial" w:cs="Arial"/>
          <w:sz w:val="24"/>
          <w:szCs w:val="24"/>
        </w:rPr>
      </w:pPr>
      <w:r>
        <w:rPr>
          <w:rFonts w:ascii="Arial" w:eastAsia="SimSun" w:hAnsi="Arial" w:cs="Arial"/>
          <w:sz w:val="24"/>
          <w:szCs w:val="24"/>
        </w:rPr>
        <w:t xml:space="preserve">The study is expected to find that TCA-related frictions have raised costs, lengthened delivery times and created quality risks for perishable products, and that SMEs have responded through order consolidation, stockpiling, use of EU-based distributors and diversion towards domestic or non-EU markets, consistent with the patterns identified by Du, Liu, </w:t>
      </w:r>
      <w:proofErr w:type="spellStart"/>
      <w:r>
        <w:rPr>
          <w:rFonts w:ascii="Arial" w:eastAsia="SimSun" w:hAnsi="Arial" w:cs="Arial"/>
          <w:sz w:val="24"/>
          <w:szCs w:val="24"/>
        </w:rPr>
        <w:t>Shepotylo</w:t>
      </w:r>
      <w:proofErr w:type="spellEnd"/>
      <w:r>
        <w:rPr>
          <w:rFonts w:ascii="Arial" w:eastAsia="SimSun" w:hAnsi="Arial" w:cs="Arial"/>
          <w:sz w:val="24"/>
          <w:szCs w:val="24"/>
        </w:rPr>
        <w:t xml:space="preserve"> and </w:t>
      </w:r>
      <w:proofErr w:type="spellStart"/>
      <w:r>
        <w:rPr>
          <w:rFonts w:ascii="Arial" w:eastAsia="SimSun" w:hAnsi="Arial" w:cs="Arial"/>
          <w:sz w:val="24"/>
          <w:szCs w:val="24"/>
        </w:rPr>
        <w:t>Shi</w:t>
      </w:r>
      <w:proofErr w:type="spellEnd"/>
      <w:r>
        <w:rPr>
          <w:rFonts w:ascii="Arial" w:eastAsia="SimSun" w:hAnsi="Arial" w:cs="Arial"/>
          <w:sz w:val="24"/>
          <w:szCs w:val="24"/>
        </w:rPr>
        <w:t xml:space="preserve"> (2024). Variation in adaptive </w:t>
      </w:r>
      <w:r>
        <w:rPr>
          <w:rFonts w:ascii="Arial" w:eastAsia="SimSun" w:hAnsi="Arial" w:cs="Arial"/>
          <w:sz w:val="24"/>
          <w:szCs w:val="24"/>
        </w:rPr>
        <w:lastRenderedPageBreak/>
        <w:t xml:space="preserve">capacity linked to firm resources is also expected, echoing Brown, </w:t>
      </w:r>
      <w:proofErr w:type="spellStart"/>
      <w:r>
        <w:rPr>
          <w:rFonts w:ascii="Arial" w:eastAsia="SimSun" w:hAnsi="Arial" w:cs="Arial"/>
          <w:sz w:val="24"/>
          <w:szCs w:val="24"/>
        </w:rPr>
        <w:t>Kalafsky</w:t>
      </w:r>
      <w:proofErr w:type="spellEnd"/>
      <w:r>
        <w:rPr>
          <w:rFonts w:ascii="Arial" w:eastAsia="SimSun" w:hAnsi="Arial" w:cs="Arial"/>
          <w:sz w:val="24"/>
          <w:szCs w:val="24"/>
        </w:rPr>
        <w:t>, Mawson and Davies (2020).</w:t>
      </w:r>
    </w:p>
    <w:p w14:paraId="2E3F7C7F" w14:textId="77777777" w:rsidR="00005A3C" w:rsidRPr="003827D7" w:rsidRDefault="00462943" w:rsidP="005C309F">
      <w:pPr>
        <w:spacing w:after="160" w:line="360" w:lineRule="auto"/>
        <w:ind w:firstLine="475"/>
        <w:rPr>
          <w:rFonts w:ascii="Arial" w:hAnsi="Arial" w:cs="Arial"/>
          <w:sz w:val="24"/>
          <w:szCs w:val="24"/>
        </w:rPr>
      </w:pPr>
      <w:r>
        <w:rPr>
          <w:rFonts w:ascii="Arial" w:eastAsia="SimSun" w:hAnsi="Arial" w:cs="Arial"/>
          <w:sz w:val="24"/>
          <w:szCs w:val="24"/>
        </w:rPr>
        <w:t xml:space="preserve">The implications will be threefold. For policymakers, the findings will show where support, such as customs training, export grants or advocacy for simplified SPS and veterinary arrangements, would be most effective (Du, Messenger and </w:t>
      </w:r>
      <w:proofErr w:type="spellStart"/>
      <w:r>
        <w:rPr>
          <w:rFonts w:ascii="Arial" w:eastAsia="SimSun" w:hAnsi="Arial" w:cs="Arial"/>
          <w:sz w:val="24"/>
          <w:szCs w:val="24"/>
        </w:rPr>
        <w:t>Shepotylo</w:t>
      </w:r>
      <w:proofErr w:type="spellEnd"/>
      <w:r>
        <w:rPr>
          <w:rFonts w:ascii="Arial" w:eastAsia="SimSun" w:hAnsi="Arial" w:cs="Arial"/>
          <w:sz w:val="24"/>
          <w:szCs w:val="24"/>
        </w:rPr>
        <w:t xml:space="preserve">, 2024). For support organisations, the study identifies practical guidance needs. Academically, it contributes original, regionally and sector specific evidence to debates on SME resilience (Wilson and </w:t>
      </w:r>
      <w:proofErr w:type="spellStart"/>
      <w:r>
        <w:rPr>
          <w:rFonts w:ascii="Arial" w:eastAsia="SimSun" w:hAnsi="Arial" w:cs="Arial"/>
          <w:sz w:val="24"/>
          <w:szCs w:val="24"/>
        </w:rPr>
        <w:t>Linares-Zegarra</w:t>
      </w:r>
      <w:proofErr w:type="spellEnd"/>
      <w:r>
        <w:rPr>
          <w:rFonts w:ascii="Arial" w:eastAsia="SimSun" w:hAnsi="Arial" w:cs="Arial"/>
          <w:sz w:val="24"/>
          <w:szCs w:val="24"/>
        </w:rPr>
        <w:t>, 2023).</w:t>
      </w:r>
    </w:p>
    <w:p w14:paraId="5497CD15" w14:textId="77777777" w:rsidR="00005A3C" w:rsidRPr="003827D7" w:rsidRDefault="00462943" w:rsidP="003827D7">
      <w:pPr>
        <w:pStyle w:val="Heading1"/>
        <w:spacing w:before="320" w:after="160" w:line="360" w:lineRule="auto"/>
        <w:rPr>
          <w:rFonts w:ascii="Arial" w:hAnsi="Arial" w:cs="Arial"/>
          <w:color w:val="auto"/>
          <w:sz w:val="24"/>
          <w:szCs w:val="24"/>
        </w:rPr>
      </w:pPr>
      <w:r>
        <w:rPr>
          <w:rFonts w:ascii="Arial" w:eastAsia="SimSun" w:hAnsi="Arial" w:cs="Arial"/>
          <w:b/>
          <w:bCs/>
          <w:color w:val="auto"/>
          <w:sz w:val="24"/>
          <w:szCs w:val="24"/>
        </w:rPr>
        <w:t>6. Conclusion (50 words)</w:t>
      </w:r>
    </w:p>
    <w:p w14:paraId="5EA37A44" w14:textId="77777777" w:rsidR="00005A3C" w:rsidRPr="003827D7" w:rsidRDefault="00462943" w:rsidP="005C309F">
      <w:pPr>
        <w:spacing w:after="160" w:line="360" w:lineRule="auto"/>
        <w:ind w:firstLine="475"/>
        <w:rPr>
          <w:rFonts w:ascii="Arial" w:hAnsi="Arial" w:cs="Arial"/>
          <w:sz w:val="24"/>
          <w:szCs w:val="24"/>
        </w:rPr>
      </w:pPr>
      <w:r>
        <w:rPr>
          <w:rFonts w:ascii="Arial" w:eastAsia="SimSun" w:hAnsi="Arial" w:cs="Arial"/>
          <w:sz w:val="24"/>
          <w:szCs w:val="24"/>
        </w:rPr>
        <w:t>This proposal has set out a qualitative study of how the UK-EU TCA has affected food and beverage SMEs in the West Midlands. It has established the rationale and literature gap, defined three focused objectives and questions, described an interpretivist methodology, and identified the expected academic, policy and practical contributions.</w:t>
      </w:r>
    </w:p>
    <w:p w14:paraId="40966229" w14:textId="77777777" w:rsidR="0078240B" w:rsidRPr="00C55CAE" w:rsidRDefault="008C0D37">
      <w:pPr>
        <w:pStyle w:val="Heading1"/>
        <w:spacing w:before="320" w:after="160" w:line="360" w:lineRule="auto"/>
        <w:rPr>
          <w:color w:val="auto"/>
        </w:rPr>
      </w:pPr>
      <w:r w:rsidRPr="00C55CAE">
        <w:rPr>
          <w:rFonts w:ascii="Arial" w:eastAsia="SimSun" w:hAnsi="Arial" w:cs="Arial"/>
          <w:b/>
          <w:bCs/>
          <w:color w:val="auto"/>
          <w:sz w:val="24"/>
          <w:szCs w:val="24"/>
        </w:rPr>
        <w:t>7. Research Timeline: Gantt Chart</w:t>
      </w:r>
    </w:p>
    <w:p w14:paraId="6440A877" w14:textId="77777777" w:rsidR="0078240B" w:rsidRDefault="0078240B">
      <w:pPr>
        <w:spacing w:after="160" w:line="360" w:lineRule="auto"/>
      </w:pPr>
    </w:p>
    <w:tbl>
      <w:tblPr>
        <w:tblW w:w="9025" w:type="dxa"/>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Layout w:type="fixed"/>
        <w:tblLook w:val="04A0" w:firstRow="1" w:lastRow="0" w:firstColumn="1" w:lastColumn="0" w:noHBand="0" w:noVBand="1"/>
      </w:tblPr>
      <w:tblGrid>
        <w:gridCol w:w="3026"/>
        <w:gridCol w:w="857"/>
        <w:gridCol w:w="857"/>
        <w:gridCol w:w="857"/>
        <w:gridCol w:w="857"/>
        <w:gridCol w:w="857"/>
        <w:gridCol w:w="857"/>
        <w:gridCol w:w="857"/>
      </w:tblGrid>
      <w:tr w:rsidR="0078240B" w14:paraId="5FBA444F" w14:textId="77777777">
        <w:tc>
          <w:tcPr>
            <w:tcW w:w="3026" w:type="dxa"/>
            <w:shd w:val="clear" w:color="auto" w:fill="D9E2F1"/>
            <w:vAlign w:val="center"/>
          </w:tcPr>
          <w:p w14:paraId="1F8BDAD0" w14:textId="77777777" w:rsidR="0078240B" w:rsidRDefault="008C0D37">
            <w:pPr>
              <w:spacing w:after="40"/>
            </w:pPr>
            <w:r>
              <w:rPr>
                <w:rFonts w:ascii="Arial" w:eastAsia="SimSun" w:hAnsi="Arial" w:cs="Arial"/>
                <w:b/>
                <w:bCs/>
              </w:rPr>
              <w:t>Activity</w:t>
            </w:r>
          </w:p>
        </w:tc>
        <w:tc>
          <w:tcPr>
            <w:tcW w:w="857" w:type="dxa"/>
            <w:shd w:val="clear" w:color="auto" w:fill="D9E2F1"/>
            <w:vAlign w:val="center"/>
          </w:tcPr>
          <w:p w14:paraId="53562186" w14:textId="77777777" w:rsidR="0078240B" w:rsidRDefault="008C0D37">
            <w:pPr>
              <w:spacing w:after="40"/>
              <w:jc w:val="center"/>
            </w:pPr>
            <w:r>
              <w:rPr>
                <w:rFonts w:ascii="Arial" w:eastAsia="SimSun" w:hAnsi="Arial" w:cs="Arial"/>
                <w:b/>
                <w:bCs/>
              </w:rPr>
              <w:t>Week 1</w:t>
            </w:r>
          </w:p>
        </w:tc>
        <w:tc>
          <w:tcPr>
            <w:tcW w:w="857" w:type="dxa"/>
            <w:shd w:val="clear" w:color="auto" w:fill="D9E2F1"/>
            <w:vAlign w:val="center"/>
          </w:tcPr>
          <w:p w14:paraId="2A50E1DB" w14:textId="77777777" w:rsidR="0078240B" w:rsidRDefault="008C0D37">
            <w:pPr>
              <w:spacing w:after="40"/>
              <w:jc w:val="center"/>
            </w:pPr>
            <w:r>
              <w:rPr>
                <w:rFonts w:ascii="Arial" w:eastAsia="SimSun" w:hAnsi="Arial" w:cs="Arial"/>
                <w:b/>
                <w:bCs/>
              </w:rPr>
              <w:t>Week 2</w:t>
            </w:r>
          </w:p>
        </w:tc>
        <w:tc>
          <w:tcPr>
            <w:tcW w:w="857" w:type="dxa"/>
            <w:shd w:val="clear" w:color="auto" w:fill="D9E2F1"/>
            <w:vAlign w:val="center"/>
          </w:tcPr>
          <w:p w14:paraId="7BF54FAB" w14:textId="77777777" w:rsidR="0078240B" w:rsidRDefault="008C0D37">
            <w:pPr>
              <w:spacing w:after="40"/>
              <w:jc w:val="center"/>
            </w:pPr>
            <w:r>
              <w:rPr>
                <w:rFonts w:ascii="Arial" w:eastAsia="SimSun" w:hAnsi="Arial" w:cs="Arial"/>
                <w:b/>
                <w:bCs/>
              </w:rPr>
              <w:t>Week 3</w:t>
            </w:r>
          </w:p>
        </w:tc>
        <w:tc>
          <w:tcPr>
            <w:tcW w:w="857" w:type="dxa"/>
            <w:shd w:val="clear" w:color="auto" w:fill="D9E2F1"/>
            <w:vAlign w:val="center"/>
          </w:tcPr>
          <w:p w14:paraId="0CFE4D68" w14:textId="77777777" w:rsidR="0078240B" w:rsidRDefault="008C0D37">
            <w:pPr>
              <w:spacing w:after="40"/>
              <w:jc w:val="center"/>
            </w:pPr>
            <w:r>
              <w:rPr>
                <w:rFonts w:ascii="Arial" w:eastAsia="SimSun" w:hAnsi="Arial" w:cs="Arial"/>
                <w:b/>
                <w:bCs/>
              </w:rPr>
              <w:t>Week 4</w:t>
            </w:r>
          </w:p>
        </w:tc>
        <w:tc>
          <w:tcPr>
            <w:tcW w:w="857" w:type="dxa"/>
            <w:shd w:val="clear" w:color="auto" w:fill="D9E2F1"/>
            <w:vAlign w:val="center"/>
          </w:tcPr>
          <w:p w14:paraId="12EC530B" w14:textId="77777777" w:rsidR="0078240B" w:rsidRDefault="008C0D37">
            <w:pPr>
              <w:spacing w:after="40"/>
              <w:jc w:val="center"/>
            </w:pPr>
            <w:r>
              <w:rPr>
                <w:rFonts w:ascii="Arial" w:eastAsia="SimSun" w:hAnsi="Arial" w:cs="Arial"/>
                <w:b/>
                <w:bCs/>
              </w:rPr>
              <w:t>Week 5</w:t>
            </w:r>
          </w:p>
        </w:tc>
        <w:tc>
          <w:tcPr>
            <w:tcW w:w="857" w:type="dxa"/>
            <w:shd w:val="clear" w:color="auto" w:fill="D9E2F1"/>
            <w:vAlign w:val="center"/>
          </w:tcPr>
          <w:p w14:paraId="0F3A92AF" w14:textId="77777777" w:rsidR="0078240B" w:rsidRDefault="008C0D37">
            <w:pPr>
              <w:spacing w:after="40"/>
              <w:jc w:val="center"/>
            </w:pPr>
            <w:r>
              <w:rPr>
                <w:rFonts w:ascii="Arial" w:eastAsia="SimSun" w:hAnsi="Arial" w:cs="Arial"/>
                <w:b/>
                <w:bCs/>
              </w:rPr>
              <w:t>Week 6</w:t>
            </w:r>
          </w:p>
        </w:tc>
        <w:tc>
          <w:tcPr>
            <w:tcW w:w="857" w:type="dxa"/>
            <w:shd w:val="clear" w:color="auto" w:fill="D9E2F1"/>
            <w:vAlign w:val="center"/>
          </w:tcPr>
          <w:p w14:paraId="5519F434" w14:textId="77777777" w:rsidR="0078240B" w:rsidRDefault="008C0D37">
            <w:pPr>
              <w:spacing w:after="40"/>
              <w:jc w:val="center"/>
            </w:pPr>
            <w:r>
              <w:rPr>
                <w:rFonts w:ascii="Arial" w:eastAsia="SimSun" w:hAnsi="Arial" w:cs="Arial"/>
                <w:b/>
                <w:bCs/>
              </w:rPr>
              <w:t>Week 7</w:t>
            </w:r>
          </w:p>
        </w:tc>
      </w:tr>
      <w:tr w:rsidR="0078240B" w14:paraId="12E3BFF0" w14:textId="77777777">
        <w:tc>
          <w:tcPr>
            <w:tcW w:w="3026" w:type="dxa"/>
            <w:vAlign w:val="center"/>
          </w:tcPr>
          <w:p w14:paraId="07DB673D" w14:textId="426F4BA8" w:rsidR="0078240B" w:rsidRDefault="008C0D37">
            <w:pPr>
              <w:spacing w:after="40"/>
            </w:pPr>
            <w:proofErr w:type="spellStart"/>
            <w:r>
              <w:rPr>
                <w:rFonts w:ascii="Arial" w:eastAsia="SimSun" w:hAnsi="Arial" w:cs="Arial"/>
              </w:rPr>
              <w:t>Finalise</w:t>
            </w:r>
            <w:proofErr w:type="spellEnd"/>
            <w:r>
              <w:rPr>
                <w:rFonts w:ascii="Arial" w:eastAsia="SimSun" w:hAnsi="Arial" w:cs="Arial"/>
              </w:rPr>
              <w:t xml:space="preserve"> research proposal and submit ethics applicatio</w:t>
            </w:r>
            <w:r w:rsidR="002A49C3">
              <w:rPr>
                <w:rFonts w:ascii="Arial" w:eastAsia="SimSun" w:hAnsi="Arial" w:cs="Arial"/>
              </w:rPr>
              <w:t>n</w:t>
            </w:r>
          </w:p>
        </w:tc>
        <w:tc>
          <w:tcPr>
            <w:tcW w:w="857" w:type="dxa"/>
            <w:shd w:val="clear" w:color="auto" w:fill="4472C4"/>
            <w:vAlign w:val="center"/>
          </w:tcPr>
          <w:p w14:paraId="07144F27" w14:textId="77777777" w:rsidR="0078240B" w:rsidRDefault="0078240B">
            <w:pPr>
              <w:spacing w:after="40"/>
              <w:jc w:val="center"/>
            </w:pPr>
          </w:p>
        </w:tc>
        <w:tc>
          <w:tcPr>
            <w:tcW w:w="857" w:type="dxa"/>
            <w:vAlign w:val="center"/>
          </w:tcPr>
          <w:p w14:paraId="312D434A" w14:textId="77777777" w:rsidR="0078240B" w:rsidRDefault="0078240B">
            <w:pPr>
              <w:spacing w:after="40"/>
              <w:jc w:val="center"/>
            </w:pPr>
          </w:p>
        </w:tc>
        <w:tc>
          <w:tcPr>
            <w:tcW w:w="857" w:type="dxa"/>
            <w:vAlign w:val="center"/>
          </w:tcPr>
          <w:p w14:paraId="307B4999" w14:textId="77777777" w:rsidR="0078240B" w:rsidRDefault="0078240B">
            <w:pPr>
              <w:spacing w:after="40"/>
              <w:jc w:val="center"/>
            </w:pPr>
          </w:p>
        </w:tc>
        <w:tc>
          <w:tcPr>
            <w:tcW w:w="857" w:type="dxa"/>
            <w:vAlign w:val="center"/>
          </w:tcPr>
          <w:p w14:paraId="04C332A6" w14:textId="77777777" w:rsidR="0078240B" w:rsidRDefault="0078240B">
            <w:pPr>
              <w:spacing w:after="40"/>
              <w:jc w:val="center"/>
            </w:pPr>
          </w:p>
        </w:tc>
        <w:tc>
          <w:tcPr>
            <w:tcW w:w="857" w:type="dxa"/>
            <w:vAlign w:val="center"/>
          </w:tcPr>
          <w:p w14:paraId="4F7AC965" w14:textId="77777777" w:rsidR="0078240B" w:rsidRDefault="0078240B">
            <w:pPr>
              <w:spacing w:after="40"/>
              <w:jc w:val="center"/>
            </w:pPr>
          </w:p>
        </w:tc>
        <w:tc>
          <w:tcPr>
            <w:tcW w:w="857" w:type="dxa"/>
            <w:vAlign w:val="center"/>
          </w:tcPr>
          <w:p w14:paraId="348CFF49" w14:textId="77777777" w:rsidR="0078240B" w:rsidRDefault="0078240B">
            <w:pPr>
              <w:spacing w:after="40"/>
              <w:jc w:val="center"/>
            </w:pPr>
          </w:p>
        </w:tc>
        <w:tc>
          <w:tcPr>
            <w:tcW w:w="857" w:type="dxa"/>
            <w:vAlign w:val="center"/>
          </w:tcPr>
          <w:p w14:paraId="202A53F6" w14:textId="77777777" w:rsidR="0078240B" w:rsidRDefault="0078240B">
            <w:pPr>
              <w:spacing w:after="40"/>
              <w:jc w:val="center"/>
            </w:pPr>
          </w:p>
        </w:tc>
      </w:tr>
      <w:tr w:rsidR="0078240B" w14:paraId="0BC00662" w14:textId="77777777">
        <w:tc>
          <w:tcPr>
            <w:tcW w:w="3026" w:type="dxa"/>
            <w:vAlign w:val="center"/>
          </w:tcPr>
          <w:p w14:paraId="46471D2C" w14:textId="7AE1743A" w:rsidR="00657F65" w:rsidRPr="00657F65" w:rsidRDefault="0061482D">
            <w:pPr>
              <w:spacing w:after="40"/>
              <w:rPr>
                <w:rFonts w:ascii="Arial" w:eastAsia="SimSun" w:hAnsi="Arial" w:cs="Arial"/>
              </w:rPr>
            </w:pPr>
            <w:r>
              <w:rPr>
                <w:rFonts w:ascii="Arial" w:eastAsia="SimSun" w:hAnsi="Arial" w:cs="Arial"/>
              </w:rPr>
              <w:t xml:space="preserve">Identify </w:t>
            </w:r>
            <w:r w:rsidR="00276AF7">
              <w:rPr>
                <w:rFonts w:ascii="Arial" w:eastAsia="SimSun" w:hAnsi="Arial" w:cs="Arial"/>
              </w:rPr>
              <w:t>key</w:t>
            </w:r>
            <w:r w:rsidR="00657F65">
              <w:rPr>
                <w:rFonts w:ascii="Arial" w:eastAsia="SimSun" w:hAnsi="Arial" w:cs="Arial"/>
              </w:rPr>
              <w:t xml:space="preserve"> database</w:t>
            </w:r>
            <w:r w:rsidR="00BA4E42">
              <w:rPr>
                <w:rFonts w:ascii="Arial" w:eastAsia="SimSun" w:hAnsi="Arial" w:cs="Arial"/>
              </w:rPr>
              <w:t xml:space="preserve"> and </w:t>
            </w:r>
            <w:r w:rsidR="00A6148F">
              <w:rPr>
                <w:rFonts w:ascii="Arial" w:eastAsia="SimSun" w:hAnsi="Arial" w:cs="Arial"/>
              </w:rPr>
              <w:t xml:space="preserve">sources search key words </w:t>
            </w:r>
            <w:r w:rsidR="00DD77E6">
              <w:rPr>
                <w:rFonts w:ascii="Arial" w:eastAsia="SimSun" w:hAnsi="Arial" w:cs="Arial"/>
              </w:rPr>
              <w:t>TCA</w:t>
            </w:r>
            <w:r w:rsidR="003B7E09">
              <w:rPr>
                <w:rFonts w:ascii="Arial" w:eastAsia="SimSun" w:hAnsi="Arial" w:cs="Arial"/>
              </w:rPr>
              <w:t xml:space="preserve"> S</w:t>
            </w:r>
            <w:r w:rsidR="002A5157">
              <w:rPr>
                <w:rFonts w:ascii="Arial" w:eastAsia="SimSun" w:hAnsi="Arial" w:cs="Arial"/>
              </w:rPr>
              <w:t>ME</w:t>
            </w:r>
            <w:r w:rsidR="00697531">
              <w:rPr>
                <w:rFonts w:ascii="Arial" w:eastAsia="SimSun" w:hAnsi="Arial" w:cs="Arial"/>
              </w:rPr>
              <w:t xml:space="preserve"> trade</w:t>
            </w:r>
            <w:r w:rsidR="0090756D">
              <w:rPr>
                <w:rFonts w:ascii="Arial" w:eastAsia="SimSun" w:hAnsi="Arial" w:cs="Arial"/>
              </w:rPr>
              <w:t xml:space="preserve">. Screen </w:t>
            </w:r>
            <w:r w:rsidR="00B74CAF">
              <w:rPr>
                <w:rFonts w:ascii="Arial" w:eastAsia="SimSun" w:hAnsi="Arial" w:cs="Arial"/>
              </w:rPr>
              <w:t xml:space="preserve">source </w:t>
            </w:r>
            <w:r w:rsidR="00DF530E">
              <w:rPr>
                <w:rFonts w:ascii="Arial" w:eastAsia="SimSun" w:hAnsi="Arial" w:cs="Arial"/>
              </w:rPr>
              <w:t xml:space="preserve">sources for </w:t>
            </w:r>
            <w:proofErr w:type="spellStart"/>
            <w:r w:rsidR="00DF530E">
              <w:rPr>
                <w:rFonts w:ascii="Arial" w:eastAsia="SimSun" w:hAnsi="Arial" w:cs="Arial"/>
              </w:rPr>
              <w:t>rele</w:t>
            </w:r>
            <w:proofErr w:type="spellEnd"/>
          </w:p>
        </w:tc>
        <w:tc>
          <w:tcPr>
            <w:tcW w:w="857" w:type="dxa"/>
            <w:vAlign w:val="center"/>
          </w:tcPr>
          <w:p w14:paraId="313709A9" w14:textId="77777777" w:rsidR="0078240B" w:rsidRDefault="0078240B">
            <w:pPr>
              <w:spacing w:after="40"/>
              <w:jc w:val="center"/>
            </w:pPr>
          </w:p>
        </w:tc>
        <w:tc>
          <w:tcPr>
            <w:tcW w:w="857" w:type="dxa"/>
            <w:shd w:val="clear" w:color="auto" w:fill="4472C4"/>
            <w:vAlign w:val="center"/>
          </w:tcPr>
          <w:p w14:paraId="277A68B8" w14:textId="77777777" w:rsidR="0078240B" w:rsidRDefault="0078240B">
            <w:pPr>
              <w:spacing w:after="40"/>
              <w:jc w:val="center"/>
            </w:pPr>
          </w:p>
        </w:tc>
        <w:tc>
          <w:tcPr>
            <w:tcW w:w="857" w:type="dxa"/>
            <w:vAlign w:val="center"/>
          </w:tcPr>
          <w:p w14:paraId="1E1029E5" w14:textId="77777777" w:rsidR="0078240B" w:rsidRDefault="0078240B">
            <w:pPr>
              <w:spacing w:after="40"/>
              <w:jc w:val="center"/>
            </w:pPr>
          </w:p>
        </w:tc>
        <w:tc>
          <w:tcPr>
            <w:tcW w:w="857" w:type="dxa"/>
            <w:vAlign w:val="center"/>
          </w:tcPr>
          <w:p w14:paraId="6D2401DE" w14:textId="77777777" w:rsidR="0078240B" w:rsidRDefault="0078240B">
            <w:pPr>
              <w:spacing w:after="40"/>
              <w:jc w:val="center"/>
            </w:pPr>
          </w:p>
        </w:tc>
        <w:tc>
          <w:tcPr>
            <w:tcW w:w="857" w:type="dxa"/>
            <w:vAlign w:val="center"/>
          </w:tcPr>
          <w:p w14:paraId="19688D06" w14:textId="77777777" w:rsidR="0078240B" w:rsidRDefault="0078240B">
            <w:pPr>
              <w:spacing w:after="40"/>
              <w:jc w:val="center"/>
            </w:pPr>
          </w:p>
        </w:tc>
        <w:tc>
          <w:tcPr>
            <w:tcW w:w="857" w:type="dxa"/>
            <w:vAlign w:val="center"/>
          </w:tcPr>
          <w:p w14:paraId="5AF6DDE5" w14:textId="77777777" w:rsidR="0078240B" w:rsidRDefault="0078240B">
            <w:pPr>
              <w:spacing w:after="40"/>
              <w:jc w:val="center"/>
            </w:pPr>
          </w:p>
        </w:tc>
        <w:tc>
          <w:tcPr>
            <w:tcW w:w="857" w:type="dxa"/>
            <w:vAlign w:val="center"/>
          </w:tcPr>
          <w:p w14:paraId="4BAB754E" w14:textId="77777777" w:rsidR="0078240B" w:rsidRDefault="0078240B">
            <w:pPr>
              <w:spacing w:after="40"/>
              <w:jc w:val="center"/>
            </w:pPr>
          </w:p>
        </w:tc>
      </w:tr>
      <w:tr w:rsidR="0078240B" w14:paraId="5C426339" w14:textId="77777777">
        <w:tc>
          <w:tcPr>
            <w:tcW w:w="3026" w:type="dxa"/>
            <w:vAlign w:val="center"/>
          </w:tcPr>
          <w:p w14:paraId="60C1974B" w14:textId="47E19AE1" w:rsidR="0078240B" w:rsidRDefault="008C3A1F">
            <w:pPr>
              <w:spacing w:after="40"/>
            </w:pPr>
            <w:r>
              <w:rPr>
                <w:rFonts w:ascii="Arial" w:eastAsia="SimSun" w:hAnsi="Arial" w:cs="Arial"/>
              </w:rPr>
              <w:t xml:space="preserve">Gather </w:t>
            </w:r>
            <w:r w:rsidR="00B34111">
              <w:rPr>
                <w:rFonts w:ascii="Arial" w:eastAsia="SimSun" w:hAnsi="Arial" w:cs="Arial"/>
              </w:rPr>
              <w:t xml:space="preserve">secondary </w:t>
            </w:r>
            <w:r w:rsidR="002E698D">
              <w:rPr>
                <w:rFonts w:ascii="Arial" w:eastAsia="SimSun" w:hAnsi="Arial" w:cs="Arial"/>
              </w:rPr>
              <w:t>data</w:t>
            </w:r>
            <w:r w:rsidR="00B82C89">
              <w:rPr>
                <w:rFonts w:ascii="Arial" w:eastAsia="SimSun" w:hAnsi="Arial" w:cs="Arial"/>
              </w:rPr>
              <w:t xml:space="preserve"> </w:t>
            </w:r>
            <w:r w:rsidR="00D143FB">
              <w:rPr>
                <w:rFonts w:ascii="Arial" w:eastAsia="SimSun" w:hAnsi="Arial" w:cs="Arial"/>
              </w:rPr>
              <w:t>trad</w:t>
            </w:r>
            <w:r w:rsidR="00911029">
              <w:rPr>
                <w:rFonts w:ascii="Arial" w:eastAsia="SimSun" w:hAnsi="Arial" w:cs="Arial"/>
              </w:rPr>
              <w:t xml:space="preserve">e </w:t>
            </w:r>
            <w:r w:rsidR="00463C5A">
              <w:rPr>
                <w:rFonts w:ascii="Arial" w:eastAsia="SimSun" w:hAnsi="Arial" w:cs="Arial"/>
              </w:rPr>
              <w:t xml:space="preserve">bodies academic </w:t>
            </w:r>
            <w:r w:rsidR="00E9110F">
              <w:rPr>
                <w:rFonts w:ascii="Arial" w:eastAsia="SimSun" w:hAnsi="Arial" w:cs="Arial"/>
              </w:rPr>
              <w:t xml:space="preserve">papers, </w:t>
            </w:r>
            <w:proofErr w:type="spellStart"/>
            <w:r w:rsidR="00F61522">
              <w:rPr>
                <w:rFonts w:ascii="Arial" w:eastAsia="SimSun" w:hAnsi="Arial" w:cs="Arial"/>
              </w:rPr>
              <w:t>Journal</w:t>
            </w:r>
            <w:r w:rsidR="00D97C2F">
              <w:rPr>
                <w:rFonts w:ascii="Arial" w:eastAsia="SimSun" w:hAnsi="Arial" w:cs="Arial"/>
              </w:rPr>
              <w:t>,</w:t>
            </w:r>
            <w:r w:rsidR="00802288">
              <w:rPr>
                <w:rFonts w:ascii="Arial" w:eastAsia="SimSun" w:hAnsi="Arial" w:cs="Arial"/>
              </w:rPr>
              <w:t>asses</w:t>
            </w:r>
            <w:r w:rsidR="00FB1755">
              <w:rPr>
                <w:rFonts w:ascii="Arial" w:eastAsia="SimSun" w:hAnsi="Arial" w:cs="Arial"/>
              </w:rPr>
              <w:t>s</w:t>
            </w:r>
            <w:proofErr w:type="spellEnd"/>
            <w:r w:rsidR="00FB1755">
              <w:rPr>
                <w:rFonts w:ascii="Arial" w:eastAsia="SimSun" w:hAnsi="Arial" w:cs="Arial"/>
              </w:rPr>
              <w:t xml:space="preserve"> </w:t>
            </w:r>
            <w:r w:rsidR="00B923A7">
              <w:rPr>
                <w:rFonts w:ascii="Arial" w:eastAsia="SimSun" w:hAnsi="Arial" w:cs="Arial"/>
              </w:rPr>
              <w:t>data</w:t>
            </w:r>
            <w:r w:rsidR="00460A7A">
              <w:rPr>
                <w:rFonts w:ascii="Arial" w:eastAsia="SimSun" w:hAnsi="Arial" w:cs="Arial"/>
              </w:rPr>
              <w:t xml:space="preserve"> reliability </w:t>
            </w:r>
            <w:r w:rsidR="00B04344">
              <w:rPr>
                <w:rFonts w:ascii="Arial" w:eastAsia="SimSun" w:hAnsi="Arial" w:cs="Arial"/>
              </w:rPr>
              <w:t>&amp;gaps.</w:t>
            </w:r>
          </w:p>
        </w:tc>
        <w:tc>
          <w:tcPr>
            <w:tcW w:w="857" w:type="dxa"/>
            <w:vAlign w:val="center"/>
          </w:tcPr>
          <w:p w14:paraId="7DD61333" w14:textId="77777777" w:rsidR="0078240B" w:rsidRDefault="0078240B">
            <w:pPr>
              <w:spacing w:after="40"/>
              <w:jc w:val="center"/>
            </w:pPr>
          </w:p>
        </w:tc>
        <w:tc>
          <w:tcPr>
            <w:tcW w:w="857" w:type="dxa"/>
            <w:vAlign w:val="center"/>
          </w:tcPr>
          <w:p w14:paraId="18AB8E81" w14:textId="77777777" w:rsidR="0078240B" w:rsidRDefault="0078240B">
            <w:pPr>
              <w:spacing w:after="40"/>
              <w:jc w:val="center"/>
            </w:pPr>
          </w:p>
        </w:tc>
        <w:tc>
          <w:tcPr>
            <w:tcW w:w="857" w:type="dxa"/>
            <w:shd w:val="clear" w:color="auto" w:fill="4472C4"/>
            <w:vAlign w:val="center"/>
          </w:tcPr>
          <w:p w14:paraId="0886B1D3" w14:textId="77777777" w:rsidR="0078240B" w:rsidRDefault="0078240B">
            <w:pPr>
              <w:spacing w:after="40"/>
              <w:jc w:val="center"/>
            </w:pPr>
          </w:p>
        </w:tc>
        <w:tc>
          <w:tcPr>
            <w:tcW w:w="857" w:type="dxa"/>
            <w:shd w:val="clear" w:color="auto" w:fill="4472C4"/>
            <w:vAlign w:val="center"/>
          </w:tcPr>
          <w:p w14:paraId="32609FA7" w14:textId="77777777" w:rsidR="0078240B" w:rsidRDefault="0078240B">
            <w:pPr>
              <w:spacing w:after="40"/>
              <w:jc w:val="center"/>
            </w:pPr>
          </w:p>
        </w:tc>
        <w:tc>
          <w:tcPr>
            <w:tcW w:w="857" w:type="dxa"/>
            <w:vAlign w:val="center"/>
          </w:tcPr>
          <w:p w14:paraId="3FD9A5C1" w14:textId="77777777" w:rsidR="0078240B" w:rsidRDefault="0078240B">
            <w:pPr>
              <w:spacing w:after="40"/>
              <w:jc w:val="center"/>
            </w:pPr>
          </w:p>
        </w:tc>
        <w:tc>
          <w:tcPr>
            <w:tcW w:w="857" w:type="dxa"/>
            <w:vAlign w:val="center"/>
          </w:tcPr>
          <w:p w14:paraId="1BB8C005" w14:textId="77777777" w:rsidR="0078240B" w:rsidRDefault="0078240B">
            <w:pPr>
              <w:spacing w:after="40"/>
              <w:jc w:val="center"/>
            </w:pPr>
          </w:p>
        </w:tc>
        <w:tc>
          <w:tcPr>
            <w:tcW w:w="857" w:type="dxa"/>
            <w:vAlign w:val="center"/>
          </w:tcPr>
          <w:p w14:paraId="19AB50AB" w14:textId="77777777" w:rsidR="0078240B" w:rsidRDefault="0078240B">
            <w:pPr>
              <w:spacing w:after="40"/>
              <w:jc w:val="center"/>
            </w:pPr>
          </w:p>
        </w:tc>
      </w:tr>
      <w:tr w:rsidR="0078240B" w14:paraId="461A12EA" w14:textId="77777777">
        <w:tc>
          <w:tcPr>
            <w:tcW w:w="3026" w:type="dxa"/>
            <w:vAlign w:val="center"/>
          </w:tcPr>
          <w:p w14:paraId="79E556E6" w14:textId="629DB2F2" w:rsidR="00774F93" w:rsidRPr="00774F93" w:rsidRDefault="00151C7D">
            <w:pPr>
              <w:spacing w:after="40"/>
              <w:rPr>
                <w:rFonts w:ascii="Arial" w:eastAsia="SimSun" w:hAnsi="Arial" w:cs="Arial"/>
              </w:rPr>
            </w:pPr>
            <w:proofErr w:type="spellStart"/>
            <w:r>
              <w:rPr>
                <w:rFonts w:ascii="Arial" w:eastAsia="SimSun" w:hAnsi="Arial" w:cs="Arial"/>
              </w:rPr>
              <w:t>Organise</w:t>
            </w:r>
            <w:proofErr w:type="spellEnd"/>
            <w:r>
              <w:rPr>
                <w:rFonts w:ascii="Arial" w:eastAsia="SimSun" w:hAnsi="Arial" w:cs="Arial"/>
              </w:rPr>
              <w:t xml:space="preserve"> findings </w:t>
            </w:r>
            <w:r w:rsidR="00FA4865">
              <w:rPr>
                <w:rFonts w:ascii="Arial" w:eastAsia="SimSun" w:hAnsi="Arial" w:cs="Arial"/>
              </w:rPr>
              <w:t xml:space="preserve">by theme </w:t>
            </w:r>
            <w:r w:rsidR="00D61B9B">
              <w:rPr>
                <w:rFonts w:ascii="Arial" w:eastAsia="SimSun" w:hAnsi="Arial" w:cs="Arial"/>
              </w:rPr>
              <w:t>(</w:t>
            </w:r>
            <w:r w:rsidR="003C5E0E">
              <w:rPr>
                <w:rFonts w:ascii="Arial" w:eastAsia="SimSun" w:hAnsi="Arial" w:cs="Arial"/>
              </w:rPr>
              <w:t>cost</w:t>
            </w:r>
            <w:r w:rsidR="005D79C2">
              <w:rPr>
                <w:rFonts w:ascii="Arial" w:eastAsia="SimSun" w:hAnsi="Arial" w:cs="Arial"/>
              </w:rPr>
              <w:t>s,</w:t>
            </w:r>
            <w:r w:rsidR="00C42C64">
              <w:rPr>
                <w:rFonts w:ascii="Arial" w:eastAsia="SimSun" w:hAnsi="Arial" w:cs="Arial"/>
              </w:rPr>
              <w:t xml:space="preserve"> delays</w:t>
            </w:r>
            <w:r w:rsidR="0045743D">
              <w:rPr>
                <w:rFonts w:ascii="Arial" w:eastAsia="SimSun" w:hAnsi="Arial" w:cs="Arial"/>
              </w:rPr>
              <w:t>, rules</w:t>
            </w:r>
            <w:r w:rsidR="006941A5">
              <w:rPr>
                <w:rFonts w:ascii="Arial" w:eastAsia="SimSun" w:hAnsi="Arial" w:cs="Arial"/>
              </w:rPr>
              <w:t xml:space="preserve">, </w:t>
            </w:r>
            <w:r w:rsidR="00397A12">
              <w:rPr>
                <w:rFonts w:ascii="Arial" w:eastAsia="SimSun" w:hAnsi="Arial" w:cs="Arial"/>
              </w:rPr>
              <w:t>competitiveness</w:t>
            </w:r>
            <w:r w:rsidR="001B3712">
              <w:rPr>
                <w:rFonts w:ascii="Arial" w:eastAsia="SimSun" w:hAnsi="Arial" w:cs="Arial"/>
              </w:rPr>
              <w:t>)</w:t>
            </w:r>
            <w:r w:rsidR="00D97AE5">
              <w:rPr>
                <w:rFonts w:ascii="Arial" w:eastAsia="SimSun" w:hAnsi="Arial" w:cs="Arial"/>
              </w:rPr>
              <w:t xml:space="preserve"> </w:t>
            </w:r>
            <w:r w:rsidR="004A3378">
              <w:rPr>
                <w:rFonts w:ascii="Arial" w:eastAsia="SimSun" w:hAnsi="Arial" w:cs="Arial"/>
              </w:rPr>
              <w:t xml:space="preserve">identify </w:t>
            </w:r>
            <w:r w:rsidR="00C64967">
              <w:rPr>
                <w:rFonts w:ascii="Arial" w:eastAsia="SimSun" w:hAnsi="Arial" w:cs="Arial"/>
              </w:rPr>
              <w:t>research problem</w:t>
            </w:r>
            <w:r w:rsidR="004A748A">
              <w:rPr>
                <w:rFonts w:ascii="Arial" w:eastAsia="SimSun" w:hAnsi="Arial" w:cs="Arial"/>
              </w:rPr>
              <w:t xml:space="preserve"> &amp; gaps. </w:t>
            </w:r>
          </w:p>
        </w:tc>
        <w:tc>
          <w:tcPr>
            <w:tcW w:w="857" w:type="dxa"/>
            <w:vAlign w:val="center"/>
          </w:tcPr>
          <w:p w14:paraId="6E43A38C" w14:textId="77777777" w:rsidR="0078240B" w:rsidRDefault="0078240B">
            <w:pPr>
              <w:spacing w:after="40"/>
              <w:jc w:val="center"/>
            </w:pPr>
          </w:p>
        </w:tc>
        <w:tc>
          <w:tcPr>
            <w:tcW w:w="857" w:type="dxa"/>
            <w:vAlign w:val="center"/>
          </w:tcPr>
          <w:p w14:paraId="33E62493" w14:textId="77777777" w:rsidR="0078240B" w:rsidRDefault="0078240B">
            <w:pPr>
              <w:spacing w:after="40"/>
              <w:jc w:val="center"/>
            </w:pPr>
          </w:p>
        </w:tc>
        <w:tc>
          <w:tcPr>
            <w:tcW w:w="857" w:type="dxa"/>
            <w:vAlign w:val="center"/>
          </w:tcPr>
          <w:p w14:paraId="1F15F8D7" w14:textId="77777777" w:rsidR="0078240B" w:rsidRDefault="0078240B">
            <w:pPr>
              <w:spacing w:after="40"/>
              <w:jc w:val="center"/>
            </w:pPr>
          </w:p>
        </w:tc>
        <w:tc>
          <w:tcPr>
            <w:tcW w:w="857" w:type="dxa"/>
            <w:shd w:val="clear" w:color="auto" w:fill="4472C4"/>
            <w:vAlign w:val="center"/>
          </w:tcPr>
          <w:p w14:paraId="28F816FD" w14:textId="77777777" w:rsidR="0078240B" w:rsidRDefault="0078240B">
            <w:pPr>
              <w:spacing w:after="40"/>
              <w:jc w:val="center"/>
            </w:pPr>
          </w:p>
        </w:tc>
        <w:tc>
          <w:tcPr>
            <w:tcW w:w="857" w:type="dxa"/>
            <w:vAlign w:val="center"/>
          </w:tcPr>
          <w:p w14:paraId="5096BB4E" w14:textId="77777777" w:rsidR="0078240B" w:rsidRDefault="0078240B">
            <w:pPr>
              <w:spacing w:after="40"/>
              <w:jc w:val="center"/>
            </w:pPr>
          </w:p>
        </w:tc>
        <w:tc>
          <w:tcPr>
            <w:tcW w:w="857" w:type="dxa"/>
            <w:vAlign w:val="center"/>
          </w:tcPr>
          <w:p w14:paraId="419C7F8B" w14:textId="77777777" w:rsidR="0078240B" w:rsidRDefault="0078240B">
            <w:pPr>
              <w:spacing w:after="40"/>
              <w:jc w:val="center"/>
            </w:pPr>
          </w:p>
        </w:tc>
        <w:tc>
          <w:tcPr>
            <w:tcW w:w="857" w:type="dxa"/>
            <w:vAlign w:val="center"/>
          </w:tcPr>
          <w:p w14:paraId="2BD5DA07" w14:textId="77777777" w:rsidR="0078240B" w:rsidRDefault="0078240B">
            <w:pPr>
              <w:spacing w:after="40"/>
              <w:jc w:val="center"/>
            </w:pPr>
          </w:p>
        </w:tc>
      </w:tr>
      <w:tr w:rsidR="0078240B" w14:paraId="555F1DD2" w14:textId="77777777">
        <w:tc>
          <w:tcPr>
            <w:tcW w:w="3026" w:type="dxa"/>
            <w:vAlign w:val="center"/>
          </w:tcPr>
          <w:p w14:paraId="715462B6" w14:textId="2F9E525B" w:rsidR="007F5A34" w:rsidRPr="002558F0" w:rsidRDefault="002558F0">
            <w:pPr>
              <w:spacing w:after="40"/>
              <w:rPr>
                <w:rFonts w:ascii="Arial" w:eastAsia="SimSun" w:hAnsi="Arial" w:cs="Arial"/>
              </w:rPr>
            </w:pPr>
            <w:r>
              <w:rPr>
                <w:rFonts w:ascii="Arial" w:eastAsia="SimSun" w:hAnsi="Arial" w:cs="Arial"/>
              </w:rPr>
              <w:t xml:space="preserve">Structure </w:t>
            </w:r>
            <w:r w:rsidR="00797D9A">
              <w:rPr>
                <w:rFonts w:ascii="Arial" w:eastAsia="SimSun" w:hAnsi="Arial" w:cs="Arial"/>
              </w:rPr>
              <w:t>full</w:t>
            </w:r>
            <w:r w:rsidR="00553171">
              <w:rPr>
                <w:rFonts w:ascii="Arial" w:eastAsia="SimSun" w:hAnsi="Arial" w:cs="Arial"/>
              </w:rPr>
              <w:t xml:space="preserve"> </w:t>
            </w:r>
            <w:r w:rsidR="00A40435">
              <w:rPr>
                <w:rFonts w:ascii="Arial" w:eastAsia="SimSun" w:hAnsi="Arial" w:cs="Arial"/>
              </w:rPr>
              <w:t xml:space="preserve">proposal </w:t>
            </w:r>
            <w:r w:rsidR="009B7531">
              <w:rPr>
                <w:rFonts w:ascii="Arial" w:eastAsia="SimSun" w:hAnsi="Arial" w:cs="Arial"/>
              </w:rPr>
              <w:t>int</w:t>
            </w:r>
            <w:r w:rsidR="0066526E">
              <w:rPr>
                <w:rFonts w:ascii="Arial" w:eastAsia="SimSun" w:hAnsi="Arial" w:cs="Arial"/>
              </w:rPr>
              <w:t>ro</w:t>
            </w:r>
            <w:r w:rsidR="00BE37D1">
              <w:rPr>
                <w:rFonts w:ascii="Arial" w:eastAsia="SimSun" w:hAnsi="Arial" w:cs="Arial"/>
              </w:rPr>
              <w:t xml:space="preserve">, </w:t>
            </w:r>
            <w:r w:rsidR="00522327">
              <w:rPr>
                <w:rFonts w:ascii="Arial" w:eastAsia="SimSun" w:hAnsi="Arial" w:cs="Arial"/>
              </w:rPr>
              <w:t xml:space="preserve">methodology’s </w:t>
            </w:r>
            <w:r w:rsidR="00184EB4">
              <w:rPr>
                <w:rFonts w:ascii="Arial" w:eastAsia="SimSun" w:hAnsi="Arial" w:cs="Arial"/>
              </w:rPr>
              <w:t>,</w:t>
            </w:r>
            <w:r w:rsidR="008307CB">
              <w:rPr>
                <w:rFonts w:ascii="Arial" w:eastAsia="SimSun" w:hAnsi="Arial" w:cs="Arial"/>
              </w:rPr>
              <w:t>ethical</w:t>
            </w:r>
            <w:r w:rsidR="00CF1A00">
              <w:rPr>
                <w:rFonts w:ascii="Arial" w:eastAsia="SimSun" w:hAnsi="Arial" w:cs="Arial"/>
              </w:rPr>
              <w:t>,</w:t>
            </w:r>
            <w:r w:rsidR="00DF1CB3">
              <w:rPr>
                <w:rFonts w:ascii="Arial" w:eastAsia="SimSun" w:hAnsi="Arial" w:cs="Arial"/>
              </w:rPr>
              <w:t xml:space="preserve"> </w:t>
            </w:r>
            <w:r w:rsidR="00805389">
              <w:rPr>
                <w:rFonts w:ascii="Arial" w:eastAsia="SimSun" w:hAnsi="Arial" w:cs="Arial"/>
              </w:rPr>
              <w:t xml:space="preserve">consideration </w:t>
            </w:r>
            <w:r w:rsidR="007F77F5">
              <w:rPr>
                <w:rFonts w:ascii="Arial" w:eastAsia="SimSun" w:hAnsi="Arial" w:cs="Arial"/>
              </w:rPr>
              <w:t>timeline</w:t>
            </w:r>
            <w:r w:rsidR="00C449D1">
              <w:rPr>
                <w:rFonts w:ascii="Arial" w:eastAsia="SimSun" w:hAnsi="Arial" w:cs="Arial"/>
              </w:rPr>
              <w:t>, Reference</w:t>
            </w:r>
            <w:r w:rsidR="00266DAB">
              <w:rPr>
                <w:rFonts w:ascii="Arial" w:eastAsia="SimSun" w:hAnsi="Arial" w:cs="Arial"/>
              </w:rPr>
              <w:t xml:space="preserve"> </w:t>
            </w:r>
            <w:r w:rsidR="00422156">
              <w:rPr>
                <w:rFonts w:ascii="Arial" w:eastAsia="SimSun" w:hAnsi="Arial" w:cs="Arial"/>
              </w:rPr>
              <w:t>formatting,</w:t>
            </w:r>
            <w:r w:rsidR="00DF112B">
              <w:rPr>
                <w:rFonts w:ascii="Arial" w:eastAsia="SimSun" w:hAnsi="Arial" w:cs="Arial"/>
              </w:rPr>
              <w:t>(Harvard</w:t>
            </w:r>
            <w:r w:rsidR="009D48FF">
              <w:rPr>
                <w:rFonts w:ascii="Arial" w:eastAsia="SimSun" w:hAnsi="Arial" w:cs="Arial"/>
              </w:rPr>
              <w:t xml:space="preserve">) </w:t>
            </w:r>
            <w:r w:rsidR="00782128">
              <w:rPr>
                <w:rFonts w:ascii="Arial" w:eastAsia="SimSun" w:hAnsi="Arial" w:cs="Arial"/>
              </w:rPr>
              <w:t xml:space="preserve"> </w:t>
            </w:r>
          </w:p>
        </w:tc>
        <w:tc>
          <w:tcPr>
            <w:tcW w:w="857" w:type="dxa"/>
            <w:vAlign w:val="center"/>
          </w:tcPr>
          <w:p w14:paraId="4D5BD9CD" w14:textId="77777777" w:rsidR="0078240B" w:rsidRDefault="0078240B">
            <w:pPr>
              <w:spacing w:after="40"/>
              <w:jc w:val="center"/>
            </w:pPr>
          </w:p>
        </w:tc>
        <w:tc>
          <w:tcPr>
            <w:tcW w:w="857" w:type="dxa"/>
            <w:vAlign w:val="center"/>
          </w:tcPr>
          <w:p w14:paraId="57BF66B6" w14:textId="77777777" w:rsidR="0078240B" w:rsidRDefault="0078240B">
            <w:pPr>
              <w:spacing w:after="40"/>
              <w:jc w:val="center"/>
            </w:pPr>
          </w:p>
        </w:tc>
        <w:tc>
          <w:tcPr>
            <w:tcW w:w="857" w:type="dxa"/>
            <w:vAlign w:val="center"/>
          </w:tcPr>
          <w:p w14:paraId="64D43AC4" w14:textId="77777777" w:rsidR="0078240B" w:rsidRDefault="0078240B">
            <w:pPr>
              <w:spacing w:after="40"/>
              <w:jc w:val="center"/>
            </w:pPr>
          </w:p>
        </w:tc>
        <w:tc>
          <w:tcPr>
            <w:tcW w:w="857" w:type="dxa"/>
            <w:vAlign w:val="center"/>
          </w:tcPr>
          <w:p w14:paraId="3CDF6B90" w14:textId="77777777" w:rsidR="0078240B" w:rsidRDefault="0078240B">
            <w:pPr>
              <w:spacing w:after="40"/>
              <w:jc w:val="center"/>
            </w:pPr>
          </w:p>
        </w:tc>
        <w:tc>
          <w:tcPr>
            <w:tcW w:w="857" w:type="dxa"/>
            <w:shd w:val="clear" w:color="auto" w:fill="4472C4"/>
            <w:vAlign w:val="center"/>
          </w:tcPr>
          <w:p w14:paraId="622E3E8A" w14:textId="77777777" w:rsidR="0078240B" w:rsidRDefault="0078240B">
            <w:pPr>
              <w:spacing w:after="40"/>
              <w:jc w:val="center"/>
            </w:pPr>
          </w:p>
        </w:tc>
        <w:tc>
          <w:tcPr>
            <w:tcW w:w="857" w:type="dxa"/>
            <w:vAlign w:val="center"/>
          </w:tcPr>
          <w:p w14:paraId="23221C0F" w14:textId="77777777" w:rsidR="0078240B" w:rsidRDefault="0078240B">
            <w:pPr>
              <w:spacing w:after="40"/>
              <w:jc w:val="center"/>
            </w:pPr>
          </w:p>
        </w:tc>
        <w:tc>
          <w:tcPr>
            <w:tcW w:w="857" w:type="dxa"/>
            <w:vAlign w:val="center"/>
          </w:tcPr>
          <w:p w14:paraId="6E9B42D0" w14:textId="77777777" w:rsidR="0078240B" w:rsidRDefault="0078240B">
            <w:pPr>
              <w:spacing w:after="40"/>
              <w:jc w:val="center"/>
            </w:pPr>
          </w:p>
        </w:tc>
      </w:tr>
      <w:tr w:rsidR="0078240B" w14:paraId="7A2CA3B0" w14:textId="77777777">
        <w:tc>
          <w:tcPr>
            <w:tcW w:w="3026" w:type="dxa"/>
            <w:vAlign w:val="center"/>
          </w:tcPr>
          <w:p w14:paraId="3D07EFA9" w14:textId="77777777" w:rsidR="0078240B" w:rsidRDefault="008C0D37">
            <w:pPr>
              <w:spacing w:after="40"/>
            </w:pPr>
            <w:r>
              <w:rPr>
                <w:rFonts w:ascii="Arial" w:eastAsia="SimSun" w:hAnsi="Arial" w:cs="Arial"/>
              </w:rPr>
              <w:t>Write up findings and discussion</w:t>
            </w:r>
          </w:p>
        </w:tc>
        <w:tc>
          <w:tcPr>
            <w:tcW w:w="857" w:type="dxa"/>
            <w:vAlign w:val="center"/>
          </w:tcPr>
          <w:p w14:paraId="7481EF39" w14:textId="77777777" w:rsidR="0078240B" w:rsidRDefault="0078240B">
            <w:pPr>
              <w:spacing w:after="40"/>
              <w:jc w:val="center"/>
            </w:pPr>
          </w:p>
        </w:tc>
        <w:tc>
          <w:tcPr>
            <w:tcW w:w="857" w:type="dxa"/>
            <w:vAlign w:val="center"/>
          </w:tcPr>
          <w:p w14:paraId="37C34CD4" w14:textId="77777777" w:rsidR="0078240B" w:rsidRDefault="0078240B">
            <w:pPr>
              <w:spacing w:after="40"/>
              <w:jc w:val="center"/>
            </w:pPr>
          </w:p>
        </w:tc>
        <w:tc>
          <w:tcPr>
            <w:tcW w:w="857" w:type="dxa"/>
            <w:vAlign w:val="center"/>
          </w:tcPr>
          <w:p w14:paraId="5A6722E0" w14:textId="77777777" w:rsidR="0078240B" w:rsidRDefault="0078240B">
            <w:pPr>
              <w:spacing w:after="40"/>
              <w:jc w:val="center"/>
            </w:pPr>
          </w:p>
        </w:tc>
        <w:tc>
          <w:tcPr>
            <w:tcW w:w="857" w:type="dxa"/>
            <w:vAlign w:val="center"/>
          </w:tcPr>
          <w:p w14:paraId="41B1DE9D" w14:textId="77777777" w:rsidR="0078240B" w:rsidRDefault="0078240B">
            <w:pPr>
              <w:spacing w:after="40"/>
              <w:jc w:val="center"/>
            </w:pPr>
          </w:p>
        </w:tc>
        <w:tc>
          <w:tcPr>
            <w:tcW w:w="857" w:type="dxa"/>
            <w:vAlign w:val="center"/>
          </w:tcPr>
          <w:p w14:paraId="5FB614CF" w14:textId="77777777" w:rsidR="0078240B" w:rsidRDefault="0078240B">
            <w:pPr>
              <w:spacing w:after="40"/>
              <w:jc w:val="center"/>
            </w:pPr>
          </w:p>
        </w:tc>
        <w:tc>
          <w:tcPr>
            <w:tcW w:w="857" w:type="dxa"/>
            <w:shd w:val="clear" w:color="auto" w:fill="4472C4"/>
            <w:vAlign w:val="center"/>
          </w:tcPr>
          <w:p w14:paraId="674938FD" w14:textId="77777777" w:rsidR="0078240B" w:rsidRDefault="0078240B">
            <w:pPr>
              <w:spacing w:after="40"/>
              <w:jc w:val="center"/>
            </w:pPr>
          </w:p>
        </w:tc>
        <w:tc>
          <w:tcPr>
            <w:tcW w:w="857" w:type="dxa"/>
            <w:vAlign w:val="center"/>
          </w:tcPr>
          <w:p w14:paraId="7F1C4269" w14:textId="77777777" w:rsidR="0078240B" w:rsidRDefault="0078240B">
            <w:pPr>
              <w:spacing w:after="40"/>
              <w:jc w:val="center"/>
            </w:pPr>
          </w:p>
        </w:tc>
      </w:tr>
      <w:tr w:rsidR="0078240B" w14:paraId="24576A92" w14:textId="77777777">
        <w:tc>
          <w:tcPr>
            <w:tcW w:w="3026" w:type="dxa"/>
            <w:vAlign w:val="center"/>
          </w:tcPr>
          <w:p w14:paraId="1D908635" w14:textId="77777777" w:rsidR="0078240B" w:rsidRDefault="008C0D37">
            <w:pPr>
              <w:spacing w:after="40"/>
            </w:pPr>
            <w:r>
              <w:rPr>
                <w:rFonts w:ascii="Arial" w:eastAsia="SimSun" w:hAnsi="Arial" w:cs="Arial"/>
              </w:rPr>
              <w:t>Final editing, proofreading and submission</w:t>
            </w:r>
          </w:p>
        </w:tc>
        <w:tc>
          <w:tcPr>
            <w:tcW w:w="857" w:type="dxa"/>
            <w:vAlign w:val="center"/>
          </w:tcPr>
          <w:p w14:paraId="4C796F0D" w14:textId="77777777" w:rsidR="0078240B" w:rsidRDefault="0078240B">
            <w:pPr>
              <w:spacing w:after="40"/>
              <w:jc w:val="center"/>
            </w:pPr>
          </w:p>
        </w:tc>
        <w:tc>
          <w:tcPr>
            <w:tcW w:w="857" w:type="dxa"/>
            <w:vAlign w:val="center"/>
          </w:tcPr>
          <w:p w14:paraId="69A630B8" w14:textId="77777777" w:rsidR="0078240B" w:rsidRDefault="0078240B">
            <w:pPr>
              <w:spacing w:after="40"/>
              <w:jc w:val="center"/>
            </w:pPr>
          </w:p>
        </w:tc>
        <w:tc>
          <w:tcPr>
            <w:tcW w:w="857" w:type="dxa"/>
            <w:vAlign w:val="center"/>
          </w:tcPr>
          <w:p w14:paraId="27A7EB5F" w14:textId="77777777" w:rsidR="0078240B" w:rsidRDefault="0078240B">
            <w:pPr>
              <w:spacing w:after="40"/>
              <w:jc w:val="center"/>
            </w:pPr>
          </w:p>
        </w:tc>
        <w:tc>
          <w:tcPr>
            <w:tcW w:w="857" w:type="dxa"/>
            <w:vAlign w:val="center"/>
          </w:tcPr>
          <w:p w14:paraId="6FFD5DE5" w14:textId="77777777" w:rsidR="0078240B" w:rsidRDefault="0078240B">
            <w:pPr>
              <w:spacing w:after="40"/>
              <w:jc w:val="center"/>
            </w:pPr>
          </w:p>
        </w:tc>
        <w:tc>
          <w:tcPr>
            <w:tcW w:w="857" w:type="dxa"/>
            <w:vAlign w:val="center"/>
          </w:tcPr>
          <w:p w14:paraId="660817D8" w14:textId="77777777" w:rsidR="0078240B" w:rsidRDefault="0078240B">
            <w:pPr>
              <w:spacing w:after="40"/>
              <w:jc w:val="center"/>
            </w:pPr>
          </w:p>
        </w:tc>
        <w:tc>
          <w:tcPr>
            <w:tcW w:w="857" w:type="dxa"/>
            <w:vAlign w:val="center"/>
          </w:tcPr>
          <w:p w14:paraId="5F87AAD5" w14:textId="77777777" w:rsidR="0078240B" w:rsidRDefault="0078240B">
            <w:pPr>
              <w:spacing w:after="40"/>
              <w:jc w:val="center"/>
            </w:pPr>
          </w:p>
        </w:tc>
        <w:tc>
          <w:tcPr>
            <w:tcW w:w="857" w:type="dxa"/>
            <w:shd w:val="clear" w:color="auto" w:fill="4472C4"/>
            <w:vAlign w:val="center"/>
          </w:tcPr>
          <w:p w14:paraId="72B1A6C3" w14:textId="77777777" w:rsidR="0078240B" w:rsidRDefault="0078240B">
            <w:pPr>
              <w:spacing w:after="40"/>
              <w:jc w:val="center"/>
            </w:pPr>
          </w:p>
        </w:tc>
      </w:tr>
    </w:tbl>
    <w:p w14:paraId="48A033E3" w14:textId="77777777" w:rsidR="00C55CAE" w:rsidRDefault="00C55CAE" w:rsidP="005C309F">
      <w:pPr>
        <w:pStyle w:val="Heading1"/>
        <w:spacing w:before="320" w:after="160" w:line="360" w:lineRule="auto"/>
        <w:jc w:val="center"/>
        <w:rPr>
          <w:rFonts w:ascii="Arial" w:eastAsia="SimSun" w:hAnsi="Arial" w:cs="Arial"/>
          <w:b/>
          <w:bCs/>
          <w:color w:val="auto"/>
          <w:sz w:val="24"/>
          <w:szCs w:val="24"/>
        </w:rPr>
      </w:pPr>
    </w:p>
    <w:p w14:paraId="44F364EE" w14:textId="77777777" w:rsidR="00C55CAE" w:rsidRDefault="00C55CAE">
      <w:pPr>
        <w:rPr>
          <w:rFonts w:ascii="Arial" w:eastAsia="SimSun" w:hAnsi="Arial" w:cs="Arial"/>
          <w:b/>
          <w:bCs/>
          <w:sz w:val="24"/>
          <w:szCs w:val="24"/>
        </w:rPr>
      </w:pPr>
      <w:r>
        <w:rPr>
          <w:rFonts w:ascii="Arial" w:eastAsia="SimSun" w:hAnsi="Arial" w:cs="Arial"/>
          <w:b/>
          <w:bCs/>
          <w:sz w:val="24"/>
          <w:szCs w:val="24"/>
        </w:rPr>
        <w:br w:type="page"/>
      </w:r>
    </w:p>
    <w:p w14:paraId="4873D3A7" w14:textId="77777777" w:rsidR="00005A3C" w:rsidRPr="003827D7" w:rsidRDefault="00462943" w:rsidP="005C309F">
      <w:pPr>
        <w:pStyle w:val="Heading1"/>
        <w:spacing w:before="320" w:after="160" w:line="360" w:lineRule="auto"/>
        <w:jc w:val="center"/>
        <w:rPr>
          <w:rFonts w:ascii="Arial" w:hAnsi="Arial" w:cs="Arial"/>
          <w:color w:val="auto"/>
          <w:sz w:val="24"/>
          <w:szCs w:val="24"/>
        </w:rPr>
      </w:pPr>
      <w:r>
        <w:rPr>
          <w:rFonts w:ascii="Arial" w:eastAsia="SimSun" w:hAnsi="Arial" w:cs="Arial"/>
          <w:b/>
          <w:bCs/>
          <w:color w:val="auto"/>
          <w:sz w:val="24"/>
          <w:szCs w:val="24"/>
        </w:rPr>
        <w:lastRenderedPageBreak/>
        <w:t>References</w:t>
      </w:r>
    </w:p>
    <w:p w14:paraId="1E8B9BAA" w14:textId="77777777" w:rsidR="00005A3C" w:rsidRPr="003827D7" w:rsidRDefault="00462943" w:rsidP="003827D7">
      <w:pPr>
        <w:spacing w:after="120" w:line="360" w:lineRule="auto"/>
        <w:ind w:left="475" w:hanging="475"/>
        <w:rPr>
          <w:rFonts w:ascii="Arial" w:hAnsi="Arial" w:cs="Arial"/>
          <w:sz w:val="24"/>
          <w:szCs w:val="24"/>
        </w:rPr>
      </w:pPr>
      <w:r>
        <w:rPr>
          <w:rFonts w:ascii="Arial" w:eastAsia="SimSun" w:hAnsi="Arial" w:cs="Arial"/>
          <w:sz w:val="24"/>
          <w:szCs w:val="24"/>
        </w:rPr>
        <w:t xml:space="preserve">Braun, V. and Clarke, V. (2021) </w:t>
      </w:r>
      <w:r>
        <w:rPr>
          <w:rFonts w:ascii="Arial" w:eastAsia="SimSun" w:hAnsi="Arial" w:cs="Arial"/>
          <w:i/>
          <w:iCs/>
          <w:sz w:val="24"/>
          <w:szCs w:val="24"/>
        </w:rPr>
        <w:t>Thematic Analysis: A Practical Guide</w:t>
      </w:r>
      <w:r>
        <w:rPr>
          <w:rFonts w:ascii="Arial" w:eastAsia="SimSun" w:hAnsi="Arial" w:cs="Arial"/>
          <w:sz w:val="24"/>
          <w:szCs w:val="24"/>
        </w:rPr>
        <w:t>. London: SAGE Publications.</w:t>
      </w:r>
    </w:p>
    <w:p w14:paraId="6CDF951B" w14:textId="77777777" w:rsidR="00005A3C" w:rsidRPr="003827D7" w:rsidRDefault="00462943" w:rsidP="003827D7">
      <w:pPr>
        <w:spacing w:after="120" w:line="360" w:lineRule="auto"/>
        <w:ind w:left="475" w:hanging="475"/>
        <w:rPr>
          <w:rFonts w:ascii="Arial" w:hAnsi="Arial" w:cs="Arial"/>
          <w:sz w:val="24"/>
          <w:szCs w:val="24"/>
        </w:rPr>
      </w:pPr>
      <w:r>
        <w:rPr>
          <w:rFonts w:ascii="Arial" w:eastAsia="SimSun" w:hAnsi="Arial" w:cs="Arial"/>
          <w:sz w:val="24"/>
          <w:szCs w:val="24"/>
        </w:rPr>
        <w:t xml:space="preserve">Brown, R., </w:t>
      </w:r>
      <w:proofErr w:type="spellStart"/>
      <w:r>
        <w:rPr>
          <w:rFonts w:ascii="Arial" w:eastAsia="SimSun" w:hAnsi="Arial" w:cs="Arial"/>
          <w:sz w:val="24"/>
          <w:szCs w:val="24"/>
        </w:rPr>
        <w:t>Kalafsky</w:t>
      </w:r>
      <w:proofErr w:type="spellEnd"/>
      <w:r>
        <w:rPr>
          <w:rFonts w:ascii="Arial" w:eastAsia="SimSun" w:hAnsi="Arial" w:cs="Arial"/>
          <w:sz w:val="24"/>
          <w:szCs w:val="24"/>
        </w:rPr>
        <w:t xml:space="preserve">, R.V., Mawson, S. and Davies, L. (2020) 'Shocks, uncertainty and regional resilience: the case of Brexit and Scottish SMEs', </w:t>
      </w:r>
      <w:r>
        <w:rPr>
          <w:rFonts w:ascii="Arial" w:eastAsia="SimSun" w:hAnsi="Arial" w:cs="Arial"/>
          <w:i/>
          <w:iCs/>
          <w:sz w:val="24"/>
          <w:szCs w:val="24"/>
        </w:rPr>
        <w:t>Local Economy</w:t>
      </w:r>
      <w:r>
        <w:rPr>
          <w:rFonts w:ascii="Arial" w:eastAsia="SimSun" w:hAnsi="Arial" w:cs="Arial"/>
          <w:sz w:val="24"/>
          <w:szCs w:val="24"/>
        </w:rPr>
        <w:t>, 35(7), pp. 655-675.</w:t>
      </w:r>
    </w:p>
    <w:p w14:paraId="58683088" w14:textId="77777777" w:rsidR="00005A3C" w:rsidRPr="003827D7" w:rsidRDefault="00462943" w:rsidP="003827D7">
      <w:pPr>
        <w:spacing w:after="120" w:line="360" w:lineRule="auto"/>
        <w:ind w:left="475" w:hanging="475"/>
        <w:rPr>
          <w:rFonts w:ascii="Arial" w:hAnsi="Arial" w:cs="Arial"/>
          <w:sz w:val="24"/>
          <w:szCs w:val="24"/>
        </w:rPr>
      </w:pPr>
      <w:r>
        <w:rPr>
          <w:rFonts w:ascii="Arial" w:eastAsia="SimSun" w:hAnsi="Arial" w:cs="Arial"/>
          <w:sz w:val="24"/>
          <w:szCs w:val="24"/>
        </w:rPr>
        <w:t xml:space="preserve">Brown, R., </w:t>
      </w:r>
      <w:proofErr w:type="spellStart"/>
      <w:r>
        <w:rPr>
          <w:rFonts w:ascii="Arial" w:eastAsia="SimSun" w:hAnsi="Arial" w:cs="Arial"/>
          <w:sz w:val="24"/>
          <w:szCs w:val="24"/>
        </w:rPr>
        <w:t>Linares-Zegarra</w:t>
      </w:r>
      <w:proofErr w:type="spellEnd"/>
      <w:r>
        <w:rPr>
          <w:rFonts w:ascii="Arial" w:eastAsia="SimSun" w:hAnsi="Arial" w:cs="Arial"/>
          <w:sz w:val="24"/>
          <w:szCs w:val="24"/>
        </w:rPr>
        <w:t xml:space="preserve">, J.M. and Wilson, J.O.S. (2019) 'The (potential) impact of Brexit on UK SMEs: regional evidence and public policy implications', </w:t>
      </w:r>
      <w:r>
        <w:rPr>
          <w:rFonts w:ascii="Arial" w:eastAsia="SimSun" w:hAnsi="Arial" w:cs="Arial"/>
          <w:i/>
          <w:iCs/>
          <w:sz w:val="24"/>
          <w:szCs w:val="24"/>
        </w:rPr>
        <w:t>Regional Studies</w:t>
      </w:r>
      <w:r>
        <w:rPr>
          <w:rFonts w:ascii="Arial" w:eastAsia="SimSun" w:hAnsi="Arial" w:cs="Arial"/>
          <w:sz w:val="24"/>
          <w:szCs w:val="24"/>
        </w:rPr>
        <w:t>, 53(5), pp. 761-770.</w:t>
      </w:r>
    </w:p>
    <w:p w14:paraId="301AB7AF" w14:textId="77777777" w:rsidR="00005A3C" w:rsidRPr="003827D7" w:rsidRDefault="00462943" w:rsidP="003827D7">
      <w:pPr>
        <w:spacing w:after="120" w:line="360" w:lineRule="auto"/>
        <w:ind w:left="475" w:hanging="475"/>
        <w:rPr>
          <w:rFonts w:ascii="Arial" w:hAnsi="Arial" w:cs="Arial"/>
          <w:sz w:val="24"/>
          <w:szCs w:val="24"/>
        </w:rPr>
      </w:pPr>
      <w:r>
        <w:rPr>
          <w:rFonts w:ascii="Arial" w:eastAsia="SimSun" w:hAnsi="Arial" w:cs="Arial"/>
          <w:sz w:val="24"/>
          <w:szCs w:val="24"/>
        </w:rPr>
        <w:t xml:space="preserve">Du, J., Liu, X., </w:t>
      </w:r>
      <w:proofErr w:type="spellStart"/>
      <w:r>
        <w:rPr>
          <w:rFonts w:ascii="Arial" w:eastAsia="SimSun" w:hAnsi="Arial" w:cs="Arial"/>
          <w:sz w:val="24"/>
          <w:szCs w:val="24"/>
        </w:rPr>
        <w:t>Shepotylo</w:t>
      </w:r>
      <w:proofErr w:type="spellEnd"/>
      <w:r>
        <w:rPr>
          <w:rFonts w:ascii="Arial" w:eastAsia="SimSun" w:hAnsi="Arial" w:cs="Arial"/>
          <w:sz w:val="24"/>
          <w:szCs w:val="24"/>
        </w:rPr>
        <w:t xml:space="preserve">, O. and Shi, Y. (2024) </w:t>
      </w:r>
      <w:r>
        <w:rPr>
          <w:rFonts w:ascii="Arial" w:eastAsia="SimSun" w:hAnsi="Arial" w:cs="Arial"/>
          <w:i/>
          <w:iCs/>
          <w:sz w:val="24"/>
          <w:szCs w:val="24"/>
        </w:rPr>
        <w:t>Unbound: UK trade post-Brexit</w:t>
      </w:r>
      <w:r>
        <w:rPr>
          <w:rFonts w:ascii="Arial" w:eastAsia="SimSun" w:hAnsi="Arial" w:cs="Arial"/>
          <w:sz w:val="24"/>
          <w:szCs w:val="24"/>
        </w:rPr>
        <w:t>. Productivity Insights Paper No. 040. Manchester: The Productivity Institute. Available at: https://www.productivity.ac.uk/wp-content/uploads/2024/11/PIP040-UK-Trade-Post-Brexit-131124.pdf (Accessed: 19 September 2026).</w:t>
      </w:r>
    </w:p>
    <w:p w14:paraId="0C058C18" w14:textId="77777777" w:rsidR="00005A3C" w:rsidRPr="003827D7" w:rsidRDefault="00462943" w:rsidP="003827D7">
      <w:pPr>
        <w:spacing w:after="120" w:line="360" w:lineRule="auto"/>
        <w:ind w:left="475" w:hanging="475"/>
        <w:rPr>
          <w:rFonts w:ascii="Arial" w:hAnsi="Arial" w:cs="Arial"/>
          <w:sz w:val="24"/>
          <w:szCs w:val="24"/>
        </w:rPr>
      </w:pPr>
      <w:r>
        <w:rPr>
          <w:rFonts w:ascii="Arial" w:eastAsia="SimSun" w:hAnsi="Arial" w:cs="Arial"/>
          <w:sz w:val="24"/>
          <w:szCs w:val="24"/>
        </w:rPr>
        <w:t xml:space="preserve">Du, J., Messenger, G. and </w:t>
      </w:r>
      <w:proofErr w:type="spellStart"/>
      <w:r>
        <w:rPr>
          <w:rFonts w:ascii="Arial" w:eastAsia="SimSun" w:hAnsi="Arial" w:cs="Arial"/>
          <w:sz w:val="24"/>
          <w:szCs w:val="24"/>
        </w:rPr>
        <w:t>Shepotylo</w:t>
      </w:r>
      <w:proofErr w:type="spellEnd"/>
      <w:r>
        <w:rPr>
          <w:rFonts w:ascii="Arial" w:eastAsia="SimSun" w:hAnsi="Arial" w:cs="Arial"/>
          <w:sz w:val="24"/>
          <w:szCs w:val="24"/>
        </w:rPr>
        <w:t xml:space="preserve">, O. (2024) </w:t>
      </w:r>
      <w:r>
        <w:rPr>
          <w:rFonts w:ascii="Arial" w:eastAsia="SimSun" w:hAnsi="Arial" w:cs="Arial"/>
          <w:i/>
          <w:iCs/>
          <w:sz w:val="24"/>
          <w:szCs w:val="24"/>
        </w:rPr>
        <w:t>Enhancing the Brexit deal: exploring the impact of a UK-EU veterinary agreement on agri-food trade</w:t>
      </w:r>
      <w:r>
        <w:rPr>
          <w:rFonts w:ascii="Arial" w:eastAsia="SimSun" w:hAnsi="Arial" w:cs="Arial"/>
          <w:sz w:val="24"/>
          <w:szCs w:val="24"/>
        </w:rPr>
        <w:t>. Birmingham: Centre for Business Prosperity, Aston University.</w:t>
      </w:r>
    </w:p>
    <w:p w14:paraId="4BDC2E30" w14:textId="77777777" w:rsidR="00005A3C" w:rsidRPr="003827D7" w:rsidRDefault="00462943" w:rsidP="003827D7">
      <w:pPr>
        <w:spacing w:after="120" w:line="360" w:lineRule="auto"/>
        <w:ind w:left="475" w:hanging="475"/>
        <w:rPr>
          <w:rFonts w:ascii="Arial" w:hAnsi="Arial" w:cs="Arial"/>
          <w:sz w:val="24"/>
          <w:szCs w:val="24"/>
        </w:rPr>
      </w:pPr>
      <w:r>
        <w:rPr>
          <w:rFonts w:ascii="Arial" w:eastAsia="SimSun" w:hAnsi="Arial" w:cs="Arial"/>
          <w:sz w:val="24"/>
          <w:szCs w:val="24"/>
        </w:rPr>
        <w:t xml:space="preserve">Du, J., </w:t>
      </w:r>
      <w:proofErr w:type="spellStart"/>
      <w:r>
        <w:rPr>
          <w:rFonts w:ascii="Arial" w:eastAsia="SimSun" w:hAnsi="Arial" w:cs="Arial"/>
          <w:sz w:val="24"/>
          <w:szCs w:val="24"/>
        </w:rPr>
        <w:t>Satoglu</w:t>
      </w:r>
      <w:proofErr w:type="spellEnd"/>
      <w:r>
        <w:rPr>
          <w:rFonts w:ascii="Arial" w:eastAsia="SimSun" w:hAnsi="Arial" w:cs="Arial"/>
          <w:sz w:val="24"/>
          <w:szCs w:val="24"/>
        </w:rPr>
        <w:t xml:space="preserve">, E.B. and </w:t>
      </w:r>
      <w:proofErr w:type="spellStart"/>
      <w:r>
        <w:rPr>
          <w:rFonts w:ascii="Arial" w:eastAsia="SimSun" w:hAnsi="Arial" w:cs="Arial"/>
          <w:sz w:val="24"/>
          <w:szCs w:val="24"/>
        </w:rPr>
        <w:t>Shepotylo</w:t>
      </w:r>
      <w:proofErr w:type="spellEnd"/>
      <w:r>
        <w:rPr>
          <w:rFonts w:ascii="Arial" w:eastAsia="SimSun" w:hAnsi="Arial" w:cs="Arial"/>
          <w:sz w:val="24"/>
          <w:szCs w:val="24"/>
        </w:rPr>
        <w:t xml:space="preserve">, O. (2023) 'How did Brexit affect UK trade?', </w:t>
      </w:r>
      <w:r>
        <w:rPr>
          <w:rFonts w:ascii="Arial" w:eastAsia="SimSun" w:hAnsi="Arial" w:cs="Arial"/>
          <w:i/>
          <w:iCs/>
          <w:sz w:val="24"/>
          <w:szCs w:val="24"/>
        </w:rPr>
        <w:t>Contemporary Social Science</w:t>
      </w:r>
      <w:r>
        <w:rPr>
          <w:rFonts w:ascii="Arial" w:eastAsia="SimSun" w:hAnsi="Arial" w:cs="Arial"/>
          <w:sz w:val="24"/>
          <w:szCs w:val="24"/>
        </w:rPr>
        <w:t>, 18(2), pp. 266-283.</w:t>
      </w:r>
    </w:p>
    <w:p w14:paraId="58E4CD7D" w14:textId="77777777" w:rsidR="00005A3C" w:rsidRPr="003827D7" w:rsidRDefault="00462943" w:rsidP="003827D7">
      <w:pPr>
        <w:spacing w:after="120" w:line="360" w:lineRule="auto"/>
        <w:ind w:left="475" w:hanging="475"/>
        <w:rPr>
          <w:rFonts w:ascii="Arial" w:hAnsi="Arial" w:cs="Arial"/>
          <w:sz w:val="24"/>
          <w:szCs w:val="24"/>
        </w:rPr>
      </w:pPr>
      <w:r>
        <w:rPr>
          <w:rFonts w:ascii="Arial" w:eastAsia="SimSun" w:hAnsi="Arial" w:cs="Arial"/>
          <w:sz w:val="24"/>
          <w:szCs w:val="24"/>
        </w:rPr>
        <w:t xml:space="preserve">Du, J., </w:t>
      </w:r>
      <w:proofErr w:type="spellStart"/>
      <w:r>
        <w:rPr>
          <w:rFonts w:ascii="Arial" w:eastAsia="SimSun" w:hAnsi="Arial" w:cs="Arial"/>
          <w:sz w:val="24"/>
          <w:szCs w:val="24"/>
        </w:rPr>
        <w:t>Shepotylo</w:t>
      </w:r>
      <w:proofErr w:type="spellEnd"/>
      <w:r>
        <w:rPr>
          <w:rFonts w:ascii="Arial" w:eastAsia="SimSun" w:hAnsi="Arial" w:cs="Arial"/>
          <w:sz w:val="24"/>
          <w:szCs w:val="24"/>
        </w:rPr>
        <w:t xml:space="preserve">, O. and Shi, Y. (2025) 'Trade disintegration and agri-food trade: United Kingdom exit from EU', </w:t>
      </w:r>
      <w:r>
        <w:rPr>
          <w:rFonts w:ascii="Arial" w:eastAsia="SimSun" w:hAnsi="Arial" w:cs="Arial"/>
          <w:i/>
          <w:iCs/>
          <w:sz w:val="24"/>
          <w:szCs w:val="24"/>
        </w:rPr>
        <w:t>The World Economy</w:t>
      </w:r>
      <w:r>
        <w:rPr>
          <w:rFonts w:ascii="Arial" w:eastAsia="SimSun" w:hAnsi="Arial" w:cs="Arial"/>
          <w:sz w:val="24"/>
          <w:szCs w:val="24"/>
        </w:rPr>
        <w:t>, 48(9), pp. 2042-2062. Available at: https://doi.org/10.1111/twec.13735 (Accessed: 19 September 2026).</w:t>
      </w:r>
    </w:p>
    <w:p w14:paraId="5CAC1D62" w14:textId="77777777" w:rsidR="00005A3C" w:rsidRPr="003827D7" w:rsidRDefault="00462943" w:rsidP="003827D7">
      <w:pPr>
        <w:spacing w:after="120" w:line="360" w:lineRule="auto"/>
        <w:ind w:left="475" w:hanging="475"/>
        <w:rPr>
          <w:rFonts w:ascii="Arial" w:hAnsi="Arial" w:cs="Arial"/>
          <w:sz w:val="24"/>
          <w:szCs w:val="24"/>
        </w:rPr>
      </w:pPr>
      <w:r>
        <w:rPr>
          <w:rFonts w:ascii="Arial" w:eastAsia="SimSun" w:hAnsi="Arial" w:cs="Arial"/>
          <w:sz w:val="24"/>
          <w:szCs w:val="24"/>
        </w:rPr>
        <w:t xml:space="preserve">European Parliamentary Research Service (2025) </w:t>
      </w:r>
      <w:r>
        <w:rPr>
          <w:rFonts w:ascii="Arial" w:eastAsia="SimSun" w:hAnsi="Arial" w:cs="Arial"/>
          <w:i/>
          <w:iCs/>
          <w:sz w:val="24"/>
          <w:szCs w:val="24"/>
        </w:rPr>
        <w:t>EU-UK trade flows</w:t>
      </w:r>
      <w:r>
        <w:rPr>
          <w:rFonts w:ascii="Arial" w:eastAsia="SimSun" w:hAnsi="Arial" w:cs="Arial"/>
          <w:sz w:val="24"/>
          <w:szCs w:val="24"/>
        </w:rPr>
        <w:t>. Briefing PE 765.767. Brussels: European Parliament. Available at: https://www.europarl.europa.eu/RegData/etudes/BRIE/2025/765767/EPRS_BRI(2025)765767_EN.pdf (Accessed: 19 September 2026).</w:t>
      </w:r>
    </w:p>
    <w:p w14:paraId="51F024CC" w14:textId="77777777" w:rsidR="00005A3C" w:rsidRPr="003827D7" w:rsidRDefault="00462943" w:rsidP="003827D7">
      <w:pPr>
        <w:spacing w:after="120" w:line="360" w:lineRule="auto"/>
        <w:ind w:left="475" w:hanging="475"/>
        <w:rPr>
          <w:rFonts w:ascii="Arial" w:hAnsi="Arial" w:cs="Arial"/>
          <w:sz w:val="24"/>
          <w:szCs w:val="24"/>
        </w:rPr>
      </w:pPr>
      <w:proofErr w:type="spellStart"/>
      <w:r>
        <w:rPr>
          <w:rFonts w:ascii="Arial" w:eastAsia="SimSun" w:hAnsi="Arial" w:cs="Arial"/>
          <w:sz w:val="24"/>
          <w:szCs w:val="24"/>
        </w:rPr>
        <w:t>Filippaios</w:t>
      </w:r>
      <w:proofErr w:type="spellEnd"/>
      <w:r>
        <w:rPr>
          <w:rFonts w:ascii="Arial" w:eastAsia="SimSun" w:hAnsi="Arial" w:cs="Arial"/>
          <w:sz w:val="24"/>
          <w:szCs w:val="24"/>
        </w:rPr>
        <w:t xml:space="preserve">, F. (2019) </w:t>
      </w:r>
      <w:r>
        <w:rPr>
          <w:rFonts w:ascii="Arial" w:eastAsia="SimSun" w:hAnsi="Arial" w:cs="Arial"/>
          <w:i/>
          <w:iCs/>
          <w:sz w:val="24"/>
          <w:szCs w:val="24"/>
        </w:rPr>
        <w:t>The impact of Brexit on the internationalisation of SMEs in Kent</w:t>
      </w:r>
      <w:r>
        <w:rPr>
          <w:rFonts w:ascii="Arial" w:eastAsia="SimSun" w:hAnsi="Arial" w:cs="Arial"/>
          <w:sz w:val="24"/>
          <w:szCs w:val="24"/>
        </w:rPr>
        <w:t>. Canterbury: University of Kent. Available at: https://kar.kent.ac.uk/71585/ (Accessed: 19 September 2026).</w:t>
      </w:r>
    </w:p>
    <w:p w14:paraId="04C08B0B" w14:textId="77777777" w:rsidR="00005A3C" w:rsidRPr="003827D7" w:rsidRDefault="00462943" w:rsidP="003827D7">
      <w:pPr>
        <w:spacing w:after="120" w:line="360" w:lineRule="auto"/>
        <w:ind w:left="475" w:hanging="475"/>
        <w:rPr>
          <w:rFonts w:ascii="Arial" w:hAnsi="Arial" w:cs="Arial"/>
          <w:sz w:val="24"/>
          <w:szCs w:val="24"/>
        </w:rPr>
      </w:pPr>
      <w:r>
        <w:rPr>
          <w:rFonts w:ascii="Arial" w:eastAsia="SimSun" w:hAnsi="Arial" w:cs="Arial"/>
          <w:sz w:val="24"/>
          <w:szCs w:val="24"/>
        </w:rPr>
        <w:lastRenderedPageBreak/>
        <w:t xml:space="preserve">Saunders, M.N.K., Lewis, P. and Thornhill, A. (2019) </w:t>
      </w:r>
      <w:r>
        <w:rPr>
          <w:rFonts w:ascii="Arial" w:eastAsia="SimSun" w:hAnsi="Arial" w:cs="Arial"/>
          <w:i/>
          <w:iCs/>
          <w:sz w:val="24"/>
          <w:szCs w:val="24"/>
        </w:rPr>
        <w:t>Research Methods for Business Students</w:t>
      </w:r>
      <w:r>
        <w:rPr>
          <w:rFonts w:ascii="Arial" w:eastAsia="SimSun" w:hAnsi="Arial" w:cs="Arial"/>
          <w:sz w:val="24"/>
          <w:szCs w:val="24"/>
        </w:rPr>
        <w:t xml:space="preserve">. 8th </w:t>
      </w:r>
      <w:proofErr w:type="spellStart"/>
      <w:r>
        <w:rPr>
          <w:rFonts w:ascii="Arial" w:eastAsia="SimSun" w:hAnsi="Arial" w:cs="Arial"/>
          <w:sz w:val="24"/>
          <w:szCs w:val="24"/>
        </w:rPr>
        <w:t>edn</w:t>
      </w:r>
      <w:proofErr w:type="spellEnd"/>
      <w:r>
        <w:rPr>
          <w:rFonts w:ascii="Arial" w:eastAsia="SimSun" w:hAnsi="Arial" w:cs="Arial"/>
          <w:sz w:val="24"/>
          <w:szCs w:val="24"/>
        </w:rPr>
        <w:t>. Harlow: Pearson Education.</w:t>
      </w:r>
    </w:p>
    <w:p w14:paraId="69A2CBCF" w14:textId="77777777" w:rsidR="00005A3C" w:rsidRPr="003827D7" w:rsidRDefault="00462943" w:rsidP="003827D7">
      <w:pPr>
        <w:spacing w:after="120" w:line="360" w:lineRule="auto"/>
        <w:ind w:left="475" w:hanging="475"/>
        <w:rPr>
          <w:rFonts w:ascii="Arial" w:hAnsi="Arial" w:cs="Arial"/>
          <w:sz w:val="24"/>
          <w:szCs w:val="24"/>
        </w:rPr>
      </w:pPr>
      <w:r>
        <w:rPr>
          <w:rFonts w:ascii="Arial" w:eastAsia="SimSun" w:hAnsi="Arial" w:cs="Arial"/>
          <w:sz w:val="24"/>
          <w:szCs w:val="24"/>
        </w:rPr>
        <w:t xml:space="preserve">Wilson, J.O.S. and </w:t>
      </w:r>
      <w:proofErr w:type="spellStart"/>
      <w:r>
        <w:rPr>
          <w:rFonts w:ascii="Arial" w:eastAsia="SimSun" w:hAnsi="Arial" w:cs="Arial"/>
          <w:sz w:val="24"/>
          <w:szCs w:val="24"/>
        </w:rPr>
        <w:t>Linares-Zegarra</w:t>
      </w:r>
      <w:proofErr w:type="spellEnd"/>
      <w:r>
        <w:rPr>
          <w:rFonts w:ascii="Arial" w:eastAsia="SimSun" w:hAnsi="Arial" w:cs="Arial"/>
          <w:sz w:val="24"/>
          <w:szCs w:val="24"/>
        </w:rPr>
        <w:t xml:space="preserve">, J.M. (2023) </w:t>
      </w:r>
      <w:r>
        <w:rPr>
          <w:rFonts w:ascii="Arial" w:eastAsia="SimSun" w:hAnsi="Arial" w:cs="Arial"/>
          <w:i/>
          <w:iCs/>
          <w:sz w:val="24"/>
          <w:szCs w:val="24"/>
        </w:rPr>
        <w:t>The impact of Brexit on the internationalisation, innovation and turnover of UK SMEs: implications for the UK's industrial strategy and the 'levelling up' agenda</w:t>
      </w:r>
      <w:r>
        <w:rPr>
          <w:rFonts w:ascii="Arial" w:eastAsia="SimSun" w:hAnsi="Arial" w:cs="Arial"/>
          <w:sz w:val="24"/>
          <w:szCs w:val="24"/>
        </w:rPr>
        <w:t>. ERC Research Paper No. 105. Birmingham: Enterprise Research Centre. Available at: https://www.enterpriseresearch.ac.uk/wp-content/uploads/2023/07/ERC-ResPap105-The-impact-of-Brexit-on-the-internationalisation-innovation-and-turnover-of-UK-SMEs.pdf (Accessed: 19 September 2026).</w:t>
      </w:r>
    </w:p>
    <w:sectPr w:rsidR="00005A3C" w:rsidRPr="003827D7">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88C978D" w14:textId="77777777" w:rsidR="00E6546C" w:rsidRDefault="00E6546C">
      <w:r>
        <w:separator/>
      </w:r>
    </w:p>
  </w:endnote>
  <w:endnote w:type="continuationSeparator" w:id="0">
    <w:p w14:paraId="1FB470E3" w14:textId="77777777" w:rsidR="00E6546C" w:rsidRDefault="00E654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8219751" w14:textId="77777777" w:rsidR="00005A3C" w:rsidRDefault="00462943">
    <w:pPr>
      <w:spacing w:after="160" w:line="360" w:lineRule="auto"/>
      <w:jc w:val="center"/>
    </w:pPr>
    <w:r>
      <w:rPr>
        <w:rFonts w:eastAsia="SimSun"/>
      </w:rPr>
      <w:fldChar w:fldCharType="begin"/>
    </w:r>
    <w:r>
      <w:rPr>
        <w:rFonts w:eastAsia="SimSun"/>
      </w:rPr>
      <w:instrText>PAGE</w:instrText>
    </w:r>
    <w:r>
      <w:rPr>
        <w:rFonts w:eastAsia="SimSun"/>
      </w:rPr>
      <w:fldChar w:fldCharType="separate"/>
    </w:r>
    <w:r w:rsidR="00C55CAE">
      <w:rPr>
        <w:rFonts w:eastAsia="SimSun"/>
        <w:noProof/>
      </w:rPr>
      <w:t>7</w:t>
    </w:r>
    <w:r>
      <w:rPr>
        <w:rFonts w:eastAsia="SimSu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1EB4F27" w14:textId="77777777" w:rsidR="00E6546C" w:rsidRDefault="00E6546C">
      <w:r>
        <w:separator/>
      </w:r>
    </w:p>
  </w:footnote>
  <w:footnote w:type="continuationSeparator" w:id="0">
    <w:p w14:paraId="5DBA9010" w14:textId="77777777" w:rsidR="00E6546C" w:rsidRDefault="00E654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DE44D8C"/>
    <w:multiLevelType w:val="hybridMultilevel"/>
    <w:tmpl w:val="4C7CBB4E"/>
    <w:lvl w:ilvl="0" w:tplc="2036019C">
      <w:start w:val="1"/>
      <w:numFmt w:val="bullet"/>
      <w:lvlText w:val="●"/>
      <w:lvlJc w:val="left"/>
      <w:pPr>
        <w:ind w:left="720" w:hanging="360"/>
      </w:pPr>
    </w:lvl>
    <w:lvl w:ilvl="1" w:tplc="F6C6BF78">
      <w:start w:val="1"/>
      <w:numFmt w:val="bullet"/>
      <w:lvlText w:val="○"/>
      <w:lvlJc w:val="left"/>
      <w:pPr>
        <w:ind w:left="1440" w:hanging="360"/>
      </w:pPr>
    </w:lvl>
    <w:lvl w:ilvl="2" w:tplc="E8385CB4">
      <w:start w:val="1"/>
      <w:numFmt w:val="bullet"/>
      <w:lvlText w:val="■"/>
      <w:lvlJc w:val="left"/>
      <w:pPr>
        <w:ind w:left="2160" w:hanging="360"/>
      </w:pPr>
    </w:lvl>
    <w:lvl w:ilvl="3" w:tplc="D4C400D2">
      <w:start w:val="1"/>
      <w:numFmt w:val="bullet"/>
      <w:lvlText w:val="●"/>
      <w:lvlJc w:val="left"/>
      <w:pPr>
        <w:ind w:left="2880" w:hanging="360"/>
      </w:pPr>
    </w:lvl>
    <w:lvl w:ilvl="4" w:tplc="AF5A8180">
      <w:start w:val="1"/>
      <w:numFmt w:val="bullet"/>
      <w:lvlText w:val="○"/>
      <w:lvlJc w:val="left"/>
      <w:pPr>
        <w:ind w:left="3600" w:hanging="360"/>
      </w:pPr>
    </w:lvl>
    <w:lvl w:ilvl="5" w:tplc="7904FD6A">
      <w:start w:val="1"/>
      <w:numFmt w:val="bullet"/>
      <w:lvlText w:val="■"/>
      <w:lvlJc w:val="left"/>
      <w:pPr>
        <w:ind w:left="4320" w:hanging="360"/>
      </w:pPr>
    </w:lvl>
    <w:lvl w:ilvl="6" w:tplc="69182314">
      <w:start w:val="1"/>
      <w:numFmt w:val="bullet"/>
      <w:lvlText w:val="●"/>
      <w:lvlJc w:val="left"/>
      <w:pPr>
        <w:ind w:left="5040" w:hanging="360"/>
      </w:pPr>
    </w:lvl>
    <w:lvl w:ilvl="7" w:tplc="00C84A38">
      <w:start w:val="1"/>
      <w:numFmt w:val="bullet"/>
      <w:lvlText w:val="●"/>
      <w:lvlJc w:val="left"/>
      <w:pPr>
        <w:ind w:left="5760" w:hanging="360"/>
      </w:pPr>
    </w:lvl>
    <w:lvl w:ilvl="8" w:tplc="96DCDD82">
      <w:start w:val="1"/>
      <w:numFmt w:val="bullet"/>
      <w:lvlText w:val="●"/>
      <w:lvlJc w:val="left"/>
      <w:pPr>
        <w:ind w:left="6480" w:hanging="360"/>
      </w:pPr>
    </w:lvl>
  </w:abstractNum>
  <w:num w:numId="1" w16cid:durableId="233591593">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4"/>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5A3C"/>
    <w:rsid w:val="00005A3C"/>
    <w:rsid w:val="0001480C"/>
    <w:rsid w:val="00050B33"/>
    <w:rsid w:val="00115062"/>
    <w:rsid w:val="00151C7D"/>
    <w:rsid w:val="00172154"/>
    <w:rsid w:val="00184EB4"/>
    <w:rsid w:val="001B3712"/>
    <w:rsid w:val="002558F0"/>
    <w:rsid w:val="00266DAB"/>
    <w:rsid w:val="00276AF7"/>
    <w:rsid w:val="002919FA"/>
    <w:rsid w:val="002A277D"/>
    <w:rsid w:val="002A49C3"/>
    <w:rsid w:val="002A5157"/>
    <w:rsid w:val="002E698D"/>
    <w:rsid w:val="00321C38"/>
    <w:rsid w:val="003827D7"/>
    <w:rsid w:val="003920F2"/>
    <w:rsid w:val="00397A12"/>
    <w:rsid w:val="003B3926"/>
    <w:rsid w:val="003B7E09"/>
    <w:rsid w:val="003C5E0E"/>
    <w:rsid w:val="003F69BA"/>
    <w:rsid w:val="003F6FE9"/>
    <w:rsid w:val="0040643B"/>
    <w:rsid w:val="00406C03"/>
    <w:rsid w:val="00422156"/>
    <w:rsid w:val="00424F3A"/>
    <w:rsid w:val="00446490"/>
    <w:rsid w:val="0045743D"/>
    <w:rsid w:val="00460A7A"/>
    <w:rsid w:val="00462943"/>
    <w:rsid w:val="00463C5A"/>
    <w:rsid w:val="00481CC0"/>
    <w:rsid w:val="004A3378"/>
    <w:rsid w:val="004A748A"/>
    <w:rsid w:val="004B1EBF"/>
    <w:rsid w:val="005004C9"/>
    <w:rsid w:val="005221AF"/>
    <w:rsid w:val="00522327"/>
    <w:rsid w:val="00553171"/>
    <w:rsid w:val="00557CF8"/>
    <w:rsid w:val="00584A3C"/>
    <w:rsid w:val="00597E2D"/>
    <w:rsid w:val="005C309F"/>
    <w:rsid w:val="005D79C2"/>
    <w:rsid w:val="005E4861"/>
    <w:rsid w:val="005F0D5D"/>
    <w:rsid w:val="006043EE"/>
    <w:rsid w:val="0061482D"/>
    <w:rsid w:val="00637ACD"/>
    <w:rsid w:val="00657F65"/>
    <w:rsid w:val="0066526E"/>
    <w:rsid w:val="006866E9"/>
    <w:rsid w:val="006941A5"/>
    <w:rsid w:val="00697531"/>
    <w:rsid w:val="006E16D8"/>
    <w:rsid w:val="006E7A2B"/>
    <w:rsid w:val="007376BD"/>
    <w:rsid w:val="00745507"/>
    <w:rsid w:val="00774F93"/>
    <w:rsid w:val="00782128"/>
    <w:rsid w:val="0078240B"/>
    <w:rsid w:val="00797D9A"/>
    <w:rsid w:val="007B4043"/>
    <w:rsid w:val="007E1977"/>
    <w:rsid w:val="007F5A34"/>
    <w:rsid w:val="007F77F5"/>
    <w:rsid w:val="00802288"/>
    <w:rsid w:val="00805389"/>
    <w:rsid w:val="0082122B"/>
    <w:rsid w:val="008307CB"/>
    <w:rsid w:val="00880498"/>
    <w:rsid w:val="00887A8B"/>
    <w:rsid w:val="008C0D37"/>
    <w:rsid w:val="008C3A1F"/>
    <w:rsid w:val="008D398F"/>
    <w:rsid w:val="00903280"/>
    <w:rsid w:val="0090756D"/>
    <w:rsid w:val="00911029"/>
    <w:rsid w:val="00915453"/>
    <w:rsid w:val="00923E57"/>
    <w:rsid w:val="0093622E"/>
    <w:rsid w:val="00950791"/>
    <w:rsid w:val="009575B5"/>
    <w:rsid w:val="00996F17"/>
    <w:rsid w:val="009B0B19"/>
    <w:rsid w:val="009B7531"/>
    <w:rsid w:val="009D48FF"/>
    <w:rsid w:val="009F3494"/>
    <w:rsid w:val="00A01A9C"/>
    <w:rsid w:val="00A16DEF"/>
    <w:rsid w:val="00A33108"/>
    <w:rsid w:val="00A40435"/>
    <w:rsid w:val="00A6148F"/>
    <w:rsid w:val="00A77CFA"/>
    <w:rsid w:val="00A86B7D"/>
    <w:rsid w:val="00B01F01"/>
    <w:rsid w:val="00B04344"/>
    <w:rsid w:val="00B14174"/>
    <w:rsid w:val="00B232E7"/>
    <w:rsid w:val="00B34111"/>
    <w:rsid w:val="00B74CAF"/>
    <w:rsid w:val="00B82C89"/>
    <w:rsid w:val="00B923A7"/>
    <w:rsid w:val="00BA4E42"/>
    <w:rsid w:val="00BA5CF6"/>
    <w:rsid w:val="00BB16EA"/>
    <w:rsid w:val="00BE37D1"/>
    <w:rsid w:val="00C2671B"/>
    <w:rsid w:val="00C42C64"/>
    <w:rsid w:val="00C42D91"/>
    <w:rsid w:val="00C449D1"/>
    <w:rsid w:val="00C46967"/>
    <w:rsid w:val="00C55CAE"/>
    <w:rsid w:val="00C64967"/>
    <w:rsid w:val="00C90732"/>
    <w:rsid w:val="00CB26A8"/>
    <w:rsid w:val="00CD1E23"/>
    <w:rsid w:val="00CD61A4"/>
    <w:rsid w:val="00CF1A00"/>
    <w:rsid w:val="00D143FB"/>
    <w:rsid w:val="00D61B9B"/>
    <w:rsid w:val="00D67BAB"/>
    <w:rsid w:val="00D97AE5"/>
    <w:rsid w:val="00D97C2F"/>
    <w:rsid w:val="00DA1D2B"/>
    <w:rsid w:val="00DB6D4D"/>
    <w:rsid w:val="00DD77E6"/>
    <w:rsid w:val="00DF112B"/>
    <w:rsid w:val="00DF1CB3"/>
    <w:rsid w:val="00DF530E"/>
    <w:rsid w:val="00E44488"/>
    <w:rsid w:val="00E47349"/>
    <w:rsid w:val="00E640E3"/>
    <w:rsid w:val="00E6546C"/>
    <w:rsid w:val="00E9110F"/>
    <w:rsid w:val="00EF3095"/>
    <w:rsid w:val="00EF7E9A"/>
    <w:rsid w:val="00F017B6"/>
    <w:rsid w:val="00F61522"/>
    <w:rsid w:val="00F75FCD"/>
    <w:rsid w:val="00F9340C"/>
    <w:rsid w:val="00F97D9F"/>
    <w:rsid w:val="00FA4865"/>
    <w:rsid w:val="00FB1755"/>
    <w:rsid w:val="00FB193D"/>
    <w:rsid w:val="00FD2FB1"/>
    <w:rsid w:val="00FD46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5F588"/>
  <w15:docId w15:val="{6A008F1D-9561-4195-83C9-F72978E32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3827D7"/>
    <w:pPr>
      <w:tabs>
        <w:tab w:val="center" w:pos="4680"/>
        <w:tab w:val="right" w:pos="9360"/>
      </w:tabs>
    </w:pPr>
  </w:style>
  <w:style w:type="character" w:customStyle="1" w:styleId="HeaderChar">
    <w:name w:val="Header Char"/>
    <w:basedOn w:val="DefaultParagraphFont"/>
    <w:link w:val="Header"/>
    <w:uiPriority w:val="99"/>
    <w:rsid w:val="003827D7"/>
  </w:style>
  <w:style w:type="paragraph" w:styleId="Footer">
    <w:name w:val="footer"/>
    <w:basedOn w:val="Normal"/>
    <w:link w:val="FooterChar"/>
    <w:uiPriority w:val="99"/>
    <w:unhideWhenUsed/>
    <w:rsid w:val="003827D7"/>
    <w:pPr>
      <w:tabs>
        <w:tab w:val="center" w:pos="4680"/>
        <w:tab w:val="right" w:pos="9360"/>
      </w:tabs>
    </w:pPr>
  </w:style>
  <w:style w:type="character" w:customStyle="1" w:styleId="FooterChar">
    <w:name w:val="Footer Char"/>
    <w:basedOn w:val="DefaultParagraphFont"/>
    <w:link w:val="Footer"/>
    <w:uiPriority w:val="99"/>
    <w:rsid w:val="003827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1788</Words>
  <Characters>10196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Amadu Barrie (2323784)</cp:lastModifiedBy>
  <cp:revision>2</cp:revision>
  <dcterms:created xsi:type="dcterms:W3CDTF">2026-10-01T22:05:00Z</dcterms:created>
  <dcterms:modified xsi:type="dcterms:W3CDTF">2026-10-01T22:05:00Z</dcterms:modified>
</cp:coreProperties>
</file>