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255B7E" w14:textId="785CECC0" w:rsidR="00FC44D4" w:rsidRDefault="00FC44D4" w:rsidP="00E86D08">
      <w:pPr>
        <w:jc w:val="center"/>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6AC674AE" wp14:editId="6BCED20B">
            <wp:extent cx="1810385" cy="725170"/>
            <wp:effectExtent l="0" t="0" r="0" b="0"/>
            <wp:docPr id="1134696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284CB692" w14:textId="77777777" w:rsidR="00FC44D4" w:rsidRDefault="00FC44D4" w:rsidP="00E86D08">
      <w:pPr>
        <w:jc w:val="center"/>
        <w:rPr>
          <w:rFonts w:ascii="Times New Roman" w:hAnsi="Times New Roman" w:cs="Times New Roman"/>
          <w:b/>
          <w:bCs/>
          <w:sz w:val="28"/>
          <w:szCs w:val="28"/>
        </w:rPr>
      </w:pPr>
    </w:p>
    <w:p w14:paraId="0041A509" w14:textId="5C1BEF59" w:rsidR="00FC44D4" w:rsidRDefault="00FC44D4" w:rsidP="00E86D08">
      <w:pPr>
        <w:jc w:val="center"/>
        <w:rPr>
          <w:rFonts w:ascii="Times New Roman" w:hAnsi="Times New Roman" w:cs="Times New Roman"/>
          <w:b/>
          <w:bCs/>
          <w:sz w:val="28"/>
          <w:szCs w:val="28"/>
        </w:rPr>
      </w:pPr>
      <w:r w:rsidRPr="00FC44D4">
        <w:rPr>
          <w:rFonts w:ascii="Times New Roman" w:hAnsi="Times New Roman" w:cs="Times New Roman"/>
          <w:b/>
          <w:bCs/>
          <w:sz w:val="28"/>
          <w:szCs w:val="28"/>
        </w:rPr>
        <w:t xml:space="preserve">Module: </w:t>
      </w:r>
      <w:r>
        <w:rPr>
          <w:rFonts w:ascii="Times New Roman" w:hAnsi="Times New Roman" w:cs="Times New Roman"/>
          <w:b/>
          <w:bCs/>
          <w:sz w:val="28"/>
          <w:szCs w:val="28"/>
        </w:rPr>
        <w:t xml:space="preserve"> </w:t>
      </w:r>
      <w:r w:rsidRPr="00FC44D4">
        <w:rPr>
          <w:rFonts w:ascii="Times New Roman" w:hAnsi="Times New Roman" w:cs="Times New Roman"/>
          <w:b/>
          <w:bCs/>
          <w:sz w:val="28"/>
          <w:szCs w:val="28"/>
        </w:rPr>
        <w:t>Managing People</w:t>
      </w:r>
    </w:p>
    <w:p w14:paraId="2D7C2AC3" w14:textId="36BA11DC" w:rsidR="00FC44D4" w:rsidRDefault="00FC44D4" w:rsidP="00E86D08">
      <w:pPr>
        <w:jc w:val="center"/>
        <w:rPr>
          <w:rFonts w:ascii="Times New Roman" w:hAnsi="Times New Roman" w:cs="Times New Roman"/>
          <w:b/>
          <w:bCs/>
          <w:sz w:val="28"/>
          <w:szCs w:val="28"/>
        </w:rPr>
      </w:pPr>
      <w:r w:rsidRPr="00FC44D4">
        <w:rPr>
          <w:rFonts w:ascii="Times New Roman" w:hAnsi="Times New Roman" w:cs="Times New Roman"/>
          <w:b/>
          <w:bCs/>
          <w:sz w:val="28"/>
          <w:szCs w:val="28"/>
        </w:rPr>
        <w:t>Module code: LCBB5004</w:t>
      </w:r>
    </w:p>
    <w:p w14:paraId="4673D2D6" w14:textId="03392A32" w:rsidR="00FC44D4" w:rsidRDefault="00FC44D4" w:rsidP="00FC44D4">
      <w:pPr>
        <w:jc w:val="center"/>
        <w:rPr>
          <w:rFonts w:ascii="Times New Roman" w:hAnsi="Times New Roman" w:cs="Times New Roman"/>
          <w:b/>
          <w:bCs/>
          <w:sz w:val="28"/>
          <w:szCs w:val="28"/>
        </w:rPr>
      </w:pPr>
      <w:r w:rsidRPr="00FC44D4">
        <w:rPr>
          <w:rFonts w:ascii="Times New Roman" w:hAnsi="Times New Roman" w:cs="Times New Roman"/>
          <w:b/>
          <w:bCs/>
          <w:sz w:val="28"/>
          <w:szCs w:val="28"/>
        </w:rPr>
        <w:t>Assignment Title: Essay</w:t>
      </w:r>
    </w:p>
    <w:p w14:paraId="6CDD5A93" w14:textId="5CC45957" w:rsidR="00FC44D4" w:rsidRDefault="00FC44D4" w:rsidP="00FC44D4">
      <w:pPr>
        <w:jc w:val="center"/>
        <w:rPr>
          <w:rFonts w:ascii="Times New Roman" w:hAnsi="Times New Roman" w:cs="Times New Roman"/>
          <w:b/>
          <w:bCs/>
          <w:sz w:val="28"/>
          <w:szCs w:val="28"/>
        </w:rPr>
      </w:pPr>
      <w:r>
        <w:rPr>
          <w:rFonts w:ascii="Times New Roman" w:hAnsi="Times New Roman" w:cs="Times New Roman"/>
          <w:b/>
          <w:bCs/>
          <w:sz w:val="28"/>
          <w:szCs w:val="28"/>
        </w:rPr>
        <w:t>Student ID: 2242725</w:t>
      </w:r>
    </w:p>
    <w:p w14:paraId="2C6BDF28" w14:textId="77777777" w:rsidR="00FC44D4" w:rsidRDefault="00FC44D4" w:rsidP="00E86D08">
      <w:pPr>
        <w:jc w:val="center"/>
        <w:rPr>
          <w:rFonts w:ascii="Times New Roman" w:hAnsi="Times New Roman" w:cs="Times New Roman"/>
          <w:b/>
          <w:bCs/>
          <w:sz w:val="28"/>
          <w:szCs w:val="28"/>
        </w:rPr>
      </w:pPr>
    </w:p>
    <w:p w14:paraId="2098315C" w14:textId="77777777" w:rsidR="00FC44D4" w:rsidRDefault="00FC44D4" w:rsidP="00E86D08">
      <w:pPr>
        <w:jc w:val="center"/>
        <w:rPr>
          <w:rFonts w:ascii="Times New Roman" w:hAnsi="Times New Roman" w:cs="Times New Roman"/>
          <w:b/>
          <w:bCs/>
          <w:sz w:val="28"/>
          <w:szCs w:val="28"/>
        </w:rPr>
      </w:pPr>
    </w:p>
    <w:p w14:paraId="692BDCD2" w14:textId="77777777" w:rsidR="00FC44D4" w:rsidRDefault="00FC44D4" w:rsidP="00E86D08">
      <w:pPr>
        <w:jc w:val="center"/>
        <w:rPr>
          <w:rFonts w:ascii="Times New Roman" w:hAnsi="Times New Roman" w:cs="Times New Roman"/>
          <w:b/>
          <w:bCs/>
          <w:sz w:val="28"/>
          <w:szCs w:val="28"/>
        </w:rPr>
      </w:pPr>
    </w:p>
    <w:p w14:paraId="2DA637C4" w14:textId="09AA6686" w:rsidR="00DD3AD0" w:rsidRPr="00FC44D4" w:rsidRDefault="00E86D08" w:rsidP="00FC44D4">
      <w:pPr>
        <w:jc w:val="center"/>
        <w:rPr>
          <w:rFonts w:ascii="Times New Roman" w:hAnsi="Times New Roman" w:cs="Times New Roman"/>
          <w:b/>
          <w:bCs/>
          <w:sz w:val="36"/>
          <w:szCs w:val="36"/>
          <w:u w:val="single"/>
        </w:rPr>
      </w:pPr>
      <w:r w:rsidRPr="00FC44D4">
        <w:rPr>
          <w:rFonts w:ascii="Times New Roman" w:hAnsi="Times New Roman" w:cs="Times New Roman"/>
          <w:b/>
          <w:bCs/>
          <w:sz w:val="36"/>
          <w:szCs w:val="36"/>
          <w:u w:val="single"/>
        </w:rPr>
        <w:t>Assessment component 2: Implementing flexible Working strategies at VialTech</w:t>
      </w:r>
    </w:p>
    <w:p w14:paraId="4A4EE39F" w14:textId="77777777" w:rsidR="00E86D08" w:rsidRPr="00FC44D4" w:rsidRDefault="00E86D08" w:rsidP="00E86D08">
      <w:pPr>
        <w:jc w:val="center"/>
        <w:rPr>
          <w:rFonts w:ascii="Times New Roman" w:hAnsi="Times New Roman" w:cs="Times New Roman"/>
          <w:b/>
          <w:bCs/>
          <w:sz w:val="36"/>
          <w:szCs w:val="36"/>
          <w:u w:val="single"/>
        </w:rPr>
      </w:pPr>
    </w:p>
    <w:p w14:paraId="597B72D6" w14:textId="77777777" w:rsidR="00E86D08" w:rsidRDefault="00E86D08" w:rsidP="00E86D08">
      <w:pPr>
        <w:jc w:val="center"/>
        <w:rPr>
          <w:rFonts w:ascii="Times New Roman" w:hAnsi="Times New Roman" w:cs="Times New Roman"/>
          <w:b/>
          <w:bCs/>
          <w:sz w:val="28"/>
          <w:szCs w:val="28"/>
        </w:rPr>
      </w:pPr>
    </w:p>
    <w:p w14:paraId="180E2B12" w14:textId="77777777" w:rsidR="00E86D08" w:rsidRDefault="00E86D08" w:rsidP="00E86D08">
      <w:pPr>
        <w:jc w:val="center"/>
        <w:rPr>
          <w:rFonts w:ascii="Times New Roman" w:hAnsi="Times New Roman" w:cs="Times New Roman"/>
          <w:b/>
          <w:bCs/>
          <w:sz w:val="28"/>
          <w:szCs w:val="28"/>
        </w:rPr>
      </w:pPr>
    </w:p>
    <w:p w14:paraId="29BBD8B1" w14:textId="77777777" w:rsidR="00E86D08" w:rsidRDefault="00E86D08" w:rsidP="00E86D08">
      <w:pPr>
        <w:jc w:val="center"/>
        <w:rPr>
          <w:rFonts w:ascii="Times New Roman" w:hAnsi="Times New Roman" w:cs="Times New Roman"/>
          <w:b/>
          <w:bCs/>
          <w:sz w:val="28"/>
          <w:szCs w:val="28"/>
        </w:rPr>
      </w:pPr>
    </w:p>
    <w:p w14:paraId="69054C3C" w14:textId="77777777" w:rsidR="00E86D08" w:rsidRDefault="00E86D08" w:rsidP="00E86D08">
      <w:pPr>
        <w:jc w:val="center"/>
        <w:rPr>
          <w:rFonts w:ascii="Times New Roman" w:hAnsi="Times New Roman" w:cs="Times New Roman"/>
          <w:b/>
          <w:bCs/>
          <w:sz w:val="28"/>
          <w:szCs w:val="28"/>
        </w:rPr>
      </w:pPr>
    </w:p>
    <w:p w14:paraId="45062613" w14:textId="77777777" w:rsidR="00E86D08" w:rsidRDefault="00E86D08" w:rsidP="00E86D08">
      <w:pPr>
        <w:jc w:val="center"/>
        <w:rPr>
          <w:rFonts w:ascii="Times New Roman" w:hAnsi="Times New Roman" w:cs="Times New Roman"/>
          <w:b/>
          <w:bCs/>
          <w:sz w:val="28"/>
          <w:szCs w:val="28"/>
        </w:rPr>
      </w:pPr>
    </w:p>
    <w:p w14:paraId="57A6E7AA" w14:textId="77777777" w:rsidR="00E86D08" w:rsidRDefault="00E86D08" w:rsidP="00E86D08">
      <w:pPr>
        <w:jc w:val="center"/>
        <w:rPr>
          <w:rFonts w:ascii="Times New Roman" w:hAnsi="Times New Roman" w:cs="Times New Roman"/>
          <w:b/>
          <w:bCs/>
          <w:sz w:val="28"/>
          <w:szCs w:val="28"/>
        </w:rPr>
      </w:pPr>
    </w:p>
    <w:p w14:paraId="0C4301E5" w14:textId="77777777" w:rsidR="00E86D08" w:rsidRDefault="00E86D08" w:rsidP="00E86D08">
      <w:pPr>
        <w:jc w:val="center"/>
        <w:rPr>
          <w:rFonts w:ascii="Times New Roman" w:hAnsi="Times New Roman" w:cs="Times New Roman"/>
          <w:b/>
          <w:bCs/>
          <w:sz w:val="28"/>
          <w:szCs w:val="28"/>
        </w:rPr>
      </w:pPr>
    </w:p>
    <w:p w14:paraId="4E4B21DC" w14:textId="77777777" w:rsidR="00E86D08" w:rsidRDefault="00E86D08" w:rsidP="00E86D08">
      <w:pPr>
        <w:jc w:val="center"/>
        <w:rPr>
          <w:rFonts w:ascii="Times New Roman" w:hAnsi="Times New Roman" w:cs="Times New Roman"/>
          <w:b/>
          <w:bCs/>
          <w:sz w:val="28"/>
          <w:szCs w:val="28"/>
        </w:rPr>
      </w:pPr>
    </w:p>
    <w:p w14:paraId="58992738" w14:textId="77777777" w:rsidR="00E86D08" w:rsidRDefault="00E86D08" w:rsidP="00E86D08">
      <w:pPr>
        <w:jc w:val="center"/>
        <w:rPr>
          <w:rFonts w:ascii="Times New Roman" w:hAnsi="Times New Roman" w:cs="Times New Roman"/>
          <w:b/>
          <w:bCs/>
          <w:sz w:val="28"/>
          <w:szCs w:val="28"/>
        </w:rPr>
      </w:pPr>
    </w:p>
    <w:p w14:paraId="55491364" w14:textId="77777777" w:rsidR="00E86D08" w:rsidRDefault="00E86D08" w:rsidP="00E86D08">
      <w:pPr>
        <w:jc w:val="center"/>
        <w:rPr>
          <w:rFonts w:ascii="Times New Roman" w:hAnsi="Times New Roman" w:cs="Times New Roman"/>
          <w:b/>
          <w:bCs/>
          <w:sz w:val="28"/>
          <w:szCs w:val="28"/>
        </w:rPr>
      </w:pPr>
    </w:p>
    <w:p w14:paraId="2CB9C807" w14:textId="77777777" w:rsidR="00E86D08" w:rsidRDefault="00E86D08" w:rsidP="00E86D08">
      <w:pPr>
        <w:jc w:val="center"/>
        <w:rPr>
          <w:rFonts w:ascii="Times New Roman" w:hAnsi="Times New Roman" w:cs="Times New Roman"/>
          <w:b/>
          <w:bCs/>
          <w:sz w:val="28"/>
          <w:szCs w:val="28"/>
        </w:rPr>
      </w:pPr>
    </w:p>
    <w:p w14:paraId="7AA1BC00" w14:textId="77777777" w:rsidR="00E86D08" w:rsidRDefault="00E86D08" w:rsidP="00E86D08">
      <w:pPr>
        <w:jc w:val="center"/>
        <w:rPr>
          <w:rFonts w:ascii="Times New Roman" w:hAnsi="Times New Roman" w:cs="Times New Roman"/>
          <w:b/>
          <w:bCs/>
          <w:sz w:val="28"/>
          <w:szCs w:val="28"/>
        </w:rPr>
      </w:pPr>
    </w:p>
    <w:p w14:paraId="4EB659BF" w14:textId="77777777" w:rsidR="00E86D08" w:rsidRDefault="00E86D08" w:rsidP="00E86D08">
      <w:pPr>
        <w:jc w:val="center"/>
        <w:rPr>
          <w:rFonts w:ascii="Times New Roman" w:hAnsi="Times New Roman" w:cs="Times New Roman"/>
          <w:b/>
          <w:bCs/>
          <w:sz w:val="28"/>
          <w:szCs w:val="28"/>
        </w:rPr>
      </w:pPr>
    </w:p>
    <w:p w14:paraId="73178E98" w14:textId="77777777" w:rsidR="00E86D08" w:rsidRDefault="00E86D08" w:rsidP="00E86D08">
      <w:pPr>
        <w:jc w:val="center"/>
        <w:rPr>
          <w:rFonts w:ascii="Times New Roman" w:hAnsi="Times New Roman" w:cs="Times New Roman"/>
          <w:b/>
          <w:bCs/>
          <w:sz w:val="28"/>
          <w:szCs w:val="28"/>
        </w:rPr>
      </w:pPr>
    </w:p>
    <w:p w14:paraId="7ACCA076" w14:textId="77777777" w:rsidR="00E86D08" w:rsidRDefault="00E86D08" w:rsidP="00E86D08">
      <w:pPr>
        <w:jc w:val="center"/>
        <w:rPr>
          <w:rFonts w:ascii="Times New Roman" w:hAnsi="Times New Roman" w:cs="Times New Roman"/>
          <w:b/>
          <w:bCs/>
          <w:sz w:val="28"/>
          <w:szCs w:val="28"/>
        </w:rPr>
      </w:pPr>
    </w:p>
    <w:p w14:paraId="60D04DA9" w14:textId="77777777" w:rsidR="00E86D08" w:rsidRDefault="00E86D08" w:rsidP="00E86D08">
      <w:pPr>
        <w:jc w:val="center"/>
        <w:rPr>
          <w:rFonts w:ascii="Times New Roman" w:hAnsi="Times New Roman" w:cs="Times New Roman"/>
          <w:b/>
          <w:bCs/>
          <w:sz w:val="28"/>
          <w:szCs w:val="28"/>
        </w:rPr>
      </w:pPr>
    </w:p>
    <w:p w14:paraId="63B9A9F0" w14:textId="77777777" w:rsidR="00E86D08" w:rsidRDefault="00E86D08" w:rsidP="00E86D08">
      <w:pPr>
        <w:jc w:val="center"/>
        <w:rPr>
          <w:rFonts w:ascii="Times New Roman" w:hAnsi="Times New Roman" w:cs="Times New Roman"/>
          <w:b/>
          <w:bCs/>
          <w:sz w:val="28"/>
          <w:szCs w:val="28"/>
        </w:rPr>
      </w:pPr>
    </w:p>
    <w:p w14:paraId="34C42964" w14:textId="77777777" w:rsidR="00E86D08" w:rsidRDefault="00E86D08" w:rsidP="00E86D08">
      <w:pPr>
        <w:jc w:val="center"/>
        <w:rPr>
          <w:rFonts w:ascii="Times New Roman" w:hAnsi="Times New Roman" w:cs="Times New Roman"/>
          <w:b/>
          <w:bCs/>
          <w:sz w:val="28"/>
          <w:szCs w:val="28"/>
        </w:rPr>
      </w:pPr>
    </w:p>
    <w:p w14:paraId="6BECE16C" w14:textId="77777777" w:rsidR="00E86D08" w:rsidRDefault="00E86D08" w:rsidP="00E86D08">
      <w:pPr>
        <w:jc w:val="center"/>
        <w:rPr>
          <w:rFonts w:ascii="Times New Roman" w:hAnsi="Times New Roman" w:cs="Times New Roman"/>
          <w:b/>
          <w:bCs/>
          <w:sz w:val="28"/>
          <w:szCs w:val="28"/>
        </w:rPr>
      </w:pPr>
    </w:p>
    <w:p w14:paraId="453ED3B7" w14:textId="77777777" w:rsidR="00E86D08" w:rsidRDefault="00E86D08" w:rsidP="00E86D08">
      <w:pPr>
        <w:jc w:val="center"/>
        <w:rPr>
          <w:rFonts w:ascii="Times New Roman" w:hAnsi="Times New Roman" w:cs="Times New Roman"/>
          <w:b/>
          <w:bCs/>
          <w:sz w:val="28"/>
          <w:szCs w:val="28"/>
        </w:rPr>
      </w:pPr>
    </w:p>
    <w:p w14:paraId="22611BA2" w14:textId="77777777" w:rsidR="00E86D08" w:rsidRDefault="00E86D08" w:rsidP="00E86D08">
      <w:pPr>
        <w:jc w:val="center"/>
        <w:rPr>
          <w:rFonts w:ascii="Times New Roman" w:hAnsi="Times New Roman" w:cs="Times New Roman"/>
          <w:b/>
          <w:bCs/>
          <w:sz w:val="28"/>
          <w:szCs w:val="28"/>
        </w:rPr>
      </w:pPr>
    </w:p>
    <w:p w14:paraId="4AE81522" w14:textId="77777777" w:rsidR="00E86D08" w:rsidRDefault="00E86D08" w:rsidP="00E86D08">
      <w:pPr>
        <w:jc w:val="center"/>
        <w:rPr>
          <w:rFonts w:ascii="Times New Roman" w:hAnsi="Times New Roman" w:cs="Times New Roman"/>
          <w:b/>
          <w:bCs/>
          <w:sz w:val="28"/>
          <w:szCs w:val="28"/>
        </w:rPr>
      </w:pPr>
    </w:p>
    <w:p w14:paraId="6D4A26F5" w14:textId="77777777" w:rsidR="00E86D08" w:rsidRDefault="00E86D08" w:rsidP="00E86D08">
      <w:pPr>
        <w:jc w:val="center"/>
        <w:rPr>
          <w:rFonts w:ascii="Times New Roman" w:hAnsi="Times New Roman" w:cs="Times New Roman"/>
          <w:b/>
          <w:bCs/>
          <w:sz w:val="28"/>
          <w:szCs w:val="28"/>
        </w:rPr>
      </w:pPr>
    </w:p>
    <w:p w14:paraId="40AEA0CD" w14:textId="77777777" w:rsidR="00E86D08" w:rsidRDefault="00E86D08" w:rsidP="00E86D08">
      <w:pPr>
        <w:jc w:val="center"/>
        <w:rPr>
          <w:rFonts w:ascii="Times New Roman" w:hAnsi="Times New Roman" w:cs="Times New Roman"/>
          <w:b/>
          <w:bCs/>
          <w:sz w:val="28"/>
          <w:szCs w:val="28"/>
        </w:rPr>
      </w:pPr>
    </w:p>
    <w:p w14:paraId="08588747" w14:textId="77777777" w:rsidR="00E86D08" w:rsidRDefault="00E86D08" w:rsidP="00E86D08">
      <w:pPr>
        <w:jc w:val="center"/>
        <w:rPr>
          <w:rFonts w:ascii="Times New Roman" w:hAnsi="Times New Roman" w:cs="Times New Roman"/>
          <w:b/>
          <w:bCs/>
          <w:sz w:val="28"/>
          <w:szCs w:val="28"/>
        </w:rPr>
      </w:pPr>
    </w:p>
    <w:sdt>
      <w:sdtPr>
        <w:rPr>
          <w:rFonts w:asciiTheme="minorHAnsi" w:eastAsiaTheme="minorHAnsi" w:hAnsiTheme="minorHAnsi" w:cstheme="minorBidi"/>
          <w:color w:val="auto"/>
          <w:kern w:val="2"/>
          <w:sz w:val="22"/>
          <w:szCs w:val="22"/>
          <w:lang w:eastAsia="en-US"/>
          <w14:ligatures w14:val="standardContextual"/>
        </w:rPr>
        <w:id w:val="-1489402389"/>
        <w:docPartObj>
          <w:docPartGallery w:val="Table of Contents"/>
          <w:docPartUnique/>
        </w:docPartObj>
      </w:sdtPr>
      <w:sdtEndPr>
        <w:rPr>
          <w:b/>
          <w:bCs/>
        </w:rPr>
      </w:sdtEndPr>
      <w:sdtContent>
        <w:p w14:paraId="4CC576AB" w14:textId="418CDA3B" w:rsidR="00C05B77" w:rsidRDefault="00C05B77">
          <w:pPr>
            <w:pStyle w:val="TOCHeading"/>
          </w:pPr>
          <w:r>
            <w:t>Contents</w:t>
          </w:r>
        </w:p>
        <w:p w14:paraId="67A7DF94" w14:textId="6CFB056D" w:rsidR="00C05B77" w:rsidRDefault="00C05B77">
          <w:pPr>
            <w:pStyle w:val="TOC1"/>
            <w:tabs>
              <w:tab w:val="right" w:leader="dot" w:pos="9016"/>
            </w:tabs>
            <w:rPr>
              <w:noProof/>
            </w:rPr>
          </w:pPr>
          <w:r>
            <w:fldChar w:fldCharType="begin"/>
          </w:r>
          <w:r>
            <w:instrText xml:space="preserve"> TOC \o "1-3" \h \z \u </w:instrText>
          </w:r>
          <w:r>
            <w:fldChar w:fldCharType="separate"/>
          </w:r>
          <w:hyperlink w:anchor="_Toc174106957" w:history="1">
            <w:r w:rsidRPr="00E51915">
              <w:rPr>
                <w:rStyle w:val="Hyperlink"/>
                <w:b/>
                <w:bCs/>
                <w:noProof/>
              </w:rPr>
              <w:t>Introduction</w:t>
            </w:r>
            <w:r>
              <w:rPr>
                <w:noProof/>
                <w:webHidden/>
              </w:rPr>
              <w:tab/>
            </w:r>
            <w:r>
              <w:rPr>
                <w:noProof/>
                <w:webHidden/>
              </w:rPr>
              <w:fldChar w:fldCharType="begin"/>
            </w:r>
            <w:r>
              <w:rPr>
                <w:noProof/>
                <w:webHidden/>
              </w:rPr>
              <w:instrText xml:space="preserve"> PAGEREF _Toc174106957 \h </w:instrText>
            </w:r>
            <w:r>
              <w:rPr>
                <w:noProof/>
                <w:webHidden/>
              </w:rPr>
            </w:r>
            <w:r>
              <w:rPr>
                <w:noProof/>
                <w:webHidden/>
              </w:rPr>
              <w:fldChar w:fldCharType="separate"/>
            </w:r>
            <w:r>
              <w:rPr>
                <w:noProof/>
                <w:webHidden/>
              </w:rPr>
              <w:t>3</w:t>
            </w:r>
            <w:r>
              <w:rPr>
                <w:noProof/>
                <w:webHidden/>
              </w:rPr>
              <w:fldChar w:fldCharType="end"/>
            </w:r>
          </w:hyperlink>
        </w:p>
        <w:p w14:paraId="2E3910E6" w14:textId="3721651A" w:rsidR="00C05B77" w:rsidRDefault="00000000">
          <w:pPr>
            <w:pStyle w:val="TOC1"/>
            <w:tabs>
              <w:tab w:val="right" w:leader="dot" w:pos="9016"/>
            </w:tabs>
            <w:rPr>
              <w:noProof/>
            </w:rPr>
          </w:pPr>
          <w:hyperlink w:anchor="_Toc174106958" w:history="1">
            <w:r w:rsidR="00C05B77" w:rsidRPr="00E51915">
              <w:rPr>
                <w:rStyle w:val="Hyperlink"/>
                <w:b/>
                <w:bCs/>
                <w:noProof/>
              </w:rPr>
              <w:t>Main Body</w:t>
            </w:r>
            <w:r w:rsidR="00C05B77">
              <w:rPr>
                <w:noProof/>
                <w:webHidden/>
              </w:rPr>
              <w:tab/>
            </w:r>
            <w:r w:rsidR="00C05B77">
              <w:rPr>
                <w:noProof/>
                <w:webHidden/>
              </w:rPr>
              <w:fldChar w:fldCharType="begin"/>
            </w:r>
            <w:r w:rsidR="00C05B77">
              <w:rPr>
                <w:noProof/>
                <w:webHidden/>
              </w:rPr>
              <w:instrText xml:space="preserve"> PAGEREF _Toc174106958 \h </w:instrText>
            </w:r>
            <w:r w:rsidR="00C05B77">
              <w:rPr>
                <w:noProof/>
                <w:webHidden/>
              </w:rPr>
            </w:r>
            <w:r w:rsidR="00C05B77">
              <w:rPr>
                <w:noProof/>
                <w:webHidden/>
              </w:rPr>
              <w:fldChar w:fldCharType="separate"/>
            </w:r>
            <w:r w:rsidR="00C05B77">
              <w:rPr>
                <w:noProof/>
                <w:webHidden/>
              </w:rPr>
              <w:t>3</w:t>
            </w:r>
            <w:r w:rsidR="00C05B77">
              <w:rPr>
                <w:noProof/>
                <w:webHidden/>
              </w:rPr>
              <w:fldChar w:fldCharType="end"/>
            </w:r>
          </w:hyperlink>
        </w:p>
        <w:p w14:paraId="5E4A231E" w14:textId="1AEC18E1" w:rsidR="00C05B77" w:rsidRDefault="00000000">
          <w:pPr>
            <w:pStyle w:val="TOC2"/>
            <w:tabs>
              <w:tab w:val="right" w:leader="dot" w:pos="9016"/>
            </w:tabs>
            <w:rPr>
              <w:noProof/>
            </w:rPr>
          </w:pPr>
          <w:hyperlink w:anchor="_Toc174106959" w:history="1">
            <w:r w:rsidR="00C05B77" w:rsidRPr="00E51915">
              <w:rPr>
                <w:rStyle w:val="Hyperlink"/>
                <w:b/>
                <w:bCs/>
                <w:i/>
                <w:iCs/>
                <w:noProof/>
              </w:rPr>
              <w:t>Benefits of implementing flexible working approaches</w:t>
            </w:r>
            <w:r w:rsidR="00C05B77">
              <w:rPr>
                <w:noProof/>
                <w:webHidden/>
              </w:rPr>
              <w:tab/>
            </w:r>
            <w:r w:rsidR="00C05B77">
              <w:rPr>
                <w:noProof/>
                <w:webHidden/>
              </w:rPr>
              <w:fldChar w:fldCharType="begin"/>
            </w:r>
            <w:r w:rsidR="00C05B77">
              <w:rPr>
                <w:noProof/>
                <w:webHidden/>
              </w:rPr>
              <w:instrText xml:space="preserve"> PAGEREF _Toc174106959 \h </w:instrText>
            </w:r>
            <w:r w:rsidR="00C05B77">
              <w:rPr>
                <w:noProof/>
                <w:webHidden/>
              </w:rPr>
            </w:r>
            <w:r w:rsidR="00C05B77">
              <w:rPr>
                <w:noProof/>
                <w:webHidden/>
              </w:rPr>
              <w:fldChar w:fldCharType="separate"/>
            </w:r>
            <w:r w:rsidR="00C05B77">
              <w:rPr>
                <w:noProof/>
                <w:webHidden/>
              </w:rPr>
              <w:t>3</w:t>
            </w:r>
            <w:r w:rsidR="00C05B77">
              <w:rPr>
                <w:noProof/>
                <w:webHidden/>
              </w:rPr>
              <w:fldChar w:fldCharType="end"/>
            </w:r>
          </w:hyperlink>
        </w:p>
        <w:p w14:paraId="5D320E63" w14:textId="0D81ED88" w:rsidR="00C05B77" w:rsidRDefault="00000000">
          <w:pPr>
            <w:pStyle w:val="TOC2"/>
            <w:tabs>
              <w:tab w:val="right" w:leader="dot" w:pos="9016"/>
            </w:tabs>
            <w:rPr>
              <w:noProof/>
            </w:rPr>
          </w:pPr>
          <w:hyperlink w:anchor="_Toc174106960" w:history="1">
            <w:r w:rsidR="00C05B77" w:rsidRPr="00E51915">
              <w:rPr>
                <w:rStyle w:val="Hyperlink"/>
                <w:b/>
                <w:bCs/>
                <w:i/>
                <w:iCs/>
                <w:noProof/>
              </w:rPr>
              <w:t>Considerations for HR application</w:t>
            </w:r>
            <w:r w:rsidR="00C05B77">
              <w:rPr>
                <w:noProof/>
                <w:webHidden/>
              </w:rPr>
              <w:tab/>
            </w:r>
            <w:r w:rsidR="00C05B77">
              <w:rPr>
                <w:noProof/>
                <w:webHidden/>
              </w:rPr>
              <w:fldChar w:fldCharType="begin"/>
            </w:r>
            <w:r w:rsidR="00C05B77">
              <w:rPr>
                <w:noProof/>
                <w:webHidden/>
              </w:rPr>
              <w:instrText xml:space="preserve"> PAGEREF _Toc174106960 \h </w:instrText>
            </w:r>
            <w:r w:rsidR="00C05B77">
              <w:rPr>
                <w:noProof/>
                <w:webHidden/>
              </w:rPr>
            </w:r>
            <w:r w:rsidR="00C05B77">
              <w:rPr>
                <w:noProof/>
                <w:webHidden/>
              </w:rPr>
              <w:fldChar w:fldCharType="separate"/>
            </w:r>
            <w:r w:rsidR="00C05B77">
              <w:rPr>
                <w:noProof/>
                <w:webHidden/>
              </w:rPr>
              <w:t>4</w:t>
            </w:r>
            <w:r w:rsidR="00C05B77">
              <w:rPr>
                <w:noProof/>
                <w:webHidden/>
              </w:rPr>
              <w:fldChar w:fldCharType="end"/>
            </w:r>
          </w:hyperlink>
        </w:p>
        <w:p w14:paraId="645ED9A8" w14:textId="530D9D0D" w:rsidR="00C05B77" w:rsidRDefault="00000000">
          <w:pPr>
            <w:pStyle w:val="TOC2"/>
            <w:tabs>
              <w:tab w:val="right" w:leader="dot" w:pos="9016"/>
            </w:tabs>
            <w:rPr>
              <w:noProof/>
            </w:rPr>
          </w:pPr>
          <w:hyperlink w:anchor="_Toc174106961" w:history="1">
            <w:r w:rsidR="00C05B77" w:rsidRPr="00E51915">
              <w:rPr>
                <w:rStyle w:val="Hyperlink"/>
                <w:b/>
                <w:bCs/>
                <w:i/>
                <w:iCs/>
                <w:noProof/>
              </w:rPr>
              <w:t>Impact on pay organization</w:t>
            </w:r>
            <w:r w:rsidR="00C05B77">
              <w:rPr>
                <w:noProof/>
                <w:webHidden/>
              </w:rPr>
              <w:tab/>
            </w:r>
            <w:r w:rsidR="00C05B77">
              <w:rPr>
                <w:noProof/>
                <w:webHidden/>
              </w:rPr>
              <w:fldChar w:fldCharType="begin"/>
            </w:r>
            <w:r w:rsidR="00C05B77">
              <w:rPr>
                <w:noProof/>
                <w:webHidden/>
              </w:rPr>
              <w:instrText xml:space="preserve"> PAGEREF _Toc174106961 \h </w:instrText>
            </w:r>
            <w:r w:rsidR="00C05B77">
              <w:rPr>
                <w:noProof/>
                <w:webHidden/>
              </w:rPr>
            </w:r>
            <w:r w:rsidR="00C05B77">
              <w:rPr>
                <w:noProof/>
                <w:webHidden/>
              </w:rPr>
              <w:fldChar w:fldCharType="separate"/>
            </w:r>
            <w:r w:rsidR="00C05B77">
              <w:rPr>
                <w:noProof/>
                <w:webHidden/>
              </w:rPr>
              <w:t>5</w:t>
            </w:r>
            <w:r w:rsidR="00C05B77">
              <w:rPr>
                <w:noProof/>
                <w:webHidden/>
              </w:rPr>
              <w:fldChar w:fldCharType="end"/>
            </w:r>
          </w:hyperlink>
        </w:p>
        <w:p w14:paraId="25D0FF3D" w14:textId="31A1248F" w:rsidR="00C05B77" w:rsidRDefault="00000000">
          <w:pPr>
            <w:pStyle w:val="TOC2"/>
            <w:tabs>
              <w:tab w:val="right" w:leader="dot" w:pos="9016"/>
            </w:tabs>
            <w:rPr>
              <w:noProof/>
            </w:rPr>
          </w:pPr>
          <w:hyperlink w:anchor="_Toc174106962" w:history="1">
            <w:r w:rsidR="00C05B77" w:rsidRPr="00E51915">
              <w:rPr>
                <w:rStyle w:val="Hyperlink"/>
                <w:b/>
                <w:bCs/>
                <w:i/>
                <w:iCs/>
                <w:noProof/>
              </w:rPr>
              <w:t>Approaches to promote employee engagement</w:t>
            </w:r>
            <w:r w:rsidR="00C05B77">
              <w:rPr>
                <w:noProof/>
                <w:webHidden/>
              </w:rPr>
              <w:tab/>
            </w:r>
            <w:r w:rsidR="00C05B77">
              <w:rPr>
                <w:noProof/>
                <w:webHidden/>
              </w:rPr>
              <w:fldChar w:fldCharType="begin"/>
            </w:r>
            <w:r w:rsidR="00C05B77">
              <w:rPr>
                <w:noProof/>
                <w:webHidden/>
              </w:rPr>
              <w:instrText xml:space="preserve"> PAGEREF _Toc174106962 \h </w:instrText>
            </w:r>
            <w:r w:rsidR="00C05B77">
              <w:rPr>
                <w:noProof/>
                <w:webHidden/>
              </w:rPr>
            </w:r>
            <w:r w:rsidR="00C05B77">
              <w:rPr>
                <w:noProof/>
                <w:webHidden/>
              </w:rPr>
              <w:fldChar w:fldCharType="separate"/>
            </w:r>
            <w:r w:rsidR="00C05B77">
              <w:rPr>
                <w:noProof/>
                <w:webHidden/>
              </w:rPr>
              <w:t>6</w:t>
            </w:r>
            <w:r w:rsidR="00C05B77">
              <w:rPr>
                <w:noProof/>
                <w:webHidden/>
              </w:rPr>
              <w:fldChar w:fldCharType="end"/>
            </w:r>
          </w:hyperlink>
        </w:p>
        <w:p w14:paraId="5DDC8EA4" w14:textId="3BE66B8D" w:rsidR="00C05B77" w:rsidRDefault="00000000">
          <w:pPr>
            <w:pStyle w:val="TOC1"/>
            <w:tabs>
              <w:tab w:val="right" w:leader="dot" w:pos="9016"/>
            </w:tabs>
            <w:rPr>
              <w:noProof/>
            </w:rPr>
          </w:pPr>
          <w:hyperlink w:anchor="_Toc174106963" w:history="1">
            <w:r w:rsidR="00C05B77" w:rsidRPr="00E51915">
              <w:rPr>
                <w:rStyle w:val="Hyperlink"/>
                <w:b/>
                <w:bCs/>
                <w:noProof/>
              </w:rPr>
              <w:t>Conclusion</w:t>
            </w:r>
            <w:r w:rsidR="00C05B77">
              <w:rPr>
                <w:noProof/>
                <w:webHidden/>
              </w:rPr>
              <w:tab/>
            </w:r>
            <w:r w:rsidR="00C05B77">
              <w:rPr>
                <w:noProof/>
                <w:webHidden/>
              </w:rPr>
              <w:fldChar w:fldCharType="begin"/>
            </w:r>
            <w:r w:rsidR="00C05B77">
              <w:rPr>
                <w:noProof/>
                <w:webHidden/>
              </w:rPr>
              <w:instrText xml:space="preserve"> PAGEREF _Toc174106963 \h </w:instrText>
            </w:r>
            <w:r w:rsidR="00C05B77">
              <w:rPr>
                <w:noProof/>
                <w:webHidden/>
              </w:rPr>
            </w:r>
            <w:r w:rsidR="00C05B77">
              <w:rPr>
                <w:noProof/>
                <w:webHidden/>
              </w:rPr>
              <w:fldChar w:fldCharType="separate"/>
            </w:r>
            <w:r w:rsidR="00C05B77">
              <w:rPr>
                <w:noProof/>
                <w:webHidden/>
              </w:rPr>
              <w:t>7</w:t>
            </w:r>
            <w:r w:rsidR="00C05B77">
              <w:rPr>
                <w:noProof/>
                <w:webHidden/>
              </w:rPr>
              <w:fldChar w:fldCharType="end"/>
            </w:r>
          </w:hyperlink>
        </w:p>
        <w:p w14:paraId="71590E5B" w14:textId="3EF195C7" w:rsidR="00C05B77" w:rsidRDefault="00000000">
          <w:pPr>
            <w:pStyle w:val="TOC1"/>
            <w:tabs>
              <w:tab w:val="right" w:leader="dot" w:pos="9016"/>
            </w:tabs>
            <w:rPr>
              <w:noProof/>
            </w:rPr>
          </w:pPr>
          <w:hyperlink w:anchor="_Toc174106964" w:history="1">
            <w:r w:rsidR="00C05B77" w:rsidRPr="00E51915">
              <w:rPr>
                <w:rStyle w:val="Hyperlink"/>
                <w:b/>
                <w:bCs/>
                <w:noProof/>
              </w:rPr>
              <w:t>References</w:t>
            </w:r>
            <w:r w:rsidR="00C05B77">
              <w:rPr>
                <w:noProof/>
                <w:webHidden/>
              </w:rPr>
              <w:tab/>
            </w:r>
            <w:r w:rsidR="00C05B77">
              <w:rPr>
                <w:noProof/>
                <w:webHidden/>
              </w:rPr>
              <w:fldChar w:fldCharType="begin"/>
            </w:r>
            <w:r w:rsidR="00C05B77">
              <w:rPr>
                <w:noProof/>
                <w:webHidden/>
              </w:rPr>
              <w:instrText xml:space="preserve"> PAGEREF _Toc174106964 \h </w:instrText>
            </w:r>
            <w:r w:rsidR="00C05B77">
              <w:rPr>
                <w:noProof/>
                <w:webHidden/>
              </w:rPr>
            </w:r>
            <w:r w:rsidR="00C05B77">
              <w:rPr>
                <w:noProof/>
                <w:webHidden/>
              </w:rPr>
              <w:fldChar w:fldCharType="separate"/>
            </w:r>
            <w:r w:rsidR="00C05B77">
              <w:rPr>
                <w:noProof/>
                <w:webHidden/>
              </w:rPr>
              <w:t>9</w:t>
            </w:r>
            <w:r w:rsidR="00C05B77">
              <w:rPr>
                <w:noProof/>
                <w:webHidden/>
              </w:rPr>
              <w:fldChar w:fldCharType="end"/>
            </w:r>
          </w:hyperlink>
        </w:p>
        <w:p w14:paraId="4E665ACF" w14:textId="550BD23A" w:rsidR="00C05B77" w:rsidRDefault="00C05B77">
          <w:r>
            <w:rPr>
              <w:b/>
              <w:bCs/>
            </w:rPr>
            <w:fldChar w:fldCharType="end"/>
          </w:r>
        </w:p>
      </w:sdtContent>
    </w:sdt>
    <w:p w14:paraId="0E74828A" w14:textId="77777777" w:rsidR="00E86D08" w:rsidRDefault="00E86D08" w:rsidP="00E86D08">
      <w:pPr>
        <w:jc w:val="center"/>
        <w:rPr>
          <w:rFonts w:ascii="Times New Roman" w:hAnsi="Times New Roman" w:cs="Times New Roman"/>
          <w:b/>
          <w:bCs/>
          <w:sz w:val="28"/>
          <w:szCs w:val="28"/>
        </w:rPr>
      </w:pPr>
    </w:p>
    <w:p w14:paraId="5F618E9E" w14:textId="77777777" w:rsidR="00C05B77" w:rsidRDefault="00C05B77" w:rsidP="00E86D08">
      <w:pPr>
        <w:jc w:val="center"/>
        <w:rPr>
          <w:rFonts w:ascii="Times New Roman" w:hAnsi="Times New Roman" w:cs="Times New Roman"/>
          <w:b/>
          <w:bCs/>
          <w:sz w:val="28"/>
          <w:szCs w:val="28"/>
        </w:rPr>
      </w:pPr>
    </w:p>
    <w:p w14:paraId="413AA328" w14:textId="77777777" w:rsidR="00C05B77" w:rsidRDefault="00C05B77" w:rsidP="00E86D08">
      <w:pPr>
        <w:jc w:val="center"/>
        <w:rPr>
          <w:rFonts w:ascii="Times New Roman" w:hAnsi="Times New Roman" w:cs="Times New Roman"/>
          <w:b/>
          <w:bCs/>
          <w:sz w:val="28"/>
          <w:szCs w:val="28"/>
        </w:rPr>
      </w:pPr>
    </w:p>
    <w:p w14:paraId="5B64812F" w14:textId="77777777" w:rsidR="00C05B77" w:rsidRDefault="00C05B77" w:rsidP="00E86D08">
      <w:pPr>
        <w:jc w:val="center"/>
        <w:rPr>
          <w:rFonts w:ascii="Times New Roman" w:hAnsi="Times New Roman" w:cs="Times New Roman"/>
          <w:b/>
          <w:bCs/>
          <w:sz w:val="28"/>
          <w:szCs w:val="28"/>
        </w:rPr>
      </w:pPr>
    </w:p>
    <w:p w14:paraId="1956CBEC" w14:textId="77777777" w:rsidR="00C05B77" w:rsidRDefault="00C05B77" w:rsidP="00E86D08">
      <w:pPr>
        <w:jc w:val="center"/>
        <w:rPr>
          <w:rFonts w:ascii="Times New Roman" w:hAnsi="Times New Roman" w:cs="Times New Roman"/>
          <w:b/>
          <w:bCs/>
          <w:sz w:val="28"/>
          <w:szCs w:val="28"/>
        </w:rPr>
      </w:pPr>
    </w:p>
    <w:p w14:paraId="7F06948A" w14:textId="77777777" w:rsidR="00C05B77" w:rsidRDefault="00C05B77" w:rsidP="00C05B77">
      <w:pPr>
        <w:rPr>
          <w:rFonts w:ascii="Times New Roman" w:hAnsi="Times New Roman" w:cs="Times New Roman"/>
          <w:b/>
          <w:bCs/>
          <w:sz w:val="28"/>
          <w:szCs w:val="28"/>
        </w:rPr>
      </w:pPr>
    </w:p>
    <w:p w14:paraId="47801170" w14:textId="29F4B493" w:rsidR="00E86D08" w:rsidRPr="00C05B77" w:rsidRDefault="00E86D08" w:rsidP="00C05B77">
      <w:pPr>
        <w:pStyle w:val="Heading1"/>
        <w:rPr>
          <w:b/>
          <w:bCs/>
          <w:color w:val="auto"/>
        </w:rPr>
      </w:pPr>
      <w:bookmarkStart w:id="0" w:name="_Toc174106957"/>
      <w:r w:rsidRPr="00C05B77">
        <w:rPr>
          <w:b/>
          <w:bCs/>
          <w:color w:val="auto"/>
        </w:rPr>
        <w:t>Introduction</w:t>
      </w:r>
      <w:bookmarkEnd w:id="0"/>
      <w:r w:rsidRPr="00C05B77">
        <w:rPr>
          <w:b/>
          <w:bCs/>
          <w:color w:val="auto"/>
        </w:rPr>
        <w:t xml:space="preserve"> </w:t>
      </w:r>
    </w:p>
    <w:p w14:paraId="7FDCB84F" w14:textId="7F94F502" w:rsidR="00D27F42" w:rsidRDefault="00D27F42" w:rsidP="00E86D08">
      <w:pPr>
        <w:spacing w:line="360" w:lineRule="auto"/>
        <w:jc w:val="both"/>
        <w:rPr>
          <w:rFonts w:ascii="Times New Roman" w:hAnsi="Times New Roman" w:cs="Times New Roman"/>
          <w:sz w:val="24"/>
          <w:szCs w:val="24"/>
        </w:rPr>
      </w:pPr>
      <w:r w:rsidRPr="00D27F42">
        <w:rPr>
          <w:rFonts w:ascii="Times New Roman" w:hAnsi="Times New Roman" w:cs="Times New Roman"/>
          <w:sz w:val="24"/>
          <w:szCs w:val="24"/>
        </w:rPr>
        <w:t>The COVID-19 epidemic is further intensifying the increasing acceptance of hybrid and more flexible working patterns across a broad spectrum of industry, which necessitates that business entities rethink their historical models of work to stay in the game</w:t>
      </w:r>
      <w:r>
        <w:rPr>
          <w:rFonts w:ascii="Times New Roman" w:hAnsi="Times New Roman" w:cs="Times New Roman"/>
          <w:sz w:val="24"/>
          <w:szCs w:val="24"/>
        </w:rPr>
        <w:t xml:space="preserve"> (</w:t>
      </w:r>
      <w:r w:rsidRPr="00D27F42">
        <w:rPr>
          <w:rFonts w:ascii="Times New Roman" w:hAnsi="Times New Roman" w:cs="Times New Roman"/>
          <w:i/>
          <w:iCs/>
          <w:sz w:val="24"/>
          <w:szCs w:val="24"/>
        </w:rPr>
        <w:t>Shen, 2023).</w:t>
      </w:r>
      <w:r>
        <w:rPr>
          <w:rFonts w:ascii="Times New Roman" w:hAnsi="Times New Roman" w:cs="Times New Roman"/>
          <w:sz w:val="24"/>
          <w:szCs w:val="24"/>
        </w:rPr>
        <w:t xml:space="preserve"> </w:t>
      </w:r>
      <w:r w:rsidRPr="00D27F42">
        <w:rPr>
          <w:rFonts w:ascii="Times New Roman" w:hAnsi="Times New Roman" w:cs="Times New Roman"/>
          <w:sz w:val="24"/>
          <w:szCs w:val="24"/>
        </w:rPr>
        <w:t>The choice is taken to keep corporations relevant going forward. Departments dealing with human resources in particular need to adapt and change with the times to sustain the highest possible levels of employee engagement and organisational effectiveness</w:t>
      </w:r>
      <w:r>
        <w:rPr>
          <w:rFonts w:ascii="Times New Roman" w:hAnsi="Times New Roman" w:cs="Times New Roman"/>
          <w:sz w:val="24"/>
          <w:szCs w:val="24"/>
        </w:rPr>
        <w:t xml:space="preserve"> (</w:t>
      </w:r>
      <w:r w:rsidRPr="00D27F42">
        <w:rPr>
          <w:rFonts w:ascii="Times New Roman" w:hAnsi="Times New Roman" w:cs="Times New Roman"/>
          <w:i/>
          <w:iCs/>
          <w:sz w:val="24"/>
          <w:szCs w:val="24"/>
        </w:rPr>
        <w:t>Beauregard and Henry, 2009</w:t>
      </w:r>
      <w:r>
        <w:rPr>
          <w:rFonts w:ascii="Times New Roman" w:hAnsi="Times New Roman" w:cs="Times New Roman"/>
          <w:sz w:val="24"/>
          <w:szCs w:val="24"/>
        </w:rPr>
        <w:t xml:space="preserve">). </w:t>
      </w:r>
      <w:r w:rsidRPr="00D27F42">
        <w:rPr>
          <w:rFonts w:ascii="Times New Roman" w:hAnsi="Times New Roman" w:cs="Times New Roman"/>
          <w:sz w:val="24"/>
          <w:szCs w:val="24"/>
        </w:rPr>
        <w:t>VialTech operates as a major provider of diagnostic services to the public and private sector agencies and has a diverse staff. Apart from those in administrative and management roles and technical professionals in the lab, VialTech’s staff also includes those who come in direct contact with customers. Almost all three segments that exist here for employees at Vial tech face different difficulties when it comes to the possibilities of flexible working environments. In the context of this study, an in-depth analysis of the various advantages and disadvantages that could accrue to VialTech following the introduction of flexible working hours in the organisation will be presented. VialTech is grappling with issues that are of paramount importance for their Human Resources department. The impact on the compensation structure of the business and how high degrees of employee engagement can be sustained and sustained through this change</w:t>
      </w:r>
      <w:r>
        <w:rPr>
          <w:rFonts w:ascii="Times New Roman" w:hAnsi="Times New Roman" w:cs="Times New Roman"/>
          <w:sz w:val="24"/>
          <w:szCs w:val="24"/>
        </w:rPr>
        <w:t xml:space="preserve"> (</w:t>
      </w:r>
      <w:r w:rsidRPr="00D27F42">
        <w:rPr>
          <w:rFonts w:ascii="Times New Roman" w:hAnsi="Times New Roman" w:cs="Times New Roman"/>
          <w:i/>
          <w:iCs/>
          <w:sz w:val="24"/>
          <w:szCs w:val="24"/>
        </w:rPr>
        <w:t>Shen, 2023).</w:t>
      </w:r>
      <w:r>
        <w:rPr>
          <w:rFonts w:ascii="Times New Roman" w:hAnsi="Times New Roman" w:cs="Times New Roman"/>
          <w:sz w:val="24"/>
          <w:szCs w:val="24"/>
        </w:rPr>
        <w:t xml:space="preserve"> Also,</w:t>
      </w:r>
      <w:r w:rsidRPr="00D27F42">
        <w:rPr>
          <w:rFonts w:ascii="Times New Roman" w:hAnsi="Times New Roman" w:cs="Times New Roman"/>
          <w:sz w:val="24"/>
          <w:szCs w:val="24"/>
        </w:rPr>
        <w:t xml:space="preserve"> are some of the factors that are being studied to ensure that VialTech effectively navigates through these developments and maintains its competitive advantage in the market.</w:t>
      </w:r>
    </w:p>
    <w:p w14:paraId="6CF60204" w14:textId="409DC6B4" w:rsidR="00E86D08" w:rsidRPr="00C05B77" w:rsidRDefault="00E86D08" w:rsidP="00C05B77">
      <w:pPr>
        <w:pStyle w:val="Heading1"/>
        <w:rPr>
          <w:b/>
          <w:bCs/>
          <w:color w:val="auto"/>
        </w:rPr>
      </w:pPr>
      <w:bookmarkStart w:id="1" w:name="_Toc174106958"/>
      <w:r w:rsidRPr="00C05B77">
        <w:rPr>
          <w:b/>
          <w:bCs/>
          <w:color w:val="auto"/>
        </w:rPr>
        <w:t>Main Body</w:t>
      </w:r>
      <w:bookmarkEnd w:id="1"/>
    </w:p>
    <w:p w14:paraId="47B81C99" w14:textId="74B50E5C" w:rsidR="00E86D08" w:rsidRPr="00C05B77" w:rsidRDefault="00E86D08" w:rsidP="00C05B77">
      <w:pPr>
        <w:pStyle w:val="Heading2"/>
        <w:rPr>
          <w:b/>
          <w:bCs/>
          <w:i/>
          <w:iCs/>
          <w:color w:val="auto"/>
        </w:rPr>
      </w:pPr>
      <w:bookmarkStart w:id="2" w:name="_Toc174106959"/>
      <w:r w:rsidRPr="00C05B77">
        <w:rPr>
          <w:b/>
          <w:bCs/>
          <w:i/>
          <w:iCs/>
          <w:color w:val="auto"/>
        </w:rPr>
        <w:t>Benefits of implementing flexible working approaches</w:t>
      </w:r>
      <w:bookmarkEnd w:id="2"/>
    </w:p>
    <w:p w14:paraId="6985527F" w14:textId="22CC209C" w:rsidR="002F04E4" w:rsidRPr="002F04E4" w:rsidRDefault="002F04E4" w:rsidP="002F04E4">
      <w:pPr>
        <w:spacing w:line="360" w:lineRule="auto"/>
        <w:jc w:val="both"/>
        <w:rPr>
          <w:rFonts w:ascii="Times New Roman" w:hAnsi="Times New Roman" w:cs="Times New Roman"/>
          <w:sz w:val="24"/>
          <w:szCs w:val="24"/>
        </w:rPr>
      </w:pPr>
      <w:r w:rsidRPr="002F04E4">
        <w:rPr>
          <w:rFonts w:ascii="Times New Roman" w:hAnsi="Times New Roman" w:cs="Times New Roman"/>
          <w:sz w:val="24"/>
          <w:szCs w:val="24"/>
        </w:rPr>
        <w:t xml:space="preserve">On the other hand, the advantages of flexible working hours extend far beyond improved work-life balance for VialTech and its staff; they have an impact on their level of fulfilment and organisation performance directly </w:t>
      </w:r>
      <w:r w:rsidR="00F613E9" w:rsidRPr="00F613E9">
        <w:rPr>
          <w:rFonts w:ascii="Times New Roman" w:hAnsi="Times New Roman" w:cs="Times New Roman"/>
          <w:i/>
          <w:iCs/>
          <w:sz w:val="24"/>
          <w:szCs w:val="24"/>
        </w:rPr>
        <w:t>(</w:t>
      </w:r>
      <w:proofErr w:type="spellStart"/>
      <w:r w:rsidR="00F613E9" w:rsidRPr="00F613E9">
        <w:rPr>
          <w:rFonts w:ascii="Times New Roman" w:hAnsi="Times New Roman" w:cs="Times New Roman"/>
          <w:i/>
          <w:iCs/>
          <w:sz w:val="24"/>
          <w:szCs w:val="24"/>
        </w:rPr>
        <w:t>Čiarnienė</w:t>
      </w:r>
      <w:proofErr w:type="spellEnd"/>
      <w:r w:rsidR="00F613E9" w:rsidRPr="00F613E9">
        <w:rPr>
          <w:rFonts w:ascii="Times New Roman" w:hAnsi="Times New Roman" w:cs="Times New Roman"/>
          <w:i/>
          <w:iCs/>
          <w:sz w:val="24"/>
          <w:szCs w:val="24"/>
        </w:rPr>
        <w:t xml:space="preserve"> and </w:t>
      </w:r>
      <w:proofErr w:type="spellStart"/>
      <w:r w:rsidR="00F613E9" w:rsidRPr="00F613E9">
        <w:rPr>
          <w:rFonts w:ascii="Times New Roman" w:hAnsi="Times New Roman" w:cs="Times New Roman"/>
          <w:i/>
          <w:iCs/>
          <w:sz w:val="24"/>
          <w:szCs w:val="24"/>
        </w:rPr>
        <w:t>Vienažindienė</w:t>
      </w:r>
      <w:proofErr w:type="spellEnd"/>
      <w:r w:rsidR="00F613E9" w:rsidRPr="00F613E9">
        <w:rPr>
          <w:rFonts w:ascii="Times New Roman" w:hAnsi="Times New Roman" w:cs="Times New Roman"/>
          <w:i/>
          <w:iCs/>
          <w:sz w:val="24"/>
          <w:szCs w:val="24"/>
        </w:rPr>
        <w:t>, 2018</w:t>
      </w:r>
      <w:r w:rsidR="00F613E9" w:rsidRPr="00F613E9">
        <w:rPr>
          <w:rFonts w:ascii="Times New Roman" w:hAnsi="Times New Roman" w:cs="Times New Roman"/>
          <w:sz w:val="24"/>
          <w:szCs w:val="24"/>
        </w:rPr>
        <w:t>).</w:t>
      </w:r>
      <w:r w:rsidR="00F613E9">
        <w:rPr>
          <w:rFonts w:ascii="Times New Roman" w:hAnsi="Times New Roman" w:cs="Times New Roman"/>
          <w:sz w:val="24"/>
          <w:szCs w:val="24"/>
        </w:rPr>
        <w:t xml:space="preserve"> </w:t>
      </w:r>
      <w:r w:rsidRPr="002F04E4">
        <w:rPr>
          <w:rFonts w:ascii="Times New Roman" w:hAnsi="Times New Roman" w:cs="Times New Roman"/>
          <w:sz w:val="24"/>
          <w:szCs w:val="24"/>
        </w:rPr>
        <w:t>VialTech will be able to enhance its work-life balance by enabling its employees to enjoy some degree of autonomy regarding when they work, which in turn can lead to a rise in job satisfaction and wellbeing. It has been observed that employees who enjoy greater autonomy in organising their working hours are more likely to have lower levels of distress and burn-out – which could be the reason behind higher levels of engagement and productivity. (</w:t>
      </w:r>
      <w:proofErr w:type="spellStart"/>
      <w:r w:rsidR="00F613E9" w:rsidRPr="00F613E9">
        <w:rPr>
          <w:rFonts w:ascii="Times New Roman" w:hAnsi="Times New Roman" w:cs="Times New Roman"/>
          <w:i/>
          <w:iCs/>
          <w:sz w:val="24"/>
          <w:szCs w:val="24"/>
        </w:rPr>
        <w:t>Čiarnienė</w:t>
      </w:r>
      <w:proofErr w:type="spellEnd"/>
      <w:r w:rsidR="00F613E9" w:rsidRPr="00F613E9">
        <w:rPr>
          <w:rFonts w:ascii="Times New Roman" w:hAnsi="Times New Roman" w:cs="Times New Roman"/>
          <w:i/>
          <w:iCs/>
          <w:sz w:val="24"/>
          <w:szCs w:val="24"/>
        </w:rPr>
        <w:t xml:space="preserve"> and </w:t>
      </w:r>
      <w:proofErr w:type="spellStart"/>
      <w:r w:rsidR="00F613E9" w:rsidRPr="00F613E9">
        <w:rPr>
          <w:rFonts w:ascii="Times New Roman" w:hAnsi="Times New Roman" w:cs="Times New Roman"/>
          <w:i/>
          <w:iCs/>
          <w:sz w:val="24"/>
          <w:szCs w:val="24"/>
        </w:rPr>
        <w:t>Vienažindienė</w:t>
      </w:r>
      <w:proofErr w:type="spellEnd"/>
      <w:r w:rsidR="00F613E9" w:rsidRPr="00F613E9">
        <w:rPr>
          <w:rFonts w:ascii="Times New Roman" w:hAnsi="Times New Roman" w:cs="Times New Roman"/>
          <w:i/>
          <w:iCs/>
          <w:sz w:val="24"/>
          <w:szCs w:val="24"/>
        </w:rPr>
        <w:t>, 2018</w:t>
      </w:r>
      <w:r w:rsidR="00F613E9">
        <w:rPr>
          <w:rFonts w:ascii="Times New Roman" w:hAnsi="Times New Roman" w:cs="Times New Roman"/>
          <w:sz w:val="24"/>
          <w:szCs w:val="24"/>
        </w:rPr>
        <w:t>).</w:t>
      </w:r>
    </w:p>
    <w:p w14:paraId="374E68CB" w14:textId="311DA0A1" w:rsidR="00E86D08" w:rsidRDefault="002F04E4" w:rsidP="002F04E4">
      <w:pPr>
        <w:spacing w:line="360" w:lineRule="auto"/>
        <w:jc w:val="both"/>
        <w:rPr>
          <w:rFonts w:ascii="Times New Roman" w:hAnsi="Times New Roman" w:cs="Times New Roman"/>
          <w:sz w:val="24"/>
          <w:szCs w:val="24"/>
        </w:rPr>
      </w:pPr>
      <w:r w:rsidRPr="002F04E4">
        <w:rPr>
          <w:rFonts w:ascii="Times New Roman" w:hAnsi="Times New Roman" w:cs="Times New Roman"/>
          <w:sz w:val="24"/>
          <w:szCs w:val="24"/>
        </w:rPr>
        <w:t xml:space="preserve"> Flexible working can also prove to be a very smart retention strategy. Allowing for flexible working options would turn Viatech into a more competitive firm in a more competitive labour market; offering flexible working arrangements would therefore help Viatech to retain top people, keeping turnover rates at a minimum, as shown by</w:t>
      </w:r>
      <w:r w:rsidR="00F613E9" w:rsidRPr="00F613E9">
        <w:t xml:space="preserve"> </w:t>
      </w:r>
      <w:r w:rsidR="00F613E9" w:rsidRPr="00F613E9">
        <w:rPr>
          <w:rFonts w:ascii="Times New Roman" w:hAnsi="Times New Roman" w:cs="Times New Roman"/>
          <w:i/>
          <w:iCs/>
          <w:sz w:val="24"/>
          <w:szCs w:val="24"/>
        </w:rPr>
        <w:t>Humphreys, Fleming, O'Donnell (2000)</w:t>
      </w:r>
      <w:r w:rsidR="00F613E9">
        <w:rPr>
          <w:rFonts w:ascii="Times New Roman" w:hAnsi="Times New Roman" w:cs="Times New Roman"/>
          <w:sz w:val="24"/>
          <w:szCs w:val="24"/>
        </w:rPr>
        <w:t>.</w:t>
      </w:r>
      <w:r w:rsidRPr="002F04E4">
        <w:rPr>
          <w:rFonts w:ascii="Times New Roman" w:hAnsi="Times New Roman" w:cs="Times New Roman"/>
          <w:sz w:val="24"/>
          <w:szCs w:val="24"/>
        </w:rPr>
        <w:t xml:space="preserve"> Moreover, letting people work the hours they are more productive in and avoiding people the time they waste commuting will also make flexible working schedules more productive: better performance and more efficient teams will be the outcome </w:t>
      </w:r>
      <w:r w:rsidR="00F613E9" w:rsidRPr="00F613E9">
        <w:rPr>
          <w:rFonts w:ascii="Times New Roman" w:hAnsi="Times New Roman" w:cs="Times New Roman"/>
          <w:i/>
          <w:iCs/>
          <w:sz w:val="24"/>
          <w:szCs w:val="24"/>
        </w:rPr>
        <w:t xml:space="preserve">Choo, Desa and </w:t>
      </w:r>
      <w:proofErr w:type="spellStart"/>
      <w:r w:rsidR="00F613E9" w:rsidRPr="00F613E9">
        <w:rPr>
          <w:rFonts w:ascii="Times New Roman" w:hAnsi="Times New Roman" w:cs="Times New Roman"/>
          <w:i/>
          <w:iCs/>
          <w:sz w:val="24"/>
          <w:szCs w:val="24"/>
        </w:rPr>
        <w:t>Asaari</w:t>
      </w:r>
      <w:proofErr w:type="spellEnd"/>
      <w:r w:rsidR="00F613E9" w:rsidRPr="00F613E9">
        <w:rPr>
          <w:rFonts w:ascii="Times New Roman" w:hAnsi="Times New Roman" w:cs="Times New Roman"/>
          <w:i/>
          <w:iCs/>
          <w:sz w:val="24"/>
          <w:szCs w:val="24"/>
        </w:rPr>
        <w:t>, 2016).</w:t>
      </w:r>
      <w:r w:rsidRPr="00F613E9">
        <w:rPr>
          <w:rFonts w:ascii="Times New Roman" w:hAnsi="Times New Roman" w:cs="Times New Roman"/>
          <w:i/>
          <w:iCs/>
          <w:sz w:val="24"/>
          <w:szCs w:val="24"/>
        </w:rPr>
        <w:t xml:space="preserve"> </w:t>
      </w:r>
      <w:r w:rsidRPr="002F04E4">
        <w:rPr>
          <w:rFonts w:ascii="Times New Roman" w:hAnsi="Times New Roman" w:cs="Times New Roman"/>
          <w:sz w:val="24"/>
          <w:szCs w:val="24"/>
        </w:rPr>
        <w:t>Viatech will be perceived as a modern company, taking the well-being of the employee into account and offering working practices to promote the productivity of its employees; this will definitely contribute to its success in the long run.</w:t>
      </w:r>
    </w:p>
    <w:p w14:paraId="5BEF3731" w14:textId="77A1BBAE" w:rsidR="002F04E4" w:rsidRPr="00C05B77" w:rsidRDefault="002F04E4" w:rsidP="00C05B77">
      <w:pPr>
        <w:pStyle w:val="Heading2"/>
        <w:rPr>
          <w:b/>
          <w:bCs/>
          <w:i/>
          <w:iCs/>
          <w:color w:val="auto"/>
        </w:rPr>
      </w:pPr>
      <w:bookmarkStart w:id="3" w:name="_Toc174106960"/>
      <w:r w:rsidRPr="00C05B77">
        <w:rPr>
          <w:b/>
          <w:bCs/>
          <w:i/>
          <w:iCs/>
          <w:color w:val="auto"/>
        </w:rPr>
        <w:t>Considerations for HR application</w:t>
      </w:r>
      <w:bookmarkEnd w:id="3"/>
    </w:p>
    <w:p w14:paraId="2FEED912" w14:textId="307D0399" w:rsidR="002F04E4" w:rsidRPr="002F04E4" w:rsidRDefault="002F04E4" w:rsidP="002F04E4">
      <w:pPr>
        <w:spacing w:line="360" w:lineRule="auto"/>
        <w:jc w:val="both"/>
        <w:rPr>
          <w:rFonts w:ascii="Times New Roman" w:hAnsi="Times New Roman" w:cs="Times New Roman"/>
          <w:sz w:val="24"/>
          <w:szCs w:val="24"/>
        </w:rPr>
      </w:pPr>
      <w:r w:rsidRPr="002F04E4">
        <w:rPr>
          <w:rFonts w:ascii="Times New Roman" w:hAnsi="Times New Roman" w:cs="Times New Roman"/>
          <w:sz w:val="24"/>
          <w:szCs w:val="24"/>
        </w:rPr>
        <w:t>With its diverse workforce, the HR strategy will need to be carefully formed. VialTech’s workforce comprises administrative workers, lab technicians, and customer-facing staff, each working in different environments</w:t>
      </w:r>
      <w:r>
        <w:rPr>
          <w:rFonts w:ascii="Times New Roman" w:hAnsi="Times New Roman" w:cs="Times New Roman"/>
          <w:sz w:val="24"/>
          <w:szCs w:val="24"/>
        </w:rPr>
        <w:t>.</w:t>
      </w:r>
      <w:r w:rsidRPr="002F04E4">
        <w:rPr>
          <w:rFonts w:ascii="Times New Roman" w:hAnsi="Times New Roman" w:cs="Times New Roman"/>
          <w:sz w:val="24"/>
          <w:szCs w:val="24"/>
        </w:rPr>
        <w:t xml:space="preserve"> The HR department will have to form policies tailored to the needs of each group: they will not want to have split hours and to work from home Flexible working will need to benefit all employees while ensuring that the work is still operationa</w:t>
      </w:r>
      <w:r w:rsidR="00F613E9">
        <w:rPr>
          <w:rFonts w:ascii="Times New Roman" w:hAnsi="Times New Roman" w:cs="Times New Roman"/>
          <w:sz w:val="24"/>
          <w:szCs w:val="24"/>
        </w:rPr>
        <w:t>l (</w:t>
      </w:r>
      <w:r w:rsidR="00F613E9" w:rsidRPr="00F613E9">
        <w:rPr>
          <w:rFonts w:ascii="Times New Roman" w:hAnsi="Times New Roman" w:cs="Times New Roman"/>
          <w:i/>
          <w:iCs/>
          <w:sz w:val="24"/>
          <w:szCs w:val="24"/>
        </w:rPr>
        <w:t>Schalk, Timmerman and  Van den Heuvel, 2013</w:t>
      </w:r>
      <w:r w:rsidR="00F613E9">
        <w:rPr>
          <w:rFonts w:ascii="Times New Roman" w:hAnsi="Times New Roman" w:cs="Times New Roman"/>
          <w:sz w:val="24"/>
          <w:szCs w:val="24"/>
        </w:rPr>
        <w:t xml:space="preserve">). </w:t>
      </w:r>
      <w:r>
        <w:rPr>
          <w:rFonts w:ascii="Times New Roman" w:hAnsi="Times New Roman" w:cs="Times New Roman"/>
          <w:sz w:val="24"/>
          <w:szCs w:val="24"/>
        </w:rPr>
        <w:t xml:space="preserve"> </w:t>
      </w:r>
      <w:r w:rsidRPr="002F04E4">
        <w:rPr>
          <w:rFonts w:ascii="Times New Roman" w:hAnsi="Times New Roman" w:cs="Times New Roman"/>
          <w:sz w:val="24"/>
          <w:szCs w:val="24"/>
        </w:rPr>
        <w:t>To keep staff happy and to remain viable, the HR department will need to ensure that all the requirements of the various groups are met.</w:t>
      </w:r>
    </w:p>
    <w:p w14:paraId="3FB97DD9" w14:textId="3969E1F0" w:rsidR="002F04E4" w:rsidRPr="00F613E9" w:rsidRDefault="002F04E4" w:rsidP="002F04E4">
      <w:pPr>
        <w:spacing w:line="360" w:lineRule="auto"/>
        <w:jc w:val="both"/>
        <w:rPr>
          <w:rFonts w:ascii="Times New Roman" w:hAnsi="Times New Roman" w:cs="Times New Roman"/>
          <w:i/>
          <w:iCs/>
          <w:sz w:val="24"/>
          <w:szCs w:val="24"/>
        </w:rPr>
      </w:pPr>
      <w:r w:rsidRPr="002F04E4">
        <w:rPr>
          <w:rFonts w:ascii="Times New Roman" w:hAnsi="Times New Roman" w:cs="Times New Roman"/>
          <w:sz w:val="24"/>
          <w:szCs w:val="24"/>
        </w:rPr>
        <w:t xml:space="preserve"> Administrative professionals should be able to transition to remote or flexible working easily, since the administrative functions are usually desk-based with little demand for physical presence in the office. It will be more complex for lab technicians who perform manual tasks that require specific machinery and adherence to several laws and regulations. The onsite work for these employees will have greater demands, and the HR needs to find creative solutions to accommodate them by using hybrid models such as some combination of shifts or start and end times that are not fixed</w:t>
      </w:r>
      <w:r w:rsidR="00F613E9">
        <w:rPr>
          <w:rFonts w:ascii="Times New Roman" w:hAnsi="Times New Roman" w:cs="Times New Roman"/>
          <w:sz w:val="24"/>
          <w:szCs w:val="24"/>
        </w:rPr>
        <w:t xml:space="preserve"> (</w:t>
      </w:r>
      <w:r w:rsidR="00F613E9" w:rsidRPr="00F613E9">
        <w:rPr>
          <w:rFonts w:ascii="Times New Roman" w:hAnsi="Times New Roman" w:cs="Times New Roman"/>
          <w:i/>
          <w:iCs/>
          <w:sz w:val="24"/>
          <w:szCs w:val="24"/>
        </w:rPr>
        <w:t>Beardwell, Holden and  Claydon, 2004).</w:t>
      </w:r>
    </w:p>
    <w:p w14:paraId="6031C481" w14:textId="00CFD500" w:rsidR="002F04E4" w:rsidRPr="00624B95" w:rsidRDefault="002F04E4" w:rsidP="002F04E4">
      <w:pPr>
        <w:spacing w:line="360" w:lineRule="auto"/>
        <w:jc w:val="both"/>
        <w:rPr>
          <w:rFonts w:ascii="Times New Roman" w:hAnsi="Times New Roman" w:cs="Times New Roman"/>
          <w:i/>
          <w:iCs/>
          <w:sz w:val="24"/>
          <w:szCs w:val="24"/>
        </w:rPr>
      </w:pPr>
      <w:r>
        <w:rPr>
          <w:rFonts w:ascii="Times New Roman" w:hAnsi="Times New Roman" w:cs="Times New Roman"/>
          <w:sz w:val="24"/>
          <w:szCs w:val="24"/>
        </w:rPr>
        <w:t>Additionally, t</w:t>
      </w:r>
      <w:r w:rsidRPr="002F04E4">
        <w:rPr>
          <w:rFonts w:ascii="Times New Roman" w:hAnsi="Times New Roman" w:cs="Times New Roman"/>
          <w:sz w:val="24"/>
          <w:szCs w:val="24"/>
        </w:rPr>
        <w:t>her</w:t>
      </w:r>
      <w:r>
        <w:rPr>
          <w:rFonts w:ascii="Times New Roman" w:hAnsi="Times New Roman" w:cs="Times New Roman"/>
          <w:sz w:val="24"/>
          <w:szCs w:val="24"/>
        </w:rPr>
        <w:t>e</w:t>
      </w:r>
      <w:r w:rsidRPr="002F04E4">
        <w:rPr>
          <w:rFonts w:ascii="Times New Roman" w:hAnsi="Times New Roman" w:cs="Times New Roman"/>
          <w:sz w:val="24"/>
          <w:szCs w:val="24"/>
        </w:rPr>
        <w:t xml:space="preserve"> also the issue of the many employees who are customer-facing, who work at VialTech’s diagnostic facilities as pathologists, phlebotomists, receptionists, chauffeurs and more. Many of these roles require a physical presence at work  at the diagnostic facilities or at patient’s homes  and constant interaction with patients. The HR team will have to think carefully about how to manage flexible working for these employees who are on the frontline of VialTech’s ongoing commitment to top-notch service. Using a rotating system where staff cycles between days of work and days of rest could ensure there will be enough personnel available to meet patients’ needs, while giving them enough off days.</w:t>
      </w:r>
      <w:r w:rsidR="00624B95" w:rsidRPr="00624B95">
        <w:t xml:space="preserve"> </w:t>
      </w:r>
      <w:r w:rsidR="00624B95" w:rsidRPr="00624B95">
        <w:rPr>
          <w:rFonts w:ascii="Times New Roman" w:hAnsi="Times New Roman" w:cs="Times New Roman"/>
          <w:i/>
          <w:iCs/>
          <w:sz w:val="24"/>
          <w:szCs w:val="24"/>
        </w:rPr>
        <w:t xml:space="preserve">(Schalk, Timmerman and  Van den Heuvel, 2013).  </w:t>
      </w:r>
    </w:p>
    <w:p w14:paraId="1D7681EA" w14:textId="20EA557C" w:rsidR="002F04E4" w:rsidRDefault="002F04E4" w:rsidP="002F04E4">
      <w:pPr>
        <w:spacing w:line="360" w:lineRule="auto"/>
        <w:jc w:val="both"/>
        <w:rPr>
          <w:rFonts w:ascii="Times New Roman" w:hAnsi="Times New Roman" w:cs="Times New Roman"/>
          <w:sz w:val="24"/>
          <w:szCs w:val="24"/>
        </w:rPr>
      </w:pPr>
      <w:r w:rsidRPr="002F04E4">
        <w:rPr>
          <w:rFonts w:ascii="Times New Roman" w:hAnsi="Times New Roman" w:cs="Times New Roman"/>
          <w:sz w:val="24"/>
          <w:szCs w:val="24"/>
        </w:rPr>
        <w:t xml:space="preserve"> Besides having variables related to the specific role, HR is also concerned with broader considerations around employee well-being, communication and collaboration. Especially if remote and flexible working is not managed well, employees can feel isolated, and collaboration can suffer. A key role of HR is to maintain good communication between employees and mix managers and employees, for example through regular check-ins, virtual team meetings or digital collaboration tools</w:t>
      </w:r>
      <w:r w:rsidR="00624B95">
        <w:rPr>
          <w:rFonts w:ascii="Times New Roman" w:hAnsi="Times New Roman" w:cs="Times New Roman"/>
          <w:sz w:val="24"/>
          <w:szCs w:val="24"/>
        </w:rPr>
        <w:t xml:space="preserve"> (</w:t>
      </w:r>
      <w:r w:rsidR="00624B95" w:rsidRPr="00624B95">
        <w:rPr>
          <w:rFonts w:ascii="Times New Roman" w:hAnsi="Times New Roman" w:cs="Times New Roman"/>
          <w:i/>
          <w:iCs/>
          <w:sz w:val="24"/>
          <w:szCs w:val="24"/>
        </w:rPr>
        <w:t>Kelliher and Anderson, 2009)</w:t>
      </w:r>
      <w:r w:rsidR="00624B95">
        <w:rPr>
          <w:rFonts w:ascii="Times New Roman" w:hAnsi="Times New Roman" w:cs="Times New Roman"/>
          <w:i/>
          <w:iCs/>
          <w:sz w:val="24"/>
          <w:szCs w:val="24"/>
        </w:rPr>
        <w:t>.</w:t>
      </w:r>
      <w:r w:rsidR="00624B95">
        <w:rPr>
          <w:rFonts w:ascii="Times New Roman" w:hAnsi="Times New Roman" w:cs="Times New Roman"/>
          <w:sz w:val="24"/>
          <w:szCs w:val="24"/>
        </w:rPr>
        <w:t xml:space="preserve"> </w:t>
      </w:r>
      <w:r w:rsidRPr="002F04E4">
        <w:rPr>
          <w:rFonts w:ascii="Times New Roman" w:hAnsi="Times New Roman" w:cs="Times New Roman"/>
          <w:sz w:val="24"/>
          <w:szCs w:val="24"/>
        </w:rPr>
        <w:t xml:space="preserve"> Employee well-being should be carefully monitored by HR to provide support using, for example, wellness initiatives or mental health initiatives.</w:t>
      </w:r>
    </w:p>
    <w:p w14:paraId="1271CD19" w14:textId="1BA4357B" w:rsidR="002F04E4" w:rsidRPr="00C05B77" w:rsidRDefault="002F04E4" w:rsidP="00C05B77">
      <w:pPr>
        <w:pStyle w:val="Heading2"/>
        <w:rPr>
          <w:b/>
          <w:bCs/>
          <w:i/>
          <w:iCs/>
          <w:color w:val="auto"/>
        </w:rPr>
      </w:pPr>
      <w:bookmarkStart w:id="4" w:name="_Toc174106961"/>
      <w:r w:rsidRPr="00C05B77">
        <w:rPr>
          <w:b/>
          <w:bCs/>
          <w:i/>
          <w:iCs/>
          <w:color w:val="auto"/>
        </w:rPr>
        <w:t>Impact on pay organization</w:t>
      </w:r>
      <w:bookmarkEnd w:id="4"/>
    </w:p>
    <w:p w14:paraId="61FCEC25" w14:textId="5ADD90C5" w:rsidR="00BD3A71" w:rsidRPr="00BD3A71" w:rsidRDefault="00BD3A71" w:rsidP="00BD3A71">
      <w:pPr>
        <w:spacing w:line="360" w:lineRule="auto"/>
        <w:jc w:val="both"/>
        <w:rPr>
          <w:rFonts w:ascii="Times New Roman" w:hAnsi="Times New Roman" w:cs="Times New Roman"/>
          <w:sz w:val="24"/>
          <w:szCs w:val="24"/>
        </w:rPr>
      </w:pPr>
      <w:r w:rsidRPr="00BD3A71">
        <w:rPr>
          <w:rFonts w:ascii="Times New Roman" w:hAnsi="Times New Roman" w:cs="Times New Roman"/>
          <w:sz w:val="24"/>
          <w:szCs w:val="24"/>
        </w:rPr>
        <w:t>In light of the flexi working schedule introduced at VialTech, I would recommend a complete re-evaluation of their pay scale and also possibly some alterations to it. The introduction of flexi work, where people work different shifts and have varying responsibilities, leads to the need for a change in the existing pay scales, which are unlikely to fairly represent all efforts. Hence, the HR has to ensure that the pay structure is fair, impartial, and aligned to the business strategic priorities.</w:t>
      </w:r>
      <w:r>
        <w:rPr>
          <w:rFonts w:ascii="Times New Roman" w:hAnsi="Times New Roman" w:cs="Times New Roman"/>
          <w:sz w:val="24"/>
          <w:szCs w:val="24"/>
        </w:rPr>
        <w:t xml:space="preserve"> </w:t>
      </w:r>
      <w:r w:rsidRPr="00BD3A71">
        <w:rPr>
          <w:rFonts w:ascii="Times New Roman" w:hAnsi="Times New Roman" w:cs="Times New Roman"/>
          <w:sz w:val="24"/>
          <w:szCs w:val="24"/>
        </w:rPr>
        <w:t xml:space="preserve"> Another issue of equality in the company is how to pay workers with non-standard hours such as part-timers</w:t>
      </w:r>
      <w:r w:rsidR="00624B95">
        <w:rPr>
          <w:rFonts w:ascii="Times New Roman" w:hAnsi="Times New Roman" w:cs="Times New Roman"/>
          <w:sz w:val="24"/>
          <w:szCs w:val="24"/>
        </w:rPr>
        <w:t xml:space="preserve"> (</w:t>
      </w:r>
      <w:proofErr w:type="spellStart"/>
      <w:r w:rsidR="00624B95" w:rsidRPr="00624B95">
        <w:rPr>
          <w:rFonts w:ascii="Times New Roman" w:hAnsi="Times New Roman" w:cs="Times New Roman"/>
          <w:i/>
          <w:iCs/>
          <w:sz w:val="24"/>
          <w:szCs w:val="24"/>
        </w:rPr>
        <w:t>Cañibano</w:t>
      </w:r>
      <w:proofErr w:type="spellEnd"/>
      <w:r w:rsidR="00624B95" w:rsidRPr="00624B95">
        <w:rPr>
          <w:rFonts w:ascii="Times New Roman" w:hAnsi="Times New Roman" w:cs="Times New Roman"/>
          <w:i/>
          <w:iCs/>
          <w:sz w:val="24"/>
          <w:szCs w:val="24"/>
        </w:rPr>
        <w:t>, 2011).</w:t>
      </w:r>
      <w:r w:rsidR="00624B95">
        <w:rPr>
          <w:rFonts w:ascii="Times New Roman" w:hAnsi="Times New Roman" w:cs="Times New Roman"/>
          <w:sz w:val="24"/>
          <w:szCs w:val="24"/>
        </w:rPr>
        <w:t xml:space="preserve"> </w:t>
      </w:r>
      <w:r w:rsidRPr="00BD3A71">
        <w:rPr>
          <w:rFonts w:ascii="Times New Roman" w:hAnsi="Times New Roman" w:cs="Times New Roman"/>
          <w:sz w:val="24"/>
          <w:szCs w:val="24"/>
        </w:rPr>
        <w:t>If remote workers are considered as having non-standard hours and more flexible working time, other laboratory technicians or staff working with people as ‘consumers’ who are required to work in the office may feel out of the game. HR might develop its own pay differential scheme, like offering allowances or rewards to those who are required to be physically available at the workplace at certain hours, which will address the problem.</w:t>
      </w:r>
    </w:p>
    <w:p w14:paraId="206A2567" w14:textId="2DA5FC60" w:rsidR="00BD3A71" w:rsidRPr="00624B95" w:rsidRDefault="00BD3A71" w:rsidP="00BD3A71">
      <w:pPr>
        <w:spacing w:line="360" w:lineRule="auto"/>
        <w:jc w:val="both"/>
        <w:rPr>
          <w:rFonts w:ascii="Times New Roman" w:hAnsi="Times New Roman" w:cs="Times New Roman"/>
          <w:i/>
          <w:iCs/>
          <w:sz w:val="24"/>
          <w:szCs w:val="24"/>
        </w:rPr>
      </w:pPr>
      <w:r w:rsidRPr="00BD3A71">
        <w:rPr>
          <w:rFonts w:ascii="Times New Roman" w:hAnsi="Times New Roman" w:cs="Times New Roman"/>
          <w:sz w:val="24"/>
          <w:szCs w:val="24"/>
        </w:rPr>
        <w:t xml:space="preserve"> Furthermore, HR also needs to assess, in the framework of a flexible work plan, the appropriateness of performance-based pay systems which link employee compensation to performance and output instead of hours put in only. This will help VialTech to trigger production and create fair incentives for its employees. Since this system gives the value created priority over time spent, it might also help to reduce any potential differences across different types of employees</w:t>
      </w:r>
      <w:r w:rsidR="00624B95">
        <w:rPr>
          <w:rFonts w:ascii="Times New Roman" w:hAnsi="Times New Roman" w:cs="Times New Roman"/>
          <w:sz w:val="24"/>
          <w:szCs w:val="24"/>
        </w:rPr>
        <w:t xml:space="preserve"> (</w:t>
      </w:r>
      <w:r w:rsidR="00624B95" w:rsidRPr="00624B95">
        <w:rPr>
          <w:rFonts w:ascii="Times New Roman" w:hAnsi="Times New Roman" w:cs="Times New Roman"/>
          <w:i/>
          <w:iCs/>
          <w:sz w:val="24"/>
          <w:szCs w:val="24"/>
        </w:rPr>
        <w:t>Grant, Wallace and Spurgeon, 2013).</w:t>
      </w:r>
    </w:p>
    <w:p w14:paraId="1062B7B7" w14:textId="50C1F4B8" w:rsidR="002F04E4" w:rsidRDefault="00BD3A71" w:rsidP="00BD3A71">
      <w:pPr>
        <w:spacing w:line="360" w:lineRule="auto"/>
        <w:jc w:val="both"/>
        <w:rPr>
          <w:rFonts w:ascii="Times New Roman" w:hAnsi="Times New Roman" w:cs="Times New Roman"/>
          <w:sz w:val="24"/>
          <w:szCs w:val="24"/>
        </w:rPr>
      </w:pPr>
      <w:r w:rsidRPr="00BD3A71">
        <w:rPr>
          <w:rFonts w:ascii="Times New Roman" w:hAnsi="Times New Roman" w:cs="Times New Roman"/>
          <w:sz w:val="24"/>
          <w:szCs w:val="24"/>
        </w:rPr>
        <w:t>Clear and precise information on any changes to the model will be necessary at last, as will be the ability to provide objective and transparent justification of the implemented changes. HR should be ready to explain in detail to employees how the new compensation models are devised so as to prevent any allegations of injustice and unquotability. VialTech will be capable of preserving pay as a means of motivation and retention by linking the salary structure to the flexible work model  thereby safeguarding employees’ morale.</w:t>
      </w:r>
    </w:p>
    <w:p w14:paraId="1F842D27" w14:textId="51E4B846" w:rsidR="00BD3A71" w:rsidRPr="00C05B77" w:rsidRDefault="00BD3A71" w:rsidP="00C05B77">
      <w:pPr>
        <w:pStyle w:val="Heading2"/>
        <w:rPr>
          <w:b/>
          <w:bCs/>
          <w:i/>
          <w:iCs/>
          <w:color w:val="auto"/>
        </w:rPr>
      </w:pPr>
      <w:bookmarkStart w:id="5" w:name="_Toc174106962"/>
      <w:r w:rsidRPr="00C05B77">
        <w:rPr>
          <w:b/>
          <w:bCs/>
          <w:i/>
          <w:iCs/>
          <w:color w:val="auto"/>
        </w:rPr>
        <w:t>Approaches to promote employee engagement</w:t>
      </w:r>
      <w:bookmarkEnd w:id="5"/>
    </w:p>
    <w:p w14:paraId="471882A5" w14:textId="0B3AAA92" w:rsidR="00BD3A71" w:rsidRPr="00624B95" w:rsidRDefault="00BD3A71" w:rsidP="00BD3A71">
      <w:pPr>
        <w:spacing w:line="360" w:lineRule="auto"/>
        <w:jc w:val="both"/>
        <w:rPr>
          <w:rFonts w:ascii="Times New Roman" w:hAnsi="Times New Roman" w:cs="Times New Roman"/>
          <w:i/>
          <w:iCs/>
          <w:sz w:val="24"/>
          <w:szCs w:val="24"/>
        </w:rPr>
      </w:pPr>
      <w:r w:rsidRPr="00BD3A71">
        <w:rPr>
          <w:rFonts w:ascii="Times New Roman" w:hAnsi="Times New Roman" w:cs="Times New Roman"/>
          <w:sz w:val="24"/>
          <w:szCs w:val="24"/>
        </w:rPr>
        <w:t>Making sure that production continues and that VialTech meets organisational goals hinges on not only fostering but also maintaining staff engagement as and more the norm. Whether staff are working from home, on-site or in a hybrid model, HR departments need to employ the tactics of fostering connectedness, motivation and commitment among workers to meet the challenges of different working conditions</w:t>
      </w:r>
      <w:r w:rsidR="00624B95">
        <w:rPr>
          <w:rFonts w:ascii="Times New Roman" w:hAnsi="Times New Roman" w:cs="Times New Roman"/>
          <w:sz w:val="24"/>
          <w:szCs w:val="24"/>
        </w:rPr>
        <w:t xml:space="preserve"> (</w:t>
      </w:r>
      <w:proofErr w:type="spellStart"/>
      <w:r w:rsidR="00624B95" w:rsidRPr="00624B95">
        <w:rPr>
          <w:rFonts w:ascii="Times New Roman" w:hAnsi="Times New Roman" w:cs="Times New Roman"/>
          <w:i/>
          <w:iCs/>
          <w:sz w:val="24"/>
          <w:szCs w:val="24"/>
        </w:rPr>
        <w:t>Febriansyah</w:t>
      </w:r>
      <w:proofErr w:type="spellEnd"/>
      <w:r w:rsidR="00624B95" w:rsidRPr="00624B95">
        <w:rPr>
          <w:rFonts w:ascii="Times New Roman" w:hAnsi="Times New Roman" w:cs="Times New Roman"/>
          <w:i/>
          <w:iCs/>
          <w:sz w:val="24"/>
          <w:szCs w:val="24"/>
        </w:rPr>
        <w:t>, 2010).</w:t>
      </w:r>
    </w:p>
    <w:p w14:paraId="245B4243" w14:textId="3428B517" w:rsidR="00BD3A71" w:rsidRPr="00BD3A71" w:rsidRDefault="00BD3A71" w:rsidP="00BD3A71">
      <w:pPr>
        <w:spacing w:line="360" w:lineRule="auto"/>
        <w:jc w:val="both"/>
        <w:rPr>
          <w:rFonts w:ascii="Times New Roman" w:hAnsi="Times New Roman" w:cs="Times New Roman"/>
          <w:sz w:val="24"/>
          <w:szCs w:val="24"/>
        </w:rPr>
      </w:pPr>
      <w:r w:rsidRPr="00BD3A71">
        <w:rPr>
          <w:rFonts w:ascii="Times New Roman" w:hAnsi="Times New Roman" w:cs="Times New Roman"/>
          <w:sz w:val="24"/>
          <w:szCs w:val="24"/>
        </w:rPr>
        <w:t xml:space="preserve"> It is important to keep the staff members informed and connected. It can be achieved by creating effective communication lifelines. By holding frequent online meetings between employees, both team specific and companywide, the HR department could make sure that every member of the staff feels connected to the company and is kept informed about updates. Updates both at the team and company levels. Online tools such as Slack or Microsoft teams could be leveraged to create better communication and collaboration among employees, especially the ones who works remotely</w:t>
      </w:r>
      <w:r w:rsidR="00624B95">
        <w:rPr>
          <w:rFonts w:ascii="Times New Roman" w:hAnsi="Times New Roman" w:cs="Times New Roman"/>
          <w:sz w:val="24"/>
          <w:szCs w:val="24"/>
        </w:rPr>
        <w:t xml:space="preserve"> (</w:t>
      </w:r>
      <w:r w:rsidR="00624B95" w:rsidRPr="00624B95">
        <w:rPr>
          <w:rFonts w:ascii="Times New Roman" w:hAnsi="Times New Roman" w:cs="Times New Roman"/>
          <w:i/>
          <w:iCs/>
          <w:sz w:val="24"/>
          <w:szCs w:val="24"/>
        </w:rPr>
        <w:t>Chandani,  Mehta and Mall, 2019).</w:t>
      </w:r>
      <w:r w:rsidR="00624B95">
        <w:rPr>
          <w:rFonts w:ascii="Times New Roman" w:hAnsi="Times New Roman" w:cs="Times New Roman"/>
          <w:sz w:val="24"/>
          <w:szCs w:val="24"/>
        </w:rPr>
        <w:t xml:space="preserve"> </w:t>
      </w:r>
      <w:r w:rsidRPr="00BD3A71">
        <w:rPr>
          <w:rFonts w:ascii="Times New Roman" w:hAnsi="Times New Roman" w:cs="Times New Roman"/>
          <w:sz w:val="24"/>
          <w:szCs w:val="24"/>
        </w:rPr>
        <w:t xml:space="preserve"> Sending good and constant communication from the top management about the path and objectives of the company is also essential to maintaining the peace and motivation among employees.</w:t>
      </w:r>
    </w:p>
    <w:p w14:paraId="590993EC" w14:textId="185AD6D1" w:rsidR="00BD3A71" w:rsidRDefault="00BD3A71" w:rsidP="00BD3A71">
      <w:pPr>
        <w:spacing w:line="360" w:lineRule="auto"/>
        <w:jc w:val="both"/>
        <w:rPr>
          <w:rFonts w:ascii="Times New Roman" w:hAnsi="Times New Roman" w:cs="Times New Roman"/>
          <w:sz w:val="24"/>
          <w:szCs w:val="24"/>
        </w:rPr>
      </w:pPr>
      <w:r w:rsidRPr="00BD3A71">
        <w:rPr>
          <w:rFonts w:ascii="Times New Roman" w:hAnsi="Times New Roman" w:cs="Times New Roman"/>
          <w:sz w:val="24"/>
          <w:szCs w:val="24"/>
        </w:rPr>
        <w:t xml:space="preserve"> This also affects retention of engagement, especially in a remote working environment where employees might feel isolated.</w:t>
      </w:r>
      <w:r>
        <w:rPr>
          <w:rFonts w:ascii="Times New Roman" w:hAnsi="Times New Roman" w:cs="Times New Roman"/>
          <w:sz w:val="24"/>
          <w:szCs w:val="24"/>
        </w:rPr>
        <w:t xml:space="preserve"> Also, r</w:t>
      </w:r>
      <w:r w:rsidRPr="00BD3A71">
        <w:rPr>
          <w:rFonts w:ascii="Times New Roman" w:hAnsi="Times New Roman" w:cs="Times New Roman"/>
          <w:sz w:val="24"/>
          <w:szCs w:val="24"/>
        </w:rPr>
        <w:t>egardless of where the work is being done, I recommend VialTech to have some kind of recognition program. Some examples may include calling out projects or tasks as a team that were achieved well, or a monthly reward, or a peer-to-peer system where employees can give awards and recognition to their fellow employees to value one another</w:t>
      </w:r>
      <w:r w:rsidR="00624B95">
        <w:rPr>
          <w:rFonts w:ascii="Times New Roman" w:hAnsi="Times New Roman" w:cs="Times New Roman"/>
          <w:sz w:val="24"/>
          <w:szCs w:val="24"/>
        </w:rPr>
        <w:t xml:space="preserve"> </w:t>
      </w:r>
      <w:r w:rsidR="00624B95" w:rsidRPr="00624B95">
        <w:rPr>
          <w:rFonts w:ascii="Times New Roman" w:hAnsi="Times New Roman" w:cs="Times New Roman"/>
          <w:i/>
          <w:iCs/>
          <w:sz w:val="24"/>
          <w:szCs w:val="24"/>
        </w:rPr>
        <w:t>(</w:t>
      </w:r>
      <w:proofErr w:type="spellStart"/>
      <w:r w:rsidR="00624B95" w:rsidRPr="00624B95">
        <w:rPr>
          <w:rFonts w:ascii="Times New Roman" w:hAnsi="Times New Roman" w:cs="Times New Roman"/>
          <w:i/>
          <w:iCs/>
          <w:sz w:val="24"/>
          <w:szCs w:val="24"/>
        </w:rPr>
        <w:t>Febriansyah</w:t>
      </w:r>
      <w:proofErr w:type="spellEnd"/>
      <w:r w:rsidR="00624B95" w:rsidRPr="00624B95">
        <w:rPr>
          <w:rFonts w:ascii="Times New Roman" w:hAnsi="Times New Roman" w:cs="Times New Roman"/>
          <w:i/>
          <w:iCs/>
          <w:sz w:val="24"/>
          <w:szCs w:val="24"/>
        </w:rPr>
        <w:t>, 2010</w:t>
      </w:r>
      <w:r w:rsidR="00624B95" w:rsidRPr="00624B95">
        <w:rPr>
          <w:rFonts w:ascii="Times New Roman" w:hAnsi="Times New Roman" w:cs="Times New Roman"/>
          <w:sz w:val="24"/>
          <w:szCs w:val="24"/>
        </w:rPr>
        <w:t>).</w:t>
      </w:r>
      <w:r w:rsidR="00624B95">
        <w:rPr>
          <w:rFonts w:ascii="Times New Roman" w:hAnsi="Times New Roman" w:cs="Times New Roman"/>
          <w:sz w:val="24"/>
          <w:szCs w:val="24"/>
        </w:rPr>
        <w:t xml:space="preserve"> </w:t>
      </w:r>
      <w:r w:rsidRPr="00BD3A71">
        <w:rPr>
          <w:rFonts w:ascii="Times New Roman" w:hAnsi="Times New Roman" w:cs="Times New Roman"/>
          <w:sz w:val="24"/>
          <w:szCs w:val="24"/>
        </w:rPr>
        <w:t>Making sure employees know that their effort is appreciated when a task is accomplished will make them feel valued and motivated, which helps them continue to perform at an exceptional level.</w:t>
      </w:r>
    </w:p>
    <w:p w14:paraId="1976DF83" w14:textId="7913A495" w:rsidR="00BD3A71" w:rsidRPr="00C05B77" w:rsidRDefault="00BD3A71" w:rsidP="00BD3A71">
      <w:pPr>
        <w:spacing w:line="360" w:lineRule="auto"/>
        <w:jc w:val="both"/>
        <w:rPr>
          <w:rFonts w:ascii="Times New Roman" w:hAnsi="Times New Roman" w:cs="Times New Roman"/>
          <w:i/>
          <w:iCs/>
          <w:sz w:val="24"/>
          <w:szCs w:val="24"/>
        </w:rPr>
      </w:pPr>
      <w:r w:rsidRPr="00BD3A71">
        <w:rPr>
          <w:rFonts w:ascii="Times New Roman" w:hAnsi="Times New Roman" w:cs="Times New Roman"/>
          <w:sz w:val="24"/>
          <w:szCs w:val="24"/>
        </w:rPr>
        <w:t xml:space="preserve"> An additional effective method of engaging employees is giving them an opportunity for professional development. VialTech offers its employees online training courses, webinars and seminars as a way to assist in their professional development whenever it can be the most suitable time for it. By investing in its employees’ professional development, VialTech not only gives them an opportunity, but also demonstrates its desire to their employees’ career growth which encourages stronger loyalty and engagement</w:t>
      </w:r>
      <w:r w:rsidR="00624B95">
        <w:rPr>
          <w:rFonts w:ascii="Times New Roman" w:hAnsi="Times New Roman" w:cs="Times New Roman"/>
          <w:sz w:val="24"/>
          <w:szCs w:val="24"/>
        </w:rPr>
        <w:t xml:space="preserve"> (</w:t>
      </w:r>
      <w:r w:rsidR="00624B95" w:rsidRPr="00624B95">
        <w:rPr>
          <w:rFonts w:ascii="Times New Roman" w:hAnsi="Times New Roman" w:cs="Times New Roman"/>
          <w:i/>
          <w:iCs/>
          <w:sz w:val="24"/>
          <w:szCs w:val="24"/>
        </w:rPr>
        <w:t>McCutcheon, 2019</w:t>
      </w:r>
      <w:r w:rsidR="00624B95">
        <w:rPr>
          <w:rFonts w:ascii="Times New Roman" w:hAnsi="Times New Roman" w:cs="Times New Roman"/>
          <w:sz w:val="24"/>
          <w:szCs w:val="24"/>
        </w:rPr>
        <w:t>).</w:t>
      </w:r>
      <w:r>
        <w:rPr>
          <w:rFonts w:ascii="Times New Roman" w:hAnsi="Times New Roman" w:cs="Times New Roman"/>
          <w:sz w:val="24"/>
          <w:szCs w:val="24"/>
        </w:rPr>
        <w:t xml:space="preserve"> Additionally,  e</w:t>
      </w:r>
      <w:r w:rsidRPr="00BD3A71">
        <w:rPr>
          <w:rFonts w:ascii="Times New Roman" w:hAnsi="Times New Roman" w:cs="Times New Roman"/>
          <w:sz w:val="24"/>
          <w:szCs w:val="24"/>
        </w:rPr>
        <w:t>ase and engagement go hand in hand, and so HR should put priority on initiatives that help to enhance mental and physical health. Often, the use of flexible working hides the boundaries between our professional and personal life: work can become too demanding, to the detriment of our mental and physical wellbeing. With VialTech, we can offer wellness programs, such as virtual exercise sessions, mental health support, and frequent wellness checks. Promoting regular holidays and breaks can also help to prevent burnout and maintain consistent long-term output among employees</w:t>
      </w:r>
      <w:r w:rsidR="00C05B77">
        <w:rPr>
          <w:rFonts w:ascii="Times New Roman" w:hAnsi="Times New Roman" w:cs="Times New Roman"/>
          <w:sz w:val="24"/>
          <w:szCs w:val="24"/>
        </w:rPr>
        <w:t xml:space="preserve"> (</w:t>
      </w:r>
      <w:r w:rsidR="00C05B77" w:rsidRPr="00C05B77">
        <w:rPr>
          <w:rFonts w:ascii="Times New Roman" w:hAnsi="Times New Roman" w:cs="Times New Roman"/>
          <w:i/>
          <w:iCs/>
          <w:sz w:val="24"/>
          <w:szCs w:val="24"/>
        </w:rPr>
        <w:t xml:space="preserve">Henry, 2020). </w:t>
      </w:r>
    </w:p>
    <w:p w14:paraId="620F2369" w14:textId="15CA3D76" w:rsidR="00BD3A71" w:rsidRDefault="00BD3A71" w:rsidP="00BD3A71">
      <w:pPr>
        <w:spacing w:line="360" w:lineRule="auto"/>
        <w:jc w:val="both"/>
        <w:rPr>
          <w:rFonts w:ascii="Times New Roman" w:hAnsi="Times New Roman" w:cs="Times New Roman"/>
          <w:sz w:val="24"/>
          <w:szCs w:val="24"/>
        </w:rPr>
      </w:pPr>
      <w:r w:rsidRPr="00BD3A71">
        <w:rPr>
          <w:rFonts w:ascii="Times New Roman" w:hAnsi="Times New Roman" w:cs="Times New Roman"/>
          <w:sz w:val="24"/>
          <w:szCs w:val="24"/>
        </w:rPr>
        <w:t xml:space="preserve"> In a flexible workplace structure, keeping the organisational culture firm is very important to create a sense of community. To create a sense of belonging, employees to join the clubs that they are interested in, take part in the teamwork and play some web social events arranged by the HR department</w:t>
      </w:r>
      <w:r w:rsidR="00C05B77">
        <w:rPr>
          <w:rFonts w:ascii="Times New Roman" w:hAnsi="Times New Roman" w:cs="Times New Roman"/>
          <w:sz w:val="24"/>
          <w:szCs w:val="24"/>
        </w:rPr>
        <w:t xml:space="preserve"> (</w:t>
      </w:r>
      <w:r w:rsidR="00C05B77" w:rsidRPr="00C05B77">
        <w:rPr>
          <w:rFonts w:ascii="Times New Roman" w:hAnsi="Times New Roman" w:cs="Times New Roman"/>
          <w:i/>
          <w:iCs/>
          <w:sz w:val="24"/>
          <w:szCs w:val="24"/>
        </w:rPr>
        <w:t>Nienaber and Martins, 2019</w:t>
      </w:r>
      <w:r w:rsidR="00C05B77">
        <w:rPr>
          <w:rFonts w:ascii="Times New Roman" w:hAnsi="Times New Roman" w:cs="Times New Roman"/>
          <w:sz w:val="24"/>
          <w:szCs w:val="24"/>
        </w:rPr>
        <w:t xml:space="preserve">). </w:t>
      </w:r>
      <w:r w:rsidRPr="00BD3A71">
        <w:rPr>
          <w:rFonts w:ascii="Times New Roman" w:hAnsi="Times New Roman" w:cs="Times New Roman"/>
          <w:sz w:val="24"/>
          <w:szCs w:val="24"/>
        </w:rPr>
        <w:t>The interpersonal relationships and a feeling of inclusion are requisite for employees not drifting away, so the above initiatives are helpful to build both.</w:t>
      </w:r>
      <w:r>
        <w:rPr>
          <w:rFonts w:ascii="Times New Roman" w:hAnsi="Times New Roman" w:cs="Times New Roman"/>
          <w:sz w:val="24"/>
          <w:szCs w:val="24"/>
        </w:rPr>
        <w:t xml:space="preserve"> Also, t</w:t>
      </w:r>
      <w:r w:rsidRPr="00BD3A71">
        <w:rPr>
          <w:rFonts w:ascii="Times New Roman" w:hAnsi="Times New Roman" w:cs="Times New Roman"/>
          <w:sz w:val="24"/>
          <w:szCs w:val="24"/>
        </w:rPr>
        <w:t>hese steps will help VialTech provide high levels of engagement, motivation and commitment, regardless of the turnover in personnel, to continually servicing the changing work styles of its customers.</w:t>
      </w:r>
    </w:p>
    <w:p w14:paraId="7079E1EC" w14:textId="40334772" w:rsidR="00D27F42" w:rsidRPr="00C05B77" w:rsidRDefault="00D27F42" w:rsidP="00C05B77">
      <w:pPr>
        <w:pStyle w:val="Heading1"/>
        <w:rPr>
          <w:b/>
          <w:bCs/>
          <w:color w:val="auto"/>
        </w:rPr>
      </w:pPr>
      <w:bookmarkStart w:id="6" w:name="_Toc174106963"/>
      <w:r w:rsidRPr="00C05B77">
        <w:rPr>
          <w:b/>
          <w:bCs/>
          <w:color w:val="auto"/>
        </w:rPr>
        <w:t>Conclusion</w:t>
      </w:r>
      <w:bookmarkEnd w:id="6"/>
      <w:r w:rsidRPr="00C05B77">
        <w:rPr>
          <w:b/>
          <w:bCs/>
          <w:color w:val="auto"/>
        </w:rPr>
        <w:t xml:space="preserve"> </w:t>
      </w:r>
    </w:p>
    <w:p w14:paraId="44B6D9C3" w14:textId="0FD8E519" w:rsidR="00D27F42" w:rsidRPr="00D27F42" w:rsidRDefault="00D27F42" w:rsidP="00D27F42">
      <w:pPr>
        <w:spacing w:line="360" w:lineRule="auto"/>
        <w:jc w:val="both"/>
        <w:rPr>
          <w:rFonts w:ascii="Times New Roman" w:hAnsi="Times New Roman" w:cs="Times New Roman"/>
          <w:sz w:val="24"/>
          <w:szCs w:val="24"/>
        </w:rPr>
      </w:pPr>
      <w:r w:rsidRPr="00D27F42">
        <w:rPr>
          <w:rFonts w:ascii="Times New Roman" w:hAnsi="Times New Roman" w:cs="Times New Roman"/>
          <w:sz w:val="24"/>
          <w:szCs w:val="24"/>
        </w:rPr>
        <w:t>All things considered, flexible working hours at VialTech would be a great approach to raise staff morale, boost output, and improve the company's standing in the very competitive diagnostic testing industry. Whether the HR department can distinguish between different needs of a diverse group of employees</w:t>
      </w:r>
      <w:r>
        <w:rPr>
          <w:rFonts w:ascii="Times New Roman" w:hAnsi="Times New Roman" w:cs="Times New Roman"/>
          <w:sz w:val="24"/>
          <w:szCs w:val="24"/>
        </w:rPr>
        <w:t xml:space="preserve"> </w:t>
      </w:r>
      <w:r w:rsidRPr="00D27F42">
        <w:rPr>
          <w:rFonts w:ascii="Times New Roman" w:hAnsi="Times New Roman" w:cs="Times New Roman"/>
          <w:sz w:val="24"/>
          <w:szCs w:val="24"/>
        </w:rPr>
        <w:t>that is, administrative staff who answer calls, lab technicians handling heavy equipment and require special clothing, and customer-facing staff performing most of their work during regular office hours</w:t>
      </w:r>
      <w:r>
        <w:rPr>
          <w:rFonts w:ascii="Times New Roman" w:hAnsi="Times New Roman" w:cs="Times New Roman"/>
          <w:sz w:val="24"/>
          <w:szCs w:val="24"/>
        </w:rPr>
        <w:t xml:space="preserve"> </w:t>
      </w:r>
      <w:r w:rsidRPr="00D27F42">
        <w:rPr>
          <w:rFonts w:ascii="Times New Roman" w:hAnsi="Times New Roman" w:cs="Times New Roman"/>
          <w:sz w:val="24"/>
          <w:szCs w:val="24"/>
        </w:rPr>
        <w:t xml:space="preserve">will determine whether this flexible work schedule results in positive outcomes. VialTech might uniquely customise the regulations, change employee remuneration to be fairer, and utilise interventions to keep high degree of employee participation, thereby preserving a flexible working environment that both supports workers' welfare and helps organisational objectives. </w:t>
      </w:r>
    </w:p>
    <w:p w14:paraId="252669E1" w14:textId="0ED9B698" w:rsidR="00D27F42" w:rsidRDefault="00D27F42" w:rsidP="00D27F42">
      <w:pPr>
        <w:spacing w:line="360" w:lineRule="auto"/>
        <w:jc w:val="both"/>
        <w:rPr>
          <w:rFonts w:ascii="Times New Roman" w:hAnsi="Times New Roman" w:cs="Times New Roman"/>
          <w:sz w:val="24"/>
          <w:szCs w:val="24"/>
        </w:rPr>
      </w:pPr>
      <w:r w:rsidRPr="00D27F42">
        <w:rPr>
          <w:rFonts w:ascii="Times New Roman" w:hAnsi="Times New Roman" w:cs="Times New Roman"/>
          <w:sz w:val="24"/>
          <w:szCs w:val="24"/>
        </w:rPr>
        <w:t xml:space="preserve"> Flexible working presents various difficulties for VialTech, which must thus carefully and be aware of these possible communication problems as well as the requirement of compensation. VialTech can guarantee that its staff members remain highly motivated, engaged and dedicated to the success of the business, nevertheless, by establishing a pleasant and inclusive working environment. Long term, this will provide a long-term competitive advantage and improved business performance. </w:t>
      </w:r>
    </w:p>
    <w:p w14:paraId="606DED92" w14:textId="77777777" w:rsidR="00C05B77" w:rsidRDefault="00C05B77" w:rsidP="00D27F42">
      <w:pPr>
        <w:spacing w:line="360" w:lineRule="auto"/>
        <w:jc w:val="both"/>
        <w:rPr>
          <w:rFonts w:ascii="Times New Roman" w:hAnsi="Times New Roman" w:cs="Times New Roman"/>
          <w:sz w:val="24"/>
          <w:szCs w:val="24"/>
        </w:rPr>
      </w:pPr>
    </w:p>
    <w:p w14:paraId="54EBB425" w14:textId="77777777" w:rsidR="00C05B77" w:rsidRDefault="00C05B77" w:rsidP="00D27F42">
      <w:pPr>
        <w:spacing w:line="360" w:lineRule="auto"/>
        <w:jc w:val="both"/>
        <w:rPr>
          <w:rFonts w:ascii="Times New Roman" w:hAnsi="Times New Roman" w:cs="Times New Roman"/>
          <w:sz w:val="24"/>
          <w:szCs w:val="24"/>
        </w:rPr>
      </w:pPr>
    </w:p>
    <w:p w14:paraId="2851257C" w14:textId="77777777" w:rsidR="00C05B77" w:rsidRDefault="00C05B77" w:rsidP="00D27F42">
      <w:pPr>
        <w:spacing w:line="360" w:lineRule="auto"/>
        <w:jc w:val="both"/>
        <w:rPr>
          <w:rFonts w:ascii="Times New Roman" w:hAnsi="Times New Roman" w:cs="Times New Roman"/>
          <w:sz w:val="24"/>
          <w:szCs w:val="24"/>
        </w:rPr>
      </w:pPr>
    </w:p>
    <w:p w14:paraId="4A25E273" w14:textId="77777777" w:rsidR="00C05B77" w:rsidRDefault="00C05B77" w:rsidP="00D27F42">
      <w:pPr>
        <w:spacing w:line="360" w:lineRule="auto"/>
        <w:jc w:val="both"/>
        <w:rPr>
          <w:rFonts w:ascii="Times New Roman" w:hAnsi="Times New Roman" w:cs="Times New Roman"/>
          <w:sz w:val="24"/>
          <w:szCs w:val="24"/>
        </w:rPr>
      </w:pPr>
    </w:p>
    <w:p w14:paraId="3830646F" w14:textId="77777777" w:rsidR="00C05B77" w:rsidRDefault="00C05B77" w:rsidP="00D27F42">
      <w:pPr>
        <w:spacing w:line="360" w:lineRule="auto"/>
        <w:jc w:val="both"/>
        <w:rPr>
          <w:rFonts w:ascii="Times New Roman" w:hAnsi="Times New Roman" w:cs="Times New Roman"/>
          <w:sz w:val="24"/>
          <w:szCs w:val="24"/>
        </w:rPr>
      </w:pPr>
    </w:p>
    <w:p w14:paraId="4A681CE5" w14:textId="77777777" w:rsidR="00C05B77" w:rsidRDefault="00C05B77" w:rsidP="00D27F42">
      <w:pPr>
        <w:spacing w:line="360" w:lineRule="auto"/>
        <w:jc w:val="both"/>
        <w:rPr>
          <w:rFonts w:ascii="Times New Roman" w:hAnsi="Times New Roman" w:cs="Times New Roman"/>
          <w:sz w:val="24"/>
          <w:szCs w:val="24"/>
        </w:rPr>
      </w:pPr>
    </w:p>
    <w:p w14:paraId="2613F591" w14:textId="77777777" w:rsidR="00C05B77" w:rsidRDefault="00C05B77" w:rsidP="00D27F42">
      <w:pPr>
        <w:spacing w:line="360" w:lineRule="auto"/>
        <w:jc w:val="both"/>
        <w:rPr>
          <w:rFonts w:ascii="Times New Roman" w:hAnsi="Times New Roman" w:cs="Times New Roman"/>
          <w:sz w:val="24"/>
          <w:szCs w:val="24"/>
        </w:rPr>
      </w:pPr>
    </w:p>
    <w:p w14:paraId="00E4EC4A" w14:textId="77777777" w:rsidR="00C05B77" w:rsidRDefault="00C05B77" w:rsidP="00D27F42">
      <w:pPr>
        <w:spacing w:line="360" w:lineRule="auto"/>
        <w:jc w:val="both"/>
        <w:rPr>
          <w:rFonts w:ascii="Times New Roman" w:hAnsi="Times New Roman" w:cs="Times New Roman"/>
          <w:sz w:val="24"/>
          <w:szCs w:val="24"/>
        </w:rPr>
      </w:pPr>
    </w:p>
    <w:p w14:paraId="4612F951" w14:textId="77777777" w:rsidR="00C05B77" w:rsidRDefault="00C05B77" w:rsidP="00D27F42">
      <w:pPr>
        <w:spacing w:line="360" w:lineRule="auto"/>
        <w:jc w:val="both"/>
        <w:rPr>
          <w:rFonts w:ascii="Times New Roman" w:hAnsi="Times New Roman" w:cs="Times New Roman"/>
          <w:sz w:val="24"/>
          <w:szCs w:val="24"/>
        </w:rPr>
      </w:pPr>
    </w:p>
    <w:p w14:paraId="777EC058" w14:textId="77777777" w:rsidR="00C05B77" w:rsidRDefault="00C05B77" w:rsidP="00D27F42">
      <w:pPr>
        <w:spacing w:line="360" w:lineRule="auto"/>
        <w:jc w:val="both"/>
        <w:rPr>
          <w:rFonts w:ascii="Times New Roman" w:hAnsi="Times New Roman" w:cs="Times New Roman"/>
          <w:sz w:val="24"/>
          <w:szCs w:val="24"/>
        </w:rPr>
      </w:pPr>
    </w:p>
    <w:p w14:paraId="7CF8B9EF" w14:textId="77777777" w:rsidR="00C05B77" w:rsidRDefault="00C05B77" w:rsidP="00D27F42">
      <w:pPr>
        <w:spacing w:line="360" w:lineRule="auto"/>
        <w:jc w:val="both"/>
        <w:rPr>
          <w:rFonts w:ascii="Times New Roman" w:hAnsi="Times New Roman" w:cs="Times New Roman"/>
          <w:sz w:val="24"/>
          <w:szCs w:val="24"/>
        </w:rPr>
      </w:pPr>
    </w:p>
    <w:p w14:paraId="7E91D02F" w14:textId="77777777" w:rsidR="00C05B77" w:rsidRDefault="00C05B77" w:rsidP="00D27F42">
      <w:pPr>
        <w:spacing w:line="360" w:lineRule="auto"/>
        <w:jc w:val="both"/>
        <w:rPr>
          <w:rFonts w:ascii="Times New Roman" w:hAnsi="Times New Roman" w:cs="Times New Roman"/>
          <w:sz w:val="24"/>
          <w:szCs w:val="24"/>
        </w:rPr>
      </w:pPr>
    </w:p>
    <w:p w14:paraId="22AEBD4D" w14:textId="77777777" w:rsidR="00C05B77" w:rsidRDefault="00C05B77" w:rsidP="00D27F42">
      <w:pPr>
        <w:spacing w:line="360" w:lineRule="auto"/>
        <w:jc w:val="both"/>
        <w:rPr>
          <w:rFonts w:ascii="Times New Roman" w:hAnsi="Times New Roman" w:cs="Times New Roman"/>
          <w:sz w:val="24"/>
          <w:szCs w:val="24"/>
        </w:rPr>
      </w:pPr>
    </w:p>
    <w:p w14:paraId="4C98B13B" w14:textId="77777777" w:rsidR="00C05B77" w:rsidRDefault="00C05B77" w:rsidP="00D27F42">
      <w:pPr>
        <w:spacing w:line="360" w:lineRule="auto"/>
        <w:jc w:val="both"/>
        <w:rPr>
          <w:rFonts w:ascii="Times New Roman" w:hAnsi="Times New Roman" w:cs="Times New Roman"/>
          <w:sz w:val="24"/>
          <w:szCs w:val="24"/>
        </w:rPr>
      </w:pPr>
    </w:p>
    <w:p w14:paraId="1AB153DE" w14:textId="77777777" w:rsidR="00C05B77" w:rsidRDefault="00C05B77" w:rsidP="00D27F42">
      <w:pPr>
        <w:spacing w:line="360" w:lineRule="auto"/>
        <w:jc w:val="both"/>
        <w:rPr>
          <w:rFonts w:ascii="Times New Roman" w:hAnsi="Times New Roman" w:cs="Times New Roman"/>
          <w:sz w:val="24"/>
          <w:szCs w:val="24"/>
        </w:rPr>
      </w:pPr>
    </w:p>
    <w:p w14:paraId="1C466715" w14:textId="77777777" w:rsidR="00C05B77" w:rsidRDefault="00C05B77" w:rsidP="00D27F42">
      <w:pPr>
        <w:spacing w:line="360" w:lineRule="auto"/>
        <w:jc w:val="both"/>
        <w:rPr>
          <w:rFonts w:ascii="Times New Roman" w:hAnsi="Times New Roman" w:cs="Times New Roman"/>
          <w:sz w:val="24"/>
          <w:szCs w:val="24"/>
        </w:rPr>
      </w:pPr>
    </w:p>
    <w:p w14:paraId="5096EEC4" w14:textId="77777777" w:rsidR="00C05B77" w:rsidRDefault="00C05B77" w:rsidP="00D27F42">
      <w:pPr>
        <w:spacing w:line="360" w:lineRule="auto"/>
        <w:jc w:val="both"/>
        <w:rPr>
          <w:rFonts w:ascii="Times New Roman" w:hAnsi="Times New Roman" w:cs="Times New Roman"/>
          <w:sz w:val="24"/>
          <w:szCs w:val="24"/>
        </w:rPr>
      </w:pPr>
    </w:p>
    <w:p w14:paraId="02883C64" w14:textId="77777777" w:rsidR="00C05B77" w:rsidRDefault="00C05B77" w:rsidP="00D27F42">
      <w:pPr>
        <w:spacing w:line="360" w:lineRule="auto"/>
        <w:jc w:val="both"/>
        <w:rPr>
          <w:rFonts w:ascii="Times New Roman" w:hAnsi="Times New Roman" w:cs="Times New Roman"/>
          <w:sz w:val="24"/>
          <w:szCs w:val="24"/>
        </w:rPr>
      </w:pPr>
    </w:p>
    <w:p w14:paraId="63C55309" w14:textId="77777777" w:rsidR="00C05B77" w:rsidRDefault="00C05B77" w:rsidP="00D27F42">
      <w:pPr>
        <w:spacing w:line="360" w:lineRule="auto"/>
        <w:jc w:val="both"/>
        <w:rPr>
          <w:rFonts w:ascii="Times New Roman" w:hAnsi="Times New Roman" w:cs="Times New Roman"/>
          <w:sz w:val="24"/>
          <w:szCs w:val="24"/>
        </w:rPr>
      </w:pPr>
    </w:p>
    <w:p w14:paraId="00A6C04F" w14:textId="77777777" w:rsidR="00C05B77" w:rsidRDefault="00C05B77" w:rsidP="00D27F42">
      <w:pPr>
        <w:spacing w:line="360" w:lineRule="auto"/>
        <w:jc w:val="both"/>
        <w:rPr>
          <w:rFonts w:ascii="Times New Roman" w:hAnsi="Times New Roman" w:cs="Times New Roman"/>
          <w:sz w:val="24"/>
          <w:szCs w:val="24"/>
        </w:rPr>
      </w:pPr>
    </w:p>
    <w:p w14:paraId="735D9217" w14:textId="77777777" w:rsidR="00C05B77" w:rsidRDefault="00C05B77" w:rsidP="00D27F42">
      <w:pPr>
        <w:spacing w:line="360" w:lineRule="auto"/>
        <w:jc w:val="both"/>
        <w:rPr>
          <w:rFonts w:ascii="Times New Roman" w:hAnsi="Times New Roman" w:cs="Times New Roman"/>
          <w:sz w:val="24"/>
          <w:szCs w:val="24"/>
        </w:rPr>
      </w:pPr>
    </w:p>
    <w:p w14:paraId="080BE23C" w14:textId="77777777" w:rsidR="00C05B77" w:rsidRDefault="00C05B77" w:rsidP="00D27F42">
      <w:pPr>
        <w:spacing w:line="360" w:lineRule="auto"/>
        <w:jc w:val="both"/>
        <w:rPr>
          <w:rFonts w:ascii="Times New Roman" w:hAnsi="Times New Roman" w:cs="Times New Roman"/>
          <w:sz w:val="24"/>
          <w:szCs w:val="24"/>
        </w:rPr>
      </w:pPr>
    </w:p>
    <w:p w14:paraId="011071E5" w14:textId="67CDE954" w:rsidR="00C05B77" w:rsidRPr="00C05B77" w:rsidRDefault="00C05B77" w:rsidP="00C05B77">
      <w:pPr>
        <w:pStyle w:val="Heading1"/>
        <w:rPr>
          <w:b/>
          <w:bCs/>
          <w:color w:val="auto"/>
        </w:rPr>
      </w:pPr>
      <w:bookmarkStart w:id="7" w:name="_Toc174106964"/>
      <w:r w:rsidRPr="00C05B77">
        <w:rPr>
          <w:b/>
          <w:bCs/>
          <w:color w:val="auto"/>
        </w:rPr>
        <w:t>References</w:t>
      </w:r>
      <w:bookmarkEnd w:id="7"/>
      <w:r w:rsidRPr="00C05B77">
        <w:rPr>
          <w:b/>
          <w:bCs/>
          <w:color w:val="auto"/>
        </w:rPr>
        <w:t xml:space="preserve"> </w:t>
      </w:r>
    </w:p>
    <w:p w14:paraId="5C84C5BF" w14:textId="77777777" w:rsidR="00C05B77" w:rsidRPr="00C05B77" w:rsidRDefault="00C05B77" w:rsidP="00C05B77">
      <w:pPr>
        <w:spacing w:line="360" w:lineRule="auto"/>
        <w:jc w:val="both"/>
        <w:rPr>
          <w:rFonts w:ascii="Times New Roman" w:hAnsi="Times New Roman" w:cs="Times New Roman"/>
          <w:sz w:val="24"/>
          <w:szCs w:val="24"/>
        </w:rPr>
      </w:pPr>
      <w:r w:rsidRPr="00C05B77">
        <w:rPr>
          <w:rFonts w:ascii="Times New Roman" w:hAnsi="Times New Roman" w:cs="Times New Roman"/>
          <w:sz w:val="24"/>
          <w:szCs w:val="24"/>
        </w:rPr>
        <w:t>Beauregard, T.A. and Henry, L.C., (2009). Making the link between work-life balance practices and organizational performance. </w:t>
      </w:r>
      <w:r w:rsidRPr="00C05B77">
        <w:rPr>
          <w:rFonts w:ascii="Times New Roman" w:hAnsi="Times New Roman" w:cs="Times New Roman"/>
          <w:i/>
          <w:iCs/>
          <w:sz w:val="24"/>
          <w:szCs w:val="24"/>
        </w:rPr>
        <w:t>Human resource management review</w:t>
      </w:r>
      <w:r w:rsidRPr="00C05B77">
        <w:rPr>
          <w:rFonts w:ascii="Times New Roman" w:hAnsi="Times New Roman" w:cs="Times New Roman"/>
          <w:sz w:val="24"/>
          <w:szCs w:val="24"/>
        </w:rPr>
        <w:t>, </w:t>
      </w:r>
      <w:r w:rsidRPr="00C05B77">
        <w:rPr>
          <w:rFonts w:ascii="Times New Roman" w:hAnsi="Times New Roman" w:cs="Times New Roman"/>
          <w:i/>
          <w:iCs/>
          <w:sz w:val="24"/>
          <w:szCs w:val="24"/>
        </w:rPr>
        <w:t>19</w:t>
      </w:r>
      <w:r w:rsidRPr="00C05B77">
        <w:rPr>
          <w:rFonts w:ascii="Times New Roman" w:hAnsi="Times New Roman" w:cs="Times New Roman"/>
          <w:sz w:val="24"/>
          <w:szCs w:val="24"/>
        </w:rPr>
        <w:t>(1), pp.9-22.</w:t>
      </w:r>
    </w:p>
    <w:p w14:paraId="6CA314A3" w14:textId="77777777" w:rsidR="00C05B77" w:rsidRPr="00C05B77" w:rsidRDefault="00C05B77" w:rsidP="00C05B77">
      <w:pPr>
        <w:spacing w:line="360" w:lineRule="auto"/>
        <w:jc w:val="both"/>
        <w:rPr>
          <w:rFonts w:ascii="Times New Roman" w:hAnsi="Times New Roman" w:cs="Times New Roman"/>
          <w:sz w:val="24"/>
          <w:szCs w:val="24"/>
        </w:rPr>
      </w:pPr>
      <w:r w:rsidRPr="00C05B77">
        <w:rPr>
          <w:rFonts w:ascii="Times New Roman" w:hAnsi="Times New Roman" w:cs="Times New Roman"/>
          <w:sz w:val="24"/>
          <w:szCs w:val="24"/>
        </w:rPr>
        <w:t>Beardwell, I., Holden, L. and Claydon, T., (2004). Human resource management A contemporary approach 4th edition.</w:t>
      </w:r>
    </w:p>
    <w:p w14:paraId="475BB2C4" w14:textId="77777777" w:rsidR="00C05B77" w:rsidRPr="00C05B77" w:rsidRDefault="00C05B77" w:rsidP="00C05B77">
      <w:pPr>
        <w:spacing w:line="360" w:lineRule="auto"/>
        <w:jc w:val="both"/>
        <w:rPr>
          <w:rFonts w:ascii="Times New Roman" w:hAnsi="Times New Roman" w:cs="Times New Roman"/>
          <w:sz w:val="24"/>
          <w:szCs w:val="24"/>
        </w:rPr>
      </w:pPr>
      <w:proofErr w:type="spellStart"/>
      <w:r w:rsidRPr="00C05B77">
        <w:rPr>
          <w:rFonts w:ascii="Times New Roman" w:hAnsi="Times New Roman" w:cs="Times New Roman"/>
          <w:sz w:val="24"/>
          <w:szCs w:val="24"/>
        </w:rPr>
        <w:t>Čiarnienė</w:t>
      </w:r>
      <w:proofErr w:type="spellEnd"/>
      <w:r w:rsidRPr="00C05B77">
        <w:rPr>
          <w:rFonts w:ascii="Times New Roman" w:hAnsi="Times New Roman" w:cs="Times New Roman"/>
          <w:sz w:val="24"/>
          <w:szCs w:val="24"/>
        </w:rPr>
        <w:t xml:space="preserve">, R., Vienažindienė, M. and </w:t>
      </w:r>
      <w:proofErr w:type="spellStart"/>
      <w:r w:rsidRPr="00C05B77">
        <w:rPr>
          <w:rFonts w:ascii="Times New Roman" w:hAnsi="Times New Roman" w:cs="Times New Roman"/>
          <w:sz w:val="24"/>
          <w:szCs w:val="24"/>
        </w:rPr>
        <w:t>Adamonienė</w:t>
      </w:r>
      <w:proofErr w:type="spellEnd"/>
      <w:r w:rsidRPr="00C05B77">
        <w:rPr>
          <w:rFonts w:ascii="Times New Roman" w:hAnsi="Times New Roman" w:cs="Times New Roman"/>
          <w:sz w:val="24"/>
          <w:szCs w:val="24"/>
        </w:rPr>
        <w:t>, R., (2018). Implementation of Flexible Work Arrangements for Sustainable Development. </w:t>
      </w:r>
      <w:r w:rsidRPr="00C05B77">
        <w:rPr>
          <w:rFonts w:ascii="Times New Roman" w:hAnsi="Times New Roman" w:cs="Times New Roman"/>
          <w:i/>
          <w:iCs/>
          <w:sz w:val="24"/>
          <w:szCs w:val="24"/>
        </w:rPr>
        <w:t>European Journal of Sustainable Development</w:t>
      </w:r>
      <w:r w:rsidRPr="00C05B77">
        <w:rPr>
          <w:rFonts w:ascii="Times New Roman" w:hAnsi="Times New Roman" w:cs="Times New Roman"/>
          <w:sz w:val="24"/>
          <w:szCs w:val="24"/>
        </w:rPr>
        <w:t>, </w:t>
      </w:r>
      <w:r w:rsidRPr="00C05B77">
        <w:rPr>
          <w:rFonts w:ascii="Times New Roman" w:hAnsi="Times New Roman" w:cs="Times New Roman"/>
          <w:i/>
          <w:iCs/>
          <w:sz w:val="24"/>
          <w:szCs w:val="24"/>
        </w:rPr>
        <w:t>7</w:t>
      </w:r>
      <w:r w:rsidRPr="00C05B77">
        <w:rPr>
          <w:rFonts w:ascii="Times New Roman" w:hAnsi="Times New Roman" w:cs="Times New Roman"/>
          <w:sz w:val="24"/>
          <w:szCs w:val="24"/>
        </w:rPr>
        <w:t>(4), pp.11-21.</w:t>
      </w:r>
    </w:p>
    <w:p w14:paraId="23E5E54B" w14:textId="77777777" w:rsidR="00C05B77" w:rsidRPr="00C05B77" w:rsidRDefault="00C05B77" w:rsidP="00C05B77">
      <w:pPr>
        <w:spacing w:line="360" w:lineRule="auto"/>
        <w:jc w:val="both"/>
        <w:rPr>
          <w:rFonts w:ascii="Times New Roman" w:hAnsi="Times New Roman" w:cs="Times New Roman"/>
          <w:sz w:val="24"/>
          <w:szCs w:val="24"/>
        </w:rPr>
      </w:pPr>
      <w:r w:rsidRPr="00C05B77">
        <w:rPr>
          <w:rFonts w:ascii="Times New Roman" w:hAnsi="Times New Roman" w:cs="Times New Roman"/>
          <w:sz w:val="24"/>
          <w:szCs w:val="24"/>
        </w:rPr>
        <w:t xml:space="preserve">Choo, J.L.M., Desa, N.M. and </w:t>
      </w:r>
      <w:proofErr w:type="spellStart"/>
      <w:r w:rsidRPr="00C05B77">
        <w:rPr>
          <w:rFonts w:ascii="Times New Roman" w:hAnsi="Times New Roman" w:cs="Times New Roman"/>
          <w:sz w:val="24"/>
          <w:szCs w:val="24"/>
        </w:rPr>
        <w:t>Asaari</w:t>
      </w:r>
      <w:proofErr w:type="spellEnd"/>
      <w:r w:rsidRPr="00C05B77">
        <w:rPr>
          <w:rFonts w:ascii="Times New Roman" w:hAnsi="Times New Roman" w:cs="Times New Roman"/>
          <w:sz w:val="24"/>
          <w:szCs w:val="24"/>
        </w:rPr>
        <w:t>, M.H.A.H., (2016). Flexible working arrangement toward organizational commitment and work-family conflict. Studies in Asian Social Science, 3(1), pp.21-36.</w:t>
      </w:r>
    </w:p>
    <w:p w14:paraId="459A2ACA" w14:textId="77777777" w:rsidR="00C05B77" w:rsidRPr="00C05B77" w:rsidRDefault="00C05B77" w:rsidP="00C05B77">
      <w:pPr>
        <w:spacing w:line="360" w:lineRule="auto"/>
        <w:jc w:val="both"/>
        <w:rPr>
          <w:rFonts w:ascii="Times New Roman" w:hAnsi="Times New Roman" w:cs="Times New Roman"/>
          <w:sz w:val="24"/>
          <w:szCs w:val="24"/>
        </w:rPr>
      </w:pPr>
      <w:r w:rsidRPr="00C05B77">
        <w:rPr>
          <w:rFonts w:ascii="Times New Roman" w:hAnsi="Times New Roman" w:cs="Times New Roman"/>
          <w:sz w:val="24"/>
          <w:szCs w:val="24"/>
        </w:rPr>
        <w:t>Chandani, A., Mehta, M., Mall, A. and Khokhar, V., (2016). Employee engagement: A review paper on factors affecting employee engagement. </w:t>
      </w:r>
      <w:r w:rsidRPr="00C05B77">
        <w:rPr>
          <w:rFonts w:ascii="Times New Roman" w:hAnsi="Times New Roman" w:cs="Times New Roman"/>
          <w:i/>
          <w:iCs/>
          <w:sz w:val="24"/>
          <w:szCs w:val="24"/>
        </w:rPr>
        <w:t>Indian Journal of Science and Technology</w:t>
      </w:r>
      <w:r w:rsidRPr="00C05B77">
        <w:rPr>
          <w:rFonts w:ascii="Times New Roman" w:hAnsi="Times New Roman" w:cs="Times New Roman"/>
          <w:sz w:val="24"/>
          <w:szCs w:val="24"/>
        </w:rPr>
        <w:t>, </w:t>
      </w:r>
      <w:r w:rsidRPr="00C05B77">
        <w:rPr>
          <w:rFonts w:ascii="Times New Roman" w:hAnsi="Times New Roman" w:cs="Times New Roman"/>
          <w:i/>
          <w:iCs/>
          <w:sz w:val="24"/>
          <w:szCs w:val="24"/>
        </w:rPr>
        <w:t>9</w:t>
      </w:r>
      <w:r w:rsidRPr="00C05B77">
        <w:rPr>
          <w:rFonts w:ascii="Times New Roman" w:hAnsi="Times New Roman" w:cs="Times New Roman"/>
          <w:sz w:val="24"/>
          <w:szCs w:val="24"/>
        </w:rPr>
        <w:t>(15), pp.1-7.</w:t>
      </w:r>
    </w:p>
    <w:p w14:paraId="4668583B" w14:textId="77777777" w:rsidR="00C05B77" w:rsidRPr="00C05B77" w:rsidRDefault="00C05B77" w:rsidP="00C05B77">
      <w:pPr>
        <w:spacing w:line="360" w:lineRule="auto"/>
        <w:jc w:val="both"/>
        <w:rPr>
          <w:rFonts w:ascii="Times New Roman" w:hAnsi="Times New Roman" w:cs="Times New Roman"/>
          <w:sz w:val="24"/>
          <w:szCs w:val="24"/>
        </w:rPr>
      </w:pPr>
      <w:proofErr w:type="spellStart"/>
      <w:r w:rsidRPr="00C05B77">
        <w:rPr>
          <w:rFonts w:ascii="Times New Roman" w:hAnsi="Times New Roman" w:cs="Times New Roman"/>
          <w:sz w:val="24"/>
          <w:szCs w:val="24"/>
        </w:rPr>
        <w:t>Cañibano</w:t>
      </w:r>
      <w:proofErr w:type="spellEnd"/>
      <w:r w:rsidRPr="00C05B77">
        <w:rPr>
          <w:rFonts w:ascii="Times New Roman" w:hAnsi="Times New Roman" w:cs="Times New Roman"/>
          <w:sz w:val="24"/>
          <w:szCs w:val="24"/>
        </w:rPr>
        <w:t>, A., (2011). Exploring the Negative Outcomes of Flexible Work Arrangements. The case of a. </w:t>
      </w:r>
      <w:r w:rsidRPr="00C05B77">
        <w:rPr>
          <w:rFonts w:ascii="Times New Roman" w:hAnsi="Times New Roman" w:cs="Times New Roman"/>
          <w:i/>
          <w:iCs/>
          <w:sz w:val="24"/>
          <w:szCs w:val="24"/>
        </w:rPr>
        <w:t>Journal of Management</w:t>
      </w:r>
      <w:r w:rsidRPr="00C05B77">
        <w:rPr>
          <w:rFonts w:ascii="Times New Roman" w:hAnsi="Times New Roman" w:cs="Times New Roman"/>
          <w:sz w:val="24"/>
          <w:szCs w:val="24"/>
        </w:rPr>
        <w:t>, </w:t>
      </w:r>
      <w:r w:rsidRPr="00C05B77">
        <w:rPr>
          <w:rFonts w:ascii="Times New Roman" w:hAnsi="Times New Roman" w:cs="Times New Roman"/>
          <w:i/>
          <w:iCs/>
          <w:sz w:val="24"/>
          <w:szCs w:val="24"/>
        </w:rPr>
        <w:t>31</w:t>
      </w:r>
      <w:r w:rsidRPr="00C05B77">
        <w:rPr>
          <w:rFonts w:ascii="Times New Roman" w:hAnsi="Times New Roman" w:cs="Times New Roman"/>
          <w:sz w:val="24"/>
          <w:szCs w:val="24"/>
        </w:rPr>
        <w:t>(4), pp.622-640.</w:t>
      </w:r>
    </w:p>
    <w:p w14:paraId="2C0DA8E6" w14:textId="77777777" w:rsidR="00C05B77" w:rsidRPr="00C05B77" w:rsidRDefault="00C05B77" w:rsidP="00C05B77">
      <w:pPr>
        <w:spacing w:line="360" w:lineRule="auto"/>
        <w:jc w:val="both"/>
        <w:rPr>
          <w:rFonts w:ascii="Times New Roman" w:hAnsi="Times New Roman" w:cs="Times New Roman"/>
          <w:sz w:val="24"/>
          <w:szCs w:val="24"/>
        </w:rPr>
      </w:pPr>
      <w:proofErr w:type="spellStart"/>
      <w:r w:rsidRPr="00C05B77">
        <w:rPr>
          <w:rFonts w:ascii="Times New Roman" w:hAnsi="Times New Roman" w:cs="Times New Roman"/>
          <w:sz w:val="24"/>
          <w:szCs w:val="24"/>
        </w:rPr>
        <w:t>Febriansyah</w:t>
      </w:r>
      <w:proofErr w:type="spellEnd"/>
      <w:r w:rsidRPr="00C05B77">
        <w:rPr>
          <w:rFonts w:ascii="Times New Roman" w:hAnsi="Times New Roman" w:cs="Times New Roman"/>
          <w:sz w:val="24"/>
          <w:szCs w:val="24"/>
        </w:rPr>
        <w:t xml:space="preserve">, H., (2010), November. Endorsing employee engagement through human capital approach. </w:t>
      </w:r>
      <w:proofErr w:type="gramStart"/>
      <w:r w:rsidRPr="00C05B77">
        <w:rPr>
          <w:rFonts w:ascii="Times New Roman" w:hAnsi="Times New Roman" w:cs="Times New Roman"/>
          <w:sz w:val="24"/>
          <w:szCs w:val="24"/>
        </w:rPr>
        <w:t>An empirical research</w:t>
      </w:r>
      <w:proofErr w:type="gramEnd"/>
      <w:r w:rsidRPr="00C05B77">
        <w:rPr>
          <w:rFonts w:ascii="Times New Roman" w:hAnsi="Times New Roman" w:cs="Times New Roman"/>
          <w:sz w:val="24"/>
          <w:szCs w:val="24"/>
        </w:rPr>
        <w:t>. In </w:t>
      </w:r>
      <w:r w:rsidRPr="00C05B77">
        <w:rPr>
          <w:rFonts w:ascii="Times New Roman" w:hAnsi="Times New Roman" w:cs="Times New Roman"/>
          <w:i/>
          <w:iCs/>
          <w:sz w:val="24"/>
          <w:szCs w:val="24"/>
        </w:rPr>
        <w:t>Proceedings of the 11th International Conference</w:t>
      </w:r>
      <w:r w:rsidRPr="00C05B77">
        <w:rPr>
          <w:rFonts w:ascii="Times New Roman" w:hAnsi="Times New Roman" w:cs="Times New Roman"/>
          <w:sz w:val="24"/>
          <w:szCs w:val="24"/>
        </w:rPr>
        <w:t> (pp. 24-27).</w:t>
      </w:r>
    </w:p>
    <w:p w14:paraId="231554C0" w14:textId="77777777" w:rsidR="00C05B77" w:rsidRPr="00C05B77" w:rsidRDefault="00C05B77" w:rsidP="00C05B77">
      <w:pPr>
        <w:spacing w:line="360" w:lineRule="auto"/>
        <w:jc w:val="both"/>
        <w:rPr>
          <w:rFonts w:ascii="Times New Roman" w:hAnsi="Times New Roman" w:cs="Times New Roman"/>
          <w:sz w:val="24"/>
          <w:szCs w:val="24"/>
        </w:rPr>
      </w:pPr>
      <w:r w:rsidRPr="00C05B77">
        <w:rPr>
          <w:rFonts w:ascii="Times New Roman" w:hAnsi="Times New Roman" w:cs="Times New Roman"/>
          <w:sz w:val="24"/>
          <w:szCs w:val="24"/>
        </w:rPr>
        <w:t>Grant, C., Wallace, L.M. and Spurgeon, P.C., (2013). An exploration of the psychological factors affecting remote e-worker's job effectiveness, well-being and work-life balance. </w:t>
      </w:r>
      <w:r w:rsidRPr="00C05B77">
        <w:rPr>
          <w:rFonts w:ascii="Times New Roman" w:hAnsi="Times New Roman" w:cs="Times New Roman"/>
          <w:i/>
          <w:iCs/>
          <w:sz w:val="24"/>
          <w:szCs w:val="24"/>
        </w:rPr>
        <w:t>Employee Relations</w:t>
      </w:r>
      <w:r w:rsidRPr="00C05B77">
        <w:rPr>
          <w:rFonts w:ascii="Times New Roman" w:hAnsi="Times New Roman" w:cs="Times New Roman"/>
          <w:sz w:val="24"/>
          <w:szCs w:val="24"/>
        </w:rPr>
        <w:t>, </w:t>
      </w:r>
      <w:r w:rsidRPr="00C05B77">
        <w:rPr>
          <w:rFonts w:ascii="Times New Roman" w:hAnsi="Times New Roman" w:cs="Times New Roman"/>
          <w:i/>
          <w:iCs/>
          <w:sz w:val="24"/>
          <w:szCs w:val="24"/>
        </w:rPr>
        <w:t>35</w:t>
      </w:r>
      <w:r w:rsidRPr="00C05B77">
        <w:rPr>
          <w:rFonts w:ascii="Times New Roman" w:hAnsi="Times New Roman" w:cs="Times New Roman"/>
          <w:sz w:val="24"/>
          <w:szCs w:val="24"/>
        </w:rPr>
        <w:t>(5), pp.527-546.</w:t>
      </w:r>
    </w:p>
    <w:p w14:paraId="04611163" w14:textId="77777777" w:rsidR="00C05B77" w:rsidRPr="00C05B77" w:rsidRDefault="00C05B77" w:rsidP="00C05B77">
      <w:pPr>
        <w:spacing w:line="360" w:lineRule="auto"/>
        <w:jc w:val="both"/>
        <w:rPr>
          <w:rFonts w:ascii="Times New Roman" w:hAnsi="Times New Roman" w:cs="Times New Roman"/>
          <w:sz w:val="24"/>
          <w:szCs w:val="24"/>
        </w:rPr>
      </w:pPr>
      <w:r w:rsidRPr="00C05B77">
        <w:rPr>
          <w:rFonts w:ascii="Times New Roman" w:hAnsi="Times New Roman" w:cs="Times New Roman"/>
          <w:sz w:val="24"/>
          <w:szCs w:val="24"/>
        </w:rPr>
        <w:t>Humphreys, P.C., Fleming, S. and O'Donnell, O., (2000). Balancing work and family life: The role of flexible working arrangements. IPA.</w:t>
      </w:r>
    </w:p>
    <w:p w14:paraId="1AE4A8F5" w14:textId="77777777" w:rsidR="00C05B77" w:rsidRPr="00C05B77" w:rsidRDefault="00C05B77" w:rsidP="00C05B77">
      <w:pPr>
        <w:spacing w:line="360" w:lineRule="auto"/>
        <w:jc w:val="both"/>
        <w:rPr>
          <w:rFonts w:ascii="Times New Roman" w:hAnsi="Times New Roman" w:cs="Times New Roman"/>
          <w:sz w:val="24"/>
          <w:szCs w:val="24"/>
        </w:rPr>
      </w:pPr>
      <w:r w:rsidRPr="00C05B77">
        <w:rPr>
          <w:rFonts w:ascii="Times New Roman" w:hAnsi="Times New Roman" w:cs="Times New Roman"/>
          <w:sz w:val="24"/>
          <w:szCs w:val="24"/>
        </w:rPr>
        <w:t>Henry, C.D., (2020). </w:t>
      </w:r>
      <w:r w:rsidRPr="00C05B77">
        <w:rPr>
          <w:rFonts w:ascii="Times New Roman" w:hAnsi="Times New Roman" w:cs="Times New Roman"/>
          <w:i/>
          <w:iCs/>
          <w:sz w:val="24"/>
          <w:szCs w:val="24"/>
        </w:rPr>
        <w:t>Strategies for Promoting Employee Engagement in the Canadian Banking Sector</w:t>
      </w:r>
      <w:r w:rsidRPr="00C05B77">
        <w:rPr>
          <w:rFonts w:ascii="Times New Roman" w:hAnsi="Times New Roman" w:cs="Times New Roman"/>
          <w:sz w:val="24"/>
          <w:szCs w:val="24"/>
        </w:rPr>
        <w:t> (Doctoral dissertation, Walden University).</w:t>
      </w:r>
    </w:p>
    <w:p w14:paraId="51327600" w14:textId="77777777" w:rsidR="00C05B77" w:rsidRPr="00C05B77" w:rsidRDefault="00C05B77" w:rsidP="00C05B77">
      <w:pPr>
        <w:spacing w:line="360" w:lineRule="auto"/>
        <w:jc w:val="both"/>
        <w:rPr>
          <w:rFonts w:ascii="Times New Roman" w:hAnsi="Times New Roman" w:cs="Times New Roman"/>
          <w:sz w:val="24"/>
          <w:szCs w:val="24"/>
        </w:rPr>
      </w:pPr>
      <w:r w:rsidRPr="00C05B77">
        <w:rPr>
          <w:rFonts w:ascii="Times New Roman" w:hAnsi="Times New Roman" w:cs="Times New Roman"/>
          <w:sz w:val="24"/>
          <w:szCs w:val="24"/>
        </w:rPr>
        <w:t>Kelliher, C. and Anderson, D., (2009). Doing more with less? Flexible working practices and the intensification of work.</w:t>
      </w:r>
    </w:p>
    <w:p w14:paraId="17E5C448" w14:textId="77777777" w:rsidR="00C05B77" w:rsidRPr="00C05B77" w:rsidRDefault="00C05B77" w:rsidP="00C05B77">
      <w:pPr>
        <w:spacing w:line="360" w:lineRule="auto"/>
        <w:jc w:val="both"/>
        <w:rPr>
          <w:rFonts w:ascii="Times New Roman" w:hAnsi="Times New Roman" w:cs="Times New Roman"/>
          <w:sz w:val="24"/>
          <w:szCs w:val="24"/>
        </w:rPr>
      </w:pPr>
      <w:r w:rsidRPr="00C05B77">
        <w:rPr>
          <w:rFonts w:ascii="Times New Roman" w:hAnsi="Times New Roman" w:cs="Times New Roman"/>
          <w:sz w:val="24"/>
          <w:szCs w:val="24"/>
        </w:rPr>
        <w:t>McCutcheon, T.N., (2019). </w:t>
      </w:r>
      <w:r w:rsidRPr="00C05B77">
        <w:rPr>
          <w:rFonts w:ascii="Times New Roman" w:hAnsi="Times New Roman" w:cs="Times New Roman"/>
          <w:i/>
          <w:iCs/>
          <w:sz w:val="24"/>
          <w:szCs w:val="24"/>
        </w:rPr>
        <w:t>Leadership strategies that promote employee engagement</w:t>
      </w:r>
      <w:r w:rsidRPr="00C05B77">
        <w:rPr>
          <w:rFonts w:ascii="Times New Roman" w:hAnsi="Times New Roman" w:cs="Times New Roman"/>
          <w:sz w:val="24"/>
          <w:szCs w:val="24"/>
        </w:rPr>
        <w:t> (Doctoral dissertation, Walden University).</w:t>
      </w:r>
    </w:p>
    <w:p w14:paraId="64A7AF4F" w14:textId="77777777" w:rsidR="00C05B77" w:rsidRPr="00C05B77" w:rsidRDefault="00C05B77" w:rsidP="00C05B77">
      <w:pPr>
        <w:spacing w:line="360" w:lineRule="auto"/>
        <w:jc w:val="both"/>
        <w:rPr>
          <w:rFonts w:ascii="Times New Roman" w:hAnsi="Times New Roman" w:cs="Times New Roman"/>
          <w:sz w:val="24"/>
          <w:szCs w:val="24"/>
        </w:rPr>
      </w:pPr>
      <w:r w:rsidRPr="00C05B77">
        <w:rPr>
          <w:rFonts w:ascii="Times New Roman" w:hAnsi="Times New Roman" w:cs="Times New Roman"/>
          <w:sz w:val="24"/>
          <w:szCs w:val="24"/>
        </w:rPr>
        <w:t>Nienaber, H. and Martins, N., (2019). Exploratory study.</w:t>
      </w:r>
    </w:p>
    <w:p w14:paraId="0FFD4989" w14:textId="77777777" w:rsidR="00C05B77" w:rsidRPr="00C05B77" w:rsidRDefault="00C05B77" w:rsidP="00C05B77">
      <w:pPr>
        <w:spacing w:line="360" w:lineRule="auto"/>
        <w:jc w:val="both"/>
        <w:rPr>
          <w:rFonts w:ascii="Times New Roman" w:hAnsi="Times New Roman" w:cs="Times New Roman"/>
          <w:sz w:val="24"/>
          <w:szCs w:val="24"/>
        </w:rPr>
      </w:pPr>
      <w:r w:rsidRPr="00C05B77">
        <w:rPr>
          <w:rFonts w:ascii="Times New Roman" w:hAnsi="Times New Roman" w:cs="Times New Roman"/>
          <w:sz w:val="24"/>
          <w:szCs w:val="24"/>
        </w:rPr>
        <w:t xml:space="preserve">Shen, L., (2023). Does working from </w:t>
      </w:r>
      <w:proofErr w:type="gramStart"/>
      <w:r w:rsidRPr="00C05B77">
        <w:rPr>
          <w:rFonts w:ascii="Times New Roman" w:hAnsi="Times New Roman" w:cs="Times New Roman"/>
          <w:sz w:val="24"/>
          <w:szCs w:val="24"/>
        </w:rPr>
        <w:t>home work</w:t>
      </w:r>
      <w:proofErr w:type="gramEnd"/>
      <w:r w:rsidRPr="00C05B77">
        <w:rPr>
          <w:rFonts w:ascii="Times New Roman" w:hAnsi="Times New Roman" w:cs="Times New Roman"/>
          <w:sz w:val="24"/>
          <w:szCs w:val="24"/>
        </w:rPr>
        <w:t>? A natural experiment from lockdowns. </w:t>
      </w:r>
      <w:r w:rsidRPr="00C05B77">
        <w:rPr>
          <w:rFonts w:ascii="Times New Roman" w:hAnsi="Times New Roman" w:cs="Times New Roman"/>
          <w:i/>
          <w:iCs/>
          <w:sz w:val="24"/>
          <w:szCs w:val="24"/>
        </w:rPr>
        <w:t>European Economic Review</w:t>
      </w:r>
      <w:r w:rsidRPr="00C05B77">
        <w:rPr>
          <w:rFonts w:ascii="Times New Roman" w:hAnsi="Times New Roman" w:cs="Times New Roman"/>
          <w:sz w:val="24"/>
          <w:szCs w:val="24"/>
        </w:rPr>
        <w:t>, </w:t>
      </w:r>
      <w:r w:rsidRPr="00C05B77">
        <w:rPr>
          <w:rFonts w:ascii="Times New Roman" w:hAnsi="Times New Roman" w:cs="Times New Roman"/>
          <w:i/>
          <w:iCs/>
          <w:sz w:val="24"/>
          <w:szCs w:val="24"/>
        </w:rPr>
        <w:t>151</w:t>
      </w:r>
      <w:r w:rsidRPr="00C05B77">
        <w:rPr>
          <w:rFonts w:ascii="Times New Roman" w:hAnsi="Times New Roman" w:cs="Times New Roman"/>
          <w:sz w:val="24"/>
          <w:szCs w:val="24"/>
        </w:rPr>
        <w:t>, p.104323.</w:t>
      </w:r>
    </w:p>
    <w:p w14:paraId="02FACC76" w14:textId="77777777" w:rsidR="00C05B77" w:rsidRPr="00C05B77" w:rsidRDefault="00C05B77" w:rsidP="00C05B77">
      <w:pPr>
        <w:spacing w:line="360" w:lineRule="auto"/>
        <w:jc w:val="both"/>
        <w:rPr>
          <w:rFonts w:ascii="Times New Roman" w:hAnsi="Times New Roman" w:cs="Times New Roman"/>
          <w:sz w:val="24"/>
          <w:szCs w:val="24"/>
        </w:rPr>
      </w:pPr>
      <w:r w:rsidRPr="00C05B77">
        <w:rPr>
          <w:rFonts w:ascii="Times New Roman" w:hAnsi="Times New Roman" w:cs="Times New Roman"/>
          <w:sz w:val="24"/>
          <w:szCs w:val="24"/>
        </w:rPr>
        <w:t>Schalk, R., Timmerman, V. and Van den Heuvel, S., (2013). How strategic considerations influence decision making on e-HRM applications. </w:t>
      </w:r>
      <w:r w:rsidRPr="00C05B77">
        <w:rPr>
          <w:rFonts w:ascii="Times New Roman" w:hAnsi="Times New Roman" w:cs="Times New Roman"/>
          <w:i/>
          <w:iCs/>
          <w:sz w:val="24"/>
          <w:szCs w:val="24"/>
        </w:rPr>
        <w:t>Human Resource Management Review</w:t>
      </w:r>
      <w:r w:rsidRPr="00C05B77">
        <w:rPr>
          <w:rFonts w:ascii="Times New Roman" w:hAnsi="Times New Roman" w:cs="Times New Roman"/>
          <w:sz w:val="24"/>
          <w:szCs w:val="24"/>
        </w:rPr>
        <w:t>, </w:t>
      </w:r>
      <w:r w:rsidRPr="00C05B77">
        <w:rPr>
          <w:rFonts w:ascii="Times New Roman" w:hAnsi="Times New Roman" w:cs="Times New Roman"/>
          <w:i/>
          <w:iCs/>
          <w:sz w:val="24"/>
          <w:szCs w:val="24"/>
        </w:rPr>
        <w:t>23</w:t>
      </w:r>
      <w:r w:rsidRPr="00C05B77">
        <w:rPr>
          <w:rFonts w:ascii="Times New Roman" w:hAnsi="Times New Roman" w:cs="Times New Roman"/>
          <w:sz w:val="24"/>
          <w:szCs w:val="24"/>
        </w:rPr>
        <w:t>(1), pp.84-92.</w:t>
      </w:r>
    </w:p>
    <w:p w14:paraId="5AFC2F52" w14:textId="77777777" w:rsidR="00BD3A71" w:rsidRPr="00C05B77" w:rsidRDefault="00BD3A71" w:rsidP="00BD3A71">
      <w:pPr>
        <w:spacing w:line="360" w:lineRule="auto"/>
        <w:jc w:val="both"/>
        <w:rPr>
          <w:rFonts w:ascii="Times New Roman" w:hAnsi="Times New Roman" w:cs="Times New Roman"/>
          <w:sz w:val="24"/>
          <w:szCs w:val="24"/>
        </w:rPr>
      </w:pPr>
    </w:p>
    <w:p w14:paraId="342459CC" w14:textId="77777777" w:rsidR="002F04E4" w:rsidRPr="002F04E4" w:rsidRDefault="002F04E4" w:rsidP="002F04E4">
      <w:pPr>
        <w:spacing w:line="360" w:lineRule="auto"/>
        <w:jc w:val="both"/>
        <w:rPr>
          <w:rFonts w:ascii="Times New Roman" w:hAnsi="Times New Roman" w:cs="Times New Roman"/>
          <w:sz w:val="24"/>
          <w:szCs w:val="24"/>
        </w:rPr>
      </w:pPr>
    </w:p>
    <w:sectPr w:rsidR="002F04E4" w:rsidRPr="002F04E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619FD5" w14:textId="77777777" w:rsidR="00BA7AB9" w:rsidRDefault="00BA7AB9" w:rsidP="00C05B77">
      <w:pPr>
        <w:spacing w:after="0" w:line="240" w:lineRule="auto"/>
      </w:pPr>
      <w:r>
        <w:separator/>
      </w:r>
    </w:p>
  </w:endnote>
  <w:endnote w:type="continuationSeparator" w:id="0">
    <w:p w14:paraId="07BCB3BF" w14:textId="77777777" w:rsidR="00BA7AB9" w:rsidRDefault="00BA7AB9" w:rsidP="00C05B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36296628"/>
      <w:docPartObj>
        <w:docPartGallery w:val="Page Numbers (Bottom of Page)"/>
        <w:docPartUnique/>
      </w:docPartObj>
    </w:sdtPr>
    <w:sdtContent>
      <w:p w14:paraId="22CA1CF4" w14:textId="3C2809FF" w:rsidR="00C05B77" w:rsidRDefault="00C05B77">
        <w:pPr>
          <w:pStyle w:val="Footer"/>
          <w:jc w:val="center"/>
        </w:pPr>
        <w:r>
          <w:fldChar w:fldCharType="begin"/>
        </w:r>
        <w:r>
          <w:instrText>PAGE   \* MERGEFORMAT</w:instrText>
        </w:r>
        <w:r>
          <w:fldChar w:fldCharType="separate"/>
        </w:r>
        <w:r>
          <w:t>2</w:t>
        </w:r>
        <w:r>
          <w:fldChar w:fldCharType="end"/>
        </w:r>
      </w:p>
    </w:sdtContent>
  </w:sdt>
  <w:p w14:paraId="37EA300D" w14:textId="77777777" w:rsidR="00C05B77" w:rsidRDefault="00C05B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26E5B4" w14:textId="77777777" w:rsidR="00BA7AB9" w:rsidRDefault="00BA7AB9" w:rsidP="00C05B77">
      <w:pPr>
        <w:spacing w:after="0" w:line="240" w:lineRule="auto"/>
      </w:pPr>
      <w:r>
        <w:separator/>
      </w:r>
    </w:p>
  </w:footnote>
  <w:footnote w:type="continuationSeparator" w:id="0">
    <w:p w14:paraId="16FBA2CC" w14:textId="77777777" w:rsidR="00BA7AB9" w:rsidRDefault="00BA7AB9" w:rsidP="00C05B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D08"/>
    <w:rsid w:val="002F04E4"/>
    <w:rsid w:val="00624B95"/>
    <w:rsid w:val="008B18EC"/>
    <w:rsid w:val="00BA7AB9"/>
    <w:rsid w:val="00BD3A71"/>
    <w:rsid w:val="00C05B77"/>
    <w:rsid w:val="00D27F42"/>
    <w:rsid w:val="00D54BC0"/>
    <w:rsid w:val="00DD3AD0"/>
    <w:rsid w:val="00E86D08"/>
    <w:rsid w:val="00F0738B"/>
    <w:rsid w:val="00F613E9"/>
    <w:rsid w:val="00FC4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54069"/>
  <w15:chartTrackingRefBased/>
  <w15:docId w15:val="{A966D746-032E-408E-AA90-9CDB2C8483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6D0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86D0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86D0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86D0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86D0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86D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6D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6D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6D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6D0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86D0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86D0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86D0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86D0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86D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6D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6D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6D08"/>
    <w:rPr>
      <w:rFonts w:eastAsiaTheme="majorEastAsia" w:cstheme="majorBidi"/>
      <w:color w:val="272727" w:themeColor="text1" w:themeTint="D8"/>
    </w:rPr>
  </w:style>
  <w:style w:type="paragraph" w:styleId="Title">
    <w:name w:val="Title"/>
    <w:basedOn w:val="Normal"/>
    <w:next w:val="Normal"/>
    <w:link w:val="TitleChar"/>
    <w:uiPriority w:val="10"/>
    <w:qFormat/>
    <w:rsid w:val="00E86D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6D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6D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6D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6D08"/>
    <w:pPr>
      <w:spacing w:before="160"/>
      <w:jc w:val="center"/>
    </w:pPr>
    <w:rPr>
      <w:i/>
      <w:iCs/>
      <w:color w:val="404040" w:themeColor="text1" w:themeTint="BF"/>
    </w:rPr>
  </w:style>
  <w:style w:type="character" w:customStyle="1" w:styleId="QuoteChar">
    <w:name w:val="Quote Char"/>
    <w:basedOn w:val="DefaultParagraphFont"/>
    <w:link w:val="Quote"/>
    <w:uiPriority w:val="29"/>
    <w:rsid w:val="00E86D08"/>
    <w:rPr>
      <w:i/>
      <w:iCs/>
      <w:color w:val="404040" w:themeColor="text1" w:themeTint="BF"/>
    </w:rPr>
  </w:style>
  <w:style w:type="paragraph" w:styleId="ListParagraph">
    <w:name w:val="List Paragraph"/>
    <w:basedOn w:val="Normal"/>
    <w:uiPriority w:val="34"/>
    <w:qFormat/>
    <w:rsid w:val="00E86D08"/>
    <w:pPr>
      <w:ind w:left="720"/>
      <w:contextualSpacing/>
    </w:pPr>
  </w:style>
  <w:style w:type="character" w:styleId="IntenseEmphasis">
    <w:name w:val="Intense Emphasis"/>
    <w:basedOn w:val="DefaultParagraphFont"/>
    <w:uiPriority w:val="21"/>
    <w:qFormat/>
    <w:rsid w:val="00E86D08"/>
    <w:rPr>
      <w:i/>
      <w:iCs/>
      <w:color w:val="2F5496" w:themeColor="accent1" w:themeShade="BF"/>
    </w:rPr>
  </w:style>
  <w:style w:type="paragraph" w:styleId="IntenseQuote">
    <w:name w:val="Intense Quote"/>
    <w:basedOn w:val="Normal"/>
    <w:next w:val="Normal"/>
    <w:link w:val="IntenseQuoteChar"/>
    <w:uiPriority w:val="30"/>
    <w:qFormat/>
    <w:rsid w:val="00E86D0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86D08"/>
    <w:rPr>
      <w:i/>
      <w:iCs/>
      <w:color w:val="2F5496" w:themeColor="accent1" w:themeShade="BF"/>
    </w:rPr>
  </w:style>
  <w:style w:type="character" w:styleId="IntenseReference">
    <w:name w:val="Intense Reference"/>
    <w:basedOn w:val="DefaultParagraphFont"/>
    <w:uiPriority w:val="32"/>
    <w:qFormat/>
    <w:rsid w:val="00E86D08"/>
    <w:rPr>
      <w:b/>
      <w:bCs/>
      <w:smallCaps/>
      <w:color w:val="2F5496" w:themeColor="accent1" w:themeShade="BF"/>
      <w:spacing w:val="5"/>
    </w:rPr>
  </w:style>
  <w:style w:type="paragraph" w:styleId="Header">
    <w:name w:val="header"/>
    <w:basedOn w:val="Normal"/>
    <w:link w:val="HeaderChar"/>
    <w:uiPriority w:val="99"/>
    <w:unhideWhenUsed/>
    <w:rsid w:val="00C05B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5B77"/>
  </w:style>
  <w:style w:type="paragraph" w:styleId="Footer">
    <w:name w:val="footer"/>
    <w:basedOn w:val="Normal"/>
    <w:link w:val="FooterChar"/>
    <w:uiPriority w:val="99"/>
    <w:unhideWhenUsed/>
    <w:rsid w:val="00C05B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5B77"/>
  </w:style>
  <w:style w:type="paragraph" w:styleId="TOCHeading">
    <w:name w:val="TOC Heading"/>
    <w:basedOn w:val="Heading1"/>
    <w:next w:val="Normal"/>
    <w:uiPriority w:val="39"/>
    <w:unhideWhenUsed/>
    <w:qFormat/>
    <w:rsid w:val="00C05B77"/>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C05B77"/>
    <w:pPr>
      <w:spacing w:after="100"/>
    </w:pPr>
  </w:style>
  <w:style w:type="paragraph" w:styleId="TOC2">
    <w:name w:val="toc 2"/>
    <w:basedOn w:val="Normal"/>
    <w:next w:val="Normal"/>
    <w:autoRedefine/>
    <w:uiPriority w:val="39"/>
    <w:unhideWhenUsed/>
    <w:rsid w:val="00C05B77"/>
    <w:pPr>
      <w:spacing w:after="100"/>
      <w:ind w:left="220"/>
    </w:pPr>
  </w:style>
  <w:style w:type="character" w:styleId="Hyperlink">
    <w:name w:val="Hyperlink"/>
    <w:basedOn w:val="DefaultParagraphFont"/>
    <w:uiPriority w:val="99"/>
    <w:unhideWhenUsed/>
    <w:rsid w:val="00C05B7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8FB7EE-B67F-4FB4-ACA2-6241609C71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2496</Words>
  <Characters>14228</Characters>
  <Application>Microsoft Office Word</Application>
  <DocSecurity>0</DocSecurity>
  <Lines>118</Lines>
  <Paragraphs>33</Paragraphs>
  <ScaleCrop>false</ScaleCrop>
  <Company/>
  <LinksUpToDate>false</LinksUpToDate>
  <CharactersWithSpaces>16691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pppp</dc:creator>
  <cp:keywords/>
  <dc:description/>
  <cp:lastModifiedBy>iulia chiriac</cp:lastModifiedBy>
  <cp:revision>2</cp:revision>
  <dcterms:created xsi:type="dcterms:W3CDTF">2024-08-15T17:01:00Z</dcterms:created>
  <dcterms:modified xsi:type="dcterms:W3CDTF">2024-08-15T17:01:00Z</dcterms:modified>
</cp:coreProperties>
</file>