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969D8A">
      <w:pPr>
        <w:spacing w:after="0" w:line="400" w:lineRule="exact"/>
        <w:jc w:val="both"/>
        <w:rPr>
          <w:rFonts w:ascii="Times New Roman" w:hAnsi="Times New Roman" w:cs="Times New Roman"/>
          <w:b/>
          <w:bCs/>
          <w:sz w:val="24"/>
        </w:rPr>
      </w:pPr>
    </w:p>
    <w:sdt>
      <w:sdtPr>
        <w:rPr>
          <w:rFonts w:ascii="宋体" w:hAnsi="宋体" w:eastAsia="宋体" w:cstheme="minorBidi"/>
          <w:kern w:val="2"/>
          <w:sz w:val="21"/>
          <w:szCs w:val="24"/>
          <w:lang w:val="en-US" w:eastAsia="zh-CN" w:bidi="ar-SA"/>
          <w14:ligatures w14:val="standardContextual"/>
        </w:rPr>
        <w:id w:val="12395162"/>
        <w15:color w:val="DBDBDB"/>
        <w:docPartObj>
          <w:docPartGallery w:val="Table of Contents"/>
          <w:docPartUnique/>
        </w:docPartObj>
      </w:sdtPr>
      <w:sdtEndPr>
        <w:rPr>
          <w:rFonts w:ascii="Times New Roman" w:hAnsi="Times New Roman" w:cs="Times New Roman" w:eastAsiaTheme="minorEastAsia"/>
          <w:bCs/>
          <w:kern w:val="2"/>
          <w:sz w:val="22"/>
          <w:szCs w:val="24"/>
          <w:lang w:val="en-US" w:eastAsia="zh-CN" w:bidi="ar-SA"/>
          <w14:ligatures w14:val="standardContextual"/>
        </w:rPr>
      </w:sdtEndPr>
      <w:sdtContent>
        <w:p w14:paraId="3CB5E38F">
          <w:pPr>
            <w:spacing w:before="0" w:beforeLines="0" w:after="0" w:afterLines="0" w:line="240" w:lineRule="auto"/>
            <w:ind w:left="0" w:leftChars="0" w:right="0" w:rightChars="0" w:firstLine="0" w:firstLineChars="0"/>
            <w:jc w:val="center"/>
            <w:rPr>
              <w:rFonts w:hint="eastAsia" w:ascii="宋体" w:hAnsi="宋体" w:eastAsia="宋体" w:cstheme="minorBidi"/>
              <w:kern w:val="2"/>
              <w:sz w:val="21"/>
              <w:szCs w:val="24"/>
              <w:lang w:val="en-US" w:eastAsia="zh-CN" w:bidi="ar-SA"/>
              <w14:ligatures w14:val="standardContextual"/>
            </w:rPr>
          </w:pPr>
          <w:r>
            <w:rPr>
              <w:rFonts w:hint="eastAsia" w:ascii="宋体" w:hAnsi="宋体" w:eastAsia="宋体" w:cstheme="minorBidi"/>
              <w:kern w:val="2"/>
              <w:sz w:val="21"/>
              <w:szCs w:val="24"/>
              <w:lang w:val="en-US" w:eastAsia="zh-CN" w:bidi="ar-SA"/>
              <w14:ligatures w14:val="standardContextual"/>
            </w:rPr>
            <w:t>CONTENTS</w:t>
          </w:r>
        </w:p>
        <w:p w14:paraId="5A63A429">
          <w:pPr>
            <w:spacing w:before="0" w:beforeLines="0" w:after="0" w:afterLines="0" w:line="240" w:lineRule="auto"/>
            <w:ind w:left="0" w:leftChars="0" w:right="0" w:rightChars="0" w:firstLine="0" w:firstLineChars="0"/>
            <w:jc w:val="center"/>
            <w:rPr>
              <w:rFonts w:hint="eastAsia" w:ascii="宋体" w:hAnsi="宋体" w:eastAsia="宋体" w:cstheme="minorBidi"/>
              <w:kern w:val="2"/>
              <w:sz w:val="21"/>
              <w:szCs w:val="24"/>
              <w:lang w:val="en-US" w:eastAsia="zh-CN" w:bidi="ar-SA"/>
              <w14:ligatures w14:val="standardContextual"/>
            </w:rPr>
          </w:pPr>
        </w:p>
        <w:p w14:paraId="036A1E33">
          <w:pPr>
            <w:pStyle w:val="13"/>
            <w:tabs>
              <w:tab w:val="right" w:leader="dot" w:pos="8306"/>
            </w:tabs>
          </w:pPr>
          <w:r>
            <w:rPr>
              <w:rFonts w:ascii="Times New Roman" w:hAnsi="Times New Roman" w:cs="Times New Roman"/>
              <w:b/>
              <w:bCs/>
              <w:sz w:val="24"/>
            </w:rPr>
            <w:fldChar w:fldCharType="begin"/>
          </w:r>
          <w:r>
            <w:rPr>
              <w:rFonts w:ascii="Times New Roman" w:hAnsi="Times New Roman" w:cs="Times New Roman"/>
              <w:b/>
              <w:bCs/>
              <w:sz w:val="24"/>
            </w:rPr>
            <w:instrText xml:space="preserve">TOC \o "1-3" \h \u </w:instrText>
          </w:r>
          <w:r>
            <w:rPr>
              <w:rFonts w:ascii="Times New Roman" w:hAnsi="Times New Roman" w:cs="Times New Roman"/>
              <w:b/>
              <w:bCs/>
              <w:sz w:val="24"/>
            </w:rPr>
            <w:fldChar w:fldCharType="separate"/>
          </w:r>
          <w:r>
            <w:rPr>
              <w:rFonts w:ascii="Times New Roman" w:hAnsi="Times New Roman" w:cs="Times New Roman"/>
              <w:bCs/>
            </w:rPr>
            <w:fldChar w:fldCharType="begin"/>
          </w:r>
          <w:r>
            <w:rPr>
              <w:rFonts w:ascii="Times New Roman" w:hAnsi="Times New Roman" w:cs="Times New Roman"/>
              <w:bCs/>
            </w:rPr>
            <w:instrText xml:space="preserve"> HYPERLINK \l _Toc651311819 </w:instrText>
          </w:r>
          <w:r>
            <w:rPr>
              <w:rFonts w:ascii="Times New Roman" w:hAnsi="Times New Roman" w:cs="Times New Roman"/>
              <w:bCs/>
            </w:rPr>
            <w:fldChar w:fldCharType="separate"/>
          </w:r>
          <w:r>
            <w:rPr>
              <w:rFonts w:ascii="Times New Roman" w:hAnsi="Times New Roman" w:cs="Times New Roman"/>
              <w:bCs/>
            </w:rPr>
            <w:t>1. Introduction</w:t>
          </w:r>
          <w:r>
            <w:tab/>
          </w:r>
          <w:r>
            <w:fldChar w:fldCharType="begin"/>
          </w:r>
          <w:r>
            <w:instrText xml:space="preserve"> PAGEREF _Toc651311819 \h </w:instrText>
          </w:r>
          <w:r>
            <w:fldChar w:fldCharType="separate"/>
          </w:r>
          <w:r>
            <w:t>1</w:t>
          </w:r>
          <w:r>
            <w:fldChar w:fldCharType="end"/>
          </w:r>
          <w:r>
            <w:rPr>
              <w:rFonts w:ascii="Times New Roman" w:hAnsi="Times New Roman" w:cs="Times New Roman"/>
              <w:bCs/>
            </w:rPr>
            <w:fldChar w:fldCharType="end"/>
          </w:r>
        </w:p>
        <w:p w14:paraId="60BA7526">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_Toc873593174 </w:instrText>
          </w:r>
          <w:r>
            <w:rPr>
              <w:rFonts w:ascii="Times New Roman" w:hAnsi="Times New Roman" w:cs="Times New Roman"/>
              <w:bCs/>
            </w:rPr>
            <w:fldChar w:fldCharType="separate"/>
          </w:r>
          <w:r>
            <w:rPr>
              <w:rFonts w:ascii="Times New Roman" w:hAnsi="Times New Roman" w:cs="Times New Roman"/>
              <w:bCs/>
            </w:rPr>
            <w:t>2. Understanding Climate Finance</w:t>
          </w:r>
          <w:r>
            <w:tab/>
          </w:r>
          <w:r>
            <w:fldChar w:fldCharType="begin"/>
          </w:r>
          <w:r>
            <w:instrText xml:space="preserve"> PAGEREF _Toc873593174 \h </w:instrText>
          </w:r>
          <w:r>
            <w:fldChar w:fldCharType="separate"/>
          </w:r>
          <w:r>
            <w:t>2</w:t>
          </w:r>
          <w:r>
            <w:fldChar w:fldCharType="end"/>
          </w:r>
          <w:r>
            <w:rPr>
              <w:rFonts w:ascii="Times New Roman" w:hAnsi="Times New Roman" w:cs="Times New Roman"/>
              <w:bCs/>
            </w:rPr>
            <w:fldChar w:fldCharType="end"/>
          </w:r>
        </w:p>
        <w:p w14:paraId="5A1CB9BB">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_Toc134780879 </w:instrText>
          </w:r>
          <w:r>
            <w:rPr>
              <w:rFonts w:ascii="Times New Roman" w:hAnsi="Times New Roman" w:cs="Times New Roman"/>
              <w:bCs/>
            </w:rPr>
            <w:fldChar w:fldCharType="separate"/>
          </w:r>
          <w:r>
            <w:rPr>
              <w:rFonts w:ascii="Times New Roman" w:hAnsi="Times New Roman" w:cs="Times New Roman"/>
              <w:bCs/>
            </w:rPr>
            <w:t>3. Previous COP Meetings and Climate Finance</w:t>
          </w:r>
          <w:r>
            <w:tab/>
          </w:r>
          <w:r>
            <w:fldChar w:fldCharType="begin"/>
          </w:r>
          <w:r>
            <w:instrText xml:space="preserve"> PAGEREF _Toc134780879 \h </w:instrText>
          </w:r>
          <w:r>
            <w:fldChar w:fldCharType="separate"/>
          </w:r>
          <w:r>
            <w:t>3</w:t>
          </w:r>
          <w:r>
            <w:fldChar w:fldCharType="end"/>
          </w:r>
          <w:r>
            <w:rPr>
              <w:rFonts w:ascii="Times New Roman" w:hAnsi="Times New Roman" w:cs="Times New Roman"/>
              <w:bCs/>
            </w:rPr>
            <w:fldChar w:fldCharType="end"/>
          </w:r>
        </w:p>
        <w:p w14:paraId="23F81523">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_Toc1814469415 </w:instrText>
          </w:r>
          <w:r>
            <w:rPr>
              <w:rFonts w:ascii="Times New Roman" w:hAnsi="Times New Roman" w:cs="Times New Roman"/>
              <w:bCs/>
            </w:rPr>
            <w:fldChar w:fldCharType="separate"/>
          </w:r>
          <w:r>
            <w:rPr>
              <w:rFonts w:ascii="Times New Roman" w:hAnsi="Times New Roman" w:cs="Times New Roman"/>
              <w:bCs/>
            </w:rPr>
            <w:t>3.1 COP15 and the USD 100 Billion Goal</w:t>
          </w:r>
          <w:r>
            <w:tab/>
          </w:r>
          <w:r>
            <w:fldChar w:fldCharType="begin"/>
          </w:r>
          <w:r>
            <w:instrText xml:space="preserve"> PAGEREF _Toc1814469415 \h </w:instrText>
          </w:r>
          <w:r>
            <w:fldChar w:fldCharType="separate"/>
          </w:r>
          <w:r>
            <w:t>3</w:t>
          </w:r>
          <w:r>
            <w:fldChar w:fldCharType="end"/>
          </w:r>
          <w:r>
            <w:rPr>
              <w:rFonts w:ascii="Times New Roman" w:hAnsi="Times New Roman" w:cs="Times New Roman"/>
              <w:bCs/>
            </w:rPr>
            <w:fldChar w:fldCharType="end"/>
          </w:r>
        </w:p>
        <w:p w14:paraId="3C5D6DDD">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_Toc1519670505 </w:instrText>
          </w:r>
          <w:r>
            <w:rPr>
              <w:rFonts w:ascii="Times New Roman" w:hAnsi="Times New Roman" w:cs="Times New Roman"/>
              <w:bCs/>
            </w:rPr>
            <w:fldChar w:fldCharType="separate"/>
          </w:r>
          <w:r>
            <w:rPr>
              <w:rFonts w:ascii="Times New Roman" w:hAnsi="Times New Roman" w:cs="Times New Roman"/>
              <w:bCs/>
            </w:rPr>
            <w:t>3.2 The Paris Agreement and the Long-Term Finance Architecture</w:t>
          </w:r>
          <w:r>
            <w:tab/>
          </w:r>
          <w:r>
            <w:fldChar w:fldCharType="begin"/>
          </w:r>
          <w:r>
            <w:instrText xml:space="preserve"> PAGEREF _Toc1519670505 \h </w:instrText>
          </w:r>
          <w:r>
            <w:fldChar w:fldCharType="separate"/>
          </w:r>
          <w:r>
            <w:t>4</w:t>
          </w:r>
          <w:r>
            <w:fldChar w:fldCharType="end"/>
          </w:r>
          <w:r>
            <w:rPr>
              <w:rFonts w:ascii="Times New Roman" w:hAnsi="Times New Roman" w:cs="Times New Roman"/>
              <w:bCs/>
            </w:rPr>
            <w:fldChar w:fldCharType="end"/>
          </w:r>
        </w:p>
        <w:p w14:paraId="7221613E">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_Toc1079163764 </w:instrText>
          </w:r>
          <w:r>
            <w:rPr>
              <w:rFonts w:ascii="Times New Roman" w:hAnsi="Times New Roman" w:cs="Times New Roman"/>
              <w:bCs/>
            </w:rPr>
            <w:fldChar w:fldCharType="separate"/>
          </w:r>
          <w:r>
            <w:rPr>
              <w:rFonts w:ascii="Times New Roman" w:hAnsi="Times New Roman" w:cs="Times New Roman"/>
              <w:bCs/>
            </w:rPr>
            <w:t>3.3 Adaptation Finance and the Persistent Imbalance</w:t>
          </w:r>
          <w:r>
            <w:tab/>
          </w:r>
          <w:r>
            <w:fldChar w:fldCharType="begin"/>
          </w:r>
          <w:r>
            <w:instrText xml:space="preserve"> PAGEREF _Toc1079163764 \h </w:instrText>
          </w:r>
          <w:r>
            <w:fldChar w:fldCharType="separate"/>
          </w:r>
          <w:r>
            <w:t>5</w:t>
          </w:r>
          <w:r>
            <w:fldChar w:fldCharType="end"/>
          </w:r>
          <w:r>
            <w:rPr>
              <w:rFonts w:ascii="Times New Roman" w:hAnsi="Times New Roman" w:cs="Times New Roman"/>
              <w:bCs/>
            </w:rPr>
            <w:fldChar w:fldCharType="end"/>
          </w:r>
        </w:p>
        <w:p w14:paraId="1C23C118">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_Toc2005982633 </w:instrText>
          </w:r>
          <w:r>
            <w:rPr>
              <w:rFonts w:ascii="Times New Roman" w:hAnsi="Times New Roman" w:cs="Times New Roman"/>
              <w:bCs/>
            </w:rPr>
            <w:fldChar w:fldCharType="separate"/>
          </w:r>
          <w:r>
            <w:rPr>
              <w:rFonts w:ascii="Times New Roman" w:hAnsi="Times New Roman" w:cs="Times New Roman"/>
              <w:bCs/>
            </w:rPr>
            <w:t>3.4 COP27 and COP28: Loss and Damage Finance</w:t>
          </w:r>
          <w:r>
            <w:tab/>
          </w:r>
          <w:r>
            <w:fldChar w:fldCharType="begin"/>
          </w:r>
          <w:r>
            <w:instrText xml:space="preserve"> PAGEREF _Toc2005982633 \h </w:instrText>
          </w:r>
          <w:r>
            <w:fldChar w:fldCharType="separate"/>
          </w:r>
          <w:r>
            <w:t>6</w:t>
          </w:r>
          <w:r>
            <w:fldChar w:fldCharType="end"/>
          </w:r>
          <w:r>
            <w:rPr>
              <w:rFonts w:ascii="Times New Roman" w:hAnsi="Times New Roman" w:cs="Times New Roman"/>
              <w:bCs/>
            </w:rPr>
            <w:fldChar w:fldCharType="end"/>
          </w:r>
        </w:p>
        <w:p w14:paraId="4261AE38">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_Toc1204338578 </w:instrText>
          </w:r>
          <w:r>
            <w:rPr>
              <w:rFonts w:ascii="Times New Roman" w:hAnsi="Times New Roman" w:cs="Times New Roman"/>
              <w:bCs/>
            </w:rPr>
            <w:fldChar w:fldCharType="separate"/>
          </w:r>
          <w:r>
            <w:rPr>
              <w:rFonts w:ascii="Times New Roman" w:hAnsi="Times New Roman" w:cs="Times New Roman"/>
              <w:bCs/>
            </w:rPr>
            <w:t>3.5 COP29 and the New Collective Quantified Goal</w:t>
          </w:r>
          <w:r>
            <w:tab/>
          </w:r>
          <w:r>
            <w:fldChar w:fldCharType="begin"/>
          </w:r>
          <w:r>
            <w:instrText xml:space="preserve"> PAGEREF _Toc1204338578 \h </w:instrText>
          </w:r>
          <w:r>
            <w:fldChar w:fldCharType="separate"/>
          </w:r>
          <w:r>
            <w:t>7</w:t>
          </w:r>
          <w:r>
            <w:fldChar w:fldCharType="end"/>
          </w:r>
          <w:r>
            <w:rPr>
              <w:rFonts w:ascii="Times New Roman" w:hAnsi="Times New Roman" w:cs="Times New Roman"/>
              <w:bCs/>
            </w:rPr>
            <w:fldChar w:fldCharType="end"/>
          </w:r>
        </w:p>
        <w:p w14:paraId="1B488B1F">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_Toc1285107471 </w:instrText>
          </w:r>
          <w:r>
            <w:rPr>
              <w:rFonts w:ascii="Times New Roman" w:hAnsi="Times New Roman" w:cs="Times New Roman"/>
              <w:bCs/>
            </w:rPr>
            <w:fldChar w:fldCharType="separate"/>
          </w:r>
          <w:r>
            <w:rPr>
              <w:rFonts w:ascii="Times New Roman" w:hAnsi="Times New Roman" w:cs="Times New Roman"/>
              <w:bCs/>
            </w:rPr>
            <w:t>4. COP30 in Belém: Implementation and Its Limits</w:t>
          </w:r>
          <w:r>
            <w:tab/>
          </w:r>
          <w:r>
            <w:fldChar w:fldCharType="begin"/>
          </w:r>
          <w:r>
            <w:instrText xml:space="preserve"> PAGEREF _Toc1285107471 \h </w:instrText>
          </w:r>
          <w:r>
            <w:fldChar w:fldCharType="separate"/>
          </w:r>
          <w:r>
            <w:t>7</w:t>
          </w:r>
          <w:r>
            <w:fldChar w:fldCharType="end"/>
          </w:r>
          <w:r>
            <w:rPr>
              <w:rFonts w:ascii="Times New Roman" w:hAnsi="Times New Roman" w:cs="Times New Roman"/>
              <w:bCs/>
            </w:rPr>
            <w:fldChar w:fldCharType="end"/>
          </w:r>
        </w:p>
        <w:p w14:paraId="19E04394">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_Toc1558227218 </w:instrText>
          </w:r>
          <w:r>
            <w:rPr>
              <w:rFonts w:ascii="Times New Roman" w:hAnsi="Times New Roman" w:cs="Times New Roman"/>
              <w:bCs/>
            </w:rPr>
            <w:fldChar w:fldCharType="separate"/>
          </w:r>
          <w:r>
            <w:rPr>
              <w:rFonts w:ascii="Times New Roman" w:hAnsi="Times New Roman" w:cs="Times New Roman"/>
              <w:bCs/>
            </w:rPr>
            <w:t>5. Critical Assessment: Commitments, Institutions and Delivery</w:t>
          </w:r>
          <w:r>
            <w:tab/>
          </w:r>
          <w:r>
            <w:fldChar w:fldCharType="begin"/>
          </w:r>
          <w:r>
            <w:instrText xml:space="preserve"> PAGEREF _Toc1558227218 \h </w:instrText>
          </w:r>
          <w:r>
            <w:fldChar w:fldCharType="separate"/>
          </w:r>
          <w:r>
            <w:t>9</w:t>
          </w:r>
          <w:r>
            <w:fldChar w:fldCharType="end"/>
          </w:r>
          <w:r>
            <w:rPr>
              <w:rFonts w:ascii="Times New Roman" w:hAnsi="Times New Roman" w:cs="Times New Roman"/>
              <w:bCs/>
            </w:rPr>
            <w:fldChar w:fldCharType="end"/>
          </w:r>
        </w:p>
        <w:p w14:paraId="072BB663">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_Toc561777761 </w:instrText>
          </w:r>
          <w:r>
            <w:rPr>
              <w:rFonts w:ascii="Times New Roman" w:hAnsi="Times New Roman" w:cs="Times New Roman"/>
              <w:bCs/>
            </w:rPr>
            <w:fldChar w:fldCharType="separate"/>
          </w:r>
          <w:r>
            <w:rPr>
              <w:rFonts w:ascii="Times New Roman" w:hAnsi="Times New Roman" w:cs="Times New Roman"/>
              <w:bCs/>
            </w:rPr>
            <w:t>5.1 Commitments</w:t>
          </w:r>
          <w:r>
            <w:tab/>
          </w:r>
          <w:r>
            <w:fldChar w:fldCharType="begin"/>
          </w:r>
          <w:r>
            <w:instrText xml:space="preserve"> PAGEREF _Toc561777761 \h </w:instrText>
          </w:r>
          <w:r>
            <w:fldChar w:fldCharType="separate"/>
          </w:r>
          <w:r>
            <w:t>9</w:t>
          </w:r>
          <w:r>
            <w:fldChar w:fldCharType="end"/>
          </w:r>
          <w:r>
            <w:rPr>
              <w:rFonts w:ascii="Times New Roman" w:hAnsi="Times New Roman" w:cs="Times New Roman"/>
              <w:bCs/>
            </w:rPr>
            <w:fldChar w:fldCharType="end"/>
          </w:r>
        </w:p>
        <w:p w14:paraId="786B66FE">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_Toc1460716915 </w:instrText>
          </w:r>
          <w:r>
            <w:rPr>
              <w:rFonts w:ascii="Times New Roman" w:hAnsi="Times New Roman" w:cs="Times New Roman"/>
              <w:bCs/>
            </w:rPr>
            <w:fldChar w:fldCharType="separate"/>
          </w:r>
          <w:r>
            <w:rPr>
              <w:rFonts w:ascii="Times New Roman" w:hAnsi="Times New Roman" w:cs="Times New Roman"/>
              <w:bCs/>
            </w:rPr>
            <w:t>5.2 Institutions</w:t>
          </w:r>
          <w:r>
            <w:tab/>
          </w:r>
          <w:r>
            <w:fldChar w:fldCharType="begin"/>
          </w:r>
          <w:r>
            <w:instrText xml:space="preserve"> PAGEREF _Toc1460716915 \h </w:instrText>
          </w:r>
          <w:r>
            <w:fldChar w:fldCharType="separate"/>
          </w:r>
          <w:r>
            <w:t>9</w:t>
          </w:r>
          <w:r>
            <w:fldChar w:fldCharType="end"/>
          </w:r>
          <w:r>
            <w:rPr>
              <w:rFonts w:ascii="Times New Roman" w:hAnsi="Times New Roman" w:cs="Times New Roman"/>
              <w:bCs/>
            </w:rPr>
            <w:fldChar w:fldCharType="end"/>
          </w:r>
        </w:p>
        <w:p w14:paraId="1631050B">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_Toc236137901 </w:instrText>
          </w:r>
          <w:r>
            <w:rPr>
              <w:rFonts w:ascii="Times New Roman" w:hAnsi="Times New Roman" w:cs="Times New Roman"/>
              <w:bCs/>
            </w:rPr>
            <w:fldChar w:fldCharType="separate"/>
          </w:r>
          <w:r>
            <w:rPr>
              <w:rFonts w:ascii="Times New Roman" w:hAnsi="Times New Roman" w:cs="Times New Roman"/>
              <w:bCs/>
            </w:rPr>
            <w:t>5.3 Delivery</w:t>
          </w:r>
          <w:r>
            <w:tab/>
          </w:r>
          <w:r>
            <w:fldChar w:fldCharType="begin"/>
          </w:r>
          <w:r>
            <w:instrText xml:space="preserve"> PAGEREF _Toc236137901 \h </w:instrText>
          </w:r>
          <w:r>
            <w:fldChar w:fldCharType="separate"/>
          </w:r>
          <w:r>
            <w:t>10</w:t>
          </w:r>
          <w:r>
            <w:fldChar w:fldCharType="end"/>
          </w:r>
          <w:r>
            <w:rPr>
              <w:rFonts w:ascii="Times New Roman" w:hAnsi="Times New Roman" w:cs="Times New Roman"/>
              <w:bCs/>
            </w:rPr>
            <w:fldChar w:fldCharType="end"/>
          </w:r>
        </w:p>
        <w:p w14:paraId="55331D26">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_Toc219922451 </w:instrText>
          </w:r>
          <w:r>
            <w:rPr>
              <w:rFonts w:ascii="Times New Roman" w:hAnsi="Times New Roman" w:cs="Times New Roman"/>
              <w:bCs/>
            </w:rPr>
            <w:fldChar w:fldCharType="separate"/>
          </w:r>
          <w:r>
            <w:rPr>
              <w:rFonts w:ascii="Times New Roman" w:hAnsi="Times New Roman" w:cs="Times New Roman"/>
              <w:bCs/>
            </w:rPr>
            <w:t>6. Prospects After COP30</w:t>
          </w:r>
          <w:r>
            <w:tab/>
          </w:r>
          <w:r>
            <w:fldChar w:fldCharType="begin"/>
          </w:r>
          <w:r>
            <w:instrText xml:space="preserve"> PAGEREF _Toc219922451 \h </w:instrText>
          </w:r>
          <w:r>
            <w:fldChar w:fldCharType="separate"/>
          </w:r>
          <w:r>
            <w:t>10</w:t>
          </w:r>
          <w:r>
            <w:fldChar w:fldCharType="end"/>
          </w:r>
          <w:r>
            <w:rPr>
              <w:rFonts w:ascii="Times New Roman" w:hAnsi="Times New Roman" w:cs="Times New Roman"/>
              <w:bCs/>
            </w:rPr>
            <w:fldChar w:fldCharType="end"/>
          </w:r>
        </w:p>
        <w:p w14:paraId="76A332CC">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_Toc417277470 </w:instrText>
          </w:r>
          <w:r>
            <w:rPr>
              <w:rFonts w:ascii="Times New Roman" w:hAnsi="Times New Roman" w:cs="Times New Roman"/>
              <w:bCs/>
            </w:rPr>
            <w:fldChar w:fldCharType="separate"/>
          </w:r>
          <w:r>
            <w:rPr>
              <w:rFonts w:ascii="Times New Roman" w:hAnsi="Times New Roman" w:cs="Times New Roman"/>
              <w:bCs/>
            </w:rPr>
            <w:t>7. Conclusion</w:t>
          </w:r>
          <w:r>
            <w:tab/>
          </w:r>
          <w:r>
            <w:fldChar w:fldCharType="begin"/>
          </w:r>
          <w:r>
            <w:instrText xml:space="preserve"> PAGEREF _Toc417277470 \h </w:instrText>
          </w:r>
          <w:r>
            <w:fldChar w:fldCharType="separate"/>
          </w:r>
          <w:r>
            <w:t>11</w:t>
          </w:r>
          <w:r>
            <w:fldChar w:fldCharType="end"/>
          </w:r>
          <w:r>
            <w:rPr>
              <w:rFonts w:ascii="Times New Roman" w:hAnsi="Times New Roman" w:cs="Times New Roman"/>
              <w:bCs/>
            </w:rPr>
            <w:fldChar w:fldCharType="end"/>
          </w:r>
        </w:p>
        <w:p w14:paraId="64620139">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_Toc1648330835 </w:instrText>
          </w:r>
          <w:r>
            <w:rPr>
              <w:rFonts w:ascii="Times New Roman" w:hAnsi="Times New Roman" w:cs="Times New Roman"/>
              <w:bCs/>
            </w:rPr>
            <w:fldChar w:fldCharType="separate"/>
          </w:r>
          <w:r>
            <w:rPr>
              <w:rFonts w:ascii="Times New Roman" w:hAnsi="Times New Roman" w:cs="Times New Roman"/>
              <w:bCs/>
            </w:rPr>
            <w:t>References</w:t>
          </w:r>
          <w:r>
            <w:tab/>
          </w:r>
          <w:r>
            <w:fldChar w:fldCharType="begin"/>
          </w:r>
          <w:r>
            <w:instrText xml:space="preserve"> PAGEREF _Toc1648330835 \h </w:instrText>
          </w:r>
          <w:r>
            <w:fldChar w:fldCharType="separate"/>
          </w:r>
          <w:r>
            <w:t>12</w:t>
          </w:r>
          <w:r>
            <w:fldChar w:fldCharType="end"/>
          </w:r>
          <w:r>
            <w:rPr>
              <w:rFonts w:ascii="Times New Roman" w:hAnsi="Times New Roman" w:cs="Times New Roman"/>
              <w:bCs/>
            </w:rPr>
            <w:fldChar w:fldCharType="end"/>
          </w:r>
        </w:p>
        <w:p w14:paraId="3B7DF6BA">
          <w:pPr>
            <w:spacing w:after="0" w:line="400" w:lineRule="exact"/>
            <w:jc w:val="both"/>
            <w:outlineLvl w:val="9"/>
            <w:rPr>
              <w:rFonts w:ascii="Times New Roman" w:hAnsi="Times New Roman" w:cs="Times New Roman" w:eastAsiaTheme="minorEastAsia"/>
              <w:bCs/>
              <w:kern w:val="2"/>
              <w:sz w:val="22"/>
              <w:szCs w:val="24"/>
              <w:lang w:val="en-US" w:eastAsia="zh-CN" w:bidi="ar-SA"/>
              <w14:ligatures w14:val="standardContextual"/>
            </w:rPr>
          </w:pPr>
          <w:r>
            <w:rPr>
              <w:rFonts w:ascii="Times New Roman" w:hAnsi="Times New Roman" w:cs="Times New Roman"/>
              <w:bCs/>
            </w:rPr>
            <w:fldChar w:fldCharType="end"/>
          </w:r>
        </w:p>
      </w:sdtContent>
    </w:sdt>
    <w:p w14:paraId="26603B8B">
      <w:pPr>
        <w:spacing w:after="0" w:line="400" w:lineRule="exact"/>
        <w:jc w:val="both"/>
        <w:outlineLvl w:val="9"/>
        <w:rPr>
          <w:rFonts w:ascii="Times New Roman" w:hAnsi="Times New Roman" w:cs="Times New Roman" w:eastAsiaTheme="minorEastAsia"/>
          <w:bCs/>
          <w:kern w:val="2"/>
          <w:sz w:val="22"/>
          <w:szCs w:val="24"/>
          <w:lang w:val="en-US" w:eastAsia="zh-CN" w:bidi="ar-SA"/>
          <w14:ligatures w14:val="standardContextual"/>
        </w:rPr>
      </w:pPr>
    </w:p>
    <w:p w14:paraId="063AB88E">
      <w:pPr>
        <w:spacing w:after="0" w:line="400" w:lineRule="exact"/>
        <w:jc w:val="both"/>
        <w:rPr>
          <w:rFonts w:ascii="Times New Roman" w:hAnsi="Times New Roman" w:cs="Times New Roman"/>
          <w:b/>
          <w:bCs/>
          <w:sz w:val="24"/>
        </w:rPr>
      </w:pPr>
    </w:p>
    <w:p w14:paraId="06B295CC">
      <w:pPr>
        <w:spacing w:after="0" w:line="400" w:lineRule="exact"/>
        <w:jc w:val="both"/>
        <w:rPr>
          <w:rFonts w:ascii="Times New Roman" w:hAnsi="Times New Roman" w:cs="Times New Roman"/>
          <w:b/>
          <w:bCs/>
          <w:sz w:val="24"/>
        </w:rPr>
      </w:pPr>
    </w:p>
    <w:p w14:paraId="356970BF">
      <w:pPr>
        <w:spacing w:after="0" w:line="400" w:lineRule="exact"/>
        <w:jc w:val="both"/>
        <w:rPr>
          <w:rFonts w:ascii="Times New Roman" w:hAnsi="Times New Roman" w:cs="Times New Roman"/>
          <w:b/>
          <w:bCs/>
          <w:sz w:val="24"/>
        </w:rPr>
        <w:sectPr>
          <w:pgSz w:w="11906" w:h="16838"/>
          <w:pgMar w:top="1440" w:right="1800" w:bottom="1440" w:left="1800" w:header="851" w:footer="992" w:gutter="0"/>
          <w:cols w:space="425" w:num="1"/>
          <w:docGrid w:type="lines" w:linePitch="312" w:charSpace="0"/>
        </w:sectPr>
      </w:pPr>
    </w:p>
    <w:p w14:paraId="1D761D99">
      <w:pPr>
        <w:spacing w:after="0" w:line="400" w:lineRule="exact"/>
        <w:jc w:val="both"/>
        <w:rPr>
          <w:rFonts w:ascii="Times New Roman" w:hAnsi="Times New Roman" w:cs="Times New Roman"/>
          <w:b/>
          <w:bCs/>
          <w:sz w:val="24"/>
        </w:rPr>
      </w:pPr>
      <w:r>
        <w:rPr>
          <w:rFonts w:ascii="Times New Roman" w:hAnsi="Times New Roman" w:cs="Times New Roman"/>
          <w:b/>
          <w:bCs/>
          <w:sz w:val="24"/>
        </w:rPr>
        <w:t>Climate Finance for Developing Countries: From COP Commitments to Post-COP30 Delivery</w:t>
      </w:r>
    </w:p>
    <w:p w14:paraId="6D2C83C2">
      <w:pPr>
        <w:spacing w:after="0" w:line="400" w:lineRule="exact"/>
        <w:jc w:val="both"/>
        <w:rPr>
          <w:rFonts w:ascii="Times New Roman" w:hAnsi="Times New Roman" w:cs="Times New Roman"/>
          <w:b/>
          <w:bCs/>
          <w:sz w:val="24"/>
        </w:rPr>
      </w:pPr>
    </w:p>
    <w:p w14:paraId="7F364499">
      <w:pPr>
        <w:spacing w:after="0" w:line="400" w:lineRule="exact"/>
        <w:jc w:val="both"/>
        <w:outlineLvl w:val="0"/>
        <w:rPr>
          <w:rFonts w:ascii="Times New Roman" w:hAnsi="Times New Roman" w:cs="Times New Roman"/>
          <w:b/>
          <w:bCs/>
          <w:sz w:val="24"/>
        </w:rPr>
      </w:pPr>
      <w:bookmarkStart w:id="0" w:name="_Toc651311819"/>
      <w:r>
        <w:rPr>
          <w:rFonts w:ascii="Times New Roman" w:hAnsi="Times New Roman" w:cs="Times New Roman"/>
          <w:b/>
          <w:bCs/>
          <w:sz w:val="24"/>
        </w:rPr>
        <w:t>1. Introduction</w:t>
      </w:r>
      <w:bookmarkEnd w:id="0"/>
    </w:p>
    <w:p w14:paraId="451B89CC">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Climate finance for developing countries has become a key issue that people are discussing most at the United Nations Climate Conference. More than just capital transfers among developed and developing countries is involved in this phenomenon. Also related to historical responsibility, climate justice, development rights, debt sustainability and confidence in the multilateral climate system. While some emerging economies are drafting national-level climate-related laws or plans at present, we cannot make specific predictions about which markets and funds such policies will generate interest once implemented. Finance is essential for realising the nationally determined contributions (NDCs), national adaptation plans and low-carbon development strategy.</w:t>
      </w:r>
    </w:p>
    <w:p w14:paraId="4C823EF6">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Climate Finance for Developing Countries: This paper will examine this issue in detail during the COP process. Based on the extent of addressing this issue at previous COPs and the development prospects of subsequent ones up to COP30 in Belém, Brazil. Using a three-section analysis method of "commitments", "institutions" and "delivery". commitments include political commitments and quantified fiscal targets, for example, a USD 100-billion-a-year pledge per year plus a new collective quantifiable target. Institutions include Bodies, Funds and Mechanisms established for the purpose of governing and allocating Climate Finance. Delivery indicates if finance has reached developing countries in a certain quantity, speed and standard of quality.</w:t>
      </w:r>
    </w:p>
    <w:p w14:paraId="3BB633C4">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This study believes that while there have been some positive results in promoting the formation of a climate finance system through the COP process and institutionalising it; The implementation effect in practice is not as good for developing countries' development. At COP15 in Copenhagen, which focused on placing the $100-billion climate finance target at its core. The Paris Agreement is related to financing decisions and targets over a longer period. COP27 and COP28 established and put into operation the Fund for addressing loss and damage. COP29 agreed the New Collective Quantified Goal, including a target of at least USD 300 billion per year by 2035 and a broader call to scale up finance to USD 1.3 trillion per year. COP30 was then introduced as an implementable COP; the Belém outcome called for increased adaptation financing of at least three times by 2035 and established a two-year work plan on climate finance.</w:t>
      </w:r>
    </w:p>
    <w:p w14:paraId="0454CBEC">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 xml:space="preserve">Nevertheless, there are still some deficiencies persisting. According to the OECD (2024), the old USD 100-billion target has not been met until two years after it was announced. The amount of adaptation financing is still much lower than expected; according to UN Environment, developing countries will require about $310-365 billion annually for adaptation between now and 2035, but actual international public adaptation financing reached just $26 billion in 2023. Because of these shortcomings, determining if the issues in COP30 continue persistently are now more complex; It will ultimately be decided by which kind of financial system Structure is suitable and provides sufficient resources for developing countries. </w:t>
      </w:r>
    </w:p>
    <w:p w14:paraId="768B6A9C">
      <w:pPr>
        <w:spacing w:after="0" w:line="400" w:lineRule="exact"/>
        <w:ind w:firstLine="480" w:firstLineChars="200"/>
        <w:jc w:val="both"/>
        <w:rPr>
          <w:rFonts w:ascii="Times New Roman" w:hAnsi="Times New Roman" w:cs="Times New Roman"/>
          <w:sz w:val="24"/>
        </w:rPr>
      </w:pPr>
    </w:p>
    <w:p w14:paraId="441FBF0D">
      <w:pPr>
        <w:spacing w:after="0" w:line="400" w:lineRule="exact"/>
        <w:jc w:val="both"/>
        <w:outlineLvl w:val="0"/>
        <w:rPr>
          <w:rFonts w:ascii="Times New Roman" w:hAnsi="Times New Roman" w:cs="Times New Roman"/>
          <w:b/>
          <w:bCs/>
          <w:sz w:val="24"/>
        </w:rPr>
      </w:pPr>
      <w:bookmarkStart w:id="1" w:name="_Toc873593174"/>
      <w:r>
        <w:rPr>
          <w:rFonts w:ascii="Times New Roman" w:hAnsi="Times New Roman" w:cs="Times New Roman"/>
          <w:b/>
          <w:bCs/>
          <w:sz w:val="24"/>
        </w:rPr>
        <w:t>2. Understanding Climate Finance</w:t>
      </w:r>
      <w:bookmarkEnd w:id="1"/>
    </w:p>
    <w:p w14:paraId="1D693B87">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Climate finance can be divided into the following three types: Mitigation actions; Adaptation Measures; Responses to Losses and Damage. Mitigation finance is for the activities to reduce or avoid greenhouse gases, including renewable energy, Energy Conservation and Emission reduction decarbonisation of transport etc. adaptation financing is used to support Activities that assist society in addressing Climate Impacts, such as Flood Protection, Drought-Resistant Agriculture and Infrastructure designed for Early Warning Systems. Loss and damage finance addresses harms that cannot be fully avoided through mitigation or adaptation, including destruction caused by extreme weather events and slow-onset processes such as sea-level rise.</w:t>
      </w:r>
    </w:p>
    <w:p w14:paraId="691D672F">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These distinctions are necessary for the many types of climate-finance instruments have varying political and economic characteristics. Mitigation Projects That Can Attract More Private Capital Are Those Generating regular financial returns. Renewable energy Projects may also be defined as Bankable Investments by banks. Adaptation Projects have problems of fund-raising in the private market because they generate public benefits but are difficult to monetise. They can help save lives and reduce losses further; However, there is no corresponding economic benefit at present. Pauw et al. (2022a) believe that market deficiencies lead to government intervention in promoting the allocation of resources for adaptation through increased private funding participation.</w:t>
      </w:r>
    </w:p>
    <w:p w14:paraId="280C584F">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Loss and damage finance is even more politically sensitive due to the issue of who bears responsibility for climate harm. Developing countries and small island states have long argued that some climate impacts are irreversible and cannot be treated as normal adaptation costs. The Paris Agreement has recognized that avoiding, reducing and responding to loss and damage are essential, and this was confirmed at COP27 that a dedicated fund for dealing with loss and damage would be established (UNFCCC, 2015; UNFCCC, 2022).</w:t>
      </w:r>
    </w:p>
    <w:p w14:paraId="7CA48731">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 Paris Accord also has a new meaning of climate funding. Article 2.1 (c): Make the flow of finance in line with low-greenhouse-gas-emission and climate-resilience development goals. Article 9 stipulates that developed country Parties will offer financial support to help developing countries mitigate and adapt to climate change jointly. Climate finance is not only providing direct support, but also promoting a system-wide transformation of the global Financial System.</w:t>
      </w:r>
    </w:p>
    <w:p w14:paraId="42F1856C">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There is a problem at the overall level. The most developed countries pay more attention to stimulating private investment and coordinating multiple channels for financing at present. Many developing countries focus on the responsibility of developed nations to provide a public, predictable and grant-in-aid system. Pauw et al. (2022b) believe that increasing the headline amount alone does not meet the requirements for long-term climate change financing targets beyond 2030; moreover, they should be clarified in terms of finance type, balancing mitigation with adaptation, specifying grant functions, setting access criteria, etc.</w:t>
      </w:r>
    </w:p>
    <w:p w14:paraId="697C60AE">
      <w:pPr>
        <w:spacing w:after="0" w:line="400" w:lineRule="exact"/>
        <w:ind w:firstLine="480" w:firstLineChars="200"/>
        <w:jc w:val="both"/>
        <w:rPr>
          <w:rFonts w:ascii="Times New Roman" w:hAnsi="Times New Roman" w:cs="Times New Roman"/>
          <w:sz w:val="24"/>
        </w:rPr>
      </w:pPr>
    </w:p>
    <w:p w14:paraId="09D5AF38">
      <w:pPr>
        <w:numPr>
          <w:ilvl w:val="0"/>
          <w:numId w:val="1"/>
        </w:numPr>
        <w:spacing w:after="0" w:line="400" w:lineRule="exact"/>
        <w:jc w:val="both"/>
        <w:outlineLvl w:val="0"/>
        <w:rPr>
          <w:rFonts w:ascii="Times New Roman" w:hAnsi="Times New Roman" w:cs="Times New Roman"/>
          <w:b/>
          <w:bCs/>
          <w:sz w:val="24"/>
        </w:rPr>
      </w:pPr>
      <w:bookmarkStart w:id="2" w:name="_Toc134780879"/>
      <w:r>
        <w:rPr>
          <w:rFonts w:ascii="Times New Roman" w:hAnsi="Times New Roman" w:cs="Times New Roman"/>
          <w:b/>
          <w:bCs/>
          <w:sz w:val="24"/>
        </w:rPr>
        <w:t>Previous COP Meetings and Climate Finance</w:t>
      </w:r>
      <w:bookmarkEnd w:id="2"/>
    </w:p>
    <w:p w14:paraId="5DC73C72">
      <w:pPr>
        <w:spacing w:after="0" w:line="400" w:lineRule="exact"/>
        <w:jc w:val="both"/>
        <w:outlineLvl w:val="1"/>
        <w:rPr>
          <w:rFonts w:ascii="Times New Roman" w:hAnsi="Times New Roman" w:cs="Times New Roman"/>
          <w:b/>
          <w:bCs/>
          <w:sz w:val="24"/>
        </w:rPr>
      </w:pPr>
      <w:bookmarkStart w:id="3" w:name="_Toc1814469415"/>
      <w:r>
        <w:rPr>
          <w:rFonts w:ascii="Times New Roman" w:hAnsi="Times New Roman" w:cs="Times New Roman"/>
          <w:b/>
          <w:bCs/>
          <w:sz w:val="24"/>
        </w:rPr>
        <w:t>3.1 COP15 and the USD 100 Billion Goal</w:t>
      </w:r>
      <w:bookmarkEnd w:id="3"/>
    </w:p>
    <w:p w14:paraId="3C49C219">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COP15 in Copenhagen in 2009 marked a change point for the Politics of Climate Finance. Although the conference was always considered a defeat because no global agreement on climate had been reached, it made the first substantial declaration of funds for combating climate change diplomacy. Developed countries committed to jointly mobilising USD 100 billion per year by 2020 to address the needs of developing countries. The above-mentioned political significance of the commitment is that it links the climate goals of developing and developed countries together (UNFCCC, 2009).</w:t>
      </w:r>
    </w:p>
    <w:p w14:paraId="74A81A1C">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 US$100-billion target set up an all-inclusive anticipation among the poorer nations of receiving financial assistance for mitigation and adaptation. Also served as a trial for the relationship among developed and developing nations. However, the target had a poor Design. No clear regulations were made on what constitutes climate finance, which proportion of it should come from public finances and grants, who would bear the cost of the burden distribution for developing countries. Weikmans and Roberts (2019) described it as a "muddle of accounting", due to the lack of uniform accounting standards, each party could report its own climate-finance data differently.</w:t>
      </w:r>
    </w:p>
    <w:p w14:paraId="6FFEACFD">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Credibility gradually became evident with increasing use. According to the OECD's report in 2022, developed countries provided and mobilised US$115.9 billion of climate funds for developing countries; thus, breaking a ten-year record by achieving this target at last. Two years after the deadline for 2020 (OECD, 2024); currently in 2022. There is an inconsistency because the vulnerable countries have been experiencing growing climatic pressure already. In climate finance, late delivery is not neutral because of the delay in adaptation, increased loss and higher future expenses.</w:t>
      </w:r>
    </w:p>
    <w:p w14:paraId="6EDD8F80">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Furthermore, there are errors in the correctness of the accounting information supplied. According to Oxfam and CARE (2025), a significant portion of the climate funds has been distributed as loans rather than grants; therefore, it may raise the country's debt level. Tozeke et al. (2022) show that the estimate of formalised climate finance tends to be higher than that from a well-implemented project-based approach. There are currently some criticisms of this US$100-billion target that it must be evaluated based on both whether the headline figure has been achieved and to what extent finance is new, additional, concessional and accessible.</w:t>
      </w:r>
    </w:p>
    <w:p w14:paraId="44D70441">
      <w:pPr>
        <w:spacing w:after="0" w:line="400" w:lineRule="exact"/>
        <w:jc w:val="both"/>
        <w:outlineLvl w:val="1"/>
        <w:rPr>
          <w:rFonts w:ascii="Times New Roman" w:hAnsi="Times New Roman" w:cs="Times New Roman"/>
          <w:b/>
          <w:bCs/>
          <w:sz w:val="24"/>
        </w:rPr>
      </w:pPr>
      <w:bookmarkStart w:id="4" w:name="_Toc1519670505"/>
      <w:r>
        <w:rPr>
          <w:rFonts w:ascii="Times New Roman" w:hAnsi="Times New Roman" w:cs="Times New Roman"/>
          <w:b/>
          <w:bCs/>
          <w:sz w:val="24"/>
        </w:rPr>
        <w:t>3.2 The Paris Agreement and the Long-Term Finance Architecture</w:t>
      </w:r>
      <w:bookmarkEnd w:id="4"/>
    </w:p>
    <w:p w14:paraId="6714DFD5">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In 2015, The Paris Agreement changed its position among all parties outside of this overall structure. No longer viewed solely as support for a single project. As part of the continuous evolution toward low-carbon and resilient development. Article 2.1(c) links financial flows with the overall Direction of Development; and Article 9 retains the obligation of developed countries to provide financial support for developing ones (UNFCCC, 2015).</w:t>
      </w:r>
    </w:p>
    <w:p w14:paraId="26DBD9AE">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One type of institutional output necessary. The Paris Agreement connected finance to mitigation ambition, adaptation plans, disclosure requirements, and the Global Stocktake. Additionally, it may provide a stronger basis for evaluating the effect of climate-fund achievement and target orientation. The Agreement states that the global stocktake should review the adequacy and effectiveness of adaptation and support (UNFCCC, 2015).</w:t>
      </w:r>
    </w:p>
    <w:p w14:paraId="5B3A9FE2">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 Paris Agreement was unable to resolve the issue of financing. There was no robust enforcement mechanism of the obligation to pay developed-country finance. There was no stipulation of the ratio for responsibility allocation. It failed to resolve both the contradiction of public and private finances properly. Based on the argument that as a result of varying standards worldwide for climate-related investments by definition, confidence has correspondingly declined. Mistrust has persisted since then in negotiations about the New Collective Quantified Target.</w:t>
      </w:r>
    </w:p>
    <w:p w14:paraId="7314795D">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 Green Climate Fund is among many organizations aimed at promoting the Paris climate agreement financing framework. To support the pursuit of low-carbon emission and climate-resistant development by developing nations. The GCF has developed into the world's most significant dedicated multilateral climate finance facility and completed its second replenishment, which received donations amounting to $9.3bn from 25 countries across five continents, reaching new heights at COP28 (GCF, 2023).</w:t>
      </w:r>
    </w:p>
    <w:p w14:paraId="19E35128">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 xml:space="preserve">Still restricted across many developing countries at present. Treichel et al. (2024) show that small island developing states have been proportionally less successful than other vulnerable country groups in accessing funding through the GCF, despite their high exposure and strong climate justice claim. Kühler and Shinn (2022) also find that there may be contradictions between transformational adaptation and country ownership in international adaptation financing. Therefore, institutional expansion is not always accompanied by equal opportunities for participation. </w:t>
      </w:r>
    </w:p>
    <w:p w14:paraId="40AD1BEF">
      <w:pPr>
        <w:spacing w:after="0" w:line="400" w:lineRule="exact"/>
        <w:jc w:val="both"/>
        <w:outlineLvl w:val="1"/>
        <w:rPr>
          <w:rFonts w:ascii="Times New Roman" w:hAnsi="Times New Roman" w:cs="Times New Roman"/>
          <w:b/>
          <w:bCs/>
          <w:sz w:val="24"/>
        </w:rPr>
      </w:pPr>
      <w:bookmarkStart w:id="5" w:name="_Toc1079163764"/>
      <w:r>
        <w:rPr>
          <w:rFonts w:ascii="Times New Roman" w:hAnsi="Times New Roman" w:cs="Times New Roman"/>
          <w:b/>
          <w:bCs/>
          <w:sz w:val="24"/>
        </w:rPr>
        <w:t>3.3 Adaptation Finance and the Persistent Imbalance</w:t>
      </w:r>
      <w:bookmarkEnd w:id="5"/>
    </w:p>
    <w:p w14:paraId="6C57118F">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Adaption Finance has appeared continuously at the COP conferences. Many developing countries believe that due to the lack of attention and resources invested in adaptation, some vulnerable developed countries are also affected by climate change. COP26 in Glasgow called on developed nations to increase adaptation assistance by two times those of 2019 by 2025. It indicated that this step was necessary, but the huge shortfall in finance remained unresolved.</w:t>
      </w:r>
    </w:p>
    <w:p w14:paraId="63497C81">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According to UN Environment's Adaptation Gap Report 2025, Developing Countries require approximately $31 billion per annum for adaptation by 2035 through models; Alternatively, this figure is projected at around $365 billion annually if extrapolated from Nationally Determined Contributions (NDCs) and national adaptation plans. According to the aforementioned study, international public adaptation financing in 2023 reached $26 billion compared with USD 28 billion for all of 2022 (UN Environment Programme, 2025).</w:t>
      </w:r>
    </w:p>
    <w:p w14:paraId="153A4DE3">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 difference shows that no substantial financial assistance has been provided so far in response to the previous COP summit on adaptation problems. Climate Policy Initiative (2023) reported that global climate financing reached about $1.3 billion per year in 2021-2022 and primarily came from mitigation projects; There has been an insufficient increase in adaptation-related investments. This indicates a structure of climate finance imbalance: Capital moves more freely into mitigation sectors where returns are clearer; Adaptation is still poorly funded.</w:t>
      </w:r>
    </w:p>
    <w:p w14:paraId="16A1EF48">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In addition, although there is a lack of money, other means exist for obtaining it. Many adaptation Projects require public subsidies or very concessionary loans for supporting social goods and public services. Adaptation finance provided primarily as loans would leave developing countries that are already struggling with debt over-indebtedness. Therefore, many developing countries believe that adaptation finance should be primarily grant-based and more predictable and accessible.</w:t>
      </w:r>
    </w:p>
    <w:p w14:paraId="5D654AA3">
      <w:pPr>
        <w:spacing w:after="0" w:line="400" w:lineRule="exact"/>
        <w:jc w:val="both"/>
        <w:outlineLvl w:val="1"/>
        <w:rPr>
          <w:rFonts w:ascii="Times New Roman" w:hAnsi="Times New Roman" w:cs="Times New Roman"/>
          <w:b/>
          <w:bCs/>
          <w:sz w:val="24"/>
        </w:rPr>
      </w:pPr>
      <w:bookmarkStart w:id="6" w:name="_Toc2005982633"/>
      <w:r>
        <w:rPr>
          <w:rFonts w:ascii="Times New Roman" w:hAnsi="Times New Roman" w:cs="Times New Roman"/>
          <w:b/>
          <w:bCs/>
          <w:sz w:val="24"/>
        </w:rPr>
        <w:t>3.4 COP27 and COP28: Loss and Damage Finance</w:t>
      </w:r>
      <w:bookmarkEnd w:id="6"/>
    </w:p>
    <w:p w14:paraId="3E1F05E9">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 loss-and-impact agenda reflects both progress made and deficiencies in the COP process at a glance. Over the years, vulnerable countries have been concerned that climate-induced adverse effects exceed adaptive limits. For instance, damage to houses, facilities, ecological environment, cultural heritages and lives. Many developed countries are hesitant about establishing an independent loss-damage Fund out of concerns for liability and compensation.</w:t>
      </w:r>
    </w:p>
    <w:p w14:paraId="473294F5">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COP27 in Sharm El-Sheikh in 2022 achieved a breakthrough. Parties have decided to set up a disaster response fund and provide assistance to developing countries that are more prone to losing or suffering damage from climate change (UNFCCC, 2022). It was a significant political and organisational success of developing nations. Some climate-related damages have already needed more than just adaptation.</w:t>
      </w:r>
    </w:p>
    <w:p w14:paraId="7A89689F">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COP28 in Dubai subsequently put into effect the new financing mechanisms. COP28 made clear that the operation of the Fund should be done so as to promote consistency and complementarity with new and existing financing arrangements and help countries raise external resources for enhancing disaster resilience (UNFCCC, 2023). Shifted the attention of recognition towards action taking.</w:t>
      </w:r>
    </w:p>
    <w:p w14:paraId="26790370">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But at present, this situation does not have a direct impact on delivering funds to vulnerable countries. The initial pledge was relatively smaller than the estimated losses and damages. Governance, access Rules and their relation to the World Bank have also drawn criticism. Building a particular fund is an institution's effort towards progress during growth; Its reliability comes from being able to give quick help swiftly provide enough resources make it easy for others.</w:t>
      </w:r>
    </w:p>
    <w:p w14:paraId="0B85AA78">
      <w:pPr>
        <w:spacing w:after="0" w:line="400" w:lineRule="exact"/>
        <w:jc w:val="both"/>
        <w:outlineLvl w:val="1"/>
        <w:rPr>
          <w:rFonts w:ascii="Times New Roman" w:hAnsi="Times New Roman" w:cs="Times New Roman"/>
          <w:b/>
          <w:bCs/>
          <w:sz w:val="24"/>
        </w:rPr>
      </w:pPr>
      <w:bookmarkStart w:id="7" w:name="_Toc1204338578"/>
      <w:r>
        <w:rPr>
          <w:rFonts w:ascii="Times New Roman" w:hAnsi="Times New Roman" w:cs="Times New Roman"/>
          <w:b/>
          <w:bCs/>
          <w:sz w:val="24"/>
        </w:rPr>
        <w:t>3.5 COP29 and the New Collective Quantified Goal</w:t>
      </w:r>
      <w:bookmarkEnd w:id="7"/>
    </w:p>
    <w:p w14:paraId="23449D31">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COP29 in Baku in 2024 was a crucial finance COP, as it needed to set a new target of financing after 2025. An outcome determined that, within three decades, developed countries would shoulder a minimum annual commitment of US$300bn to aid developing countries through quantified targets by then. It also asked all actors to join hands with each other to increase the flow of money for development in underdeveloped regions across various sectors reaching over US$1.3 trillion annually by 2035 (UNFCCC, 2024).</w:t>
      </w:r>
    </w:p>
    <w:p w14:paraId="1A4F3626">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NCQG was important because it raised the original US $ 100 billion objective to US $ 2 trillion and confirmed that trillions were needed instead of billions. Baku-Belém Roadmap to 1.3T aimed at promoting the whole scaling up process, including via aid packages, concessionary loans/non-debt creation means and policies to increase fiscal resources (United Nations Framework Convention on Climate Change, 2025a).</w:t>
      </w:r>
    </w:p>
    <w:p w14:paraId="6BDCFF02">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Nevertheless, COP29 has been criticised by many developing countries and civil society organisations as insufficient. The US$300 billion goal was significantly lower than what most developing countries sought in terms of financial assistance. According to the independent high-level expert group of the climate finance at COP29, developed countries, except for China, developing countries will require approximately US$100 billion a year by 2030 for climate change mitigation and sustainable development outside their own economies.</w:t>
      </w:r>
    </w:p>
    <w:p w14:paraId="3E3CFDBF">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Pauw et al. (2022b) have already warned that a new financial goal will be unfulfilled simply by raising the quantity of its expression without enhancing the quality of finance. The problem remained until COP29. The NCQG failed to address the proportionate relationship among public finances, private finances; grants versus loans; mitigation vs. adaptation needs; Least Developed Countries (LDCs) and Small Island Developing States' access rights issue. Therefore, COP29 set up a new political standard but failed to resolve the implementation path issue.</w:t>
      </w:r>
    </w:p>
    <w:p w14:paraId="3A211158">
      <w:pPr>
        <w:spacing w:after="0" w:line="400" w:lineRule="exact"/>
        <w:ind w:firstLine="480" w:firstLineChars="200"/>
        <w:jc w:val="both"/>
        <w:rPr>
          <w:rFonts w:ascii="Times New Roman" w:hAnsi="Times New Roman" w:cs="Times New Roman"/>
          <w:sz w:val="24"/>
        </w:rPr>
      </w:pPr>
    </w:p>
    <w:p w14:paraId="44DF52CA">
      <w:pPr>
        <w:spacing w:after="0" w:line="400" w:lineRule="exact"/>
        <w:jc w:val="both"/>
        <w:outlineLvl w:val="0"/>
        <w:rPr>
          <w:rFonts w:ascii="Times New Roman" w:hAnsi="Times New Roman" w:cs="Times New Roman"/>
          <w:b/>
          <w:bCs/>
          <w:sz w:val="24"/>
        </w:rPr>
      </w:pPr>
      <w:bookmarkStart w:id="8" w:name="_Toc1285107471"/>
      <w:r>
        <w:rPr>
          <w:rFonts w:ascii="Times New Roman" w:hAnsi="Times New Roman" w:cs="Times New Roman"/>
          <w:b/>
          <w:bCs/>
          <w:sz w:val="24"/>
        </w:rPr>
        <w:t>4. COP30 in Belém: Implementation and Its Limits</w:t>
      </w:r>
      <w:bookmarkEnd w:id="8"/>
    </w:p>
    <w:p w14:paraId="39A9044B">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COP30 in Belém, Brazil, was under the influence of the compromise at COP29 on financing. Its political environment had a clear conflict of interest. Underdeveloped countries needed proof of the effectiveness of this new financial goal in raising resources. Developed countries remained cautious about stronger public finance obligations and often emphasised private finance mobilisation. COP30 had symbolic value for both its location near the Amazon to link climate finance with forests, biodiversity, Indigenous people and adaptation, and justice.</w:t>
      </w:r>
    </w:p>
    <w:p w14:paraId="241689E3">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 primary negotiation result was the Belém political package and the Mutirão decision. COP30 was introduced to the Brazilian Presidency as a practical application-focused gathering. Based on the official COP30 Presidency Communication, 195 countries have ratified the Belém Package, which includes Decisions on Just Transition, Adaptation Financing, Gender and Technology (COP30-Brazil, 2025).</w:t>
      </w:r>
    </w:p>
    <w:p w14:paraId="0FB49EBD">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Among them, the main financial results were as follows: At least triple the scale of adaptive financing by 2035. The Mutirão Decision also set up a two-year Work Programme on Climate Finance and listed Article 9 of the Paris Agreement in conjunction with its entire text (UNFCCC, 2025b). At COP31 talks, finance should continue to be prioritised as the foundation of this consultation process becoming officially recognised.</w:t>
      </w:r>
    </w:p>
    <w:p w14:paraId="1F3A60E6">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COP30 also persisted in operating development of loss and damage finance. The guidance on the Fund for loss and damage mentioned that the fund had taken steps away from political acknowledgement toward its realisation. Because vulnerable countries have always insisted that the loss and damage financing be real rather than a mere formality.</w:t>
      </w:r>
    </w:p>
    <w:p w14:paraId="1DA41FCA">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However, COP30 also had certain restrictions. Based on "efforts" and for the year after 2035, several less robust nations found it difficult to accept this goal. The decision has not elaborately specified methods for collecting adaptation financing, proportions involving public grants or subsidies; Also unexplained are the policies designed to lower access barriers. According to Carbon Brief, the outcome of COP30 can be summarised as follows: In 2035, there will be an increase in adaptation funding; However, this does not provide clearer roadmaps for fossil fuel phase-out or forest conservation.</w:t>
      </w:r>
    </w:p>
    <w:p w14:paraId="1AE22018">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Thus, COP30 can be described as "helpful but incomplete". It reinforced the realisation task list and made adaptation financing visible, but it still left a financial deficit. After COP30, will translating political language into real financial flow be able to achieve the change in the new work programme and the Baku-Belém roadmap?</w:t>
      </w:r>
    </w:p>
    <w:p w14:paraId="7D424124">
      <w:pPr>
        <w:spacing w:after="0" w:line="400" w:lineRule="exact"/>
        <w:ind w:firstLine="480" w:firstLineChars="200"/>
        <w:jc w:val="both"/>
        <w:rPr>
          <w:rFonts w:ascii="Times New Roman" w:hAnsi="Times New Roman" w:cs="Times New Roman"/>
          <w:sz w:val="24"/>
        </w:rPr>
      </w:pPr>
    </w:p>
    <w:p w14:paraId="6FF5FC00">
      <w:pPr>
        <w:spacing w:after="0" w:line="400" w:lineRule="exact"/>
        <w:jc w:val="both"/>
        <w:outlineLvl w:val="0"/>
        <w:rPr>
          <w:rFonts w:ascii="Times New Roman" w:hAnsi="Times New Roman" w:cs="Times New Roman"/>
          <w:b/>
          <w:bCs/>
          <w:sz w:val="24"/>
        </w:rPr>
      </w:pPr>
      <w:bookmarkStart w:id="9" w:name="_Toc1558227218"/>
      <w:r>
        <w:rPr>
          <w:rFonts w:ascii="Times New Roman" w:hAnsi="Times New Roman" w:cs="Times New Roman"/>
          <w:b/>
          <w:bCs/>
          <w:sz w:val="24"/>
        </w:rPr>
        <w:t>5. Critical Assessment: Commitments, Institutions and Delivery</w:t>
      </w:r>
      <w:bookmarkEnd w:id="9"/>
    </w:p>
    <w:p w14:paraId="4AD1908C">
      <w:pPr>
        <w:spacing w:after="0" w:line="400" w:lineRule="exact"/>
        <w:jc w:val="both"/>
        <w:outlineLvl w:val="1"/>
        <w:rPr>
          <w:rFonts w:ascii="Times New Roman" w:hAnsi="Times New Roman" w:cs="Times New Roman"/>
          <w:b/>
          <w:bCs/>
          <w:sz w:val="24"/>
        </w:rPr>
      </w:pPr>
      <w:bookmarkStart w:id="10" w:name="_Toc561777761"/>
      <w:r>
        <w:rPr>
          <w:rFonts w:ascii="Times New Roman" w:hAnsi="Times New Roman" w:cs="Times New Roman"/>
          <w:b/>
          <w:bCs/>
          <w:sz w:val="24"/>
        </w:rPr>
        <w:t>5.1 Commitments</w:t>
      </w:r>
      <w:bookmarkEnd w:id="10"/>
    </w:p>
    <w:p w14:paraId="27FAC14C">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This commitment was made in the Copenhagen Accord as a result. With the goal of achieving a US$100 billion scale-up reached, reaching 1 trillion dollars in cumulative GHG emission reduction capacity by 2030 shows an overall-level upgrading plan for global climate policies at present. COP30 called for a tripling of adaptation finance by 2035 in this sense.</w:t>
      </w:r>
    </w:p>
    <w:p w14:paraId="59D64039">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However, the commitments remain insufficient compared with needs. USD 100 billion was achieved after some time. The USD 300 billion target applies only by 2035 and is below many estimates of developing-country needs. UNEP's projection is as high as $310-365 billion per year in terms of global annual spending on adaptation up to 2035 indicates that the cost may exceed even the entirety of the USD 300-billion goal.</w:t>
      </w:r>
    </w:p>
    <w:p w14:paraId="2E3A2E45">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Therefore, it is both aspiration and lack of reliability. Repeated commitments made later and unfulfilled commitments diminish trust again and again. Therefore, we can infer that according to Weikmans and Roberts' (2019), Pauw et al.'s (2022a+b) research focus on improving the level of transparency, quality and accountability of climate financing.</w:t>
      </w:r>
    </w:p>
    <w:p w14:paraId="090DCCC2">
      <w:pPr>
        <w:spacing w:after="0" w:line="400" w:lineRule="exact"/>
        <w:jc w:val="both"/>
        <w:outlineLvl w:val="1"/>
        <w:rPr>
          <w:rFonts w:ascii="Times New Roman" w:hAnsi="Times New Roman" w:cs="Times New Roman"/>
          <w:b/>
          <w:bCs/>
          <w:sz w:val="24"/>
        </w:rPr>
      </w:pPr>
      <w:bookmarkStart w:id="11" w:name="_Toc1460716915"/>
      <w:r>
        <w:rPr>
          <w:rFonts w:ascii="Times New Roman" w:hAnsi="Times New Roman" w:cs="Times New Roman"/>
          <w:b/>
          <w:bCs/>
          <w:sz w:val="24"/>
        </w:rPr>
        <w:t>5.2 Institutions</w:t>
      </w:r>
      <w:bookmarkEnd w:id="11"/>
    </w:p>
    <w:p w14:paraId="5688E2FF">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 institution of the COP has fostered a more complicated climate finance system. Green Climate Fund, Adaptation Fund, Global Environment Facility and the Fund for Addressing Loss and Damage offer routes of climate aid. At COP27 and COP28, it was agreed to set up and implement the loss-and-damage fund. COP30 provided additional support and also extended its finance work plan.</w:t>
      </w:r>
    </w:p>
    <w:p w14:paraId="5C79223B">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Because there exist such institutionalised ways for developing countries to request assistance via the established institutions. However, it is also fragmented. Many countries have many funds, different application rules, complicated accreditation regulations and long review times. According to Shaw Woo et al., although all countries have the obligation under international law, there is no uniform process for realisation among them without such institutions.</w:t>
      </w:r>
    </w:p>
    <w:p w14:paraId="1206A75E">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Accessibility problems are more pronounced in small Island Developing States and Least Developed Countries. Treichel, C.K., &amp; others (2024). Small Island Developing States' Inaccessibility to Green Climate Fund Resources is Caused by the Funding Model Favouring Large-Scale Projects. It is likely that this Design will be disadvantaged for countries urgently needing support but having a small government administration.</w:t>
      </w:r>
    </w:p>
    <w:p w14:paraId="244F8E54">
      <w:pPr>
        <w:spacing w:after="0" w:line="400" w:lineRule="exact"/>
        <w:jc w:val="both"/>
        <w:outlineLvl w:val="1"/>
        <w:rPr>
          <w:rFonts w:ascii="Times New Roman" w:hAnsi="Times New Roman" w:cs="Times New Roman"/>
          <w:b/>
          <w:bCs/>
          <w:sz w:val="24"/>
        </w:rPr>
      </w:pPr>
      <w:bookmarkStart w:id="12" w:name="_Toc236137901"/>
      <w:r>
        <w:rPr>
          <w:rFonts w:ascii="Times New Roman" w:hAnsi="Times New Roman" w:cs="Times New Roman"/>
          <w:b/>
          <w:bCs/>
          <w:sz w:val="24"/>
        </w:rPr>
        <w:t>5.3 Delivery</w:t>
      </w:r>
      <w:bookmarkEnd w:id="12"/>
    </w:p>
    <w:p w14:paraId="71029874">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Delivery still has its weaknesses on the list of climate-finance records. Still has a substantial financing deficit problem; There are disagreements over the quality. According to official statistics, there have been some achievements; however, many developing countries still doubt whether such funds are truly new and extra-concessional financial assistance intended for areas that need help more urgently.</w:t>
      </w:r>
    </w:p>
    <w:p w14:paraId="0B9F81C5">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Loans will arise later on. If climate finance arrives in the form of loans and raises total debt for developing countries that have contributed less to global warming. In particular, there are problems with adaptation and loss and damage; it is difficult to obtain a clear benefit for oneself. Oxfam and CARE (2025) pointed out that too much climate funds have been given as loans, raising issues of equity and debt repayment capacity.</w:t>
      </w:r>
    </w:p>
    <w:p w14:paraId="29F6F847">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Private finance also has limits. It is important for scaling investment in renewable energy and infrastructure, but it cannot replace public finance for adaptation and loss and damage. According to Kalinowski, adding the private sector to the Green Climate Fund is unlikely to significantly relax public finance constraints quickly. Supports, in particular, this generalisation of private funds supplementing public finances but not being their replacement.</w:t>
      </w:r>
    </w:p>
    <w:p w14:paraId="6E09B6FF">
      <w:pPr>
        <w:spacing w:after="0" w:line="400" w:lineRule="exact"/>
        <w:ind w:firstLine="480" w:firstLineChars="200"/>
        <w:jc w:val="both"/>
        <w:rPr>
          <w:rFonts w:ascii="Times New Roman" w:hAnsi="Times New Roman" w:cs="Times New Roman"/>
          <w:sz w:val="24"/>
        </w:rPr>
      </w:pPr>
    </w:p>
    <w:p w14:paraId="029F74E4">
      <w:pPr>
        <w:spacing w:after="0" w:line="400" w:lineRule="exact"/>
        <w:jc w:val="both"/>
        <w:outlineLvl w:val="0"/>
        <w:rPr>
          <w:rFonts w:ascii="Times New Roman" w:hAnsi="Times New Roman" w:cs="Times New Roman"/>
          <w:b/>
          <w:bCs/>
          <w:sz w:val="24"/>
        </w:rPr>
      </w:pPr>
      <w:bookmarkStart w:id="13" w:name="_Toc219922451"/>
      <w:r>
        <w:rPr>
          <w:rFonts w:ascii="Times New Roman" w:hAnsi="Times New Roman" w:cs="Times New Roman"/>
          <w:b/>
          <w:bCs/>
          <w:sz w:val="24"/>
        </w:rPr>
        <w:t>6. Prospects After COP30</w:t>
      </w:r>
      <w:bookmarkEnd w:id="13"/>
    </w:p>
    <w:p w14:paraId="1FDD4005">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Based on the outcomes of COP30, there may be several future courses:</w:t>
      </w:r>
    </w:p>
    <w:p w14:paraId="05EDD10B">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In the best case, COP30 will serve as a turning point from commitments to actions. Therefore, in this case, the two-year work plan for climate finance specifically describes how to implement the NCQG. Developed countries increase public finance. Multilateral Development Banks increase concessional loans. The Fund for dealing with loss and damage can approve and disburse funds rapidly upon application. Expected growth in adaptation financing will enable weak countries to direct more funds towards constructing lasting resilience.</w:t>
      </w:r>
    </w:p>
    <w:p w14:paraId="0F794294">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 middle one is more likely. Institutes have been developing further and raising money more steadily over time; however, they are still far from closing it completely. The US$300 billion target remains politically necessary but developing countries face obstacles in access, large burdens of debt, inadequate aid, etc. Private finance increases in mitigation sectors, but adaptation and loss and damage remain underfunded.</w:t>
      </w:r>
    </w:p>
    <w:p w14:paraId="39FBE85B">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In the worst case, geopolitical tensions or fiscal pressures from government debt may lead them to decrease investment in the expansion of physical infrastructures. Then, developed countries will primarily utilise private funds for mobilisation and widen the scope of accounting. Moreover, it will take effect for certain Developing Countries; However, climate change will worsen over time. It could increase this legitimacy discrepancy in the COP process.</w:t>
      </w:r>
    </w:p>
    <w:p w14:paraId="7AF93A4C">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Also many kinds of methods on that way exist. The USD 300-billion target needs to have a clear path for annual fulfilment transparency. Secondly, the Adaptation and loss-and-damage financing should have an increased proportion of grants and highly concessional funds. Third, Simplify the access procedure for Least Developed Countries and small island developing States. Fourth, climate finance needs to have ties to debt sustainability and fiscal capacity. Fifth, Accounting Standards need to differentiate between grants, Loans, Mobilised Private Finance and Re-classified Development Aid clearly.</w:t>
      </w:r>
    </w:p>
    <w:p w14:paraId="278A2A4C">
      <w:pPr>
        <w:spacing w:after="0" w:line="400" w:lineRule="exact"/>
        <w:ind w:firstLine="480" w:firstLineChars="200"/>
        <w:jc w:val="both"/>
        <w:rPr>
          <w:rFonts w:ascii="Times New Roman" w:hAnsi="Times New Roman" w:cs="Times New Roman"/>
          <w:sz w:val="24"/>
        </w:rPr>
      </w:pPr>
    </w:p>
    <w:p w14:paraId="463E6FD1">
      <w:pPr>
        <w:spacing w:after="0" w:line="400" w:lineRule="exact"/>
        <w:jc w:val="both"/>
        <w:outlineLvl w:val="0"/>
        <w:rPr>
          <w:rFonts w:ascii="Times New Roman" w:hAnsi="Times New Roman" w:cs="Times New Roman"/>
          <w:b/>
          <w:bCs/>
          <w:sz w:val="24"/>
        </w:rPr>
      </w:pPr>
      <w:bookmarkStart w:id="14" w:name="_Toc417277470"/>
      <w:r>
        <w:rPr>
          <w:rFonts w:ascii="Times New Roman" w:hAnsi="Times New Roman" w:cs="Times New Roman"/>
          <w:b/>
          <w:bCs/>
          <w:sz w:val="24"/>
        </w:rPr>
        <w:t>7. Conclusion</w:t>
      </w:r>
      <w:bookmarkEnd w:id="14"/>
    </w:p>
    <w:p w14:paraId="31492ABF">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Climate financing for developing countries by previous COPs has been somewhat effective, though some were more successful than others. COP15 established a USD 100-billion target, which was not delivered on time after all. The Paris Agreement added financial aspects to the long-term governance system for addressing climate change but still have their deficiencies. COP27 and COP28 have achieved some progress in loss-and-damage mechanisms, but the scale of funds available is still relatively small. The establishment of COP29's new collective quantified goal has not reached the level of USD 300 billion in reality. The COP30 still moved in this direction by means of the Belém package, adaptation finance signals and further loss-damage provisions.</w:t>
      </w:r>
    </w:p>
    <w:p w14:paraId="1A0B65CE">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In general, COP30 has enhanced the climate financing channel, but ensuring an abundance and speed of funds within this pipeline remains unfulfilled at present. After the completion of COP30, how to ensure that governments commit will lead to implementation remains uncertain. Developing countries' problems are no longer about whether there will be funds, but whether they can receive them in a usable form, avoid exacerbating debts, and support the groups most affected by climate change first. COP processes' credibility is likely to rely more on their ability to turn climate financing into a reality for climate justice now, thereby erasing all past delays.</w:t>
      </w:r>
    </w:p>
    <w:p w14:paraId="2D27A7C7">
      <w:pPr>
        <w:spacing w:after="0" w:line="400" w:lineRule="exact"/>
        <w:jc w:val="both"/>
        <w:rPr>
          <w:rFonts w:ascii="Times New Roman" w:hAnsi="Times New Roman" w:cs="Times New Roman"/>
          <w:sz w:val="24"/>
        </w:rPr>
      </w:pPr>
    </w:p>
    <w:p w14:paraId="4E25D326">
      <w:pPr>
        <w:spacing w:after="0" w:line="400" w:lineRule="exact"/>
        <w:jc w:val="both"/>
        <w:outlineLvl w:val="0"/>
        <w:rPr>
          <w:rFonts w:ascii="Times New Roman" w:hAnsi="Times New Roman" w:cs="Times New Roman"/>
          <w:b/>
          <w:bCs/>
          <w:sz w:val="24"/>
        </w:rPr>
      </w:pPr>
      <w:bookmarkStart w:id="15" w:name="_Toc1648330835"/>
      <w:r>
        <w:rPr>
          <w:rFonts w:ascii="Times New Roman" w:hAnsi="Times New Roman" w:cs="Times New Roman"/>
          <w:b/>
          <w:bCs/>
          <w:sz w:val="24"/>
        </w:rPr>
        <w:t>References</w:t>
      </w:r>
      <w:bookmarkEnd w:id="15"/>
    </w:p>
    <w:p w14:paraId="066B4FB0">
      <w:pPr>
        <w:spacing w:after="0" w:line="400" w:lineRule="exact"/>
        <w:jc w:val="both"/>
        <w:rPr>
          <w:rFonts w:ascii="Times New Roman" w:hAnsi="Times New Roman" w:cs="Times New Roman"/>
          <w:sz w:val="24"/>
        </w:rPr>
      </w:pPr>
      <w:r>
        <w:rPr>
          <w:rFonts w:ascii="Times New Roman" w:hAnsi="Times New Roman" w:cs="Times New Roman"/>
          <w:sz w:val="24"/>
        </w:rPr>
        <w:t xml:space="preserve">Bhattacharya, A., Songwe, V., Soubeyran, E. and Stern, N. (2024) </w:t>
      </w:r>
      <w:r>
        <w:rPr>
          <w:rFonts w:ascii="Times New Roman" w:hAnsi="Times New Roman" w:cs="Times New Roman"/>
          <w:i/>
          <w:iCs/>
          <w:sz w:val="24"/>
        </w:rPr>
        <w:t>Raising Ambition and Accelerating Delivery of Climate Finance</w:t>
      </w:r>
      <w:r>
        <w:rPr>
          <w:rFonts w:ascii="Times New Roman" w:hAnsi="Times New Roman" w:cs="Times New Roman"/>
          <w:sz w:val="24"/>
        </w:rPr>
        <w:t>. London: Grantham Research Institute on Climate Change and the Environment, London School of Economics and Political Science.</w:t>
      </w:r>
    </w:p>
    <w:p w14:paraId="697BD8E7">
      <w:pPr>
        <w:spacing w:after="0" w:line="400" w:lineRule="exact"/>
        <w:jc w:val="both"/>
        <w:rPr>
          <w:rFonts w:ascii="Times New Roman" w:hAnsi="Times New Roman" w:cs="Times New Roman"/>
          <w:sz w:val="24"/>
        </w:rPr>
      </w:pPr>
      <w:r>
        <w:rPr>
          <w:rFonts w:ascii="Times New Roman" w:hAnsi="Times New Roman" w:cs="Times New Roman"/>
          <w:sz w:val="24"/>
        </w:rPr>
        <w:t xml:space="preserve">Carbon Brief (2025) ‘COP30: Key outcomes agreed at the UN climate talks in Belém’, </w:t>
      </w:r>
      <w:r>
        <w:rPr>
          <w:rFonts w:ascii="Times New Roman" w:hAnsi="Times New Roman" w:cs="Times New Roman"/>
          <w:i/>
          <w:iCs/>
          <w:sz w:val="24"/>
        </w:rPr>
        <w:t>Carbon Brief</w:t>
      </w:r>
      <w:r>
        <w:rPr>
          <w:rFonts w:ascii="Times New Roman" w:hAnsi="Times New Roman" w:cs="Times New Roman"/>
          <w:sz w:val="24"/>
        </w:rPr>
        <w:t>, 23 November 2025.</w:t>
      </w:r>
    </w:p>
    <w:p w14:paraId="4F3CF527">
      <w:pPr>
        <w:spacing w:after="0" w:line="400" w:lineRule="exact"/>
        <w:jc w:val="both"/>
        <w:rPr>
          <w:rFonts w:ascii="Times New Roman" w:hAnsi="Times New Roman" w:cs="Times New Roman"/>
          <w:sz w:val="24"/>
        </w:rPr>
      </w:pPr>
      <w:r>
        <w:rPr>
          <w:rFonts w:ascii="Times New Roman" w:hAnsi="Times New Roman" w:cs="Times New Roman"/>
          <w:sz w:val="24"/>
        </w:rPr>
        <w:t xml:space="preserve">Climate Policy Initiative (2023) </w:t>
      </w:r>
      <w:r>
        <w:rPr>
          <w:rFonts w:ascii="Times New Roman" w:hAnsi="Times New Roman" w:cs="Times New Roman"/>
          <w:i/>
          <w:iCs/>
          <w:sz w:val="24"/>
        </w:rPr>
        <w:t>Global Landscape of Climate Finance 2023</w:t>
      </w:r>
      <w:r>
        <w:rPr>
          <w:rFonts w:ascii="Times New Roman" w:hAnsi="Times New Roman" w:cs="Times New Roman"/>
          <w:sz w:val="24"/>
        </w:rPr>
        <w:t>. San Francisco: Climate Policy Initiative.</w:t>
      </w:r>
    </w:p>
    <w:p w14:paraId="7095ADD6">
      <w:pPr>
        <w:spacing w:after="0" w:line="400" w:lineRule="exact"/>
        <w:jc w:val="both"/>
        <w:rPr>
          <w:rFonts w:ascii="Times New Roman" w:hAnsi="Times New Roman" w:cs="Times New Roman"/>
          <w:sz w:val="24"/>
        </w:rPr>
      </w:pPr>
      <w:r>
        <w:rPr>
          <w:rFonts w:ascii="Times New Roman" w:hAnsi="Times New Roman" w:cs="Times New Roman"/>
          <w:sz w:val="24"/>
        </w:rPr>
        <w:t>COP30 Brazil (2025) ‘COP30 approves Belém Package’, Official COP30 Presidency website, 22 November 2025.</w:t>
      </w:r>
    </w:p>
    <w:p w14:paraId="393ACE53">
      <w:pPr>
        <w:spacing w:after="0" w:line="400" w:lineRule="exact"/>
        <w:jc w:val="both"/>
        <w:rPr>
          <w:rFonts w:ascii="Times New Roman" w:hAnsi="Times New Roman" w:cs="Times New Roman"/>
          <w:sz w:val="24"/>
        </w:rPr>
      </w:pPr>
      <w:r>
        <w:rPr>
          <w:rFonts w:ascii="Times New Roman" w:hAnsi="Times New Roman" w:cs="Times New Roman"/>
          <w:sz w:val="24"/>
        </w:rPr>
        <w:t>Green Climate Fund (2023) ‘Green Climate Fund: New capital to accelerate investment in global climate action’, 5 October 2023.</w:t>
      </w:r>
    </w:p>
    <w:p w14:paraId="200A0911">
      <w:pPr>
        <w:spacing w:after="0" w:line="400" w:lineRule="exact"/>
        <w:jc w:val="both"/>
        <w:rPr>
          <w:rFonts w:ascii="Times New Roman" w:hAnsi="Times New Roman" w:cs="Times New Roman"/>
          <w:sz w:val="24"/>
        </w:rPr>
      </w:pPr>
      <w:r>
        <w:rPr>
          <w:rFonts w:ascii="Times New Roman" w:hAnsi="Times New Roman" w:cs="Times New Roman"/>
          <w:sz w:val="24"/>
        </w:rPr>
        <w:t xml:space="preserve">IISD (2025) </w:t>
      </w:r>
      <w:r>
        <w:rPr>
          <w:rFonts w:ascii="Times New Roman" w:hAnsi="Times New Roman" w:cs="Times New Roman"/>
          <w:i/>
          <w:iCs/>
          <w:sz w:val="24"/>
        </w:rPr>
        <w:t>Summary Report of the UN Climate Change Conference, Belém, Brazil, 10–21 November 2025</w:t>
      </w:r>
      <w:r>
        <w:rPr>
          <w:rFonts w:ascii="Times New Roman" w:hAnsi="Times New Roman" w:cs="Times New Roman"/>
          <w:sz w:val="24"/>
        </w:rPr>
        <w:t>. Earth Negotiations Bulletin. Winnipeg: International Institute for Sustainable Development.</w:t>
      </w:r>
    </w:p>
    <w:p w14:paraId="3C0A8C85">
      <w:pPr>
        <w:spacing w:after="0" w:line="400" w:lineRule="exact"/>
        <w:jc w:val="both"/>
        <w:rPr>
          <w:rFonts w:ascii="Times New Roman" w:hAnsi="Times New Roman" w:cs="Times New Roman"/>
          <w:sz w:val="24"/>
        </w:rPr>
      </w:pPr>
      <w:r>
        <w:rPr>
          <w:rFonts w:ascii="Times New Roman" w:hAnsi="Times New Roman" w:cs="Times New Roman"/>
          <w:sz w:val="24"/>
        </w:rPr>
        <w:t xml:space="preserve">Kalinowski, T. (2024) ‘The Green Climate Fund and private sector climate finance in the Global South’, </w:t>
      </w:r>
      <w:r>
        <w:rPr>
          <w:rFonts w:ascii="Times New Roman" w:hAnsi="Times New Roman" w:cs="Times New Roman"/>
          <w:i/>
          <w:iCs/>
          <w:sz w:val="24"/>
        </w:rPr>
        <w:t>Climate Policy</w:t>
      </w:r>
      <w:r>
        <w:rPr>
          <w:rFonts w:ascii="Times New Roman" w:hAnsi="Times New Roman" w:cs="Times New Roman"/>
          <w:sz w:val="24"/>
        </w:rPr>
        <w:t xml:space="preserve">. </w:t>
      </w:r>
    </w:p>
    <w:p w14:paraId="7BBD9EC2">
      <w:pPr>
        <w:spacing w:after="0" w:line="400" w:lineRule="exact"/>
        <w:jc w:val="both"/>
        <w:rPr>
          <w:rFonts w:ascii="Times New Roman" w:hAnsi="Times New Roman" w:cs="Times New Roman"/>
          <w:sz w:val="24"/>
        </w:rPr>
      </w:pPr>
      <w:r>
        <w:rPr>
          <w:rFonts w:ascii="Times New Roman" w:hAnsi="Times New Roman" w:cs="Times New Roman"/>
          <w:sz w:val="24"/>
        </w:rPr>
        <w:t xml:space="preserve">Kuhl, L. and Shinn, J. (2022) ‘Transformational adaptation and country ownership: competing priorities in international adaptation finance’, </w:t>
      </w:r>
      <w:r>
        <w:rPr>
          <w:rFonts w:ascii="Times New Roman" w:hAnsi="Times New Roman" w:cs="Times New Roman"/>
          <w:i/>
          <w:iCs/>
          <w:sz w:val="24"/>
        </w:rPr>
        <w:t>Climate Policy</w:t>
      </w:r>
      <w:r>
        <w:rPr>
          <w:rFonts w:ascii="Times New Roman" w:hAnsi="Times New Roman" w:cs="Times New Roman"/>
          <w:sz w:val="24"/>
        </w:rPr>
        <w:t xml:space="preserve">. </w:t>
      </w:r>
    </w:p>
    <w:p w14:paraId="34806D84">
      <w:pPr>
        <w:spacing w:after="0" w:line="400" w:lineRule="exact"/>
        <w:jc w:val="both"/>
        <w:rPr>
          <w:rFonts w:ascii="Times New Roman" w:hAnsi="Times New Roman" w:cs="Times New Roman"/>
          <w:sz w:val="24"/>
        </w:rPr>
      </w:pPr>
      <w:r>
        <w:rPr>
          <w:rFonts w:ascii="Times New Roman" w:hAnsi="Times New Roman" w:cs="Times New Roman"/>
          <w:sz w:val="24"/>
        </w:rPr>
        <w:t xml:space="preserve">OECD (2024) </w:t>
      </w:r>
      <w:r>
        <w:rPr>
          <w:rFonts w:ascii="Times New Roman" w:hAnsi="Times New Roman" w:cs="Times New Roman"/>
          <w:i/>
          <w:iCs/>
          <w:sz w:val="24"/>
        </w:rPr>
        <w:t>Climate Finance Provided and Mobilised by Developed Countries in 2013–2022</w:t>
      </w:r>
      <w:r>
        <w:rPr>
          <w:rFonts w:ascii="Times New Roman" w:hAnsi="Times New Roman" w:cs="Times New Roman"/>
          <w:sz w:val="24"/>
        </w:rPr>
        <w:t>. Paris: Organisation for Economic Co-operation and Development.</w:t>
      </w:r>
    </w:p>
    <w:p w14:paraId="3DF6304D">
      <w:pPr>
        <w:spacing w:after="0" w:line="400" w:lineRule="exact"/>
        <w:jc w:val="both"/>
        <w:rPr>
          <w:rFonts w:ascii="Times New Roman" w:hAnsi="Times New Roman" w:cs="Times New Roman"/>
          <w:sz w:val="24"/>
        </w:rPr>
      </w:pPr>
      <w:r>
        <w:rPr>
          <w:rFonts w:ascii="Times New Roman" w:hAnsi="Times New Roman" w:cs="Times New Roman"/>
          <w:sz w:val="24"/>
        </w:rPr>
        <w:t xml:space="preserve">Oxfam and CARE (2025) </w:t>
      </w:r>
      <w:r>
        <w:rPr>
          <w:rFonts w:ascii="Times New Roman" w:hAnsi="Times New Roman" w:cs="Times New Roman"/>
          <w:i/>
          <w:iCs/>
          <w:sz w:val="24"/>
        </w:rPr>
        <w:t>Climate Finance Shadow Report 2025: Analysing Progress on Climate Finance under the Paris Agreement</w:t>
      </w:r>
      <w:r>
        <w:rPr>
          <w:rFonts w:ascii="Times New Roman" w:hAnsi="Times New Roman" w:cs="Times New Roman"/>
          <w:sz w:val="24"/>
        </w:rPr>
        <w:t>. Oxford: Oxfam International.</w:t>
      </w:r>
    </w:p>
    <w:p w14:paraId="28A7E186">
      <w:pPr>
        <w:spacing w:after="0" w:line="400" w:lineRule="exact"/>
        <w:jc w:val="both"/>
        <w:rPr>
          <w:rFonts w:ascii="Times New Roman" w:hAnsi="Times New Roman" w:cs="Times New Roman"/>
          <w:sz w:val="24"/>
        </w:rPr>
      </w:pPr>
      <w:r>
        <w:rPr>
          <w:rFonts w:ascii="Times New Roman" w:hAnsi="Times New Roman" w:cs="Times New Roman"/>
          <w:sz w:val="24"/>
        </w:rPr>
        <w:t xml:space="preserve">Pauw, W.P., Kempa, L., Moslener, U., Grüning, C. and Cevik, C. (2022a) ‘A focus on market imperfections can help governments to mobilize private investments in adaptation’, </w:t>
      </w:r>
      <w:r>
        <w:rPr>
          <w:rFonts w:ascii="Times New Roman" w:hAnsi="Times New Roman" w:cs="Times New Roman"/>
          <w:i/>
          <w:iCs/>
          <w:sz w:val="24"/>
        </w:rPr>
        <w:t>Climate and Development</w:t>
      </w:r>
      <w:r>
        <w:rPr>
          <w:rFonts w:ascii="Times New Roman" w:hAnsi="Times New Roman" w:cs="Times New Roman"/>
          <w:sz w:val="24"/>
        </w:rPr>
        <w:t>, 14(1), pp. 91–97.</w:t>
      </w:r>
    </w:p>
    <w:p w14:paraId="4B83AC91">
      <w:pPr>
        <w:spacing w:after="0" w:line="400" w:lineRule="exact"/>
        <w:jc w:val="both"/>
        <w:rPr>
          <w:rFonts w:ascii="Times New Roman" w:hAnsi="Times New Roman" w:cs="Times New Roman"/>
          <w:sz w:val="24"/>
        </w:rPr>
      </w:pPr>
      <w:r>
        <w:rPr>
          <w:rFonts w:ascii="Times New Roman" w:hAnsi="Times New Roman" w:cs="Times New Roman"/>
          <w:sz w:val="24"/>
        </w:rPr>
        <w:t xml:space="preserve">Pauw, W.P., Moslener, U., Zamarioli, L.H., Amerasinghe, N., Atela, J., Affana, J.P.B., Buchner, B., Klein, R.J.T., Mbeva, K.L., Puri, J., Roberts, J.T., Shawoo, Z., Watson, C. and Weikmans, R. (2022b) ‘Post-2025 climate finance target: how much more and how much better?’, </w:t>
      </w:r>
      <w:r>
        <w:rPr>
          <w:rFonts w:ascii="Times New Roman" w:hAnsi="Times New Roman" w:cs="Times New Roman"/>
          <w:i/>
          <w:iCs/>
          <w:sz w:val="24"/>
        </w:rPr>
        <w:t>Climate Policy</w:t>
      </w:r>
      <w:r>
        <w:rPr>
          <w:rFonts w:ascii="Times New Roman" w:hAnsi="Times New Roman" w:cs="Times New Roman"/>
          <w:sz w:val="24"/>
        </w:rPr>
        <w:t xml:space="preserve">, 22(9–10), pp. 1241–1251. </w:t>
      </w:r>
    </w:p>
    <w:p w14:paraId="15801D2E">
      <w:pPr>
        <w:spacing w:after="0" w:line="400" w:lineRule="exact"/>
        <w:jc w:val="both"/>
        <w:rPr>
          <w:rFonts w:ascii="Times New Roman" w:hAnsi="Times New Roman" w:cs="Times New Roman"/>
          <w:sz w:val="24"/>
        </w:rPr>
      </w:pPr>
      <w:r>
        <w:rPr>
          <w:rFonts w:ascii="Times New Roman" w:hAnsi="Times New Roman" w:cs="Times New Roman"/>
          <w:sz w:val="24"/>
        </w:rPr>
        <w:t xml:space="preserve">Roberts, J.T. and Weikmans, R. (2017) ‘Fragmentation, failing trust and enduring tensions over what counts as climate finance’, </w:t>
      </w:r>
      <w:r>
        <w:rPr>
          <w:rFonts w:ascii="Times New Roman" w:hAnsi="Times New Roman" w:cs="Times New Roman"/>
          <w:i/>
          <w:iCs/>
          <w:sz w:val="24"/>
        </w:rPr>
        <w:t>International Environmental Agreements: Politics, Law and Economics</w:t>
      </w:r>
      <w:r>
        <w:rPr>
          <w:rFonts w:ascii="Times New Roman" w:hAnsi="Times New Roman" w:cs="Times New Roman"/>
          <w:sz w:val="24"/>
        </w:rPr>
        <w:t xml:space="preserve">, 17, pp. 129–137. </w:t>
      </w:r>
    </w:p>
    <w:p w14:paraId="6EEC33C4">
      <w:pPr>
        <w:spacing w:after="0" w:line="400" w:lineRule="exact"/>
        <w:jc w:val="both"/>
        <w:rPr>
          <w:rFonts w:ascii="Times New Roman" w:hAnsi="Times New Roman" w:cs="Times New Roman"/>
          <w:sz w:val="24"/>
        </w:rPr>
      </w:pPr>
      <w:r>
        <w:rPr>
          <w:rFonts w:ascii="Times New Roman" w:hAnsi="Times New Roman" w:cs="Times New Roman"/>
          <w:sz w:val="24"/>
        </w:rPr>
        <w:t xml:space="preserve">Shawoo, Z., Dzebo, A., Funder, M. and Dupuy, K. (2022) ‘Country ownership in climate finance coordination: a comparative assessment of Kenya and Zambia’, </w:t>
      </w:r>
      <w:r>
        <w:rPr>
          <w:rFonts w:ascii="Times New Roman" w:hAnsi="Times New Roman" w:cs="Times New Roman"/>
          <w:i/>
          <w:iCs/>
          <w:sz w:val="24"/>
        </w:rPr>
        <w:t>Climate Policy</w:t>
      </w:r>
      <w:r>
        <w:rPr>
          <w:rFonts w:ascii="Times New Roman" w:hAnsi="Times New Roman" w:cs="Times New Roman"/>
          <w:sz w:val="24"/>
        </w:rPr>
        <w:t xml:space="preserve">. </w:t>
      </w:r>
    </w:p>
    <w:p w14:paraId="768AE009">
      <w:pPr>
        <w:spacing w:after="0" w:line="400" w:lineRule="exact"/>
        <w:jc w:val="both"/>
        <w:rPr>
          <w:rFonts w:ascii="Times New Roman" w:hAnsi="Times New Roman" w:cs="Times New Roman"/>
          <w:sz w:val="24"/>
        </w:rPr>
      </w:pPr>
      <w:r>
        <w:rPr>
          <w:rFonts w:ascii="Times New Roman" w:hAnsi="Times New Roman" w:cs="Times New Roman"/>
          <w:sz w:val="24"/>
        </w:rPr>
        <w:t xml:space="preserve">Toetzke, M., Stünzi, A. and Egli, F. (2022) ‘Consistent and replicable estimation of bilateral climate finance’, </w:t>
      </w:r>
      <w:r>
        <w:rPr>
          <w:rFonts w:ascii="Times New Roman" w:hAnsi="Times New Roman" w:cs="Times New Roman"/>
          <w:i/>
          <w:iCs/>
          <w:sz w:val="24"/>
        </w:rPr>
        <w:t>Nature Climate Change</w:t>
      </w:r>
      <w:r>
        <w:rPr>
          <w:rFonts w:ascii="Times New Roman" w:hAnsi="Times New Roman" w:cs="Times New Roman"/>
          <w:sz w:val="24"/>
        </w:rPr>
        <w:t xml:space="preserve">, 12, pp. 897–900. </w:t>
      </w:r>
    </w:p>
    <w:p w14:paraId="48C1A098">
      <w:pPr>
        <w:spacing w:after="0" w:line="400" w:lineRule="exact"/>
        <w:jc w:val="both"/>
        <w:rPr>
          <w:rFonts w:ascii="Times New Roman" w:hAnsi="Times New Roman" w:cs="Times New Roman"/>
          <w:sz w:val="24"/>
        </w:rPr>
      </w:pPr>
      <w:r>
        <w:rPr>
          <w:rFonts w:ascii="Times New Roman" w:hAnsi="Times New Roman" w:cs="Times New Roman"/>
          <w:sz w:val="24"/>
        </w:rPr>
        <w:t xml:space="preserve">Treichel, P., Robertson, M., Wilkinson, E. and Corbett, J. (2024) ‘Scale and access to the Green Climate Fund: big challenges for small island developing States’, </w:t>
      </w:r>
      <w:r>
        <w:rPr>
          <w:rFonts w:ascii="Times New Roman" w:hAnsi="Times New Roman" w:cs="Times New Roman"/>
          <w:i/>
          <w:iCs/>
          <w:sz w:val="24"/>
        </w:rPr>
        <w:t>Global Environmental Change</w:t>
      </w:r>
      <w:r>
        <w:rPr>
          <w:rFonts w:ascii="Times New Roman" w:hAnsi="Times New Roman" w:cs="Times New Roman"/>
          <w:sz w:val="24"/>
        </w:rPr>
        <w:t xml:space="preserve">, 89, Article 102943. </w:t>
      </w:r>
    </w:p>
    <w:p w14:paraId="473AD3A4">
      <w:pPr>
        <w:spacing w:after="0" w:line="400" w:lineRule="exact"/>
        <w:jc w:val="both"/>
        <w:rPr>
          <w:rFonts w:ascii="Times New Roman" w:hAnsi="Times New Roman" w:cs="Times New Roman"/>
          <w:sz w:val="24"/>
        </w:rPr>
      </w:pPr>
      <w:r>
        <w:rPr>
          <w:rFonts w:ascii="Times New Roman" w:hAnsi="Times New Roman" w:cs="Times New Roman"/>
          <w:sz w:val="24"/>
        </w:rPr>
        <w:t>UNCTAD (2024) ‘Countries agree $300 billion by 2035 for new climate finance goal: what next?’, United Nations Conference on Trade and Development, 10 December 2024.</w:t>
      </w:r>
    </w:p>
    <w:p w14:paraId="36D60E0D">
      <w:pPr>
        <w:spacing w:after="0" w:line="400" w:lineRule="exact"/>
        <w:jc w:val="both"/>
        <w:rPr>
          <w:rFonts w:ascii="Times New Roman" w:hAnsi="Times New Roman" w:cs="Times New Roman"/>
          <w:sz w:val="24"/>
        </w:rPr>
      </w:pPr>
      <w:r>
        <w:rPr>
          <w:rFonts w:ascii="Times New Roman" w:hAnsi="Times New Roman" w:cs="Times New Roman"/>
          <w:sz w:val="24"/>
        </w:rPr>
        <w:t xml:space="preserve">UNEP (2025) </w:t>
      </w:r>
      <w:r>
        <w:rPr>
          <w:rFonts w:ascii="Times New Roman" w:hAnsi="Times New Roman" w:cs="Times New Roman"/>
          <w:i/>
          <w:iCs/>
          <w:sz w:val="24"/>
        </w:rPr>
        <w:t>Adaptation Gap Report 2025: Running on Empty</w:t>
      </w:r>
      <w:r>
        <w:rPr>
          <w:rFonts w:ascii="Times New Roman" w:hAnsi="Times New Roman" w:cs="Times New Roman"/>
          <w:sz w:val="24"/>
        </w:rPr>
        <w:t>. Nairobi: United Nations Environment Programme.</w:t>
      </w:r>
    </w:p>
    <w:p w14:paraId="4CE5C989">
      <w:pPr>
        <w:spacing w:after="0" w:line="400" w:lineRule="exact"/>
        <w:jc w:val="both"/>
        <w:rPr>
          <w:rFonts w:ascii="Times New Roman" w:hAnsi="Times New Roman" w:cs="Times New Roman"/>
          <w:sz w:val="24"/>
        </w:rPr>
      </w:pPr>
      <w:r>
        <w:rPr>
          <w:rFonts w:ascii="Times New Roman" w:hAnsi="Times New Roman" w:cs="Times New Roman"/>
          <w:sz w:val="24"/>
        </w:rPr>
        <w:t xml:space="preserve">UNFCCC (2009) </w:t>
      </w:r>
      <w:r>
        <w:rPr>
          <w:rFonts w:ascii="Times New Roman" w:hAnsi="Times New Roman" w:cs="Times New Roman"/>
          <w:i/>
          <w:iCs/>
          <w:sz w:val="24"/>
        </w:rPr>
        <w:t>Copenhagen Accord</w:t>
      </w:r>
      <w:r>
        <w:rPr>
          <w:rFonts w:ascii="Times New Roman" w:hAnsi="Times New Roman" w:cs="Times New Roman"/>
          <w:sz w:val="24"/>
        </w:rPr>
        <w:t>. Copenhagen: United Nations Framework Convention on Climate Change.</w:t>
      </w:r>
    </w:p>
    <w:p w14:paraId="26716B2E">
      <w:pPr>
        <w:spacing w:after="0" w:line="400" w:lineRule="exact"/>
        <w:jc w:val="both"/>
        <w:rPr>
          <w:rFonts w:ascii="Times New Roman" w:hAnsi="Times New Roman" w:cs="Times New Roman"/>
          <w:sz w:val="24"/>
        </w:rPr>
      </w:pPr>
      <w:r>
        <w:rPr>
          <w:rFonts w:ascii="Times New Roman" w:hAnsi="Times New Roman" w:cs="Times New Roman"/>
          <w:sz w:val="24"/>
        </w:rPr>
        <w:t xml:space="preserve">UNFCCC (2015) </w:t>
      </w:r>
      <w:r>
        <w:rPr>
          <w:rFonts w:ascii="Times New Roman" w:hAnsi="Times New Roman" w:cs="Times New Roman"/>
          <w:i/>
          <w:iCs/>
          <w:sz w:val="24"/>
        </w:rPr>
        <w:t>Paris Agreement</w:t>
      </w:r>
      <w:r>
        <w:rPr>
          <w:rFonts w:ascii="Times New Roman" w:hAnsi="Times New Roman" w:cs="Times New Roman"/>
          <w:sz w:val="24"/>
        </w:rPr>
        <w:t>. Bonn: United Nations Framework Convention on Climate Change.</w:t>
      </w:r>
    </w:p>
    <w:p w14:paraId="68299874">
      <w:pPr>
        <w:spacing w:after="0" w:line="400" w:lineRule="exact"/>
        <w:jc w:val="both"/>
        <w:rPr>
          <w:rFonts w:ascii="Times New Roman" w:hAnsi="Times New Roman" w:cs="Times New Roman"/>
          <w:sz w:val="24"/>
        </w:rPr>
      </w:pPr>
      <w:r>
        <w:rPr>
          <w:rFonts w:ascii="Times New Roman" w:hAnsi="Times New Roman" w:cs="Times New Roman"/>
          <w:sz w:val="24"/>
        </w:rPr>
        <w:t xml:space="preserve">UNFCCC (2022) </w:t>
      </w:r>
      <w:r>
        <w:rPr>
          <w:rFonts w:ascii="Times New Roman" w:hAnsi="Times New Roman" w:cs="Times New Roman"/>
          <w:i/>
          <w:iCs/>
          <w:sz w:val="24"/>
        </w:rPr>
        <w:t>Decision 2/CP.27: Funding Arrangements for Responding to Loss and Damage Associated with the Adverse Effects of Climate Change</w:t>
      </w:r>
      <w:r>
        <w:rPr>
          <w:rFonts w:ascii="Times New Roman" w:hAnsi="Times New Roman" w:cs="Times New Roman"/>
          <w:sz w:val="24"/>
        </w:rPr>
        <w:t>. Sharm el-Sheikh: United Nations Framework Convention on Climate Change.</w:t>
      </w:r>
    </w:p>
    <w:p w14:paraId="1ECA84B1">
      <w:pPr>
        <w:spacing w:after="0" w:line="400" w:lineRule="exact"/>
        <w:jc w:val="both"/>
        <w:rPr>
          <w:rFonts w:ascii="Times New Roman" w:hAnsi="Times New Roman" w:cs="Times New Roman"/>
          <w:sz w:val="24"/>
        </w:rPr>
      </w:pPr>
      <w:r>
        <w:rPr>
          <w:rFonts w:ascii="Times New Roman" w:hAnsi="Times New Roman" w:cs="Times New Roman"/>
          <w:sz w:val="24"/>
        </w:rPr>
        <w:t xml:space="preserve">UNFCCC (2023) </w:t>
      </w:r>
      <w:r>
        <w:rPr>
          <w:rFonts w:ascii="Times New Roman" w:hAnsi="Times New Roman" w:cs="Times New Roman"/>
          <w:i/>
          <w:iCs/>
          <w:sz w:val="24"/>
        </w:rPr>
        <w:t>Operationalization of the New Funding Arrangements, Including a Fund, for Responding to Loss and Damage</w:t>
      </w:r>
      <w:r>
        <w:rPr>
          <w:rFonts w:ascii="Times New Roman" w:hAnsi="Times New Roman" w:cs="Times New Roman"/>
          <w:sz w:val="24"/>
        </w:rPr>
        <w:t>. Dubai: United Nations Framework Convention on Climate Change.</w:t>
      </w:r>
    </w:p>
    <w:p w14:paraId="5A513904">
      <w:pPr>
        <w:spacing w:after="0" w:line="400" w:lineRule="exact"/>
        <w:jc w:val="both"/>
        <w:rPr>
          <w:rFonts w:ascii="Times New Roman" w:hAnsi="Times New Roman" w:cs="Times New Roman"/>
          <w:sz w:val="24"/>
        </w:rPr>
      </w:pPr>
      <w:r>
        <w:rPr>
          <w:rFonts w:ascii="Times New Roman" w:hAnsi="Times New Roman" w:cs="Times New Roman"/>
          <w:sz w:val="24"/>
        </w:rPr>
        <w:t>UNFCCC (2024) ‘COP29 UN Climate Conference agrees to triple finance to developing countries, protecting lives and livelihoods’, United Nations Framework Convention on Climate Change, 24 November 2024.</w:t>
      </w:r>
    </w:p>
    <w:p w14:paraId="79052990">
      <w:pPr>
        <w:spacing w:after="0" w:line="400" w:lineRule="exact"/>
        <w:jc w:val="both"/>
        <w:rPr>
          <w:rFonts w:ascii="Times New Roman" w:hAnsi="Times New Roman" w:cs="Times New Roman"/>
          <w:sz w:val="24"/>
        </w:rPr>
      </w:pPr>
      <w:r>
        <w:rPr>
          <w:rFonts w:ascii="Times New Roman" w:hAnsi="Times New Roman" w:cs="Times New Roman"/>
          <w:sz w:val="24"/>
        </w:rPr>
        <w:t xml:space="preserve">UNFCCC (2025a) </w:t>
      </w:r>
      <w:r>
        <w:rPr>
          <w:rFonts w:ascii="Times New Roman" w:hAnsi="Times New Roman" w:cs="Times New Roman"/>
          <w:i/>
          <w:iCs/>
          <w:sz w:val="24"/>
        </w:rPr>
        <w:t>Report on the Baku to Belém Roadmap to 1.3T</w:t>
      </w:r>
      <w:r>
        <w:rPr>
          <w:rFonts w:ascii="Times New Roman" w:hAnsi="Times New Roman" w:cs="Times New Roman"/>
          <w:sz w:val="24"/>
        </w:rPr>
        <w:t>. Bonn: United Nations Framework Convention on Climate Change.</w:t>
      </w:r>
    </w:p>
    <w:p w14:paraId="561874B8">
      <w:pPr>
        <w:spacing w:after="0" w:line="400" w:lineRule="exact"/>
        <w:jc w:val="both"/>
        <w:rPr>
          <w:rFonts w:ascii="Times New Roman" w:hAnsi="Times New Roman" w:cs="Times New Roman"/>
          <w:sz w:val="24"/>
        </w:rPr>
      </w:pPr>
      <w:r>
        <w:rPr>
          <w:rFonts w:ascii="Times New Roman" w:hAnsi="Times New Roman" w:cs="Times New Roman"/>
          <w:sz w:val="24"/>
        </w:rPr>
        <w:t xml:space="preserve">UNFCCC (2025b) </w:t>
      </w:r>
      <w:r>
        <w:rPr>
          <w:rFonts w:ascii="Times New Roman" w:hAnsi="Times New Roman" w:cs="Times New Roman"/>
          <w:i/>
          <w:iCs/>
          <w:sz w:val="24"/>
        </w:rPr>
        <w:t>Mutirão Decision</w:t>
      </w:r>
      <w:r>
        <w:rPr>
          <w:rFonts w:ascii="Times New Roman" w:hAnsi="Times New Roman" w:cs="Times New Roman"/>
          <w:sz w:val="24"/>
        </w:rPr>
        <w:t>. Belém: United Nations Framework Convention on Climate Change.</w:t>
      </w:r>
    </w:p>
    <w:p w14:paraId="119583E7">
      <w:pPr>
        <w:spacing w:after="0" w:line="400" w:lineRule="exact"/>
        <w:jc w:val="both"/>
        <w:rPr>
          <w:rFonts w:ascii="Times New Roman" w:hAnsi="Times New Roman" w:cs="Times New Roman"/>
          <w:sz w:val="24"/>
        </w:rPr>
      </w:pPr>
      <w:r>
        <w:rPr>
          <w:rFonts w:ascii="Times New Roman" w:hAnsi="Times New Roman" w:cs="Times New Roman"/>
          <w:sz w:val="24"/>
        </w:rPr>
        <w:t xml:space="preserve">Weikmans, R. and Roberts, J.T. (2019) ‘The international climate finance accounting muddle: is there hope </w:t>
      </w:r>
      <w:bookmarkStart w:id="16" w:name="_GoBack"/>
      <w:bookmarkEnd w:id="16"/>
      <w:r>
        <w:rPr>
          <w:rFonts w:ascii="Times New Roman" w:hAnsi="Times New Roman" w:cs="Times New Roman"/>
          <w:sz w:val="24"/>
        </w:rPr>
        <w:t xml:space="preserve">on the horizon?’, </w:t>
      </w:r>
      <w:r>
        <w:rPr>
          <w:rFonts w:ascii="Times New Roman" w:hAnsi="Times New Roman" w:cs="Times New Roman"/>
          <w:i/>
          <w:iCs/>
          <w:sz w:val="24"/>
        </w:rPr>
        <w:t>Climate and Development</w:t>
      </w:r>
      <w:r>
        <w:rPr>
          <w:rFonts w:ascii="Times New Roman" w:hAnsi="Times New Roman" w:cs="Times New Roman"/>
          <w:sz w:val="24"/>
        </w:rPr>
        <w:t xml:space="preserve">, 11(2), pp. 97–111. </w:t>
      </w: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DengXian">
    <w:altName w:val="汉仪中等线KW"/>
    <w:panose1 w:val="00000000000000000000"/>
    <w:charset w:val="00"/>
    <w:family w:val="auto"/>
    <w:pitch w:val="default"/>
    <w:sig w:usb0="00000000" w:usb1="00000000" w:usb2="00000000" w:usb3="00000000" w:csb0="00000000"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等线 Light">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800002BF" w:usb1="004F7CFA" w:usb2="00000000" w:usb3="00000000" w:csb0="00040001" w:csb1="00000000"/>
  </w:font>
  <w:font w:name="等线 Light">
    <w:altName w:val="汉仪中等线KW"/>
    <w:panose1 w:val="00000000000000000000"/>
    <w:charset w:val="00"/>
    <w:family w:val="auto"/>
    <w:pitch w:val="default"/>
    <w:sig w:usb0="00000000" w:usb1="00000000" w:usb2="00000000" w:usb3="00000000" w:csb0="00000000" w:csb1="00000000"/>
  </w:font>
  <w:font w:name="汉仪中黑KW">
    <w:panose1 w:val="00020600040101010101"/>
    <w:charset w:val="86"/>
    <w:family w:val="auto"/>
    <w:pitch w:val="default"/>
    <w:sig w:usb0="A00002BF" w:usb1="18EF7CFA" w:usb2="00000016" w:usb3="00000000" w:csb0="00040000" w:csb1="00000000"/>
  </w:font>
  <w:font w:name="汉仪书宋二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354CC">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EF2808">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FEF2808">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66B4AF"/>
    <w:multiLevelType w:val="singleLevel"/>
    <w:tmpl w:val="5866B4AF"/>
    <w:lvl w:ilvl="0" w:tentative="0">
      <w:start w:val="3"/>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DF9"/>
    <w:rsid w:val="00085785"/>
    <w:rsid w:val="000A0DF9"/>
    <w:rsid w:val="00170C98"/>
    <w:rsid w:val="00172621"/>
    <w:rsid w:val="004028D3"/>
    <w:rsid w:val="0044241D"/>
    <w:rsid w:val="005441CF"/>
    <w:rsid w:val="008951F8"/>
    <w:rsid w:val="00A048C6"/>
    <w:rsid w:val="00E5175D"/>
    <w:rsid w:val="00FA6D34"/>
    <w:rsid w:val="FADB7D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9"/>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1"/>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2"/>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3"/>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4"/>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5"/>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7"/>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unhideWhenUsed/>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styleId="11">
    <w:name w:val="footer"/>
    <w:basedOn w:val="1"/>
    <w:semiHidden/>
    <w:unhideWhenUsed/>
    <w:uiPriority w:val="99"/>
    <w:pPr>
      <w:tabs>
        <w:tab w:val="center" w:pos="4153"/>
        <w:tab w:val="right" w:pos="8306"/>
      </w:tabs>
      <w:snapToGrid w:val="0"/>
      <w:jc w:val="left"/>
    </w:pPr>
    <w:rPr>
      <w:sz w:val="18"/>
    </w:rPr>
  </w:style>
  <w:style w:type="paragraph" w:styleId="12">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semiHidden/>
    <w:unhideWhenUsed/>
    <w:uiPriority w:val="39"/>
  </w:style>
  <w:style w:type="paragraph" w:styleId="14">
    <w:name w:val="Subtitle"/>
    <w:basedOn w:val="1"/>
    <w:next w:val="1"/>
    <w:link w:val="29"/>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oc 2"/>
    <w:basedOn w:val="1"/>
    <w:next w:val="1"/>
    <w:semiHidden/>
    <w:unhideWhenUsed/>
    <w:uiPriority w:val="39"/>
    <w:pPr>
      <w:ind w:left="420" w:leftChars="200"/>
    </w:pPr>
  </w:style>
  <w:style w:type="paragraph" w:styleId="16">
    <w:name w:val="Title"/>
    <w:basedOn w:val="1"/>
    <w:next w:val="1"/>
    <w:link w:val="28"/>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customStyle="1" w:styleId="19">
    <w:name w:val="标题 1 字符"/>
    <w:basedOn w:val="18"/>
    <w:link w:val="2"/>
    <w:uiPriority w:val="9"/>
    <w:rPr>
      <w:rFonts w:asciiTheme="majorHAnsi" w:hAnsiTheme="majorHAnsi" w:eastAsiaTheme="majorEastAsia" w:cstheme="majorBidi"/>
      <w:color w:val="104862" w:themeColor="accent1" w:themeShade="BF"/>
      <w:sz w:val="48"/>
      <w:szCs w:val="48"/>
    </w:rPr>
  </w:style>
  <w:style w:type="character" w:customStyle="1" w:styleId="20">
    <w:name w:val="标题 2 字符"/>
    <w:basedOn w:val="18"/>
    <w:link w:val="3"/>
    <w:semiHidden/>
    <w:uiPriority w:val="9"/>
    <w:rPr>
      <w:rFonts w:asciiTheme="majorHAnsi" w:hAnsiTheme="majorHAnsi" w:eastAsiaTheme="majorEastAsia" w:cstheme="majorBidi"/>
      <w:color w:val="104862" w:themeColor="accent1" w:themeShade="BF"/>
      <w:sz w:val="40"/>
      <w:szCs w:val="40"/>
    </w:rPr>
  </w:style>
  <w:style w:type="character" w:customStyle="1" w:styleId="21">
    <w:name w:val="标题 3 字符"/>
    <w:basedOn w:val="18"/>
    <w:link w:val="4"/>
    <w:semiHidden/>
    <w:uiPriority w:val="9"/>
    <w:rPr>
      <w:rFonts w:asciiTheme="majorHAnsi" w:hAnsiTheme="majorHAnsi" w:eastAsiaTheme="majorEastAsia" w:cstheme="majorBidi"/>
      <w:color w:val="104862" w:themeColor="accent1" w:themeShade="BF"/>
      <w:sz w:val="32"/>
      <w:szCs w:val="32"/>
    </w:rPr>
  </w:style>
  <w:style w:type="character" w:customStyle="1" w:styleId="22">
    <w:name w:val="标题 4 字符"/>
    <w:basedOn w:val="18"/>
    <w:link w:val="5"/>
    <w:semiHidden/>
    <w:uiPriority w:val="9"/>
    <w:rPr>
      <w:rFonts w:cstheme="majorBidi"/>
      <w:color w:val="104862" w:themeColor="accent1" w:themeShade="BF"/>
      <w:sz w:val="28"/>
      <w:szCs w:val="28"/>
    </w:rPr>
  </w:style>
  <w:style w:type="character" w:customStyle="1" w:styleId="23">
    <w:name w:val="标题 5 字符"/>
    <w:basedOn w:val="18"/>
    <w:link w:val="6"/>
    <w:semiHidden/>
    <w:uiPriority w:val="9"/>
    <w:rPr>
      <w:rFonts w:cstheme="majorBidi"/>
      <w:color w:val="104862" w:themeColor="accent1" w:themeShade="BF"/>
      <w:sz w:val="24"/>
    </w:rPr>
  </w:style>
  <w:style w:type="character" w:customStyle="1" w:styleId="24">
    <w:name w:val="标题 6 字符"/>
    <w:basedOn w:val="18"/>
    <w:link w:val="7"/>
    <w:semiHidden/>
    <w:uiPriority w:val="9"/>
    <w:rPr>
      <w:rFonts w:cstheme="majorBidi"/>
      <w:b/>
      <w:bCs/>
      <w:color w:val="104862" w:themeColor="accent1" w:themeShade="BF"/>
    </w:rPr>
  </w:style>
  <w:style w:type="character" w:customStyle="1" w:styleId="25">
    <w:name w:val="标题 7 字符"/>
    <w:basedOn w:val="18"/>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6">
    <w:name w:val="标题 8 字符"/>
    <w:basedOn w:val="18"/>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7">
    <w:name w:val="标题 9 字符"/>
    <w:basedOn w:val="18"/>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标题 字符"/>
    <w:basedOn w:val="18"/>
    <w:link w:val="16"/>
    <w:uiPriority w:val="10"/>
    <w:rPr>
      <w:rFonts w:asciiTheme="majorHAnsi" w:hAnsiTheme="majorHAnsi" w:eastAsiaTheme="majorEastAsia" w:cstheme="majorBidi"/>
      <w:spacing w:val="-10"/>
      <w:kern w:val="28"/>
      <w:sz w:val="56"/>
      <w:szCs w:val="56"/>
    </w:rPr>
  </w:style>
  <w:style w:type="character" w:customStyle="1" w:styleId="29">
    <w:name w:val="副标题 字符"/>
    <w:basedOn w:val="18"/>
    <w:link w:val="14"/>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引用 字符"/>
    <w:basedOn w:val="18"/>
    <w:link w:val="30"/>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Intense Emphasis"/>
    <w:basedOn w:val="18"/>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明显引用 字符"/>
    <w:basedOn w:val="18"/>
    <w:link w:val="34"/>
    <w:uiPriority w:val="30"/>
    <w:rPr>
      <w:i/>
      <w:iCs/>
      <w:color w:val="104862" w:themeColor="accent1" w:themeShade="BF"/>
    </w:rPr>
  </w:style>
  <w:style w:type="character" w:customStyle="1" w:styleId="36">
    <w:name w:val="Intense Reference"/>
    <w:basedOn w:val="18"/>
    <w:qFormat/>
    <w:uiPriority w:val="32"/>
    <w:rPr>
      <w:b/>
      <w:bCs/>
      <w:smallCaps/>
      <w:color w:val="104862" w:themeColor="accent1" w:themeShade="BF"/>
      <w:spacing w:val="5"/>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4994</Words>
  <Characters>27073</Characters>
  <Lines>483</Lines>
  <Paragraphs>162</Paragraphs>
  <TotalTime>43</TotalTime>
  <ScaleCrop>false</ScaleCrop>
  <LinksUpToDate>false</LinksUpToDate>
  <CharactersWithSpaces>31905</CharactersWithSpaces>
  <Application>WPS Office_12.1.25205.25205_F1E327BC-269C-435d-A152-05C5408002CA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2026-04-26T05:42:00Z</dcterms:created>
  <dc:creator>Admin</dc:creator>
  <cp:lastModifiedBy>おうがいの薇</cp:lastModifiedBy>
  <dcterms:modified xsi:type="dcterms:W3CDTF">2026-04-30T22:45:23Z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2052-12.1.25205.25205</vt:lpwstr>
  </property>
  <property fmtid="{D5CDD505-2E9C-101B-9397-08002B2CF9AE}" pid="3" name="ICV">
    <vt:lpwstr>B6D5C9F4E7963AD073CDF369A97AAF77_42</vt:lpwstr>
  </property>
</Properties>
</file>