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E1D" w:rsidRDefault="00544081" w:rsidP="00EB3E1D">
      <w:pPr>
        <w:pStyle w:val="Header"/>
        <w:tabs>
          <w:tab w:val="clear" w:pos="4153"/>
          <w:tab w:val="clear" w:pos="8306"/>
        </w:tabs>
      </w:pPr>
      <w:r>
        <w:rPr>
          <w:noProof/>
        </w:rPr>
        <w:drawing>
          <wp:anchor distT="0" distB="0" distL="114300" distR="114300" simplePos="0" relativeHeight="251660288" behindDoc="1" locked="0" layoutInCell="1" allowOverlap="1" wp14:anchorId="47E23520">
            <wp:simplePos x="0" y="0"/>
            <wp:positionH relativeFrom="margin">
              <wp:align>left</wp:align>
            </wp:positionH>
            <wp:positionV relativeFrom="margin">
              <wp:align>top</wp:align>
            </wp:positionV>
            <wp:extent cx="1809750" cy="714375"/>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14:sizeRelV relativeFrom="margin">
              <wp14:pctHeight>0</wp14:pctHeight>
            </wp14:sizeRelV>
          </wp:anchor>
        </w:drawing>
      </w:r>
      <w:r w:rsidR="00EB3E1D">
        <w:rPr>
          <w:noProof/>
        </w:rPr>
        <mc:AlternateContent>
          <mc:Choice Requires="wps">
            <w:drawing>
              <wp:anchor distT="0" distB="0" distL="114300" distR="114300" simplePos="0" relativeHeight="251659264" behindDoc="0" locked="0" layoutInCell="1" allowOverlap="1" wp14:anchorId="0560CFE2" wp14:editId="6E13CB52">
                <wp:simplePos x="0" y="0"/>
                <wp:positionH relativeFrom="column">
                  <wp:posOffset>4850130</wp:posOffset>
                </wp:positionH>
                <wp:positionV relativeFrom="paragraph">
                  <wp:posOffset>-367030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B3E1D" w:rsidRDefault="00EB3E1D" w:rsidP="00EB3E1D">
                            <w:pPr>
                              <w:pStyle w:val="Heading6"/>
                              <w:pBdr>
                                <w:top w:val="none" w:sz="0" w:space="0" w:color="auto"/>
                                <w:left w:val="none" w:sz="0" w:space="0" w:color="auto"/>
                                <w:bottom w:val="none" w:sz="0" w:space="0" w:color="auto"/>
                                <w:right w:val="none" w:sz="0" w:space="0" w:color="auto"/>
                              </w:pBdr>
                              <w:shd w:val="clear" w:color="auto" w:fill="E0E0E0"/>
                            </w:pPr>
                          </w:p>
                          <w:p w:rsidR="00EB3E1D" w:rsidRDefault="00EB3E1D" w:rsidP="00EB3E1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8A84017" wp14:editId="69AF9988">
                                  <wp:extent cx="636905" cy="4400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60CFE2" id="_x0000_t202" coordsize="21600,21600" o:spt="202" path="m,l,21600r21600,l21600,xe">
                <v:stroke joinstyle="miter"/>
                <v:path gradientshapeok="t" o:connecttype="rect"/>
              </v:shapetype>
              <v:shape id="Text Box 11" o:spid="_x0000_s1026" type="#_x0000_t202" style="position:absolute;margin-left:381.9pt;margin-top:-28.9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" fillcolor="silver" strokecolor="silver" strokeweight="2.25pt">
                <v:textbox>
                  <w:txbxContent>
                    <w:p w:rsidR="00EB3E1D" w:rsidRDefault="00EB3E1D" w:rsidP="00EB3E1D">
                      <w:pPr>
                        <w:pStyle w:val="Heading6"/>
                        <w:pBdr>
                          <w:top w:val="none" w:sz="0" w:space="0" w:color="auto"/>
                          <w:left w:val="none" w:sz="0" w:space="0" w:color="auto"/>
                          <w:bottom w:val="none" w:sz="0" w:space="0" w:color="auto"/>
                          <w:right w:val="none" w:sz="0" w:space="0" w:color="auto"/>
                        </w:pBdr>
                        <w:shd w:val="clear" w:color="auto" w:fill="E0E0E0"/>
                      </w:pPr>
                    </w:p>
                    <w:p w:rsidR="00EB3E1D" w:rsidRDefault="00EB3E1D" w:rsidP="00EB3E1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8A84017" wp14:editId="69AF9988">
                            <wp:extent cx="636905" cy="4400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bookmarkStart w:id="0" w:name="_Hlk513835837"/>
      <w:bookmarkEnd w:id="0"/>
    </w:p>
    <w:p w:rsidR="00EB3E1D" w:rsidRDefault="00EB3E1D" w:rsidP="00EB3E1D"/>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B3E1D" w:rsidRPr="00C1361B" w:rsidTr="00544081">
        <w:tc>
          <w:tcPr>
            <w:tcW w:w="9016" w:type="dxa"/>
            <w:shd w:val="clear" w:color="auto" w:fill="C0C0C0"/>
          </w:tcPr>
          <w:p w:rsidR="00544081" w:rsidRPr="00544081" w:rsidRDefault="00EB3E1D" w:rsidP="00544081">
            <w:pPr>
              <w:pStyle w:val="NoSpacing"/>
              <w:jc w:val="center"/>
              <w:rPr>
                <w:b/>
                <w:noProof/>
              </w:rPr>
            </w:pPr>
            <w:r w:rsidRPr="00544081">
              <w:rPr>
                <w:b/>
                <w:noProof/>
              </w:rPr>
              <w:t>ASSIGNMENT DETAILS AND FEEDBACK</w:t>
            </w:r>
          </w:p>
          <w:p w:rsidR="00EB3E1D" w:rsidRPr="009F5CB2" w:rsidRDefault="00EB3E1D" w:rsidP="00544081">
            <w:pPr>
              <w:pStyle w:val="NoSpacing"/>
              <w:jc w:val="center"/>
              <w:rPr>
                <w:rFonts w:ascii="Arial" w:hAnsi="Arial" w:cs="Arial"/>
              </w:rPr>
            </w:pPr>
            <w:r w:rsidRPr="00544081">
              <w:rPr>
                <w:b/>
                <w:noProof/>
                <w:szCs w:val="24"/>
              </w:rPr>
              <w:t>SOUTH WEST WALES CENTRE FOR TEACHER EDUCATION</w:t>
            </w:r>
          </w:p>
        </w:tc>
      </w:tr>
    </w:tbl>
    <w:tbl>
      <w:tblPr>
        <w:tblpPr w:leftFromText="180" w:rightFromText="180" w:vertAnchor="text" w:horzAnchor="margin" w:tblpXSpec="center" w:tblpY="192"/>
        <w:tblW w:w="11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4"/>
        <w:gridCol w:w="3686"/>
        <w:gridCol w:w="2538"/>
        <w:gridCol w:w="2111"/>
      </w:tblGrid>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sidRPr="00C1361B">
              <w:rPr>
                <w:rFonts w:ascii="Calibri" w:hAnsi="Calibri" w:cs="Arial"/>
                <w:b/>
              </w:rPr>
              <w:t>Student name:</w:t>
            </w:r>
          </w:p>
        </w:tc>
        <w:tc>
          <w:tcPr>
            <w:tcW w:w="3686" w:type="dxa"/>
          </w:tcPr>
          <w:p w:rsidR="00544081" w:rsidRPr="00C1361B" w:rsidRDefault="00544081" w:rsidP="00544081">
            <w:pPr>
              <w:spacing w:before="120" w:after="120"/>
              <w:jc w:val="both"/>
              <w:rPr>
                <w:rFonts w:ascii="Calibri" w:hAnsi="Calibri" w:cs="Arial"/>
                <w:b/>
              </w:rPr>
            </w:pPr>
            <w:r>
              <w:rPr>
                <w:rFonts w:ascii="Calibri" w:hAnsi="Calibri" w:cs="Arial"/>
                <w:b/>
              </w:rPr>
              <w:t>Sian Mair Evans</w:t>
            </w:r>
          </w:p>
        </w:tc>
        <w:tc>
          <w:tcPr>
            <w:tcW w:w="2538" w:type="dxa"/>
            <w:shd w:val="clear" w:color="auto" w:fill="D9D9D9"/>
          </w:tcPr>
          <w:p w:rsidR="00544081" w:rsidRPr="00C1361B" w:rsidRDefault="00544081" w:rsidP="00544081">
            <w:pPr>
              <w:spacing w:before="120" w:after="120"/>
              <w:jc w:val="both"/>
              <w:rPr>
                <w:rFonts w:ascii="Calibri" w:hAnsi="Calibri" w:cs="Arial"/>
                <w:b/>
              </w:rPr>
            </w:pPr>
            <w:r w:rsidRPr="00C1361B">
              <w:rPr>
                <w:rFonts w:ascii="Calibri" w:hAnsi="Calibri" w:cs="Arial"/>
                <w:b/>
              </w:rPr>
              <w:t>Student P number:</w:t>
            </w:r>
          </w:p>
        </w:tc>
        <w:tc>
          <w:tcPr>
            <w:tcW w:w="2111" w:type="dxa"/>
          </w:tcPr>
          <w:p w:rsidR="00544081" w:rsidRPr="00C1361B" w:rsidRDefault="00544081" w:rsidP="00544081">
            <w:pPr>
              <w:spacing w:before="120" w:after="120"/>
              <w:jc w:val="both"/>
              <w:rPr>
                <w:rFonts w:ascii="Calibri" w:hAnsi="Calibri" w:cs="Arial"/>
                <w:b/>
              </w:rPr>
            </w:pPr>
            <w:r>
              <w:rPr>
                <w:rFonts w:ascii="Calibri" w:hAnsi="Calibri" w:cs="Arial"/>
                <w:b/>
              </w:rPr>
              <w:t>1700242</w:t>
            </w:r>
          </w:p>
        </w:tc>
      </w:tr>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335" w:type="dxa"/>
            <w:gridSpan w:val="3"/>
          </w:tcPr>
          <w:p w:rsidR="00544081" w:rsidRPr="008566E5" w:rsidRDefault="00544081" w:rsidP="00544081">
            <w:pPr>
              <w:spacing w:before="120" w:after="120"/>
              <w:jc w:val="both"/>
              <w:rPr>
                <w:rFonts w:ascii="Calibri" w:hAnsi="Calibri" w:cs="Arial"/>
                <w:b/>
              </w:rPr>
            </w:pPr>
            <w:r>
              <w:rPr>
                <w:rFonts w:ascii="Calibri" w:hAnsi="Calibri" w:cs="Arial"/>
                <w:b/>
              </w:rPr>
              <w:t>Secondary Post Graduate Certificate in Education</w:t>
            </w:r>
          </w:p>
        </w:tc>
      </w:tr>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686" w:type="dxa"/>
            <w:shd w:val="clear" w:color="auto" w:fill="auto"/>
          </w:tcPr>
          <w:p w:rsidR="00544081" w:rsidRPr="00544081" w:rsidRDefault="00544081" w:rsidP="00544081">
            <w:pPr>
              <w:spacing w:before="120" w:after="120"/>
              <w:rPr>
                <w:rFonts w:cstheme="minorHAnsi"/>
                <w:b/>
              </w:rPr>
            </w:pPr>
            <w:r w:rsidRPr="00544081">
              <w:rPr>
                <w:rFonts w:cstheme="minorHAnsi"/>
                <w:b/>
                <w:szCs w:val="32"/>
              </w:rPr>
              <w:t>Curriculum Development and Enhancement</w:t>
            </w:r>
          </w:p>
        </w:tc>
        <w:tc>
          <w:tcPr>
            <w:tcW w:w="2538" w:type="dxa"/>
            <w:shd w:val="clear" w:color="auto" w:fill="D9D9D9"/>
          </w:tcPr>
          <w:p w:rsidR="00544081" w:rsidRPr="00C1361B" w:rsidRDefault="00544081" w:rsidP="00544081">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544081" w:rsidRPr="00C1361B" w:rsidRDefault="00544081" w:rsidP="00544081">
            <w:pPr>
              <w:spacing w:before="120" w:after="120"/>
              <w:jc w:val="both"/>
              <w:rPr>
                <w:rFonts w:ascii="Calibri" w:hAnsi="Calibri" w:cs="Arial"/>
                <w:b/>
              </w:rPr>
            </w:pPr>
            <w:r>
              <w:rPr>
                <w:rFonts w:ascii="Calibri" w:hAnsi="Calibri" w:cs="Arial"/>
                <w:b/>
              </w:rPr>
              <w:t>Level 7</w:t>
            </w:r>
          </w:p>
        </w:tc>
      </w:tr>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686" w:type="dxa"/>
          </w:tcPr>
          <w:p w:rsidR="00544081" w:rsidRPr="00C1361B" w:rsidRDefault="00544081" w:rsidP="00544081">
            <w:pPr>
              <w:spacing w:before="120" w:after="120"/>
              <w:jc w:val="both"/>
              <w:rPr>
                <w:rFonts w:ascii="Calibri" w:hAnsi="Calibri" w:cs="Arial"/>
                <w:b/>
              </w:rPr>
            </w:pPr>
            <w:r w:rsidRPr="00E3293C">
              <w:rPr>
                <w:rFonts w:ascii="Calibri" w:hAnsi="Calibri" w:cs="Arial"/>
                <w:b/>
              </w:rPr>
              <w:t>ECSP7002</w:t>
            </w:r>
          </w:p>
        </w:tc>
        <w:tc>
          <w:tcPr>
            <w:tcW w:w="2538" w:type="dxa"/>
            <w:shd w:val="clear" w:color="auto" w:fill="D9D9D9"/>
          </w:tcPr>
          <w:p w:rsidR="00544081" w:rsidRPr="00C1361B" w:rsidRDefault="00544081" w:rsidP="00544081">
            <w:pPr>
              <w:pStyle w:val="Heading2"/>
              <w:rPr>
                <w:rFonts w:ascii="Calibri" w:hAnsi="Calibri" w:cs="Arial"/>
                <w:sz w:val="22"/>
                <w:szCs w:val="22"/>
              </w:rPr>
            </w:pPr>
            <w:r w:rsidRPr="00C1361B">
              <w:rPr>
                <w:rFonts w:ascii="Calibri" w:hAnsi="Calibri" w:cs="Arial"/>
                <w:sz w:val="22"/>
                <w:szCs w:val="22"/>
              </w:rPr>
              <w:t xml:space="preserve">Contribution to Overall </w:t>
            </w:r>
          </w:p>
          <w:p w:rsidR="00544081" w:rsidRPr="00C1361B" w:rsidRDefault="00544081" w:rsidP="00544081">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544081" w:rsidRPr="00C1361B" w:rsidRDefault="00544081" w:rsidP="00544081">
            <w:pPr>
              <w:spacing w:before="120" w:after="120"/>
              <w:jc w:val="both"/>
              <w:rPr>
                <w:rFonts w:ascii="Calibri" w:hAnsi="Calibri" w:cs="Arial"/>
                <w:b/>
              </w:rPr>
            </w:pPr>
            <w:r>
              <w:rPr>
                <w:rFonts w:ascii="Calibri" w:hAnsi="Calibri" w:cs="Arial"/>
                <w:b/>
              </w:rPr>
              <w:t>100</w:t>
            </w:r>
          </w:p>
        </w:tc>
      </w:tr>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 xml:space="preserve"> *</w:t>
            </w:r>
          </w:p>
        </w:tc>
        <w:tc>
          <w:tcPr>
            <w:tcW w:w="8335" w:type="dxa"/>
            <w:gridSpan w:val="3"/>
            <w:shd w:val="clear" w:color="auto" w:fill="FFFFFF" w:themeFill="background1"/>
          </w:tcPr>
          <w:p w:rsidR="00544081" w:rsidRPr="00544081" w:rsidRDefault="00544081" w:rsidP="00544081">
            <w:pPr>
              <w:spacing w:before="120" w:after="120"/>
              <w:jc w:val="both"/>
              <w:rPr>
                <w:rFonts w:ascii="Calibri" w:hAnsi="Calibri" w:cs="Arial"/>
              </w:rPr>
            </w:pPr>
            <w:r w:rsidRPr="00544081">
              <w:rPr>
                <w:rFonts w:ascii="Calibri" w:hAnsi="Calibri" w:cs="Arial"/>
              </w:rPr>
              <w:t>Jan Barnes</w:t>
            </w:r>
          </w:p>
        </w:tc>
      </w:tr>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sidRPr="00C1361B">
              <w:rPr>
                <w:rFonts w:ascii="Calibri" w:hAnsi="Calibri" w:cs="Arial"/>
                <w:b/>
              </w:rPr>
              <w:t>Assignment Title:</w:t>
            </w:r>
            <w:r>
              <w:rPr>
                <w:rFonts w:ascii="Calibri" w:hAnsi="Calibri" w:cs="Arial"/>
                <w:b/>
              </w:rPr>
              <w:t xml:space="preserve"> *</w:t>
            </w:r>
          </w:p>
        </w:tc>
        <w:tc>
          <w:tcPr>
            <w:tcW w:w="3686" w:type="dxa"/>
          </w:tcPr>
          <w:p w:rsidR="00544081" w:rsidRPr="00544081" w:rsidRDefault="00544081" w:rsidP="00544081">
            <w:pPr>
              <w:spacing w:before="120" w:after="120"/>
              <w:rPr>
                <w:rFonts w:cstheme="minorHAnsi"/>
              </w:rPr>
            </w:pPr>
            <w:r w:rsidRPr="00544081">
              <w:rPr>
                <w:rFonts w:cstheme="minorHAnsi"/>
              </w:rPr>
              <w:t>Reflections on Teaching and Learning</w:t>
            </w:r>
          </w:p>
        </w:tc>
        <w:tc>
          <w:tcPr>
            <w:tcW w:w="2538" w:type="dxa"/>
            <w:shd w:val="pct15" w:color="auto" w:fill="auto"/>
          </w:tcPr>
          <w:p w:rsidR="00544081" w:rsidRPr="00544081" w:rsidRDefault="00544081" w:rsidP="00544081">
            <w:pPr>
              <w:spacing w:before="120" w:after="120"/>
              <w:jc w:val="both"/>
              <w:rPr>
                <w:rFonts w:ascii="Calibri" w:hAnsi="Calibri" w:cs="Arial"/>
              </w:rPr>
            </w:pPr>
            <w:r w:rsidRPr="00544081">
              <w:rPr>
                <w:rFonts w:ascii="Calibri" w:hAnsi="Calibri" w:cs="Arial"/>
              </w:rPr>
              <w:t>Assignment No (x of x):</w:t>
            </w:r>
          </w:p>
        </w:tc>
        <w:tc>
          <w:tcPr>
            <w:tcW w:w="2111" w:type="dxa"/>
          </w:tcPr>
          <w:p w:rsidR="00544081" w:rsidRPr="00544081" w:rsidRDefault="00544081" w:rsidP="00544081">
            <w:pPr>
              <w:spacing w:before="120" w:after="120"/>
              <w:jc w:val="both"/>
              <w:rPr>
                <w:rFonts w:ascii="Calibri" w:hAnsi="Calibri" w:cs="Arial"/>
              </w:rPr>
            </w:pPr>
            <w:r w:rsidRPr="00544081">
              <w:rPr>
                <w:rFonts w:ascii="Calibri" w:hAnsi="Calibri" w:cs="Arial"/>
              </w:rPr>
              <w:t>1</w:t>
            </w:r>
          </w:p>
        </w:tc>
      </w:tr>
      <w:tr w:rsidR="00544081" w:rsidRPr="00C1361B" w:rsidTr="00544081">
        <w:tc>
          <w:tcPr>
            <w:tcW w:w="2694" w:type="dxa"/>
            <w:shd w:val="pct15" w:color="auto" w:fill="auto"/>
          </w:tcPr>
          <w:p w:rsidR="00544081" w:rsidRPr="00C1361B" w:rsidRDefault="00544081" w:rsidP="00544081">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 xml:space="preserve"> *</w:t>
            </w:r>
          </w:p>
        </w:tc>
        <w:tc>
          <w:tcPr>
            <w:tcW w:w="3686" w:type="dxa"/>
            <w:shd w:val="clear" w:color="auto" w:fill="auto"/>
          </w:tcPr>
          <w:p w:rsidR="00544081" w:rsidRPr="00C1361B" w:rsidRDefault="00544081" w:rsidP="00544081">
            <w:pPr>
              <w:spacing w:before="120" w:after="120"/>
              <w:jc w:val="both"/>
              <w:rPr>
                <w:rFonts w:ascii="Calibri" w:hAnsi="Calibri" w:cs="Arial"/>
                <w:b/>
              </w:rPr>
            </w:pPr>
          </w:p>
        </w:tc>
        <w:tc>
          <w:tcPr>
            <w:tcW w:w="2538" w:type="dxa"/>
            <w:shd w:val="pct15" w:color="auto" w:fill="auto"/>
          </w:tcPr>
          <w:p w:rsidR="00544081" w:rsidRPr="00C1361B" w:rsidRDefault="00544081" w:rsidP="00544081">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 xml:space="preserve"> *</w:t>
            </w:r>
          </w:p>
        </w:tc>
        <w:tc>
          <w:tcPr>
            <w:tcW w:w="2111" w:type="dxa"/>
          </w:tcPr>
          <w:p w:rsidR="00544081" w:rsidRPr="00C1361B" w:rsidRDefault="00544081" w:rsidP="00544081">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544081" w:rsidRPr="00C1361B" w:rsidTr="00544081">
        <w:trPr>
          <w:trHeight w:val="888"/>
        </w:trPr>
        <w:tc>
          <w:tcPr>
            <w:tcW w:w="2694" w:type="dxa"/>
            <w:shd w:val="pct15" w:color="auto" w:fill="auto"/>
          </w:tcPr>
          <w:p w:rsidR="00544081" w:rsidRPr="00544081" w:rsidRDefault="00544081" w:rsidP="00544081">
            <w:pPr>
              <w:rPr>
                <w:b/>
              </w:rPr>
            </w:pPr>
            <w:r w:rsidRPr="00544081">
              <w:rPr>
                <w:b/>
              </w:rPr>
              <w:t>Return date of provisional marks &amp; written feedback: *</w:t>
            </w:r>
          </w:p>
        </w:tc>
        <w:tc>
          <w:tcPr>
            <w:tcW w:w="8335" w:type="dxa"/>
            <w:gridSpan w:val="3"/>
            <w:shd w:val="clear" w:color="auto" w:fill="auto"/>
          </w:tcPr>
          <w:p w:rsidR="00544081" w:rsidRPr="00C1361B" w:rsidRDefault="00544081" w:rsidP="00544081">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rsidR="00EB3E1D" w:rsidRPr="00544081" w:rsidRDefault="00EB3E1D" w:rsidP="00544081">
      <w:pPr>
        <w:jc w:val="center"/>
        <w:rPr>
          <w:b/>
          <w:i/>
          <w:sz w:val="16"/>
          <w:szCs w:val="16"/>
        </w:rPr>
      </w:pPr>
      <w:r>
        <w:rPr>
          <w:b/>
          <w:i/>
          <w:sz w:val="16"/>
          <w:szCs w:val="16"/>
        </w:rPr>
        <w:t>Sections marked with * should be completed by module lead</w:t>
      </w:r>
    </w:p>
    <w:p w:rsidR="00EB3E1D" w:rsidRPr="00C315AF" w:rsidRDefault="00EB3E1D" w:rsidP="00EB3E1D">
      <w:pPr>
        <w:rPr>
          <w:vanish/>
        </w:rPr>
      </w:pPr>
    </w:p>
    <w:p w:rsidR="00EB3E1D" w:rsidRPr="00C315AF" w:rsidRDefault="00EB3E1D" w:rsidP="00EB3E1D">
      <w:pPr>
        <w:rPr>
          <w:vanish/>
        </w:rPr>
      </w:pPr>
    </w:p>
    <w:tbl>
      <w:tblPr>
        <w:tblpPr w:leftFromText="180" w:rightFromText="180" w:vertAnchor="text" w:horzAnchor="margin" w:tblpXSpec="center" w:tblpY="354"/>
        <w:tblW w:w="1104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251"/>
        <w:gridCol w:w="6521"/>
        <w:gridCol w:w="1134"/>
        <w:gridCol w:w="1134"/>
      </w:tblGrid>
      <w:tr w:rsidR="00544081" w:rsidRPr="00C1361B" w:rsidTr="00544081">
        <w:trPr>
          <w:trHeight w:val="421"/>
        </w:trPr>
        <w:tc>
          <w:tcPr>
            <w:tcW w:w="2251" w:type="dxa"/>
            <w:tcBorders>
              <w:top w:val="single" w:sz="6" w:space="0" w:color="auto"/>
            </w:tcBorders>
            <w:shd w:val="clear" w:color="auto" w:fill="D9D9D9"/>
          </w:tcPr>
          <w:p w:rsidR="00544081" w:rsidRPr="00C1361B" w:rsidRDefault="00544081" w:rsidP="00544081">
            <w:pPr>
              <w:rPr>
                <w:rFonts w:ascii="Calibri" w:hAnsi="Calibri" w:cs="Arial"/>
                <w:b/>
              </w:rPr>
            </w:pPr>
            <w:r>
              <w:rPr>
                <w:rFonts w:ascii="Calibri" w:hAnsi="Calibri" w:cs="Arial"/>
                <w:b/>
              </w:rPr>
              <w:t>R</w:t>
            </w:r>
            <w:r w:rsidRPr="00C1361B">
              <w:rPr>
                <w:rFonts w:ascii="Calibri" w:hAnsi="Calibri" w:cs="Arial"/>
                <w:b/>
              </w:rPr>
              <w:t>eferencing:</w:t>
            </w:r>
          </w:p>
        </w:tc>
        <w:tc>
          <w:tcPr>
            <w:tcW w:w="8789" w:type="dxa"/>
            <w:gridSpan w:val="3"/>
            <w:tcBorders>
              <w:top w:val="single" w:sz="6" w:space="0" w:color="auto"/>
            </w:tcBorders>
          </w:tcPr>
          <w:p w:rsidR="00544081" w:rsidRPr="00544081" w:rsidRDefault="00544081" w:rsidP="00544081">
            <w:pPr>
              <w:pStyle w:val="BodyText2"/>
              <w:rPr>
                <w:rFonts w:asciiTheme="minorHAnsi" w:hAnsiTheme="minorHAnsi" w:cstheme="minorHAnsi"/>
                <w:sz w:val="18"/>
                <w:szCs w:val="18"/>
              </w:rPr>
            </w:pPr>
            <w:r w:rsidRPr="00544081">
              <w:rPr>
                <w:rFonts w:asciiTheme="minorHAnsi" w:hAnsiTheme="minorHAnsi" w:cstheme="minorHAnsi"/>
                <w:sz w:val="18"/>
                <w:szCs w:val="18"/>
              </w:rPr>
              <w:t xml:space="preserve">In the main body of your submission you must give credit to authors on whose research your work is based. Append to your submission a reference list that indicates the books, articles, etc. that you have read or quoted </w:t>
            </w:r>
            <w:proofErr w:type="gramStart"/>
            <w:r w:rsidRPr="00544081">
              <w:rPr>
                <w:rFonts w:asciiTheme="minorHAnsi" w:hAnsiTheme="minorHAnsi" w:cstheme="minorHAnsi"/>
                <w:sz w:val="18"/>
                <w:szCs w:val="18"/>
              </w:rPr>
              <w:t>in order to</w:t>
            </w:r>
            <w:proofErr w:type="gramEnd"/>
            <w:r w:rsidRPr="00544081">
              <w:rPr>
                <w:rFonts w:asciiTheme="minorHAnsi" w:hAnsiTheme="minorHAnsi" w:cstheme="minorHAnsi"/>
                <w:sz w:val="18"/>
                <w:szCs w:val="18"/>
              </w:rPr>
              <w:t xml:space="preserve"> complete this assignment (e.g. for books: surname of author and initials, year of publication, </w:t>
            </w:r>
            <w:r w:rsidRPr="00544081">
              <w:rPr>
                <w:rFonts w:asciiTheme="minorHAnsi" w:hAnsiTheme="minorHAnsi" w:cstheme="minorHAnsi"/>
                <w:sz w:val="18"/>
                <w:szCs w:val="18"/>
                <w:u w:val="single"/>
              </w:rPr>
              <w:t>title of book</w:t>
            </w:r>
            <w:r w:rsidRPr="00544081">
              <w:rPr>
                <w:rFonts w:asciiTheme="minorHAnsi" w:hAnsiTheme="minorHAnsi" w:cstheme="minorHAnsi"/>
                <w:sz w:val="18"/>
                <w:szCs w:val="18"/>
              </w:rPr>
              <w:t>, edition, publisher: place of publication).</w:t>
            </w:r>
          </w:p>
        </w:tc>
      </w:tr>
      <w:tr w:rsidR="00544081" w:rsidRPr="00C1361B" w:rsidTr="00544081">
        <w:trPr>
          <w:trHeight w:val="666"/>
        </w:trPr>
        <w:tc>
          <w:tcPr>
            <w:tcW w:w="2251" w:type="dxa"/>
            <w:tcBorders>
              <w:top w:val="single" w:sz="6" w:space="0" w:color="auto"/>
            </w:tcBorders>
            <w:shd w:val="clear" w:color="auto" w:fill="D9D9D9"/>
          </w:tcPr>
          <w:p w:rsidR="00544081" w:rsidRPr="00C1361B" w:rsidRDefault="00544081" w:rsidP="00544081">
            <w:pPr>
              <w:rPr>
                <w:rFonts w:ascii="Calibri" w:hAnsi="Calibri" w:cs="Arial"/>
                <w:b/>
              </w:rPr>
            </w:pPr>
            <w:r>
              <w:rPr>
                <w:rFonts w:ascii="Calibri" w:hAnsi="Calibri" w:cs="Arial"/>
                <w:b/>
              </w:rPr>
              <w:t>Submission:</w:t>
            </w:r>
          </w:p>
        </w:tc>
        <w:tc>
          <w:tcPr>
            <w:tcW w:w="6521" w:type="dxa"/>
            <w:tcBorders>
              <w:top w:val="single" w:sz="6" w:space="0" w:color="auto"/>
            </w:tcBorders>
          </w:tcPr>
          <w:p w:rsidR="00544081" w:rsidRPr="00544081" w:rsidRDefault="00544081" w:rsidP="00544081">
            <w:pPr>
              <w:spacing w:before="120" w:after="120"/>
              <w:jc w:val="both"/>
              <w:rPr>
                <w:rFonts w:cstheme="minorHAnsi"/>
              </w:rPr>
            </w:pPr>
            <w:r w:rsidRPr="00544081">
              <w:rPr>
                <w:rFonts w:cstheme="minorHAnsi"/>
                <w:b/>
              </w:rPr>
              <w:t xml:space="preserve">All assignments must be submitted to Turnitin unless otherwise instructed by the Lecturer. </w:t>
            </w:r>
          </w:p>
          <w:p w:rsidR="00544081" w:rsidRPr="00544081" w:rsidRDefault="00544081" w:rsidP="00544081">
            <w:pPr>
              <w:spacing w:before="120" w:after="120"/>
              <w:jc w:val="both"/>
              <w:rPr>
                <w:rFonts w:cstheme="minorHAnsi"/>
                <w:sz w:val="18"/>
                <w:szCs w:val="18"/>
              </w:rPr>
            </w:pPr>
            <w:r w:rsidRPr="00544081">
              <w:rPr>
                <w:rFonts w:cstheme="minorHAnsi"/>
                <w:b/>
              </w:rPr>
              <w:t>Note</w:t>
            </w:r>
            <w:r w:rsidRPr="00544081">
              <w:rPr>
                <w:rFonts w:cstheme="minorHAnsi"/>
              </w:rPr>
              <w:t xml:space="preserve">: the Turnitin version is the primary submission and acts as a receipt for the student.  </w:t>
            </w:r>
            <w:r w:rsidRPr="00544081">
              <w:rPr>
                <w:rFonts w:cstheme="minorHAnsi"/>
                <w:b/>
              </w:rPr>
              <w:t xml:space="preserve">Late submission of the electronic version of the assignment will result in a late penalty.  </w:t>
            </w:r>
            <w:r w:rsidRPr="00544081">
              <w:rPr>
                <w:rFonts w:cstheme="minorHAnsi"/>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544081" w:rsidRPr="00C1361B" w:rsidRDefault="00544081" w:rsidP="00544081">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544081" w:rsidRPr="00C1361B" w:rsidRDefault="00544081" w:rsidP="00544081">
            <w:pPr>
              <w:rPr>
                <w:rFonts w:ascii="Calibri" w:hAnsi="Calibri" w:cs="Arial"/>
                <w:b/>
              </w:rPr>
            </w:pPr>
          </w:p>
        </w:tc>
      </w:tr>
    </w:tbl>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66CCA" w:rsidRPr="00BF30FF" w:rsidTr="00166CCA">
        <w:trPr>
          <w:trHeight w:val="386"/>
        </w:trPr>
        <w:tc>
          <w:tcPr>
            <w:tcW w:w="9464" w:type="dxa"/>
            <w:vMerge w:val="restart"/>
            <w:shd w:val="pct15" w:color="auto" w:fill="auto"/>
          </w:tcPr>
          <w:p w:rsidR="00166CCA" w:rsidRPr="00BA1176" w:rsidRDefault="00166CCA" w:rsidP="00F965BC">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rsidR="00166CCA" w:rsidRPr="00BF30FF" w:rsidRDefault="00166CCA" w:rsidP="00F965BC">
            <w:pPr>
              <w:spacing w:before="120" w:after="120"/>
              <w:jc w:val="both"/>
              <w:rPr>
                <w:rFonts w:ascii="Calibri" w:hAnsi="Calibri" w:cs="Calibri"/>
                <w:b/>
              </w:rPr>
            </w:pPr>
            <w:r w:rsidRPr="00BF30FF">
              <w:rPr>
                <w:rFonts w:ascii="Calibri" w:hAnsi="Calibri" w:cs="Calibri"/>
                <w:b/>
              </w:rPr>
              <w:t>YES</w:t>
            </w:r>
          </w:p>
        </w:tc>
        <w:tc>
          <w:tcPr>
            <w:tcW w:w="567" w:type="dxa"/>
          </w:tcPr>
          <w:p w:rsidR="00166CCA" w:rsidRPr="00BF30FF" w:rsidRDefault="00166CCA" w:rsidP="00F965BC">
            <w:pPr>
              <w:spacing w:before="120" w:after="120"/>
              <w:jc w:val="both"/>
              <w:rPr>
                <w:rFonts w:ascii="Calibri" w:hAnsi="Calibri" w:cs="Calibri"/>
                <w:b/>
              </w:rPr>
            </w:pPr>
          </w:p>
        </w:tc>
      </w:tr>
      <w:tr w:rsidR="00166CCA" w:rsidRPr="00BF30FF" w:rsidTr="00166CCA">
        <w:trPr>
          <w:trHeight w:val="408"/>
        </w:trPr>
        <w:tc>
          <w:tcPr>
            <w:tcW w:w="9464" w:type="dxa"/>
            <w:vMerge/>
            <w:shd w:val="pct15" w:color="auto" w:fill="auto"/>
          </w:tcPr>
          <w:p w:rsidR="00166CCA" w:rsidRPr="00BF30FF" w:rsidRDefault="00166CCA" w:rsidP="00F965BC">
            <w:pPr>
              <w:spacing w:before="120" w:after="120"/>
              <w:jc w:val="both"/>
              <w:rPr>
                <w:rFonts w:ascii="Calibri" w:hAnsi="Calibri" w:cs="Calibri"/>
                <w:b/>
              </w:rPr>
            </w:pPr>
          </w:p>
        </w:tc>
        <w:tc>
          <w:tcPr>
            <w:tcW w:w="567" w:type="dxa"/>
            <w:shd w:val="pct15" w:color="auto" w:fill="auto"/>
          </w:tcPr>
          <w:p w:rsidR="00166CCA" w:rsidRPr="00BF30FF" w:rsidRDefault="00166CCA" w:rsidP="00F965BC">
            <w:pPr>
              <w:spacing w:before="120" w:after="120"/>
              <w:jc w:val="both"/>
              <w:rPr>
                <w:rFonts w:ascii="Calibri" w:hAnsi="Calibri" w:cs="Calibri"/>
                <w:b/>
              </w:rPr>
            </w:pPr>
            <w:r w:rsidRPr="00BF30FF">
              <w:rPr>
                <w:rFonts w:ascii="Calibri" w:hAnsi="Calibri" w:cs="Calibri"/>
                <w:b/>
              </w:rPr>
              <w:t>NO</w:t>
            </w:r>
          </w:p>
        </w:tc>
        <w:tc>
          <w:tcPr>
            <w:tcW w:w="567" w:type="dxa"/>
          </w:tcPr>
          <w:p w:rsidR="00166CCA" w:rsidRPr="00BF30FF" w:rsidRDefault="00166CCA" w:rsidP="00F965BC">
            <w:pPr>
              <w:spacing w:before="120" w:after="120"/>
              <w:jc w:val="both"/>
              <w:rPr>
                <w:rFonts w:ascii="Calibri" w:hAnsi="Calibri" w:cs="Calibri"/>
                <w:b/>
              </w:rPr>
            </w:pPr>
            <w:r>
              <w:rPr>
                <w:rFonts w:ascii="Calibri" w:hAnsi="Calibri" w:cs="Calibri"/>
                <w:b/>
              </w:rPr>
              <w:t>√</w:t>
            </w:r>
          </w:p>
        </w:tc>
      </w:tr>
    </w:tbl>
    <w:p w:rsidR="00166CCA" w:rsidRDefault="00166CCA" w:rsidP="00EB3E1D">
      <w:pPr>
        <w:jc w:val="center"/>
        <w:rPr>
          <w:b/>
          <w:i/>
          <w:sz w:val="24"/>
          <w:u w:val="single"/>
        </w:rPr>
      </w:pPr>
    </w:p>
    <w:p w:rsidR="00C27A6D" w:rsidRDefault="007E4CBA" w:rsidP="00EB3E1D">
      <w:pPr>
        <w:jc w:val="center"/>
        <w:rPr>
          <w:b/>
          <w:i/>
          <w:sz w:val="24"/>
          <w:u w:val="single"/>
        </w:rPr>
      </w:pPr>
      <w:r w:rsidRPr="007E4CBA">
        <w:rPr>
          <w:b/>
          <w:i/>
          <w:sz w:val="24"/>
          <w:u w:val="single"/>
        </w:rPr>
        <w:lastRenderedPageBreak/>
        <w:t>Can Numeracy Differentiation Allow Numeracy to be Accessible Outside of the Mathematics Classroom?</w:t>
      </w:r>
    </w:p>
    <w:p w:rsidR="007E4CBA" w:rsidRDefault="007E4CBA" w:rsidP="007E4CBA">
      <w:pPr>
        <w:jc w:val="center"/>
        <w:rPr>
          <w:b/>
          <w:i/>
          <w:sz w:val="24"/>
          <w:u w:val="single"/>
        </w:rPr>
      </w:pPr>
    </w:p>
    <w:p w:rsidR="007E4CBA" w:rsidRPr="00757499" w:rsidRDefault="007E4CBA" w:rsidP="007E4CBA">
      <w:pPr>
        <w:jc w:val="center"/>
        <w:rPr>
          <w:b/>
        </w:rPr>
      </w:pPr>
      <w:r w:rsidRPr="00757499">
        <w:rPr>
          <w:b/>
        </w:rPr>
        <w:t>Introduction</w:t>
      </w:r>
    </w:p>
    <w:p w:rsidR="007E4CBA" w:rsidRDefault="007E4CBA" w:rsidP="007E4CBA">
      <w:pPr>
        <w:spacing w:line="360" w:lineRule="auto"/>
      </w:pPr>
      <w:r>
        <w:tab/>
        <w:t xml:space="preserve">This research project will investigate the application of numeracy differentiation during one numeracy-based lesson within a Geography Scheme of Work (SoW). The numeracy differentiation was implemented in a Year 8 lesson. The class was constructed of twenty-six pupils. Within the class, there were eight pupils with Additional Learning Needs (ALN). The class also had two pupils who are More Able and Talented.  </w:t>
      </w:r>
    </w:p>
    <w:p w:rsidR="007E4CBA" w:rsidRDefault="007E4CBA" w:rsidP="007E4CBA">
      <w:pPr>
        <w:spacing w:line="360" w:lineRule="auto"/>
      </w:pPr>
      <w:r>
        <w:tab/>
        <w:t xml:space="preserve">The numeracy differentiation followed the guidelines and recommendations of the numeracy policy for School X. School X provided ideas and suggestions on how to implement numeracy into lessons across various subject areas, across the curriculum. To design the differentiation resources, the mathematics department were liaised with to ensure that all resources were tailored and targeted at the right level for the Year 8 pupils. It enabled the resources to compliment pupils learning within the mathematics SoW. </w:t>
      </w:r>
    </w:p>
    <w:p w:rsidR="007E4CBA" w:rsidRDefault="007E4CBA" w:rsidP="007E4CBA">
      <w:pPr>
        <w:spacing w:line="360" w:lineRule="auto"/>
        <w:jc w:val="center"/>
      </w:pPr>
      <w:r>
        <w:tab/>
        <w:t>Numeracy differentiation was selected for this research project as numeracy is a large aspect of pupils learning and it needs to be accessible to all, across the whole curriculum. However, numeracy differentiation is deemed difficult to access and problematic to instrument in a classroom. This research project was designed to investigate numeracy differentiation and how best to design it to, to allow it to be successful and effective, to allow pupils to achieve their learning potential.</w:t>
      </w:r>
    </w:p>
    <w:p w:rsidR="007E4CBA" w:rsidRPr="00B816C3" w:rsidRDefault="007E4CBA" w:rsidP="007E4CBA">
      <w:pPr>
        <w:spacing w:line="360" w:lineRule="auto"/>
        <w:jc w:val="center"/>
        <w:rPr>
          <w:b/>
        </w:rPr>
      </w:pPr>
      <w:r w:rsidRPr="00B816C3">
        <w:rPr>
          <w:b/>
        </w:rPr>
        <w:t>Literature Review</w:t>
      </w:r>
    </w:p>
    <w:p w:rsidR="007E4CBA" w:rsidRDefault="007E4CBA" w:rsidP="007E4CBA">
      <w:pPr>
        <w:spacing w:line="360" w:lineRule="auto"/>
        <w:ind w:firstLine="720"/>
      </w:pPr>
      <w:r>
        <w:t xml:space="preserve">All pupils, within all schools and paths of education, have the right to reach their learning potential. The Welsh Government state that all pupils should be provided with the opportunity to independently learn and progress. All learners should be allowed the opportunity to be involved in numerous experiences, inclusive of learning needs and abilities (A Curriculum for All Learners, 2010). Differentiation allows for this inclusion to be employed within the classroom. Differentiation allows for all pupils to access education and learning and allows for pupils to be able to reach their full potential. However, there are numerous types of differentiation, that allow for teaching staff to tailor learning experiences based on either a class or a pupil’s individual needs and individual learning styles. </w:t>
      </w:r>
    </w:p>
    <w:p w:rsidR="007E4CBA" w:rsidRDefault="007E4CBA" w:rsidP="007E4CBA">
      <w:pPr>
        <w:spacing w:line="360" w:lineRule="auto"/>
        <w:ind w:firstLine="720"/>
      </w:pPr>
    </w:p>
    <w:p w:rsidR="007E4CBA" w:rsidRDefault="007E4CBA" w:rsidP="007E4CBA">
      <w:pPr>
        <w:spacing w:line="360" w:lineRule="auto"/>
        <w:ind w:firstLine="720"/>
      </w:pPr>
    </w:p>
    <w:p w:rsidR="007E4CBA" w:rsidRPr="00B816C3" w:rsidRDefault="007E4CBA" w:rsidP="007E4CBA">
      <w:pPr>
        <w:spacing w:line="360" w:lineRule="auto"/>
        <w:rPr>
          <w:i/>
        </w:rPr>
      </w:pPr>
      <w:r w:rsidRPr="00B816C3">
        <w:rPr>
          <w:i/>
        </w:rPr>
        <w:lastRenderedPageBreak/>
        <w:t xml:space="preserve">What is differentiation? </w:t>
      </w:r>
    </w:p>
    <w:p w:rsidR="007E4CBA" w:rsidRDefault="007E4CBA" w:rsidP="007E4CBA">
      <w:pPr>
        <w:spacing w:line="360" w:lineRule="auto"/>
      </w:pPr>
      <w:r>
        <w:tab/>
        <w:t xml:space="preserve">In an educational context, differentiation allows the needs of all pupils to be met. Differentiation allows for the educational, physical and mental needs of all pupils in the classroom to be considered and met, inclusively. Lambert and Balderstone (2012. Pg. 205) defines differentiation as “a planned process of intervention in the classroom designed to maximise learning potential based on individual needs”. The intervention allows for all pupils to experience and succeed both within the classroom setting and outside of the classroom. </w:t>
      </w:r>
    </w:p>
    <w:p w:rsidR="007E4CBA" w:rsidRPr="00B816C3" w:rsidRDefault="007E4CBA" w:rsidP="007E4CBA">
      <w:pPr>
        <w:spacing w:line="360" w:lineRule="auto"/>
        <w:rPr>
          <w:i/>
        </w:rPr>
      </w:pPr>
      <w:r w:rsidRPr="00B816C3">
        <w:rPr>
          <w:i/>
        </w:rPr>
        <w:t xml:space="preserve">Types of Differentiation </w:t>
      </w:r>
    </w:p>
    <w:p w:rsidR="007E4CBA" w:rsidRDefault="007E4CBA" w:rsidP="007E4CBA">
      <w:pPr>
        <w:spacing w:line="360" w:lineRule="auto"/>
      </w:pPr>
      <w:r>
        <w:tab/>
      </w:r>
      <w:bookmarkStart w:id="1" w:name="_Hlk513834834"/>
      <w:r>
        <w:t xml:space="preserve">The National Numeracy Scheme </w:t>
      </w:r>
      <w:bookmarkEnd w:id="1"/>
      <w:r>
        <w:t xml:space="preserve">(NNS) (DfEE, 1999) states that differentiation should be manageable for the teacher and within the classroom but provide all pupils the opportunity to learn and progress to a level that is appropriate to their ability and their needs. Differentiation allows for pupils to achieve their learning level and for all pupils to be able to achieve the lesson objectives. It should not compromise pupils’ potential and it should not result in the More Able and Talented pupils being pushed and challenged nor should it allow for lower ability pupils to be neglected or result in them being provided work and experiences that are limited. All pupils should be included, and the education should be inclusive. To allow for differentiation to be effective and meaningful, there are various ways that differentiation that can be introduced into the classroom. </w:t>
      </w:r>
    </w:p>
    <w:p w:rsidR="007E4CBA" w:rsidRPr="00B816C3" w:rsidRDefault="007E4CBA" w:rsidP="007E4CBA">
      <w:pPr>
        <w:spacing w:line="360" w:lineRule="auto"/>
        <w:rPr>
          <w:i/>
        </w:rPr>
      </w:pPr>
      <w:r w:rsidRPr="00B816C3">
        <w:rPr>
          <w:i/>
        </w:rPr>
        <w:t>Differentiation by Outcome</w:t>
      </w:r>
    </w:p>
    <w:p w:rsidR="007E4CBA" w:rsidRDefault="007E4CBA" w:rsidP="007E4CBA">
      <w:pPr>
        <w:spacing w:line="360" w:lineRule="auto"/>
      </w:pPr>
      <w:r>
        <w:tab/>
        <w:t xml:space="preserve">Differentiation by outcome is a differentiation technique that allows all pupils to be working towards the same outcome but the level of completed work will have different expectations. (S Fox and L Surtees. 2010. P 12). This allows for pupils to have an individual response to the task set which represents their ability and language level. This technique is only effective if the class teacher is secure in what a class is to achieve. Furthermore, the </w:t>
      </w:r>
      <w:r w:rsidR="00400471">
        <w:t>teacher’s</w:t>
      </w:r>
      <w:r>
        <w:t xml:space="preserve"> expectations should also be explicitly clear to pupils to allow them to achieve </w:t>
      </w:r>
      <w:r w:rsidR="00400471">
        <w:t>teacher’s</w:t>
      </w:r>
      <w:r>
        <w:t xml:space="preserve"> expectations. </w:t>
      </w:r>
    </w:p>
    <w:p w:rsidR="007E4CBA" w:rsidRPr="00B816C3" w:rsidRDefault="007E4CBA" w:rsidP="007E4CBA">
      <w:pPr>
        <w:spacing w:line="360" w:lineRule="auto"/>
        <w:rPr>
          <w:i/>
        </w:rPr>
      </w:pPr>
      <w:r w:rsidRPr="00B816C3">
        <w:rPr>
          <w:i/>
        </w:rPr>
        <w:t>Differentiation by Task</w:t>
      </w:r>
    </w:p>
    <w:p w:rsidR="007E4CBA" w:rsidRDefault="007E4CBA" w:rsidP="007E4CBA">
      <w:pPr>
        <w:spacing w:line="360" w:lineRule="auto"/>
      </w:pPr>
      <w:r>
        <w:tab/>
        <w:t xml:space="preserve">Differentiation by task allows for pupils to work on a series of different tasks, that ultimately reach a common goal. It allows pupils to achieve a common goal and then share with others on what they have learnt.  Furthermore, differentiation by task can also allow teachers to produce a set of different resources that allow pupils to be supported and to reach a certain end goal. However, in order for this to be effective and telling, the teacher needs to produce decisive and careful planning. This, in turn, shows that the teacher understands the class and their specific needs. This would allow teachers to plan effectively to provide all pupils with equal prospect to reach a common goal. </w:t>
      </w:r>
    </w:p>
    <w:p w:rsidR="007E4CBA" w:rsidRPr="00B816C3" w:rsidRDefault="007E4CBA" w:rsidP="007E4CBA">
      <w:pPr>
        <w:spacing w:line="360" w:lineRule="auto"/>
        <w:rPr>
          <w:i/>
        </w:rPr>
      </w:pPr>
      <w:r w:rsidRPr="00B816C3">
        <w:rPr>
          <w:i/>
        </w:rPr>
        <w:lastRenderedPageBreak/>
        <w:t xml:space="preserve">Differentiation by Support </w:t>
      </w:r>
    </w:p>
    <w:p w:rsidR="007E4CBA" w:rsidRDefault="007E4CBA" w:rsidP="007E4CBA">
      <w:pPr>
        <w:spacing w:line="360" w:lineRule="auto"/>
      </w:pPr>
      <w:r>
        <w:tab/>
        <w:t xml:space="preserve">Differentiation by support allows pupils to be supported by either resource or by a Teaching Assistant (TA). It is worth noting that all pupils can benefit from the input of extra support, and not just those with a lower ability. A TA can either aid an individual pupil, a group of pupils or even the whole class, whilst the class teacher focuses on a smaller group (S Fox and L Surtees. 2010. P 13). This varied support allows for all pupils to be supported and all needs to be accommodated. </w:t>
      </w:r>
    </w:p>
    <w:p w:rsidR="007E4CBA" w:rsidRPr="00B816C3" w:rsidRDefault="007E4CBA" w:rsidP="007E4CBA">
      <w:pPr>
        <w:spacing w:line="360" w:lineRule="auto"/>
        <w:rPr>
          <w:i/>
        </w:rPr>
      </w:pPr>
      <w:r w:rsidRPr="00B816C3">
        <w:rPr>
          <w:i/>
        </w:rPr>
        <w:t xml:space="preserve">Differentiation by Graded Tasks and Outcome </w:t>
      </w:r>
    </w:p>
    <w:p w:rsidR="007E4CBA" w:rsidRDefault="007E4CBA" w:rsidP="007E4CBA">
      <w:pPr>
        <w:spacing w:line="360" w:lineRule="auto"/>
      </w:pPr>
      <w:r>
        <w:tab/>
        <w:t>Differentiation by graded tasks and outcome allows for a whole class to be provided with the same stimulus for learning. However, the differen</w:t>
      </w:r>
      <w:bookmarkStart w:id="2" w:name="_GoBack"/>
      <w:bookmarkEnd w:id="2"/>
      <w:r>
        <w:t xml:space="preserve">tiation in the stimulus allows for the tasks or questions to increase in challenge and educational level. However, if a pupil achieves a higher level through the graded task and outcome, </w:t>
      </w:r>
      <w:r w:rsidRPr="004064A3">
        <w:t xml:space="preserve">the level of achievement is not always </w:t>
      </w:r>
      <w:r w:rsidR="004064A3" w:rsidRPr="004064A3">
        <w:t>recorded</w:t>
      </w:r>
      <w:r w:rsidRPr="004064A3">
        <w:t>.</w:t>
      </w:r>
      <w:r>
        <w:t xml:space="preserve"> It is an overall level, not based solely alone on the graded tasks and outcome. This type of differentiation is only effective when applied over a series of lessons or a series of assessments. If not applied over a period of time, differentiation by graded task and outcome would not be effective. </w:t>
      </w:r>
    </w:p>
    <w:p w:rsidR="007E4CBA" w:rsidRPr="00B816C3" w:rsidRDefault="007E4CBA" w:rsidP="007E4CBA">
      <w:pPr>
        <w:spacing w:line="360" w:lineRule="auto"/>
        <w:rPr>
          <w:i/>
        </w:rPr>
      </w:pPr>
      <w:r w:rsidRPr="00B816C3">
        <w:rPr>
          <w:i/>
        </w:rPr>
        <w:t xml:space="preserve">Differentiation by Group Work </w:t>
      </w:r>
    </w:p>
    <w:p w:rsidR="007E4CBA" w:rsidRDefault="007E4CBA" w:rsidP="007E4CBA">
      <w:pPr>
        <w:spacing w:line="360" w:lineRule="auto"/>
      </w:pPr>
      <w:r>
        <w:tab/>
        <w:t xml:space="preserve">Differentiation by Group Work allows for students to be separated into groups of either mixed ability or into groups of similar ability, to complete a series of tasks together. It allows for pupils of mixed abilities to share ideas and to interpret resources that represent different levels. Whilst this differentiation technique is useful for developing communication skills between pupils, it is limited as to what lessons it can be introduced to. The lesson must lend itself to group work, otherwise effective learning cannot take place. </w:t>
      </w:r>
    </w:p>
    <w:p w:rsidR="007E4CBA" w:rsidRPr="002224B1" w:rsidRDefault="007E4CBA" w:rsidP="007E4CBA">
      <w:pPr>
        <w:spacing w:line="360" w:lineRule="auto"/>
        <w:rPr>
          <w:i/>
        </w:rPr>
      </w:pPr>
      <w:r>
        <w:rPr>
          <w:i/>
        </w:rPr>
        <w:t xml:space="preserve">Who receives differentiation? </w:t>
      </w:r>
    </w:p>
    <w:p w:rsidR="007E4CBA" w:rsidRDefault="007E4CBA" w:rsidP="007E4CBA">
      <w:pPr>
        <w:spacing w:line="360" w:lineRule="auto"/>
      </w:pPr>
      <w:r>
        <w:tab/>
        <w:t>A related point to make is that there are many differentiation strategies that can be adopted both in the planning stages of lessons and in the classroom. Furthermore, differentiation should not and cannot be limited to be only providing aid for lower ability pupils and should always be appropriately targeting pupils who need</w:t>
      </w:r>
      <w:r w:rsidR="004064A3">
        <w:t xml:space="preserve"> to be</w:t>
      </w:r>
      <w:r>
        <w:t xml:space="preserve"> </w:t>
      </w:r>
      <w:r w:rsidRPr="004064A3">
        <w:t>challenge</w:t>
      </w:r>
      <w:r w:rsidR="004064A3" w:rsidRPr="004064A3">
        <w:t>d</w:t>
      </w:r>
      <w:r>
        <w:t xml:space="preserve"> to reach their potential levels. Inclusion should be a part of every-day life in a school and classroom setting, allowing pupils equal opportunity and chance, regardless of background, ethnicity, religion, ability and so on. </w:t>
      </w:r>
    </w:p>
    <w:p w:rsidR="007E4CBA" w:rsidRDefault="007E4CBA" w:rsidP="007E4CBA">
      <w:pPr>
        <w:spacing w:line="360" w:lineRule="auto"/>
      </w:pPr>
      <w:r>
        <w:tab/>
        <w:t xml:space="preserve">Differentiation is usually associated with pupils with a lower ability compared to those of their peers or national standards. The 1994 publication of ‘Special Educational Needs Code of Practice’ for schools, teachers, governing bodies and so on, requires all teachers to support pupils </w:t>
      </w:r>
      <w:r>
        <w:lastRenderedPageBreak/>
        <w:t xml:space="preserve">individual learning needs. Whether this be by differentiated material, differentiated teaching style or by a differentiated curriculum (The Education Act 1996), all pupils should be allowed the opportunity for a meaningful and accessible education. </w:t>
      </w:r>
    </w:p>
    <w:p w:rsidR="007E4CBA" w:rsidRDefault="007E4CBA" w:rsidP="007E4CBA">
      <w:pPr>
        <w:spacing w:line="360" w:lineRule="auto"/>
        <w:ind w:firstLine="720"/>
      </w:pPr>
      <w:r>
        <w:t xml:space="preserve">In Wales, it is estimated that the 20% of a whole school is More Able and Talented pupils. This equates to 20% of the school population requiring enhanced opportunities to improve and reach their potential and learning abilities (Qualifications, Curriculum and Assessment Authority for Wales, 2003). Hunt and Jebb (2001) argue that “more able students may ‘under-perform’ because they see their capabilities as a liability, resulting in a heavier workload”. Whilst lower ability pupils are usually those who are targeted by differentiation and various interventions, it should not be limited to others in the classroom. All pupils deserve the opportunity to reach and gain their goals and full potential. More Able and Talented pupils are often forgotten during the planning stage of differentiation. </w:t>
      </w:r>
    </w:p>
    <w:p w:rsidR="007E4CBA" w:rsidRDefault="007E4CBA" w:rsidP="007E4CBA">
      <w:pPr>
        <w:spacing w:line="360" w:lineRule="auto"/>
      </w:pPr>
      <w:r>
        <w:tab/>
        <w:t xml:space="preserve">This was highlighted by Ofsted in a report published in 2011. Many ‘talented’ pupils were underperforming in Geography. However, M. Biddulph et al. (2015) argues that many ‘talented’ pupils do not reach their potential as they simply do not have the skills required to achieve the higher levels or higher grades. They have not been taught the skills necessary to independently work or independently achieve higher levels. This could be eradicated if teachers planned and designed differentiation that would scaffold their learning so that they had the prospect to develop these skills. In turn, this would challenge pupil’s academic ability and allow them to enhance their geographic knowledge. For this to be successful, it requires careful and considerate planning. Pupils should not be limited by differentiated resource or by outcome, but they should be given the opportunity to explore ideas and concepts for themselves, with guidance and support from the subject teacher, to allow for precise and accurate learning to take place (M. Biddulph et al. 2015. Pg. 174). </w:t>
      </w:r>
    </w:p>
    <w:p w:rsidR="007E4CBA" w:rsidRPr="003C7668" w:rsidRDefault="007E4CBA" w:rsidP="007E4CBA">
      <w:pPr>
        <w:spacing w:line="360" w:lineRule="auto"/>
      </w:pPr>
      <w:r>
        <w:rPr>
          <w:i/>
        </w:rPr>
        <w:t xml:space="preserve">Numeracy and Geography </w:t>
      </w:r>
    </w:p>
    <w:p w:rsidR="007E4CBA" w:rsidRDefault="007E4CBA" w:rsidP="007E4CBA">
      <w:pPr>
        <w:spacing w:line="360" w:lineRule="auto"/>
        <w:ind w:firstLine="720"/>
      </w:pPr>
      <w:r>
        <w:t xml:space="preserve">Numeracy has long had a strong presence within the world of Geography. It allows pupils the opportunity to explore subject specific content and ideas in an exciting and new way. M. Biddulph et al. (2015) outlined that “being numerically literate enables pupils to get underneath some of geography’s big ideas; numeracy contributes to a deeper more critical geographical understanding” (2015. Pg. 151). This highlights the importance of numeracy and the importance of developing the numerical skills of pupils, to allow them to access geographical ideas and concepts. </w:t>
      </w:r>
    </w:p>
    <w:p w:rsidR="007E4CBA" w:rsidRDefault="007E4CBA" w:rsidP="007E4CBA">
      <w:pPr>
        <w:spacing w:line="360" w:lineRule="auto"/>
        <w:ind w:firstLine="720"/>
      </w:pPr>
      <w:r>
        <w:lastRenderedPageBreak/>
        <w:t>To allow for this to be accessible for each and every pupil, teachers can design and introduce numeracy differentiation. Numeracy differentiation in the Geography classroom allows for each pupil to experience success through a rich and wide curriculum. It is vital for teachers to design numeracy differentiation so that it encompasses all needs and attitudes of a classroom. Numeracy differentiation must be set based on a class and the pupil’s abilities and must allow them to develop these abilities appropriately and effectively (Estyn, 2017).</w:t>
      </w:r>
    </w:p>
    <w:p w:rsidR="007E4CBA" w:rsidRDefault="007E4CBA" w:rsidP="007E4CBA">
      <w:pPr>
        <w:spacing w:line="360" w:lineRule="auto"/>
        <w:ind w:firstLine="720"/>
      </w:pPr>
      <w:r>
        <w:t xml:space="preserve">As well as allowing pupils to develop the four strands that are set out in the Literacy and Numeracy Framework (LNF), numeracy has a dynamic role in Geography and allowing pupils to progress within the subject. As well as the four strands, numeracy allows for pupils to develop their critical thinking skills. This is a vital part of a pupil’s education as it gives them life-long skills that they can apply to numerous scenarios and settings throughout school, as well as further on in life. (M. Biddulph et al., 2015. Pg. 152). It creates a foundation for pupils, allowing them to progress from Key Stage 3, to GCSE, to A Level and so on. This skill development can be applied to Geography but also across numerous subjects. (M. Biddulph et al., 2015. Pg. 153). </w:t>
      </w:r>
    </w:p>
    <w:p w:rsidR="007E4CBA" w:rsidRDefault="007E4CBA" w:rsidP="007E4CBA">
      <w:pPr>
        <w:spacing w:line="360" w:lineRule="auto"/>
        <w:rPr>
          <w:i/>
        </w:rPr>
      </w:pPr>
      <w:r>
        <w:rPr>
          <w:i/>
        </w:rPr>
        <w:t xml:space="preserve">Numeracy Differentiation </w:t>
      </w:r>
    </w:p>
    <w:p w:rsidR="007E4CBA" w:rsidRPr="00CA03A0" w:rsidRDefault="007E4CBA" w:rsidP="007E4CBA">
      <w:pPr>
        <w:spacing w:line="360" w:lineRule="auto"/>
      </w:pPr>
      <w:r>
        <w:tab/>
        <w:t xml:space="preserve">M. Askew et al (1997) define numeracy as being “the ability to process, communicate and interpret numerical information in a variety of contexts” (1997. Pg. 11). The Welsh Government insist that numeracy is to be taught and integrated in all classrooms, across all subjects. </w:t>
      </w:r>
    </w:p>
    <w:p w:rsidR="007E4CBA" w:rsidRDefault="007E4CBA" w:rsidP="007E4CBA">
      <w:pPr>
        <w:spacing w:line="360" w:lineRule="auto"/>
        <w:ind w:firstLine="720"/>
      </w:pPr>
      <w:r>
        <w:t xml:space="preserve">There are numerous publications that have been published by the Welsh Government to provide guidance and support for schools and teachers on how to include numeracy across the curriculum. The publications allow teachers to plan for the introduction of numeracy into various subjects so that it is thoughtful and effective, rather than shoehorned in to lessons and SoW’s. </w:t>
      </w:r>
    </w:p>
    <w:p w:rsidR="007E4CBA" w:rsidRDefault="007E4CBA" w:rsidP="007E4CBA">
      <w:pPr>
        <w:spacing w:line="360" w:lineRule="auto"/>
      </w:pPr>
      <w:r>
        <w:t xml:space="preserve">The first of these publications was introduced in September 2013. The Welsh Government introduced and published the Literacy and Numeracy Framework. The aim of the Literacy and Numeracy Framework (LNF) was to introduce and expose pupils to both literacy and numeracy across the whole of the curriculum, rather than limiting it to just the English and Mathematics classroom. By implementing numeracy and literacy across the curriculum, it would allow pupils to develop their skill in a practical way, which will therefore lead to life-long skill progression. Incorporated in the LNF, Key Stage 3 (KS3) pupils would develop numerical reasoning, the use of number skill, the use of measuring skills and the use of data skills (LNF, 2013). Beneath these strands, pupils develop numerous skills and numerous elements. All teaching staff and schools would apply these strands and integrate all of them equally and effectively into SoW and lessons. </w:t>
      </w:r>
      <w:r>
        <w:lastRenderedPageBreak/>
        <w:t xml:space="preserve">However, numerical reasoning should underpin all numeracy interventions (Welsh Government, 2013). This is because this procedural technique allows pupils to develop practical skills in which they can apply and transfer throughout the curriculum, as well as into later life. This allows pupils to become life-long learners. </w:t>
      </w:r>
    </w:p>
    <w:p w:rsidR="007E4CBA" w:rsidRDefault="007E4CBA" w:rsidP="007E4CBA">
      <w:pPr>
        <w:spacing w:line="360" w:lineRule="auto"/>
        <w:ind w:firstLine="720"/>
      </w:pPr>
      <w:r>
        <w:t xml:space="preserve">As previously mentioned, differentiation can be applied in the classroom in a number of different ways and by using an array of different strategies. Furthermore, there are numerous ways in which differentiation can be applied to aid numeracy application outside of mathematics classrooms. Numeracy differentiation is paramount to allow pupils to reach their learning potential. In addition, numeracy differentiation allows all pupils to access numeracy outside the mathematics classroom and allow them to apply it to an array of different subjects, scenarios and real-life situations. </w:t>
      </w:r>
    </w:p>
    <w:p w:rsidR="007E4CBA" w:rsidRDefault="007E4CBA" w:rsidP="007E4CBA">
      <w:pPr>
        <w:spacing w:line="360" w:lineRule="auto"/>
        <w:ind w:firstLine="720"/>
      </w:pPr>
      <w:r>
        <w:t>Numeracy differentiation is vital as it allows all pupils the chance to access the curriculum and SoW set. Research has found that the use of numeracy differentiation allows pupils the chance to grasp mathematical ideas and approaches in various subjects. It allows teachers to tailor differentiation to individual needs and allow pupils the opportunity to build upon their strengths (Konstnantinou-Katzi et al., 2013). This in turn, improve</w:t>
      </w:r>
      <w:r w:rsidRPr="00D71F14">
        <w:t>d pupils mathematical thinking (Education Scotland 2015).</w:t>
      </w:r>
      <w:r>
        <w:t xml:space="preserve"> </w:t>
      </w:r>
    </w:p>
    <w:p w:rsidR="007E4CBA" w:rsidRDefault="007E4CBA" w:rsidP="007E4CBA">
      <w:pPr>
        <w:spacing w:line="360" w:lineRule="auto"/>
      </w:pPr>
      <w:r>
        <w:rPr>
          <w:i/>
        </w:rPr>
        <w:t xml:space="preserve">Teaching and Leaning Decisions </w:t>
      </w:r>
    </w:p>
    <w:p w:rsidR="007E4CBA" w:rsidRPr="00B816C3" w:rsidRDefault="007E4CBA" w:rsidP="007E4CBA">
      <w:pPr>
        <w:spacing w:line="360" w:lineRule="auto"/>
      </w:pPr>
      <w:r>
        <w:tab/>
        <w:t xml:space="preserve">After reviewing and analysing the academic and professional literature related to numeracy differentiation in the Geography classroom, it was decided that differentiation by resource would be adopted. However, to allow this to take place, the overall task would be divided into smaller, more manageable tasks. Following this decision, all resources would be differentiated at all aspects of each of the tasks set. This would confidently allow overall accessibility for all pupils. </w:t>
      </w:r>
    </w:p>
    <w:p w:rsidR="007E4CBA" w:rsidRPr="007909BB" w:rsidRDefault="007E4CBA" w:rsidP="007E4CBA">
      <w:pPr>
        <w:jc w:val="center"/>
        <w:rPr>
          <w:b/>
        </w:rPr>
      </w:pPr>
      <w:r w:rsidRPr="007909BB">
        <w:rPr>
          <w:b/>
        </w:rPr>
        <w:t>School Policy and Practice</w:t>
      </w:r>
    </w:p>
    <w:p w:rsidR="007E4CBA" w:rsidRDefault="007E4CBA" w:rsidP="007E4CBA">
      <w:pPr>
        <w:spacing w:line="360" w:lineRule="auto"/>
        <w:ind w:firstLine="720"/>
      </w:pPr>
      <w:r>
        <w:t>School X have an extensive and detailed School Improvement Plan in place. The plan is aimed at improving three key priorities. These three key priorities are Standards, Care, support and guidance and Teaching and leadership. Within the key priority of standards, School X have set an objective to i</w:t>
      </w:r>
      <w:r w:rsidRPr="00574CCF">
        <w:t>mprove pupils’ numeracy skills, specifically low attaining, SA (+), ALN pupils to close the gap in outcomes</w:t>
      </w:r>
      <w:r>
        <w:t>. One of the specific targets for improvement for this particular objective is for School X to ensure that the n</w:t>
      </w:r>
      <w:r w:rsidRPr="00574CCF">
        <w:t>umeracy</w:t>
      </w:r>
      <w:r>
        <w:t xml:space="preserve"> </w:t>
      </w:r>
      <w:r w:rsidRPr="00574CCF">
        <w:t>content</w:t>
      </w:r>
      <w:r>
        <w:t xml:space="preserve"> </w:t>
      </w:r>
      <w:r w:rsidRPr="00574CCF">
        <w:t>in</w:t>
      </w:r>
      <w:r>
        <w:t xml:space="preserve"> </w:t>
      </w:r>
      <w:r w:rsidRPr="00574CCF">
        <w:t>lessons</w:t>
      </w:r>
      <w:r>
        <w:t xml:space="preserve"> </w:t>
      </w:r>
      <w:r w:rsidRPr="00574CCF">
        <w:t>ensures numeracy</w:t>
      </w:r>
      <w:r>
        <w:t xml:space="preserve"> </w:t>
      </w:r>
      <w:r w:rsidRPr="00574CCF">
        <w:t>skills</w:t>
      </w:r>
      <w:r>
        <w:t xml:space="preserve"> </w:t>
      </w:r>
      <w:r w:rsidRPr="00574CCF">
        <w:t>progression</w:t>
      </w:r>
      <w:r>
        <w:t xml:space="preserve"> </w:t>
      </w:r>
      <w:r w:rsidRPr="00574CCF">
        <w:t>across</w:t>
      </w:r>
      <w:r>
        <w:t xml:space="preserve"> </w:t>
      </w:r>
      <w:r w:rsidRPr="00574CCF">
        <w:t>the</w:t>
      </w:r>
      <w:r>
        <w:t xml:space="preserve"> </w:t>
      </w:r>
      <w:r w:rsidRPr="00574CCF">
        <w:t>curriculum</w:t>
      </w:r>
      <w:r>
        <w:t xml:space="preserve"> </w:t>
      </w:r>
      <w:r w:rsidRPr="00574CCF">
        <w:t>for</w:t>
      </w:r>
      <w:r>
        <w:t xml:space="preserve"> </w:t>
      </w:r>
      <w:r w:rsidRPr="00574CCF">
        <w:t>KS3</w:t>
      </w:r>
      <w:r>
        <w:t xml:space="preserve"> </w:t>
      </w:r>
      <w:r w:rsidRPr="00574CCF">
        <w:t>for</w:t>
      </w:r>
      <w:r>
        <w:t xml:space="preserve"> </w:t>
      </w:r>
      <w:r w:rsidRPr="00574CCF">
        <w:t>relevant subjects.</w:t>
      </w:r>
      <w:r>
        <w:t xml:space="preserve"> This particular target was used as inspiration for this research project. It was selected as School X are committed to ensuring that all departments work in </w:t>
      </w:r>
      <w:r>
        <w:lastRenderedPageBreak/>
        <w:t xml:space="preserve">unison to ensure tasks are appropriately </w:t>
      </w:r>
      <w:r w:rsidRPr="00F520D1">
        <w:t>differentiated</w:t>
      </w:r>
      <w:r>
        <w:t xml:space="preserve"> </w:t>
      </w:r>
      <w:r w:rsidRPr="00F520D1">
        <w:t>for pupils’</w:t>
      </w:r>
      <w:r>
        <w:t xml:space="preserve"> </w:t>
      </w:r>
      <w:r w:rsidRPr="00F520D1">
        <w:t>numeracy</w:t>
      </w:r>
      <w:r>
        <w:t xml:space="preserve"> </w:t>
      </w:r>
      <w:r w:rsidRPr="00F520D1">
        <w:t>abilities.</w:t>
      </w:r>
      <w:r>
        <w:t xml:space="preserve"> This whole school approach allows for all subject areas to work towards the differentiation of numeracy tasks and numeracy exercises. </w:t>
      </w:r>
    </w:p>
    <w:p w:rsidR="007E4CBA" w:rsidRDefault="007E4CBA" w:rsidP="007E4CBA">
      <w:pPr>
        <w:spacing w:line="360" w:lineRule="auto"/>
        <w:ind w:firstLine="720"/>
      </w:pPr>
      <w:r>
        <w:t>Following on from this, on a department level, the Geography department at School X are committed to following this approach and have implemented the idea of ‘</w:t>
      </w:r>
      <w:r>
        <w:rPr>
          <w:i/>
        </w:rPr>
        <w:t>Maths Muscles</w:t>
      </w:r>
      <w:r>
        <w:t xml:space="preserve">’. </w:t>
      </w:r>
      <w:r>
        <w:rPr>
          <w:i/>
        </w:rPr>
        <w:t>‘Maths Muscles´</w:t>
      </w:r>
      <w:r>
        <w:t xml:space="preserve"> allow the Geography department to differentiate numeracy tasks and the present them to a class in way that allows for pupils to decide on which level of differentiation they which to attempt. This approach of differentiation is differentiation by resource and outcome. This approach of differentiation allows for various methods to be used to approach a particular activity (S. Capel et al. 2016. Pg. 229). The result of the differentiation by resource allows for the same outcome to be attained. The implementation of ‘</w:t>
      </w:r>
      <w:r>
        <w:rPr>
          <w:i/>
        </w:rPr>
        <w:t>Maths Muscles</w:t>
      </w:r>
      <w:r>
        <w:t>’ within the Geography department at School X allow for pupils to pick their own level of differentiated resource to achieve the outcome. However, it must be noted that the class teacher oversees the pupil’s selection of which level of ‘</w:t>
      </w:r>
      <w:r>
        <w:rPr>
          <w:i/>
        </w:rPr>
        <w:t>Maths Muscle´</w:t>
      </w:r>
      <w:r>
        <w:t xml:space="preserve"> pupils select. This is because the class teacher has an understanding of their pupils’ level of attainment, their learning style, their achievement in previous assessments and so on (S. Capel at al. 2016. Pg. 225). </w:t>
      </w:r>
    </w:p>
    <w:p w:rsidR="007E4CBA" w:rsidRDefault="007E4CBA" w:rsidP="007E4CBA">
      <w:pPr>
        <w:spacing w:line="360" w:lineRule="auto"/>
        <w:ind w:firstLine="720"/>
      </w:pPr>
      <w:r>
        <w:t xml:space="preserve">The policy of School X and the Geography Department follow the guidelines issued by the Welsh Government. Both the numeracy policy for the school as a whole and the numeracy policy within the Geography department use these guidelines effectively and coherently. Their policies and practise are underpinned by the guidelines set by the Welsh Government. For example, all numeracy practise is based around numerical reasoning. Following on from this, the three other strands are used in conjunction to support the application of numerical reasoning within pupil’s class work. The three procedural strands that follow on from the application of numerical reasoning are using number skills, using measuring skill and using data skills (Welsh Government,2013). The Geography department at School X use this guidance to structure and support all numeracy application within their Schemes of Work and make sure that all pupils have equal opportunity to develop these skills effectively. </w:t>
      </w:r>
    </w:p>
    <w:p w:rsidR="007E4CBA" w:rsidRPr="000A02A3" w:rsidRDefault="007E4CBA" w:rsidP="007E4CBA">
      <w:pPr>
        <w:jc w:val="center"/>
        <w:rPr>
          <w:b/>
        </w:rPr>
      </w:pPr>
      <w:r w:rsidRPr="000A02A3">
        <w:rPr>
          <w:b/>
        </w:rPr>
        <w:t xml:space="preserve">Methodology &amp; Ethics </w:t>
      </w:r>
    </w:p>
    <w:p w:rsidR="007E4CBA" w:rsidRDefault="007E4CBA" w:rsidP="007E4CBA">
      <w:pPr>
        <w:spacing w:line="360" w:lineRule="auto"/>
        <w:ind w:firstLine="720"/>
      </w:pPr>
      <w:r>
        <w:t xml:space="preserve">For this assignment, the research into numeracy differentiation had to be well researched, well planned and well designed. For the numeracy differentiation research to be effective, numerous research methods were selected. </w:t>
      </w:r>
    </w:p>
    <w:p w:rsidR="007E4CBA" w:rsidRDefault="007E4CBA" w:rsidP="007E4CBA">
      <w:pPr>
        <w:spacing w:line="360" w:lineRule="auto"/>
        <w:ind w:firstLine="720"/>
      </w:pPr>
      <w:r>
        <w:t>The first research methods that was selected was a quantitative research method. Aliaga and Gunderson (2000) define quantitative research as “</w:t>
      </w:r>
      <w:r>
        <w:rPr>
          <w:i/>
        </w:rPr>
        <w:t xml:space="preserve">explaining phenomena by collecting </w:t>
      </w:r>
      <w:r>
        <w:rPr>
          <w:i/>
        </w:rPr>
        <w:lastRenderedPageBreak/>
        <w:t xml:space="preserve">numerical data that are analysed using mathematically based methods (in particular statistics)”. </w:t>
      </w:r>
      <w:r>
        <w:t>A quantitative research method was adopted as it allows for numerical data to be collected. The collection of numerical data was enabled by the designing of the research collection method. D.Muijis (</w:t>
      </w:r>
      <w:r w:rsidRPr="00DE1B71">
        <w:t>2004</w:t>
      </w:r>
      <w:r>
        <w:t xml:space="preserve">. Pg. 3) states that quantitative research can only be obtained as long as the right research design is chosen and adopted. Furthermore, data collection instruments are also crucial in allowing quantitative research methods as they allow for thorough and effective research to be collected. </w:t>
      </w:r>
    </w:p>
    <w:p w:rsidR="007E4CBA" w:rsidRDefault="007E4CBA" w:rsidP="007E4CBA">
      <w:pPr>
        <w:spacing w:line="360" w:lineRule="auto"/>
        <w:ind w:firstLine="720"/>
      </w:pPr>
      <w:r>
        <w:t>There are many advantages and disadvantages of quantitative research methodology. K Avgousti (2013. Pg. 37) argues that quantitative research methods can be efficient when used as they allow for objective research to take place. This is effective as it allows for a researcher to design the research with a certain objective in place. The purpose of the research will be clear and detailed and data that is collected with be thorough and realistic.</w:t>
      </w:r>
    </w:p>
    <w:p w:rsidR="007E4CBA" w:rsidRDefault="007E4CBA" w:rsidP="007E4CBA">
      <w:pPr>
        <w:spacing w:line="360" w:lineRule="auto"/>
        <w:ind w:firstLine="720"/>
      </w:pPr>
      <w:r>
        <w:t xml:space="preserve">Furthermore, another advantage of quantitative research </w:t>
      </w:r>
      <w:r w:rsidR="00400471">
        <w:t>method</w:t>
      </w:r>
      <w:r>
        <w:t xml:space="preserve"> is that they allow for efficient and detailed analysis of findings to be made. Whilst many quantitative research findings are run through computer programmes, K Avgousti (2013. Pg. 37) explains that even without the use of a computer programme to interpret data, quantitative data allows for findings to be displayed through charts. This allows for analysis and discussion to take place. This is an essential aspect for this particular assignment as it allowed for relatable comparisons to be made. It also meant that data and findings did not need to be transcribed and could be adapted and presented in the form of a chart. </w:t>
      </w:r>
    </w:p>
    <w:p w:rsidR="007E4CBA" w:rsidRDefault="007E4CBA" w:rsidP="007E4CBA">
      <w:pPr>
        <w:spacing w:line="360" w:lineRule="auto"/>
        <w:ind w:firstLine="720"/>
      </w:pPr>
      <w:r>
        <w:t xml:space="preserve">However, it is worth noting that there are some limitations to using a quantitative research method. The aims and objectives of a research project can be </w:t>
      </w:r>
      <w:r w:rsidR="00400471">
        <w:t>limited,</w:t>
      </w:r>
      <w:r>
        <w:t xml:space="preserve"> and a quantitative research approach can even result in findings being generalised (K Avgousti 2013. Pg. 37). This limitation can usually be experienced when appropriate tools that would not compliment the representative sample are used (K Avgousti 2013. Pg. 37). This outcome results from the researcher not collecting enough data or not using enough data to make valid and accurate comparisons. </w:t>
      </w:r>
    </w:p>
    <w:p w:rsidR="007E4CBA" w:rsidRDefault="007E4CBA" w:rsidP="007E4CBA">
      <w:pPr>
        <w:spacing w:line="360" w:lineRule="auto"/>
        <w:ind w:firstLine="720"/>
      </w:pPr>
      <w:r>
        <w:t xml:space="preserve">Once it was decided that a quantitative research method would be adopted, the style of data collection had to be determined. The data collection method that was selected for this assignment was a </w:t>
      </w:r>
      <w:r w:rsidRPr="004064A3">
        <w:t>cas</w:t>
      </w:r>
      <w:r w:rsidR="004064A3" w:rsidRPr="004064A3">
        <w:t>e</w:t>
      </w:r>
      <w:r>
        <w:t xml:space="preserve"> study. Nisbett and Watt (1984. Pg 72) defines a case study as </w:t>
      </w:r>
      <w:r>
        <w:rPr>
          <w:i/>
        </w:rPr>
        <w:t>“a specific instance that is frequently designed to illustrate a more general principle”</w:t>
      </w:r>
      <w:r>
        <w:t xml:space="preserve">. A case study approach was selected as the data collection method as it allows for real people to be used, in real situations, to review or examine a principle or theory.  Additionally, case studies compliment quantitative research methods as they analysis situations in ways that numerical analysis don’t. (L. Cohen et al, </w:t>
      </w:r>
      <w:r>
        <w:lastRenderedPageBreak/>
        <w:t xml:space="preserve">2002. Pg. 280). This would allow the both the quantitative research method and the case study data collection method to complement each other.  Case studies allow for multiple interpretations to be made through explanation, illustration and description (Yin, 2009. Pg. 19). This mixed research approach allows for numerical analysis from the quantitative data method to be used in conjunction with qualitative research. </w:t>
      </w:r>
    </w:p>
    <w:p w:rsidR="007E4CBA" w:rsidRDefault="007E4CBA" w:rsidP="007E4CBA">
      <w:pPr>
        <w:spacing w:line="360" w:lineRule="auto"/>
        <w:ind w:firstLine="720"/>
      </w:pPr>
      <w:r>
        <w:t xml:space="preserve">Like quantitative research methods, the use of case studies as a collection method has numerous advantages and disadvantages. For instance, case studies allow for a cause and effects to be established during and after the data collection. Case studies allow for the effects to be observed in real life contexts and situations (L. Cohen et al, 2002. Pg. 280). This allows for real situations to be practiced and examine. </w:t>
      </w:r>
    </w:p>
    <w:p w:rsidR="007E4CBA" w:rsidRDefault="007E4CBA" w:rsidP="007E4CBA">
      <w:pPr>
        <w:spacing w:line="360" w:lineRule="auto"/>
        <w:ind w:firstLine="720"/>
      </w:pPr>
      <w:r>
        <w:t xml:space="preserve">Nisbet’s and Watt’s (1984) outline several strengths for the use of case studies for data collection. Nisbett and Watt (1984) explain that the results and findings of case studies are easily understood by a range of different audiences as they are usually written in non-professional language. In addition, case studies allow for unique features to be identified. For example, other large-scale data collection methods may not cover these unique features e.g. questionnaires. </w:t>
      </w:r>
    </w:p>
    <w:p w:rsidR="007E4CBA" w:rsidRDefault="007E4CBA" w:rsidP="007E4CBA">
      <w:pPr>
        <w:spacing w:line="360" w:lineRule="auto"/>
        <w:ind w:firstLine="720"/>
      </w:pPr>
      <w:r>
        <w:t xml:space="preserve">As previously mentioned, case studies also feature aspects of reality. This allows for a snapshot of the real-time to be taken. This allows for theories and principles to be </w:t>
      </w:r>
      <w:r w:rsidR="004064A3" w:rsidRPr="004064A3">
        <w:t>trialled</w:t>
      </w:r>
      <w:r>
        <w:t xml:space="preserve"> in real-life situations. This insight can then be transferred to similar cases and thereby assist interpretations for further research projects and research papers. This is vital for this particular research project as it is trailing the use of numeracy differentiation in a real-life situation. </w:t>
      </w:r>
    </w:p>
    <w:p w:rsidR="007E4CBA" w:rsidRDefault="007E4CBA" w:rsidP="007E4CBA">
      <w:pPr>
        <w:spacing w:line="360" w:lineRule="auto"/>
        <w:ind w:firstLine="720"/>
      </w:pPr>
      <w:r>
        <w:t xml:space="preserve">However, there are some drawbacks and weaknesses to case studies. Nisbet and Watt (1984) describe the main weakness of case studies as being that they are open to allowing the researcher to be selective, biased or subjective. Despite researchers attempting to eliminate any aspects of </w:t>
      </w:r>
      <w:r w:rsidR="004064A3" w:rsidRPr="004064A3">
        <w:t>squaring</w:t>
      </w:r>
      <w:r>
        <w:t xml:space="preserve"> the data, it is inevitable that some researchers will have an impact upon the data collected. To illuminate this, it is essential that this research project is observed at all times, to eliminate any chances for bias or subjectivity. For this research project, the class teacher observed at all times and assisted with the final designs of the differentiated resources to eliminate any biased or subjective actions. </w:t>
      </w:r>
    </w:p>
    <w:p w:rsidR="007E4CBA" w:rsidRPr="00AF42F4" w:rsidRDefault="007E4CBA" w:rsidP="007E4CBA">
      <w:pPr>
        <w:spacing w:line="360" w:lineRule="auto"/>
        <w:ind w:firstLine="720"/>
      </w:pPr>
      <w:r>
        <w:t xml:space="preserve">The quantitative research data that was used for this research project was the participants End of Topic and End of Year Eight assessment levels. These levels were then compared to the levels that the participants obtained during the lesson and whilst using numeracy differentiation. To be </w:t>
      </w:r>
      <w:r>
        <w:lastRenderedPageBreak/>
        <w:t xml:space="preserve">able to obtain these results, a case study was used. The case study was of one class. The class were provided with a range of numeracy differentiation. </w:t>
      </w:r>
    </w:p>
    <w:p w:rsidR="007E4CBA" w:rsidRDefault="007E4CBA" w:rsidP="007E4CBA">
      <w:pPr>
        <w:spacing w:line="360" w:lineRule="auto"/>
        <w:ind w:firstLine="720"/>
      </w:pPr>
      <w:r>
        <w:t>This research project took guidance from the British Educational Research Association’s ‘</w:t>
      </w:r>
      <w:r>
        <w:rPr>
          <w:i/>
        </w:rPr>
        <w:t>Ethical Guidelines for Educational Research’</w:t>
      </w:r>
      <w:r>
        <w:t>. Using these documents as the guidance for ethical research, a heavy focus as placed on the guidelines that illustrated good ethical practise when working with “</w:t>
      </w:r>
      <w:r>
        <w:rPr>
          <w:i/>
        </w:rPr>
        <w:t>C</w:t>
      </w:r>
      <w:r w:rsidRPr="00DE5C04">
        <w:rPr>
          <w:i/>
        </w:rPr>
        <w:t xml:space="preserve">hildren, </w:t>
      </w:r>
      <w:r>
        <w:rPr>
          <w:i/>
        </w:rPr>
        <w:t>V</w:t>
      </w:r>
      <w:r w:rsidRPr="00DE5C04">
        <w:rPr>
          <w:i/>
        </w:rPr>
        <w:t xml:space="preserve">ulnerable </w:t>
      </w:r>
      <w:r>
        <w:rPr>
          <w:i/>
        </w:rPr>
        <w:t>Y</w:t>
      </w:r>
      <w:r w:rsidRPr="00DE5C04">
        <w:rPr>
          <w:i/>
        </w:rPr>
        <w:t xml:space="preserve">oung </w:t>
      </w:r>
      <w:r>
        <w:rPr>
          <w:i/>
        </w:rPr>
        <w:t>P</w:t>
      </w:r>
      <w:r w:rsidRPr="00DE5C04">
        <w:rPr>
          <w:i/>
        </w:rPr>
        <w:t xml:space="preserve">eople and </w:t>
      </w:r>
      <w:r>
        <w:rPr>
          <w:i/>
        </w:rPr>
        <w:t>V</w:t>
      </w:r>
      <w:r w:rsidRPr="00DE5C04">
        <w:rPr>
          <w:i/>
        </w:rPr>
        <w:t xml:space="preserve">ulnerable </w:t>
      </w:r>
      <w:r>
        <w:rPr>
          <w:i/>
        </w:rPr>
        <w:t>A</w:t>
      </w:r>
      <w:r w:rsidRPr="00DE5C04">
        <w:rPr>
          <w:i/>
        </w:rPr>
        <w:t>dults</w:t>
      </w:r>
      <w:r>
        <w:rPr>
          <w:i/>
        </w:rPr>
        <w:t xml:space="preserve">” </w:t>
      </w:r>
      <w:r>
        <w:t>(BERA, 2011). Following this, this research project complied with Articles 3 and Articles 12 of the United Nations Convention on the Rights of a Child. This meant that the interest of the child was the primary focus of this research project and that all participants had the right to express their views freely (BERA, 2011). Furthermore, under the ‘</w:t>
      </w:r>
      <w:r>
        <w:rPr>
          <w:i/>
        </w:rPr>
        <w:t>Privacy</w:t>
      </w:r>
      <w:r>
        <w:t xml:space="preserve">’ guidelines set by BERA, all participants and their data were kept private and anonymous. This data remained confidential throughout the whole research project and will remain private. </w:t>
      </w:r>
    </w:p>
    <w:p w:rsidR="007E4CBA" w:rsidRPr="00DE5C04" w:rsidRDefault="007E4CBA" w:rsidP="007E4CBA">
      <w:pPr>
        <w:spacing w:line="360" w:lineRule="auto"/>
        <w:ind w:firstLine="720"/>
      </w:pPr>
      <w:r>
        <w:t xml:space="preserve">Furthermore, an Ethical Approval Form was submitted and approved by the University Ethics Committee. This meant that the research project was deemed ethically safe and fit for research within a school environment.  Research only commenced once this form had been received, approved and returned. </w:t>
      </w:r>
    </w:p>
    <w:p w:rsidR="007E4CBA" w:rsidRPr="001501A6" w:rsidRDefault="007E4CBA" w:rsidP="007E4CBA">
      <w:pPr>
        <w:spacing w:line="360" w:lineRule="auto"/>
        <w:jc w:val="center"/>
        <w:rPr>
          <w:b/>
        </w:rPr>
      </w:pPr>
      <w:r w:rsidRPr="001501A6">
        <w:rPr>
          <w:b/>
        </w:rPr>
        <w:t>Evaluation</w:t>
      </w:r>
    </w:p>
    <w:p w:rsidR="007E4CBA" w:rsidRDefault="007E4CBA" w:rsidP="007E4CBA">
      <w:pPr>
        <w:spacing w:line="360" w:lineRule="auto"/>
        <w:ind w:firstLine="720"/>
      </w:pPr>
      <w:r>
        <w:t xml:space="preserve">The class that were selected as participants for this research project were a mixed ability Year 8 class. Within the class, there are seven pupils with Additional Learning Needs (ALN). The learning capabilities and abilities of the class are extremely mixed and varied.  The lesson that was selected for the numeracy differentiation intervention was part of the Earthquakes Scheme of Work (SoW) for the Year 8 class. It was the third lesson in the SoW.  The class previously looked at the formation of earthquakes. The class had completed a storyboard to show the formation of earthquakes. Before the numeracy differentiation could be tested, pupils had to understand the concept of the logarithmic nature of the Richter scale. They then used this idea to compare the magnitude of two different earthquakes. Once this has been completed, pupils used numerical skills to be able to interpret and evaluate the relationship between the magnitude of an earthquake and the death toll of an earthquake event. </w:t>
      </w:r>
    </w:p>
    <w:p w:rsidR="007E4CBA" w:rsidRDefault="007E4CBA" w:rsidP="007E4CBA">
      <w:pPr>
        <w:spacing w:line="360" w:lineRule="auto"/>
        <w:ind w:firstLine="720"/>
      </w:pPr>
      <w:r>
        <w:t>When designing the lesson, two Welsh Government publications were the main source of guidance that were adopted and interpreted. The first was the publication that was used as stimulus was ‘</w:t>
      </w:r>
      <w:r>
        <w:rPr>
          <w:i/>
        </w:rPr>
        <w:t>Geography in the National Curriculum for Wales’</w:t>
      </w:r>
      <w:r>
        <w:t xml:space="preserve">. The Welsh Government produced this publication for both Key Stage 2 and Key Stage 3 to allow the requirements for Geography in the </w:t>
      </w:r>
      <w:r>
        <w:lastRenderedPageBreak/>
        <w:t>National Curriculum to be outlined and detailed. Taking inspiration from this publication, it was decided that the numeracy element of the lesson would allow pupils to interpret data, to analyse data and allow pupils to use numerical reasoning to strengthen and compliment their answers (Welsh Government, 2008. Pg. 7)</w:t>
      </w:r>
    </w:p>
    <w:p w:rsidR="007E4CBA" w:rsidRPr="007A593F" w:rsidRDefault="007E4CBA" w:rsidP="007E4CBA">
      <w:pPr>
        <w:spacing w:line="360" w:lineRule="auto"/>
        <w:ind w:firstLine="720"/>
      </w:pPr>
      <w:r>
        <w:t>The second Welsh Government publication that was used was the ‘</w:t>
      </w:r>
      <w:r>
        <w:rPr>
          <w:i/>
        </w:rPr>
        <w:t>Literacy and Numeracy Framework</w:t>
      </w:r>
      <w:r>
        <w:t>’ (2013). The ‘</w:t>
      </w:r>
      <w:r>
        <w:rPr>
          <w:i/>
        </w:rPr>
        <w:t>Literacy and Numeracy Framework’</w:t>
      </w:r>
      <w:r>
        <w:t xml:space="preserve"> (LNF) was used as it clearly states the four strands of numeracy that must be used to achieve the development of numeracy skills for all pupils. The four strands of numerical skills that must be adopted across the entire curriculum are; numerical reasoning, using number skills, using measurement skills and using data skills. The lesson was designed to enable these four strands to be incorporated as well as developed throughout the lesson. </w:t>
      </w:r>
    </w:p>
    <w:p w:rsidR="007E4CBA" w:rsidRDefault="007E4CBA" w:rsidP="007E4CBA">
      <w:pPr>
        <w:spacing w:line="360" w:lineRule="auto"/>
        <w:ind w:firstLine="720"/>
      </w:pPr>
      <w:r>
        <w:t xml:space="preserve">For the task where the numeracy differentiation was implemented, pupils were given a table of data. The table included ten different named earthquake events. It then presented the magnitude of the named earthquake event and the death toll. Pupils were then to plot the data, plotting the magnitude of earthquakes against the death tolls of earthquakes. For this task, the type of differentiation that was selected was differentiation by resource. All pupils were given a graph </w:t>
      </w:r>
      <w:r w:rsidR="00400471">
        <w:t>outline;</w:t>
      </w:r>
      <w:r>
        <w:t xml:space="preserve"> </w:t>
      </w:r>
      <w:r w:rsidR="00400471">
        <w:t>however,</w:t>
      </w:r>
      <w:r>
        <w:t xml:space="preserve"> they amount of detail and aid provided on the resource differed depending on the level. </w:t>
      </w:r>
    </w:p>
    <w:p w:rsidR="007E4CBA" w:rsidRDefault="007E4CBA" w:rsidP="007E4CBA">
      <w:pPr>
        <w:spacing w:line="360" w:lineRule="auto"/>
        <w:ind w:firstLine="720"/>
      </w:pPr>
      <w:r>
        <w:t xml:space="preserve">The differentiation for this task was separated into three different levels. The first level was aimed at pupils with Additional Learning Needs (ALN). For this level, the resources were differentiated heavily. As this resource was aimed at the lowest abilities of the class, the graph outline was very detailed. The graph axis </w:t>
      </w:r>
      <w:r w:rsidR="00400471">
        <w:t>was</w:t>
      </w:r>
      <w:r>
        <w:t xml:space="preserve"> labelled, they also featured appropriate scales and they had grid lines to allow pupils to plot the data accurately. This resource was selected as it allowed for ALN pupils to be able to accurately plot the data on the map as the grid lines would provide additional help and accuracy for pupils when plotting the data. </w:t>
      </w:r>
    </w:p>
    <w:p w:rsidR="007E4CBA" w:rsidRDefault="007E4CBA" w:rsidP="007E4CBA">
      <w:pPr>
        <w:spacing w:line="360" w:lineRule="auto"/>
        <w:ind w:firstLine="720"/>
      </w:pPr>
      <w:r>
        <w:t xml:space="preserve">The next level for the differentiated resources was aimed at those pupils who had a Numeracy Score of between 95 and 125. This figure resulted in the majority of the class receiving this resource. Again, this differentiated resource contained a graph outline, however, the axis has been labelled and featured appropriate </w:t>
      </w:r>
      <w:r w:rsidR="00400471">
        <w:t>scales,</w:t>
      </w:r>
      <w:r>
        <w:t xml:space="preserve"> but the graph did not contain grid line. This approach was selected as it would allow pupils to gain an understanding of where the data should be plotted but it still meant that they had to plot the data accurately and without guidance. </w:t>
      </w:r>
    </w:p>
    <w:p w:rsidR="007E4CBA" w:rsidRDefault="007E4CBA" w:rsidP="007E4CBA">
      <w:pPr>
        <w:spacing w:line="360" w:lineRule="auto"/>
        <w:ind w:firstLine="720"/>
      </w:pPr>
      <w:r>
        <w:lastRenderedPageBreak/>
        <w:t>The final differentiated resource was aimed at the More Able and Talented pupils. This resource was the most simplistic and less structured resource of them all. Pupils were given graph paper and were to design and create the axis by themselves. They would also then need to plot the data accurately. This style of differentiated was selected as it allowed pupils to be able to develop a graph by themselves. It would also make the pupils generate ideas themselves as to how to create axis and how to label them appropriately. This resulted in the More Able and Talented pupils</w:t>
      </w:r>
      <w:r w:rsidR="004064A3">
        <w:t xml:space="preserve"> be challenged and pushed as they had to create axis by themselves</w:t>
      </w:r>
      <w:r>
        <w:t>.</w:t>
      </w:r>
      <w:r w:rsidR="004064A3">
        <w:t xml:space="preserve"> It must be noted that they were given teacher guidance on appropriate scales. </w:t>
      </w:r>
      <w:r>
        <w:t xml:space="preserve"> </w:t>
      </w:r>
    </w:p>
    <w:p w:rsidR="007E4CBA" w:rsidRDefault="007E4CBA" w:rsidP="007E4CBA">
      <w:pPr>
        <w:spacing w:line="360" w:lineRule="auto"/>
        <w:ind w:firstLine="720"/>
      </w:pPr>
      <w:r>
        <w:t xml:space="preserve">For the three differentiated resources to be distributed accordingly and fairly, a mixed approach of child’s ability and the child’s Numeracy Score was used. The resource that featured the highest level of differentiated was targeted at pupils with ALN and with pupils who had Numeracy Scores of less than 95. For the majority of cases, these two variables coincided. Using these figures, seven pupils received the highest differentiated resource. For the middle band of differentiated resource, pupils Numeracy Score was used to identify those requiring it. As mentioned previously, pupils whose Numeracy Score was between 95 and 125 received this resource. For the final resource, More Able and Talented pupils were usually the pupils that received this resource. It was aimed and distributed to targets who has a Numeracy Score of 125 or above. However, during the lesson, more pupils in the class opted for the resource with the lowest amount of differentiation as they wanted to challenge themselves. </w:t>
      </w:r>
    </w:p>
    <w:p w:rsidR="007E4CBA" w:rsidRDefault="007E4CBA" w:rsidP="007E4CBA">
      <w:pPr>
        <w:spacing w:line="360" w:lineRule="auto"/>
        <w:ind w:firstLine="720"/>
      </w:pPr>
      <w:r>
        <w:t xml:space="preserve">Once the pupils had plotted </w:t>
      </w:r>
      <w:r w:rsidR="00400471">
        <w:t>all</w:t>
      </w:r>
      <w:r>
        <w:t xml:space="preserve"> the data, the task set was for the pupils to interpret the data and to answer a series of questions that were based on the data presented to them. This task allowed pupils to build on their numerical reasoning skill. For this task to be accessible for all, three differentiated resources were created. </w:t>
      </w:r>
      <w:r w:rsidR="00400471">
        <w:t>Similarly,</w:t>
      </w:r>
      <w:r>
        <w:t xml:space="preserve"> as the numeracy differentiation, the task was differentiated by resource. To do this, three different levels of ability and help were adopted again. </w:t>
      </w:r>
    </w:p>
    <w:p w:rsidR="007E4CBA" w:rsidRDefault="007E4CBA" w:rsidP="007E4CBA">
      <w:pPr>
        <w:spacing w:line="360" w:lineRule="auto"/>
        <w:ind w:firstLine="720"/>
      </w:pPr>
      <w:r>
        <w:t xml:space="preserve">The first level of the differentiated resource was aimed at those pupils with ALN. The resource was aimed at the pupils who were achieving the lowest abilities in the class. </w:t>
      </w:r>
      <w:r w:rsidR="00400471">
        <w:t>This resource</w:t>
      </w:r>
      <w:r>
        <w:t xml:space="preserve"> provided pupils with the questions, sentence starters for each response needed as well as a word bank to enable pupils with inspiration on how to answer the questions as well as guidance as to what they were aiming to identify. </w:t>
      </w:r>
    </w:p>
    <w:p w:rsidR="007E4CBA" w:rsidRDefault="007E4CBA" w:rsidP="007E4CBA">
      <w:pPr>
        <w:spacing w:line="360" w:lineRule="auto"/>
        <w:ind w:firstLine="720"/>
      </w:pPr>
      <w:r>
        <w:t xml:space="preserve">The second level of differentiated was aimed at the majority of the class. Again, this was calculated using pupils’ previous scores in other class assessments and their overall response and attitude in class. As a result, the majority of the class received this resource. This resource was differentiated differentially as it only provided sentence starters. This approach was selected as it </w:t>
      </w:r>
      <w:r>
        <w:lastRenderedPageBreak/>
        <w:t xml:space="preserve">allows for some guidance to be given to the </w:t>
      </w:r>
      <w:r w:rsidR="00400471">
        <w:t>pupils,</w:t>
      </w:r>
      <w:r>
        <w:t xml:space="preserve"> but they would still need to be able to interpret the data effectively and efficiently. </w:t>
      </w:r>
    </w:p>
    <w:p w:rsidR="007E4CBA" w:rsidRDefault="007E4CBA" w:rsidP="007E4CBA">
      <w:pPr>
        <w:spacing w:line="360" w:lineRule="auto"/>
        <w:ind w:firstLine="720"/>
      </w:pPr>
      <w:r>
        <w:t xml:space="preserve">For the final level of differentiated resource, pupils were simply given the questions and they were to interpret the data and respond to the questions. For further progression to be made, there were also a second set of questions that would have stretched pupils thinking, by allowing them to deepen their reasoning with the data presented to them. This resource was aimed at the More Able and Talented pupils within the class. Furthermore, the distribution of this resource was allocated using a combination of attitude to </w:t>
      </w:r>
      <w:r w:rsidR="00400471">
        <w:t>learn</w:t>
      </w:r>
      <w:r>
        <w:t xml:space="preserve">, as well as pupils’ overall level in Geography. </w:t>
      </w:r>
    </w:p>
    <w:p w:rsidR="007E4CBA" w:rsidRDefault="007E4CBA" w:rsidP="007E4CBA">
      <w:pPr>
        <w:spacing w:line="360" w:lineRule="auto"/>
        <w:ind w:firstLine="720"/>
      </w:pPr>
      <w:r>
        <w:t>To be able to assess the progression of pupils’ learning within the two tasks, a ‘</w:t>
      </w:r>
      <w:r w:rsidRPr="00411DFB">
        <w:rPr>
          <w:i/>
        </w:rPr>
        <w:t>Learning Ladder’</w:t>
      </w:r>
      <w:r>
        <w:t xml:space="preserve"> was created. A ‘</w:t>
      </w:r>
      <w:r>
        <w:rPr>
          <w:i/>
        </w:rPr>
        <w:t>Learning Ladder’</w:t>
      </w:r>
      <w:r>
        <w:t xml:space="preserve"> is a levelling tool that outlines the requirements needed for pupils to achieve a certain level. For this assessment, the ‘</w:t>
      </w:r>
      <w:r>
        <w:rPr>
          <w:i/>
        </w:rPr>
        <w:t>Learning Ladder</w:t>
      </w:r>
      <w:r>
        <w:t xml:space="preserve">’ was divided into three skill areas. The three skill areas were graph skills, describing geographical data and explaining geographical data. The three skill areas were marked individually, using the </w:t>
      </w:r>
      <w:r>
        <w:rPr>
          <w:i/>
        </w:rPr>
        <w:t>‘Learning Ladder’</w:t>
      </w:r>
      <w:r>
        <w:t xml:space="preserve"> as a tool for examining progress. An overall level was awarded using the three </w:t>
      </w:r>
      <w:r w:rsidR="00400471">
        <w:t>levels and</w:t>
      </w:r>
      <w:r>
        <w:t xml:space="preserve"> taking an average to calculate the overall grade. </w:t>
      </w:r>
    </w:p>
    <w:p w:rsidR="007E4CBA" w:rsidRDefault="007E4CBA" w:rsidP="007E4CBA">
      <w:pPr>
        <w:spacing w:line="360" w:lineRule="auto"/>
        <w:ind w:firstLine="720"/>
        <w:jc w:val="both"/>
      </w:pPr>
      <w:r>
        <w:t>The description for each component of the ‘</w:t>
      </w:r>
      <w:r>
        <w:rPr>
          <w:i/>
        </w:rPr>
        <w:t xml:space="preserve">Learning Ladder’ </w:t>
      </w:r>
      <w:r>
        <w:t>were designed using the level descriptors set out in the Welsh Government publication of ‘</w:t>
      </w:r>
      <w:r>
        <w:rPr>
          <w:i/>
        </w:rPr>
        <w:t>Geography in the National Curriculum</w:t>
      </w:r>
      <w:r>
        <w:t>’. The levels ranged from Level 3, up to Level 8. An Exceptional Performance was not included for this particular ‘</w:t>
      </w:r>
      <w:r>
        <w:rPr>
          <w:i/>
        </w:rPr>
        <w:t>Learning Ladder’</w:t>
      </w:r>
      <w:r>
        <w:t xml:space="preserve">. For each level, a key description from the publication was used to model the descriptor. For Level 3, the idea that pupils can draw simple comparisons was used as the main descriptor for each skill aspect (Welsh Government, 2008. Pg. 16). To achieve a Level 4, pupils were expected to “begin to recognise patterns of obvious distributions of places and how they are connected” (Welsh Government, 2008. Pg. 17). For pupils to attain a Level 5, they were required to “describe obvious geographical patterns and how places are interconnected” (Welsh Government, 2008. Pg. 17). For a Level 6 to be awarded, pupils were to “compare and contrast places, explain how places change, and begin to recognise trends” (Welsh Government, 2008. Pg. 17). To achieve a Level 7, pupils were required to “explain a range of physical and human features and processes and describe the interactions within and between the processes” (Welsh Government 2008. Pg. 18). However, for this level to be awarded, it was also expected that pupils would “explain how places change, identify trends and describe how people have different impacts on the environment” (Welsh Government, 2008. Pg. 18). And finally, for a Level 8 to be awarded, pupils were required to “offer explanations for interactions within and between physical and human features and processes” (Welsh Government </w:t>
      </w:r>
      <w:r>
        <w:lastRenderedPageBreak/>
        <w:t xml:space="preserve">2008. Pg. 18). In addition, pupils were expected to “explain how places change, identify trends and future implications” (Welsh Government, 2008. Pg. 18). </w:t>
      </w:r>
    </w:p>
    <w:p w:rsidR="007E4CBA" w:rsidRDefault="007E4CBA" w:rsidP="007E4CBA">
      <w:pPr>
        <w:spacing w:line="360" w:lineRule="auto"/>
        <w:ind w:firstLine="720"/>
        <w:jc w:val="both"/>
      </w:pPr>
      <w:r>
        <w:t xml:space="preserve">Each level was designed using this information as a stimulus to construct and word the level descriptors. Pupils were then awarded a level for each skill. They were then given an overall level, using this information. This stimulus was selected as it Welsh Government guidelines and allows for continuity for all assignments and the levels awarded. This Welsh Government guidelines are used to devise assignment levels for each assignment and for each year within the Geography department at School X. This meant that continuity continued across assessments for the pupils. </w:t>
      </w:r>
    </w:p>
    <w:p w:rsidR="007E4CBA" w:rsidRDefault="007E4CBA" w:rsidP="007E4CBA">
      <w:pPr>
        <w:spacing w:line="360" w:lineRule="auto"/>
        <w:ind w:firstLine="720"/>
        <w:jc w:val="both"/>
      </w:pPr>
      <w:r>
        <w:t xml:space="preserve">However, it must be noted, that even the distribution of the differentiated resources </w:t>
      </w:r>
      <w:r w:rsidR="00400471">
        <w:t>was</w:t>
      </w:r>
      <w:r>
        <w:t xml:space="preserve"> aimed at pupils according to their previous levels of attainment, along with other contributing factors such as attitude to learning, the differentiated resources did not limit </w:t>
      </w:r>
      <w:r w:rsidR="00400471">
        <w:t>pupil’s</w:t>
      </w:r>
      <w:r>
        <w:t xml:space="preserve"> ability to achieve the higher levels. It is widely accepted that </w:t>
      </w:r>
      <w:r w:rsidR="00400471">
        <w:t>differentiation</w:t>
      </w:r>
      <w:r>
        <w:t xml:space="preserve"> should never hinder or suppress a pupil’s access to learning and access to achieving his/her goals. Differentiation allows for pupils to achieve their potential levels and to maximise their learning potential (M. Biddulph et al. 2015. Pg. 85). The differentiation by resource for this </w:t>
      </w:r>
      <w:r w:rsidR="00400471">
        <w:t>research</w:t>
      </w:r>
      <w:r>
        <w:t xml:space="preserve"> project was designed to allow all pupils to progress through the SoW and to achieve their potential within Geography, with </w:t>
      </w:r>
      <w:r w:rsidR="00400471">
        <w:t>emphasis</w:t>
      </w:r>
      <w:r>
        <w:t xml:space="preserve"> on the use of numeracy within the lesson. </w:t>
      </w:r>
    </w:p>
    <w:p w:rsidR="007E4CBA" w:rsidRDefault="007E4CBA" w:rsidP="007E4CBA">
      <w:pPr>
        <w:spacing w:line="360" w:lineRule="auto"/>
        <w:ind w:firstLine="720"/>
        <w:jc w:val="both"/>
      </w:pPr>
      <w:r>
        <w:t xml:space="preserve">Each of the differentiated resources resulted in pupils being able to achieve the highest level. However, </w:t>
      </w:r>
      <w:r w:rsidR="00400471">
        <w:t>the</w:t>
      </w:r>
      <w:r>
        <w:t xml:space="preserve"> way in which they achieved this was differentiated. Each resource allowed pupils the opportunity to achieve a Level 8. For example, one of the resources included sentence starters as well as well as a word bank to prompt pupils thinking. Whereas, some pupils received little differentiation and were expected to answer the questions by themselves. However, </w:t>
      </w:r>
      <w:r w:rsidR="00400471">
        <w:t>all</w:t>
      </w:r>
      <w:r>
        <w:t xml:space="preserve"> the pupils were set the same questions, which saw the progression of difficulty and complexity throughout. This allowed pupils to achieve the same goal, but by using data and information from numerous sources (S. Capel et al. 2016. Pg. 225). </w:t>
      </w:r>
    </w:p>
    <w:p w:rsidR="007E4CBA" w:rsidRDefault="007E4CBA" w:rsidP="007E4CBA">
      <w:pPr>
        <w:jc w:val="center"/>
      </w:pPr>
      <w:r>
        <w:rPr>
          <w:b/>
        </w:rPr>
        <w:t>Results</w:t>
      </w:r>
    </w:p>
    <w:p w:rsidR="007E4CBA" w:rsidRDefault="007E4CBA" w:rsidP="007E4CBA">
      <w:pPr>
        <w:spacing w:line="360" w:lineRule="auto"/>
        <w:ind w:firstLine="720"/>
      </w:pPr>
      <w:r>
        <w:t xml:space="preserve">Through the use of differentiated resources, especially for numeracy differentiation for the different tasks set to the pupils, a total of eight pupils increased their overall level by either one or two levels. Unfortunately, two pupils did receive a lower level than previously achieved with other assignments. </w:t>
      </w:r>
    </w:p>
    <w:p w:rsidR="007E4CBA" w:rsidRDefault="007E4CBA" w:rsidP="007E4CBA">
      <w:pPr>
        <w:spacing w:line="360" w:lineRule="auto"/>
        <w:ind w:firstLine="720"/>
      </w:pPr>
      <w:r>
        <w:t xml:space="preserve">The results of the differentiated intervention are presented below. Every participant was given a number to protect their identity and to keep the results and levels </w:t>
      </w:r>
      <w:r w:rsidR="00912408" w:rsidRPr="00912408">
        <w:t>anonymous</w:t>
      </w:r>
      <w:r>
        <w:t xml:space="preserve">. This complies </w:t>
      </w:r>
      <w:r>
        <w:lastRenderedPageBreak/>
        <w:t>with the guidelines set by the British Educational Research Association (BERA) in the ‘</w:t>
      </w:r>
      <w:r>
        <w:rPr>
          <w:i/>
        </w:rPr>
        <w:t>Ethical Guidelines for Educational Research’</w:t>
      </w:r>
      <w:r>
        <w:t xml:space="preserve"> (2011).</w:t>
      </w:r>
    </w:p>
    <w:p w:rsidR="007E4CBA" w:rsidRPr="001501A6" w:rsidRDefault="007E4CBA" w:rsidP="007E4CBA"/>
    <w:p w:rsidR="007E4CBA" w:rsidRDefault="007E4CBA" w:rsidP="007E4CBA">
      <w:pPr>
        <w:jc w:val="center"/>
      </w:pPr>
      <w:r>
        <w:rPr>
          <w:noProof/>
          <w:lang w:eastAsia="en-GB"/>
        </w:rPr>
        <w:drawing>
          <wp:inline distT="0" distB="0" distL="0" distR="0" wp14:anchorId="4A78030F" wp14:editId="791A372E">
            <wp:extent cx="5419725" cy="2571750"/>
            <wp:effectExtent l="0" t="0" r="9525" b="0"/>
            <wp:docPr id="1" name="Chart 1">
              <a:extLst xmlns:a="http://schemas.openxmlformats.org/drawingml/2006/main">
                <a:ext uri="{FF2B5EF4-FFF2-40B4-BE49-F238E27FC236}">
                  <a16:creationId xmlns:a16="http://schemas.microsoft.com/office/drawing/2014/main" id="{51C3211E-C242-40EC-9885-2F11F5C860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E4CBA" w:rsidRDefault="007E4CBA" w:rsidP="007E4CBA"/>
    <w:p w:rsidR="007E4CBA" w:rsidRPr="00FC0784" w:rsidRDefault="007E4CBA" w:rsidP="007E4CBA">
      <w:pPr>
        <w:jc w:val="center"/>
        <w:rPr>
          <w:b/>
        </w:rPr>
      </w:pPr>
      <w:r w:rsidRPr="00FC0784">
        <w:rPr>
          <w:b/>
        </w:rPr>
        <w:t>Conclusions</w:t>
      </w:r>
    </w:p>
    <w:p w:rsidR="007E4CBA" w:rsidRDefault="007E4CBA" w:rsidP="007E4CBA">
      <w:pPr>
        <w:spacing w:line="360" w:lineRule="auto"/>
        <w:ind w:firstLine="720"/>
      </w:pPr>
      <w:r>
        <w:t xml:space="preserve">To compare the overall successfulness of the numeracy differentiation, a comparison was made between the participants End of Year Eight level and the level achieved for this </w:t>
      </w:r>
      <w:r w:rsidR="00400471">
        <w:t>assignment</w:t>
      </w:r>
      <w:r>
        <w:t xml:space="preserve">. Overall, a total of eight pupils from the Year 8 class exceeded their End of Year Eight level. However, there were two pupils whose overall level dropped for this particular assignment, compared to their predicted End of Year Eight level.  A total of six pupils increased their assignment level by one whole level compared to their predicted End of Year Eight level. Furthermore, another two pupils increased their assignment level by two whole levels, again, compared to their predicted End of Year Eight levels. However, one pupil did unfortunately decrease one level compared to their End of Year Eight level prediction. Additionally, one pupil’s assignment level decreased by two whole levels, compared to the predicted End of Year Eight level. </w:t>
      </w:r>
    </w:p>
    <w:p w:rsidR="007E4CBA" w:rsidRPr="002D508D" w:rsidRDefault="007E4CBA" w:rsidP="007E4CBA">
      <w:pPr>
        <w:spacing w:line="360" w:lineRule="auto"/>
        <w:ind w:firstLine="720"/>
        <w:rPr>
          <w:color w:val="FF0000"/>
        </w:rPr>
      </w:pPr>
      <w:r>
        <w:t xml:space="preserve">After the numeracy differentiation had been implemented, a total of three pupils with ALN saw an increase in their level awarded for the earthquake assessment. This was a vast improvement and a triumphant achievement for those pupils. The increase in awarded levels for pupils with ALN equates to 43% of ALN pupils seeing an increase in their awarded levels. This percentage indicates that the numeracy differentiation has been successful for these pupils. It also reiterates the idea that differentiation allows for each pupil to learn as much as possible and as efficiency as possible (C. A. Tomlinson and C. A. Strickland 2005. Pg. 6). The aim of differentiation is to allow each pupil the opportunity to achieve a common goal but allowing them to take a different route or path to achieve </w:t>
      </w:r>
      <w:r>
        <w:lastRenderedPageBreak/>
        <w:t xml:space="preserve">this (Betts 2004). This has been demonstrated in this research project. The numeracy differentiation has been successful as it was aimed and tailored to different levels of ability and allowing for flexibility on how pupils can complete the work set. Furthermore, the differentiation was designed with pupil’s abilities and learning styles in mind. This is reiterated by Lambert and Balderstone (2000) who outline that differentiation by outcome is only truly effective when it is carefully planned by the teacher who understand and know pupils learning techniques (Lambert &amp; Balderstone, 2000, p. 89). </w:t>
      </w:r>
    </w:p>
    <w:p w:rsidR="007E4CBA" w:rsidRDefault="007E4CBA" w:rsidP="007E4CBA">
      <w:pPr>
        <w:spacing w:line="360" w:lineRule="auto"/>
        <w:ind w:firstLine="720"/>
      </w:pPr>
      <w:r>
        <w:t xml:space="preserve">However, it must be mentioned that even though the numeracy differentiation seemed successful for an array of pupils within the class, there were two pupils that did not achieve the same level or improve upon their level. One of </w:t>
      </w:r>
      <w:r w:rsidRPr="0092122C">
        <w:t xml:space="preserve">the pupils who saw a decrease in their level was a pupil with ALN. It can be assumed that the numeracy differentiation did not work for this pupil </w:t>
      </w:r>
      <w:r w:rsidR="00400471" w:rsidRPr="0092122C">
        <w:t>due</w:t>
      </w:r>
      <w:r w:rsidRPr="0092122C">
        <w:t xml:space="preserve"> to a number of different factors. James R. Delisle</w:t>
      </w:r>
      <w:r>
        <w:t xml:space="preserve"> (2015) argues that differentiation is not always successful. He suggests that the majority of classes in secondary schools are usually composed of a combination of pupils, including ALN, More Able and Talented pupils, English-language learning pupils and so on. The diverse and complicated grouping of a classroom makes the challenge of differentiation for a class teacher extremely difficult. Following this, it is believed that this pupil may not have achieved their predicted End of Year Eight level for this piece of work as the differentiation may not have been tailored for their specific needs or may not have complimented their learning style. Additionally, it can be assumed that the needs of many students need to be targeted and addressed within a classroom and that the idea that three differentiation resources will not allow this goal to be achieved as it is not deemed enough differentiation to allow progression for every pupil. Every pupil learns and responds differently, and maybe for this pupil, differentiation by resource was not suited for their learning style or attitude to learning (C. Evans and M. Waring, 2011. Pg. 152). </w:t>
      </w:r>
    </w:p>
    <w:p w:rsidR="007E4CBA" w:rsidRDefault="007E4CBA" w:rsidP="007E4CBA">
      <w:pPr>
        <w:spacing w:line="360" w:lineRule="auto"/>
        <w:ind w:firstLine="720"/>
      </w:pPr>
      <w:r>
        <w:t xml:space="preserve">Whilst the overall consensus from this intervention was that numeracy differentiation can be successful and can allow pupils to achieve or even surpass their predicted levels, there are considerations that can be used to strengthen the successfulness of numeracy differentiation. There are numerous ways that differentiation can be applied in the classroom. For this </w:t>
      </w:r>
      <w:r w:rsidR="00400471">
        <w:t>differentiation</w:t>
      </w:r>
      <w:r>
        <w:t xml:space="preserve"> strategy, the main focus was on differentiation by outcome and differentiation by resource. However, to strengthen the success of the numeracy differentiation, it can be proposed that a combination of differentiation techniques should be applied. Dickinson and Wright (1993) suggest that differentiation is most successful when used in combination. Figure one outlines the proposed ideas. This research project could have been more successful if a combination of differentiation approaches were applied. If this numeracy differentiation were to be used in the future, a </w:t>
      </w:r>
      <w:r>
        <w:lastRenderedPageBreak/>
        <w:t xml:space="preserve">combination of differentiation by content, differentiation by resource, differentiation by task, differentiation by outcome and differentiation by response will be applied. This would strengthen the approach given to pupils. Furthermore, it would will be inclusive for all pupils learning styles and would be considerate to all abilities. It will allow all pupils a fair and equal chance to achieve a common goal as a variety of differentiation approached would be applied. </w:t>
      </w:r>
    </w:p>
    <w:p w:rsidR="007E4CBA" w:rsidRDefault="007E4CBA" w:rsidP="007E4CBA">
      <w:pPr>
        <w:spacing w:line="360" w:lineRule="auto"/>
        <w:jc w:val="center"/>
      </w:pPr>
      <w:r>
        <w:rPr>
          <w:noProof/>
          <w:lang w:eastAsia="en-GB"/>
        </w:rPr>
        <w:drawing>
          <wp:inline distT="0" distB="0" distL="0" distR="0" wp14:anchorId="36E9E5A7" wp14:editId="461BF808">
            <wp:extent cx="5731510" cy="1078323"/>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229" t="57931" r="24551" b="28946"/>
                    <a:stretch/>
                  </pic:blipFill>
                  <pic:spPr bwMode="auto">
                    <a:xfrm>
                      <a:off x="0" y="0"/>
                      <a:ext cx="5731510" cy="1078323"/>
                    </a:xfrm>
                    <a:prstGeom prst="rect">
                      <a:avLst/>
                    </a:prstGeom>
                    <a:ln>
                      <a:noFill/>
                    </a:ln>
                    <a:extLst>
                      <a:ext uri="{53640926-AAD7-44D8-BBD7-CCE9431645EC}">
                        <a14:shadowObscured xmlns:a14="http://schemas.microsoft.com/office/drawing/2010/main"/>
                      </a:ext>
                    </a:extLst>
                  </pic:spPr>
                </pic:pic>
              </a:graphicData>
            </a:graphic>
          </wp:inline>
        </w:drawing>
      </w:r>
    </w:p>
    <w:p w:rsidR="007E4CBA" w:rsidRDefault="007E4CBA" w:rsidP="007E4CBA">
      <w:pPr>
        <w:spacing w:line="360" w:lineRule="auto"/>
      </w:pPr>
      <w:r>
        <w:t xml:space="preserve">Figure 1. Dickinson and Wright’s (1993) differentiation strategies. </w:t>
      </w:r>
    </w:p>
    <w:p w:rsidR="007E4CBA" w:rsidRDefault="007E4CBA" w:rsidP="007E4CBA">
      <w:pPr>
        <w:spacing w:line="360" w:lineRule="auto"/>
        <w:ind w:firstLine="720"/>
      </w:pPr>
      <w:r>
        <w:t>However, whilst this approach is ideal in theory, the application of this approach may prove difficult. In 2008, the Fordham Institute published a report suggesting that a total of 83% of teachers found that differentiation was “somewhat” or “very” difficult to implement. It is argued that differentiation is deemed unsuccessful due to a teacher’s workload. Many argue that designing and executing differentiation to several different classes is too time consuming and adds to an already busy and saturated schedule.</w:t>
      </w:r>
    </w:p>
    <w:p w:rsidR="007E4CBA" w:rsidRDefault="007E4CBA" w:rsidP="007E4CBA">
      <w:pPr>
        <w:spacing w:line="360" w:lineRule="auto"/>
        <w:ind w:firstLine="720"/>
      </w:pPr>
      <w:r>
        <w:t xml:space="preserve"> Following this, this approach may be impossible for each teacher to adopt for each of their pupils. Whilst the planning of differentiation is key to allow each pupil an equal opportunity, some differentiation happens naturally and during the lesson. Teachers observe and judge the learning of the pupils during the lesson and alter and adjust the lesson to match this. This type of differentiation cannot be planned or predicted. Teachers can do this by using questioning. Teachers can implement differentiation in the class through via differentiated questioning. This allows teachers to stretch and deepens pupils understanding and thinking (K. Dunn and E. Darlington, 2016. Pg. 351). </w:t>
      </w:r>
    </w:p>
    <w:p w:rsidR="007E4CBA" w:rsidRPr="003E422D" w:rsidRDefault="007E4CBA" w:rsidP="007E4CBA">
      <w:pPr>
        <w:spacing w:line="360" w:lineRule="auto"/>
        <w:jc w:val="center"/>
        <w:rPr>
          <w:b/>
        </w:rPr>
      </w:pPr>
      <w:r w:rsidRPr="003E422D">
        <w:rPr>
          <w:b/>
        </w:rPr>
        <w:t xml:space="preserve">Limitations and future development </w:t>
      </w:r>
    </w:p>
    <w:p w:rsidR="007E4CBA" w:rsidRDefault="007E4CBA" w:rsidP="007E4CBA">
      <w:pPr>
        <w:spacing w:line="360" w:lineRule="auto"/>
      </w:pPr>
      <w:r>
        <w:tab/>
        <w:t xml:space="preserve">Whilst it can be observed that this research project was predominately a success for the majority of the class who were selected as the participants for the research project, there are several limitations and drawbacks which could be addressed for future numeracy differentiation and numeracy intervention within the Geography classroom. </w:t>
      </w:r>
    </w:p>
    <w:p w:rsidR="007E4CBA" w:rsidRDefault="007E4CBA" w:rsidP="007E4CBA">
      <w:pPr>
        <w:spacing w:line="360" w:lineRule="auto"/>
      </w:pPr>
      <w:r>
        <w:tab/>
        <w:t xml:space="preserve">One limitation that was evident from this research project was that only one lesson and one aspect of a SoW were used to pilot the numeracy differentiation. Whilst the differentiation by resource was applied to two tasks/activities within the lesson, it is difficult to judge whether the </w:t>
      </w:r>
      <w:r>
        <w:lastRenderedPageBreak/>
        <w:t xml:space="preserve">numeracy differentiation worked effectively, for all pupils. Whilst the figures suggest that the numeracy differentiation was successful, an average of numerous tasks with a variety of differentiation approaches could improve the accuracy of the results. If numeracy differentiation were to be applied to a number of different tasks, across a selection of lessons, with a number of different differentiation techniques applies, other than differentiation by resource, an average figure and interpretation would be given. This would strengthen the findings and validity of the results. This would also provide the researcher with a better and more detailed perspective on the successfulness of the numeracy differentiation. </w:t>
      </w:r>
    </w:p>
    <w:p w:rsidR="007E4CBA" w:rsidRDefault="007E4CBA" w:rsidP="007E4CBA">
      <w:pPr>
        <w:spacing w:line="360" w:lineRule="auto"/>
      </w:pPr>
      <w:r>
        <w:tab/>
        <w:t xml:space="preserve">Another consideration that must be discussed is the number of participants that contributed to the research project. A total of </w:t>
      </w:r>
      <w:r w:rsidR="00400471">
        <w:t>twenty-six</w:t>
      </w:r>
      <w:r>
        <w:t xml:space="preserve"> participants participated in the research project and all participants allowed for their data to be recorded and shared. However, to strengthen the validity of the results and findings, a larger sample size would have been needed. For example, if the research project were to consider the findings for two classes, both of the same year group, of mixed ability and at the same stage in the SoW, then the results and findings would have produced a more accurate account of the success that the numeracy differentiation provided. Furthermore, it would allow for a precise review to be made of the numeracy differentiation as to how successful it was but also how appropriately it was tailored for pupils needs. A larger sample size would highlight areas of weakness, areas where more differentiation needs to be implemented and would allow the researcher to gain an insight into what differentiation techniques are more effective for specific pupils, specific needs or specific classes. </w:t>
      </w:r>
    </w:p>
    <w:p w:rsidR="007E4CBA" w:rsidRDefault="007E4CBA" w:rsidP="007E4CBA">
      <w:pPr>
        <w:spacing w:line="360" w:lineRule="auto"/>
        <w:ind w:firstLine="720"/>
      </w:pPr>
      <w:r>
        <w:t xml:space="preserve">It has already been discussed that there were limitations and drawbacks concerning this research project. As previously mentioned, the research project could have been strengthened if numerous differentiation techniques had been applied and used in conjunction with one another. This was highlighted by Dickinson and Wright (1993). This would have strengthened the differentiation as it would have allowed every learning style and learning level to be addressed, using a variety of techniques and various applications of differentiation. If a range of differentiation techniques were to be applied, it would allow for teachers to specifically accommodate a varied and expansive range of needs and abilities. This would further pupil’s opportunity to succeed and progress to reach their learning potential. </w:t>
      </w:r>
    </w:p>
    <w:p w:rsidR="007E4CBA" w:rsidRDefault="007E4CBA" w:rsidP="007E4CBA">
      <w:pPr>
        <w:spacing w:line="360" w:lineRule="auto"/>
        <w:ind w:firstLine="720"/>
      </w:pPr>
      <w:r>
        <w:t xml:space="preserve">There are numerous developments that could be and should be adopted in future numeracy lessons. This research project has highlighted that differentiation through resource is not enough for some students. It is predicted that a combination of differentiation techniques would allow for differentiation to become stronger and more effective. However, it is also recommended that future </w:t>
      </w:r>
      <w:r>
        <w:lastRenderedPageBreak/>
        <w:t xml:space="preserve">numeracy differentiation and numeracy in the Geography classroom should encompass engaging and inspiring activities and tasks for all pupils to tackle. Numeracy is often seen as a mundane skill that pupils feel obliged to partake in. However, to improve the success of numeracy differentiation, tasks should be engaging and entertaining to allow pupils to be inspired and to learn from Geographical concepts. </w:t>
      </w:r>
    </w:p>
    <w:p w:rsidR="007E4CBA" w:rsidRDefault="007E4CBA" w:rsidP="007E4CBA">
      <w:pPr>
        <w:spacing w:line="360" w:lineRule="auto"/>
        <w:ind w:firstLine="720"/>
      </w:pPr>
      <w:r>
        <w:t xml:space="preserve">Professional and personal development have been supported and inspired throughout this research project. It is clear from the results to see that numeracy differentiation does allow pupils to not only reach their predicted target, but in many cases, it allows pupils to achieve higher than their predicted level. Following this, differentiation should be a part of everyday teaching and planning. All lessons should encompass the idea of differentiation as it allows all pupils an equal opportunity to access the learning as well as allowing them to reach their learning potential. </w:t>
      </w:r>
    </w:p>
    <w:p w:rsidR="007E4CBA" w:rsidRDefault="007E4CBA" w:rsidP="007E4CBA">
      <w:pPr>
        <w:spacing w:line="360" w:lineRule="auto"/>
        <w:ind w:firstLine="720"/>
      </w:pPr>
      <w:r>
        <w:t xml:space="preserve">Furthermore, not all differentiation should be tailored to the pupils with ALN. Differentiation encompasses all pupils and all needs. It is therefore </w:t>
      </w:r>
      <w:r w:rsidRPr="00912408">
        <w:t xml:space="preserve">necessary that differentiation allows More Able and Talented to also be challenged and allowed the opportunity to reach their learning potential thorough various pathways and experiences. Differentiation is </w:t>
      </w:r>
      <w:proofErr w:type="gramStart"/>
      <w:r w:rsidRPr="00912408">
        <w:t>more often than not</w:t>
      </w:r>
      <w:proofErr w:type="gramEnd"/>
      <w:r w:rsidRPr="00912408">
        <w:t xml:space="preserve"> targeted at pupils with ALN and many other pupils </w:t>
      </w:r>
      <w:r w:rsidR="00912408" w:rsidRPr="00912408">
        <w:t xml:space="preserve">within a class that are of a higher ability or even More Able and Talented pupils </w:t>
      </w:r>
      <w:r w:rsidRPr="00912408">
        <w:t>lack differentiation to</w:t>
      </w:r>
      <w:r w:rsidR="00912408" w:rsidRPr="00912408">
        <w:t xml:space="preserve"> allow them to be</w:t>
      </w:r>
      <w:r w:rsidRPr="00912408">
        <w:t xml:space="preserve"> push</w:t>
      </w:r>
      <w:r w:rsidR="00912408" w:rsidRPr="00912408">
        <w:t>ed</w:t>
      </w:r>
      <w:r w:rsidRPr="00912408">
        <w:t xml:space="preserve"> and challenged</w:t>
      </w:r>
      <w:r w:rsidR="00912408" w:rsidRPr="00912408">
        <w:t>.</w:t>
      </w:r>
      <w:r>
        <w:t xml:space="preserve"> Learning should be inclusive for all and differentiation allows for this to transpire. </w:t>
      </w:r>
    </w:p>
    <w:p w:rsidR="007E4CBA" w:rsidRDefault="007E4CBA" w:rsidP="007E4CBA"/>
    <w:p w:rsidR="007E4CBA" w:rsidRDefault="007E4CBA" w:rsidP="007E4CBA"/>
    <w:p w:rsidR="007E4CBA" w:rsidRDefault="007E4CBA" w:rsidP="007E4CBA">
      <w:pPr>
        <w:spacing w:line="360" w:lineRule="auto"/>
        <w:ind w:firstLine="720"/>
      </w:pPr>
    </w:p>
    <w:p w:rsidR="007E4CBA" w:rsidRDefault="007E4CBA" w:rsidP="007E4CBA"/>
    <w:p w:rsidR="007E4CBA" w:rsidRDefault="007E4CBA" w:rsidP="007E4CBA">
      <w:pPr>
        <w:spacing w:line="360" w:lineRule="auto"/>
        <w:rPr>
          <w:sz w:val="24"/>
        </w:rPr>
      </w:pPr>
    </w:p>
    <w:p w:rsidR="004E6BD4" w:rsidRDefault="004E6BD4" w:rsidP="007E4CBA">
      <w:pPr>
        <w:spacing w:line="360" w:lineRule="auto"/>
        <w:rPr>
          <w:sz w:val="24"/>
        </w:rPr>
      </w:pPr>
    </w:p>
    <w:p w:rsidR="004E6BD4" w:rsidRDefault="004E6BD4" w:rsidP="007E4CBA">
      <w:pPr>
        <w:spacing w:line="360" w:lineRule="auto"/>
        <w:rPr>
          <w:sz w:val="24"/>
        </w:rPr>
      </w:pPr>
    </w:p>
    <w:p w:rsidR="004E6BD4" w:rsidRDefault="004E6BD4" w:rsidP="007E4CBA">
      <w:pPr>
        <w:spacing w:line="360" w:lineRule="auto"/>
        <w:rPr>
          <w:sz w:val="24"/>
        </w:rPr>
      </w:pPr>
    </w:p>
    <w:p w:rsidR="004E6BD4" w:rsidRDefault="004E6BD4" w:rsidP="007E4CBA">
      <w:pPr>
        <w:spacing w:line="360" w:lineRule="auto"/>
        <w:rPr>
          <w:sz w:val="24"/>
        </w:rPr>
      </w:pPr>
    </w:p>
    <w:p w:rsidR="004E6BD4" w:rsidRDefault="004E6BD4" w:rsidP="007E4CBA">
      <w:pPr>
        <w:spacing w:line="360" w:lineRule="auto"/>
        <w:rPr>
          <w:sz w:val="24"/>
        </w:rPr>
      </w:pPr>
    </w:p>
    <w:p w:rsidR="004E6BD4" w:rsidRDefault="004E6BD4" w:rsidP="007E4CBA">
      <w:pPr>
        <w:spacing w:line="360" w:lineRule="auto"/>
        <w:rPr>
          <w:sz w:val="24"/>
        </w:rPr>
      </w:pPr>
    </w:p>
    <w:p w:rsidR="004E6BD4" w:rsidRDefault="004E6BD4" w:rsidP="007E4CBA">
      <w:pPr>
        <w:spacing w:line="360" w:lineRule="auto"/>
        <w:rPr>
          <w:sz w:val="24"/>
        </w:rPr>
      </w:pPr>
    </w:p>
    <w:p w:rsidR="004E6BD4" w:rsidRPr="00327188" w:rsidRDefault="004E6BD4" w:rsidP="004E6BD4">
      <w:pPr>
        <w:rPr>
          <w:rFonts w:cstheme="minorHAnsi"/>
        </w:rPr>
      </w:pPr>
      <w:r>
        <w:rPr>
          <w:rFonts w:cstheme="minorHAnsi"/>
          <w:b/>
        </w:rPr>
        <w:t xml:space="preserve">References </w:t>
      </w:r>
    </w:p>
    <w:p w:rsidR="004E6BD4" w:rsidRPr="00327188" w:rsidRDefault="004E6BD4" w:rsidP="004E6BD4">
      <w:pPr>
        <w:pStyle w:val="ListParagraph"/>
        <w:numPr>
          <w:ilvl w:val="0"/>
          <w:numId w:val="1"/>
        </w:numPr>
      </w:pPr>
      <w:r>
        <w:t>Aliaga, M. and Gunderson, B. (2006). Interactive statistics.</w:t>
      </w:r>
      <w:r>
        <w:rPr>
          <w:i/>
        </w:rPr>
        <w:t xml:space="preserve"> </w:t>
      </w:r>
      <w:r>
        <w:t>Pearson.</w:t>
      </w:r>
    </w:p>
    <w:p w:rsidR="004E6BD4" w:rsidRPr="00327188" w:rsidRDefault="004E6BD4" w:rsidP="004E6BD4">
      <w:pPr>
        <w:pStyle w:val="ListParagraph"/>
        <w:numPr>
          <w:ilvl w:val="0"/>
          <w:numId w:val="1"/>
        </w:numPr>
      </w:pPr>
      <w:r w:rsidRPr="00327188">
        <w:t xml:space="preserve">Askew, M., Brown, M., Rhodes, V., </w:t>
      </w:r>
      <w:r w:rsidR="00400471" w:rsidRPr="00327188">
        <w:t>William</w:t>
      </w:r>
      <w:r w:rsidRPr="00327188">
        <w:t>, D., and Johnson, D. (1997). Effective Teachers of Numeracy: Report of a study carried out for the Teacher Training Agency. London: King’s College, University of London.</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AVGOUSTI</w:t>
      </w:r>
      <w:r w:rsidRPr="00327188">
        <w:rPr>
          <w:lang w:eastAsia="en-GB"/>
        </w:rPr>
        <w:sym w:font="Symbol" w:char="F02A"/>
      </w:r>
      <w:r w:rsidRPr="00327188">
        <w:rPr>
          <w:rFonts w:eastAsia="Times New Roman"/>
          <w:lang w:eastAsia="en-GB"/>
        </w:rPr>
        <w:t>, K. (2013). RESEARCH PHILOSOPHY, METHODOLOGY, QUANTITATIVE AND QUALITATIVE METHODS. </w:t>
      </w:r>
      <w:r w:rsidRPr="00327188">
        <w:rPr>
          <w:rFonts w:eastAsia="Times New Roman"/>
          <w:i/>
          <w:iCs/>
          <w:lang w:eastAsia="en-GB"/>
        </w:rPr>
        <w:t>The Cyprus Journal of Sciences</w:t>
      </w:r>
      <w:r w:rsidRPr="00327188">
        <w:rPr>
          <w:rFonts w:eastAsia="Times New Roman"/>
          <w:lang w:eastAsia="en-GB"/>
        </w:rPr>
        <w:t>, 11.</w:t>
      </w:r>
    </w:p>
    <w:p w:rsidR="004E6BD4" w:rsidRPr="00327188" w:rsidRDefault="004E6BD4" w:rsidP="004E6BD4">
      <w:pPr>
        <w:pStyle w:val="ListParagraph"/>
        <w:numPr>
          <w:ilvl w:val="0"/>
          <w:numId w:val="1"/>
        </w:numPr>
        <w:rPr>
          <w:shd w:val="clear" w:color="auto" w:fill="FFF5AA"/>
        </w:rPr>
      </w:pPr>
      <w:r>
        <w:t xml:space="preserve">Biddulph, M., Lambert, D. and Balderstone, D. (2015). </w:t>
      </w:r>
      <w:r w:rsidRPr="00327188">
        <w:rPr>
          <w:i/>
        </w:rPr>
        <w:t>Learning to teach geography in the secondary school.</w:t>
      </w:r>
      <w:r>
        <w:t xml:space="preserve"> 3</w:t>
      </w:r>
      <w:r w:rsidRPr="00327188">
        <w:rPr>
          <w:vertAlign w:val="superscript"/>
        </w:rPr>
        <w:t>rd</w:t>
      </w:r>
      <w:r>
        <w:t xml:space="preserve"> ed. Routledge.</w:t>
      </w:r>
    </w:p>
    <w:p w:rsidR="004E6BD4" w:rsidRDefault="004E6BD4" w:rsidP="004E6BD4">
      <w:pPr>
        <w:pStyle w:val="ListParagraph"/>
        <w:numPr>
          <w:ilvl w:val="0"/>
          <w:numId w:val="1"/>
        </w:numPr>
        <w:rPr>
          <w:shd w:val="clear" w:color="auto" w:fill="FFFFFF"/>
        </w:rPr>
      </w:pPr>
      <w:r w:rsidRPr="00327188">
        <w:rPr>
          <w:shd w:val="clear" w:color="auto" w:fill="FFFFFF"/>
        </w:rPr>
        <w:t>Capel, S., Leask, M. and Turner, T. (2005). </w:t>
      </w:r>
      <w:r w:rsidRPr="00327188">
        <w:rPr>
          <w:i/>
          <w:iCs/>
          <w:shd w:val="clear" w:color="auto" w:fill="FFFFFF"/>
        </w:rPr>
        <w:t>Learning to teach in the secondary school</w:t>
      </w:r>
      <w:r w:rsidRPr="00327188">
        <w:rPr>
          <w:shd w:val="clear" w:color="auto" w:fill="FFFFFF"/>
        </w:rPr>
        <w:t>. London: Routledge.</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Check, J. and Schutt, R. (2012). </w:t>
      </w:r>
      <w:r w:rsidRPr="00327188">
        <w:rPr>
          <w:rFonts w:eastAsia="Times New Roman"/>
          <w:i/>
          <w:iCs/>
          <w:lang w:eastAsia="en-GB"/>
        </w:rPr>
        <w:t>Research methods in education</w:t>
      </w:r>
      <w:r w:rsidRPr="00327188">
        <w:rPr>
          <w:rFonts w:eastAsia="Times New Roman"/>
          <w:lang w:eastAsia="en-GB"/>
        </w:rPr>
        <w:t>. Thousand Oaks, Calif.: Sage Publications.</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Cohen, L., Manion, L. and Morrison, K. (2013). </w:t>
      </w:r>
      <w:r w:rsidRPr="00327188">
        <w:rPr>
          <w:rFonts w:eastAsia="Times New Roman"/>
          <w:i/>
          <w:iCs/>
          <w:lang w:eastAsia="en-GB"/>
        </w:rPr>
        <w:t>Research methods in education</w:t>
      </w:r>
      <w:r w:rsidRPr="00327188">
        <w:rPr>
          <w:rFonts w:eastAsia="Times New Roman"/>
          <w:lang w:eastAsia="en-GB"/>
        </w:rPr>
        <w:t>.</w:t>
      </w:r>
    </w:p>
    <w:p w:rsidR="004E6BD4" w:rsidRPr="00327188" w:rsidRDefault="004E6BD4" w:rsidP="004E6BD4">
      <w:pPr>
        <w:pStyle w:val="ListParagraph"/>
        <w:numPr>
          <w:ilvl w:val="0"/>
          <w:numId w:val="1"/>
        </w:numPr>
      </w:pPr>
      <w:r w:rsidRPr="00327188">
        <w:rPr>
          <w:rStyle w:val="selectable"/>
          <w:rFonts w:cstheme="minorHAnsi"/>
        </w:rPr>
        <w:t>Delisle, J. (2018). </w:t>
      </w:r>
      <w:r w:rsidRPr="00327188">
        <w:rPr>
          <w:rStyle w:val="selectable"/>
          <w:rFonts w:cstheme="minorHAnsi"/>
          <w:i/>
          <w:iCs/>
        </w:rPr>
        <w:t>Differentiation Doesn't Work</w:t>
      </w:r>
      <w:r w:rsidRPr="00327188">
        <w:rPr>
          <w:rStyle w:val="selectable"/>
          <w:rFonts w:cstheme="minorHAnsi"/>
        </w:rPr>
        <w:t>. [online] Education Week. Available at: https://www.edweek.org/ew/articles/2015/01/07/differentiation-doesnt-work.html [Accessed 8 May 2018].</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Denscombe, M. (2014). </w:t>
      </w:r>
      <w:r w:rsidRPr="00327188">
        <w:rPr>
          <w:rFonts w:eastAsia="Times New Roman"/>
          <w:i/>
          <w:iCs/>
          <w:lang w:eastAsia="en-GB"/>
        </w:rPr>
        <w:t>The good research guide</w:t>
      </w:r>
      <w:r w:rsidRPr="00327188">
        <w:rPr>
          <w:rFonts w:eastAsia="Times New Roman"/>
          <w:lang w:eastAsia="en-GB"/>
        </w:rPr>
        <w:t>.</w:t>
      </w:r>
    </w:p>
    <w:p w:rsidR="004E6BD4" w:rsidRPr="00327188" w:rsidRDefault="004E6BD4" w:rsidP="004E6BD4">
      <w:pPr>
        <w:pStyle w:val="ListParagraph"/>
        <w:numPr>
          <w:ilvl w:val="0"/>
          <w:numId w:val="1"/>
        </w:numPr>
      </w:pPr>
      <w:r w:rsidRPr="00327188">
        <w:t>DfEE (1995) Geography in the National Curriculum, London: HMSO</w:t>
      </w:r>
    </w:p>
    <w:p w:rsidR="004E6BD4" w:rsidRPr="00327188" w:rsidRDefault="004E6BD4" w:rsidP="004E6BD4">
      <w:pPr>
        <w:pStyle w:val="ListParagraph"/>
        <w:numPr>
          <w:ilvl w:val="0"/>
          <w:numId w:val="1"/>
        </w:numPr>
      </w:pPr>
      <w:r w:rsidRPr="00327188">
        <w:t>DfEE (1999) The National Numeracy Scheme, London: DfES</w:t>
      </w:r>
    </w:p>
    <w:p w:rsidR="004E6BD4" w:rsidRPr="00327188" w:rsidRDefault="004E6BD4" w:rsidP="004E6BD4">
      <w:pPr>
        <w:pStyle w:val="ListParagraph"/>
        <w:numPr>
          <w:ilvl w:val="0"/>
          <w:numId w:val="1"/>
        </w:numPr>
      </w:pPr>
      <w:r w:rsidRPr="00327188">
        <w:t xml:space="preserve">DfES (2000) National Numeracy Strategy, London: DfES </w:t>
      </w:r>
    </w:p>
    <w:p w:rsidR="004E6BD4" w:rsidRPr="008C13D4" w:rsidRDefault="004E6BD4" w:rsidP="004E6BD4">
      <w:pPr>
        <w:pStyle w:val="ListParagraph"/>
        <w:numPr>
          <w:ilvl w:val="0"/>
          <w:numId w:val="1"/>
        </w:numPr>
        <w:rPr>
          <w:shd w:val="clear" w:color="auto" w:fill="FFF5AA"/>
        </w:rPr>
      </w:pPr>
      <w:r w:rsidRPr="008C13D4">
        <w:rPr>
          <w:shd w:val="clear" w:color="auto" w:fill="FFFFFF"/>
        </w:rPr>
        <w:t>Dick</w:t>
      </w:r>
      <w:r>
        <w:rPr>
          <w:shd w:val="clear" w:color="auto" w:fill="FFFFFF"/>
        </w:rPr>
        <w:t>inson, C. and Wright, J. (1993). Differentiation: a practical handbook of classroom strategies. Coventry: NCET.</w:t>
      </w:r>
    </w:p>
    <w:p w:rsidR="004E6BD4" w:rsidRPr="00327188" w:rsidRDefault="004E6BD4" w:rsidP="004E6BD4">
      <w:pPr>
        <w:pStyle w:val="ListParagraph"/>
        <w:numPr>
          <w:ilvl w:val="0"/>
          <w:numId w:val="1"/>
        </w:numPr>
      </w:pPr>
      <w:r w:rsidRPr="00327188">
        <w:t>Dickinson, C., &amp; Wright, J. (1993). Differentiation: A practical handbook of classroom strategies. Coventry: National Council for Educational Technology (NCET).</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Dunn, K. and Darlington, E. (2016). GCSE Geography teachers' experiences of differentiation in the classroom. </w:t>
      </w:r>
      <w:r w:rsidRPr="00327188">
        <w:rPr>
          <w:rFonts w:eastAsia="Times New Roman"/>
          <w:i/>
          <w:iCs/>
          <w:lang w:eastAsia="en-GB"/>
        </w:rPr>
        <w:t>International Research in Geographical and Environmental Education</w:t>
      </w:r>
      <w:r w:rsidRPr="00327188">
        <w:rPr>
          <w:rFonts w:eastAsia="Times New Roman"/>
          <w:lang w:eastAsia="en-GB"/>
        </w:rPr>
        <w:t>, 25(4), pp.344-357.</w:t>
      </w:r>
    </w:p>
    <w:p w:rsidR="004E6BD4" w:rsidRPr="00327188" w:rsidRDefault="004E6BD4" w:rsidP="004E6BD4">
      <w:pPr>
        <w:pStyle w:val="ListParagraph"/>
        <w:numPr>
          <w:ilvl w:val="0"/>
          <w:numId w:val="1"/>
        </w:numPr>
        <w:rPr>
          <w:rFonts w:eastAsia="Times New Roman"/>
          <w:lang w:eastAsia="en-GB"/>
        </w:rPr>
      </w:pPr>
      <w:r w:rsidRPr="00327188">
        <w:rPr>
          <w:shd w:val="clear" w:color="auto" w:fill="FFFFFF"/>
        </w:rPr>
        <w:t>Education Scotland (2015). Differentiated Learning in Numeracy and Mathematics: Briefing 1. Livingston: Education Scotland.</w:t>
      </w:r>
    </w:p>
    <w:p w:rsidR="004E6BD4" w:rsidRPr="00327188" w:rsidRDefault="004E6BD4" w:rsidP="004E6BD4">
      <w:pPr>
        <w:pStyle w:val="ListParagraph"/>
        <w:numPr>
          <w:ilvl w:val="0"/>
          <w:numId w:val="1"/>
        </w:numPr>
      </w:pPr>
      <w:r w:rsidRPr="00327188">
        <w:rPr>
          <w:rStyle w:val="selectable"/>
          <w:rFonts w:cstheme="minorHAnsi"/>
        </w:rPr>
        <w:t>Education.gov.scot. (2018). [online] Available at: https://education.gov.scot/improvement/Documents/SAC/SAC1_11/KIABriefing1_tcm4-872957.pdf [Accessed 9 May 2018].</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 xml:space="preserve">Estyn (2017). </w:t>
      </w:r>
      <w:r w:rsidRPr="00327188">
        <w:t xml:space="preserve">Estyn Supplementary guidance: the inspection of numeracy in schools. </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 xml:space="preserve">Evans, C. and Waring, M. (2011). How can an understanding of cognitive style enable trainee teachers to have a better understanding of differentiation in the </w:t>
      </w:r>
      <w:r w:rsidR="00400471" w:rsidRPr="00327188">
        <w:rPr>
          <w:rFonts w:eastAsia="Times New Roman"/>
          <w:lang w:eastAsia="en-GB"/>
        </w:rPr>
        <w:t>classroom?</w:t>
      </w:r>
      <w:r w:rsidRPr="00327188">
        <w:rPr>
          <w:rFonts w:eastAsia="Times New Roman"/>
          <w:lang w:eastAsia="en-GB"/>
        </w:rPr>
        <w:t> </w:t>
      </w:r>
      <w:r w:rsidRPr="00327188">
        <w:rPr>
          <w:rFonts w:eastAsia="Times New Roman"/>
          <w:i/>
          <w:iCs/>
          <w:lang w:eastAsia="en-GB"/>
        </w:rPr>
        <w:t>Educational Research for Policy and Practice</w:t>
      </w:r>
      <w:r w:rsidRPr="00327188">
        <w:rPr>
          <w:rFonts w:eastAsia="Times New Roman"/>
          <w:lang w:eastAsia="en-GB"/>
        </w:rPr>
        <w:t>, 10(3), pp.149-169.</w:t>
      </w:r>
    </w:p>
    <w:p w:rsidR="004E6BD4" w:rsidRPr="00327188" w:rsidRDefault="004E6BD4" w:rsidP="004E6BD4">
      <w:pPr>
        <w:pStyle w:val="ListParagraph"/>
        <w:numPr>
          <w:ilvl w:val="0"/>
          <w:numId w:val="1"/>
        </w:numPr>
      </w:pPr>
      <w:r w:rsidRPr="00327188">
        <w:rPr>
          <w:rStyle w:val="selectable"/>
          <w:rFonts w:cstheme="minorHAnsi"/>
        </w:rPr>
        <w:t>Government, W. (2018). </w:t>
      </w:r>
      <w:r w:rsidRPr="00327188">
        <w:rPr>
          <w:rStyle w:val="selectable"/>
          <w:rFonts w:cstheme="minorHAnsi"/>
          <w:i/>
          <w:iCs/>
        </w:rPr>
        <w:t>Learning Wales</w:t>
      </w:r>
      <w:r w:rsidRPr="00327188">
        <w:rPr>
          <w:rStyle w:val="selectable"/>
          <w:rFonts w:cstheme="minorHAnsi"/>
        </w:rPr>
        <w:t>. [online] Learning.gov.wales. Available at: http://learning.gov.wales/resources/learningpacks/mep/numeracy/learning-and-teaching-numeracy/planning-for-learning/?lang=en [Accessed 6 May 2018].</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Henson, R., Hull, D. and Williams, S. (2010). Methodology in Our Education Research Culture: Toward a Stronger Collective Quantitative Proficiency. </w:t>
      </w:r>
      <w:r w:rsidRPr="00327188">
        <w:rPr>
          <w:rFonts w:eastAsia="Times New Roman"/>
          <w:i/>
          <w:iCs/>
          <w:lang w:eastAsia="en-GB"/>
        </w:rPr>
        <w:t>American Educational Research Association</w:t>
      </w:r>
      <w:r w:rsidRPr="00327188">
        <w:rPr>
          <w:rFonts w:eastAsia="Times New Roman"/>
          <w:lang w:eastAsia="en-GB"/>
        </w:rPr>
        <w:t>, 39(9).</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lastRenderedPageBreak/>
        <w:t>Konstantinou-Katzi, P., Tsolaki, E., Meletiou-Mavrotheris, M. and Koutselini, M. (2013). Differentiation of teaching and learning mathematics: an action research study in tertiary education. </w:t>
      </w:r>
      <w:r w:rsidRPr="00327188">
        <w:rPr>
          <w:rFonts w:eastAsia="Times New Roman"/>
          <w:i/>
          <w:iCs/>
          <w:lang w:eastAsia="en-GB"/>
        </w:rPr>
        <w:t>International Journal of Mathematical Education in Science and Technology</w:t>
      </w:r>
      <w:r w:rsidRPr="00327188">
        <w:rPr>
          <w:rFonts w:eastAsia="Times New Roman"/>
          <w:lang w:eastAsia="en-GB"/>
        </w:rPr>
        <w:t>, 44(3), pp.332-349.</w:t>
      </w:r>
    </w:p>
    <w:p w:rsidR="004E6BD4" w:rsidRPr="00327188" w:rsidRDefault="004E6BD4" w:rsidP="004E6BD4">
      <w:pPr>
        <w:pStyle w:val="ListParagraph"/>
        <w:numPr>
          <w:ilvl w:val="0"/>
          <w:numId w:val="1"/>
        </w:numPr>
      </w:pPr>
      <w:r w:rsidRPr="00327188">
        <w:rPr>
          <w:rStyle w:val="selectable"/>
          <w:rFonts w:cstheme="minorHAnsi"/>
        </w:rPr>
        <w:t>Muijs, D. (2004). </w:t>
      </w:r>
      <w:r w:rsidRPr="00327188">
        <w:rPr>
          <w:rStyle w:val="selectable"/>
          <w:rFonts w:cstheme="minorHAnsi"/>
          <w:i/>
          <w:iCs/>
        </w:rPr>
        <w:t>Doing quantitative research in education with SPSS</w:t>
      </w:r>
      <w:r w:rsidRPr="00327188">
        <w:rPr>
          <w:rStyle w:val="selectable"/>
          <w:rFonts w:cstheme="minorHAnsi"/>
        </w:rPr>
        <w:t>. London: SAGE.</w:t>
      </w:r>
    </w:p>
    <w:p w:rsidR="004E6BD4" w:rsidRDefault="004E6BD4" w:rsidP="004E6BD4">
      <w:pPr>
        <w:pStyle w:val="ListParagraph"/>
        <w:numPr>
          <w:ilvl w:val="0"/>
          <w:numId w:val="1"/>
        </w:numPr>
      </w:pPr>
      <w:r w:rsidRPr="00327188">
        <w:t xml:space="preserve">Ofsted (2008) Geography in Schools – Changing Practice, London: Ofsted. </w:t>
      </w:r>
    </w:p>
    <w:p w:rsidR="004E6BD4" w:rsidRPr="00327188" w:rsidRDefault="004E6BD4" w:rsidP="004E6BD4">
      <w:pPr>
        <w:pStyle w:val="ListParagraph"/>
        <w:numPr>
          <w:ilvl w:val="0"/>
          <w:numId w:val="1"/>
        </w:numPr>
      </w:pPr>
      <w:r w:rsidRPr="00327188">
        <w:rPr>
          <w:rStyle w:val="selectable"/>
          <w:rFonts w:cstheme="minorHAnsi"/>
        </w:rPr>
        <w:t>Osterman, K. and Kottkamp, R. (2015). </w:t>
      </w:r>
      <w:r w:rsidRPr="00327188">
        <w:rPr>
          <w:rStyle w:val="selectable"/>
          <w:rFonts w:cstheme="minorHAnsi"/>
          <w:i/>
          <w:iCs/>
        </w:rPr>
        <w:t>Reflective practice for educators</w:t>
      </w:r>
      <w:r w:rsidRPr="00327188">
        <w:rPr>
          <w:rStyle w:val="selectable"/>
          <w:rFonts w:cstheme="minorHAnsi"/>
        </w:rPr>
        <w:t>.</w:t>
      </w:r>
    </w:p>
    <w:p w:rsidR="004E6BD4" w:rsidRPr="00327188" w:rsidRDefault="004E6BD4" w:rsidP="004E6BD4">
      <w:pPr>
        <w:pStyle w:val="ListParagraph"/>
        <w:numPr>
          <w:ilvl w:val="0"/>
          <w:numId w:val="1"/>
        </w:numPr>
      </w:pPr>
      <w:r w:rsidRPr="00327188">
        <w:rPr>
          <w:rStyle w:val="selectable"/>
          <w:rFonts w:cstheme="minorHAnsi"/>
        </w:rPr>
        <w:t>Qualifications, Curriculum and Assessment Authority for Wales (2003). </w:t>
      </w:r>
      <w:r w:rsidRPr="00327188">
        <w:rPr>
          <w:rStyle w:val="selectable"/>
          <w:rFonts w:cstheme="minorHAnsi"/>
          <w:i/>
          <w:iCs/>
        </w:rPr>
        <w:t>A curriculum of opportunity: developing potential into performance</w:t>
      </w:r>
      <w:r w:rsidRPr="00327188">
        <w:rPr>
          <w:rStyle w:val="selectable"/>
          <w:rFonts w:cstheme="minorHAnsi"/>
        </w:rPr>
        <w:t>. ACCAC Publications.</w:t>
      </w:r>
    </w:p>
    <w:p w:rsidR="004E6BD4" w:rsidRPr="00327188" w:rsidRDefault="004E6BD4" w:rsidP="004E6BD4">
      <w:pPr>
        <w:pStyle w:val="ListParagraph"/>
        <w:numPr>
          <w:ilvl w:val="0"/>
          <w:numId w:val="1"/>
        </w:numPr>
      </w:pPr>
      <w:r w:rsidRPr="00327188">
        <w:rPr>
          <w:rStyle w:val="selectable"/>
          <w:rFonts w:cstheme="minorHAnsi"/>
        </w:rPr>
        <w:t>Randolph, J. (2008). </w:t>
      </w:r>
      <w:r w:rsidRPr="00327188">
        <w:rPr>
          <w:rStyle w:val="selectable"/>
          <w:rFonts w:cstheme="minorHAnsi"/>
          <w:i/>
          <w:iCs/>
        </w:rPr>
        <w:t>Multidisciplinary Methods in Educational Technology Research and Development</w:t>
      </w:r>
      <w:r w:rsidRPr="00327188">
        <w:rPr>
          <w:rStyle w:val="selectable"/>
          <w:rFonts w:cstheme="minorHAnsi"/>
        </w:rPr>
        <w:t>. HAMK Publications.</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Shaw, I. (2012). The Positive Contributions of Quantitative Methodology to Social Work Research. </w:t>
      </w:r>
      <w:r w:rsidRPr="00327188">
        <w:rPr>
          <w:rFonts w:eastAsia="Times New Roman"/>
          <w:i/>
          <w:iCs/>
          <w:lang w:eastAsia="en-GB"/>
        </w:rPr>
        <w:t>Research on Social Work Practice</w:t>
      </w:r>
      <w:r w:rsidRPr="00327188">
        <w:rPr>
          <w:rFonts w:eastAsia="Times New Roman"/>
          <w:lang w:eastAsia="en-GB"/>
        </w:rPr>
        <w:t>, 22(2), pp.129-134.</w:t>
      </w:r>
    </w:p>
    <w:p w:rsidR="004E6BD4" w:rsidRPr="00327188" w:rsidRDefault="004E6BD4" w:rsidP="004E6BD4">
      <w:pPr>
        <w:pStyle w:val="ListParagraph"/>
        <w:numPr>
          <w:ilvl w:val="0"/>
          <w:numId w:val="1"/>
        </w:numPr>
      </w:pPr>
      <w:r w:rsidRPr="00327188">
        <w:rPr>
          <w:rStyle w:val="selectable"/>
          <w:rFonts w:cstheme="minorHAnsi"/>
        </w:rPr>
        <w:t>The Welsh Government (2001). </w:t>
      </w:r>
      <w:r w:rsidRPr="00327188">
        <w:rPr>
          <w:rStyle w:val="selectable"/>
          <w:rFonts w:cstheme="minorHAnsi"/>
          <w:i/>
          <w:iCs/>
        </w:rPr>
        <w:t>Special Educational Needs Code of Practice</w:t>
      </w:r>
      <w:r w:rsidRPr="00327188">
        <w:rPr>
          <w:rStyle w:val="selectable"/>
          <w:rFonts w:cstheme="minorHAnsi"/>
        </w:rPr>
        <w:t>. The Welsh Government.</w:t>
      </w:r>
    </w:p>
    <w:p w:rsidR="004E6BD4" w:rsidRPr="00327188" w:rsidRDefault="004E6BD4" w:rsidP="004E6BD4">
      <w:pPr>
        <w:pStyle w:val="ListParagraph"/>
        <w:numPr>
          <w:ilvl w:val="0"/>
          <w:numId w:val="1"/>
        </w:numPr>
      </w:pPr>
      <w:r w:rsidRPr="00327188">
        <w:rPr>
          <w:rStyle w:val="selectable"/>
          <w:rFonts w:cstheme="minorHAnsi"/>
        </w:rPr>
        <w:t>Tomlinson, C. and Strickland, C. (2008). </w:t>
      </w:r>
      <w:r w:rsidRPr="00327188">
        <w:rPr>
          <w:rStyle w:val="selectable"/>
          <w:rFonts w:cstheme="minorHAnsi"/>
          <w:i/>
          <w:iCs/>
        </w:rPr>
        <w:t>Differentiation in practice</w:t>
      </w:r>
      <w:r w:rsidRPr="00327188">
        <w:rPr>
          <w:rStyle w:val="selectable"/>
          <w:rFonts w:cstheme="minorHAnsi"/>
        </w:rPr>
        <w:t>. Moorabbin, Vic.: Hawker Brownlow Education.</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VanTassel-Baska, J. (2012). Analyzing Differentiation in the Classroom. </w:t>
      </w:r>
      <w:r w:rsidRPr="00327188">
        <w:rPr>
          <w:rFonts w:eastAsia="Times New Roman"/>
          <w:i/>
          <w:iCs/>
          <w:lang w:eastAsia="en-GB"/>
        </w:rPr>
        <w:t>Gifted Child Today</w:t>
      </w:r>
      <w:r w:rsidRPr="00327188">
        <w:rPr>
          <w:rFonts w:eastAsia="Times New Roman"/>
          <w:lang w:eastAsia="en-GB"/>
        </w:rPr>
        <w:t>, 35(1), pp.42-48.</w:t>
      </w:r>
    </w:p>
    <w:p w:rsidR="004E6BD4" w:rsidRPr="00327188" w:rsidRDefault="004E6BD4" w:rsidP="004E6BD4">
      <w:pPr>
        <w:pStyle w:val="ListParagraph"/>
        <w:numPr>
          <w:ilvl w:val="0"/>
          <w:numId w:val="1"/>
        </w:numPr>
      </w:pPr>
      <w:r w:rsidRPr="00327188">
        <w:rPr>
          <w:rStyle w:val="selectable"/>
          <w:rFonts w:cstheme="minorHAnsi"/>
        </w:rPr>
        <w:t>Welsh Assembly Government (2002). </w:t>
      </w:r>
      <w:r w:rsidRPr="00327188">
        <w:rPr>
          <w:rStyle w:val="selectable"/>
          <w:rFonts w:cstheme="minorHAnsi"/>
          <w:i/>
          <w:iCs/>
        </w:rPr>
        <w:t>Children and Young People: Rights to Action</w:t>
      </w:r>
      <w:r w:rsidRPr="00327188">
        <w:rPr>
          <w:rStyle w:val="selectable"/>
          <w:rFonts w:cstheme="minorHAnsi"/>
        </w:rPr>
        <w:t>. Crown Copyright.</w:t>
      </w:r>
    </w:p>
    <w:p w:rsidR="004E6BD4" w:rsidRPr="00327188" w:rsidRDefault="004E6BD4" w:rsidP="004E6BD4">
      <w:pPr>
        <w:pStyle w:val="ListParagraph"/>
        <w:numPr>
          <w:ilvl w:val="0"/>
          <w:numId w:val="1"/>
        </w:numPr>
      </w:pPr>
      <w:r w:rsidRPr="00327188">
        <w:rPr>
          <w:rStyle w:val="selectable"/>
          <w:rFonts w:cstheme="minorHAnsi"/>
        </w:rPr>
        <w:t>Welsh Assembly Government (2008). </w:t>
      </w:r>
      <w:r w:rsidRPr="00327188">
        <w:rPr>
          <w:rStyle w:val="selectable"/>
          <w:rFonts w:cstheme="minorHAnsi"/>
          <w:i/>
          <w:iCs/>
        </w:rPr>
        <w:t>Geography in the National Curriculum for Wales</w:t>
      </w:r>
      <w:r w:rsidRPr="00327188">
        <w:rPr>
          <w:rStyle w:val="selectable"/>
          <w:rFonts w:cstheme="minorHAnsi"/>
        </w:rPr>
        <w:t>. Crown Copyright.</w:t>
      </w:r>
    </w:p>
    <w:p w:rsidR="004E6BD4" w:rsidRPr="00327188" w:rsidRDefault="004E6BD4" w:rsidP="004E6BD4">
      <w:pPr>
        <w:pStyle w:val="ListParagraph"/>
        <w:numPr>
          <w:ilvl w:val="0"/>
          <w:numId w:val="1"/>
        </w:numPr>
      </w:pPr>
      <w:r w:rsidRPr="00327188">
        <w:rPr>
          <w:rStyle w:val="selectable"/>
          <w:rFonts w:cstheme="minorHAnsi"/>
        </w:rPr>
        <w:t>Welsh Assembly Government (2008). </w:t>
      </w:r>
      <w:r w:rsidRPr="00327188">
        <w:rPr>
          <w:rStyle w:val="selectable"/>
          <w:rFonts w:cstheme="minorHAnsi"/>
          <w:i/>
          <w:iCs/>
        </w:rPr>
        <w:t>Meeting the Challenge</w:t>
      </w:r>
      <w:r w:rsidRPr="00327188">
        <w:rPr>
          <w:rStyle w:val="selectable"/>
          <w:rFonts w:cstheme="minorHAnsi"/>
        </w:rPr>
        <w:t>. Cardiff: Crown Copyright.</w:t>
      </w:r>
    </w:p>
    <w:p w:rsidR="004E6BD4" w:rsidRPr="00327188" w:rsidRDefault="004E6BD4" w:rsidP="004E6BD4">
      <w:pPr>
        <w:pStyle w:val="ListParagraph"/>
        <w:numPr>
          <w:ilvl w:val="0"/>
          <w:numId w:val="1"/>
        </w:numPr>
      </w:pPr>
      <w:r w:rsidRPr="00327188">
        <w:rPr>
          <w:rStyle w:val="selectable"/>
          <w:rFonts w:cstheme="minorHAnsi"/>
        </w:rPr>
        <w:t>Welsh Assembly Government (2010). </w:t>
      </w:r>
      <w:r w:rsidRPr="00327188">
        <w:rPr>
          <w:rStyle w:val="selectable"/>
          <w:rFonts w:cstheme="minorHAnsi"/>
          <w:i/>
          <w:iCs/>
        </w:rPr>
        <w:t>A curriculum for all learners: Guidance to support teachers of learners with additional learning needs</w:t>
      </w:r>
      <w:r w:rsidRPr="00327188">
        <w:rPr>
          <w:rStyle w:val="selectable"/>
          <w:rFonts w:cstheme="minorHAnsi"/>
        </w:rPr>
        <w:t>. Cardiff: Crown Copyright.</w:t>
      </w:r>
    </w:p>
    <w:p w:rsidR="004E6BD4" w:rsidRPr="00327188" w:rsidRDefault="004E6BD4" w:rsidP="004E6BD4">
      <w:pPr>
        <w:pStyle w:val="ListParagraph"/>
        <w:numPr>
          <w:ilvl w:val="0"/>
          <w:numId w:val="1"/>
        </w:numPr>
      </w:pPr>
      <w:r w:rsidRPr="00327188">
        <w:rPr>
          <w:rStyle w:val="selectable"/>
          <w:rFonts w:cstheme="minorHAnsi"/>
        </w:rPr>
        <w:t>Welsh Assembly Government (2013). </w:t>
      </w:r>
      <w:r w:rsidRPr="00327188">
        <w:rPr>
          <w:rStyle w:val="selectable"/>
          <w:rFonts w:cstheme="minorHAnsi"/>
          <w:i/>
          <w:iCs/>
        </w:rPr>
        <w:t>The Literacy and Numeracy Framework</w:t>
      </w:r>
      <w:r w:rsidRPr="00327188">
        <w:rPr>
          <w:rStyle w:val="selectable"/>
          <w:rFonts w:cstheme="minorHAnsi"/>
        </w:rPr>
        <w:t>. Crown Copyright.</w:t>
      </w:r>
    </w:p>
    <w:p w:rsidR="004E6BD4" w:rsidRPr="00327188" w:rsidRDefault="004E6BD4" w:rsidP="004E6BD4">
      <w:pPr>
        <w:pStyle w:val="ListParagraph"/>
        <w:numPr>
          <w:ilvl w:val="0"/>
          <w:numId w:val="1"/>
        </w:numPr>
      </w:pPr>
      <w:r w:rsidRPr="00327188">
        <w:rPr>
          <w:rStyle w:val="selectable"/>
          <w:rFonts w:cstheme="minorHAnsi"/>
        </w:rPr>
        <w:t>Welsh Government (2013). </w:t>
      </w:r>
      <w:r w:rsidRPr="00327188">
        <w:rPr>
          <w:rStyle w:val="selectable"/>
          <w:rFonts w:cstheme="minorHAnsi"/>
          <w:i/>
          <w:iCs/>
        </w:rPr>
        <w:t>Curriculum planning guidance</w:t>
      </w:r>
      <w:r w:rsidRPr="00327188">
        <w:rPr>
          <w:rStyle w:val="selectable"/>
          <w:rFonts w:cstheme="minorHAnsi"/>
        </w:rPr>
        <w:t>. Cardiff: Crown Copyright.</w:t>
      </w:r>
    </w:p>
    <w:p w:rsidR="004E6BD4" w:rsidRPr="00327188" w:rsidRDefault="004E6BD4" w:rsidP="004E6BD4">
      <w:pPr>
        <w:pStyle w:val="ListParagraph"/>
        <w:numPr>
          <w:ilvl w:val="0"/>
          <w:numId w:val="1"/>
        </w:numPr>
      </w:pPr>
      <w:r w:rsidRPr="00327188">
        <w:rPr>
          <w:rStyle w:val="selectable"/>
          <w:rFonts w:cstheme="minorHAnsi"/>
        </w:rPr>
        <w:t>Welsh Government (2015). </w:t>
      </w:r>
      <w:r w:rsidRPr="00327188">
        <w:rPr>
          <w:rStyle w:val="selectable"/>
          <w:rFonts w:cstheme="minorHAnsi"/>
          <w:i/>
          <w:iCs/>
        </w:rPr>
        <w:t>Review to identify more able and talented provision across Wales</w:t>
      </w:r>
      <w:r w:rsidRPr="00327188">
        <w:rPr>
          <w:rStyle w:val="selectable"/>
          <w:rFonts w:cstheme="minorHAnsi"/>
        </w:rPr>
        <w:t>. Cardiff: Crown Copyright.</w:t>
      </w:r>
    </w:p>
    <w:p w:rsidR="004E6BD4" w:rsidRPr="00327188" w:rsidRDefault="004E6BD4" w:rsidP="004E6BD4">
      <w:pPr>
        <w:pStyle w:val="ListParagraph"/>
        <w:numPr>
          <w:ilvl w:val="0"/>
          <w:numId w:val="1"/>
        </w:numPr>
        <w:rPr>
          <w:rFonts w:eastAsia="Times New Roman"/>
          <w:lang w:eastAsia="en-GB"/>
        </w:rPr>
      </w:pPr>
      <w:r w:rsidRPr="00327188">
        <w:rPr>
          <w:rFonts w:eastAsia="Times New Roman"/>
          <w:lang w:eastAsia="en-GB"/>
        </w:rPr>
        <w:t>Wrench, J., Thomas-Maddox, C., Richmond, V. and McCroskey, J. (2008). </w:t>
      </w:r>
      <w:r w:rsidRPr="00327188">
        <w:rPr>
          <w:rFonts w:eastAsia="Times New Roman"/>
          <w:i/>
          <w:iCs/>
          <w:lang w:eastAsia="en-GB"/>
        </w:rPr>
        <w:t>Quantitative research methods for communication</w:t>
      </w:r>
      <w:r w:rsidRPr="00327188">
        <w:rPr>
          <w:rFonts w:eastAsia="Times New Roman"/>
          <w:lang w:eastAsia="en-GB"/>
        </w:rPr>
        <w:t>.</w:t>
      </w:r>
    </w:p>
    <w:p w:rsidR="004E6BD4" w:rsidRPr="00327188" w:rsidRDefault="004E6BD4" w:rsidP="004E6BD4">
      <w:pPr>
        <w:pStyle w:val="ListParagraph"/>
        <w:numPr>
          <w:ilvl w:val="0"/>
          <w:numId w:val="1"/>
        </w:numPr>
        <w:rPr>
          <w:rStyle w:val="selectable"/>
          <w:rFonts w:cstheme="minorHAnsi"/>
        </w:rPr>
      </w:pPr>
      <w:r w:rsidRPr="00327188">
        <w:rPr>
          <w:rStyle w:val="selectable"/>
          <w:rFonts w:cstheme="minorHAnsi"/>
        </w:rPr>
        <w:t>Yuen, M., Chan, S., Chan, C., Fung, D., Cheung, W., Kwan, T. and Leung, F. (2016). Differentiation in key learning areas for gifted students in regular classes. </w:t>
      </w:r>
      <w:r w:rsidRPr="00327188">
        <w:rPr>
          <w:rStyle w:val="selectable"/>
          <w:rFonts w:cstheme="minorHAnsi"/>
          <w:i/>
          <w:iCs/>
        </w:rPr>
        <w:t>Gifted Education International</w:t>
      </w:r>
      <w:r w:rsidRPr="00327188">
        <w:rPr>
          <w:rStyle w:val="selectable"/>
          <w:rFonts w:cstheme="minorHAnsi"/>
        </w:rPr>
        <w:t>, 34(1), pp.36-46.</w:t>
      </w:r>
    </w:p>
    <w:p w:rsidR="004E6BD4" w:rsidRPr="007E4CBA" w:rsidRDefault="004E6BD4" w:rsidP="007E4CBA">
      <w:pPr>
        <w:spacing w:line="360" w:lineRule="auto"/>
        <w:rPr>
          <w:sz w:val="24"/>
        </w:rPr>
      </w:pPr>
    </w:p>
    <w:sectPr w:rsidR="004E6BD4" w:rsidRPr="007E4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11B0D"/>
    <w:multiLevelType w:val="hybridMultilevel"/>
    <w:tmpl w:val="85207C4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CBA"/>
    <w:rsid w:val="00166CCA"/>
    <w:rsid w:val="00362CCF"/>
    <w:rsid w:val="00400471"/>
    <w:rsid w:val="004064A3"/>
    <w:rsid w:val="00476026"/>
    <w:rsid w:val="004E6BD4"/>
    <w:rsid w:val="00544081"/>
    <w:rsid w:val="007E4CBA"/>
    <w:rsid w:val="008A31FD"/>
    <w:rsid w:val="008B45DF"/>
    <w:rsid w:val="00912408"/>
    <w:rsid w:val="00C27A6D"/>
    <w:rsid w:val="00EB3E1D"/>
    <w:rsid w:val="00F3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FD8E7"/>
  <w15:chartTrackingRefBased/>
  <w15:docId w15:val="{56E8385D-E924-47C5-B64A-CEBC6F0D8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EB3E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EB3E1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E6BD4"/>
  </w:style>
  <w:style w:type="paragraph" w:styleId="ListParagraph">
    <w:name w:val="List Paragraph"/>
    <w:basedOn w:val="Normal"/>
    <w:uiPriority w:val="34"/>
    <w:qFormat/>
    <w:rsid w:val="004E6BD4"/>
    <w:pPr>
      <w:ind w:left="720"/>
      <w:contextualSpacing/>
    </w:pPr>
  </w:style>
  <w:style w:type="character" w:customStyle="1" w:styleId="Heading2Char">
    <w:name w:val="Heading 2 Char"/>
    <w:basedOn w:val="DefaultParagraphFont"/>
    <w:link w:val="Heading2"/>
    <w:rsid w:val="00EB3E1D"/>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EB3E1D"/>
    <w:rPr>
      <w:rFonts w:ascii="Arial" w:eastAsia="Times New Roman" w:hAnsi="Arial" w:cs="Arial"/>
      <w:b/>
      <w:bCs/>
      <w:sz w:val="24"/>
      <w:szCs w:val="20"/>
    </w:rPr>
  </w:style>
  <w:style w:type="paragraph" w:styleId="Header">
    <w:name w:val="header"/>
    <w:basedOn w:val="Normal"/>
    <w:link w:val="HeaderChar"/>
    <w:rsid w:val="00EB3E1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EB3E1D"/>
    <w:rPr>
      <w:rFonts w:ascii="Times New Roman" w:eastAsia="Times New Roman" w:hAnsi="Times New Roman" w:cs="Times New Roman"/>
      <w:sz w:val="20"/>
      <w:szCs w:val="20"/>
      <w:lang w:eastAsia="en-GB"/>
    </w:rPr>
  </w:style>
  <w:style w:type="paragraph" w:styleId="BodyText2">
    <w:name w:val="Body Text 2"/>
    <w:basedOn w:val="Normal"/>
    <w:link w:val="BodyText2Char"/>
    <w:rsid w:val="00EB3E1D"/>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B3E1D"/>
    <w:rPr>
      <w:rFonts w:ascii="Times New Roman" w:eastAsia="Times New Roman" w:hAnsi="Times New Roman" w:cs="Times New Roman"/>
      <w:sz w:val="16"/>
      <w:szCs w:val="20"/>
    </w:rPr>
  </w:style>
  <w:style w:type="paragraph" w:styleId="NoSpacing">
    <w:name w:val="No Spacing"/>
    <w:uiPriority w:val="1"/>
    <w:qFormat/>
    <w:rsid w:val="005440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emf"/><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E:\UWTSD\Assignment%203\Data\Pupils%20Level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t" anchorCtr="0"/>
          <a:lstStyle/>
          <a:p>
            <a:pPr algn="ctr">
              <a:defRPr sz="1000" b="0" i="0" u="none" strike="noStrike" kern="1200" spc="0" baseline="0">
                <a:solidFill>
                  <a:schemeClr val="tx1">
                    <a:lumMod val="65000"/>
                    <a:lumOff val="35000"/>
                  </a:schemeClr>
                </a:solidFill>
                <a:latin typeface="+mn-lt"/>
                <a:ea typeface="+mn-ea"/>
                <a:cs typeface="+mn-cs"/>
              </a:defRPr>
            </a:pPr>
            <a:r>
              <a:rPr lang="en-US" sz="1000"/>
              <a:t>Comparison between End of Year 8 Levels and the Overall Differentitated Level </a:t>
            </a:r>
          </a:p>
        </c:rich>
      </c:tx>
      <c:overlay val="0"/>
      <c:spPr>
        <a:noFill/>
        <a:ln>
          <a:noFill/>
        </a:ln>
        <a:effectLst/>
      </c:spPr>
      <c:txPr>
        <a:bodyPr rot="0" spcFirstLastPara="1" vertOverflow="ellipsis" vert="horz" wrap="square" anchor="t" anchorCtr="0"/>
        <a:lstStyle/>
        <a:p>
          <a:pPr algn="ct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170880441350802E-2"/>
          <c:y val="0.2253827160493827"/>
          <c:w val="0.85524025665508863"/>
          <c:h val="0.55534169339943618"/>
        </c:manualLayout>
      </c:layout>
      <c:barChart>
        <c:barDir val="col"/>
        <c:grouping val="clustered"/>
        <c:varyColors val="0"/>
        <c:ser>
          <c:idx val="0"/>
          <c:order val="0"/>
          <c:tx>
            <c:strRef>
              <c:f>Sheet2!$F$2</c:f>
              <c:strCache>
                <c:ptCount val="1"/>
                <c:pt idx="0">
                  <c:v>EofY8 Estimate </c:v>
                </c:pt>
              </c:strCache>
            </c:strRef>
          </c:tx>
          <c:spPr>
            <a:solidFill>
              <a:schemeClr val="accent1"/>
            </a:solidFill>
            <a:ln>
              <a:noFill/>
            </a:ln>
            <a:effectLst/>
          </c:spPr>
          <c:invertIfNegative val="0"/>
          <c:cat>
            <c:numRef>
              <c:f>Sheet2!$E$3:$E$28</c:f>
              <c:numCache>
                <c:formatCode>General</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cat>
          <c:val>
            <c:numRef>
              <c:f>Sheet2!$F$3:$F$28</c:f>
              <c:numCache>
                <c:formatCode>General</c:formatCode>
                <c:ptCount val="26"/>
                <c:pt idx="0">
                  <c:v>3</c:v>
                </c:pt>
                <c:pt idx="1">
                  <c:v>5</c:v>
                </c:pt>
                <c:pt idx="2">
                  <c:v>6</c:v>
                </c:pt>
                <c:pt idx="3">
                  <c:v>6</c:v>
                </c:pt>
                <c:pt idx="4">
                  <c:v>5</c:v>
                </c:pt>
                <c:pt idx="5">
                  <c:v>6</c:v>
                </c:pt>
                <c:pt idx="6">
                  <c:v>5</c:v>
                </c:pt>
                <c:pt idx="7">
                  <c:v>5</c:v>
                </c:pt>
                <c:pt idx="8">
                  <c:v>4</c:v>
                </c:pt>
                <c:pt idx="9">
                  <c:v>5</c:v>
                </c:pt>
                <c:pt idx="10">
                  <c:v>6</c:v>
                </c:pt>
                <c:pt idx="11">
                  <c:v>6</c:v>
                </c:pt>
                <c:pt idx="12">
                  <c:v>4</c:v>
                </c:pt>
                <c:pt idx="13">
                  <c:v>6</c:v>
                </c:pt>
                <c:pt idx="14">
                  <c:v>5</c:v>
                </c:pt>
                <c:pt idx="15">
                  <c:v>5</c:v>
                </c:pt>
                <c:pt idx="16">
                  <c:v>5</c:v>
                </c:pt>
                <c:pt idx="17">
                  <c:v>6</c:v>
                </c:pt>
                <c:pt idx="18">
                  <c:v>6</c:v>
                </c:pt>
                <c:pt idx="19">
                  <c:v>5</c:v>
                </c:pt>
                <c:pt idx="20">
                  <c:v>5</c:v>
                </c:pt>
                <c:pt idx="21">
                  <c:v>6</c:v>
                </c:pt>
                <c:pt idx="22">
                  <c:v>6</c:v>
                </c:pt>
                <c:pt idx="23">
                  <c:v>5</c:v>
                </c:pt>
                <c:pt idx="24">
                  <c:v>5</c:v>
                </c:pt>
                <c:pt idx="25">
                  <c:v>5</c:v>
                </c:pt>
              </c:numCache>
            </c:numRef>
          </c:val>
          <c:extLst>
            <c:ext xmlns:c16="http://schemas.microsoft.com/office/drawing/2014/chart" uri="{C3380CC4-5D6E-409C-BE32-E72D297353CC}">
              <c16:uniqueId val="{00000000-F83C-45F5-8A1B-67B3E6F40949}"/>
            </c:ext>
          </c:extLst>
        </c:ser>
        <c:ser>
          <c:idx val="1"/>
          <c:order val="1"/>
          <c:tx>
            <c:strRef>
              <c:f>Sheet2!$G$2</c:f>
              <c:strCache>
                <c:ptCount val="1"/>
                <c:pt idx="0">
                  <c:v>Impact of Earthquakes Level </c:v>
                </c:pt>
              </c:strCache>
            </c:strRef>
          </c:tx>
          <c:spPr>
            <a:solidFill>
              <a:schemeClr val="accent2"/>
            </a:solidFill>
            <a:ln>
              <a:noFill/>
            </a:ln>
            <a:effectLst/>
          </c:spPr>
          <c:invertIfNegative val="0"/>
          <c:cat>
            <c:numRef>
              <c:f>Sheet2!$E$3:$E$28</c:f>
              <c:numCache>
                <c:formatCode>General</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cat>
          <c:val>
            <c:numRef>
              <c:f>Sheet2!$G$3:$G$28</c:f>
              <c:numCache>
                <c:formatCode>General</c:formatCode>
                <c:ptCount val="26"/>
                <c:pt idx="0">
                  <c:v>4</c:v>
                </c:pt>
                <c:pt idx="1">
                  <c:v>7</c:v>
                </c:pt>
                <c:pt idx="2">
                  <c:v>6</c:v>
                </c:pt>
                <c:pt idx="3">
                  <c:v>6</c:v>
                </c:pt>
                <c:pt idx="4">
                  <c:v>5</c:v>
                </c:pt>
                <c:pt idx="5">
                  <c:v>6</c:v>
                </c:pt>
                <c:pt idx="6">
                  <c:v>5</c:v>
                </c:pt>
                <c:pt idx="7">
                  <c:v>5</c:v>
                </c:pt>
                <c:pt idx="8">
                  <c:v>3</c:v>
                </c:pt>
                <c:pt idx="9">
                  <c:v>5</c:v>
                </c:pt>
                <c:pt idx="10">
                  <c:v>4</c:v>
                </c:pt>
                <c:pt idx="11">
                  <c:v>6</c:v>
                </c:pt>
                <c:pt idx="12">
                  <c:v>4</c:v>
                </c:pt>
                <c:pt idx="13">
                  <c:v>7</c:v>
                </c:pt>
                <c:pt idx="14">
                  <c:v>5</c:v>
                </c:pt>
                <c:pt idx="15">
                  <c:v>7</c:v>
                </c:pt>
                <c:pt idx="16">
                  <c:v>5</c:v>
                </c:pt>
                <c:pt idx="17">
                  <c:v>7</c:v>
                </c:pt>
                <c:pt idx="18">
                  <c:v>6</c:v>
                </c:pt>
                <c:pt idx="19">
                  <c:v>6</c:v>
                </c:pt>
                <c:pt idx="20">
                  <c:v>6</c:v>
                </c:pt>
                <c:pt idx="21">
                  <c:v>6</c:v>
                </c:pt>
                <c:pt idx="22">
                  <c:v>7</c:v>
                </c:pt>
                <c:pt idx="23">
                  <c:v>5</c:v>
                </c:pt>
                <c:pt idx="24">
                  <c:v>6</c:v>
                </c:pt>
                <c:pt idx="25">
                  <c:v>5</c:v>
                </c:pt>
              </c:numCache>
            </c:numRef>
          </c:val>
          <c:extLst>
            <c:ext xmlns:c16="http://schemas.microsoft.com/office/drawing/2014/chart" uri="{C3380CC4-5D6E-409C-BE32-E72D297353CC}">
              <c16:uniqueId val="{00000001-F83C-45F5-8A1B-67B3E6F40949}"/>
            </c:ext>
          </c:extLst>
        </c:ser>
        <c:dLbls>
          <c:showLegendKey val="0"/>
          <c:showVal val="0"/>
          <c:showCatName val="0"/>
          <c:showSerName val="0"/>
          <c:showPercent val="0"/>
          <c:showBubbleSize val="0"/>
        </c:dLbls>
        <c:gapWidth val="150"/>
        <c:axId val="337198624"/>
        <c:axId val="337199016"/>
      </c:barChart>
      <c:catAx>
        <c:axId val="337198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Pupil Code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199016"/>
        <c:crosses val="autoZero"/>
        <c:auto val="0"/>
        <c:lblAlgn val="ctr"/>
        <c:lblOffset val="100"/>
        <c:tickMarkSkip val="2"/>
        <c:noMultiLvlLbl val="0"/>
      </c:catAx>
      <c:valAx>
        <c:axId val="337199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Level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198624"/>
        <c:crosses val="autoZero"/>
        <c:crossBetween val="between"/>
      </c:valAx>
      <c:spPr>
        <a:noFill/>
        <a:ln>
          <a:noFill/>
        </a:ln>
        <a:effectLst/>
      </c:spPr>
    </c:plotArea>
    <c:legend>
      <c:legendPos val="r"/>
      <c:layout>
        <c:manualLayout>
          <c:xMode val="edge"/>
          <c:yMode val="edge"/>
          <c:x val="0.71608190452467602"/>
          <c:y val="0.10713521920871007"/>
          <c:w val="0.28391809547532393"/>
          <c:h val="0.1666678331875182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8654</Words>
  <Characters>49333</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Evans</dc:creator>
  <cp:keywords/>
  <dc:description/>
  <cp:lastModifiedBy>Emma Lougher</cp:lastModifiedBy>
  <cp:revision>2</cp:revision>
  <dcterms:created xsi:type="dcterms:W3CDTF">2018-05-12T15:54:00Z</dcterms:created>
  <dcterms:modified xsi:type="dcterms:W3CDTF">2018-05-12T15:54:00Z</dcterms:modified>
</cp:coreProperties>
</file>