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60DE" w:rsidRDefault="005D60DE">
      <w:pPr>
        <w:rPr>
          <w:sz w:val="40"/>
          <w:szCs w:val="40"/>
        </w:rPr>
      </w:pPr>
    </w:p>
    <w:p w:rsidR="005D60DE" w:rsidRDefault="005D60DE">
      <w:pPr>
        <w:rPr>
          <w:sz w:val="40"/>
          <w:szCs w:val="40"/>
        </w:rPr>
      </w:pPr>
    </w:p>
    <w:p w:rsidR="005D60DE" w:rsidRDefault="005D60DE">
      <w:pPr>
        <w:rPr>
          <w:sz w:val="40"/>
          <w:szCs w:val="40"/>
        </w:rPr>
      </w:pPr>
    </w:p>
    <w:p w:rsidR="005D60DE" w:rsidRDefault="005D60DE">
      <w:pPr>
        <w:rPr>
          <w:sz w:val="40"/>
          <w:szCs w:val="40"/>
        </w:rPr>
      </w:pPr>
    </w:p>
    <w:p w:rsidR="005D60DE" w:rsidRDefault="005D60DE">
      <w:pPr>
        <w:rPr>
          <w:sz w:val="40"/>
          <w:szCs w:val="40"/>
        </w:rPr>
      </w:pPr>
    </w:p>
    <w:p w:rsidR="005D60DE" w:rsidRPr="00020A74" w:rsidRDefault="00F45BF5" w:rsidP="005D60DE">
      <w:pPr>
        <w:jc w:val="center"/>
        <w:rPr>
          <w:rFonts w:cstheme="minorHAnsi"/>
          <w:b/>
          <w:sz w:val="44"/>
          <w:szCs w:val="44"/>
          <w:u w:val="single"/>
        </w:rPr>
      </w:pPr>
      <w:r>
        <w:rPr>
          <w:rFonts w:cstheme="minorHAnsi"/>
          <w:b/>
          <w:sz w:val="44"/>
          <w:szCs w:val="44"/>
          <w:u w:val="single"/>
        </w:rPr>
        <w:t xml:space="preserve">Analysis of Cylinder Head Design and Efficiency </w:t>
      </w:r>
    </w:p>
    <w:p w:rsidR="005D60DE" w:rsidRDefault="005D60DE" w:rsidP="005D60DE">
      <w:pPr>
        <w:rPr>
          <w:rFonts w:cstheme="minorHAnsi"/>
        </w:rPr>
      </w:pPr>
    </w:p>
    <w:p w:rsidR="005D60DE" w:rsidRDefault="005D60DE" w:rsidP="005D60DE">
      <w:pPr>
        <w:jc w:val="center"/>
        <w:rPr>
          <w:rFonts w:cstheme="minorHAnsi"/>
          <w:b/>
          <w:sz w:val="32"/>
          <w:szCs w:val="32"/>
          <w:u w:val="single"/>
        </w:rPr>
      </w:pPr>
    </w:p>
    <w:p w:rsidR="005D60DE" w:rsidRDefault="005D60DE" w:rsidP="005D60DE">
      <w:pPr>
        <w:jc w:val="center"/>
        <w:rPr>
          <w:rFonts w:cstheme="minorHAnsi"/>
          <w:b/>
          <w:sz w:val="32"/>
          <w:szCs w:val="32"/>
          <w:u w:val="single"/>
        </w:rPr>
      </w:pPr>
    </w:p>
    <w:p w:rsidR="005D60DE" w:rsidRDefault="005D60DE" w:rsidP="005D60DE">
      <w:pPr>
        <w:jc w:val="center"/>
        <w:rPr>
          <w:rFonts w:cstheme="minorHAnsi"/>
          <w:b/>
          <w:sz w:val="32"/>
          <w:szCs w:val="32"/>
          <w:u w:val="single"/>
        </w:rPr>
      </w:pPr>
    </w:p>
    <w:p w:rsidR="005D60DE" w:rsidRDefault="005D60DE" w:rsidP="005D60DE">
      <w:pPr>
        <w:jc w:val="center"/>
        <w:rPr>
          <w:rFonts w:cstheme="minorHAnsi"/>
          <w:b/>
          <w:sz w:val="32"/>
          <w:szCs w:val="32"/>
          <w:u w:val="single"/>
        </w:rPr>
      </w:pPr>
    </w:p>
    <w:p w:rsidR="005D60DE" w:rsidRDefault="005D60DE" w:rsidP="005D60DE">
      <w:pPr>
        <w:jc w:val="center"/>
        <w:rPr>
          <w:rFonts w:cstheme="minorHAnsi"/>
          <w:b/>
          <w:sz w:val="32"/>
          <w:szCs w:val="32"/>
          <w:u w:val="single"/>
        </w:rPr>
      </w:pPr>
    </w:p>
    <w:p w:rsidR="005D60DE" w:rsidRDefault="005D60DE" w:rsidP="005D60DE">
      <w:pPr>
        <w:jc w:val="center"/>
        <w:rPr>
          <w:rFonts w:cstheme="minorHAnsi"/>
          <w:sz w:val="32"/>
          <w:szCs w:val="32"/>
        </w:rPr>
      </w:pPr>
    </w:p>
    <w:p w:rsidR="005D60DE" w:rsidRDefault="005D60DE" w:rsidP="005D60DE">
      <w:pPr>
        <w:jc w:val="center"/>
        <w:rPr>
          <w:rFonts w:cstheme="minorHAnsi"/>
          <w:sz w:val="32"/>
          <w:szCs w:val="32"/>
        </w:rPr>
      </w:pPr>
    </w:p>
    <w:p w:rsidR="005D60DE" w:rsidRPr="00020A74" w:rsidRDefault="005D60DE" w:rsidP="005D60DE">
      <w:pPr>
        <w:jc w:val="center"/>
        <w:rPr>
          <w:rFonts w:cstheme="minorHAnsi"/>
          <w:sz w:val="32"/>
          <w:szCs w:val="32"/>
        </w:rPr>
      </w:pPr>
    </w:p>
    <w:p w:rsidR="005D60DE" w:rsidRDefault="005D60DE" w:rsidP="005D60DE">
      <w:pPr>
        <w:jc w:val="center"/>
        <w:rPr>
          <w:rFonts w:cstheme="minorHAnsi"/>
          <w:sz w:val="28"/>
          <w:szCs w:val="28"/>
        </w:rPr>
      </w:pPr>
      <w:r>
        <w:rPr>
          <w:rFonts w:cstheme="minorHAnsi"/>
          <w:sz w:val="28"/>
          <w:szCs w:val="28"/>
        </w:rPr>
        <w:t>January, 15 2019</w:t>
      </w:r>
    </w:p>
    <w:p w:rsidR="005D60DE" w:rsidRPr="0017536B" w:rsidRDefault="005D60DE" w:rsidP="005D60DE">
      <w:pPr>
        <w:jc w:val="center"/>
        <w:rPr>
          <w:rFonts w:cstheme="minorHAnsi"/>
          <w:sz w:val="28"/>
          <w:szCs w:val="28"/>
        </w:rPr>
      </w:pPr>
      <w:r w:rsidRPr="0017536B">
        <w:rPr>
          <w:rFonts w:cstheme="minorHAnsi"/>
          <w:sz w:val="28"/>
          <w:szCs w:val="28"/>
        </w:rPr>
        <w:t>School Of Engineering</w:t>
      </w:r>
    </w:p>
    <w:p w:rsidR="005D60DE" w:rsidRPr="0017536B" w:rsidRDefault="005D60DE" w:rsidP="005D60DE">
      <w:pPr>
        <w:jc w:val="center"/>
        <w:rPr>
          <w:rFonts w:cstheme="minorHAnsi"/>
          <w:sz w:val="28"/>
          <w:szCs w:val="28"/>
        </w:rPr>
      </w:pPr>
      <w:r w:rsidRPr="0017536B">
        <w:rPr>
          <w:rFonts w:cstheme="minorHAnsi"/>
          <w:sz w:val="28"/>
          <w:szCs w:val="28"/>
        </w:rPr>
        <w:t>Ashleigh Jones (1707088)</w:t>
      </w:r>
    </w:p>
    <w:p w:rsidR="00F45BF5" w:rsidRPr="0017536B" w:rsidRDefault="00F45BF5" w:rsidP="00F45BF5">
      <w:pPr>
        <w:jc w:val="center"/>
        <w:rPr>
          <w:rFonts w:cstheme="minorHAnsi"/>
          <w:sz w:val="28"/>
          <w:szCs w:val="28"/>
        </w:rPr>
      </w:pPr>
      <w:r>
        <w:rPr>
          <w:rFonts w:cstheme="minorHAnsi"/>
          <w:sz w:val="28"/>
          <w:szCs w:val="28"/>
        </w:rPr>
        <w:t xml:space="preserve">Powertrain Design and Efficiency </w:t>
      </w:r>
    </w:p>
    <w:p w:rsidR="005D60DE" w:rsidRPr="0017536B" w:rsidRDefault="005D60DE" w:rsidP="005D60DE">
      <w:pPr>
        <w:jc w:val="center"/>
        <w:rPr>
          <w:rFonts w:cstheme="minorHAnsi"/>
          <w:sz w:val="28"/>
          <w:szCs w:val="28"/>
        </w:rPr>
      </w:pPr>
      <w:r w:rsidRPr="0017536B">
        <w:rPr>
          <w:rFonts w:cstheme="minorHAnsi"/>
          <w:sz w:val="28"/>
          <w:szCs w:val="28"/>
        </w:rPr>
        <w:t>Lec</w:t>
      </w:r>
      <w:r>
        <w:rPr>
          <w:rFonts w:cstheme="minorHAnsi"/>
          <w:sz w:val="28"/>
          <w:szCs w:val="28"/>
        </w:rPr>
        <w:t>turer</w:t>
      </w:r>
      <w:r w:rsidRPr="0017536B">
        <w:rPr>
          <w:rFonts w:cstheme="minorHAnsi"/>
          <w:sz w:val="28"/>
          <w:szCs w:val="28"/>
        </w:rPr>
        <w:t xml:space="preserve">: </w:t>
      </w:r>
      <w:r>
        <w:rPr>
          <w:rFonts w:cstheme="minorHAnsi"/>
          <w:sz w:val="28"/>
          <w:szCs w:val="28"/>
        </w:rPr>
        <w:t>Pedro Monteiro Feffeira</w:t>
      </w:r>
    </w:p>
    <w:p w:rsidR="005D60DE" w:rsidRPr="0017536B" w:rsidRDefault="005D60DE" w:rsidP="005D60DE">
      <w:pPr>
        <w:jc w:val="center"/>
        <w:rPr>
          <w:rFonts w:cstheme="minorHAnsi"/>
          <w:sz w:val="28"/>
          <w:szCs w:val="28"/>
        </w:rPr>
      </w:pPr>
      <w:r w:rsidRPr="0017536B">
        <w:rPr>
          <w:rFonts w:cstheme="minorHAnsi"/>
          <w:sz w:val="28"/>
          <w:szCs w:val="28"/>
        </w:rPr>
        <w:t>Motorsport Engineering HND/BSC</w:t>
      </w:r>
    </w:p>
    <w:p w:rsidR="00F45BF5" w:rsidRDefault="00F45BF5" w:rsidP="00F45BF5">
      <w:pPr>
        <w:rPr>
          <w:rFonts w:cstheme="minorHAnsi"/>
          <w:sz w:val="28"/>
          <w:szCs w:val="28"/>
          <w:u w:val="single"/>
        </w:rPr>
      </w:pPr>
      <w:r w:rsidRPr="002C5975">
        <w:rPr>
          <w:rFonts w:cstheme="minorHAnsi"/>
          <w:sz w:val="28"/>
          <w:szCs w:val="28"/>
          <w:u w:val="single"/>
        </w:rPr>
        <w:lastRenderedPageBreak/>
        <w:t>Abstract</w:t>
      </w:r>
    </w:p>
    <w:p w:rsidR="00F45BF5" w:rsidRDefault="00F45BF5" w:rsidP="00F45BF5">
      <w:pPr>
        <w:rPr>
          <w:rFonts w:cstheme="minorHAnsi"/>
          <w:sz w:val="24"/>
          <w:szCs w:val="24"/>
        </w:rPr>
      </w:pPr>
      <w:r>
        <w:rPr>
          <w:rFonts w:cstheme="minorHAnsi"/>
          <w:sz w:val="24"/>
          <w:szCs w:val="24"/>
        </w:rPr>
        <w:t>Investigation and analysis of the different aspects which influence the design and operation of cylinder heads, mainly focusing the attention on the induction and exhaust ports.  Experiments will; be carried out on a chosen head to identify the integral differences in flow and design to ensuring a full understanding of an “ideal” cylinder head. Further comparison of the induction system used in single-carburettor, mult</w:t>
      </w:r>
      <w:r w:rsidR="00D87C54">
        <w:rPr>
          <w:rFonts w:cstheme="minorHAnsi"/>
          <w:sz w:val="24"/>
          <w:szCs w:val="24"/>
        </w:rPr>
        <w:t>i-carburettor, single and multi-</w:t>
      </w:r>
      <w:r>
        <w:rPr>
          <w:rFonts w:cstheme="minorHAnsi"/>
          <w:sz w:val="24"/>
          <w:szCs w:val="24"/>
        </w:rPr>
        <w:t>point fuel injection systems to gain further understanding the head design when presented with different fuel delivery equipment.</w:t>
      </w:r>
    </w:p>
    <w:p w:rsidR="005D60DE" w:rsidRPr="00BA448A" w:rsidRDefault="005D60DE">
      <w:pPr>
        <w:rPr>
          <w:sz w:val="24"/>
          <w:szCs w:val="24"/>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C10A31" w:rsidRDefault="00C10A31" w:rsidP="00BA448A">
      <w:pPr>
        <w:autoSpaceDE w:val="0"/>
        <w:autoSpaceDN w:val="0"/>
        <w:adjustRightInd w:val="0"/>
        <w:spacing w:after="0" w:line="240" w:lineRule="auto"/>
        <w:rPr>
          <w:rFonts w:ascii="Calibri" w:hAnsi="Calibri" w:cs="Calibri"/>
          <w:color w:val="000000"/>
          <w:sz w:val="28"/>
          <w:szCs w:val="28"/>
          <w:u w:val="single"/>
        </w:rPr>
      </w:pPr>
    </w:p>
    <w:p w:rsidR="00BA448A" w:rsidRDefault="00BA448A" w:rsidP="00BA448A">
      <w:pPr>
        <w:autoSpaceDE w:val="0"/>
        <w:autoSpaceDN w:val="0"/>
        <w:adjustRightInd w:val="0"/>
        <w:spacing w:after="0" w:line="240" w:lineRule="auto"/>
        <w:rPr>
          <w:rFonts w:ascii="Calibri" w:hAnsi="Calibri" w:cs="Calibri"/>
          <w:color w:val="000000"/>
          <w:sz w:val="28"/>
          <w:szCs w:val="28"/>
          <w:u w:val="single"/>
        </w:rPr>
      </w:pPr>
      <w:r w:rsidRPr="0011327F">
        <w:rPr>
          <w:rFonts w:ascii="Calibri" w:hAnsi="Calibri" w:cs="Calibri"/>
          <w:color w:val="000000"/>
          <w:sz w:val="28"/>
          <w:szCs w:val="28"/>
          <w:u w:val="single"/>
        </w:rPr>
        <w:lastRenderedPageBreak/>
        <w:t>Table of Contents</w:t>
      </w:r>
    </w:p>
    <w:p w:rsidR="00AE72A5" w:rsidRPr="00175359" w:rsidRDefault="00AE72A5" w:rsidP="00175359">
      <w:pPr>
        <w:tabs>
          <w:tab w:val="left" w:pos="6131"/>
          <w:tab w:val="left" w:pos="8163"/>
          <w:tab w:val="left" w:pos="8340"/>
        </w:tabs>
        <w:rPr>
          <w:rFonts w:cstheme="minorHAnsi"/>
        </w:rPr>
      </w:pPr>
      <w:r w:rsidRPr="00175359">
        <w:rPr>
          <w:rFonts w:cstheme="minorHAnsi"/>
        </w:rPr>
        <w:t xml:space="preserve">1. List of figures </w:t>
      </w:r>
      <w:r w:rsidR="00175359" w:rsidRPr="00175359">
        <w:rPr>
          <w:rFonts w:cstheme="minorHAnsi"/>
        </w:rPr>
        <w:tab/>
        <w:t>Page 4</w:t>
      </w:r>
      <w:r w:rsidR="00175359" w:rsidRPr="00175359">
        <w:rPr>
          <w:rFonts w:cstheme="minorHAnsi"/>
        </w:rPr>
        <w:tab/>
      </w:r>
      <w:r w:rsidR="00175359" w:rsidRPr="00175359">
        <w:rPr>
          <w:rFonts w:cstheme="minorHAnsi"/>
        </w:rPr>
        <w:tab/>
      </w:r>
    </w:p>
    <w:p w:rsidR="00101FE9" w:rsidRDefault="00AE72A5" w:rsidP="00101FE9">
      <w:pPr>
        <w:tabs>
          <w:tab w:val="left" w:pos="6131"/>
        </w:tabs>
        <w:rPr>
          <w:rFonts w:cstheme="minorHAnsi"/>
        </w:rPr>
      </w:pPr>
      <w:r w:rsidRPr="00175359">
        <w:rPr>
          <w:rFonts w:cstheme="minorHAnsi"/>
        </w:rPr>
        <w:t>2. Introduction</w:t>
      </w:r>
      <w:r w:rsidR="00101FE9">
        <w:rPr>
          <w:rFonts w:cstheme="minorHAnsi"/>
        </w:rPr>
        <w:tab/>
      </w:r>
      <w:r w:rsidR="00101FE9" w:rsidRPr="00175359">
        <w:rPr>
          <w:rFonts w:cstheme="minorHAnsi"/>
        </w:rPr>
        <w:t>Page 5</w:t>
      </w:r>
    </w:p>
    <w:p w:rsidR="00AE72A5" w:rsidRPr="00175359" w:rsidRDefault="00101FE9" w:rsidP="00175359">
      <w:pPr>
        <w:tabs>
          <w:tab w:val="left" w:pos="6131"/>
        </w:tabs>
        <w:rPr>
          <w:rFonts w:cstheme="minorHAnsi"/>
        </w:rPr>
      </w:pPr>
      <w:r>
        <w:rPr>
          <w:rFonts w:cstheme="minorHAnsi"/>
        </w:rPr>
        <w:t xml:space="preserve">3. Literature Review </w:t>
      </w:r>
      <w:r w:rsidR="00175359" w:rsidRPr="00175359">
        <w:rPr>
          <w:rFonts w:cstheme="minorHAnsi"/>
        </w:rPr>
        <w:tab/>
        <w:t>Page</w:t>
      </w:r>
      <w:r>
        <w:rPr>
          <w:rFonts w:cstheme="minorHAnsi"/>
        </w:rPr>
        <w:t xml:space="preserve"> </w:t>
      </w:r>
      <w:r w:rsidR="00CA769E">
        <w:rPr>
          <w:rFonts w:cstheme="minorHAnsi"/>
        </w:rPr>
        <w:t>7</w:t>
      </w:r>
    </w:p>
    <w:p w:rsidR="00175359" w:rsidRPr="00175359" w:rsidRDefault="00101FE9" w:rsidP="00175359">
      <w:pPr>
        <w:tabs>
          <w:tab w:val="left" w:pos="6131"/>
        </w:tabs>
      </w:pPr>
      <w:r>
        <w:t>4</w:t>
      </w:r>
      <w:r w:rsidR="00AE72A5" w:rsidRPr="00175359">
        <w:t xml:space="preserve">. Factors </w:t>
      </w:r>
      <w:r w:rsidR="00175359" w:rsidRPr="00175359">
        <w:t>that</w:t>
      </w:r>
      <w:r w:rsidR="00AE72A5" w:rsidRPr="00175359">
        <w:t xml:space="preserve"> influence the design and operation of inlet and </w:t>
      </w:r>
      <w:r w:rsidR="00175359" w:rsidRPr="00175359">
        <w:tab/>
      </w:r>
      <w:r w:rsidR="00175359" w:rsidRPr="00175359">
        <w:rPr>
          <w:rFonts w:cstheme="minorHAnsi"/>
        </w:rPr>
        <w:t xml:space="preserve">Page </w:t>
      </w:r>
      <w:r w:rsidR="00CA769E">
        <w:rPr>
          <w:rFonts w:cstheme="minorHAnsi"/>
        </w:rPr>
        <w:t>8</w:t>
      </w:r>
    </w:p>
    <w:p w:rsidR="00AE72A5" w:rsidRPr="00175359" w:rsidRDefault="00AE72A5" w:rsidP="00AE72A5">
      <w:r w:rsidRPr="00175359">
        <w:t xml:space="preserve">exhaust manifolds </w:t>
      </w:r>
    </w:p>
    <w:p w:rsidR="00175359" w:rsidRPr="00175359" w:rsidRDefault="00101FE9" w:rsidP="00175359">
      <w:pPr>
        <w:tabs>
          <w:tab w:val="left" w:pos="6122"/>
        </w:tabs>
        <w:rPr>
          <w:rFonts w:cstheme="minorHAnsi"/>
        </w:rPr>
      </w:pPr>
      <w:r>
        <w:rPr>
          <w:rFonts w:cstheme="minorHAnsi"/>
        </w:rPr>
        <w:t>5</w:t>
      </w:r>
      <w:r w:rsidR="00AE72A5" w:rsidRPr="00175359">
        <w:rPr>
          <w:rFonts w:cstheme="minorHAnsi"/>
        </w:rPr>
        <w:t xml:space="preserve">. Comparison between single-carburettor, multi-carburettor, </w:t>
      </w:r>
      <w:r w:rsidR="00175359" w:rsidRPr="00175359">
        <w:rPr>
          <w:rFonts w:cstheme="minorHAnsi"/>
        </w:rPr>
        <w:tab/>
        <w:t xml:space="preserve">Page </w:t>
      </w:r>
      <w:r>
        <w:rPr>
          <w:rFonts w:cstheme="minorHAnsi"/>
        </w:rPr>
        <w:t>8</w:t>
      </w:r>
    </w:p>
    <w:p w:rsidR="00AE72A5" w:rsidRPr="00175359" w:rsidRDefault="00AE72A5" w:rsidP="00AE72A5">
      <w:pPr>
        <w:rPr>
          <w:rFonts w:cstheme="minorHAnsi"/>
        </w:rPr>
      </w:pPr>
      <w:r w:rsidRPr="00175359">
        <w:rPr>
          <w:rFonts w:cstheme="minorHAnsi"/>
        </w:rPr>
        <w:t>single and multi-point fuel injection systems</w:t>
      </w:r>
    </w:p>
    <w:p w:rsidR="00AE72A5" w:rsidRPr="00175359" w:rsidRDefault="00101FE9" w:rsidP="00175359">
      <w:pPr>
        <w:tabs>
          <w:tab w:val="left" w:pos="6122"/>
        </w:tabs>
      </w:pPr>
      <w:r>
        <w:t>6</w:t>
      </w:r>
      <w:r w:rsidR="00AE72A5" w:rsidRPr="00175359">
        <w:t xml:space="preserve">. Method </w:t>
      </w:r>
      <w:r w:rsidR="00175359" w:rsidRPr="00175359">
        <w:tab/>
      </w:r>
      <w:r w:rsidR="00175359" w:rsidRPr="00175359">
        <w:rPr>
          <w:rFonts w:cstheme="minorHAnsi"/>
        </w:rPr>
        <w:t xml:space="preserve">Page </w:t>
      </w:r>
      <w:r>
        <w:rPr>
          <w:rFonts w:cstheme="minorHAnsi"/>
        </w:rPr>
        <w:t>9-1</w:t>
      </w:r>
      <w:r w:rsidR="00CA769E">
        <w:rPr>
          <w:rFonts w:cstheme="minorHAnsi"/>
        </w:rPr>
        <w:t>0</w:t>
      </w:r>
    </w:p>
    <w:p w:rsidR="00AE72A5" w:rsidRPr="00175359" w:rsidRDefault="00101FE9" w:rsidP="00175359">
      <w:pPr>
        <w:tabs>
          <w:tab w:val="left" w:pos="6122"/>
        </w:tabs>
      </w:pPr>
      <w:r>
        <w:t>7</w:t>
      </w:r>
      <w:r w:rsidR="00AE72A5" w:rsidRPr="00175359">
        <w:t>. Analysis</w:t>
      </w:r>
      <w:r w:rsidR="00175359" w:rsidRPr="00175359">
        <w:tab/>
      </w:r>
      <w:r w:rsidR="00175359" w:rsidRPr="00175359">
        <w:rPr>
          <w:rFonts w:cstheme="minorHAnsi"/>
        </w:rPr>
        <w:t xml:space="preserve">Page </w:t>
      </w:r>
      <w:r>
        <w:rPr>
          <w:rFonts w:cstheme="minorHAnsi"/>
        </w:rPr>
        <w:t>1</w:t>
      </w:r>
      <w:r w:rsidR="00CA769E">
        <w:rPr>
          <w:rFonts w:cstheme="minorHAnsi"/>
        </w:rPr>
        <w:t>1</w:t>
      </w:r>
      <w:r w:rsidR="00175359" w:rsidRPr="00175359">
        <w:rPr>
          <w:rFonts w:cstheme="minorHAnsi"/>
        </w:rPr>
        <w:t>-</w:t>
      </w:r>
      <w:r w:rsidR="00CA769E">
        <w:rPr>
          <w:rFonts w:cstheme="minorHAnsi"/>
        </w:rPr>
        <w:t>18</w:t>
      </w:r>
    </w:p>
    <w:p w:rsidR="00AE72A5" w:rsidRPr="00175359" w:rsidRDefault="00101FE9" w:rsidP="00175359">
      <w:pPr>
        <w:tabs>
          <w:tab w:val="left" w:pos="6122"/>
        </w:tabs>
      </w:pPr>
      <w:r>
        <w:t>8</w:t>
      </w:r>
      <w:r w:rsidR="00AE72A5" w:rsidRPr="00175359">
        <w:t xml:space="preserve">. Conclusion  </w:t>
      </w:r>
      <w:r w:rsidR="00175359" w:rsidRPr="00175359">
        <w:tab/>
      </w:r>
      <w:r w:rsidR="00175359" w:rsidRPr="00175359">
        <w:rPr>
          <w:rFonts w:cstheme="minorHAnsi"/>
        </w:rPr>
        <w:t>Page</w:t>
      </w:r>
      <w:r w:rsidR="00CA769E">
        <w:rPr>
          <w:rFonts w:cstheme="minorHAnsi"/>
        </w:rPr>
        <w:t xml:space="preserve"> 19</w:t>
      </w:r>
    </w:p>
    <w:p w:rsidR="00AE72A5" w:rsidRPr="00175359" w:rsidRDefault="00101FE9" w:rsidP="00175359">
      <w:pPr>
        <w:tabs>
          <w:tab w:val="left" w:pos="6122"/>
        </w:tabs>
      </w:pPr>
      <w:r>
        <w:t>9</w:t>
      </w:r>
      <w:r w:rsidR="00AE72A5" w:rsidRPr="00175359">
        <w:t xml:space="preserve"> .Bibliography </w:t>
      </w:r>
      <w:r w:rsidR="00175359" w:rsidRPr="00175359">
        <w:tab/>
      </w:r>
      <w:r w:rsidR="00175359" w:rsidRPr="00175359">
        <w:rPr>
          <w:rFonts w:cstheme="minorHAnsi"/>
        </w:rPr>
        <w:t>Page</w:t>
      </w:r>
      <w:r w:rsidR="00CA769E">
        <w:rPr>
          <w:rFonts w:cstheme="minorHAnsi"/>
        </w:rPr>
        <w:t xml:space="preserve"> 20</w:t>
      </w:r>
    </w:p>
    <w:p w:rsidR="00AE72A5" w:rsidRDefault="00AE72A5" w:rsidP="00AE72A5">
      <w:pPr>
        <w:rPr>
          <w:rFonts w:cstheme="minorHAnsi"/>
          <w:b/>
          <w:u w:val="single"/>
        </w:rPr>
      </w:pPr>
    </w:p>
    <w:p w:rsidR="00AE72A5" w:rsidRPr="00D564E3" w:rsidRDefault="00AE72A5" w:rsidP="00AE72A5">
      <w:pPr>
        <w:rPr>
          <w:rFonts w:cstheme="minorHAnsi"/>
          <w:b/>
          <w:u w:val="single"/>
        </w:rPr>
      </w:pPr>
    </w:p>
    <w:p w:rsidR="005D60DE" w:rsidRDefault="005D60DE">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AE72A5" w:rsidRPr="00BA448A" w:rsidRDefault="00AE72A5">
      <w:pPr>
        <w:rPr>
          <w:sz w:val="24"/>
          <w:szCs w:val="24"/>
        </w:rPr>
      </w:pPr>
    </w:p>
    <w:p w:rsidR="00BA448A" w:rsidRPr="00D564E3" w:rsidRDefault="00BA448A" w:rsidP="00BA448A">
      <w:pPr>
        <w:rPr>
          <w:rFonts w:cstheme="minorHAnsi"/>
          <w:b/>
          <w:u w:val="single"/>
        </w:rPr>
      </w:pPr>
      <w:r w:rsidRPr="00D564E3">
        <w:rPr>
          <w:rFonts w:cstheme="minorHAnsi"/>
          <w:b/>
          <w:u w:val="single"/>
        </w:rPr>
        <w:t xml:space="preserve">1. List of figures </w:t>
      </w:r>
    </w:p>
    <w:p w:rsidR="00C10A31" w:rsidRDefault="00C10A31" w:rsidP="00381A3F">
      <w:pPr>
        <w:tabs>
          <w:tab w:val="left" w:pos="7916"/>
        </w:tabs>
      </w:pPr>
      <w:r>
        <w:t>Fig 1: Results and conversion for the modified head on the intake side.</w:t>
      </w:r>
      <w:r w:rsidR="00381A3F">
        <w:tab/>
        <w:t xml:space="preserve">Page </w:t>
      </w:r>
      <w:r w:rsidR="00CA769E">
        <w:t>11</w:t>
      </w:r>
    </w:p>
    <w:p w:rsidR="00381A3F" w:rsidRDefault="00C10A31" w:rsidP="00381A3F">
      <w:pPr>
        <w:tabs>
          <w:tab w:val="left" w:pos="7916"/>
        </w:tabs>
      </w:pPr>
      <w:r>
        <w:t>Fig 2: Results and conversion for the modified head on the Exhaust side.</w:t>
      </w:r>
      <w:r w:rsidR="00381A3F">
        <w:tab/>
        <w:t>Page</w:t>
      </w:r>
      <w:r w:rsidR="00CA769E">
        <w:t xml:space="preserve"> 11</w:t>
      </w:r>
    </w:p>
    <w:p w:rsidR="00C10A31" w:rsidRDefault="00C10A31" w:rsidP="00381A3F">
      <w:pPr>
        <w:tabs>
          <w:tab w:val="left" w:pos="7916"/>
        </w:tabs>
      </w:pPr>
      <w:r>
        <w:t>Fig 3: Results and conversion for the standard head on the intake side.</w:t>
      </w:r>
      <w:r w:rsidR="00381A3F">
        <w:tab/>
        <w:t>Page</w:t>
      </w:r>
      <w:r w:rsidR="00CA769E">
        <w:t xml:space="preserve"> 11</w:t>
      </w:r>
    </w:p>
    <w:p w:rsidR="00C10A31" w:rsidRDefault="00C10A31" w:rsidP="00381A3F">
      <w:pPr>
        <w:tabs>
          <w:tab w:val="left" w:pos="7916"/>
        </w:tabs>
      </w:pPr>
      <w:r>
        <w:t>Fig 4: Results and conversion for the standard head on the exhaust side.</w:t>
      </w:r>
      <w:r w:rsidR="00381A3F">
        <w:tab/>
        <w:t>Page</w:t>
      </w:r>
      <w:r w:rsidR="00CA769E">
        <w:t xml:space="preserve"> 11</w:t>
      </w:r>
    </w:p>
    <w:p w:rsidR="00C10A31" w:rsidRDefault="00C10A31" w:rsidP="00381A3F">
      <w:pPr>
        <w:tabs>
          <w:tab w:val="left" w:pos="7916"/>
        </w:tabs>
      </w:pPr>
      <w:r>
        <w:t>Fig 5: Table illustrating the results from the volumetric flow rate on the</w:t>
      </w:r>
      <w:r w:rsidR="00381A3F">
        <w:tab/>
        <w:t>Page</w:t>
      </w:r>
      <w:r w:rsidR="00CA769E">
        <w:t xml:space="preserve"> 12</w:t>
      </w:r>
    </w:p>
    <w:p w:rsidR="00C10A31" w:rsidRDefault="00C10A31" w:rsidP="00C10A31">
      <w:r>
        <w:t xml:space="preserve"> Standard and modified head.</w:t>
      </w:r>
    </w:p>
    <w:p w:rsidR="00C10A31" w:rsidRDefault="00C10A31" w:rsidP="00381A3F">
      <w:pPr>
        <w:tabs>
          <w:tab w:val="left" w:pos="7942"/>
        </w:tabs>
      </w:pPr>
      <w:r>
        <w:t xml:space="preserve">Fig 6: Table illustrating the results from the volumetric flow rate on the </w:t>
      </w:r>
      <w:r w:rsidR="00381A3F">
        <w:tab/>
        <w:t>Page</w:t>
      </w:r>
      <w:r w:rsidR="00CA769E">
        <w:t xml:space="preserve"> 12</w:t>
      </w:r>
    </w:p>
    <w:p w:rsidR="00C10A31" w:rsidRDefault="00C10A31" w:rsidP="00C10A31">
      <w:r>
        <w:t>standard and modified head.</w:t>
      </w:r>
    </w:p>
    <w:p w:rsidR="00C10A31" w:rsidRDefault="00C10A31" w:rsidP="00381A3F">
      <w:pPr>
        <w:tabs>
          <w:tab w:val="left" w:pos="7933"/>
        </w:tabs>
      </w:pPr>
      <w:r>
        <w:t>Fig 7: Graph comparing the standard and modified head on the intake.</w:t>
      </w:r>
      <w:r w:rsidR="00381A3F">
        <w:tab/>
        <w:t>Page</w:t>
      </w:r>
      <w:r w:rsidR="00CA769E">
        <w:t xml:space="preserve"> 13</w:t>
      </w:r>
    </w:p>
    <w:p w:rsidR="00C10A31" w:rsidRDefault="00C10A31" w:rsidP="00381A3F">
      <w:pPr>
        <w:tabs>
          <w:tab w:val="left" w:pos="7933"/>
        </w:tabs>
      </w:pPr>
      <w:r>
        <w:t>Fig 8: Graph comparing the standard and modified head on the exhaust.</w:t>
      </w:r>
      <w:r w:rsidR="00381A3F">
        <w:tab/>
        <w:t>Page</w:t>
      </w:r>
      <w:r w:rsidR="00AE72A5">
        <w:t xml:space="preserve"> 1</w:t>
      </w:r>
      <w:r w:rsidR="00CA769E">
        <w:t>4</w:t>
      </w:r>
    </w:p>
    <w:p w:rsidR="00C10A31" w:rsidRDefault="00C10A31" w:rsidP="00381A3F">
      <w:pPr>
        <w:tabs>
          <w:tab w:val="left" w:pos="7933"/>
        </w:tabs>
      </w:pPr>
      <w:r>
        <w:t xml:space="preserve">Fig 9: Table of the intake flow velocity </w:t>
      </w:r>
      <w:r w:rsidR="00381A3F">
        <w:tab/>
        <w:t>Page 1</w:t>
      </w:r>
      <w:r w:rsidR="00CA769E">
        <w:t>4</w:t>
      </w:r>
    </w:p>
    <w:p w:rsidR="00C10A31" w:rsidRDefault="00C10A31" w:rsidP="00381A3F">
      <w:pPr>
        <w:tabs>
          <w:tab w:val="left" w:pos="7933"/>
        </w:tabs>
      </w:pPr>
      <w:r>
        <w:t xml:space="preserve">Fig 10: Table of the exhaust flow velocity </w:t>
      </w:r>
      <w:r w:rsidR="00381A3F">
        <w:tab/>
        <w:t>Page</w:t>
      </w:r>
      <w:r w:rsidR="00CA769E">
        <w:t xml:space="preserve"> 15</w:t>
      </w:r>
    </w:p>
    <w:p w:rsidR="00C10A31" w:rsidRDefault="00C10A31" w:rsidP="00381A3F">
      <w:pPr>
        <w:tabs>
          <w:tab w:val="left" w:pos="7933"/>
        </w:tabs>
      </w:pPr>
      <w:r>
        <w:t>Fig 11: Intake flow velocity graph for modified and standard heads</w:t>
      </w:r>
      <w:r w:rsidR="00381A3F">
        <w:tab/>
        <w:t>Page</w:t>
      </w:r>
      <w:r w:rsidR="00CA769E">
        <w:t xml:space="preserve"> 15</w:t>
      </w:r>
    </w:p>
    <w:p w:rsidR="00C10A31" w:rsidRDefault="00C10A31" w:rsidP="00381A3F">
      <w:pPr>
        <w:tabs>
          <w:tab w:val="left" w:pos="7933"/>
        </w:tabs>
      </w:pPr>
      <w:r>
        <w:t>Fig 12: Exhaust flow velocity on the standard and modified head</w:t>
      </w:r>
      <w:r w:rsidR="00381A3F">
        <w:tab/>
        <w:t xml:space="preserve">Page </w:t>
      </w:r>
      <w:r w:rsidR="00CA769E">
        <w:t>16</w:t>
      </w:r>
    </w:p>
    <w:p w:rsidR="00C10A31" w:rsidRDefault="00C10A31" w:rsidP="00381A3F">
      <w:pPr>
        <w:tabs>
          <w:tab w:val="left" w:pos="7933"/>
        </w:tabs>
      </w:pPr>
      <w:r>
        <w:t xml:space="preserve">Fig 13: Table showing the co-efficient of discharge on the intake </w:t>
      </w:r>
      <w:r w:rsidR="00381A3F">
        <w:tab/>
        <w:t xml:space="preserve">Page </w:t>
      </w:r>
      <w:r w:rsidR="00CA769E">
        <w:t>16</w:t>
      </w:r>
      <w:r w:rsidR="00381A3F">
        <w:t xml:space="preserve"> </w:t>
      </w:r>
    </w:p>
    <w:p w:rsidR="00C10A31" w:rsidRDefault="00C10A31" w:rsidP="00381A3F">
      <w:pPr>
        <w:tabs>
          <w:tab w:val="left" w:pos="7933"/>
        </w:tabs>
      </w:pPr>
      <w:r>
        <w:t>Fig 14: Table showing the co-efficient of discharge on the exhaust</w:t>
      </w:r>
      <w:r w:rsidR="00381A3F">
        <w:tab/>
        <w:t>Page</w:t>
      </w:r>
      <w:r w:rsidR="00CA769E">
        <w:t xml:space="preserve"> 17</w:t>
      </w:r>
    </w:p>
    <w:p w:rsidR="00C10A31" w:rsidRDefault="00C10A31" w:rsidP="00381A3F">
      <w:pPr>
        <w:tabs>
          <w:tab w:val="left" w:pos="7933"/>
        </w:tabs>
      </w:pPr>
      <w:r>
        <w:t xml:space="preserve">Fig 15: Graph of co-efficient of discharge of the intake.  </w:t>
      </w:r>
      <w:r w:rsidR="00381A3F">
        <w:tab/>
        <w:t>Page</w:t>
      </w:r>
      <w:r w:rsidR="00CA769E">
        <w:t>17</w:t>
      </w:r>
    </w:p>
    <w:p w:rsidR="00C10A31" w:rsidRDefault="00C10A31" w:rsidP="00381A3F">
      <w:pPr>
        <w:tabs>
          <w:tab w:val="left" w:pos="7933"/>
        </w:tabs>
      </w:pPr>
      <w:r>
        <w:t xml:space="preserve">Fig 16: Graph of Co-efficient of discharge on the exhaust </w:t>
      </w:r>
      <w:r w:rsidR="00381A3F">
        <w:tab/>
        <w:t>Page</w:t>
      </w:r>
      <w:r w:rsidR="00CA769E">
        <w:t>18</w:t>
      </w:r>
    </w:p>
    <w:p w:rsidR="00C10A31" w:rsidRDefault="00C10A31" w:rsidP="00C10A31"/>
    <w:p w:rsidR="00BA448A" w:rsidRPr="00D564E3" w:rsidRDefault="00BA448A" w:rsidP="00BA448A">
      <w:pPr>
        <w:tabs>
          <w:tab w:val="left" w:pos="8232"/>
        </w:tabs>
        <w:rPr>
          <w:rFonts w:cstheme="minorHAnsi"/>
        </w:rPr>
      </w:pPr>
      <w:r w:rsidRPr="00D564E3">
        <w:rPr>
          <w:rFonts w:cstheme="minorHAnsi"/>
        </w:rPr>
        <w:tab/>
      </w:r>
    </w:p>
    <w:p w:rsidR="005D60DE" w:rsidRDefault="005D60DE">
      <w:pPr>
        <w:rPr>
          <w:sz w:val="24"/>
          <w:szCs w:val="24"/>
        </w:rPr>
      </w:pPr>
    </w:p>
    <w:p w:rsidR="00C10A31" w:rsidRDefault="00C10A31">
      <w:pPr>
        <w:rPr>
          <w:sz w:val="24"/>
          <w:szCs w:val="24"/>
        </w:rPr>
      </w:pPr>
    </w:p>
    <w:p w:rsidR="00AE72A5" w:rsidRDefault="00AE72A5">
      <w:pPr>
        <w:rPr>
          <w:sz w:val="24"/>
          <w:szCs w:val="24"/>
        </w:rPr>
      </w:pPr>
    </w:p>
    <w:p w:rsidR="00AE72A5" w:rsidRDefault="00AE72A5">
      <w:pPr>
        <w:rPr>
          <w:sz w:val="24"/>
          <w:szCs w:val="24"/>
        </w:rPr>
      </w:pPr>
    </w:p>
    <w:p w:rsidR="00AE72A5" w:rsidRDefault="00AE72A5">
      <w:pPr>
        <w:rPr>
          <w:sz w:val="24"/>
          <w:szCs w:val="24"/>
        </w:rPr>
      </w:pPr>
    </w:p>
    <w:p w:rsidR="00C10A31" w:rsidRPr="00BA448A" w:rsidRDefault="00C10A31">
      <w:pPr>
        <w:rPr>
          <w:sz w:val="24"/>
          <w:szCs w:val="24"/>
        </w:rPr>
      </w:pPr>
    </w:p>
    <w:p w:rsidR="00BA448A" w:rsidRDefault="00BA448A" w:rsidP="00BA448A">
      <w:pPr>
        <w:rPr>
          <w:rFonts w:cstheme="minorHAnsi"/>
          <w:b/>
          <w:u w:val="single"/>
        </w:rPr>
      </w:pPr>
      <w:r w:rsidRPr="00214507">
        <w:rPr>
          <w:rFonts w:cstheme="minorHAnsi"/>
          <w:b/>
          <w:u w:val="single"/>
        </w:rPr>
        <w:t>2. Introduction</w:t>
      </w:r>
    </w:p>
    <w:p w:rsidR="00C10A31" w:rsidRPr="00214507" w:rsidRDefault="00C10A31" w:rsidP="00BA448A">
      <w:pPr>
        <w:rPr>
          <w:rFonts w:cstheme="minorHAnsi"/>
          <w:b/>
          <w:u w:val="single"/>
        </w:rPr>
      </w:pPr>
    </w:p>
    <w:p w:rsidR="005D60DE" w:rsidRPr="00214507" w:rsidRDefault="00BA448A">
      <w:r w:rsidRPr="00214507">
        <w:t>Cylinder head the mos</w:t>
      </w:r>
      <w:r w:rsidR="008967AD" w:rsidRPr="00214507">
        <w:t>t vital component on the engine</w:t>
      </w:r>
      <w:r w:rsidRPr="00214507">
        <w:t xml:space="preserve">. </w:t>
      </w:r>
      <w:r w:rsidR="008967AD" w:rsidRPr="00214507">
        <w:t xml:space="preserve"> This component sits above the cylinders on the cylinder block which encloses the top of the cylinder.  A head gasket is used in-between the cylinder block and the cylinder head to create a gas tight seal.  The basic cylinder head composes of inlet and exhaust ports as well as poppet valves.  Additionally a camshaft is used in conjunction to the spring loaded poppet valves, to create a system to open and close the valves at precise time intervals.  Without the use of poppet valves, the engine would not </w:t>
      </w:r>
      <w:r w:rsidR="00726D4B" w:rsidRPr="00214507">
        <w:t>be able</w:t>
      </w:r>
      <w:r w:rsidR="008967AD" w:rsidRPr="00214507">
        <w:t xml:space="preserve"> to create the necessary compression needed for combustion and wouldn’t allow exhaust </w:t>
      </w:r>
      <w:r w:rsidR="00726D4B" w:rsidRPr="00214507">
        <w:t>and inlet gases to pass.</w:t>
      </w:r>
    </w:p>
    <w:p w:rsidR="00F5034A" w:rsidRDefault="00726D4B">
      <w:r w:rsidRPr="00214507">
        <w:t xml:space="preserve">The poppet valve is the most efficient method of sealing the inlet and exhausts ports.  This is due to the combined loaded spring to return and seal the valve just enough to </w:t>
      </w:r>
      <w:r w:rsidR="008F2558" w:rsidRPr="00214507">
        <w:t>ensure</w:t>
      </w:r>
      <w:r w:rsidRPr="00214507">
        <w:t xml:space="preserve"> </w:t>
      </w:r>
      <w:r w:rsidR="009A1C09" w:rsidRPr="00214507">
        <w:t>an</w:t>
      </w:r>
      <w:r w:rsidRPr="00214507">
        <w:t xml:space="preserve"> adequate seal. </w:t>
      </w:r>
      <w:r w:rsidR="008F2558" w:rsidRPr="00214507">
        <w:t xml:space="preserve"> The valve hasn’t changed its basic design for many years but smaller alterations in the dynamics have been made. An example of a refined valve design is the use of a smaller but stronger centre shaft to reduce the cross sectional area of the valve stems to increase flow.  The valve although is relatively efficient in function lacks in flow due to the centre stem.  Other methods are investigated to increase inlet and exhaust flow.  Increasing and the size of the inlet and exhaust ports is one of the most basic but effective method in increasing flow.  By reducing the amount of wal</w:t>
      </w:r>
      <w:r w:rsidR="0039619F" w:rsidRPr="00214507">
        <w:t xml:space="preserve">l material, increases the size of the port.  This allows for more gasses to travel through the port allowing the engine to increase the amount of air that enters the cylinder as well </w:t>
      </w:r>
      <w:r w:rsidR="009A1C09" w:rsidRPr="00214507">
        <w:t>an</w:t>
      </w:r>
      <w:r w:rsidR="0039619F" w:rsidRPr="00214507">
        <w:t xml:space="preserve"> increasing the amount of exhaust gasses that exits the engine cylinder. A series of test will be caries out to investigate the fundamental differences between standard </w:t>
      </w:r>
      <w:r w:rsidR="0020059B" w:rsidRPr="00214507">
        <w:t xml:space="preserve">and modifies ports, focusing on the flow characteristics. </w:t>
      </w:r>
    </w:p>
    <w:p w:rsidR="00006B7E" w:rsidRDefault="00006B7E">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CA769E" w:rsidRDefault="00CA769E">
      <w:pPr>
        <w:rPr>
          <w:b/>
          <w:u w:val="single"/>
        </w:rPr>
      </w:pPr>
    </w:p>
    <w:p w:rsidR="00006B7E" w:rsidRPr="00006B7E" w:rsidRDefault="009A1C09">
      <w:pPr>
        <w:rPr>
          <w:b/>
          <w:u w:val="single"/>
        </w:rPr>
      </w:pPr>
      <w:r>
        <w:rPr>
          <w:b/>
          <w:u w:val="single"/>
        </w:rPr>
        <w:lastRenderedPageBreak/>
        <w:t>3.</w:t>
      </w:r>
      <w:r w:rsidRPr="00006B7E">
        <w:rPr>
          <w:b/>
          <w:u w:val="single"/>
        </w:rPr>
        <w:t xml:space="preserve"> Literature</w:t>
      </w:r>
      <w:r w:rsidR="00006B7E" w:rsidRPr="00006B7E">
        <w:rPr>
          <w:b/>
          <w:u w:val="single"/>
        </w:rPr>
        <w:t xml:space="preserve"> review </w:t>
      </w:r>
    </w:p>
    <w:p w:rsidR="00006B7E" w:rsidRPr="00006B7E" w:rsidRDefault="00006B7E" w:rsidP="00006B7E">
      <w:r w:rsidRPr="00006B7E">
        <w:t>A study by </w:t>
      </w:r>
      <w:bookmarkStart w:id="0" w:name="bbb0065"/>
      <w:r w:rsidRPr="00006B7E">
        <w:t>Tan et al. (2009)</w:t>
      </w:r>
      <w:bookmarkEnd w:id="0"/>
      <w:r w:rsidRPr="00006B7E">
        <w:t> was conducted to determine the discharge coefficients of two-phase flow using a V-cone flow meter. The study found that the Reynolds numbers ranging from 25,000 to 85,000 had a discharge coefficients of 0.8–0.85 respectively, with an average value of 0.83.</w:t>
      </w:r>
    </w:p>
    <w:p w:rsidR="00006B7E" w:rsidRPr="00006B7E" w:rsidRDefault="00006B7E" w:rsidP="00006B7E">
      <w:r w:rsidRPr="00006B7E">
        <w:t xml:space="preserve">“Most conventional </w:t>
      </w:r>
      <w:r w:rsidR="009A1C09" w:rsidRPr="00006B7E">
        <w:t>carburettors</w:t>
      </w:r>
      <w:r w:rsidRPr="00006B7E">
        <w:t xml:space="preserve"> do not deliver optimum, uniform mixtures to every cylinder at different operating conditions. Optimum fuel–air ratio at any given speed is that which will develop the required torque, or brake mean effective pressure, with the lowest fuel consumption consistent with smooth and reliable operation. Mixture strength varies from cylinder to cylinder and from cycle to cycle. This is due to insufficient mixing and vaporization of fuel in air in the intake manifold. In summary, a conventional </w:t>
      </w:r>
      <w:r w:rsidR="009A1C09" w:rsidRPr="00006B7E">
        <w:t>carburettor</w:t>
      </w:r>
      <w:r w:rsidRPr="00006B7E">
        <w:t xml:space="preserve"> under normal operating conditions supplies the engine with a </w:t>
      </w:r>
      <w:r w:rsidRPr="00006B7E">
        <w:rPr>
          <w:rFonts w:cstheme="minorHAnsi"/>
        </w:rPr>
        <w:t xml:space="preserve">nonhomogeneous mixture containing part of the fuel in a liquid form which, if not completely evaporated before combustion, can cause cyclic variation, increase the concentration of unburned hydrocarbons” </w:t>
      </w:r>
      <w:r w:rsidRPr="00006B7E">
        <w:rPr>
          <w:rFonts w:cstheme="minorHAnsi"/>
          <w:color w:val="000000"/>
          <w:shd w:val="clear" w:color="auto" w:fill="FFFFFF"/>
        </w:rPr>
        <w:t>(Abu-Qudais, Asfar and Al-Azzam, 2001)</w:t>
      </w:r>
    </w:p>
    <w:p w:rsidR="00006B7E" w:rsidRDefault="00006B7E">
      <w:pPr>
        <w:rPr>
          <w:b/>
          <w:u w:val="single"/>
        </w:rPr>
      </w:pPr>
    </w:p>
    <w:p w:rsidR="00006B7E" w:rsidRDefault="00006B7E">
      <w:pPr>
        <w:rPr>
          <w:b/>
          <w:u w:val="single"/>
        </w:rPr>
      </w:pPr>
    </w:p>
    <w:p w:rsidR="00006B7E" w:rsidRDefault="00006B7E">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101FE9" w:rsidRDefault="00101FE9">
      <w:pPr>
        <w:rPr>
          <w:b/>
          <w:u w:val="single"/>
        </w:rPr>
      </w:pPr>
    </w:p>
    <w:p w:rsidR="00CA769E" w:rsidRDefault="00CA769E">
      <w:pPr>
        <w:rPr>
          <w:b/>
          <w:u w:val="single"/>
        </w:rPr>
      </w:pPr>
    </w:p>
    <w:p w:rsidR="00DF55B5" w:rsidRDefault="00C10A31">
      <w:pPr>
        <w:rPr>
          <w:b/>
          <w:u w:val="single"/>
        </w:rPr>
      </w:pPr>
      <w:r>
        <w:rPr>
          <w:b/>
          <w:u w:val="single"/>
        </w:rPr>
        <w:lastRenderedPageBreak/>
        <w:t xml:space="preserve">3. </w:t>
      </w:r>
      <w:r w:rsidR="00F5034A" w:rsidRPr="00214507">
        <w:rPr>
          <w:b/>
          <w:u w:val="single"/>
        </w:rPr>
        <w:t xml:space="preserve">Factors That influence the design and operation of inlet and exhaust manifolds </w:t>
      </w:r>
    </w:p>
    <w:p w:rsidR="00C10A31" w:rsidRPr="00214507" w:rsidRDefault="00C10A31">
      <w:pPr>
        <w:rPr>
          <w:b/>
          <w:u w:val="single"/>
        </w:rPr>
      </w:pPr>
    </w:p>
    <w:p w:rsidR="00A35FE4" w:rsidRDefault="006114E7">
      <w:r>
        <w:t xml:space="preserve">Manifolds are one of the most important aspects in creating an efficient and powerful engine.  </w:t>
      </w:r>
    </w:p>
    <w:p w:rsidR="005B35B1" w:rsidRPr="00895D04" w:rsidRDefault="006114E7">
      <w:pPr>
        <w:rPr>
          <w:rFonts w:cstheme="minorHAnsi"/>
        </w:rPr>
      </w:pPr>
      <w:r>
        <w:t xml:space="preserve">Intake manifolds are essential to getting the air into the engine.  This component connects the carburettor or throttle body to the head of the engine.  The main goal of an efficient manifold is to get the air into the engine without any restrictions but with adequate air flow. </w:t>
      </w:r>
      <w:r w:rsidR="00351D47">
        <w:t xml:space="preserve">To achieve this, the manifold needs to be relatively straight without any bents so that the air doesn’t have any resistance.   For performance manifolds, a large pre runner plenum is created to ensure that air can build up effectively decreasing the air velocity but increasing the air pressure. This is to </w:t>
      </w:r>
      <w:r w:rsidR="00AE72A5">
        <w:t>allow</w:t>
      </w:r>
      <w:r w:rsidR="00351D47">
        <w:t xml:space="preserve"> the air </w:t>
      </w:r>
      <w:r w:rsidR="00351D47" w:rsidRPr="00895D04">
        <w:rPr>
          <w:rFonts w:cstheme="minorHAnsi"/>
        </w:rPr>
        <w:t>to be stored ready to be harnessed by the engine.</w:t>
      </w:r>
      <w:r w:rsidRPr="00895D04">
        <w:rPr>
          <w:rFonts w:cstheme="minorHAnsi"/>
        </w:rPr>
        <w:t xml:space="preserve"> Ideally with the in </w:t>
      </w:r>
      <w:r w:rsidR="009A1C09" w:rsidRPr="00895D04">
        <w:rPr>
          <w:rFonts w:cstheme="minorHAnsi"/>
        </w:rPr>
        <w:t>an</w:t>
      </w:r>
      <w:r w:rsidRPr="00895D04">
        <w:rPr>
          <w:rFonts w:cstheme="minorHAnsi"/>
        </w:rPr>
        <w:t xml:space="preserve"> intake system is to ensure that all of the components are the same diameter to reduce restriction and increase of air velocity.  Some manifolds also house the injectors. This is to ensure that the injector is as close to the valve as possible to avoid the fuel to condense on the inner walls. </w:t>
      </w:r>
      <w:r w:rsidR="003654A1" w:rsidRPr="00895D04">
        <w:rPr>
          <w:rFonts w:cstheme="minorHAnsi"/>
        </w:rPr>
        <w:t xml:space="preserve">The last aspect that can alter the </w:t>
      </w:r>
      <w:r w:rsidR="00BE2BE1" w:rsidRPr="00895D04">
        <w:rPr>
          <w:rFonts w:cstheme="minorHAnsi"/>
        </w:rPr>
        <w:t>design</w:t>
      </w:r>
      <w:r w:rsidR="003654A1" w:rsidRPr="00895D04">
        <w:rPr>
          <w:rFonts w:cstheme="minorHAnsi"/>
        </w:rPr>
        <w:t xml:space="preserve"> of a manifold is the use of sensory equipment like air intake temperature sensors and intake </w:t>
      </w:r>
      <w:r w:rsidR="00BE2BE1" w:rsidRPr="00895D04">
        <w:rPr>
          <w:rFonts w:cstheme="minorHAnsi"/>
        </w:rPr>
        <w:t>pressure</w:t>
      </w:r>
      <w:r w:rsidR="003654A1" w:rsidRPr="00895D04">
        <w:rPr>
          <w:rFonts w:cstheme="minorHAnsi"/>
        </w:rPr>
        <w:t xml:space="preserve"> sensors.  This is vital to allow the ECU to understand the air quality that is entering the engine to understand the amount of fuel that should be used. </w:t>
      </w:r>
      <w:r w:rsidR="00E41FAE" w:rsidRPr="00895D04">
        <w:rPr>
          <w:rFonts w:cstheme="minorHAnsi"/>
          <w:color w:val="000000"/>
          <w:shd w:val="clear" w:color="auto" w:fill="FFFFFF"/>
        </w:rPr>
        <w:t>(Kao and Moskwa, 1994)</w:t>
      </w:r>
    </w:p>
    <w:p w:rsidR="00BE2BE1" w:rsidRPr="00895D04" w:rsidRDefault="00BE2BE1">
      <w:pPr>
        <w:rPr>
          <w:rFonts w:cstheme="minorHAnsi"/>
        </w:rPr>
      </w:pPr>
    </w:p>
    <w:p w:rsidR="00BE2BE1" w:rsidRPr="00895D04" w:rsidRDefault="00A35FE4">
      <w:pPr>
        <w:rPr>
          <w:rFonts w:cstheme="minorHAnsi"/>
        </w:rPr>
      </w:pPr>
      <w:r w:rsidRPr="00895D04">
        <w:rPr>
          <w:rFonts w:cstheme="minorHAnsi"/>
        </w:rPr>
        <w:t>Exhausts</w:t>
      </w:r>
      <w:r w:rsidR="00BE2BE1" w:rsidRPr="00895D04">
        <w:rPr>
          <w:rFonts w:cstheme="minorHAnsi"/>
        </w:rPr>
        <w:t xml:space="preserve"> </w:t>
      </w:r>
      <w:r w:rsidRPr="00895D04">
        <w:rPr>
          <w:rFonts w:cstheme="minorHAnsi"/>
        </w:rPr>
        <w:t>manifolds are</w:t>
      </w:r>
      <w:r w:rsidR="00BE2BE1" w:rsidRPr="00895D04">
        <w:rPr>
          <w:rFonts w:cstheme="minorHAnsi"/>
        </w:rPr>
        <w:t xml:space="preserve"> used to allow the engine to responsibly direct the exhaust gasses to </w:t>
      </w:r>
      <w:r w:rsidR="009A1C09" w:rsidRPr="00895D04">
        <w:rPr>
          <w:rFonts w:cstheme="minorHAnsi"/>
        </w:rPr>
        <w:t>an</w:t>
      </w:r>
      <w:r w:rsidR="00BE2BE1" w:rsidRPr="00895D04">
        <w:rPr>
          <w:rFonts w:cstheme="minorHAnsi"/>
        </w:rPr>
        <w:t xml:space="preserve"> appropriate location on the vehicle while maintain back pressure.  Manifolds are attached to the exhaust side of the engine which combines from multiple cylinders outputs to one single pipe. An example of this is a four cylinder engine going from four pipes to two pipes to one pipe.  This progression of pipes is to ensure that the exhaust gasses are evenly combined ensuring the least amount of resistance possible. </w:t>
      </w:r>
      <w:r w:rsidRPr="00895D04">
        <w:rPr>
          <w:rFonts w:cstheme="minorHAnsi"/>
        </w:rPr>
        <w:t xml:space="preserve">With a well designed exhaust manifold with low resistance can increase engine HP by ensuring that the exhaust gasses can evacuate the cylinder as quick as possible.   Oxygen sensors are used and mounted to the exhaust to monitor the internal combustion so when designing the manifold, a location needs to be established to ensure </w:t>
      </w:r>
      <w:r w:rsidR="009A1C09" w:rsidRPr="00895D04">
        <w:rPr>
          <w:rFonts w:cstheme="minorHAnsi"/>
        </w:rPr>
        <w:t>an</w:t>
      </w:r>
      <w:r w:rsidRPr="00895D04">
        <w:rPr>
          <w:rFonts w:cstheme="minorHAnsi"/>
        </w:rPr>
        <w:t xml:space="preserve"> accurate reading.</w:t>
      </w:r>
      <w:r w:rsidR="00895D04" w:rsidRPr="00895D04">
        <w:rPr>
          <w:rFonts w:cstheme="minorHAnsi"/>
          <w:color w:val="000000"/>
          <w:shd w:val="clear" w:color="auto" w:fill="FFFFFF"/>
        </w:rPr>
        <w:t xml:space="preserve"> (Galindo et al., 2004)</w:t>
      </w:r>
    </w:p>
    <w:p w:rsidR="00F5034A" w:rsidRDefault="00F5034A"/>
    <w:p w:rsidR="00101FE9" w:rsidRDefault="00101FE9"/>
    <w:p w:rsidR="00101FE9" w:rsidRDefault="00101FE9"/>
    <w:p w:rsidR="00101FE9" w:rsidRDefault="00101FE9"/>
    <w:p w:rsidR="00101FE9" w:rsidRDefault="00101FE9"/>
    <w:p w:rsidR="00101FE9" w:rsidRDefault="00101FE9"/>
    <w:p w:rsidR="00CA769E" w:rsidRDefault="00CA769E"/>
    <w:p w:rsidR="00CA769E" w:rsidRDefault="00CA769E"/>
    <w:p w:rsidR="005D60DE" w:rsidRDefault="00C10A31">
      <w:pPr>
        <w:rPr>
          <w:rFonts w:cstheme="minorHAnsi"/>
          <w:b/>
          <w:u w:val="single"/>
        </w:rPr>
      </w:pPr>
      <w:r>
        <w:rPr>
          <w:rFonts w:cstheme="minorHAnsi"/>
          <w:b/>
          <w:u w:val="single"/>
        </w:rPr>
        <w:lastRenderedPageBreak/>
        <w:t xml:space="preserve">4. </w:t>
      </w:r>
      <w:r w:rsidR="00F5034A" w:rsidRPr="00214507">
        <w:rPr>
          <w:rFonts w:cstheme="minorHAnsi"/>
          <w:b/>
          <w:u w:val="single"/>
        </w:rPr>
        <w:t>Comparison between single-carburettor, multi-carburettor, single and multi-point fuel injection systems</w:t>
      </w:r>
    </w:p>
    <w:p w:rsidR="00C10A31" w:rsidRPr="00214507" w:rsidRDefault="00C10A31">
      <w:pPr>
        <w:rPr>
          <w:rFonts w:cstheme="minorHAnsi"/>
          <w:b/>
          <w:u w:val="single"/>
        </w:rPr>
      </w:pPr>
    </w:p>
    <w:p w:rsidR="00CC6547" w:rsidRPr="00A35FE4" w:rsidRDefault="00CC6547" w:rsidP="005B35B1">
      <w:pPr>
        <w:rPr>
          <w:rFonts w:cstheme="minorHAnsi"/>
        </w:rPr>
      </w:pPr>
      <w:r>
        <w:t xml:space="preserve">Single -carburettor </w:t>
      </w:r>
      <w:r w:rsidR="00535AEE">
        <w:t xml:space="preserve">which is the first device that reliably mixes the air and fuel together for the correct </w:t>
      </w:r>
      <w:r w:rsidR="000F34F3">
        <w:t>ratio</w:t>
      </w:r>
      <w:r w:rsidR="00535AEE">
        <w:t xml:space="preserve"> for combustion. </w:t>
      </w:r>
      <w:r w:rsidR="002F19D4">
        <w:t>The single carburettor controls the fuel mixture for all of the combustion cylinders which ensures simplicity for the engine.</w:t>
      </w:r>
      <w:r w:rsidR="00535AEE">
        <w:t xml:space="preserve"> </w:t>
      </w:r>
      <w:r w:rsidR="00CD7937">
        <w:t xml:space="preserve">Carburettor has a narrowing through the centre causing </w:t>
      </w:r>
      <w:r w:rsidR="009A1C09">
        <w:t>a</w:t>
      </w:r>
      <w:r w:rsidR="00CD7937">
        <w:t xml:space="preserve"> venture effect meaning the airflow increases.  A butterfly valve rotates to vary the amount of air that enters the engine.  </w:t>
      </w:r>
      <w:r w:rsidR="00535AEE">
        <w:t xml:space="preserve">The carburettor relies on low static pressure </w:t>
      </w:r>
      <w:r w:rsidR="000F34F3">
        <w:t xml:space="preserve">for fuel to be drawn through the fuel jet into the </w:t>
      </w:r>
      <w:r w:rsidR="00CD7937">
        <w:t>venture.</w:t>
      </w:r>
      <w:r w:rsidR="000F34F3">
        <w:t xml:space="preserve"> </w:t>
      </w:r>
      <w:r w:rsidR="00CD7937">
        <w:t xml:space="preserve">This system of fuel delivery is very basic due to the fact that the fuel is drawn through low static pressure causing an irregular spray pattern.  This intern </w:t>
      </w:r>
      <w:r w:rsidR="00CD7937" w:rsidRPr="00A35FE4">
        <w:rPr>
          <w:rFonts w:cstheme="minorHAnsi"/>
        </w:rPr>
        <w:t xml:space="preserve">causes a variation in ideal AFR ratios meaning that the engine isn’t running </w:t>
      </w:r>
      <w:r w:rsidR="002F19D4" w:rsidRPr="00A35FE4">
        <w:rPr>
          <w:rFonts w:cstheme="minorHAnsi"/>
        </w:rPr>
        <w:t xml:space="preserve">at </w:t>
      </w:r>
      <w:r w:rsidR="00CD7937" w:rsidRPr="00A35FE4">
        <w:rPr>
          <w:rFonts w:cstheme="minorHAnsi"/>
        </w:rPr>
        <w:t xml:space="preserve">its optimum efficiency.  This can cause high </w:t>
      </w:r>
      <w:r w:rsidR="002F19D4" w:rsidRPr="00A35FE4">
        <w:rPr>
          <w:rFonts w:cstheme="minorHAnsi"/>
        </w:rPr>
        <w:t>emotions</w:t>
      </w:r>
      <w:r w:rsidR="00CD7937" w:rsidRPr="00A35FE4">
        <w:rPr>
          <w:rFonts w:cstheme="minorHAnsi"/>
        </w:rPr>
        <w:t xml:space="preserve"> and rough engine </w:t>
      </w:r>
      <w:r w:rsidR="002F19D4" w:rsidRPr="00A35FE4">
        <w:rPr>
          <w:rFonts w:cstheme="minorHAnsi"/>
        </w:rPr>
        <w:t>operation.</w:t>
      </w:r>
      <w:r w:rsidR="00A812F1" w:rsidRPr="00A35FE4">
        <w:rPr>
          <w:rFonts w:cstheme="minorHAnsi"/>
        </w:rPr>
        <w:t xml:space="preserve">  Another disadvantage to run a single care system is the restriction of the amount of air that can be drawn into the engine.</w:t>
      </w:r>
      <w:r w:rsidR="00741A7C" w:rsidRPr="00A35FE4">
        <w:rPr>
          <w:rFonts w:cstheme="minorHAnsi"/>
          <w:color w:val="000000"/>
          <w:shd w:val="clear" w:color="auto" w:fill="FFFFFF"/>
        </w:rPr>
        <w:t xml:space="preserve"> (Klimstra, 1989)</w:t>
      </w:r>
      <w:r w:rsidR="00A35FE4" w:rsidRPr="00A35FE4">
        <w:rPr>
          <w:rFonts w:cstheme="minorHAnsi"/>
          <w:color w:val="000000"/>
          <w:shd w:val="clear" w:color="auto" w:fill="FFFFFF"/>
        </w:rPr>
        <w:t xml:space="preserve"> (Tanaka and Durbin, 1977)</w:t>
      </w:r>
    </w:p>
    <w:p w:rsidR="00A812F1" w:rsidRPr="00A35FE4" w:rsidRDefault="00A812F1" w:rsidP="005B35B1">
      <w:pPr>
        <w:rPr>
          <w:rFonts w:cstheme="minorHAnsi"/>
        </w:rPr>
      </w:pPr>
      <w:r w:rsidRPr="00A35FE4">
        <w:rPr>
          <w:rFonts w:cstheme="minorHAnsi"/>
        </w:rPr>
        <w:t xml:space="preserve">A multi carburettor system is the same operation as the singe carburettor system but has a carburettor for each individual cylinder utilizes a carburettor. For example on a four cylinder engine, each of the four </w:t>
      </w:r>
      <w:r w:rsidR="002E1862" w:rsidRPr="00A35FE4">
        <w:rPr>
          <w:rFonts w:cstheme="minorHAnsi"/>
        </w:rPr>
        <w:t>cylinders</w:t>
      </w:r>
      <w:r w:rsidRPr="00A35FE4">
        <w:rPr>
          <w:rFonts w:cstheme="minorHAnsi"/>
        </w:rPr>
        <w:t xml:space="preserve"> has its own individual carburettor</w:t>
      </w:r>
      <w:r w:rsidR="002E1862" w:rsidRPr="00A35FE4">
        <w:rPr>
          <w:rFonts w:cstheme="minorHAnsi"/>
        </w:rPr>
        <w:t>.  This allows for more air to be drawn into the engine allowing for more fuel to be utilised.  This allows the engine to be more efficient and to create fewer emissions. This system preferred compared to the single carburettor system because of the increase of air readily available but increases in complexity compared to the single carburettor.  The throttle butterfly vales need to be linked together to ensure unison between the cylinders. This is difficult to perfect because each carburettor can be out of sync causing the other cylinders to be pulled up.  Another complexity is the fuel supply where it needs to be divided equally.  Once all of these complexities are achieved, an efficient, simple and reliable system is established.</w:t>
      </w:r>
      <w:r w:rsidR="00741A7C" w:rsidRPr="00A35FE4">
        <w:rPr>
          <w:rFonts w:cstheme="minorHAnsi"/>
          <w:color w:val="000000"/>
          <w:shd w:val="clear" w:color="auto" w:fill="FFFFFF"/>
        </w:rPr>
        <w:t xml:space="preserve"> (Klimstra, 1989)</w:t>
      </w:r>
      <w:r w:rsidR="00A35FE4" w:rsidRPr="00A35FE4">
        <w:rPr>
          <w:rFonts w:cstheme="minorHAnsi"/>
          <w:color w:val="000000"/>
          <w:shd w:val="clear" w:color="auto" w:fill="FFFFFF"/>
        </w:rPr>
        <w:t xml:space="preserve"> (Tanaka and Durbin, 1977)</w:t>
      </w:r>
    </w:p>
    <w:p w:rsidR="005B35B1" w:rsidRDefault="005B35B1" w:rsidP="005B35B1">
      <w:r>
        <w:t xml:space="preserve">Single point injection system is the earliest and simplest injection system.  The single point replaced the carburettor with one or two injector in the throttle body creating </w:t>
      </w:r>
      <w:r w:rsidR="009A1C09">
        <w:t>an</w:t>
      </w:r>
      <w:r>
        <w:t xml:space="preserve"> atomised mists and is distributed throughout the cylinders.  </w:t>
      </w:r>
      <w:r w:rsidR="002E1862">
        <w:t xml:space="preserve">Injections systems utilize control measures and sensory equipment to ensure perfect timing is achieved to allow the engine to be at is most efficient point. </w:t>
      </w:r>
      <w:r w:rsidR="00DB3EF3">
        <w:t>I</w:t>
      </w:r>
      <w:r>
        <w:t xml:space="preserve">njection replaced the carburettor because of increases </w:t>
      </w:r>
      <w:r w:rsidR="00DB3EF3">
        <w:t xml:space="preserve">in </w:t>
      </w:r>
      <w:r>
        <w:t xml:space="preserve">fuel control allowing the use of variable injector </w:t>
      </w:r>
      <w:r w:rsidR="00DB3EF3">
        <w:t>pulses</w:t>
      </w:r>
      <w:r>
        <w:t xml:space="preserve">. This allows the engine to be more fuel efficient reducing the amount of pollution that’s outputted.  Due to the simplicity, injection became cheaper and easier to service.  One disadvantage to single point injection systems is that the fuel has further to travel in the intake </w:t>
      </w:r>
      <w:r w:rsidRPr="00934E00">
        <w:t>which has the ability to condense and pool on the sidewall of the intake meaning that some fuel may not combust as easily. (Chauhan, 2019)</w:t>
      </w:r>
    </w:p>
    <w:p w:rsidR="00101FE9" w:rsidRDefault="005B35B1">
      <w:r>
        <w:t xml:space="preserve">Multipoint injection </w:t>
      </w:r>
      <w:r w:rsidR="00E44EB8">
        <w:t xml:space="preserve">is virtually the same as single point </w:t>
      </w:r>
      <w:r>
        <w:t>system</w:t>
      </w:r>
      <w:r w:rsidR="00E44EB8">
        <w:t>s</w:t>
      </w:r>
      <w:r>
        <w:t xml:space="preserve"> </w:t>
      </w:r>
      <w:r w:rsidR="00E44EB8">
        <w:t xml:space="preserve">but </w:t>
      </w:r>
      <w:r>
        <w:t xml:space="preserve">utilizes individual fuel injectors’ right outside of the intake port or in the port itself.  The main </w:t>
      </w:r>
      <w:r w:rsidR="00E44EB8">
        <w:t xml:space="preserve">goal of direct port injection </w:t>
      </w:r>
      <w:r>
        <w:t>is to ensure that the majority of the atomised fuel reaches the combustion chamber.  This is to reduce the possibility for the fuel to condense on the side wall of the intake leavin</w:t>
      </w:r>
      <w:r w:rsidRPr="00934E00">
        <w:t>g un-burnt fuel.  Another advantage is that the fuel can be metered more efficiently ensure that the desired air fuel ration a achieved and further improving fuel economy while reducing the emissions. (Chauhan, 2019)</w:t>
      </w:r>
    </w:p>
    <w:p w:rsidR="00404768" w:rsidRPr="00101FE9" w:rsidRDefault="00AE72A5">
      <w:r>
        <w:rPr>
          <w:b/>
          <w:sz w:val="24"/>
          <w:szCs w:val="24"/>
          <w:u w:val="single"/>
        </w:rPr>
        <w:lastRenderedPageBreak/>
        <w:t>5</w:t>
      </w:r>
      <w:r w:rsidR="00C10A31">
        <w:rPr>
          <w:b/>
          <w:sz w:val="24"/>
          <w:szCs w:val="24"/>
          <w:u w:val="single"/>
        </w:rPr>
        <w:t xml:space="preserve">. </w:t>
      </w:r>
      <w:r w:rsidR="00404768" w:rsidRPr="00404768">
        <w:rPr>
          <w:b/>
          <w:sz w:val="24"/>
          <w:szCs w:val="24"/>
          <w:u w:val="single"/>
        </w:rPr>
        <w:t xml:space="preserve">Method </w:t>
      </w:r>
    </w:p>
    <w:p w:rsidR="00C10A31" w:rsidRPr="00404768" w:rsidRDefault="00C10A31">
      <w:pPr>
        <w:rPr>
          <w:b/>
          <w:sz w:val="24"/>
          <w:szCs w:val="24"/>
          <w:u w:val="single"/>
        </w:rPr>
      </w:pPr>
    </w:p>
    <w:p w:rsidR="00C56BBE" w:rsidRPr="00214507" w:rsidRDefault="00E36AC3">
      <w:pPr>
        <w:rPr>
          <w:b/>
          <w:u w:val="single"/>
        </w:rPr>
      </w:pPr>
      <w:r w:rsidRPr="00214507">
        <w:rPr>
          <w:b/>
          <w:u w:val="single"/>
        </w:rPr>
        <w:t xml:space="preserve">Flow bench </w:t>
      </w:r>
      <w:r w:rsidR="000C1AFA" w:rsidRPr="00214507">
        <w:rPr>
          <w:b/>
          <w:u w:val="single"/>
        </w:rPr>
        <w:t xml:space="preserve">Test Procedure </w:t>
      </w:r>
    </w:p>
    <w:p w:rsidR="0068262A" w:rsidRDefault="000C1AFA">
      <w:r w:rsidRPr="00214507">
        <w:t>The desired head is selected and prepared by removing it from the engine and ensuring that all peripherals are clear like the cam shaft</w:t>
      </w:r>
      <w:r w:rsidR="00186439" w:rsidRPr="00214507">
        <w:t xml:space="preserve">. This to ensure that </w:t>
      </w:r>
      <w:r w:rsidRPr="00214507">
        <w:t xml:space="preserve">the valve can be pressed individually to get a repeatable experiment. A physical simulation of the cylinder is then created to ensure that it matches the engine </w:t>
      </w:r>
      <w:r w:rsidR="00EA2035" w:rsidRPr="00214507">
        <w:t xml:space="preserve">cylinder in volume </w:t>
      </w:r>
      <w:r w:rsidRPr="00214507">
        <w:t xml:space="preserve">to get accurate results.  </w:t>
      </w:r>
      <w:r w:rsidR="00110A27" w:rsidRPr="00214507">
        <w:t>The</w:t>
      </w:r>
      <w:r w:rsidRPr="00214507">
        <w:t xml:space="preserve"> physical cylinder simulation is then sealed and clamped down. The whole Assembly is then bolted to the opening of the test rig also ensuring that the gap is sealed.  To </w:t>
      </w:r>
      <w:r w:rsidR="002C550A" w:rsidRPr="00214507">
        <w:t>ensure</w:t>
      </w:r>
      <w:r w:rsidRPr="00214507">
        <w:t xml:space="preserve"> that </w:t>
      </w:r>
      <w:r w:rsidR="002C550A" w:rsidRPr="00214507">
        <w:t xml:space="preserve">the setup is air tight, the test rig is used to identify any air leaks.  With the valves on the head closed, the system is turned on.  Ensuring that the flow across the cylinder set to ten </w:t>
      </w:r>
      <w:r w:rsidR="00EF2FAA">
        <w:t>h20”</w:t>
      </w:r>
      <w:r w:rsidR="0068262A" w:rsidRPr="00214507">
        <w:t xml:space="preserve"> </w:t>
      </w:r>
      <w:r w:rsidR="002C550A" w:rsidRPr="00214507">
        <w:t xml:space="preserve">and the flow percentage is zero confirms that the system is setup correctly without any air leaks.  </w:t>
      </w:r>
    </w:p>
    <w:p w:rsidR="00CF2A66" w:rsidRPr="00214507" w:rsidRDefault="00CF2A66">
      <w:r>
        <w:t xml:space="preserve">A plate is created with bolts attached so that the valves can be depressed accurately and repeatedly.  Two DTI gauges are set up on top of a flat area on the head and the gauge set on top of the adjustment bolts.  This is to accurately measure the amount the valve is pressed down so that the tests are repeatable.  </w:t>
      </w:r>
    </w:p>
    <w:p w:rsidR="00F64F6D" w:rsidRDefault="00EA2035">
      <w:r w:rsidRPr="00214507">
        <w:t>Before hand the valve head dia</w:t>
      </w:r>
      <w:r w:rsidR="00CF2A66">
        <w:t>meter is measured to calculate</w:t>
      </w:r>
      <w:r w:rsidRPr="00214507">
        <w:t xml:space="preserve"> L/D which signifies the amount the valve should be depressed for every test. </w:t>
      </w:r>
      <w:r w:rsidR="00CF2A66">
        <w:t>Using the calculated L/D, open</w:t>
      </w:r>
      <w:r w:rsidR="0068262A" w:rsidRPr="00214507">
        <w:t xml:space="preserve"> the valve to the calculated measurement and activate the rig.  Increase the flow </w:t>
      </w:r>
      <w:r w:rsidR="00CF2A66">
        <w:t>and set the system to ten h2o</w:t>
      </w:r>
      <w:r w:rsidR="0068262A" w:rsidRPr="00214507">
        <w:t xml:space="preserve">.  The flow percentage will then increase as the flow is increased.  The flow percentage can then be recorded and converted on the provided conversion graph.  If the Flow percentage goes beyond 100%, Bungs on the top of the rig can be opened accordingly but should be taken in account when concerting the units ensuring to follow the appropriate section.  </w:t>
      </w:r>
    </w:p>
    <w:p w:rsidR="00F64F6D" w:rsidRDefault="00F64F6D">
      <w:r>
        <w:t xml:space="preserve">All results are recorded on a excel document to ensure that all of the date can be easily understood and easily converted. </w:t>
      </w:r>
    </w:p>
    <w:p w:rsidR="00C10A31" w:rsidRPr="00214507" w:rsidRDefault="00C10A31"/>
    <w:p w:rsidR="00C10A31" w:rsidRDefault="00D71BED">
      <w:pPr>
        <w:rPr>
          <w:b/>
          <w:u w:val="single"/>
        </w:rPr>
      </w:pPr>
      <w:r>
        <w:rPr>
          <w:b/>
          <w:u w:val="single"/>
        </w:rPr>
        <w:t xml:space="preserve">Valve </w:t>
      </w:r>
      <w:r w:rsidR="009D62B1" w:rsidRPr="009D62B1">
        <w:rPr>
          <w:b/>
          <w:u w:val="single"/>
        </w:rPr>
        <w:t>Lift /</w:t>
      </w:r>
      <w:r>
        <w:rPr>
          <w:b/>
          <w:u w:val="single"/>
        </w:rPr>
        <w:t xml:space="preserve">Valve Head </w:t>
      </w:r>
      <w:r w:rsidR="009D62B1" w:rsidRPr="009D62B1">
        <w:rPr>
          <w:b/>
          <w:u w:val="single"/>
        </w:rPr>
        <w:t xml:space="preserve">Diameter </w:t>
      </w:r>
    </w:p>
    <w:p w:rsidR="00101FE9" w:rsidRDefault="00101FE9">
      <w:pPr>
        <w:rPr>
          <w:b/>
          <w:u w:val="single"/>
        </w:rPr>
      </w:pPr>
    </w:p>
    <w:p w:rsidR="00D71BED" w:rsidRDefault="00D71BED">
      <w:r>
        <w:t xml:space="preserve">Valve lift is calculated by first identifying a repeatable factor to go by. In this case the valve lift increments are as follows: </w:t>
      </w:r>
    </w:p>
    <w:p w:rsidR="00D71BED" w:rsidRDefault="00D71BED">
      <w:r>
        <w:t xml:space="preserve">0.05, 0.10, 0.15, 0.20, 0.25, 0.30, 0.35 and 0.40. </w:t>
      </w:r>
    </w:p>
    <w:p w:rsidR="00101FE9" w:rsidRDefault="00D71BED">
      <w:r>
        <w:t xml:space="preserve"> By converting the increments to percentage we can use this to identify the valve lift increments by the valve diameter.  An example of this </w:t>
      </w:r>
      <w:r w:rsidR="00BE6299">
        <w:t>is a follows:</w:t>
      </w:r>
    </w:p>
    <w:p w:rsidR="00101FE9" w:rsidRDefault="00101FE9"/>
    <w:p w:rsidR="00101FE9" w:rsidRDefault="00101FE9"/>
    <w:tbl>
      <w:tblPr>
        <w:tblStyle w:val="TableGrid"/>
        <w:tblW w:w="0" w:type="auto"/>
        <w:tblLook w:val="04A0" w:firstRow="1" w:lastRow="0" w:firstColumn="1" w:lastColumn="0" w:noHBand="0" w:noVBand="1"/>
      </w:tblPr>
      <w:tblGrid>
        <w:gridCol w:w="2415"/>
        <w:gridCol w:w="2419"/>
        <w:gridCol w:w="2349"/>
        <w:gridCol w:w="2059"/>
      </w:tblGrid>
      <w:tr w:rsidR="00D71BED" w:rsidTr="00D71BED">
        <w:tc>
          <w:tcPr>
            <w:tcW w:w="2415" w:type="dxa"/>
          </w:tcPr>
          <w:p w:rsidR="00D71BED" w:rsidRDefault="00D71BED">
            <w:r>
              <w:lastRenderedPageBreak/>
              <w:t xml:space="preserve">Valve lift increments </w:t>
            </w:r>
          </w:p>
        </w:tc>
        <w:tc>
          <w:tcPr>
            <w:tcW w:w="2419" w:type="dxa"/>
          </w:tcPr>
          <w:p w:rsidR="00D71BED" w:rsidRDefault="00D71BED">
            <w:r>
              <w:t>Valve lift increments as a percentage (%)</w:t>
            </w:r>
          </w:p>
        </w:tc>
        <w:tc>
          <w:tcPr>
            <w:tcW w:w="2349" w:type="dxa"/>
          </w:tcPr>
          <w:p w:rsidR="00D71BED" w:rsidRDefault="00D71BED">
            <w:r>
              <w:t>Valve diameter (mm)</w:t>
            </w:r>
          </w:p>
        </w:tc>
        <w:tc>
          <w:tcPr>
            <w:tcW w:w="2059" w:type="dxa"/>
          </w:tcPr>
          <w:p w:rsidR="00D71BED" w:rsidRDefault="00D71BED">
            <w:r>
              <w:t>L/D</w:t>
            </w:r>
          </w:p>
        </w:tc>
      </w:tr>
      <w:tr w:rsidR="00BE6299" w:rsidTr="00780DB9">
        <w:tc>
          <w:tcPr>
            <w:tcW w:w="2415" w:type="dxa"/>
          </w:tcPr>
          <w:p w:rsidR="00BE6299" w:rsidRDefault="00BE6299" w:rsidP="00BE6299">
            <w:r>
              <w:t>0.05</w:t>
            </w:r>
          </w:p>
        </w:tc>
        <w:tc>
          <w:tcPr>
            <w:tcW w:w="2419" w:type="dxa"/>
          </w:tcPr>
          <w:p w:rsidR="00BE6299" w:rsidRDefault="00BE6299" w:rsidP="00BE6299">
            <w:r>
              <w:t>0.5</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1.39</w:t>
            </w:r>
          </w:p>
        </w:tc>
      </w:tr>
      <w:tr w:rsidR="00BE6299" w:rsidTr="00780DB9">
        <w:tc>
          <w:tcPr>
            <w:tcW w:w="2415" w:type="dxa"/>
          </w:tcPr>
          <w:p w:rsidR="00BE6299" w:rsidRDefault="00BE6299" w:rsidP="00BE6299">
            <w:r>
              <w:t>0.10</w:t>
            </w:r>
          </w:p>
        </w:tc>
        <w:tc>
          <w:tcPr>
            <w:tcW w:w="2419" w:type="dxa"/>
          </w:tcPr>
          <w:p w:rsidR="00BE6299" w:rsidRDefault="00BE6299" w:rsidP="00BE6299">
            <w:r>
              <w:t>10</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2.8</w:t>
            </w:r>
          </w:p>
        </w:tc>
      </w:tr>
      <w:tr w:rsidR="00BE6299" w:rsidTr="00780DB9">
        <w:tc>
          <w:tcPr>
            <w:tcW w:w="2415" w:type="dxa"/>
          </w:tcPr>
          <w:p w:rsidR="00BE6299" w:rsidRDefault="00BE6299" w:rsidP="00BE6299">
            <w:r>
              <w:t>0.15</w:t>
            </w:r>
          </w:p>
        </w:tc>
        <w:tc>
          <w:tcPr>
            <w:tcW w:w="2419" w:type="dxa"/>
          </w:tcPr>
          <w:p w:rsidR="00BE6299" w:rsidRDefault="00BE6299" w:rsidP="00BE6299">
            <w:r>
              <w:t>15</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4.2</w:t>
            </w:r>
          </w:p>
        </w:tc>
      </w:tr>
      <w:tr w:rsidR="00BE6299" w:rsidTr="00780DB9">
        <w:tc>
          <w:tcPr>
            <w:tcW w:w="2415" w:type="dxa"/>
          </w:tcPr>
          <w:p w:rsidR="00BE6299" w:rsidRDefault="00BE6299" w:rsidP="00BE6299">
            <w:r>
              <w:t>0.20</w:t>
            </w:r>
          </w:p>
        </w:tc>
        <w:tc>
          <w:tcPr>
            <w:tcW w:w="2419" w:type="dxa"/>
          </w:tcPr>
          <w:p w:rsidR="00BE6299" w:rsidRDefault="00BE6299" w:rsidP="00BE6299">
            <w:r>
              <w:t>20</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5.55</w:t>
            </w:r>
          </w:p>
        </w:tc>
      </w:tr>
      <w:tr w:rsidR="00BE6299" w:rsidTr="00780DB9">
        <w:tc>
          <w:tcPr>
            <w:tcW w:w="2415" w:type="dxa"/>
          </w:tcPr>
          <w:p w:rsidR="00BE6299" w:rsidRDefault="00BE6299" w:rsidP="00BE6299">
            <w:r>
              <w:t>0.25</w:t>
            </w:r>
          </w:p>
        </w:tc>
        <w:tc>
          <w:tcPr>
            <w:tcW w:w="2419" w:type="dxa"/>
          </w:tcPr>
          <w:p w:rsidR="00BE6299" w:rsidRDefault="00BE6299" w:rsidP="00BE6299">
            <w:r>
              <w:t>25</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6.9</w:t>
            </w:r>
          </w:p>
        </w:tc>
      </w:tr>
      <w:tr w:rsidR="00BE6299" w:rsidTr="00780DB9">
        <w:tc>
          <w:tcPr>
            <w:tcW w:w="2415" w:type="dxa"/>
          </w:tcPr>
          <w:p w:rsidR="00BE6299" w:rsidRDefault="00BE6299" w:rsidP="00BE6299">
            <w:r>
              <w:t>0.30</w:t>
            </w:r>
          </w:p>
        </w:tc>
        <w:tc>
          <w:tcPr>
            <w:tcW w:w="2419" w:type="dxa"/>
          </w:tcPr>
          <w:p w:rsidR="00BE6299" w:rsidRDefault="00BE6299" w:rsidP="00BE6299">
            <w:r>
              <w:t>30</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8.3</w:t>
            </w:r>
          </w:p>
        </w:tc>
      </w:tr>
      <w:tr w:rsidR="00BE6299" w:rsidTr="00780DB9">
        <w:tc>
          <w:tcPr>
            <w:tcW w:w="2415" w:type="dxa"/>
          </w:tcPr>
          <w:p w:rsidR="00BE6299" w:rsidRDefault="00BE6299" w:rsidP="00BE6299">
            <w:r>
              <w:t>0.35</w:t>
            </w:r>
          </w:p>
        </w:tc>
        <w:tc>
          <w:tcPr>
            <w:tcW w:w="2419" w:type="dxa"/>
          </w:tcPr>
          <w:p w:rsidR="00BE6299" w:rsidRDefault="00BE6299" w:rsidP="00BE6299">
            <w:r>
              <w:t>35</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9.7</w:t>
            </w:r>
          </w:p>
        </w:tc>
      </w:tr>
      <w:tr w:rsidR="00BE6299" w:rsidTr="00780DB9">
        <w:tc>
          <w:tcPr>
            <w:tcW w:w="2415" w:type="dxa"/>
          </w:tcPr>
          <w:p w:rsidR="00BE6299" w:rsidRDefault="00BE6299" w:rsidP="00BE6299">
            <w:r>
              <w:t>0.40</w:t>
            </w:r>
          </w:p>
        </w:tc>
        <w:tc>
          <w:tcPr>
            <w:tcW w:w="2419" w:type="dxa"/>
          </w:tcPr>
          <w:p w:rsidR="00BE6299" w:rsidRDefault="00BE6299" w:rsidP="00BE6299">
            <w:r>
              <w:t>40</w:t>
            </w:r>
          </w:p>
        </w:tc>
        <w:tc>
          <w:tcPr>
            <w:tcW w:w="2349" w:type="dxa"/>
          </w:tcPr>
          <w:p w:rsidR="00BE6299" w:rsidRDefault="00BE6299" w:rsidP="00BE6299">
            <w:r>
              <w:t>27.4</w:t>
            </w:r>
          </w:p>
        </w:tc>
        <w:tc>
          <w:tcPr>
            <w:tcW w:w="2059" w:type="dxa"/>
            <w:vAlign w:val="bottom"/>
          </w:tcPr>
          <w:p w:rsidR="00BE6299" w:rsidRDefault="00BE6299" w:rsidP="00BE6299">
            <w:pPr>
              <w:jc w:val="right"/>
              <w:rPr>
                <w:rFonts w:ascii="Calibri" w:hAnsi="Calibri" w:cs="Calibri"/>
                <w:color w:val="000000"/>
              </w:rPr>
            </w:pPr>
            <w:r>
              <w:rPr>
                <w:rFonts w:ascii="Calibri" w:hAnsi="Calibri" w:cs="Calibri"/>
                <w:color w:val="000000"/>
              </w:rPr>
              <w:t>11.1</w:t>
            </w:r>
          </w:p>
        </w:tc>
      </w:tr>
    </w:tbl>
    <w:p w:rsidR="00D71BED" w:rsidRPr="00D71BED" w:rsidRDefault="00D71BED"/>
    <w:p w:rsidR="00101FE9" w:rsidRPr="00214507" w:rsidRDefault="00186439" w:rsidP="00186439">
      <w:pPr>
        <w:rPr>
          <w:b/>
          <w:u w:val="single"/>
        </w:rPr>
      </w:pPr>
      <w:r w:rsidRPr="00214507">
        <w:rPr>
          <w:b/>
          <w:u w:val="single"/>
        </w:rPr>
        <w:t xml:space="preserve">Volumetric flow rate </w:t>
      </w:r>
    </w:p>
    <w:p w:rsidR="00CA769E" w:rsidRDefault="00BE6299" w:rsidP="00BE6299">
      <w:r>
        <w:t>The volumetric flow rate is first calculated by identifying the CFM and converting it from “ft³/min” to “</w:t>
      </w:r>
      <w:r w:rsidR="00593664">
        <w:t>m</w:t>
      </w:r>
      <w:r>
        <w:t>³/sec”. This is achieved by dividing “ft³/min” by 60 seconds.  Example of this is a follows:</w:t>
      </w:r>
    </w:p>
    <w:p w:rsidR="00BE6299" w:rsidRPr="00CA769E" w:rsidRDefault="00593664" w:rsidP="00BE6299">
      <w:pPr>
        <w:rPr>
          <w:rFonts w:eastAsiaTheme="minorEastAsia"/>
        </w:rPr>
      </w:pPr>
      <m:oMathPara>
        <m:oMathParaPr>
          <m:jc m:val="left"/>
        </m:oMathParaPr>
        <m:oMath>
          <m:r>
            <m:rPr>
              <m:sty m:val="p"/>
            </m:rPr>
            <w:rPr>
              <w:rFonts w:ascii="Cambria Math" w:hAnsi="Cambria Math"/>
            </w:rPr>
            <m:t>m³/sec=</m:t>
          </m:r>
          <m:f>
            <m:fPr>
              <m:ctrlPr>
                <w:rPr>
                  <w:rFonts w:ascii="Cambria Math" w:hAnsi="Cambria Math"/>
                  <w:i/>
                </w:rPr>
              </m:ctrlPr>
            </m:fPr>
            <m:num>
              <m:r>
                <m:rPr>
                  <m:sty m:val="p"/>
                </m:rPr>
                <w:rPr>
                  <w:rFonts w:ascii="Cambria Math" w:hAnsi="Cambria Math"/>
                </w:rPr>
                <m:t>ft³/min</m:t>
              </m:r>
            </m:num>
            <m:den>
              <m:r>
                <w:rPr>
                  <w:rFonts w:ascii="Cambria Math" w:hAnsi="Cambria Math"/>
                </w:rPr>
                <m:t>60seconds</m:t>
              </m:r>
            </m:den>
          </m:f>
        </m:oMath>
      </m:oMathPara>
    </w:p>
    <w:p w:rsidR="00CA769E" w:rsidRDefault="00BE6299" w:rsidP="00BE6299">
      <w:pPr>
        <w:rPr>
          <w:rFonts w:eastAsiaTheme="minorEastAsia"/>
        </w:rPr>
      </w:pPr>
      <w:r>
        <w:rPr>
          <w:rFonts w:eastAsiaTheme="minorEastAsia"/>
        </w:rPr>
        <w:t>Once CFS is calculated for each result</w:t>
      </w:r>
      <w:r w:rsidR="00EC10F5">
        <w:rPr>
          <w:rFonts w:eastAsiaTheme="minorEastAsia"/>
        </w:rPr>
        <w:t xml:space="preserve">, this can be divided by 0.0283 to achieve VFR.  </w:t>
      </w:r>
      <w:r w:rsidR="00DB30B2">
        <w:rPr>
          <w:rFonts w:eastAsiaTheme="minorEastAsia"/>
        </w:rPr>
        <w:t>Equation is a follows:</w:t>
      </w:r>
    </w:p>
    <w:p w:rsidR="00EC10F5" w:rsidRPr="00BE6299" w:rsidRDefault="00EC10F5" w:rsidP="00BE6299">
      <m:oMathPara>
        <m:oMathParaPr>
          <m:jc m:val="left"/>
        </m:oMathParaPr>
        <m:oMath>
          <m:r>
            <m:rPr>
              <m:sty m:val="p"/>
            </m:rPr>
            <w:rPr>
              <w:rFonts w:ascii="Cambria Math" w:hAnsi="Cambria Math"/>
            </w:rPr>
            <m:t>VFR=</m:t>
          </m:r>
          <m:f>
            <m:fPr>
              <m:ctrlPr>
                <w:rPr>
                  <w:rFonts w:ascii="Cambria Math" w:hAnsi="Cambria Math"/>
                  <w:i/>
                </w:rPr>
              </m:ctrlPr>
            </m:fPr>
            <m:num>
              <m:r>
                <m:rPr>
                  <m:sty m:val="p"/>
                </m:rPr>
                <w:rPr>
                  <w:rFonts w:ascii="Cambria Math" w:hAnsi="Cambria Math"/>
                </w:rPr>
                <m:t>m³/sec</m:t>
              </m:r>
            </m:num>
            <m:den>
              <m:r>
                <w:rPr>
                  <w:rFonts w:ascii="Cambria Math" w:hAnsi="Cambria Math"/>
                </w:rPr>
                <m:t>0.0283</m:t>
              </m:r>
            </m:den>
          </m:f>
        </m:oMath>
      </m:oMathPara>
    </w:p>
    <w:p w:rsidR="00186439" w:rsidRDefault="00186439" w:rsidP="00186439">
      <w:pPr>
        <w:rPr>
          <w:b/>
          <w:u w:val="single"/>
        </w:rPr>
      </w:pPr>
      <w:r w:rsidRPr="00214507">
        <w:rPr>
          <w:b/>
          <w:u w:val="single"/>
        </w:rPr>
        <w:t>Flow velocity</w:t>
      </w:r>
    </w:p>
    <w:p w:rsidR="0002404A" w:rsidRPr="0002404A" w:rsidRDefault="0002404A" w:rsidP="00186439">
      <w:r>
        <w:t>The flow velocity is calculated by first identifying the area of both valve stem and valve head and dividing this by previously calculated VFR equation is a follows:</w:t>
      </w:r>
    </w:p>
    <w:p w:rsidR="00186439" w:rsidRPr="00394CA7" w:rsidRDefault="0002404A" w:rsidP="00186439">
      <m:oMathPara>
        <m:oMathParaPr>
          <m:jc m:val="left"/>
        </m:oMathParaPr>
        <m:oMath>
          <m:r>
            <w:rPr>
              <w:rFonts w:ascii="Cambria Math" w:hAnsi="Cambria Math"/>
            </w:rPr>
            <m:t xml:space="preserve">Flow Velicity </m:t>
          </m:r>
          <m:d>
            <m:dPr>
              <m:ctrlPr>
                <w:rPr>
                  <w:rFonts w:ascii="Cambria Math" w:hAnsi="Cambria Math"/>
                  <w:i/>
                </w:rPr>
              </m:ctrlPr>
            </m:dPr>
            <m:e>
              <m:r>
                <w:rPr>
                  <w:rFonts w:ascii="Cambria Math" w:hAnsi="Cambria Math"/>
                </w:rPr>
                <m:t>Fv</m:t>
              </m:r>
            </m:e>
          </m:d>
          <m:r>
            <w:rPr>
              <w:rFonts w:ascii="Cambria Math" w:hAnsi="Cambria Math"/>
            </w:rPr>
            <m:t>=</m:t>
          </m:r>
          <m:f>
            <m:fPr>
              <m:ctrlPr>
                <w:rPr>
                  <w:rFonts w:ascii="Cambria Math" w:hAnsi="Cambria Math"/>
                  <w:i/>
                </w:rPr>
              </m:ctrlPr>
            </m:fPr>
            <m:num>
              <m:r>
                <w:rPr>
                  <w:rFonts w:ascii="Cambria Math" w:hAnsi="Cambria Math"/>
                </w:rPr>
                <m:t>VFR</m:t>
              </m:r>
            </m:num>
            <m:den>
              <m:r>
                <w:rPr>
                  <w:rFonts w:ascii="Cambria Math" w:hAnsi="Cambria Math"/>
                </w:rPr>
                <m:t>area of valve head- area of valve stem</m:t>
              </m:r>
            </m:den>
          </m:f>
        </m:oMath>
      </m:oMathPara>
    </w:p>
    <w:p w:rsidR="00101FE9" w:rsidRDefault="00186439" w:rsidP="00186439">
      <w:pPr>
        <w:rPr>
          <w:b/>
          <w:u w:val="single"/>
        </w:rPr>
      </w:pPr>
      <w:r w:rsidRPr="00214507">
        <w:rPr>
          <w:b/>
          <w:u w:val="single"/>
        </w:rPr>
        <w:t>Co-Efficient of discharge</w:t>
      </w:r>
    </w:p>
    <w:p w:rsidR="00CA769E" w:rsidRDefault="00CF2A66">
      <w:r>
        <w:t>Hemi head has a sp</w:t>
      </w:r>
      <w:r w:rsidR="00EF2FAA">
        <w:t>ecific data set which is a known</w:t>
      </w:r>
      <w:r>
        <w:t xml:space="preserve"> data point which can be used for many different calculations on different engine as long as the engine matches the ‘hemi’ head setup.  The Co-Efficient of discharge can be calculated </w:t>
      </w:r>
      <w:r w:rsidR="00EF2FAA">
        <w:t>b</w:t>
      </w:r>
      <w:r w:rsidR="000F7BD8">
        <w:t>y first finding and identifying the correct valve flow potential data points.  VFR can then be divided by these data points.  The valve flow potential data points which is used for t</w:t>
      </w:r>
      <w:r w:rsidR="00101FE9">
        <w:t>his experiment is listed below.</w:t>
      </w:r>
    </w:p>
    <w:tbl>
      <w:tblPr>
        <w:tblStyle w:val="TableGrid"/>
        <w:tblW w:w="10241" w:type="dxa"/>
        <w:tblLook w:val="04A0" w:firstRow="1" w:lastRow="0" w:firstColumn="1" w:lastColumn="0" w:noHBand="0" w:noVBand="1"/>
      </w:tblPr>
      <w:tblGrid>
        <w:gridCol w:w="1817"/>
        <w:gridCol w:w="722"/>
        <w:gridCol w:w="1100"/>
        <w:gridCol w:w="1100"/>
        <w:gridCol w:w="1100"/>
        <w:gridCol w:w="1100"/>
        <w:gridCol w:w="1100"/>
        <w:gridCol w:w="1101"/>
        <w:gridCol w:w="1101"/>
      </w:tblGrid>
      <w:tr w:rsidR="002B0AD7" w:rsidTr="00CA769E">
        <w:trPr>
          <w:trHeight w:val="192"/>
        </w:trPr>
        <w:tc>
          <w:tcPr>
            <w:tcW w:w="1817" w:type="dxa"/>
          </w:tcPr>
          <w:p w:rsidR="002B0AD7" w:rsidRDefault="002B0AD7">
            <w:r>
              <w:t>L/D</w:t>
            </w:r>
          </w:p>
        </w:tc>
        <w:tc>
          <w:tcPr>
            <w:tcW w:w="722" w:type="dxa"/>
          </w:tcPr>
          <w:p w:rsidR="002B0AD7" w:rsidRDefault="002B0AD7">
            <w:r>
              <w:t>0.05</w:t>
            </w:r>
          </w:p>
        </w:tc>
        <w:tc>
          <w:tcPr>
            <w:tcW w:w="1100" w:type="dxa"/>
          </w:tcPr>
          <w:p w:rsidR="002B0AD7" w:rsidRDefault="002B0AD7">
            <w:r>
              <w:t>0.10</w:t>
            </w:r>
          </w:p>
        </w:tc>
        <w:tc>
          <w:tcPr>
            <w:tcW w:w="1100" w:type="dxa"/>
          </w:tcPr>
          <w:p w:rsidR="002B0AD7" w:rsidRDefault="002B0AD7">
            <w:r>
              <w:t>0.15</w:t>
            </w:r>
          </w:p>
        </w:tc>
        <w:tc>
          <w:tcPr>
            <w:tcW w:w="1100" w:type="dxa"/>
          </w:tcPr>
          <w:p w:rsidR="002B0AD7" w:rsidRDefault="002B0AD7">
            <w:r>
              <w:t>0.20</w:t>
            </w:r>
          </w:p>
        </w:tc>
        <w:tc>
          <w:tcPr>
            <w:tcW w:w="1100" w:type="dxa"/>
          </w:tcPr>
          <w:p w:rsidR="002B0AD7" w:rsidRDefault="002B0AD7">
            <w:r>
              <w:t>0.25</w:t>
            </w:r>
          </w:p>
        </w:tc>
        <w:tc>
          <w:tcPr>
            <w:tcW w:w="1100" w:type="dxa"/>
          </w:tcPr>
          <w:p w:rsidR="002B0AD7" w:rsidRDefault="002B0AD7">
            <w:r>
              <w:t>0.30</w:t>
            </w:r>
          </w:p>
        </w:tc>
        <w:tc>
          <w:tcPr>
            <w:tcW w:w="1101" w:type="dxa"/>
          </w:tcPr>
          <w:p w:rsidR="002B0AD7" w:rsidRDefault="002B0AD7">
            <w:r>
              <w:t>0.35</w:t>
            </w:r>
          </w:p>
        </w:tc>
        <w:tc>
          <w:tcPr>
            <w:tcW w:w="1101" w:type="dxa"/>
          </w:tcPr>
          <w:p w:rsidR="002B0AD7" w:rsidRDefault="002B0AD7">
            <w:r>
              <w:t>0.40</w:t>
            </w:r>
          </w:p>
        </w:tc>
      </w:tr>
      <w:tr w:rsidR="002B0AD7" w:rsidTr="00CA769E">
        <w:trPr>
          <w:trHeight w:val="564"/>
        </w:trPr>
        <w:tc>
          <w:tcPr>
            <w:tcW w:w="1817" w:type="dxa"/>
          </w:tcPr>
          <w:p w:rsidR="002B0AD7" w:rsidRDefault="002B0AD7">
            <w:r>
              <w:t xml:space="preserve">CFM per square inch of valve area </w:t>
            </w:r>
          </w:p>
        </w:tc>
        <w:tc>
          <w:tcPr>
            <w:tcW w:w="722" w:type="dxa"/>
          </w:tcPr>
          <w:p w:rsidR="002B0AD7" w:rsidRDefault="002B0AD7">
            <w:r>
              <w:t>16.0</w:t>
            </w:r>
          </w:p>
        </w:tc>
        <w:tc>
          <w:tcPr>
            <w:tcW w:w="1100" w:type="dxa"/>
          </w:tcPr>
          <w:p w:rsidR="002B0AD7" w:rsidRDefault="002B0AD7">
            <w:r>
              <w:t>29.9</w:t>
            </w:r>
          </w:p>
        </w:tc>
        <w:tc>
          <w:tcPr>
            <w:tcW w:w="1100" w:type="dxa"/>
          </w:tcPr>
          <w:p w:rsidR="002B0AD7" w:rsidRDefault="002B0AD7">
            <w:r>
              <w:t>41.5</w:t>
            </w:r>
          </w:p>
        </w:tc>
        <w:tc>
          <w:tcPr>
            <w:tcW w:w="1100" w:type="dxa"/>
          </w:tcPr>
          <w:p w:rsidR="002B0AD7" w:rsidRDefault="002B0AD7">
            <w:r>
              <w:t>50.7</w:t>
            </w:r>
          </w:p>
        </w:tc>
        <w:tc>
          <w:tcPr>
            <w:tcW w:w="1100" w:type="dxa"/>
          </w:tcPr>
          <w:p w:rsidR="002B0AD7" w:rsidRDefault="002B0AD7">
            <w:r>
              <w:t>57.6</w:t>
            </w:r>
          </w:p>
        </w:tc>
        <w:tc>
          <w:tcPr>
            <w:tcW w:w="1100" w:type="dxa"/>
          </w:tcPr>
          <w:p w:rsidR="002B0AD7" w:rsidRDefault="002B0AD7">
            <w:r>
              <w:t>62.1</w:t>
            </w:r>
          </w:p>
        </w:tc>
        <w:tc>
          <w:tcPr>
            <w:tcW w:w="1101" w:type="dxa"/>
          </w:tcPr>
          <w:p w:rsidR="002B0AD7" w:rsidRDefault="002B0AD7">
            <w:r>
              <w:t>64.2</w:t>
            </w:r>
          </w:p>
        </w:tc>
        <w:tc>
          <w:tcPr>
            <w:tcW w:w="1101" w:type="dxa"/>
          </w:tcPr>
          <w:p w:rsidR="002B0AD7" w:rsidRDefault="002B0AD7">
            <w:r>
              <w:t>63.9</w:t>
            </w:r>
          </w:p>
        </w:tc>
      </w:tr>
    </w:tbl>
    <w:p w:rsidR="00CA769E" w:rsidRDefault="002B0AD7">
      <w:r>
        <w:t>These data points can be divided with VFR to result in the desired co-efficient of discharge. Formula</w:t>
      </w:r>
      <w:r w:rsidR="00F64F6D">
        <w:t xml:space="preserve"> used is listed below:</w:t>
      </w:r>
    </w:p>
    <w:p w:rsidR="00F64F6D" w:rsidRPr="00F64F6D" w:rsidRDefault="00F64F6D">
      <m:oMathPara>
        <m:oMathParaPr>
          <m:jc m:val="left"/>
        </m:oMathParaPr>
        <m:oMath>
          <m:r>
            <w:rPr>
              <w:rFonts w:ascii="Cambria Math" w:hAnsi="Cambria Math"/>
            </w:rPr>
            <m:t>Cd=</m:t>
          </m:r>
          <m:f>
            <m:fPr>
              <m:ctrlPr>
                <w:rPr>
                  <w:rFonts w:ascii="Cambria Math" w:hAnsi="Cambria Math"/>
                  <w:i/>
                </w:rPr>
              </m:ctrlPr>
            </m:fPr>
            <m:num>
              <m:r>
                <w:rPr>
                  <w:rFonts w:ascii="Cambria Math" w:hAnsi="Cambria Math"/>
                </w:rPr>
                <m:t>VFR</m:t>
              </m:r>
            </m:num>
            <m:den>
              <m:r>
                <w:rPr>
                  <w:rFonts w:ascii="Cambria Math" w:hAnsi="Cambria Math"/>
                </w:rPr>
                <m:t>Valve Flow Potential</m:t>
              </m:r>
            </m:den>
          </m:f>
        </m:oMath>
      </m:oMathPara>
    </w:p>
    <w:p w:rsidR="00F64F6D" w:rsidRPr="00CA769E" w:rsidRDefault="00CA769E">
      <w:r>
        <w:lastRenderedPageBreak/>
        <w:t xml:space="preserve"> </w:t>
      </w:r>
      <w:r w:rsidR="00AE72A5">
        <w:rPr>
          <w:b/>
          <w:u w:val="single"/>
        </w:rPr>
        <w:t>6</w:t>
      </w:r>
      <w:r w:rsidR="00C10A31">
        <w:rPr>
          <w:b/>
          <w:u w:val="single"/>
        </w:rPr>
        <w:t xml:space="preserve">. </w:t>
      </w:r>
      <w:r w:rsidR="005478B2">
        <w:rPr>
          <w:b/>
          <w:u w:val="single"/>
        </w:rPr>
        <w:t>Analysis</w:t>
      </w:r>
    </w:p>
    <w:p w:rsidR="00CA769E" w:rsidRDefault="00CA769E">
      <w:pPr>
        <w:rPr>
          <w:b/>
          <w:u w:val="single"/>
        </w:rPr>
      </w:pPr>
    </w:p>
    <w:p w:rsidR="00F64F6D" w:rsidRDefault="00F64F6D">
      <w:r w:rsidRPr="00F64F6D">
        <w:t xml:space="preserve">Listed below is the results from all four testes with </w:t>
      </w:r>
      <w:r w:rsidR="00776193">
        <w:t>the modified and standard head.</w:t>
      </w:r>
    </w:p>
    <w:p w:rsidR="00776193" w:rsidRDefault="00776193">
      <w:r>
        <w:t xml:space="preserve">Fig </w:t>
      </w:r>
      <w:r w:rsidR="00677768">
        <w:t>1</w:t>
      </w:r>
      <w:r>
        <w:t>: Results and conversion for the modified head on the intake side.</w:t>
      </w:r>
    </w:p>
    <w:p w:rsidR="00F64F6D" w:rsidRDefault="00F64F6D">
      <w:r>
        <w:rPr>
          <w:noProof/>
          <w:lang w:eastAsia="en-GB"/>
        </w:rPr>
        <w:drawing>
          <wp:inline distT="0" distB="0" distL="0" distR="0" wp14:anchorId="39A59E33" wp14:editId="275CB674">
            <wp:extent cx="6053138" cy="11936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80" t="23636" r="39508" b="55535"/>
                    <a:stretch/>
                  </pic:blipFill>
                  <pic:spPr bwMode="auto">
                    <a:xfrm>
                      <a:off x="0" y="0"/>
                      <a:ext cx="6126491" cy="1208160"/>
                    </a:xfrm>
                    <a:prstGeom prst="rect">
                      <a:avLst/>
                    </a:prstGeom>
                    <a:ln>
                      <a:noFill/>
                    </a:ln>
                    <a:extLst>
                      <a:ext uri="{53640926-AAD7-44D8-BBD7-CCE9431645EC}">
                        <a14:shadowObscured xmlns:a14="http://schemas.microsoft.com/office/drawing/2010/main"/>
                      </a:ext>
                    </a:extLst>
                  </pic:spPr>
                </pic:pic>
              </a:graphicData>
            </a:graphic>
          </wp:inline>
        </w:drawing>
      </w:r>
    </w:p>
    <w:p w:rsidR="00F64F6D" w:rsidRDefault="00776193">
      <w:r>
        <w:t xml:space="preserve">Fig </w:t>
      </w:r>
      <w:r w:rsidR="00677768">
        <w:t>2</w:t>
      </w:r>
      <w:r>
        <w:t>: Results and conversion for the modified head on the Exhaust side.</w:t>
      </w:r>
    </w:p>
    <w:p w:rsidR="00F64F6D" w:rsidRDefault="00F64F6D">
      <w:r>
        <w:rPr>
          <w:noProof/>
          <w:lang w:eastAsia="en-GB"/>
        </w:rPr>
        <w:drawing>
          <wp:inline distT="0" distB="0" distL="0" distR="0" wp14:anchorId="661AB76B" wp14:editId="4CE297AD">
            <wp:extent cx="6015038" cy="12715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246" t="44915" r="39417" b="32785"/>
                    <a:stretch/>
                  </pic:blipFill>
                  <pic:spPr bwMode="auto">
                    <a:xfrm>
                      <a:off x="0" y="0"/>
                      <a:ext cx="6137916" cy="1297502"/>
                    </a:xfrm>
                    <a:prstGeom prst="rect">
                      <a:avLst/>
                    </a:prstGeom>
                    <a:ln>
                      <a:noFill/>
                    </a:ln>
                    <a:extLst>
                      <a:ext uri="{53640926-AAD7-44D8-BBD7-CCE9431645EC}">
                        <a14:shadowObscured xmlns:a14="http://schemas.microsoft.com/office/drawing/2010/main"/>
                      </a:ext>
                    </a:extLst>
                  </pic:spPr>
                </pic:pic>
              </a:graphicData>
            </a:graphic>
          </wp:inline>
        </w:drawing>
      </w:r>
    </w:p>
    <w:p w:rsidR="00776193" w:rsidRDefault="00776193">
      <w:r>
        <w:t xml:space="preserve">Fig </w:t>
      </w:r>
      <w:r w:rsidR="00677768">
        <w:t>3</w:t>
      </w:r>
      <w:r>
        <w:t>: Results and conversion for the standard head on the intake side.</w:t>
      </w:r>
    </w:p>
    <w:p w:rsidR="00776193" w:rsidRDefault="00776193">
      <w:r>
        <w:rPr>
          <w:noProof/>
          <w:lang w:eastAsia="en-GB"/>
        </w:rPr>
        <w:drawing>
          <wp:inline distT="0" distB="0" distL="0" distR="0" wp14:anchorId="43DA5976" wp14:editId="15F3E581">
            <wp:extent cx="6018402" cy="14144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2710" t="22750" r="3197" b="54648"/>
                    <a:stretch/>
                  </pic:blipFill>
                  <pic:spPr bwMode="auto">
                    <a:xfrm>
                      <a:off x="0" y="0"/>
                      <a:ext cx="6050776" cy="1422071"/>
                    </a:xfrm>
                    <a:prstGeom prst="rect">
                      <a:avLst/>
                    </a:prstGeom>
                    <a:ln>
                      <a:noFill/>
                    </a:ln>
                    <a:extLst>
                      <a:ext uri="{53640926-AAD7-44D8-BBD7-CCE9431645EC}">
                        <a14:shadowObscured xmlns:a14="http://schemas.microsoft.com/office/drawing/2010/main"/>
                      </a:ext>
                    </a:extLst>
                  </pic:spPr>
                </pic:pic>
              </a:graphicData>
            </a:graphic>
          </wp:inline>
        </w:drawing>
      </w:r>
    </w:p>
    <w:p w:rsidR="00776193" w:rsidRDefault="00776193">
      <w:r>
        <w:t xml:space="preserve">Fig </w:t>
      </w:r>
      <w:r w:rsidR="00677768">
        <w:t>4</w:t>
      </w:r>
      <w:r>
        <w:t>: Results and conversion for the standard head on the exhaust side.</w:t>
      </w:r>
    </w:p>
    <w:p w:rsidR="00776193" w:rsidRPr="00F64F6D" w:rsidRDefault="00776193">
      <w:r>
        <w:rPr>
          <w:noProof/>
          <w:lang w:eastAsia="en-GB"/>
        </w:rPr>
        <w:drawing>
          <wp:inline distT="0" distB="0" distL="0" distR="0" wp14:anchorId="5FBF7040" wp14:editId="2CCB9C63">
            <wp:extent cx="6024437" cy="1400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2544" t="45204" r="3113" b="32341"/>
                    <a:stretch/>
                  </pic:blipFill>
                  <pic:spPr bwMode="auto">
                    <a:xfrm>
                      <a:off x="0" y="0"/>
                      <a:ext cx="6101423" cy="1418068"/>
                    </a:xfrm>
                    <a:prstGeom prst="rect">
                      <a:avLst/>
                    </a:prstGeom>
                    <a:ln>
                      <a:noFill/>
                    </a:ln>
                    <a:extLst>
                      <a:ext uri="{53640926-AAD7-44D8-BBD7-CCE9431645EC}">
                        <a14:shadowObscured xmlns:a14="http://schemas.microsoft.com/office/drawing/2010/main"/>
                      </a:ext>
                    </a:extLst>
                  </pic:spPr>
                </pic:pic>
              </a:graphicData>
            </a:graphic>
          </wp:inline>
        </w:drawing>
      </w:r>
    </w:p>
    <w:p w:rsidR="00BA3E33" w:rsidRDefault="00BA3E33">
      <w:pPr>
        <w:rPr>
          <w:b/>
          <w:u w:val="single"/>
        </w:rPr>
      </w:pPr>
    </w:p>
    <w:p w:rsidR="00CA769E" w:rsidRDefault="00CA769E">
      <w:pPr>
        <w:rPr>
          <w:b/>
          <w:u w:val="single"/>
        </w:rPr>
      </w:pPr>
    </w:p>
    <w:p w:rsidR="00F5034A" w:rsidRDefault="00F5034A">
      <w:pPr>
        <w:rPr>
          <w:b/>
          <w:u w:val="single"/>
        </w:rPr>
      </w:pPr>
      <w:r w:rsidRPr="00214507">
        <w:rPr>
          <w:b/>
          <w:u w:val="single"/>
        </w:rPr>
        <w:lastRenderedPageBreak/>
        <w:t xml:space="preserve">Volumetric flow rate </w:t>
      </w:r>
    </w:p>
    <w:p w:rsidR="00C10A31" w:rsidRPr="00214507" w:rsidRDefault="00C10A31">
      <w:pPr>
        <w:rPr>
          <w:b/>
          <w:u w:val="single"/>
        </w:rPr>
      </w:pPr>
    </w:p>
    <w:p w:rsidR="00F5034A" w:rsidRDefault="00BA3E33">
      <w:r>
        <w:t xml:space="preserve">The volumetric flow rate is the first parameter which is calculated.  By using the Formula </w:t>
      </w:r>
      <w:r w:rsidR="00207820">
        <w:t xml:space="preserve">volumetric flow rate can be </w:t>
      </w:r>
      <w:r w:rsidR="00C17F42">
        <w:t>used to create graphs to illustrate the differences between the heads.</w:t>
      </w:r>
    </w:p>
    <w:p w:rsidR="00AB35F1" w:rsidRDefault="00AB35F1">
      <w:r>
        <w:t xml:space="preserve">Fig </w:t>
      </w:r>
      <w:r w:rsidR="00677768">
        <w:t>5</w:t>
      </w:r>
      <w:r>
        <w:t>: Table illustrating the results from the volumetric flow rate on the standard and modified head.</w:t>
      </w:r>
    </w:p>
    <w:p w:rsidR="00BA3E33" w:rsidRDefault="00AB35F1">
      <w:r>
        <w:rPr>
          <w:noProof/>
          <w:lang w:eastAsia="en-GB"/>
        </w:rPr>
        <w:drawing>
          <wp:inline distT="0" distB="0" distL="0" distR="0" wp14:anchorId="68D3D514" wp14:editId="40CC3B0D">
            <wp:extent cx="5622749" cy="127158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98" t="22306" r="56376" b="60555"/>
                    <a:stretch/>
                  </pic:blipFill>
                  <pic:spPr bwMode="auto">
                    <a:xfrm>
                      <a:off x="0" y="0"/>
                      <a:ext cx="5773770" cy="1305741"/>
                    </a:xfrm>
                    <a:prstGeom prst="rect">
                      <a:avLst/>
                    </a:prstGeom>
                    <a:ln>
                      <a:noFill/>
                    </a:ln>
                    <a:extLst>
                      <a:ext uri="{53640926-AAD7-44D8-BBD7-CCE9431645EC}">
                        <a14:shadowObscured xmlns:a14="http://schemas.microsoft.com/office/drawing/2010/main"/>
                      </a:ext>
                    </a:extLst>
                  </pic:spPr>
                </pic:pic>
              </a:graphicData>
            </a:graphic>
          </wp:inline>
        </w:drawing>
      </w:r>
    </w:p>
    <w:p w:rsidR="00AB35F1" w:rsidRDefault="00AB35F1">
      <w:r>
        <w:t xml:space="preserve">Fig </w:t>
      </w:r>
      <w:r w:rsidR="00677768">
        <w:t>6</w:t>
      </w:r>
      <w:r>
        <w:t>: Table illustrating the results from the volumetric flow rate on the standard and modified head.</w:t>
      </w:r>
    </w:p>
    <w:p w:rsidR="00AB35F1" w:rsidRDefault="00AB35F1">
      <w:r>
        <w:rPr>
          <w:noProof/>
          <w:lang w:eastAsia="en-GB"/>
        </w:rPr>
        <w:drawing>
          <wp:inline distT="0" distB="0" distL="0" distR="0" wp14:anchorId="13AB736D" wp14:editId="6845955F">
            <wp:extent cx="5601549" cy="12096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13" t="42249" r="56374" b="41352"/>
                    <a:stretch/>
                  </pic:blipFill>
                  <pic:spPr bwMode="auto">
                    <a:xfrm>
                      <a:off x="0" y="0"/>
                      <a:ext cx="5716723" cy="1234547"/>
                    </a:xfrm>
                    <a:prstGeom prst="rect">
                      <a:avLst/>
                    </a:prstGeom>
                    <a:ln>
                      <a:noFill/>
                    </a:ln>
                    <a:extLst>
                      <a:ext uri="{53640926-AAD7-44D8-BBD7-CCE9431645EC}">
                        <a14:shadowObscured xmlns:a14="http://schemas.microsoft.com/office/drawing/2010/main"/>
                      </a:ext>
                    </a:extLst>
                  </pic:spPr>
                </pic:pic>
              </a:graphicData>
            </a:graphic>
          </wp:inline>
        </w:drawing>
      </w:r>
    </w:p>
    <w:p w:rsidR="008F5854" w:rsidRDefault="005C17DB" w:rsidP="008F5854">
      <w:r>
        <w:t xml:space="preserve">With both </w:t>
      </w:r>
      <w:r w:rsidR="00D47B7F">
        <w:t xml:space="preserve">all of the volumetric flow-rates calculated for the standard and modified head, a graph can be created to understand the fundamental differences between the head port design.  Listed </w:t>
      </w:r>
      <w:r w:rsidR="00982283">
        <w:t>below (</w:t>
      </w:r>
      <w:r w:rsidR="00677768">
        <w:t>fig7</w:t>
      </w:r>
      <w:r w:rsidR="00D47B7F">
        <w:t xml:space="preserve">) is the intake </w:t>
      </w:r>
      <w:r w:rsidR="00982283">
        <w:t xml:space="preserve">graph comparing the both heads.  The </w:t>
      </w:r>
      <w:r w:rsidR="008F5854">
        <w:t>red</w:t>
      </w:r>
      <w:r w:rsidR="00982283">
        <w:t xml:space="preserve"> line representing </w:t>
      </w:r>
      <w:r w:rsidR="008F5854">
        <w:t>the modified head and the green</w:t>
      </w:r>
      <w:r w:rsidR="00982283">
        <w:t xml:space="preserve"> line representing the standard head clearly shows a difference between the two.</w:t>
      </w:r>
      <w:r w:rsidR="008F5854">
        <w:t xml:space="preserve">  The modified and standard head start at a relatively same position meaning that there isn’t an advantage in volumetric flow at low valve lift until the valve opens 3mm wide.  At this point the standard head is a consistent progressive linear pattern reaching a potential of 0.037</w:t>
      </w:r>
      <w:r w:rsidR="008F5854" w:rsidRPr="008F5854">
        <w:rPr>
          <w:rFonts w:eastAsiaTheme="minorEastAsia" w:hAnsi="Times New Roman"/>
          <w:color w:val="595959"/>
          <w:kern w:val="24"/>
          <w:lang w:eastAsia="en-GB"/>
        </w:rPr>
        <w:t xml:space="preserve"> </w:t>
      </w:r>
      <w:r w:rsidR="008F5854" w:rsidRPr="008F5854">
        <w:t>(m³/sec)</w:t>
      </w:r>
      <w:r w:rsidR="008F5854">
        <w:t xml:space="preserve"> when the valve is open 11.1mm.  The linear pattern on the standard head illustrates </w:t>
      </w:r>
      <w:r w:rsidR="009A1C09">
        <w:t>an</w:t>
      </w:r>
      <w:r w:rsidR="008F5854">
        <w:t xml:space="preserve"> efficient head design without any fluctuations and an average flow.  This is due to the fact that the port has development in the shape and angle of the port causing the air to flow smoothly.  This allows the engine to have a predictable amount of airflow </w:t>
      </w:r>
      <w:r w:rsidR="00AB381D">
        <w:t xml:space="preserve">into the engine </w:t>
      </w:r>
      <w:r w:rsidR="008F5854">
        <w:t xml:space="preserve">so a map can be created relying in </w:t>
      </w:r>
      <w:r w:rsidR="00AB381D">
        <w:t>consistent air flow.</w:t>
      </w:r>
    </w:p>
    <w:p w:rsidR="00CA769E" w:rsidRDefault="00AB381D">
      <w:r>
        <w:t xml:space="preserve">Looking at the modified head the amount of flow increases slightly at 3mm of valve lift meaning that there is a slight increase in valve flow at that point in the valve movement. After 4.2 mm of valve lift the graph seems to </w:t>
      </w:r>
      <w:r w:rsidR="00677768" w:rsidRPr="00E202D7">
        <w:t>fluctuate</w:t>
      </w:r>
      <w:r>
        <w:t xml:space="preserve">.  This is </w:t>
      </w:r>
      <w:r w:rsidR="00E202D7" w:rsidRPr="00E202D7">
        <w:t>fluctuates</w:t>
      </w:r>
      <w:r>
        <w:t xml:space="preserve"> means at a certain point on the valve movement, the flow decreases from its linear pattern.  This could be caused by the port to have different interior angles causing the air to react differently to the standard head for example the air to have an increases amount of vortices.  Once at 6.9 mm the flow seems to level off meaning that the efficiency of the valve is at its optimum at higher valve lift.  Comparing the two heads, the difference in flow is 0.0059</w:t>
      </w:r>
      <w:r>
        <w:rPr>
          <w:rFonts w:eastAsiaTheme="minorEastAsia" w:hAnsi="Times New Roman"/>
          <w:color w:val="595959"/>
          <w:kern w:val="24"/>
          <w:lang w:eastAsia="en-GB"/>
        </w:rPr>
        <w:t xml:space="preserve"> </w:t>
      </w:r>
      <w:r>
        <w:t>m³/sec which is at its maximum lift.  This means that more air can enter the engine and intern can increase the amount of fuel to be utilised.</w:t>
      </w:r>
    </w:p>
    <w:p w:rsidR="005478B2" w:rsidRDefault="005478B2">
      <w:r>
        <w:lastRenderedPageBreak/>
        <w:t xml:space="preserve">Fig </w:t>
      </w:r>
      <w:r w:rsidR="00677768">
        <w:t>7</w:t>
      </w:r>
      <w:r>
        <w:t>: Graph comparing the standard and modified head on the intake.</w:t>
      </w:r>
    </w:p>
    <w:p w:rsidR="00982283" w:rsidRDefault="00614A1E">
      <w:r>
        <w:rPr>
          <w:noProof/>
          <w:lang w:eastAsia="en-GB"/>
        </w:rPr>
        <w:drawing>
          <wp:inline distT="0" distB="0" distL="0" distR="0" wp14:anchorId="5B4316FA" wp14:editId="4B1E7760">
            <wp:extent cx="5629088" cy="3377453"/>
            <wp:effectExtent l="0" t="0" r="10160" b="1397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10A31" w:rsidRDefault="00C10A31"/>
    <w:p w:rsidR="0003308E" w:rsidRDefault="00614A1E" w:rsidP="002E78F6">
      <w:r>
        <w:t xml:space="preserve">In the Graph below (fig </w:t>
      </w:r>
      <w:r w:rsidR="00677768">
        <w:t>8</w:t>
      </w:r>
      <w:r>
        <w:t xml:space="preserve">) illustrates the modified and standard head on the exhaust side.  Unlike the intake side the differences are </w:t>
      </w:r>
      <w:r w:rsidR="00277290">
        <w:t>relatively</w:t>
      </w:r>
      <w:r>
        <w:t xml:space="preserve"> close and matched. </w:t>
      </w:r>
      <w:r w:rsidR="00277290">
        <w:t xml:space="preserve">This is due to the less aggressive porting that’s carries out. This is due to the fact that the gins that can be achieved re quite minimal. </w:t>
      </w:r>
      <w:r w:rsidR="007367D5">
        <w:t xml:space="preserve">Looking at the standard head which is the green line </w:t>
      </w:r>
      <w:r w:rsidR="00C17F42">
        <w:t>reveals</w:t>
      </w:r>
      <w:r w:rsidR="007367D5">
        <w:t xml:space="preserve"> a linear line.  </w:t>
      </w:r>
      <w:r w:rsidR="00C17F42">
        <w:t>Similar</w:t>
      </w:r>
      <w:r w:rsidR="007367D5">
        <w:t xml:space="preserve"> to the front, the angles that are developed are efficient at the whole range</w:t>
      </w:r>
      <w:r w:rsidR="00C17F42">
        <w:t xml:space="preserve"> of the valve lift.  Looking at the modified head, the modified head decreases in flow at 2.4 mm of valve lift.  This is possibly due to the fact that the interior shape of the port is increased excessively decreasing the amount of flow in the exiting the engine. This is because the air decreases in velocity if the internal shape is too large for the airflow.  Once the valve lift exceeds 6mm point, the flow that’s enters the port increases meaning that the port is beginning to become adequate for the amount of air entering the port.  This then increases linearly until maximum valve lift of 9.6mm is reached. This proves that once the valve opens more than half way, then the port will operate at its maximum performance.  Comparing th</w:t>
      </w:r>
      <w:r w:rsidR="002E78F6">
        <w:t>e</w:t>
      </w:r>
      <w:r w:rsidR="00C17F42">
        <w:t xml:space="preserve"> </w:t>
      </w:r>
      <w:r w:rsidR="002E78F6">
        <w:t>two</w:t>
      </w:r>
      <w:r w:rsidR="00C17F42">
        <w:t xml:space="preserve"> curves at the maximum lift there is a difference of </w:t>
      </w:r>
      <w:r w:rsidR="002E78F6">
        <w:t>0.0015</w:t>
      </w:r>
      <w:r w:rsidR="002E78F6" w:rsidRPr="002E78F6">
        <w:t xml:space="preserve"> </w:t>
      </w:r>
      <w:r w:rsidR="002E78F6">
        <w:t>m³/sec which is hardly a difference but this small difference combined with other aspects in the engine like the manifold design and fuel injection can make the engine slightly more efficient and more powerful.</w:t>
      </w:r>
    </w:p>
    <w:p w:rsidR="008C7882" w:rsidRDefault="008C7882"/>
    <w:p w:rsidR="00C10A31" w:rsidRDefault="00C10A31"/>
    <w:p w:rsidR="00C10A31" w:rsidRDefault="00C10A31"/>
    <w:p w:rsidR="00C10A31" w:rsidRDefault="00C10A31"/>
    <w:p w:rsidR="00C10A31" w:rsidRDefault="00C10A31"/>
    <w:p w:rsidR="0003308E" w:rsidRDefault="0003308E">
      <w:r>
        <w:lastRenderedPageBreak/>
        <w:t xml:space="preserve">Fig </w:t>
      </w:r>
      <w:r w:rsidR="00677768">
        <w:t>8</w:t>
      </w:r>
      <w:r>
        <w:t>: Graph comparing the standard and modified head on the exhaust.</w:t>
      </w:r>
    </w:p>
    <w:p w:rsidR="005478B2" w:rsidRDefault="0003308E">
      <w:r>
        <w:rPr>
          <w:noProof/>
          <w:lang w:eastAsia="en-GB"/>
        </w:rPr>
        <w:drawing>
          <wp:inline distT="0" distB="0" distL="0" distR="0" wp14:anchorId="4FCE45CF" wp14:editId="6C52086F">
            <wp:extent cx="5610413" cy="3366248"/>
            <wp:effectExtent l="0" t="0" r="9525" b="571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10A31" w:rsidRDefault="00C10A31">
      <w:pPr>
        <w:rPr>
          <w:b/>
          <w:u w:val="single"/>
        </w:rPr>
      </w:pPr>
    </w:p>
    <w:p w:rsidR="00F5034A" w:rsidRDefault="00F5034A">
      <w:pPr>
        <w:rPr>
          <w:b/>
          <w:u w:val="single"/>
        </w:rPr>
      </w:pPr>
      <w:r w:rsidRPr="00214507">
        <w:rPr>
          <w:b/>
          <w:u w:val="single"/>
        </w:rPr>
        <w:t>Flow velocity</w:t>
      </w:r>
    </w:p>
    <w:p w:rsidR="00C10A31" w:rsidRPr="00214507" w:rsidRDefault="00C10A31">
      <w:pPr>
        <w:rPr>
          <w:b/>
          <w:u w:val="single"/>
        </w:rPr>
      </w:pPr>
    </w:p>
    <w:p w:rsidR="00F5034A" w:rsidRDefault="00B867AD">
      <w:r>
        <w:t xml:space="preserve">Flow velocity is the speed of air coming into the engine which allows </w:t>
      </w:r>
      <w:r w:rsidR="00250020">
        <w:t>an increase in engine efficiency.  The flow velocity is calculated using the relevant</w:t>
      </w:r>
      <w:r w:rsidR="0096176E">
        <w:t xml:space="preserve"> formula and is used to identify both intake and exhaust flow velocities. This is</w:t>
      </w:r>
      <w:r w:rsidR="00677768">
        <w:t xml:space="preserve"> apparent in the two</w:t>
      </w:r>
      <w:r w:rsidR="0096176E">
        <w:t xml:space="preserve"> tables below (fig </w:t>
      </w:r>
      <w:r w:rsidR="00677768">
        <w:t>9 &amp;10</w:t>
      </w:r>
      <w:r w:rsidR="0096176E">
        <w:t>)</w:t>
      </w:r>
    </w:p>
    <w:p w:rsidR="00250020" w:rsidRDefault="00250020">
      <w:r>
        <w:t xml:space="preserve">Fig </w:t>
      </w:r>
      <w:r w:rsidR="00677768">
        <w:t>9</w:t>
      </w:r>
      <w:r>
        <w:t xml:space="preserve">: Table of the intake flow velocity </w:t>
      </w:r>
    </w:p>
    <w:p w:rsidR="00250020" w:rsidRDefault="00250020">
      <w:r>
        <w:rPr>
          <w:noProof/>
          <w:lang w:eastAsia="en-GB"/>
        </w:rPr>
        <w:drawing>
          <wp:inline distT="0" distB="0" distL="0" distR="0" wp14:anchorId="025EE3D8" wp14:editId="184DD25E">
            <wp:extent cx="5372100" cy="145382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55" t="21124" r="53468" b="58487"/>
                    <a:stretch/>
                  </pic:blipFill>
                  <pic:spPr bwMode="auto">
                    <a:xfrm>
                      <a:off x="0" y="0"/>
                      <a:ext cx="5410246" cy="1464149"/>
                    </a:xfrm>
                    <a:prstGeom prst="rect">
                      <a:avLst/>
                    </a:prstGeom>
                    <a:ln>
                      <a:noFill/>
                    </a:ln>
                    <a:extLst>
                      <a:ext uri="{53640926-AAD7-44D8-BBD7-CCE9431645EC}">
                        <a14:shadowObscured xmlns:a14="http://schemas.microsoft.com/office/drawing/2010/main"/>
                      </a:ext>
                    </a:extLst>
                  </pic:spPr>
                </pic:pic>
              </a:graphicData>
            </a:graphic>
          </wp:inline>
        </w:drawing>
      </w:r>
    </w:p>
    <w:p w:rsidR="00C10A31" w:rsidRDefault="00C10A31"/>
    <w:p w:rsidR="00C10A31" w:rsidRDefault="00C10A31"/>
    <w:p w:rsidR="00C10A31" w:rsidRDefault="00C10A31"/>
    <w:p w:rsidR="00C10A31" w:rsidRDefault="00C10A31"/>
    <w:p w:rsidR="002C2E24" w:rsidRDefault="002C2E24">
      <w:r>
        <w:lastRenderedPageBreak/>
        <w:t xml:space="preserve">Fig </w:t>
      </w:r>
      <w:r w:rsidR="00677768">
        <w:t>10</w:t>
      </w:r>
      <w:r>
        <w:t xml:space="preserve">: Table of the exhaust flow velocity </w:t>
      </w:r>
    </w:p>
    <w:p w:rsidR="002C2E24" w:rsidRDefault="002C2E24">
      <w:r>
        <w:rPr>
          <w:noProof/>
          <w:lang w:eastAsia="en-GB"/>
        </w:rPr>
        <w:drawing>
          <wp:inline distT="0" distB="0" distL="0" distR="0" wp14:anchorId="5884D32A" wp14:editId="233B8665">
            <wp:extent cx="5376825" cy="15049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238" t="41511" r="53303" b="37361"/>
                    <a:stretch/>
                  </pic:blipFill>
                  <pic:spPr bwMode="auto">
                    <a:xfrm>
                      <a:off x="0" y="0"/>
                      <a:ext cx="5411081" cy="1514538"/>
                    </a:xfrm>
                    <a:prstGeom prst="rect">
                      <a:avLst/>
                    </a:prstGeom>
                    <a:ln>
                      <a:noFill/>
                    </a:ln>
                    <a:extLst>
                      <a:ext uri="{53640926-AAD7-44D8-BBD7-CCE9431645EC}">
                        <a14:shadowObscured xmlns:a14="http://schemas.microsoft.com/office/drawing/2010/main"/>
                      </a:ext>
                    </a:extLst>
                  </pic:spPr>
                </pic:pic>
              </a:graphicData>
            </a:graphic>
          </wp:inline>
        </w:drawing>
      </w:r>
    </w:p>
    <w:p w:rsidR="00FC649F" w:rsidRDefault="00FC649F">
      <w:r>
        <w:t xml:space="preserve">Once all of the data points have been calculated, it can be integrated into a graph to show the comparison between the standard and modified heads.  Below (fig </w:t>
      </w:r>
      <w:r w:rsidR="00677768">
        <w:t>11</w:t>
      </w:r>
      <w:r>
        <w:t xml:space="preserve">) shows the intake velocity on the standard and modified head. Looking at the standard head which is the green lone of the graph.  This shows a linear consistent curve.  Comparing the curve to the VFR curve they are basically identical which is further evidence that the design of the port is efficient in it delivery.  This in turn makes the air velocity very reliable allowing the air to fuel map to be efficient in its delivery </w:t>
      </w:r>
      <w:r w:rsidR="00F92359">
        <w:t xml:space="preserve">by predicting the speed of which the air is entering the engine and providing the certain amount of fuel accordingly.  </w:t>
      </w:r>
    </w:p>
    <w:p w:rsidR="00F92359" w:rsidRDefault="00F92359">
      <w:r>
        <w:t xml:space="preserve">The modified head on the other hand has a different type of curve almost replicating the VRF again. Although has an advantage in the flow velocity, the speed at which the air travels </w:t>
      </w:r>
      <w:r w:rsidRPr="00F92359">
        <w:t>fluctuates</w:t>
      </w:r>
      <w:r>
        <w:t>.  This again may be caused by the different angle in the port due to the fact that an excessive amount of material is removes from the port. This can have an opposite to the venture effect where is the opening is too large then the air drastically reduces it velocity.  Once at higher valve opening and more air enters the port, the velocity increases at a steady rate while levelling off. This shows that the port has a point where the no gains can be made if the diameter or shape of the ports is further altered.</w:t>
      </w:r>
    </w:p>
    <w:p w:rsidR="00F92359" w:rsidRDefault="00F92359">
      <w:r>
        <w:t xml:space="preserve">Fig </w:t>
      </w:r>
      <w:r w:rsidR="00677768">
        <w:t>11</w:t>
      </w:r>
      <w:r>
        <w:t>: Intake flow velocity graph for modified and standard heads</w:t>
      </w:r>
    </w:p>
    <w:p w:rsidR="0096176E" w:rsidRDefault="00FC649F">
      <w:r>
        <w:rPr>
          <w:noProof/>
          <w:lang w:eastAsia="en-GB"/>
        </w:rPr>
        <w:drawing>
          <wp:inline distT="0" distB="0" distL="0" distR="0" wp14:anchorId="18BFFF56" wp14:editId="30A88346">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95EC6" w:rsidRDefault="007764D7">
      <w:r>
        <w:lastRenderedPageBreak/>
        <w:t>The exhaust flo</w:t>
      </w:r>
      <w:r w:rsidR="00CC64C5">
        <w:t>w</w:t>
      </w:r>
      <w:r>
        <w:t xml:space="preserve"> velocity is also compared to identify is the same phenomenon occurs. In the graph below (fig </w:t>
      </w:r>
      <w:r w:rsidR="00677768">
        <w:t>12</w:t>
      </w:r>
      <w:r>
        <w:t xml:space="preserve">) is an illustration of the exhaust </w:t>
      </w:r>
      <w:r w:rsidR="00AE35AE">
        <w:t>flow</w:t>
      </w:r>
      <w:r>
        <w:t xml:space="preserve"> velocity of the standard and the modified head. </w:t>
      </w:r>
      <w:r w:rsidR="00CC64C5">
        <w:t xml:space="preserve"> Staring with the standard head the exactly same graph curvature occurs, this is further evidence that the standard head a quite efficient, in design by creating consistencies throughout the tests.  As for the modified head is a different story in terms of the graph curvature.  The head is resembling a linear and </w:t>
      </w:r>
      <w:r w:rsidR="00F95EC6">
        <w:t>consistent</w:t>
      </w:r>
      <w:r w:rsidR="00CC64C5">
        <w:t xml:space="preserve"> curvature. Although at low valve lift, the flow is low until 4.8mm of valve lift where it has </w:t>
      </w:r>
      <w:r w:rsidR="00677768">
        <w:t>an</w:t>
      </w:r>
      <w:r w:rsidR="00CC64C5">
        <w:t xml:space="preserve"> increase in flow compared to the standard. This liner also continues to the maximum valve</w:t>
      </w:r>
      <w:r w:rsidR="00F95EC6">
        <w:t xml:space="preserve"> lift. Comparing this graph with the previous VFR graph reveals that the flow curve on the floe velocity is smooth in comparison. This means that the engine has a problem in </w:t>
      </w:r>
      <w:r w:rsidR="00E202D7" w:rsidRPr="00E202D7">
        <w:t>fluctuates</w:t>
      </w:r>
      <w:r w:rsidR="00F95EC6">
        <w:t xml:space="preserve"> in volumetric flow-rate but flow velocity is steady basically meaning that there is less air in the amount of space available but the air is moving relatively quickly. </w:t>
      </w:r>
    </w:p>
    <w:p w:rsidR="00F95EC6" w:rsidRDefault="00F95EC6"/>
    <w:p w:rsidR="00F95EC6" w:rsidRDefault="00F95EC6">
      <w:r>
        <w:t xml:space="preserve">Fig </w:t>
      </w:r>
      <w:r w:rsidR="00677768">
        <w:t>12</w:t>
      </w:r>
      <w:r>
        <w:t>: Exhaust flow velocity on the standard and modified head</w:t>
      </w:r>
    </w:p>
    <w:p w:rsidR="00C10A31" w:rsidRPr="00C10A31" w:rsidRDefault="00AE35AE">
      <w:r>
        <w:rPr>
          <w:noProof/>
          <w:lang w:eastAsia="en-GB"/>
        </w:rPr>
        <w:drawing>
          <wp:inline distT="0" distB="0" distL="0" distR="0" wp14:anchorId="75D1BCDA" wp14:editId="6017CF98">
            <wp:extent cx="45720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5034A" w:rsidRDefault="00F5034A">
      <w:pPr>
        <w:rPr>
          <w:b/>
          <w:u w:val="single"/>
        </w:rPr>
      </w:pPr>
      <w:r w:rsidRPr="00214507">
        <w:rPr>
          <w:b/>
          <w:u w:val="single"/>
        </w:rPr>
        <w:t>Co-Efficient of discharge</w:t>
      </w:r>
    </w:p>
    <w:p w:rsidR="00C10A31" w:rsidRDefault="00C10A31">
      <w:pPr>
        <w:rPr>
          <w:b/>
          <w:u w:val="single"/>
        </w:rPr>
      </w:pPr>
    </w:p>
    <w:p w:rsidR="00780DB9" w:rsidRDefault="00780DB9">
      <w:r>
        <w:t xml:space="preserve">The coefficient of discharge is first calculated using the formula. One the date is calculated, the graph for comparison can be made. </w:t>
      </w:r>
    </w:p>
    <w:p w:rsidR="00B56EC0" w:rsidRPr="00B56EC0" w:rsidRDefault="00B56EC0">
      <w:r>
        <w:t xml:space="preserve">Fig </w:t>
      </w:r>
      <w:r w:rsidR="00677768">
        <w:t>13</w:t>
      </w:r>
      <w:r>
        <w:t xml:space="preserve">: Table showing the co-efficient of discharge on the intake </w:t>
      </w:r>
    </w:p>
    <w:p w:rsidR="00F5034A" w:rsidRDefault="00B56EC0">
      <w:r>
        <w:rPr>
          <w:noProof/>
          <w:lang w:eastAsia="en-GB"/>
        </w:rPr>
        <w:drawing>
          <wp:inline distT="0" distB="0" distL="0" distR="0" wp14:anchorId="35EA9B1B" wp14:editId="2B9936E6">
            <wp:extent cx="5178428" cy="13239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81" t="20091" r="54714" b="59816"/>
                    <a:stretch/>
                  </pic:blipFill>
                  <pic:spPr bwMode="auto">
                    <a:xfrm>
                      <a:off x="0" y="0"/>
                      <a:ext cx="5224678" cy="1335800"/>
                    </a:xfrm>
                    <a:prstGeom prst="rect">
                      <a:avLst/>
                    </a:prstGeom>
                    <a:ln>
                      <a:noFill/>
                    </a:ln>
                    <a:extLst>
                      <a:ext uri="{53640926-AAD7-44D8-BBD7-CCE9431645EC}">
                        <a14:shadowObscured xmlns:a14="http://schemas.microsoft.com/office/drawing/2010/main"/>
                      </a:ext>
                    </a:extLst>
                  </pic:spPr>
                </pic:pic>
              </a:graphicData>
            </a:graphic>
          </wp:inline>
        </w:drawing>
      </w:r>
    </w:p>
    <w:p w:rsidR="00B56EC0" w:rsidRDefault="00B56EC0" w:rsidP="00B56EC0">
      <w:r>
        <w:lastRenderedPageBreak/>
        <w:t xml:space="preserve">Fig </w:t>
      </w:r>
      <w:r w:rsidR="00677768">
        <w:t>14</w:t>
      </w:r>
      <w:r>
        <w:t>: Table showing the co-efficient of discharge on the exhaust</w:t>
      </w:r>
    </w:p>
    <w:p w:rsidR="00B56EC0" w:rsidRDefault="00B56EC0">
      <w:r>
        <w:rPr>
          <w:noProof/>
          <w:lang w:eastAsia="en-GB"/>
        </w:rPr>
        <w:drawing>
          <wp:inline distT="0" distB="0" distL="0" distR="0" wp14:anchorId="4DBE3B7C" wp14:editId="06FCBBB1">
            <wp:extent cx="5153349" cy="128111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98" t="40625" r="54540" b="39724"/>
                    <a:stretch/>
                  </pic:blipFill>
                  <pic:spPr bwMode="auto">
                    <a:xfrm>
                      <a:off x="0" y="0"/>
                      <a:ext cx="5204344" cy="1293789"/>
                    </a:xfrm>
                    <a:prstGeom prst="rect">
                      <a:avLst/>
                    </a:prstGeom>
                    <a:ln>
                      <a:noFill/>
                    </a:ln>
                    <a:extLst>
                      <a:ext uri="{53640926-AAD7-44D8-BBD7-CCE9431645EC}">
                        <a14:shadowObscured xmlns:a14="http://schemas.microsoft.com/office/drawing/2010/main"/>
                      </a:ext>
                    </a:extLst>
                  </pic:spPr>
                </pic:pic>
              </a:graphicData>
            </a:graphic>
          </wp:inline>
        </w:drawing>
      </w:r>
    </w:p>
    <w:p w:rsidR="00780DB9" w:rsidRDefault="00780DB9">
      <w:r>
        <w:t xml:space="preserve">The co-efficient of discharge is a ratio between the actual flow discharge and the </w:t>
      </w:r>
      <w:r w:rsidR="00677768">
        <w:t xml:space="preserve">theoretical </w:t>
      </w:r>
      <w:r>
        <w:t xml:space="preserve">discharge.  This is mainly referred to a ratio of mass rate and the nozzle edge. This depends on the flow and the velocity of the </w:t>
      </w:r>
      <w:r w:rsidRPr="00780DB9">
        <w:rPr>
          <w:rFonts w:cstheme="minorHAnsi"/>
        </w:rPr>
        <w:t>air</w:t>
      </w:r>
      <w:r w:rsidRPr="00780DB9">
        <w:rPr>
          <w:rFonts w:cstheme="minorHAnsi"/>
          <w:color w:val="000000"/>
          <w:sz w:val="20"/>
          <w:szCs w:val="20"/>
          <w:shd w:val="clear" w:color="auto" w:fill="FFFFFF"/>
        </w:rPr>
        <w:t xml:space="preserve"> </w:t>
      </w:r>
      <w:r>
        <w:rPr>
          <w:rFonts w:cstheme="minorHAnsi"/>
          <w:color w:val="000000"/>
          <w:sz w:val="20"/>
          <w:szCs w:val="20"/>
          <w:shd w:val="clear" w:color="auto" w:fill="FFFFFF"/>
        </w:rPr>
        <w:t>(Brandt, 2017</w:t>
      </w:r>
      <w:r w:rsidRPr="00780DB9">
        <w:rPr>
          <w:rFonts w:cstheme="minorHAnsi"/>
          <w:color w:val="000000"/>
          <w:sz w:val="20"/>
          <w:szCs w:val="20"/>
          <w:shd w:val="clear" w:color="auto" w:fill="FFFFFF"/>
        </w:rPr>
        <w:t>)</w:t>
      </w:r>
      <w:r w:rsidRPr="00780DB9">
        <w:rPr>
          <w:rFonts w:cstheme="minorHAnsi"/>
        </w:rPr>
        <w:t>.</w:t>
      </w:r>
      <w:r>
        <w:t xml:space="preserve">  Basically</w:t>
      </w:r>
      <w:r w:rsidR="0002182F">
        <w:t xml:space="preserve"> the in a pipe the flow rate varies depending on the nozzle or output size effectively creating a venturi effect.</w:t>
      </w:r>
    </w:p>
    <w:p w:rsidR="0002182F" w:rsidRDefault="0002182F">
      <w:r>
        <w:t xml:space="preserve">The co efficient can be calculated to understand if the air is accelerated due to the diameter or shape of the pipe.  Looking at the first graph </w:t>
      </w:r>
      <w:r w:rsidR="00677768">
        <w:t>(fig15</w:t>
      </w:r>
      <w:r w:rsidR="00A436E8">
        <w:t xml:space="preserve">) </w:t>
      </w:r>
      <w:r>
        <w:t xml:space="preserve">shows the co-efficient of discharge if the intake.  Looking at the standard head shows an upward line with a small initial start.  The initial opening of the valve shows a slow air speed then increases at 2.8 mm.  When the valve is opened further, the air speed decreases because of the amount of air flow that’s entering the engine.  When the valve opens to its maximum potential, the air speed increases. Comparing the standard head to the modified head reveals the same jagged pattern.  The wave pattern shows an increase of air speed in the middle of opening the vales to full potential.  This contradicts the other graphs where the centre of the table shows an increase in air velocity </w:t>
      </w:r>
      <w:r w:rsidR="009367BA">
        <w:t xml:space="preserve">at the peaks of the waveform.  </w:t>
      </w:r>
    </w:p>
    <w:p w:rsidR="0002182F" w:rsidRDefault="00A436E8">
      <w:r>
        <w:t xml:space="preserve">Fig </w:t>
      </w:r>
      <w:r w:rsidR="00677768">
        <w:t>15</w:t>
      </w:r>
      <w:r>
        <w:t xml:space="preserve">: Graph of co-efficient of discharge of the intake.  </w:t>
      </w:r>
    </w:p>
    <w:p w:rsidR="00780DB9" w:rsidRDefault="00780DB9">
      <w:r>
        <w:rPr>
          <w:noProof/>
          <w:lang w:eastAsia="en-GB"/>
        </w:rPr>
        <w:drawing>
          <wp:inline distT="0" distB="0" distL="0" distR="0" wp14:anchorId="53F05BA3" wp14:editId="4082E354">
            <wp:extent cx="45720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01EED" w:rsidRDefault="00101EED">
      <w:r>
        <w:t xml:space="preserve">With the exhaust side of the co-efficient of discharge reveals a similar pattern to the VFR and FV. The both head start at the same result but the standard head maintains a linear air velocity.  But gets overtaken by the modified head when the head reaches is peak performance.  </w:t>
      </w:r>
      <w:r w:rsidR="009C7FBF">
        <w:t>This is because the modified port is most efficient at high</w:t>
      </w:r>
      <w:r w:rsidR="004F6F23">
        <w:t>er valve operation.  Combined with the co-efficient of discharge where the air is accelerated to the end of the</w:t>
      </w:r>
      <w:r w:rsidR="00677768">
        <w:t xml:space="preserve"> port to create</w:t>
      </w:r>
      <w:r w:rsidR="004F6F23">
        <w:t xml:space="preserve"> a high flowing engine.</w:t>
      </w:r>
      <w:r w:rsidR="009C7FBF">
        <w:t xml:space="preserve"> </w:t>
      </w:r>
    </w:p>
    <w:p w:rsidR="00A436E8" w:rsidRDefault="00A436E8">
      <w:r>
        <w:lastRenderedPageBreak/>
        <w:t xml:space="preserve">Fig </w:t>
      </w:r>
      <w:r w:rsidR="00677768">
        <w:t>16</w:t>
      </w:r>
      <w:r>
        <w:t xml:space="preserve">: Graph of Co-efficient of discharge on the exhaust </w:t>
      </w:r>
    </w:p>
    <w:p w:rsidR="00A436E8" w:rsidRDefault="00A436E8">
      <w:r>
        <w:rPr>
          <w:noProof/>
          <w:lang w:eastAsia="en-GB"/>
        </w:rPr>
        <w:drawing>
          <wp:inline distT="0" distB="0" distL="0" distR="0" wp14:anchorId="627FEEF3" wp14:editId="289592CB">
            <wp:extent cx="4572000" cy="27432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10A31" w:rsidRDefault="00C10A31">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CA769E" w:rsidRDefault="00CA769E">
      <w:pPr>
        <w:rPr>
          <w:b/>
          <w:u w:val="single"/>
        </w:rPr>
      </w:pPr>
    </w:p>
    <w:p w:rsidR="00F5034A" w:rsidRPr="00214507" w:rsidRDefault="00AE72A5">
      <w:pPr>
        <w:rPr>
          <w:b/>
          <w:u w:val="single"/>
        </w:rPr>
      </w:pPr>
      <w:r>
        <w:rPr>
          <w:b/>
          <w:u w:val="single"/>
        </w:rPr>
        <w:lastRenderedPageBreak/>
        <w:t>7</w:t>
      </w:r>
      <w:r w:rsidR="00C10A31">
        <w:rPr>
          <w:b/>
          <w:u w:val="single"/>
        </w:rPr>
        <w:t xml:space="preserve">. </w:t>
      </w:r>
      <w:r w:rsidR="00677768" w:rsidRPr="00214507">
        <w:rPr>
          <w:b/>
          <w:u w:val="single"/>
        </w:rPr>
        <w:t xml:space="preserve">Conclusion </w:t>
      </w:r>
      <w:r w:rsidR="00F5034A" w:rsidRPr="00214507">
        <w:rPr>
          <w:b/>
          <w:u w:val="single"/>
        </w:rPr>
        <w:t xml:space="preserve"> </w:t>
      </w:r>
    </w:p>
    <w:p w:rsidR="0036543C" w:rsidRDefault="00647D4D">
      <w:r>
        <w:t xml:space="preserve">When </w:t>
      </w:r>
      <w:r w:rsidR="00FD13A4">
        <w:t>amazing</w:t>
      </w:r>
      <w:r>
        <w:t xml:space="preserve"> all of the data, it is apparent that the modified head has an issue with the ‘</w:t>
      </w:r>
      <w:r w:rsidR="00FD13A4">
        <w:t>jagged</w:t>
      </w:r>
      <w:r>
        <w:t xml:space="preserve">’ waveforms. Comparing the </w:t>
      </w:r>
      <w:r w:rsidR="00FD13A4">
        <w:t>results</w:t>
      </w:r>
      <w:r>
        <w:t xml:space="preserve"> with other teams has revealed that this may be an error with ether the setup of the test or the fact the</w:t>
      </w:r>
      <w:r w:rsidR="00FD13A4">
        <w:t xml:space="preserve"> flow bench used can only reach 10 h20 per inch.  This means that the test could be invalid due to the fact that the cylinder head can be exposed to more air velocity and pressure.  This can create a real world simulation to ensure valid results.  A re test should be carried out on the more superior flow ben to achieve 25h2O per inch to simulate a real wold test.   Another factor that can affect the test is the temperature at which the machine is running at.  Because these machine</w:t>
      </w:r>
      <w:r w:rsidR="0036543C">
        <w:t>s</w:t>
      </w:r>
      <w:r w:rsidR="00FD13A4">
        <w:t xml:space="preserve"> run quite hot, the air density isn’t at is ideal potential which can cause the test to be invalid.  </w:t>
      </w:r>
      <w:r w:rsidR="0036543C">
        <w:t xml:space="preserve">In future the machine can possibly be warmed up to ensure an accurate results. </w:t>
      </w:r>
    </w:p>
    <w:p w:rsidR="00F5034A" w:rsidRDefault="00FD13A4">
      <w:r>
        <w:t xml:space="preserve"> Regardless of the discrepancies with the modified head </w:t>
      </w:r>
      <w:r w:rsidR="0036543C">
        <w:t>fluctuations,</w:t>
      </w:r>
      <w:r>
        <w:t xml:space="preserve"> the modified head revealed that on the intake the air flow had increases in both VFR and FV</w:t>
      </w:r>
      <w:r w:rsidR="0036543C">
        <w:t xml:space="preserve"> throughout the calculations</w:t>
      </w:r>
      <w:r>
        <w:t xml:space="preserve">.  With this increase </w:t>
      </w:r>
      <w:r w:rsidR="0036543C">
        <w:t>in efficiency, this</w:t>
      </w:r>
      <w:r>
        <w:t xml:space="preserve"> creates </w:t>
      </w:r>
      <w:r w:rsidR="0036543C">
        <w:t>the</w:t>
      </w:r>
      <w:r>
        <w:t xml:space="preserve"> problem in which the modified port reaches a maximum efficiency.  On the exhaust side in every test, the standard port is more efficient until half of the valve movement.  </w:t>
      </w:r>
      <w:r w:rsidR="0036543C">
        <w:t>At which point the modified head is more efficient in both VFR and FV.</w:t>
      </w:r>
    </w:p>
    <w:p w:rsidR="00F5034A" w:rsidRDefault="00F5034A"/>
    <w:p w:rsidR="00C10A31" w:rsidRDefault="00C10A31"/>
    <w:p w:rsidR="00C10A31" w:rsidRDefault="00C10A31"/>
    <w:p w:rsidR="00C10A31" w:rsidRDefault="00C10A31"/>
    <w:p w:rsidR="00C10A31" w:rsidRDefault="00C10A31"/>
    <w:p w:rsidR="00C10A31" w:rsidRDefault="00C10A31"/>
    <w:p w:rsidR="00CA769E" w:rsidRDefault="00CA769E"/>
    <w:p w:rsidR="00CA769E" w:rsidRDefault="00CA769E"/>
    <w:p w:rsidR="00CA769E" w:rsidRDefault="00CA769E"/>
    <w:p w:rsidR="00CA769E" w:rsidRDefault="00CA769E"/>
    <w:p w:rsidR="00CA769E" w:rsidRDefault="00CA769E"/>
    <w:p w:rsidR="00CA769E" w:rsidRDefault="00CA769E"/>
    <w:p w:rsidR="00CA769E" w:rsidRDefault="00CA769E"/>
    <w:p w:rsidR="00CA769E" w:rsidRDefault="00CA769E"/>
    <w:p w:rsidR="00CA769E" w:rsidRDefault="00CA769E"/>
    <w:p w:rsidR="00CA769E" w:rsidRDefault="00CA769E"/>
    <w:p w:rsidR="00CA769E" w:rsidRDefault="00CA769E"/>
    <w:p w:rsidR="00934E00" w:rsidRDefault="00AE72A5">
      <w:pPr>
        <w:rPr>
          <w:b/>
          <w:u w:val="single"/>
        </w:rPr>
      </w:pPr>
      <w:r>
        <w:rPr>
          <w:b/>
          <w:u w:val="single"/>
        </w:rPr>
        <w:lastRenderedPageBreak/>
        <w:t>8</w:t>
      </w:r>
      <w:r w:rsidR="00C10A31">
        <w:rPr>
          <w:b/>
          <w:u w:val="single"/>
        </w:rPr>
        <w:t xml:space="preserve"> .</w:t>
      </w:r>
      <w:r w:rsidR="00F5034A" w:rsidRPr="00214507">
        <w:rPr>
          <w:b/>
          <w:u w:val="single"/>
        </w:rPr>
        <w:t xml:space="preserve">Bibliography </w:t>
      </w:r>
    </w:p>
    <w:p w:rsidR="00006B7E" w:rsidRDefault="00006B7E" w:rsidP="00C809F2">
      <w:pPr>
        <w:pStyle w:val="ListParagraph"/>
        <w:numPr>
          <w:ilvl w:val="0"/>
          <w:numId w:val="2"/>
        </w:numPr>
        <w:rPr>
          <w:rFonts w:cstheme="minorHAnsi"/>
          <w:color w:val="000000"/>
          <w:shd w:val="clear" w:color="auto" w:fill="FFFFFF"/>
        </w:rPr>
      </w:pPr>
      <w:r w:rsidRPr="00006B7E">
        <w:rPr>
          <w:rFonts w:cstheme="minorHAnsi"/>
          <w:color w:val="000000"/>
          <w:shd w:val="clear" w:color="auto" w:fill="FFFFFF"/>
        </w:rPr>
        <w:t>Hollingshead, C., Johnson, M., Barfuss, S. and Spall, R. (2011). Discharge coefficient performance of Venturi, standard concentric orifice plate, V-cone and wedge flow meters at low Reynolds numbers. </w:t>
      </w:r>
      <w:r w:rsidRPr="00006B7E">
        <w:rPr>
          <w:rFonts w:cstheme="minorHAnsi"/>
          <w:i/>
          <w:iCs/>
          <w:color w:val="000000"/>
          <w:shd w:val="clear" w:color="auto" w:fill="FFFFFF"/>
        </w:rPr>
        <w:t>Journal of Petroleum Science and Engineering</w:t>
      </w:r>
      <w:r w:rsidRPr="00006B7E">
        <w:rPr>
          <w:rFonts w:cstheme="minorHAnsi"/>
          <w:color w:val="000000"/>
          <w:shd w:val="clear" w:color="auto" w:fill="FFFFFF"/>
        </w:rPr>
        <w:t>, 78(3-4), pp.559-566.</w:t>
      </w:r>
    </w:p>
    <w:p w:rsidR="00006B7E" w:rsidRPr="00006B7E" w:rsidRDefault="00006B7E" w:rsidP="00C809F2">
      <w:pPr>
        <w:pStyle w:val="ListParagraph"/>
        <w:numPr>
          <w:ilvl w:val="0"/>
          <w:numId w:val="2"/>
        </w:numPr>
        <w:rPr>
          <w:rFonts w:cstheme="minorHAnsi"/>
          <w:color w:val="000000"/>
          <w:shd w:val="clear" w:color="auto" w:fill="FFFFFF"/>
        </w:rPr>
      </w:pPr>
      <w:r>
        <w:rPr>
          <w:rFonts w:ascii="Arial" w:hAnsi="Arial" w:cs="Arial"/>
          <w:color w:val="000000"/>
          <w:sz w:val="20"/>
          <w:szCs w:val="20"/>
          <w:shd w:val="clear" w:color="auto" w:fill="FFFFFF"/>
        </w:rPr>
        <w:t>Abu-Qudais, M., Asfar, K. and Al-Azzam, R. (2001). Engine performance using vaporizing carburetor. </w:t>
      </w:r>
      <w:r>
        <w:rPr>
          <w:rFonts w:ascii="Arial" w:hAnsi="Arial" w:cs="Arial"/>
          <w:i/>
          <w:iCs/>
          <w:color w:val="000000"/>
          <w:sz w:val="20"/>
          <w:szCs w:val="20"/>
          <w:shd w:val="clear" w:color="auto" w:fill="FFFFFF"/>
        </w:rPr>
        <w:t>Energy Conversion and Management</w:t>
      </w:r>
      <w:r>
        <w:rPr>
          <w:rFonts w:ascii="Arial" w:hAnsi="Arial" w:cs="Arial"/>
          <w:color w:val="000000"/>
          <w:sz w:val="20"/>
          <w:szCs w:val="20"/>
          <w:shd w:val="clear" w:color="auto" w:fill="FFFFFF"/>
        </w:rPr>
        <w:t>, 42(6), pp.755-761.</w:t>
      </w:r>
    </w:p>
    <w:p w:rsidR="00F5034A" w:rsidRPr="00C809F2" w:rsidRDefault="00934E00" w:rsidP="00C809F2">
      <w:pPr>
        <w:pStyle w:val="ListParagraph"/>
        <w:numPr>
          <w:ilvl w:val="0"/>
          <w:numId w:val="2"/>
        </w:numPr>
        <w:rPr>
          <w:rFonts w:cstheme="minorHAnsi"/>
          <w:color w:val="000000"/>
          <w:shd w:val="clear" w:color="auto" w:fill="FFFFFF"/>
        </w:rPr>
      </w:pPr>
      <w:r w:rsidRPr="00C809F2">
        <w:rPr>
          <w:rFonts w:cstheme="minorHAnsi"/>
          <w:color w:val="000000"/>
          <w:shd w:val="clear" w:color="auto" w:fill="FFFFFF"/>
        </w:rPr>
        <w:t>Chauhan, A. (2019). </w:t>
      </w:r>
      <w:r w:rsidRPr="00C809F2">
        <w:rPr>
          <w:rFonts w:cstheme="minorHAnsi"/>
          <w:i/>
          <w:iCs/>
          <w:color w:val="000000"/>
          <w:shd w:val="clear" w:color="auto" w:fill="FFFFFF"/>
        </w:rPr>
        <w:t>What are the single-point and multi-point fuel injection systems? - Quora</w:t>
      </w:r>
      <w:r w:rsidRPr="00C809F2">
        <w:rPr>
          <w:rFonts w:cstheme="minorHAnsi"/>
          <w:color w:val="000000"/>
          <w:shd w:val="clear" w:color="auto" w:fill="FFFFFF"/>
        </w:rPr>
        <w:t>. [online] Quora.com. Available at: https://www.quora.com/What-are-the-single-point-and-multi-point-fuel-injection-systems [Accessed 24 Jan. 2019].</w:t>
      </w:r>
    </w:p>
    <w:p w:rsidR="003C7636" w:rsidRPr="00C809F2" w:rsidRDefault="003C7636" w:rsidP="00C809F2">
      <w:pPr>
        <w:pStyle w:val="ListParagraph"/>
        <w:numPr>
          <w:ilvl w:val="0"/>
          <w:numId w:val="2"/>
        </w:numPr>
        <w:rPr>
          <w:rFonts w:cstheme="minorHAnsi"/>
          <w:color w:val="000000"/>
          <w:shd w:val="clear" w:color="auto" w:fill="FFFFFF"/>
        </w:rPr>
      </w:pPr>
      <w:r w:rsidRPr="00C809F2">
        <w:rPr>
          <w:rFonts w:cstheme="minorHAnsi"/>
          <w:color w:val="000000"/>
          <w:shd w:val="clear" w:color="auto" w:fill="FFFFFF"/>
        </w:rPr>
        <w:t>Klimstra, J. (1989). Carburettors for Gaseous Fuels — On Air-to-Fuel Ratio, Homogeneity and Flow Restriction. </w:t>
      </w:r>
      <w:r w:rsidRPr="00C809F2">
        <w:rPr>
          <w:rFonts w:cstheme="minorHAnsi"/>
          <w:i/>
          <w:iCs/>
          <w:color w:val="000000"/>
          <w:shd w:val="clear" w:color="auto" w:fill="FFFFFF"/>
        </w:rPr>
        <w:t>JOURNAL OF ENGINES</w:t>
      </w:r>
      <w:r w:rsidRPr="00C809F2">
        <w:rPr>
          <w:rFonts w:cstheme="minorHAnsi"/>
          <w:color w:val="000000"/>
          <w:shd w:val="clear" w:color="auto" w:fill="FFFFFF"/>
        </w:rPr>
        <w:t>, 98, pp.2095-2111.</w:t>
      </w:r>
    </w:p>
    <w:p w:rsidR="00A35FE4" w:rsidRPr="00C809F2" w:rsidRDefault="00A35FE4" w:rsidP="00C809F2">
      <w:pPr>
        <w:pStyle w:val="ListParagraph"/>
        <w:numPr>
          <w:ilvl w:val="0"/>
          <w:numId w:val="2"/>
        </w:numPr>
        <w:rPr>
          <w:rFonts w:cstheme="minorHAnsi"/>
          <w:color w:val="000000"/>
          <w:shd w:val="clear" w:color="auto" w:fill="FFFFFF"/>
        </w:rPr>
      </w:pPr>
      <w:r w:rsidRPr="00C809F2">
        <w:rPr>
          <w:rFonts w:cstheme="minorHAnsi"/>
          <w:color w:val="000000"/>
          <w:shd w:val="clear" w:color="auto" w:fill="FFFFFF"/>
        </w:rPr>
        <w:t>Tanaka, M. and Durbin, E. (1977). Transient Response of a Carburetor Engine. </w:t>
      </w:r>
      <w:r w:rsidRPr="00C809F2">
        <w:rPr>
          <w:rFonts w:cstheme="minorHAnsi"/>
          <w:i/>
          <w:iCs/>
          <w:color w:val="000000"/>
          <w:shd w:val="clear" w:color="auto" w:fill="FFFFFF"/>
        </w:rPr>
        <w:t>SAE Transactions</w:t>
      </w:r>
      <w:r w:rsidRPr="00C809F2">
        <w:rPr>
          <w:rFonts w:cstheme="minorHAnsi"/>
          <w:color w:val="000000"/>
          <w:shd w:val="clear" w:color="auto" w:fill="FFFFFF"/>
        </w:rPr>
        <w:t>, 86, pp.224-238.</w:t>
      </w:r>
    </w:p>
    <w:p w:rsidR="00E41FAE" w:rsidRPr="00C809F2" w:rsidRDefault="00E41FAE" w:rsidP="00C809F2">
      <w:pPr>
        <w:pStyle w:val="ListParagraph"/>
        <w:numPr>
          <w:ilvl w:val="0"/>
          <w:numId w:val="2"/>
        </w:numPr>
        <w:rPr>
          <w:rFonts w:cstheme="minorHAnsi"/>
          <w:color w:val="000000"/>
          <w:shd w:val="clear" w:color="auto" w:fill="FFFFFF"/>
        </w:rPr>
      </w:pPr>
      <w:r w:rsidRPr="00C809F2">
        <w:rPr>
          <w:rFonts w:cstheme="minorHAnsi"/>
          <w:color w:val="000000"/>
          <w:shd w:val="clear" w:color="auto" w:fill="FFFFFF"/>
        </w:rPr>
        <w:t>Kao, M. and Moskwa, J. (1994). Nonlinear Cylinder and Intake Manifold Pressure Observers for Engine Control and Diagnostics. </w:t>
      </w:r>
      <w:r w:rsidRPr="00C809F2">
        <w:rPr>
          <w:rFonts w:cstheme="minorHAnsi"/>
          <w:i/>
          <w:iCs/>
          <w:color w:val="000000"/>
          <w:shd w:val="clear" w:color="auto" w:fill="FFFFFF"/>
        </w:rPr>
        <w:t>SAE Transactions</w:t>
      </w:r>
      <w:r w:rsidRPr="00C809F2">
        <w:rPr>
          <w:rFonts w:cstheme="minorHAnsi"/>
          <w:color w:val="000000"/>
          <w:shd w:val="clear" w:color="auto" w:fill="FFFFFF"/>
        </w:rPr>
        <w:t>, 103, pp.462-469.</w:t>
      </w:r>
    </w:p>
    <w:p w:rsidR="00895D04" w:rsidRPr="00C809F2" w:rsidRDefault="00895D04" w:rsidP="00C809F2">
      <w:pPr>
        <w:pStyle w:val="ListParagraph"/>
        <w:numPr>
          <w:ilvl w:val="0"/>
          <w:numId w:val="2"/>
        </w:numPr>
        <w:rPr>
          <w:rFonts w:cstheme="minorHAnsi"/>
          <w:color w:val="000000"/>
          <w:shd w:val="clear" w:color="auto" w:fill="FFFFFF"/>
        </w:rPr>
      </w:pPr>
      <w:r w:rsidRPr="00C809F2">
        <w:rPr>
          <w:rFonts w:cstheme="minorHAnsi"/>
          <w:color w:val="000000"/>
          <w:shd w:val="clear" w:color="auto" w:fill="FFFFFF"/>
        </w:rPr>
        <w:t>Galindo, J., Luján, J., Serrano, J., Dolz, V. and Guilain, S. (2004). Design of an exhaust manifold to improve transient performance of a high-speed turbocharged diesel engine. </w:t>
      </w:r>
      <w:r w:rsidRPr="00C809F2">
        <w:rPr>
          <w:rFonts w:cstheme="minorHAnsi"/>
          <w:i/>
          <w:iCs/>
          <w:color w:val="000000"/>
          <w:shd w:val="clear" w:color="auto" w:fill="FFFFFF"/>
        </w:rPr>
        <w:t>Experimental Thermal and Fluid Science</w:t>
      </w:r>
      <w:r w:rsidRPr="00C809F2">
        <w:rPr>
          <w:rFonts w:cstheme="minorHAnsi"/>
          <w:color w:val="000000"/>
          <w:shd w:val="clear" w:color="auto" w:fill="FFFFFF"/>
        </w:rPr>
        <w:t>, 28(8), pp.863-875.</w:t>
      </w:r>
    </w:p>
    <w:p w:rsidR="00780DB9" w:rsidRPr="00C809F2" w:rsidRDefault="00780DB9" w:rsidP="00C809F2">
      <w:pPr>
        <w:pStyle w:val="ListParagraph"/>
        <w:numPr>
          <w:ilvl w:val="0"/>
          <w:numId w:val="2"/>
        </w:numPr>
        <w:rPr>
          <w:rFonts w:cstheme="minorHAnsi"/>
          <w:b/>
        </w:rPr>
      </w:pPr>
      <w:bookmarkStart w:id="1" w:name="_GoBack"/>
      <w:bookmarkEnd w:id="1"/>
      <w:r w:rsidRPr="00C809F2">
        <w:rPr>
          <w:rFonts w:cstheme="minorHAnsi"/>
          <w:color w:val="000000"/>
          <w:shd w:val="clear" w:color="auto" w:fill="FFFFFF"/>
        </w:rPr>
        <w:t>Brandt, M. (2017). </w:t>
      </w:r>
      <w:r w:rsidRPr="00C809F2">
        <w:rPr>
          <w:rFonts w:cstheme="minorHAnsi"/>
          <w:i/>
          <w:iCs/>
          <w:color w:val="000000"/>
          <w:shd w:val="clear" w:color="auto" w:fill="FFFFFF"/>
        </w:rPr>
        <w:t>Discharge Coefficient - an overview | ScienceDirect Topics</w:t>
      </w:r>
      <w:r w:rsidRPr="00C809F2">
        <w:rPr>
          <w:rFonts w:cstheme="minorHAnsi"/>
          <w:color w:val="000000"/>
          <w:shd w:val="clear" w:color="auto" w:fill="FFFFFF"/>
        </w:rPr>
        <w:t>. [online] Sciencedirect.com. Available at: https://www.sciencedirect.com/topics/earth-and-planetary-sciences/discharge-coefficient [Accessed 28 Jan. 2019].</w:t>
      </w:r>
    </w:p>
    <w:sectPr w:rsidR="00780DB9" w:rsidRPr="00C809F2" w:rsidSect="00776193">
      <w:footerReference w:type="default" r:id="rId18"/>
      <w:pgSz w:w="11906" w:h="16838"/>
      <w:pgMar w:top="1440" w:right="1440" w:bottom="1440" w:left="1440" w:header="708"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4658" w:rsidRDefault="00A64658" w:rsidP="00776193">
      <w:pPr>
        <w:spacing w:after="0" w:line="240" w:lineRule="auto"/>
      </w:pPr>
      <w:r>
        <w:separator/>
      </w:r>
    </w:p>
  </w:endnote>
  <w:endnote w:type="continuationSeparator" w:id="0">
    <w:p w:rsidR="00A64658" w:rsidRDefault="00A64658" w:rsidP="00776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1018242"/>
      <w:docPartObj>
        <w:docPartGallery w:val="Page Numbers (Bottom of Page)"/>
        <w:docPartUnique/>
      </w:docPartObj>
    </w:sdtPr>
    <w:sdtEndPr>
      <w:rPr>
        <w:noProof/>
      </w:rPr>
    </w:sdtEndPr>
    <w:sdtContent>
      <w:p w:rsidR="00780DB9" w:rsidRDefault="00780DB9">
        <w:pPr>
          <w:pStyle w:val="Footer"/>
          <w:jc w:val="right"/>
        </w:pPr>
        <w:r>
          <w:ptab w:relativeTo="margin" w:alignment="center" w:leader="none"/>
        </w:r>
      </w:p>
    </w:sdtContent>
  </w:sdt>
  <w:p w:rsidR="00780DB9" w:rsidRDefault="00780DB9" w:rsidP="00776193">
    <w:pPr>
      <w:pStyle w:val="Footer"/>
    </w:pPr>
    <w:r>
      <w:t>Ashleigh Jones (1707088)</w:t>
    </w:r>
    <w:r w:rsidRPr="00776193">
      <w:t xml:space="preserve"> </w:t>
    </w:r>
    <w:r>
      <w:t xml:space="preserve">                                                                                                                                  </w:t>
    </w:r>
    <w:r>
      <w:fldChar w:fldCharType="begin"/>
    </w:r>
    <w:r>
      <w:instrText xml:space="preserve"> PAGE   \* MERGEFORMAT </w:instrText>
    </w:r>
    <w:r>
      <w:fldChar w:fldCharType="separate"/>
    </w:r>
    <w:r w:rsidR="0074392A">
      <w:rPr>
        <w:noProof/>
      </w:rPr>
      <w:t>20</w:t>
    </w:r>
    <w:r>
      <w:rPr>
        <w:noProof/>
      </w:rPr>
      <w:fldChar w:fldCharType="end"/>
    </w:r>
  </w:p>
  <w:p w:rsidR="00780DB9" w:rsidRDefault="00780DB9"/>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4658" w:rsidRDefault="00A64658" w:rsidP="00776193">
      <w:pPr>
        <w:spacing w:after="0" w:line="240" w:lineRule="auto"/>
      </w:pPr>
      <w:r>
        <w:separator/>
      </w:r>
    </w:p>
  </w:footnote>
  <w:footnote w:type="continuationSeparator" w:id="0">
    <w:p w:rsidR="00A64658" w:rsidRDefault="00A64658" w:rsidP="00776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841A8B"/>
    <w:multiLevelType w:val="hybridMultilevel"/>
    <w:tmpl w:val="ECD06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C6C67"/>
    <w:multiLevelType w:val="hybridMultilevel"/>
    <w:tmpl w:val="02A616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0C1AFA"/>
    <w:rsid w:val="00006B7E"/>
    <w:rsid w:val="0002182F"/>
    <w:rsid w:val="0002404A"/>
    <w:rsid w:val="0003308E"/>
    <w:rsid w:val="000A7B12"/>
    <w:rsid w:val="000C1AFA"/>
    <w:rsid w:val="000C68EA"/>
    <w:rsid w:val="000F34F3"/>
    <w:rsid w:val="000F7BD8"/>
    <w:rsid w:val="00101EED"/>
    <w:rsid w:val="00101FE9"/>
    <w:rsid w:val="00110A27"/>
    <w:rsid w:val="00157A22"/>
    <w:rsid w:val="00175359"/>
    <w:rsid w:val="00186439"/>
    <w:rsid w:val="001A1240"/>
    <w:rsid w:val="001C2968"/>
    <w:rsid w:val="0020059B"/>
    <w:rsid w:val="00201AA7"/>
    <w:rsid w:val="00207820"/>
    <w:rsid w:val="00214507"/>
    <w:rsid w:val="00232843"/>
    <w:rsid w:val="00250020"/>
    <w:rsid w:val="00277290"/>
    <w:rsid w:val="002B0AD7"/>
    <w:rsid w:val="002C2E24"/>
    <w:rsid w:val="002C550A"/>
    <w:rsid w:val="002E1862"/>
    <w:rsid w:val="002E78F6"/>
    <w:rsid w:val="002F19D4"/>
    <w:rsid w:val="00351D47"/>
    <w:rsid w:val="0036543C"/>
    <w:rsid w:val="003654A1"/>
    <w:rsid w:val="00381A3F"/>
    <w:rsid w:val="00394CA7"/>
    <w:rsid w:val="0039619F"/>
    <w:rsid w:val="003C7636"/>
    <w:rsid w:val="00404768"/>
    <w:rsid w:val="004362CB"/>
    <w:rsid w:val="004D57BB"/>
    <w:rsid w:val="004F6F23"/>
    <w:rsid w:val="00535AEE"/>
    <w:rsid w:val="005478B2"/>
    <w:rsid w:val="00593664"/>
    <w:rsid w:val="005B35B1"/>
    <w:rsid w:val="005C17DB"/>
    <w:rsid w:val="005D60DE"/>
    <w:rsid w:val="006114E7"/>
    <w:rsid w:val="00614A1E"/>
    <w:rsid w:val="00643E7A"/>
    <w:rsid w:val="00647D4D"/>
    <w:rsid w:val="00657FB8"/>
    <w:rsid w:val="006603D3"/>
    <w:rsid w:val="00677768"/>
    <w:rsid w:val="0068262A"/>
    <w:rsid w:val="006B6870"/>
    <w:rsid w:val="006C56B0"/>
    <w:rsid w:val="006C7D17"/>
    <w:rsid w:val="00706E03"/>
    <w:rsid w:val="00726D4B"/>
    <w:rsid w:val="007367D5"/>
    <w:rsid w:val="00741A7C"/>
    <w:rsid w:val="0074392A"/>
    <w:rsid w:val="00776193"/>
    <w:rsid w:val="007764D7"/>
    <w:rsid w:val="00780DB9"/>
    <w:rsid w:val="007B2770"/>
    <w:rsid w:val="008406BB"/>
    <w:rsid w:val="00855200"/>
    <w:rsid w:val="00862D20"/>
    <w:rsid w:val="00895D04"/>
    <w:rsid w:val="008967AD"/>
    <w:rsid w:val="008C7882"/>
    <w:rsid w:val="008F2558"/>
    <w:rsid w:val="008F5854"/>
    <w:rsid w:val="00934E00"/>
    <w:rsid w:val="009367BA"/>
    <w:rsid w:val="0096176E"/>
    <w:rsid w:val="00967B3E"/>
    <w:rsid w:val="00982283"/>
    <w:rsid w:val="009A1C09"/>
    <w:rsid w:val="009C7FBF"/>
    <w:rsid w:val="009D04E5"/>
    <w:rsid w:val="009D62B1"/>
    <w:rsid w:val="00A35FE4"/>
    <w:rsid w:val="00A436E8"/>
    <w:rsid w:val="00A60CEC"/>
    <w:rsid w:val="00A64658"/>
    <w:rsid w:val="00A812F1"/>
    <w:rsid w:val="00A83FFD"/>
    <w:rsid w:val="00A92C10"/>
    <w:rsid w:val="00AB35F1"/>
    <w:rsid w:val="00AB381D"/>
    <w:rsid w:val="00AE35AE"/>
    <w:rsid w:val="00AE72A5"/>
    <w:rsid w:val="00B141DE"/>
    <w:rsid w:val="00B56EC0"/>
    <w:rsid w:val="00B867AD"/>
    <w:rsid w:val="00BA3E33"/>
    <w:rsid w:val="00BA448A"/>
    <w:rsid w:val="00BE2BE1"/>
    <w:rsid w:val="00BE6299"/>
    <w:rsid w:val="00C10A31"/>
    <w:rsid w:val="00C17F42"/>
    <w:rsid w:val="00C56BBE"/>
    <w:rsid w:val="00C809F2"/>
    <w:rsid w:val="00C912D1"/>
    <w:rsid w:val="00CA769E"/>
    <w:rsid w:val="00CB688A"/>
    <w:rsid w:val="00CC64C5"/>
    <w:rsid w:val="00CC6547"/>
    <w:rsid w:val="00CD7937"/>
    <w:rsid w:val="00CF2A66"/>
    <w:rsid w:val="00D47B7F"/>
    <w:rsid w:val="00D71BED"/>
    <w:rsid w:val="00D7366B"/>
    <w:rsid w:val="00D87C54"/>
    <w:rsid w:val="00D94616"/>
    <w:rsid w:val="00DB30B2"/>
    <w:rsid w:val="00DB3EF3"/>
    <w:rsid w:val="00DF55B5"/>
    <w:rsid w:val="00E12FC3"/>
    <w:rsid w:val="00E202D7"/>
    <w:rsid w:val="00E36AC3"/>
    <w:rsid w:val="00E41FAE"/>
    <w:rsid w:val="00E44EB8"/>
    <w:rsid w:val="00E71BB7"/>
    <w:rsid w:val="00E94BC6"/>
    <w:rsid w:val="00E957C4"/>
    <w:rsid w:val="00EA2035"/>
    <w:rsid w:val="00EC10F5"/>
    <w:rsid w:val="00ED59E7"/>
    <w:rsid w:val="00EF2FAA"/>
    <w:rsid w:val="00F45BF5"/>
    <w:rsid w:val="00F5034A"/>
    <w:rsid w:val="00F52DA1"/>
    <w:rsid w:val="00F64F6D"/>
    <w:rsid w:val="00F92359"/>
    <w:rsid w:val="00F95EC6"/>
    <w:rsid w:val="00FC0E7C"/>
    <w:rsid w:val="00FC649F"/>
    <w:rsid w:val="00FD1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619C45"/>
  <w15:docId w15:val="{3CF917F2-5E40-4F68-9F9A-049C7DE0D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6B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71B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E6299"/>
    <w:rPr>
      <w:color w:val="808080"/>
    </w:rPr>
  </w:style>
  <w:style w:type="paragraph" w:styleId="Header">
    <w:name w:val="header"/>
    <w:basedOn w:val="Normal"/>
    <w:link w:val="HeaderChar"/>
    <w:uiPriority w:val="99"/>
    <w:unhideWhenUsed/>
    <w:rsid w:val="00776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193"/>
  </w:style>
  <w:style w:type="paragraph" w:styleId="Footer">
    <w:name w:val="footer"/>
    <w:basedOn w:val="Normal"/>
    <w:link w:val="FooterChar"/>
    <w:uiPriority w:val="99"/>
    <w:unhideWhenUsed/>
    <w:rsid w:val="00776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193"/>
  </w:style>
  <w:style w:type="paragraph" w:styleId="NormalWeb">
    <w:name w:val="Normal (Web)"/>
    <w:basedOn w:val="Normal"/>
    <w:uiPriority w:val="99"/>
    <w:semiHidden/>
    <w:unhideWhenUsed/>
    <w:rsid w:val="008F58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809F2"/>
    <w:pPr>
      <w:ind w:left="720"/>
      <w:contextualSpacing/>
    </w:pPr>
  </w:style>
  <w:style w:type="character" w:styleId="Hyperlink">
    <w:name w:val="Hyperlink"/>
    <w:basedOn w:val="DefaultParagraphFont"/>
    <w:uiPriority w:val="99"/>
    <w:semiHidden/>
    <w:unhideWhenUsed/>
    <w:rsid w:val="00006B7E"/>
    <w:rPr>
      <w:color w:val="0000FF"/>
      <w:u w:val="single"/>
    </w:rPr>
  </w:style>
  <w:style w:type="character" w:styleId="FollowedHyperlink">
    <w:name w:val="FollowedHyperlink"/>
    <w:basedOn w:val="DefaultParagraphFont"/>
    <w:uiPriority w:val="99"/>
    <w:semiHidden/>
    <w:unhideWhenUsed/>
    <w:rsid w:val="00006B7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4625583">
      <w:bodyDiv w:val="1"/>
      <w:marLeft w:val="0"/>
      <w:marRight w:val="0"/>
      <w:marTop w:val="0"/>
      <w:marBottom w:val="0"/>
      <w:divBdr>
        <w:top w:val="none" w:sz="0" w:space="0" w:color="auto"/>
        <w:left w:val="none" w:sz="0" w:space="0" w:color="auto"/>
        <w:bottom w:val="none" w:sz="0" w:space="0" w:color="auto"/>
        <w:right w:val="none" w:sz="0" w:space="0" w:color="auto"/>
      </w:divBdr>
    </w:div>
    <w:div w:id="1102143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Volumetric%20flow%20Rate%20comparis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Volumetric%20flow%20Rate%20compariso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flow%20Velocit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flow%20Velocit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co-eficient%20of%20discharg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USB%20Backup\Backup%2015-10-2018\University\UWTSD\Year%202\Powertrain%20Design%20&amp;%20Efficiency\Assignment\co-eficient%20of%20discharge.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baseline="0">
                <a:effectLst/>
              </a:rPr>
              <a:t>Comparison Between Volumetric Flow-rate on The Intake Side of the Standard And Modified head .</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Sheet1!$B$4</c:f>
              <c:strCache>
                <c:ptCount val="1"/>
                <c:pt idx="0">
                  <c:v>Modified Head intake Volumetric flow rate (m³/sec) </c:v>
                </c:pt>
              </c:strCache>
            </c:strRef>
          </c:tx>
          <c:spPr>
            <a:ln w="28575" cap="rnd">
              <a:solidFill>
                <a:schemeClr val="accent2"/>
              </a:solidFill>
              <a:round/>
            </a:ln>
            <a:effectLst/>
          </c:spPr>
          <c:marker>
            <c:symbol val="none"/>
          </c:marker>
          <c:cat>
            <c:numRef>
              <c:f>Sheet1!$A$5:$A$12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Sheet1!$B$5:$B$12</c:f>
              <c:numCache>
                <c:formatCode>General</c:formatCode>
                <c:ptCount val="8"/>
                <c:pt idx="0">
                  <c:v>9.7000000000000003E-3</c:v>
                </c:pt>
                <c:pt idx="1">
                  <c:v>1.7500000000000002E-2</c:v>
                </c:pt>
                <c:pt idx="2">
                  <c:v>2.64E-2</c:v>
                </c:pt>
                <c:pt idx="3">
                  <c:v>3.09E-2</c:v>
                </c:pt>
                <c:pt idx="4">
                  <c:v>3.9100000000000003E-2</c:v>
                </c:pt>
                <c:pt idx="5">
                  <c:v>3.9600000000000003E-2</c:v>
                </c:pt>
                <c:pt idx="6">
                  <c:v>4.2000000000000003E-2</c:v>
                </c:pt>
                <c:pt idx="7">
                  <c:v>4.2900000000000001E-2</c:v>
                </c:pt>
              </c:numCache>
            </c:numRef>
          </c:val>
          <c:smooth val="0"/>
          <c:extLst>
            <c:ext xmlns:c16="http://schemas.microsoft.com/office/drawing/2014/chart" uri="{C3380CC4-5D6E-409C-BE32-E72D297353CC}">
              <c16:uniqueId val="{00000000-07E1-4B47-8106-DC804045F847}"/>
            </c:ext>
          </c:extLst>
        </c:ser>
        <c:ser>
          <c:idx val="2"/>
          <c:order val="1"/>
          <c:tx>
            <c:strRef>
              <c:f>Sheet1!$C$4</c:f>
              <c:strCache>
                <c:ptCount val="1"/>
                <c:pt idx="0">
                  <c:v>Standard Head Intake Volumetric flow rate  (m³/sec)</c:v>
                </c:pt>
              </c:strCache>
            </c:strRef>
          </c:tx>
          <c:spPr>
            <a:ln w="28575" cap="rnd">
              <a:solidFill>
                <a:schemeClr val="accent3"/>
              </a:solidFill>
              <a:round/>
            </a:ln>
            <a:effectLst/>
          </c:spPr>
          <c:marker>
            <c:symbol val="none"/>
          </c:marker>
          <c:cat>
            <c:numRef>
              <c:f>Sheet1!$A$5:$A$12</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Sheet1!$C$5:$C$12</c:f>
              <c:numCache>
                <c:formatCode>General</c:formatCode>
                <c:ptCount val="8"/>
                <c:pt idx="0">
                  <c:v>8.9999999999999993E-3</c:v>
                </c:pt>
                <c:pt idx="1">
                  <c:v>1.72E-2</c:v>
                </c:pt>
                <c:pt idx="2">
                  <c:v>2.3300000000000001E-2</c:v>
                </c:pt>
                <c:pt idx="3">
                  <c:v>2.7799999999999998E-2</c:v>
                </c:pt>
                <c:pt idx="4">
                  <c:v>3.1300000000000001E-2</c:v>
                </c:pt>
                <c:pt idx="5">
                  <c:v>3.32E-2</c:v>
                </c:pt>
                <c:pt idx="6">
                  <c:v>3.5299999999999998E-2</c:v>
                </c:pt>
                <c:pt idx="7">
                  <c:v>3.6999999999999998E-2</c:v>
                </c:pt>
              </c:numCache>
            </c:numRef>
          </c:val>
          <c:smooth val="0"/>
          <c:extLst>
            <c:ext xmlns:c16="http://schemas.microsoft.com/office/drawing/2014/chart" uri="{C3380CC4-5D6E-409C-BE32-E72D297353CC}">
              <c16:uniqueId val="{00000001-07E1-4B47-8106-DC804045F847}"/>
            </c:ext>
          </c:extLst>
        </c:ser>
        <c:dLbls>
          <c:showLegendKey val="0"/>
          <c:showVal val="0"/>
          <c:showCatName val="0"/>
          <c:showSerName val="0"/>
          <c:showPercent val="0"/>
          <c:showBubbleSize val="0"/>
        </c:dLbls>
        <c:smooth val="0"/>
        <c:axId val="567277160"/>
        <c:axId val="567276504"/>
      </c:lineChart>
      <c:catAx>
        <c:axId val="567277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276504"/>
        <c:crosses val="autoZero"/>
        <c:auto val="1"/>
        <c:lblAlgn val="ctr"/>
        <c:lblOffset val="100"/>
        <c:noMultiLvlLbl val="0"/>
      </c:catAx>
      <c:valAx>
        <c:axId val="567276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Volumetric Flow-rate (m³/sec)</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277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Comparison Between Volumetric Flow-rate on The Exhaust Side of the Standard And Modified head </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Sheet1!$B$16</c:f>
              <c:strCache>
                <c:ptCount val="1"/>
                <c:pt idx="0">
                  <c:v>Modified Head Exhaust Volumetric flow rate  (m³/sec)</c:v>
                </c:pt>
              </c:strCache>
            </c:strRef>
          </c:tx>
          <c:spPr>
            <a:ln w="28575" cap="rnd">
              <a:solidFill>
                <a:schemeClr val="accent2"/>
              </a:solidFill>
              <a:round/>
            </a:ln>
            <a:effectLst/>
          </c:spPr>
          <c:marker>
            <c:symbol val="none"/>
          </c:marker>
          <c:cat>
            <c:numRef>
              <c:f>Sheet1!$A$17:$A$24</c:f>
              <c:numCache>
                <c:formatCode>General</c:formatCode>
                <c:ptCount val="8"/>
                <c:pt idx="0">
                  <c:v>1.2</c:v>
                </c:pt>
                <c:pt idx="1">
                  <c:v>2.4</c:v>
                </c:pt>
                <c:pt idx="2">
                  <c:v>3.6</c:v>
                </c:pt>
                <c:pt idx="3">
                  <c:v>4.8</c:v>
                </c:pt>
                <c:pt idx="4">
                  <c:v>6</c:v>
                </c:pt>
                <c:pt idx="5">
                  <c:v>7.2</c:v>
                </c:pt>
                <c:pt idx="6">
                  <c:v>8.4</c:v>
                </c:pt>
                <c:pt idx="7">
                  <c:v>9.6</c:v>
                </c:pt>
              </c:numCache>
            </c:numRef>
          </c:cat>
          <c:val>
            <c:numRef>
              <c:f>Sheet1!$B$17:$B$24</c:f>
              <c:numCache>
                <c:formatCode>General</c:formatCode>
                <c:ptCount val="8"/>
                <c:pt idx="0">
                  <c:v>4.4999999999999997E-3</c:v>
                </c:pt>
                <c:pt idx="1">
                  <c:v>1.03E-2</c:v>
                </c:pt>
                <c:pt idx="2">
                  <c:v>1.4200000000000001E-2</c:v>
                </c:pt>
                <c:pt idx="3">
                  <c:v>1.89E-2</c:v>
                </c:pt>
                <c:pt idx="4">
                  <c:v>2.3599999999999999E-2</c:v>
                </c:pt>
                <c:pt idx="5">
                  <c:v>2.69E-2</c:v>
                </c:pt>
                <c:pt idx="6">
                  <c:v>2.92E-2</c:v>
                </c:pt>
                <c:pt idx="7">
                  <c:v>3.0700000000000002E-2</c:v>
                </c:pt>
              </c:numCache>
            </c:numRef>
          </c:val>
          <c:smooth val="0"/>
          <c:extLst>
            <c:ext xmlns:c16="http://schemas.microsoft.com/office/drawing/2014/chart" uri="{C3380CC4-5D6E-409C-BE32-E72D297353CC}">
              <c16:uniqueId val="{00000000-3F5E-4096-853B-0F1B7E4EA254}"/>
            </c:ext>
          </c:extLst>
        </c:ser>
        <c:ser>
          <c:idx val="2"/>
          <c:order val="1"/>
          <c:tx>
            <c:strRef>
              <c:f>Sheet1!$C$16</c:f>
              <c:strCache>
                <c:ptCount val="1"/>
                <c:pt idx="0">
                  <c:v>Standard Head Exhaust Volumetric flow rate  (m³/sec)</c:v>
                </c:pt>
              </c:strCache>
            </c:strRef>
          </c:tx>
          <c:spPr>
            <a:ln w="28575" cap="rnd">
              <a:solidFill>
                <a:schemeClr val="accent3"/>
              </a:solidFill>
              <a:round/>
            </a:ln>
            <a:effectLst/>
          </c:spPr>
          <c:marker>
            <c:symbol val="none"/>
          </c:marker>
          <c:cat>
            <c:numRef>
              <c:f>Sheet1!$A$17:$A$24</c:f>
              <c:numCache>
                <c:formatCode>General</c:formatCode>
                <c:ptCount val="8"/>
                <c:pt idx="0">
                  <c:v>1.2</c:v>
                </c:pt>
                <c:pt idx="1">
                  <c:v>2.4</c:v>
                </c:pt>
                <c:pt idx="2">
                  <c:v>3.6</c:v>
                </c:pt>
                <c:pt idx="3">
                  <c:v>4.8</c:v>
                </c:pt>
                <c:pt idx="4">
                  <c:v>6</c:v>
                </c:pt>
                <c:pt idx="5">
                  <c:v>7.2</c:v>
                </c:pt>
                <c:pt idx="6">
                  <c:v>8.4</c:v>
                </c:pt>
                <c:pt idx="7">
                  <c:v>9.6</c:v>
                </c:pt>
              </c:numCache>
            </c:numRef>
          </c:cat>
          <c:val>
            <c:numRef>
              <c:f>Sheet1!$C$17:$C$24</c:f>
              <c:numCache>
                <c:formatCode>General</c:formatCode>
                <c:ptCount val="8"/>
                <c:pt idx="0">
                  <c:v>4.7000000000000002E-3</c:v>
                </c:pt>
                <c:pt idx="1">
                  <c:v>1.01E-2</c:v>
                </c:pt>
                <c:pt idx="2">
                  <c:v>1.5800000000000002E-2</c:v>
                </c:pt>
                <c:pt idx="3">
                  <c:v>2.0199999999999999E-2</c:v>
                </c:pt>
                <c:pt idx="4">
                  <c:v>2.3599999999999999E-2</c:v>
                </c:pt>
                <c:pt idx="5">
                  <c:v>2.5899999999999999E-2</c:v>
                </c:pt>
                <c:pt idx="6">
                  <c:v>2.7799999999999998E-2</c:v>
                </c:pt>
                <c:pt idx="7">
                  <c:v>2.92E-2</c:v>
                </c:pt>
              </c:numCache>
            </c:numRef>
          </c:val>
          <c:smooth val="0"/>
          <c:extLst>
            <c:ext xmlns:c16="http://schemas.microsoft.com/office/drawing/2014/chart" uri="{C3380CC4-5D6E-409C-BE32-E72D297353CC}">
              <c16:uniqueId val="{00000001-3F5E-4096-853B-0F1B7E4EA254}"/>
            </c:ext>
          </c:extLst>
        </c:ser>
        <c:dLbls>
          <c:showLegendKey val="0"/>
          <c:showVal val="0"/>
          <c:showCatName val="0"/>
          <c:showSerName val="0"/>
          <c:showPercent val="0"/>
          <c:showBubbleSize val="0"/>
        </c:dLbls>
        <c:smooth val="0"/>
        <c:axId val="565259392"/>
        <c:axId val="565262672"/>
      </c:lineChart>
      <c:catAx>
        <c:axId val="565259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62672"/>
        <c:crosses val="autoZero"/>
        <c:auto val="1"/>
        <c:lblAlgn val="ctr"/>
        <c:lblOffset val="100"/>
        <c:noMultiLvlLbl val="0"/>
      </c:catAx>
      <c:valAx>
        <c:axId val="565262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Volumetric Flow-rate (m³/sec)</a:t>
                </a:r>
                <a:endParaRPr lang="en-GB" sz="11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59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 Flow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Sheet1!$C$3</c:f>
              <c:strCache>
                <c:ptCount val="1"/>
                <c:pt idx="0">
                  <c:v>Modified Head intake Flow Velocity (Fv)</c:v>
                </c:pt>
              </c:strCache>
            </c:strRef>
          </c:tx>
          <c:spPr>
            <a:ln w="28575" cap="rnd">
              <a:solidFill>
                <a:schemeClr val="accent2"/>
              </a:solidFill>
              <a:round/>
            </a:ln>
            <a:effectLst/>
          </c:spPr>
          <c:marker>
            <c:symbol val="none"/>
          </c:marker>
          <c:cat>
            <c:strRef>
              <c:extLst>
                <c:ext xmlns:c15="http://schemas.microsoft.com/office/drawing/2012/chart" uri="{02D57815-91ED-43cb-92C2-25804820EDAC}">
                  <c15:fullRef>
                    <c15:sqref>Sheet1!$B$3:$B$11</c15:sqref>
                  </c15:fullRef>
                </c:ext>
              </c:extLst>
              <c:f>Sheet1!$B$4:$B$11</c:f>
              <c:strCache>
                <c:ptCount val="8"/>
                <c:pt idx="0">
                  <c:v>1.39</c:v>
                </c:pt>
                <c:pt idx="1">
                  <c:v>2.8</c:v>
                </c:pt>
                <c:pt idx="2">
                  <c:v>4.2</c:v>
                </c:pt>
                <c:pt idx="3">
                  <c:v>5.55</c:v>
                </c:pt>
                <c:pt idx="4">
                  <c:v>6.9</c:v>
                </c:pt>
                <c:pt idx="5">
                  <c:v>8.3</c:v>
                </c:pt>
                <c:pt idx="6">
                  <c:v>9.7</c:v>
                </c:pt>
                <c:pt idx="7">
                  <c:v>11.1</c:v>
                </c:pt>
              </c:strCache>
            </c:strRef>
          </c:cat>
          <c:val>
            <c:numRef>
              <c:extLst>
                <c:ext xmlns:c15="http://schemas.microsoft.com/office/drawing/2012/chart" uri="{02D57815-91ED-43cb-92C2-25804820EDAC}">
                  <c15:fullRef>
                    <c15:sqref>Sheet1!$C$4:$C$11</c15:sqref>
                  </c15:fullRef>
                </c:ext>
              </c:extLst>
              <c:f>Sheet1!$C$5:$C$11</c:f>
              <c:numCache>
                <c:formatCode>General</c:formatCode>
                <c:ptCount val="7"/>
                <c:pt idx="0">
                  <c:v>5.3400000000000003E-2</c:v>
                </c:pt>
                <c:pt idx="1">
                  <c:v>8.0490000000000006E-2</c:v>
                </c:pt>
                <c:pt idx="2">
                  <c:v>9.4200000000000006E-2</c:v>
                </c:pt>
                <c:pt idx="3">
                  <c:v>0.1192</c:v>
                </c:pt>
                <c:pt idx="4">
                  <c:v>0.1207</c:v>
                </c:pt>
                <c:pt idx="5">
                  <c:v>0.128</c:v>
                </c:pt>
                <c:pt idx="6">
                  <c:v>0.13070000000000001</c:v>
                </c:pt>
              </c:numCache>
            </c:numRef>
          </c:val>
          <c:smooth val="0"/>
          <c:extLst>
            <c:ext xmlns:c16="http://schemas.microsoft.com/office/drawing/2014/chart" uri="{C3380CC4-5D6E-409C-BE32-E72D297353CC}">
              <c16:uniqueId val="{00000000-7942-4C25-A418-2EAADF2E92DF}"/>
            </c:ext>
          </c:extLst>
        </c:ser>
        <c:ser>
          <c:idx val="2"/>
          <c:order val="1"/>
          <c:tx>
            <c:strRef>
              <c:f>Sheet1!$D$3</c:f>
              <c:strCache>
                <c:ptCount val="1"/>
                <c:pt idx="0">
                  <c:v>Standard Head Intake Flow Velocity (Fv)</c:v>
                </c:pt>
              </c:strCache>
            </c:strRef>
          </c:tx>
          <c:spPr>
            <a:ln w="28575" cap="rnd">
              <a:solidFill>
                <a:schemeClr val="accent3"/>
              </a:solidFill>
              <a:round/>
            </a:ln>
            <a:effectLst/>
          </c:spPr>
          <c:marker>
            <c:symbol val="none"/>
          </c:marker>
          <c:cat>
            <c:strRef>
              <c:extLst>
                <c:ext xmlns:c15="http://schemas.microsoft.com/office/drawing/2012/chart" uri="{02D57815-91ED-43cb-92C2-25804820EDAC}">
                  <c15:fullRef>
                    <c15:sqref>Sheet1!$B$3:$B$11</c15:sqref>
                  </c15:fullRef>
                </c:ext>
              </c:extLst>
              <c:f>Sheet1!$B$4:$B$11</c:f>
              <c:strCache>
                <c:ptCount val="8"/>
                <c:pt idx="0">
                  <c:v>1.39</c:v>
                </c:pt>
                <c:pt idx="1">
                  <c:v>2.8</c:v>
                </c:pt>
                <c:pt idx="2">
                  <c:v>4.2</c:v>
                </c:pt>
                <c:pt idx="3">
                  <c:v>5.55</c:v>
                </c:pt>
                <c:pt idx="4">
                  <c:v>6.9</c:v>
                </c:pt>
                <c:pt idx="5">
                  <c:v>8.3</c:v>
                </c:pt>
                <c:pt idx="6">
                  <c:v>9.7</c:v>
                </c:pt>
                <c:pt idx="7">
                  <c:v>11.1</c:v>
                </c:pt>
              </c:strCache>
            </c:strRef>
          </c:cat>
          <c:val>
            <c:numRef>
              <c:extLst>
                <c:ext xmlns:c15="http://schemas.microsoft.com/office/drawing/2012/chart" uri="{02D57815-91ED-43cb-92C2-25804820EDAC}">
                  <c15:fullRef>
                    <c15:sqref>Sheet1!$D$4:$D$11</c15:sqref>
                  </c15:fullRef>
                </c:ext>
              </c:extLst>
              <c:f>Sheet1!$D$5:$D$11</c:f>
              <c:numCache>
                <c:formatCode>General</c:formatCode>
                <c:ptCount val="7"/>
                <c:pt idx="0">
                  <c:v>5.2400000000000002E-2</c:v>
                </c:pt>
                <c:pt idx="1">
                  <c:v>7.0999999999999994E-2</c:v>
                </c:pt>
                <c:pt idx="2">
                  <c:v>8.4699999999999998E-2</c:v>
                </c:pt>
                <c:pt idx="3">
                  <c:v>9.5399999999999999E-2</c:v>
                </c:pt>
                <c:pt idx="4">
                  <c:v>0.1012</c:v>
                </c:pt>
                <c:pt idx="5">
                  <c:v>0.1076</c:v>
                </c:pt>
                <c:pt idx="6">
                  <c:v>0.1128</c:v>
                </c:pt>
              </c:numCache>
            </c:numRef>
          </c:val>
          <c:smooth val="0"/>
          <c:extLst>
            <c:ext xmlns:c16="http://schemas.microsoft.com/office/drawing/2014/chart" uri="{C3380CC4-5D6E-409C-BE32-E72D297353CC}">
              <c16:uniqueId val="{00000001-7942-4C25-A418-2EAADF2E92DF}"/>
            </c:ext>
          </c:extLst>
        </c:ser>
        <c:dLbls>
          <c:showLegendKey val="0"/>
          <c:showVal val="0"/>
          <c:showCatName val="0"/>
          <c:showSerName val="0"/>
          <c:showPercent val="0"/>
          <c:showBubbleSize val="0"/>
        </c:dLbls>
        <c:smooth val="0"/>
        <c:axId val="567556976"/>
        <c:axId val="567548448"/>
      </c:lineChart>
      <c:catAx>
        <c:axId val="567556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48448"/>
        <c:crosses val="autoZero"/>
        <c:auto val="1"/>
        <c:lblAlgn val="ctr"/>
        <c:lblOffset val="100"/>
        <c:noMultiLvlLbl val="0"/>
      </c:catAx>
      <c:valAx>
        <c:axId val="567548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 (Fv)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56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 Flow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Sheet1!$C$14</c:f>
              <c:strCache>
                <c:ptCount val="1"/>
                <c:pt idx="0">
                  <c:v>Modified Head Exhaust Flow Velocity (Fv)</c:v>
                </c:pt>
              </c:strCache>
            </c:strRef>
          </c:tx>
          <c:spPr>
            <a:ln w="28575" cap="rnd">
              <a:solidFill>
                <a:schemeClr val="accent2"/>
              </a:solidFill>
              <a:round/>
            </a:ln>
            <a:effectLst/>
          </c:spPr>
          <c:marker>
            <c:symbol val="none"/>
          </c:marker>
          <c:cat>
            <c:strRef>
              <c:extLst>
                <c:ext xmlns:c15="http://schemas.microsoft.com/office/drawing/2012/chart" uri="{02D57815-91ED-43cb-92C2-25804820EDAC}">
                  <c15:fullRef>
                    <c15:sqref>Sheet1!$B$14:$B$22</c15:sqref>
                  </c15:fullRef>
                </c:ext>
              </c:extLst>
              <c:f>Sheet1!$B$15:$B$22</c:f>
              <c:strCache>
                <c:ptCount val="8"/>
                <c:pt idx="0">
                  <c:v>1.2</c:v>
                </c:pt>
                <c:pt idx="1">
                  <c:v>2.4</c:v>
                </c:pt>
                <c:pt idx="2">
                  <c:v>3.6</c:v>
                </c:pt>
                <c:pt idx="3">
                  <c:v>4.8</c:v>
                </c:pt>
                <c:pt idx="4">
                  <c:v>6</c:v>
                </c:pt>
                <c:pt idx="5">
                  <c:v>7.2</c:v>
                </c:pt>
                <c:pt idx="6">
                  <c:v>8.4</c:v>
                </c:pt>
                <c:pt idx="7">
                  <c:v>9.6</c:v>
                </c:pt>
              </c:strCache>
            </c:strRef>
          </c:cat>
          <c:val>
            <c:numRef>
              <c:extLst>
                <c:ext xmlns:c15="http://schemas.microsoft.com/office/drawing/2012/chart" uri="{02D57815-91ED-43cb-92C2-25804820EDAC}">
                  <c15:fullRef>
                    <c15:sqref>Sheet1!$C$15:$C$22</c15:sqref>
                  </c15:fullRef>
                </c:ext>
              </c:extLst>
              <c:f>Sheet1!$C$16:$C$22</c:f>
              <c:numCache>
                <c:formatCode>General</c:formatCode>
                <c:ptCount val="7"/>
                <c:pt idx="0">
                  <c:v>3.1399999999999997E-2</c:v>
                </c:pt>
                <c:pt idx="1">
                  <c:v>4.3200000000000002E-2</c:v>
                </c:pt>
                <c:pt idx="2">
                  <c:v>5.7599999999999998E-2</c:v>
                </c:pt>
                <c:pt idx="3">
                  <c:v>7.1999999999999995E-2</c:v>
                </c:pt>
                <c:pt idx="4">
                  <c:v>8.2000000000000003E-2</c:v>
                </c:pt>
                <c:pt idx="5">
                  <c:v>8.8999999999999996E-2</c:v>
                </c:pt>
                <c:pt idx="6">
                  <c:v>9.3600000000000003E-2</c:v>
                </c:pt>
              </c:numCache>
            </c:numRef>
          </c:val>
          <c:smooth val="0"/>
          <c:extLst>
            <c:ext xmlns:c16="http://schemas.microsoft.com/office/drawing/2014/chart" uri="{C3380CC4-5D6E-409C-BE32-E72D297353CC}">
              <c16:uniqueId val="{00000000-C1A9-46ED-9586-803B234305CB}"/>
            </c:ext>
          </c:extLst>
        </c:ser>
        <c:ser>
          <c:idx val="2"/>
          <c:order val="1"/>
          <c:tx>
            <c:strRef>
              <c:f>Sheet1!$D$14</c:f>
              <c:strCache>
                <c:ptCount val="1"/>
                <c:pt idx="0">
                  <c:v>Standard Head Exhaust Flow Velocity (Fv)</c:v>
                </c:pt>
              </c:strCache>
            </c:strRef>
          </c:tx>
          <c:spPr>
            <a:ln w="28575" cap="rnd">
              <a:solidFill>
                <a:schemeClr val="accent3"/>
              </a:solidFill>
              <a:round/>
            </a:ln>
            <a:effectLst/>
          </c:spPr>
          <c:marker>
            <c:symbol val="none"/>
          </c:marker>
          <c:cat>
            <c:strRef>
              <c:extLst>
                <c:ext xmlns:c15="http://schemas.microsoft.com/office/drawing/2012/chart" uri="{02D57815-91ED-43cb-92C2-25804820EDAC}">
                  <c15:fullRef>
                    <c15:sqref>Sheet1!$B$14:$B$22</c15:sqref>
                  </c15:fullRef>
                </c:ext>
              </c:extLst>
              <c:f>Sheet1!$B$15:$B$22</c:f>
              <c:strCache>
                <c:ptCount val="8"/>
                <c:pt idx="0">
                  <c:v>1.2</c:v>
                </c:pt>
                <c:pt idx="1">
                  <c:v>2.4</c:v>
                </c:pt>
                <c:pt idx="2">
                  <c:v>3.6</c:v>
                </c:pt>
                <c:pt idx="3">
                  <c:v>4.8</c:v>
                </c:pt>
                <c:pt idx="4">
                  <c:v>6</c:v>
                </c:pt>
                <c:pt idx="5">
                  <c:v>7.2</c:v>
                </c:pt>
                <c:pt idx="6">
                  <c:v>8.4</c:v>
                </c:pt>
                <c:pt idx="7">
                  <c:v>9.6</c:v>
                </c:pt>
              </c:strCache>
            </c:strRef>
          </c:cat>
          <c:val>
            <c:numRef>
              <c:extLst>
                <c:ext xmlns:c15="http://schemas.microsoft.com/office/drawing/2012/chart" uri="{02D57815-91ED-43cb-92C2-25804820EDAC}">
                  <c15:fullRef>
                    <c15:sqref>Sheet1!$D$15:$D$22</c15:sqref>
                  </c15:fullRef>
                </c:ext>
              </c:extLst>
              <c:f>Sheet1!$D$16:$D$22</c:f>
              <c:numCache>
                <c:formatCode>General</c:formatCode>
                <c:ptCount val="7"/>
                <c:pt idx="0">
                  <c:v>3.0700000000000002E-2</c:v>
                </c:pt>
                <c:pt idx="1">
                  <c:v>4.82E-2</c:v>
                </c:pt>
                <c:pt idx="2">
                  <c:v>6.1600000000000002E-2</c:v>
                </c:pt>
                <c:pt idx="3">
                  <c:v>7.1999999999999995E-2</c:v>
                </c:pt>
                <c:pt idx="4">
                  <c:v>7.9000000000000001E-2</c:v>
                </c:pt>
                <c:pt idx="5">
                  <c:v>8.48E-2</c:v>
                </c:pt>
                <c:pt idx="6">
                  <c:v>8.8999999999999996E-2</c:v>
                </c:pt>
              </c:numCache>
            </c:numRef>
          </c:val>
          <c:smooth val="0"/>
          <c:extLst>
            <c:ext xmlns:c16="http://schemas.microsoft.com/office/drawing/2014/chart" uri="{C3380CC4-5D6E-409C-BE32-E72D297353CC}">
              <c16:uniqueId val="{00000001-C1A9-46ED-9586-803B234305CB}"/>
            </c:ext>
          </c:extLst>
        </c:ser>
        <c:dLbls>
          <c:showLegendKey val="0"/>
          <c:showVal val="0"/>
          <c:showCatName val="0"/>
          <c:showSerName val="0"/>
          <c:showPercent val="0"/>
          <c:showBubbleSize val="0"/>
        </c:dLbls>
        <c:smooth val="0"/>
        <c:axId val="563423992"/>
        <c:axId val="563421696"/>
      </c:lineChart>
      <c:catAx>
        <c:axId val="563423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L/D</a:t>
                </a:r>
                <a:r>
                  <a:rPr lang="en-US" baseline="0"/>
                  <a:t> </a:t>
                </a:r>
                <a:r>
                  <a:rPr lang="en-US"/>
                  <a:t>(mm)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421696"/>
        <c:crosses val="autoZero"/>
        <c:auto val="1"/>
        <c:lblAlgn val="ctr"/>
        <c:lblOffset val="100"/>
        <c:noMultiLvlLbl val="0"/>
      </c:catAx>
      <c:valAx>
        <c:axId val="563421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Velocity (Fv)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423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Co-Efficient of Discharge Intake </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Sheet1!$C$2</c:f>
              <c:strCache>
                <c:ptCount val="1"/>
                <c:pt idx="0">
                  <c:v>Co-eficient of discharge Modified intake (Cd)</c:v>
                </c:pt>
              </c:strCache>
            </c:strRef>
          </c:tx>
          <c:spPr>
            <a:ln w="28575" cap="rnd">
              <a:solidFill>
                <a:schemeClr val="accent2"/>
              </a:solidFill>
              <a:round/>
            </a:ln>
            <a:effectLst/>
          </c:spPr>
          <c:marker>
            <c:symbol val="none"/>
          </c:marker>
          <c:cat>
            <c:numRef>
              <c:f>Sheet1!$B$3:$B$10</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Sheet1!$C$3:$C$10</c:f>
              <c:numCache>
                <c:formatCode>General</c:formatCode>
                <c:ptCount val="8"/>
                <c:pt idx="0">
                  <c:v>6.0599999999999998E-4</c:v>
                </c:pt>
                <c:pt idx="1">
                  <c:v>5.8500000000000002E-4</c:v>
                </c:pt>
                <c:pt idx="2">
                  <c:v>6.3599999999999996E-4</c:v>
                </c:pt>
                <c:pt idx="3">
                  <c:v>6.0899999999999995E-4</c:v>
                </c:pt>
                <c:pt idx="4">
                  <c:v>6.7900000000000002E-4</c:v>
                </c:pt>
                <c:pt idx="5">
                  <c:v>6.38E-4</c:v>
                </c:pt>
                <c:pt idx="6">
                  <c:v>6.5399999999999996E-4</c:v>
                </c:pt>
                <c:pt idx="7">
                  <c:v>6.7100000000000005E-4</c:v>
                </c:pt>
              </c:numCache>
            </c:numRef>
          </c:val>
          <c:smooth val="0"/>
          <c:extLst>
            <c:ext xmlns:c16="http://schemas.microsoft.com/office/drawing/2014/chart" uri="{C3380CC4-5D6E-409C-BE32-E72D297353CC}">
              <c16:uniqueId val="{00000000-C994-4EAF-AF29-AA05E8050291}"/>
            </c:ext>
          </c:extLst>
        </c:ser>
        <c:ser>
          <c:idx val="2"/>
          <c:order val="1"/>
          <c:tx>
            <c:strRef>
              <c:f>Sheet1!$D$2</c:f>
              <c:strCache>
                <c:ptCount val="1"/>
                <c:pt idx="0">
                  <c:v>Co-eficient of discharge standard intake (Cd)</c:v>
                </c:pt>
              </c:strCache>
            </c:strRef>
          </c:tx>
          <c:spPr>
            <a:ln w="28575" cap="rnd">
              <a:solidFill>
                <a:schemeClr val="accent3"/>
              </a:solidFill>
              <a:round/>
            </a:ln>
            <a:effectLst/>
          </c:spPr>
          <c:marker>
            <c:symbol val="none"/>
          </c:marker>
          <c:cat>
            <c:numRef>
              <c:f>Sheet1!$B$3:$B$10</c:f>
              <c:numCache>
                <c:formatCode>General</c:formatCode>
                <c:ptCount val="8"/>
                <c:pt idx="0">
                  <c:v>1.39</c:v>
                </c:pt>
                <c:pt idx="1">
                  <c:v>2.8</c:v>
                </c:pt>
                <c:pt idx="2">
                  <c:v>4.2</c:v>
                </c:pt>
                <c:pt idx="3">
                  <c:v>5.55</c:v>
                </c:pt>
                <c:pt idx="4">
                  <c:v>6.9</c:v>
                </c:pt>
                <c:pt idx="5">
                  <c:v>8.3000000000000007</c:v>
                </c:pt>
                <c:pt idx="6">
                  <c:v>9.6999999999999993</c:v>
                </c:pt>
                <c:pt idx="7">
                  <c:v>11.1</c:v>
                </c:pt>
              </c:numCache>
            </c:numRef>
          </c:cat>
          <c:val>
            <c:numRef>
              <c:f>Sheet1!$D$3:$D$10</c:f>
              <c:numCache>
                <c:formatCode>General</c:formatCode>
                <c:ptCount val="8"/>
                <c:pt idx="0">
                  <c:v>5.6300000000000002E-4</c:v>
                </c:pt>
                <c:pt idx="1">
                  <c:v>5.7499999999999999E-4</c:v>
                </c:pt>
                <c:pt idx="2">
                  <c:v>5.6099999999999998E-4</c:v>
                </c:pt>
                <c:pt idx="3">
                  <c:v>5.4799999999999998E-4</c:v>
                </c:pt>
                <c:pt idx="4">
                  <c:v>5.4299999999999997E-4</c:v>
                </c:pt>
                <c:pt idx="5">
                  <c:v>5.3499999999999999E-4</c:v>
                </c:pt>
                <c:pt idx="6">
                  <c:v>5.5000000000000003E-4</c:v>
                </c:pt>
                <c:pt idx="7">
                  <c:v>5.7899999999999998E-4</c:v>
                </c:pt>
              </c:numCache>
            </c:numRef>
          </c:val>
          <c:smooth val="0"/>
          <c:extLst>
            <c:ext xmlns:c16="http://schemas.microsoft.com/office/drawing/2014/chart" uri="{C3380CC4-5D6E-409C-BE32-E72D297353CC}">
              <c16:uniqueId val="{00000001-C994-4EAF-AF29-AA05E8050291}"/>
            </c:ext>
          </c:extLst>
        </c:ser>
        <c:dLbls>
          <c:showLegendKey val="0"/>
          <c:showVal val="0"/>
          <c:showCatName val="0"/>
          <c:showSerName val="0"/>
          <c:showPercent val="0"/>
          <c:showBubbleSize val="0"/>
        </c:dLbls>
        <c:smooth val="0"/>
        <c:axId val="565260704"/>
        <c:axId val="565261360"/>
      </c:lineChart>
      <c:catAx>
        <c:axId val="565260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61360"/>
        <c:crosses val="autoZero"/>
        <c:auto val="1"/>
        <c:lblAlgn val="ctr"/>
        <c:lblOffset val="100"/>
        <c:noMultiLvlLbl val="0"/>
      </c:catAx>
      <c:valAx>
        <c:axId val="565261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 of discharge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60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 of Discharge Exhaust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Sheet1!$C$13</c:f>
              <c:strCache>
                <c:ptCount val="1"/>
                <c:pt idx="0">
                  <c:v>Co-eficient of discharge Modified Exhaust (Cd)</c:v>
                </c:pt>
              </c:strCache>
            </c:strRef>
          </c:tx>
          <c:spPr>
            <a:ln w="28575" cap="rnd">
              <a:solidFill>
                <a:schemeClr val="accent1"/>
              </a:solidFill>
              <a:round/>
            </a:ln>
            <a:effectLst/>
          </c:spPr>
          <c:marker>
            <c:symbol val="none"/>
          </c:marker>
          <c:cat>
            <c:numRef>
              <c:f>Sheet1!$B$14:$B$21</c:f>
              <c:numCache>
                <c:formatCode>General</c:formatCode>
                <c:ptCount val="8"/>
                <c:pt idx="0">
                  <c:v>1.2</c:v>
                </c:pt>
                <c:pt idx="1">
                  <c:v>2.4</c:v>
                </c:pt>
                <c:pt idx="2">
                  <c:v>3.6</c:v>
                </c:pt>
                <c:pt idx="3">
                  <c:v>4.8</c:v>
                </c:pt>
                <c:pt idx="4">
                  <c:v>6</c:v>
                </c:pt>
                <c:pt idx="5">
                  <c:v>7.2</c:v>
                </c:pt>
                <c:pt idx="6">
                  <c:v>8.4</c:v>
                </c:pt>
                <c:pt idx="7">
                  <c:v>9.6</c:v>
                </c:pt>
              </c:numCache>
            </c:numRef>
          </c:cat>
          <c:val>
            <c:numRef>
              <c:f>Sheet1!$C$14:$C$21</c:f>
              <c:numCache>
                <c:formatCode>General</c:formatCode>
                <c:ptCount val="8"/>
                <c:pt idx="0">
                  <c:v>2.7999999999999998E-4</c:v>
                </c:pt>
                <c:pt idx="1">
                  <c:v>3.4400000000000001E-4</c:v>
                </c:pt>
                <c:pt idx="2">
                  <c:v>3.4200000000000002E-4</c:v>
                </c:pt>
                <c:pt idx="3">
                  <c:v>3.7300000000000001E-4</c:v>
                </c:pt>
                <c:pt idx="4">
                  <c:v>4.0999999999999999E-4</c:v>
                </c:pt>
                <c:pt idx="5">
                  <c:v>4.3300000000000001E-4</c:v>
                </c:pt>
                <c:pt idx="6">
                  <c:v>4.55E-4</c:v>
                </c:pt>
                <c:pt idx="7">
                  <c:v>4.8000000000000001E-4</c:v>
                </c:pt>
              </c:numCache>
            </c:numRef>
          </c:val>
          <c:smooth val="0"/>
          <c:extLst>
            <c:ext xmlns:c16="http://schemas.microsoft.com/office/drawing/2014/chart" uri="{C3380CC4-5D6E-409C-BE32-E72D297353CC}">
              <c16:uniqueId val="{00000000-2AF9-492F-9E97-56964D252511}"/>
            </c:ext>
          </c:extLst>
        </c:ser>
        <c:ser>
          <c:idx val="1"/>
          <c:order val="1"/>
          <c:tx>
            <c:strRef>
              <c:f>Sheet1!$D$13</c:f>
              <c:strCache>
                <c:ptCount val="1"/>
                <c:pt idx="0">
                  <c:v>Co-eficient of discharge standard Exhaust (Cd)</c:v>
                </c:pt>
              </c:strCache>
            </c:strRef>
          </c:tx>
          <c:spPr>
            <a:ln w="28575" cap="rnd">
              <a:solidFill>
                <a:schemeClr val="accent2"/>
              </a:solidFill>
              <a:round/>
            </a:ln>
            <a:effectLst/>
          </c:spPr>
          <c:marker>
            <c:symbol val="none"/>
          </c:marker>
          <c:cat>
            <c:numRef>
              <c:f>Sheet1!$B$14:$B$21</c:f>
              <c:numCache>
                <c:formatCode>General</c:formatCode>
                <c:ptCount val="8"/>
                <c:pt idx="0">
                  <c:v>1.2</c:v>
                </c:pt>
                <c:pt idx="1">
                  <c:v>2.4</c:v>
                </c:pt>
                <c:pt idx="2">
                  <c:v>3.6</c:v>
                </c:pt>
                <c:pt idx="3">
                  <c:v>4.8</c:v>
                </c:pt>
                <c:pt idx="4">
                  <c:v>6</c:v>
                </c:pt>
                <c:pt idx="5">
                  <c:v>7.2</c:v>
                </c:pt>
                <c:pt idx="6">
                  <c:v>8.4</c:v>
                </c:pt>
                <c:pt idx="7">
                  <c:v>9.6</c:v>
                </c:pt>
              </c:numCache>
            </c:numRef>
          </c:cat>
          <c:val>
            <c:numRef>
              <c:f>Sheet1!$D$14:$D$21</c:f>
              <c:numCache>
                <c:formatCode>General</c:formatCode>
                <c:ptCount val="8"/>
                <c:pt idx="0">
                  <c:v>2.9399999999999999E-4</c:v>
                </c:pt>
                <c:pt idx="1">
                  <c:v>3.3799999999999998E-4</c:v>
                </c:pt>
                <c:pt idx="2">
                  <c:v>3.8099999999999999E-4</c:v>
                </c:pt>
                <c:pt idx="3">
                  <c:v>3.9800000000000002E-4</c:v>
                </c:pt>
                <c:pt idx="4">
                  <c:v>4.0999999999999999E-4</c:v>
                </c:pt>
                <c:pt idx="5">
                  <c:v>4.17E-4</c:v>
                </c:pt>
                <c:pt idx="6">
                  <c:v>4.3300000000000001E-4</c:v>
                </c:pt>
                <c:pt idx="7">
                  <c:v>4.57E-4</c:v>
                </c:pt>
              </c:numCache>
            </c:numRef>
          </c:val>
          <c:smooth val="0"/>
          <c:extLst>
            <c:ext xmlns:c16="http://schemas.microsoft.com/office/drawing/2014/chart" uri="{C3380CC4-5D6E-409C-BE32-E72D297353CC}">
              <c16:uniqueId val="{00000001-2AF9-492F-9E97-56964D252511}"/>
            </c:ext>
          </c:extLst>
        </c:ser>
        <c:dLbls>
          <c:showLegendKey val="0"/>
          <c:showVal val="0"/>
          <c:showCatName val="0"/>
          <c:showSerName val="0"/>
          <c:showPercent val="0"/>
          <c:showBubbleSize val="0"/>
        </c:dLbls>
        <c:smooth val="0"/>
        <c:axId val="565269232"/>
        <c:axId val="565265296"/>
      </c:lineChart>
      <c:catAx>
        <c:axId val="565269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65296"/>
        <c:crosses val="autoZero"/>
        <c:auto val="1"/>
        <c:lblAlgn val="ctr"/>
        <c:lblOffset val="100"/>
        <c:noMultiLvlLbl val="0"/>
      </c:catAx>
      <c:valAx>
        <c:axId val="56526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 of discharge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269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1882</TotalTime>
  <Pages>20</Pages>
  <Words>4222</Words>
  <Characters>24068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Ashleigh Jones</dc:creator>
  <cp:lastModifiedBy>Ashleigh Jones (1707088)</cp:lastModifiedBy>
  <cp:revision>96</cp:revision>
  <dcterms:created xsi:type="dcterms:W3CDTF">2018-11-20T14:34:00Z</dcterms:created>
  <dcterms:modified xsi:type="dcterms:W3CDTF">2019-01-28T07:46:00Z</dcterms:modified>
</cp:coreProperties>
</file>