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6B48D" w14:textId="50A77ED6" w:rsidR="001B03EC" w:rsidRPr="00BC1DAA" w:rsidRDefault="005E4DA4" w:rsidP="00BC1DAA">
      <w:pPr>
        <w:spacing w:line="480" w:lineRule="auto"/>
        <w:rPr>
          <w:sz w:val="20"/>
          <w:szCs w:val="20"/>
        </w:rPr>
      </w:pPr>
      <w:r w:rsidRPr="00BC1DAA">
        <w:rPr>
          <w:sz w:val="20"/>
          <w:szCs w:val="20"/>
        </w:rPr>
        <w:t>Trajan’s column is one of the most recognisable architectural features still present in modern Rome. Located in central Rome, close to the Forum,</w:t>
      </w:r>
      <w:r w:rsidR="00FD3FCE" w:rsidRPr="00BC1DAA">
        <w:rPr>
          <w:sz w:val="20"/>
          <w:szCs w:val="20"/>
        </w:rPr>
        <w:t xml:space="preserve"> it was completed in the year 113 AD and</w:t>
      </w:r>
      <w:r w:rsidRPr="00BC1DAA">
        <w:rPr>
          <w:sz w:val="20"/>
          <w:szCs w:val="20"/>
        </w:rPr>
        <w:t xml:space="preserve"> has borne witness to centuries of political and social change. Adjacent to the main Forum, the column formed the centrepiece of Trajan’s Forum</w:t>
      </w:r>
      <w:r w:rsidR="009F1972" w:rsidRPr="00BC1DAA">
        <w:rPr>
          <w:sz w:val="20"/>
          <w:szCs w:val="20"/>
        </w:rPr>
        <w:t>.</w:t>
      </w:r>
    </w:p>
    <w:p w14:paraId="21752C1C" w14:textId="72767FA4" w:rsidR="005E4DA4" w:rsidRPr="00BC1DAA" w:rsidRDefault="005E4DA4" w:rsidP="00BC1DAA">
      <w:pPr>
        <w:spacing w:line="480" w:lineRule="auto"/>
        <w:rPr>
          <w:sz w:val="20"/>
          <w:szCs w:val="20"/>
        </w:rPr>
      </w:pPr>
      <w:r w:rsidRPr="00BC1DAA">
        <w:rPr>
          <w:sz w:val="20"/>
          <w:szCs w:val="20"/>
        </w:rPr>
        <w:t xml:space="preserve">Emperor Trajan, Caesar Nerva </w:t>
      </w:r>
      <w:proofErr w:type="spellStart"/>
      <w:r w:rsidRPr="00BC1DAA">
        <w:rPr>
          <w:sz w:val="20"/>
          <w:szCs w:val="20"/>
        </w:rPr>
        <w:t>Traianus</w:t>
      </w:r>
      <w:proofErr w:type="spellEnd"/>
      <w:r w:rsidRPr="00BC1DAA">
        <w:rPr>
          <w:sz w:val="20"/>
          <w:szCs w:val="20"/>
        </w:rPr>
        <w:t xml:space="preserve">, was Emperor from 98 to 117AD. He was a strong, military leader who was also beloved by the people of Rome due to his philanthropy. He is widely considered to be one of the most successful </w:t>
      </w:r>
      <w:proofErr w:type="gramStart"/>
      <w:r w:rsidRPr="00BC1DAA">
        <w:rPr>
          <w:sz w:val="20"/>
          <w:szCs w:val="20"/>
        </w:rPr>
        <w:t>Emperors,  being</w:t>
      </w:r>
      <w:proofErr w:type="gramEnd"/>
      <w:r w:rsidRPr="00BC1DAA">
        <w:rPr>
          <w:sz w:val="20"/>
          <w:szCs w:val="20"/>
        </w:rPr>
        <w:t xml:space="preserve"> declared ‘</w:t>
      </w:r>
      <w:proofErr w:type="spellStart"/>
      <w:r w:rsidRPr="00BC1DAA">
        <w:rPr>
          <w:i/>
          <w:iCs/>
          <w:sz w:val="20"/>
          <w:szCs w:val="20"/>
        </w:rPr>
        <w:t>optimus</w:t>
      </w:r>
      <w:proofErr w:type="spellEnd"/>
      <w:r w:rsidRPr="00BC1DAA">
        <w:rPr>
          <w:i/>
          <w:iCs/>
          <w:sz w:val="20"/>
          <w:szCs w:val="20"/>
        </w:rPr>
        <w:t xml:space="preserve"> princeps’</w:t>
      </w:r>
      <w:r w:rsidR="000007FD" w:rsidRPr="00BC1DAA">
        <w:rPr>
          <w:rStyle w:val="FootnoteReference"/>
          <w:sz w:val="20"/>
          <w:szCs w:val="20"/>
        </w:rPr>
        <w:footnoteReference w:id="1"/>
      </w:r>
      <w:r w:rsidR="00FD3FCE" w:rsidRPr="00BC1DAA">
        <w:rPr>
          <w:sz w:val="20"/>
          <w:szCs w:val="20"/>
        </w:rPr>
        <w:t xml:space="preserve"> by the Senate. His example of being a strong, militaristic leader with expansionist views, while also maintaining public support within Rome led many Emperors that followed him to try and emulate his success. </w:t>
      </w:r>
    </w:p>
    <w:p w14:paraId="0DEC8B57" w14:textId="5535533E" w:rsidR="00FD3FCE" w:rsidRPr="00BC1DAA" w:rsidRDefault="00FD3FCE" w:rsidP="00BC1DAA">
      <w:pPr>
        <w:spacing w:line="480" w:lineRule="auto"/>
        <w:rPr>
          <w:sz w:val="20"/>
          <w:szCs w:val="20"/>
        </w:rPr>
      </w:pPr>
      <w:r w:rsidRPr="00BC1DAA">
        <w:rPr>
          <w:sz w:val="20"/>
          <w:szCs w:val="20"/>
        </w:rPr>
        <w:t xml:space="preserve">Trajan’s column </w:t>
      </w:r>
      <w:r w:rsidR="00504979" w:rsidRPr="00BC1DAA">
        <w:rPr>
          <w:sz w:val="20"/>
          <w:szCs w:val="20"/>
        </w:rPr>
        <w:t xml:space="preserve">depicts the </w:t>
      </w:r>
      <w:r w:rsidRPr="00BC1DAA">
        <w:rPr>
          <w:sz w:val="20"/>
          <w:szCs w:val="20"/>
        </w:rPr>
        <w:t xml:space="preserve">Dacian campaign, </w:t>
      </w:r>
      <w:r w:rsidR="00504979" w:rsidRPr="00BC1DAA">
        <w:rPr>
          <w:sz w:val="20"/>
          <w:szCs w:val="20"/>
        </w:rPr>
        <w:t xml:space="preserve">101-102 and 105-106 </w:t>
      </w:r>
      <w:r w:rsidRPr="00BC1DAA">
        <w:rPr>
          <w:sz w:val="20"/>
          <w:szCs w:val="20"/>
        </w:rPr>
        <w:t>Trajan’s</w:t>
      </w:r>
      <w:r w:rsidR="00504979" w:rsidRPr="00BC1DAA">
        <w:rPr>
          <w:sz w:val="20"/>
          <w:szCs w:val="20"/>
        </w:rPr>
        <w:t xml:space="preserve"> greatest</w:t>
      </w:r>
      <w:r w:rsidRPr="00BC1DAA">
        <w:rPr>
          <w:sz w:val="20"/>
          <w:szCs w:val="20"/>
        </w:rPr>
        <w:t xml:space="preserve"> military triumph. </w:t>
      </w:r>
      <w:r w:rsidR="00504979" w:rsidRPr="00BC1DAA">
        <w:rPr>
          <w:sz w:val="20"/>
          <w:szCs w:val="20"/>
        </w:rPr>
        <w:t>A b</w:t>
      </w:r>
      <w:r w:rsidRPr="00BC1DAA">
        <w:rPr>
          <w:sz w:val="20"/>
          <w:szCs w:val="20"/>
        </w:rPr>
        <w:t>as relief formulated in a spiral, the column is around 35 metres in height including its pedestal</w:t>
      </w:r>
      <w:r w:rsidR="000007FD" w:rsidRPr="00BC1DAA">
        <w:rPr>
          <w:sz w:val="20"/>
          <w:szCs w:val="20"/>
        </w:rPr>
        <w:t xml:space="preserve"> and is constructed from blocks of Carrera marble</w:t>
      </w:r>
      <w:r w:rsidRPr="00BC1DAA">
        <w:rPr>
          <w:sz w:val="20"/>
          <w:szCs w:val="20"/>
        </w:rPr>
        <w:t xml:space="preserve">. </w:t>
      </w:r>
      <w:r w:rsidR="004110DF" w:rsidRPr="00BC1DAA">
        <w:rPr>
          <w:sz w:val="20"/>
          <w:szCs w:val="20"/>
        </w:rPr>
        <w:t>The capital block weighs over 50 tonnes and had to be lifte</w:t>
      </w:r>
      <w:r w:rsidR="000007FD" w:rsidRPr="00BC1DAA">
        <w:rPr>
          <w:sz w:val="20"/>
          <w:szCs w:val="20"/>
        </w:rPr>
        <w:t xml:space="preserve">d </w:t>
      </w:r>
      <w:r w:rsidR="004110DF" w:rsidRPr="00BC1DAA">
        <w:rPr>
          <w:sz w:val="20"/>
          <w:szCs w:val="20"/>
        </w:rPr>
        <w:t>almost 115 feet into its place</w:t>
      </w:r>
      <w:r w:rsidR="004110DF" w:rsidRPr="00BC1DAA">
        <w:rPr>
          <w:rStyle w:val="FootnoteReference"/>
          <w:sz w:val="20"/>
          <w:szCs w:val="20"/>
        </w:rPr>
        <w:footnoteReference w:id="2"/>
      </w:r>
      <w:r w:rsidR="000007FD" w:rsidRPr="00BC1DAA">
        <w:rPr>
          <w:sz w:val="20"/>
          <w:szCs w:val="20"/>
        </w:rPr>
        <w:t>. The</w:t>
      </w:r>
      <w:r w:rsidR="004110DF" w:rsidRPr="00BC1DAA">
        <w:rPr>
          <w:sz w:val="20"/>
          <w:szCs w:val="20"/>
        </w:rPr>
        <w:t xml:space="preserve"> column was originally topped with an eagle, according to early depictions on coinage. </w:t>
      </w:r>
      <w:r w:rsidR="00504979" w:rsidRPr="00BC1DAA">
        <w:rPr>
          <w:sz w:val="20"/>
          <w:szCs w:val="20"/>
        </w:rPr>
        <w:t>The</w:t>
      </w:r>
      <w:r w:rsidR="004110DF" w:rsidRPr="00BC1DAA">
        <w:rPr>
          <w:sz w:val="20"/>
          <w:szCs w:val="20"/>
        </w:rPr>
        <w:t xml:space="preserve"> loss of both</w:t>
      </w:r>
      <w:r w:rsidR="000007FD" w:rsidRPr="00BC1DAA">
        <w:rPr>
          <w:sz w:val="20"/>
          <w:szCs w:val="20"/>
        </w:rPr>
        <w:t xml:space="preserve"> the</w:t>
      </w:r>
      <w:r w:rsidR="004110DF" w:rsidRPr="00BC1DAA">
        <w:rPr>
          <w:sz w:val="20"/>
          <w:szCs w:val="20"/>
        </w:rPr>
        <w:t xml:space="preserve"> statue of Trajan and the eagle topper</w:t>
      </w:r>
      <w:r w:rsidR="00504979" w:rsidRPr="00BC1DAA">
        <w:rPr>
          <w:sz w:val="20"/>
          <w:szCs w:val="20"/>
        </w:rPr>
        <w:t xml:space="preserve"> is </w:t>
      </w:r>
      <w:r w:rsidR="004110DF" w:rsidRPr="00BC1DAA">
        <w:rPr>
          <w:sz w:val="20"/>
          <w:szCs w:val="20"/>
        </w:rPr>
        <w:t>believed to have been destroyed at some point in the Middle Ages</w:t>
      </w:r>
      <w:r w:rsidR="00504979" w:rsidRPr="00BC1DAA">
        <w:rPr>
          <w:sz w:val="20"/>
          <w:szCs w:val="20"/>
        </w:rPr>
        <w:t xml:space="preserve">. </w:t>
      </w:r>
      <w:r w:rsidR="004110DF" w:rsidRPr="00BC1DAA">
        <w:rPr>
          <w:sz w:val="20"/>
          <w:szCs w:val="20"/>
        </w:rPr>
        <w:t xml:space="preserve">In 1587, Pope </w:t>
      </w:r>
      <w:proofErr w:type="spellStart"/>
      <w:r w:rsidR="004110DF" w:rsidRPr="00BC1DAA">
        <w:rPr>
          <w:sz w:val="20"/>
          <w:szCs w:val="20"/>
        </w:rPr>
        <w:t>Sixtus</w:t>
      </w:r>
      <w:proofErr w:type="spellEnd"/>
      <w:r w:rsidR="004110DF" w:rsidRPr="00BC1DAA">
        <w:rPr>
          <w:sz w:val="20"/>
          <w:szCs w:val="20"/>
        </w:rPr>
        <w:t xml:space="preserve"> V decreed the installation of a bronze statue of Saint Peter, which is still in place today</w:t>
      </w:r>
      <w:r w:rsidR="004110DF" w:rsidRPr="00BC1DAA">
        <w:rPr>
          <w:rStyle w:val="FootnoteReference"/>
          <w:sz w:val="20"/>
          <w:szCs w:val="20"/>
        </w:rPr>
        <w:footnoteReference w:id="3"/>
      </w:r>
      <w:r w:rsidR="004110DF" w:rsidRPr="00BC1DAA">
        <w:rPr>
          <w:sz w:val="20"/>
          <w:szCs w:val="20"/>
        </w:rPr>
        <w:t>.</w:t>
      </w:r>
    </w:p>
    <w:p w14:paraId="204F05AC" w14:textId="33D1D8AB" w:rsidR="009F1972" w:rsidRPr="00BC1DAA" w:rsidRDefault="004110DF" w:rsidP="00BC1DAA">
      <w:pPr>
        <w:spacing w:line="480" w:lineRule="auto"/>
        <w:rPr>
          <w:sz w:val="20"/>
          <w:szCs w:val="20"/>
        </w:rPr>
      </w:pPr>
      <w:r w:rsidRPr="00BC1DAA">
        <w:rPr>
          <w:sz w:val="20"/>
          <w:szCs w:val="20"/>
        </w:rPr>
        <w:t>Viewing Trajan’s column today gives the observer an incomplete picture of its original</w:t>
      </w:r>
      <w:r w:rsidR="00504979" w:rsidRPr="00BC1DAA">
        <w:rPr>
          <w:sz w:val="20"/>
          <w:szCs w:val="20"/>
        </w:rPr>
        <w:t xml:space="preserve">, </w:t>
      </w:r>
      <w:r w:rsidRPr="00BC1DAA">
        <w:rPr>
          <w:sz w:val="20"/>
          <w:szCs w:val="20"/>
        </w:rPr>
        <w:t>intended impact on the viewer. The loss of the vast majority of Trajan’s forum has left the column isolated.</w:t>
      </w:r>
      <w:r w:rsidR="000007FD" w:rsidRPr="00BC1DAA">
        <w:rPr>
          <w:sz w:val="20"/>
          <w:szCs w:val="20"/>
        </w:rPr>
        <w:t xml:space="preserve"> The column was once part of the exterior aspect of the Ulpian library which contained both a Greek and Latin library. It is widely believed that the Latin chamber housed Trajan’s own written work, his </w:t>
      </w:r>
      <w:proofErr w:type="spellStart"/>
      <w:r w:rsidR="000007FD" w:rsidRPr="00BC1DAA">
        <w:rPr>
          <w:i/>
          <w:iCs/>
          <w:sz w:val="20"/>
          <w:szCs w:val="20"/>
        </w:rPr>
        <w:t>Dacica</w:t>
      </w:r>
      <w:proofErr w:type="spellEnd"/>
      <w:r w:rsidR="000007FD" w:rsidRPr="00BC1DAA">
        <w:rPr>
          <w:i/>
          <w:iCs/>
          <w:sz w:val="20"/>
          <w:szCs w:val="20"/>
        </w:rPr>
        <w:t xml:space="preserve">, </w:t>
      </w:r>
      <w:r w:rsidR="000007FD" w:rsidRPr="00BC1DAA">
        <w:rPr>
          <w:sz w:val="20"/>
          <w:szCs w:val="20"/>
        </w:rPr>
        <w:t>a commentary on the Roman-Dacian wars</w:t>
      </w:r>
      <w:r w:rsidR="000007FD" w:rsidRPr="00BC1DAA">
        <w:rPr>
          <w:rStyle w:val="FootnoteReference"/>
          <w:sz w:val="20"/>
          <w:szCs w:val="20"/>
        </w:rPr>
        <w:footnoteReference w:id="4"/>
      </w:r>
      <w:r w:rsidR="000007FD" w:rsidRPr="00BC1DAA">
        <w:rPr>
          <w:sz w:val="20"/>
          <w:szCs w:val="20"/>
        </w:rPr>
        <w:t>.</w:t>
      </w:r>
      <w:r w:rsidR="00660D5D" w:rsidRPr="00BC1DAA">
        <w:rPr>
          <w:sz w:val="20"/>
          <w:szCs w:val="20"/>
        </w:rPr>
        <w:t xml:space="preserve"> The libraries were built in conjunction with the column, so we know they were always intended to be viewed as a complex</w:t>
      </w:r>
      <w:r w:rsidR="00504979" w:rsidRPr="00BC1DAA">
        <w:rPr>
          <w:sz w:val="20"/>
          <w:szCs w:val="20"/>
        </w:rPr>
        <w:t>.</w:t>
      </w:r>
      <w:r w:rsidR="00660D5D" w:rsidRPr="00BC1DAA">
        <w:rPr>
          <w:sz w:val="20"/>
          <w:szCs w:val="20"/>
        </w:rPr>
        <w:t xml:space="preserve"> The libraries also acted as viewing platforms, allowing people to view </w:t>
      </w:r>
      <w:r w:rsidR="00504979" w:rsidRPr="00BC1DAA">
        <w:rPr>
          <w:sz w:val="20"/>
          <w:szCs w:val="20"/>
        </w:rPr>
        <w:t>areas</w:t>
      </w:r>
      <w:r w:rsidR="00660D5D" w:rsidRPr="00BC1DAA">
        <w:rPr>
          <w:sz w:val="20"/>
          <w:szCs w:val="20"/>
        </w:rPr>
        <w:t xml:space="preserve"> not clearly visible from the ground. Today, in the absence of these, only the lower areas of the column are visible. The main purpose of the column could be as a commemoration or as a form of propaganda for Trajan’s successful</w:t>
      </w:r>
      <w:r w:rsidR="00504979" w:rsidRPr="00BC1DAA">
        <w:rPr>
          <w:sz w:val="20"/>
          <w:szCs w:val="20"/>
        </w:rPr>
        <w:t>,</w:t>
      </w:r>
      <w:r w:rsidR="00660D5D" w:rsidRPr="00BC1DAA">
        <w:rPr>
          <w:sz w:val="20"/>
          <w:szCs w:val="20"/>
        </w:rPr>
        <w:t xml:space="preserve"> but costly</w:t>
      </w:r>
      <w:r w:rsidR="00504979" w:rsidRPr="00BC1DAA">
        <w:rPr>
          <w:sz w:val="20"/>
          <w:szCs w:val="20"/>
        </w:rPr>
        <w:t>,</w:t>
      </w:r>
      <w:r w:rsidR="00660D5D" w:rsidRPr="00BC1DAA">
        <w:rPr>
          <w:sz w:val="20"/>
          <w:szCs w:val="20"/>
        </w:rPr>
        <w:t xml:space="preserve"> military campaigns in Dacia.</w:t>
      </w:r>
      <w:r w:rsidR="009F1972" w:rsidRPr="00BC1DAA">
        <w:rPr>
          <w:sz w:val="20"/>
          <w:szCs w:val="20"/>
        </w:rPr>
        <w:t xml:space="preserve"> </w:t>
      </w:r>
      <w:r w:rsidR="00660D5D" w:rsidRPr="00BC1DAA">
        <w:rPr>
          <w:sz w:val="20"/>
          <w:szCs w:val="20"/>
        </w:rPr>
        <w:t xml:space="preserve">Upon Trajan’s death in 117, from natural causes at the age of 63, the </w:t>
      </w:r>
      <w:r w:rsidR="00660D5D" w:rsidRPr="00BC1DAA">
        <w:rPr>
          <w:sz w:val="20"/>
          <w:szCs w:val="20"/>
        </w:rPr>
        <w:lastRenderedPageBreak/>
        <w:t>Senate decided to inter his ashes in the base</w:t>
      </w:r>
      <w:r w:rsidR="00660D5D" w:rsidRPr="00BC1DAA">
        <w:rPr>
          <w:rStyle w:val="FootnoteReference"/>
          <w:sz w:val="20"/>
          <w:szCs w:val="20"/>
        </w:rPr>
        <w:footnoteReference w:id="5"/>
      </w:r>
      <w:r w:rsidR="00660D5D" w:rsidRPr="00BC1DAA">
        <w:rPr>
          <w:sz w:val="20"/>
          <w:szCs w:val="20"/>
        </w:rPr>
        <w:t xml:space="preserve">. This may suggest </w:t>
      </w:r>
      <w:r w:rsidR="00504979" w:rsidRPr="00BC1DAA">
        <w:rPr>
          <w:sz w:val="20"/>
          <w:szCs w:val="20"/>
        </w:rPr>
        <w:t xml:space="preserve">the </w:t>
      </w:r>
      <w:r w:rsidR="00660D5D" w:rsidRPr="00BC1DAA">
        <w:rPr>
          <w:sz w:val="20"/>
          <w:szCs w:val="20"/>
        </w:rPr>
        <w:t>purpose of the column was not only as a monument to Trajan’s military campaigns, but also to the man himself.</w:t>
      </w:r>
    </w:p>
    <w:p w14:paraId="27F0221A" w14:textId="31EB9B0F" w:rsidR="00660D5D" w:rsidRPr="00BC1DAA" w:rsidRDefault="00660D5D" w:rsidP="00BC1DAA">
      <w:pPr>
        <w:spacing w:line="480" w:lineRule="auto"/>
        <w:rPr>
          <w:sz w:val="20"/>
          <w:szCs w:val="20"/>
        </w:rPr>
      </w:pPr>
      <w:r w:rsidRPr="00BC1DAA">
        <w:rPr>
          <w:sz w:val="20"/>
          <w:szCs w:val="20"/>
        </w:rPr>
        <w:t xml:space="preserve"> The prominent historian Edward Gibbons, author of The Decline and Fall of the Roman Empire</w:t>
      </w:r>
      <w:r w:rsidR="009F1972" w:rsidRPr="00BC1DAA">
        <w:rPr>
          <w:sz w:val="20"/>
          <w:szCs w:val="20"/>
        </w:rPr>
        <w:t xml:space="preserve"> said, “Trajan was ambitious of fame; and as long as mankind shall continue to bestow more liberal applause on their destroyers than on their benefactors, the thirst of military glory will ever be the vice of the most exalted characters.”</w:t>
      </w:r>
      <w:r w:rsidR="00504979" w:rsidRPr="00BC1DAA">
        <w:rPr>
          <w:rStyle w:val="FootnoteReference"/>
          <w:sz w:val="20"/>
          <w:szCs w:val="20"/>
        </w:rPr>
        <w:footnoteReference w:id="6"/>
      </w:r>
      <w:r w:rsidR="009F1972" w:rsidRPr="00BC1DAA">
        <w:rPr>
          <w:sz w:val="20"/>
          <w:szCs w:val="20"/>
        </w:rPr>
        <w:t xml:space="preserve"> However, this view fails to appreciate the impact of Trajan</w:t>
      </w:r>
      <w:r w:rsidR="00504979" w:rsidRPr="00BC1DAA">
        <w:rPr>
          <w:sz w:val="20"/>
          <w:szCs w:val="20"/>
        </w:rPr>
        <w:t xml:space="preserve"> as Emperor</w:t>
      </w:r>
      <w:r w:rsidR="009F1972" w:rsidRPr="00BC1DAA">
        <w:rPr>
          <w:sz w:val="20"/>
          <w:szCs w:val="20"/>
        </w:rPr>
        <w:t xml:space="preserve">, particularly his extensive building projects and his </w:t>
      </w:r>
      <w:proofErr w:type="spellStart"/>
      <w:r w:rsidR="009F1972" w:rsidRPr="00BC1DAA">
        <w:rPr>
          <w:sz w:val="20"/>
          <w:szCs w:val="20"/>
        </w:rPr>
        <w:t>alimenta</w:t>
      </w:r>
      <w:proofErr w:type="spellEnd"/>
      <w:r w:rsidR="009F1972" w:rsidRPr="00BC1DAA">
        <w:rPr>
          <w:sz w:val="20"/>
          <w:szCs w:val="20"/>
        </w:rPr>
        <w:t xml:space="preserve"> (a wide scale operation to provide food, shelter and education to the needy). </w:t>
      </w:r>
      <w:proofErr w:type="gramStart"/>
      <w:r w:rsidR="009F1972" w:rsidRPr="00BC1DAA">
        <w:rPr>
          <w:sz w:val="20"/>
          <w:szCs w:val="20"/>
        </w:rPr>
        <w:t>Gibbons</w:t>
      </w:r>
      <w:proofErr w:type="gramEnd"/>
      <w:r w:rsidR="009F1972" w:rsidRPr="00BC1DAA">
        <w:rPr>
          <w:sz w:val="20"/>
          <w:szCs w:val="20"/>
        </w:rPr>
        <w:t xml:space="preserve"> views Trajan’s military goals and campaigns as vice, rather than accomplishment, despite the fact that it was the military campaigns in Dacia which cemented Trajan’s position as Optimus Princeps and allowed him the funding to implement his social reforms.</w:t>
      </w:r>
    </w:p>
    <w:p w14:paraId="4D6CCEC3" w14:textId="626DB21F" w:rsidR="00504979" w:rsidRPr="00BC1DAA" w:rsidRDefault="00504979" w:rsidP="00BC1DAA">
      <w:pPr>
        <w:spacing w:line="480" w:lineRule="auto"/>
        <w:rPr>
          <w:sz w:val="20"/>
          <w:szCs w:val="20"/>
        </w:rPr>
      </w:pPr>
      <w:r w:rsidRPr="00BC1DAA">
        <w:rPr>
          <w:sz w:val="20"/>
          <w:szCs w:val="20"/>
        </w:rPr>
        <w:t>Trajan’s column gives us not only an insight into building techniques, ideas about commemoration and art, it also allows us to humanise a distant figure from the past. Trajan oversaw the completion of his column, and it shows us how he wanted to be remembered in history, for his military successes.</w:t>
      </w:r>
    </w:p>
    <w:p w14:paraId="315881C4" w14:textId="3DE814BF" w:rsidR="00FD3FCE" w:rsidRDefault="00FD3FCE"/>
    <w:p w14:paraId="0B70B86F" w14:textId="7E603404" w:rsidR="00BC1DAA" w:rsidRDefault="00BC1DAA"/>
    <w:p w14:paraId="4BB87869" w14:textId="7EF030D4" w:rsidR="00BC1DAA" w:rsidRDefault="00BC1DAA"/>
    <w:p w14:paraId="5F8E294D" w14:textId="6BD36B93" w:rsidR="00BC1DAA" w:rsidRDefault="00BC1DAA"/>
    <w:p w14:paraId="28D2E93B" w14:textId="3E4A359B" w:rsidR="00BC1DAA" w:rsidRDefault="00BC1DAA"/>
    <w:p w14:paraId="3FF7457D" w14:textId="0C319F82" w:rsidR="00BC1DAA" w:rsidRDefault="00BC1DAA"/>
    <w:p w14:paraId="66C1028F" w14:textId="158C1AF8" w:rsidR="00BC1DAA" w:rsidRDefault="00BC1DAA"/>
    <w:p w14:paraId="3AF3489A" w14:textId="223511BE" w:rsidR="00BC1DAA" w:rsidRDefault="00BC1DAA"/>
    <w:p w14:paraId="68F658AC" w14:textId="4DB4B698" w:rsidR="00BC1DAA" w:rsidRDefault="00BC1DAA"/>
    <w:p w14:paraId="28CDC594" w14:textId="792188DE" w:rsidR="00BC1DAA" w:rsidRDefault="00BC1DAA"/>
    <w:p w14:paraId="168C9F24" w14:textId="2BC1F089" w:rsidR="00BC1DAA" w:rsidRDefault="00BC1DAA"/>
    <w:p w14:paraId="42FEC1BE" w14:textId="77777777" w:rsidR="00BC1DAA" w:rsidRDefault="00BC1DAA" w:rsidP="00BC1DAA">
      <w:pPr>
        <w:spacing w:line="480" w:lineRule="auto"/>
      </w:pPr>
    </w:p>
    <w:p w14:paraId="791C0697" w14:textId="5A59D2F4" w:rsidR="00BC1DAA" w:rsidRPr="00BC1DAA" w:rsidRDefault="00BC1DAA" w:rsidP="00BC1DAA">
      <w:pPr>
        <w:spacing w:line="480" w:lineRule="auto"/>
        <w:rPr>
          <w:b/>
          <w:bCs/>
          <w:u w:val="single"/>
        </w:rPr>
      </w:pPr>
      <w:r w:rsidRPr="00BC1DAA">
        <w:rPr>
          <w:b/>
          <w:bCs/>
          <w:u w:val="single"/>
        </w:rPr>
        <w:lastRenderedPageBreak/>
        <w:t>Bibliography</w:t>
      </w:r>
    </w:p>
    <w:p w14:paraId="00514DEB" w14:textId="114BE36B" w:rsidR="00BC1DAA" w:rsidRDefault="00BC1DAA" w:rsidP="00BC1DAA">
      <w:pPr>
        <w:pStyle w:val="FootnoteText"/>
        <w:numPr>
          <w:ilvl w:val="0"/>
          <w:numId w:val="1"/>
        </w:numPr>
        <w:spacing w:line="480" w:lineRule="auto"/>
      </w:pPr>
      <w:r>
        <w:t xml:space="preserve">Bennett, Julian (2001), “VII </w:t>
      </w:r>
      <w:proofErr w:type="spellStart"/>
      <w:r>
        <w:t>Dacicus</w:t>
      </w:r>
      <w:proofErr w:type="spellEnd"/>
      <w:r>
        <w:t xml:space="preserve">”, </w:t>
      </w:r>
      <w:r w:rsidRPr="000007FD">
        <w:rPr>
          <w:i/>
          <w:iCs/>
        </w:rPr>
        <w:t>Trajan: Optimus Princeps</w:t>
      </w:r>
      <w:r>
        <w:t>.</w:t>
      </w:r>
    </w:p>
    <w:p w14:paraId="70AC925D" w14:textId="77777777" w:rsidR="00BC1DAA" w:rsidRDefault="00BC1DAA" w:rsidP="00BC1DAA">
      <w:pPr>
        <w:pStyle w:val="FootnoteText"/>
        <w:numPr>
          <w:ilvl w:val="0"/>
          <w:numId w:val="1"/>
        </w:numPr>
        <w:spacing w:line="480" w:lineRule="auto"/>
      </w:pPr>
      <w:r>
        <w:rPr>
          <w:rFonts w:ascii="Arial" w:hAnsi="Arial" w:cs="Arial"/>
          <w:color w:val="202122"/>
          <w:sz w:val="19"/>
          <w:szCs w:val="19"/>
          <w:shd w:val="clear" w:color="auto" w:fill="FFFFFF"/>
        </w:rPr>
        <w:t>Curry, Andrew. </w:t>
      </w:r>
      <w:hyperlink r:id="rId8" w:history="1">
        <w:r>
          <w:rPr>
            <w:rStyle w:val="Hyperlink"/>
            <w:rFonts w:ascii="Arial" w:hAnsi="Arial" w:cs="Arial"/>
            <w:color w:val="3366BB"/>
            <w:sz w:val="19"/>
            <w:szCs w:val="19"/>
          </w:rPr>
          <w:t>"Trajan's Amazing Column"</w:t>
        </w:r>
      </w:hyperlink>
      <w:r>
        <w:rPr>
          <w:rFonts w:ascii="Arial" w:hAnsi="Arial" w:cs="Arial"/>
          <w:color w:val="202122"/>
          <w:sz w:val="19"/>
          <w:szCs w:val="19"/>
          <w:shd w:val="clear" w:color="auto" w:fill="FFFFFF"/>
        </w:rPr>
        <w:t>. </w:t>
      </w:r>
      <w:r>
        <w:rPr>
          <w:rFonts w:ascii="Arial" w:hAnsi="Arial" w:cs="Arial"/>
          <w:i/>
          <w:iCs/>
          <w:color w:val="202122"/>
          <w:sz w:val="19"/>
          <w:szCs w:val="19"/>
          <w:shd w:val="clear" w:color="auto" w:fill="FFFFFF"/>
        </w:rPr>
        <w:t>National Geographic</w:t>
      </w:r>
    </w:p>
    <w:p w14:paraId="2777F8A4" w14:textId="77777777" w:rsidR="00BC1DAA" w:rsidRDefault="00BC1DAA" w:rsidP="00BC1DAA">
      <w:pPr>
        <w:pStyle w:val="FootnoteText"/>
        <w:numPr>
          <w:ilvl w:val="0"/>
          <w:numId w:val="1"/>
        </w:numPr>
        <w:spacing w:line="480" w:lineRule="auto"/>
      </w:pPr>
      <w:r>
        <w:t xml:space="preserve">Davies, Penelope J E, (1997) “The Politics of Perpetuation: Trajan’s Column and the Art of Commemoration”, </w:t>
      </w:r>
      <w:r w:rsidRPr="00504979">
        <w:rPr>
          <w:i/>
          <w:iCs/>
        </w:rPr>
        <w:t>American Journal of Archaeology</w:t>
      </w:r>
      <w:r>
        <w:t>, 101(1), 41-65</w:t>
      </w:r>
    </w:p>
    <w:p w14:paraId="408A72FC" w14:textId="77777777" w:rsidR="00BC1DAA" w:rsidRDefault="00BC1DAA" w:rsidP="00BC1DAA">
      <w:pPr>
        <w:pStyle w:val="ListParagraph"/>
        <w:numPr>
          <w:ilvl w:val="0"/>
          <w:numId w:val="1"/>
        </w:numPr>
        <w:spacing w:line="480" w:lineRule="auto"/>
      </w:pPr>
      <w:r>
        <w:t xml:space="preserve">Gibbons, Edward (1776), </w:t>
      </w:r>
      <w:r w:rsidRPr="00BC1DAA">
        <w:rPr>
          <w:i/>
          <w:iCs/>
        </w:rPr>
        <w:t>The Decline and Fall of the Roman Empire</w:t>
      </w:r>
      <w:r>
        <w:t>.</w:t>
      </w:r>
    </w:p>
    <w:p w14:paraId="1A6A0B5C" w14:textId="77777777" w:rsidR="00BC1DAA" w:rsidRDefault="00BC1DAA" w:rsidP="00BC1DAA">
      <w:pPr>
        <w:pStyle w:val="ListParagraph"/>
        <w:numPr>
          <w:ilvl w:val="0"/>
          <w:numId w:val="1"/>
        </w:numPr>
        <w:spacing w:line="480" w:lineRule="auto"/>
      </w:pPr>
      <w:r w:rsidRPr="00BC1DAA">
        <w:rPr>
          <w:rFonts w:ascii="Arial" w:hAnsi="Arial" w:cs="Arial"/>
          <w:color w:val="202122"/>
          <w:sz w:val="19"/>
          <w:szCs w:val="19"/>
          <w:shd w:val="clear" w:color="auto" w:fill="FFFFFF"/>
        </w:rPr>
        <w:t>Jackson, Nicholas (2022). </w:t>
      </w:r>
      <w:r w:rsidRPr="00BC1DAA">
        <w:rPr>
          <w:rFonts w:ascii="Arial" w:hAnsi="Arial" w:cs="Arial"/>
          <w:i/>
          <w:iCs/>
          <w:color w:val="202122"/>
          <w:sz w:val="19"/>
          <w:szCs w:val="19"/>
          <w:shd w:val="clear" w:color="auto" w:fill="FFFFFF"/>
        </w:rPr>
        <w:t>Trajan: Rome's Last Conqueror</w:t>
      </w:r>
      <w:r w:rsidRPr="00BC1DAA">
        <w:rPr>
          <w:rFonts w:ascii="Arial" w:hAnsi="Arial" w:cs="Arial"/>
          <w:color w:val="202122"/>
          <w:sz w:val="19"/>
          <w:szCs w:val="19"/>
          <w:shd w:val="clear" w:color="auto" w:fill="FFFFFF"/>
        </w:rPr>
        <w:t> (1st ed.). Chapter: First Dacian War</w:t>
      </w:r>
    </w:p>
    <w:p w14:paraId="71428BC8" w14:textId="77777777" w:rsidR="00BC1DAA" w:rsidRDefault="00BC1DAA" w:rsidP="00BC1DAA">
      <w:pPr>
        <w:pStyle w:val="ListParagraph"/>
        <w:numPr>
          <w:ilvl w:val="0"/>
          <w:numId w:val="1"/>
        </w:numPr>
        <w:spacing w:line="480" w:lineRule="auto"/>
      </w:pPr>
      <w:r>
        <w:t xml:space="preserve">Jones, Marc Wilson (1993), “One Hundred Feet and a Spiral Stair: The Problem of Designing Trajan’s Column”, </w:t>
      </w:r>
      <w:r w:rsidRPr="00BC1DAA">
        <w:rPr>
          <w:i/>
          <w:iCs/>
        </w:rPr>
        <w:t>Journal of Roman Archaeology</w:t>
      </w:r>
      <w:r>
        <w:t>, 6 (23-28)</w:t>
      </w:r>
    </w:p>
    <w:p w14:paraId="20F95CD0" w14:textId="77777777" w:rsidR="00BC1DAA" w:rsidRDefault="00BC1DAA" w:rsidP="00BC1DAA">
      <w:pPr>
        <w:pStyle w:val="FootnoteText"/>
        <w:numPr>
          <w:ilvl w:val="0"/>
          <w:numId w:val="1"/>
        </w:numPr>
        <w:spacing w:line="480" w:lineRule="auto"/>
      </w:pPr>
      <w:r>
        <w:t xml:space="preserve">Lancaster, Lynne (1999), “Building Trajan’s column”, </w:t>
      </w:r>
      <w:r w:rsidRPr="004110DF">
        <w:rPr>
          <w:i/>
          <w:iCs/>
        </w:rPr>
        <w:t>American Journal of Archaeology</w:t>
      </w:r>
      <w:r>
        <w:t>, 103(3), 419-439</w:t>
      </w:r>
    </w:p>
    <w:p w14:paraId="196A536F" w14:textId="77777777" w:rsidR="00BC1DAA" w:rsidRDefault="00BC1DAA" w:rsidP="00BC1DAA">
      <w:pPr>
        <w:pStyle w:val="ListParagraph"/>
        <w:numPr>
          <w:ilvl w:val="0"/>
          <w:numId w:val="1"/>
        </w:numPr>
        <w:spacing w:line="480" w:lineRule="auto"/>
      </w:pPr>
      <w:r w:rsidRPr="00BC1DAA">
        <w:rPr>
          <w:rFonts w:ascii="Arial" w:hAnsi="Arial" w:cs="Arial"/>
          <w:color w:val="202122"/>
          <w:sz w:val="19"/>
          <w:szCs w:val="19"/>
          <w:shd w:val="clear" w:color="auto" w:fill="FFFFFF"/>
        </w:rPr>
        <w:t>Packer, James E. (1998). "Trajan's Glorious Forum". </w:t>
      </w:r>
      <w:r w:rsidRPr="00BC1DAA">
        <w:rPr>
          <w:rFonts w:ascii="Arial" w:hAnsi="Arial" w:cs="Arial"/>
          <w:i/>
          <w:iCs/>
          <w:color w:val="202122"/>
          <w:sz w:val="19"/>
          <w:szCs w:val="19"/>
          <w:shd w:val="clear" w:color="auto" w:fill="FFFFFF"/>
        </w:rPr>
        <w:t>Archaeology</w:t>
      </w:r>
      <w:r w:rsidRPr="00BC1DAA">
        <w:rPr>
          <w:rFonts w:ascii="Arial" w:hAnsi="Arial" w:cs="Arial"/>
          <w:color w:val="202122"/>
          <w:sz w:val="19"/>
          <w:szCs w:val="19"/>
          <w:shd w:val="clear" w:color="auto" w:fill="FFFFFF"/>
        </w:rPr>
        <w:t>. </w:t>
      </w:r>
      <w:r w:rsidRPr="00BC1DAA">
        <w:rPr>
          <w:rFonts w:ascii="Arial" w:hAnsi="Arial" w:cs="Arial"/>
          <w:b/>
          <w:bCs/>
          <w:color w:val="202122"/>
          <w:sz w:val="19"/>
          <w:szCs w:val="19"/>
          <w:shd w:val="clear" w:color="auto" w:fill="FFFFFF"/>
        </w:rPr>
        <w:t>51</w:t>
      </w:r>
      <w:r w:rsidRPr="00BC1DAA">
        <w:rPr>
          <w:rFonts w:ascii="Arial" w:hAnsi="Arial" w:cs="Arial"/>
          <w:color w:val="202122"/>
          <w:sz w:val="19"/>
          <w:szCs w:val="19"/>
          <w:shd w:val="clear" w:color="auto" w:fill="FFFFFF"/>
        </w:rPr>
        <w:t> (3): 32–41.</w:t>
      </w:r>
    </w:p>
    <w:p w14:paraId="1F0F81D3" w14:textId="77777777" w:rsidR="00BC1DAA" w:rsidRDefault="00BC1DAA" w:rsidP="00BC1DAA">
      <w:pPr>
        <w:pStyle w:val="FootnoteText"/>
        <w:numPr>
          <w:ilvl w:val="0"/>
          <w:numId w:val="1"/>
        </w:numPr>
        <w:spacing w:line="480" w:lineRule="auto"/>
      </w:pPr>
      <w:proofErr w:type="spellStart"/>
      <w:r>
        <w:t>Paoletti</w:t>
      </w:r>
      <w:proofErr w:type="spellEnd"/>
      <w:r>
        <w:t xml:space="preserve">, John T; Radke, Gary M. (2005), </w:t>
      </w:r>
      <w:r w:rsidRPr="004110DF">
        <w:rPr>
          <w:i/>
          <w:iCs/>
        </w:rPr>
        <w:t>Art in Renaissance Italy</w:t>
      </w:r>
      <w:r>
        <w:t>, p.541.</w:t>
      </w:r>
    </w:p>
    <w:sectPr w:rsidR="00BC1DAA">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1B7EB" w14:textId="77777777" w:rsidR="008E4B02" w:rsidRDefault="008E4B02" w:rsidP="004110DF">
      <w:pPr>
        <w:spacing w:after="0" w:line="240" w:lineRule="auto"/>
      </w:pPr>
      <w:r>
        <w:separator/>
      </w:r>
    </w:p>
  </w:endnote>
  <w:endnote w:type="continuationSeparator" w:id="0">
    <w:p w14:paraId="594448E9" w14:textId="77777777" w:rsidR="008E4B02" w:rsidRDefault="008E4B02" w:rsidP="00411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872F0" w14:textId="77777777" w:rsidR="00BC1DAA" w:rsidRDefault="00BC1D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F559B" w14:textId="77777777" w:rsidR="00BC1DAA" w:rsidRDefault="00BC1D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82040" w14:textId="77777777" w:rsidR="00BC1DAA" w:rsidRDefault="00BC1D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FD2A7" w14:textId="77777777" w:rsidR="008E4B02" w:rsidRDefault="008E4B02" w:rsidP="004110DF">
      <w:pPr>
        <w:spacing w:after="0" w:line="240" w:lineRule="auto"/>
      </w:pPr>
      <w:r>
        <w:separator/>
      </w:r>
    </w:p>
  </w:footnote>
  <w:footnote w:type="continuationSeparator" w:id="0">
    <w:p w14:paraId="0898A9DC" w14:textId="77777777" w:rsidR="008E4B02" w:rsidRDefault="008E4B02" w:rsidP="004110DF">
      <w:pPr>
        <w:spacing w:after="0" w:line="240" w:lineRule="auto"/>
      </w:pPr>
      <w:r>
        <w:continuationSeparator/>
      </w:r>
    </w:p>
  </w:footnote>
  <w:footnote w:id="1">
    <w:p w14:paraId="1E5E82A3" w14:textId="4AAFAB13" w:rsidR="000007FD" w:rsidRDefault="000007FD">
      <w:pPr>
        <w:pStyle w:val="FootnoteText"/>
      </w:pPr>
      <w:r>
        <w:rPr>
          <w:rStyle w:val="FootnoteReference"/>
        </w:rPr>
        <w:footnoteRef/>
      </w:r>
      <w:r>
        <w:t xml:space="preserve"> Optimus princeps is the Latin for ‘best ruler’</w:t>
      </w:r>
    </w:p>
  </w:footnote>
  <w:footnote w:id="2">
    <w:p w14:paraId="33A7AA3C" w14:textId="4E003C95" w:rsidR="004110DF" w:rsidRDefault="004110DF">
      <w:pPr>
        <w:pStyle w:val="FootnoteText"/>
      </w:pPr>
      <w:r>
        <w:rPr>
          <w:rStyle w:val="FootnoteReference"/>
        </w:rPr>
        <w:footnoteRef/>
      </w:r>
      <w:r>
        <w:t xml:space="preserve"> Lancaster, Lynne (1999), “Building Trajan’s column”, 419-439</w:t>
      </w:r>
    </w:p>
  </w:footnote>
  <w:footnote w:id="3">
    <w:p w14:paraId="23EB3C17" w14:textId="155D2A3C" w:rsidR="004110DF" w:rsidRDefault="004110DF">
      <w:pPr>
        <w:pStyle w:val="FootnoteText"/>
      </w:pPr>
      <w:r>
        <w:rPr>
          <w:rStyle w:val="FootnoteReference"/>
        </w:rPr>
        <w:footnoteRef/>
      </w:r>
      <w:r>
        <w:t xml:space="preserve"> </w:t>
      </w:r>
      <w:proofErr w:type="spellStart"/>
      <w:r>
        <w:t>Paoletti</w:t>
      </w:r>
      <w:proofErr w:type="spellEnd"/>
      <w:r>
        <w:t xml:space="preserve">, John T; Radke, Gary M. (2005), </w:t>
      </w:r>
      <w:r w:rsidRPr="004110DF">
        <w:rPr>
          <w:i/>
          <w:iCs/>
        </w:rPr>
        <w:t>Art in Renaissance Italy</w:t>
      </w:r>
      <w:r>
        <w:t>, p.541.</w:t>
      </w:r>
    </w:p>
  </w:footnote>
  <w:footnote w:id="4">
    <w:p w14:paraId="56223850" w14:textId="49BE552A" w:rsidR="000007FD" w:rsidRDefault="000007FD">
      <w:pPr>
        <w:pStyle w:val="FootnoteText"/>
      </w:pPr>
      <w:r>
        <w:rPr>
          <w:rStyle w:val="FootnoteReference"/>
        </w:rPr>
        <w:footnoteRef/>
      </w:r>
      <w:r>
        <w:t xml:space="preserve"> Bennett, Julian (2001), “VII </w:t>
      </w:r>
      <w:proofErr w:type="spellStart"/>
      <w:r>
        <w:t>Dacicus</w:t>
      </w:r>
      <w:proofErr w:type="spellEnd"/>
      <w:r>
        <w:t xml:space="preserve">”, </w:t>
      </w:r>
      <w:r w:rsidRPr="000007FD">
        <w:rPr>
          <w:i/>
          <w:iCs/>
        </w:rPr>
        <w:t>Trajan: Optimus Princeps</w:t>
      </w:r>
      <w:r>
        <w:t>.</w:t>
      </w:r>
    </w:p>
  </w:footnote>
  <w:footnote w:id="5">
    <w:p w14:paraId="6AC650BD" w14:textId="70DF0520" w:rsidR="00660D5D" w:rsidRDefault="00660D5D">
      <w:pPr>
        <w:pStyle w:val="FootnoteText"/>
      </w:pPr>
      <w:r>
        <w:rPr>
          <w:rStyle w:val="FootnoteReference"/>
        </w:rPr>
        <w:footnoteRef/>
      </w:r>
      <w:r>
        <w:t xml:space="preserve"> Davies, Penelope J E, (1997) “The Politics of Perpetuation: Trajan’s Column and the Art of </w:t>
      </w:r>
      <w:r w:rsidR="00504979">
        <w:t>Commemoration</w:t>
      </w:r>
      <w:r>
        <w:t xml:space="preserve">”, </w:t>
      </w:r>
      <w:r w:rsidRPr="00504979">
        <w:rPr>
          <w:i/>
          <w:iCs/>
        </w:rPr>
        <w:t>American Journal of Archaeology</w:t>
      </w:r>
      <w:r>
        <w:t>, 101(1), 41-65</w:t>
      </w:r>
    </w:p>
  </w:footnote>
  <w:footnote w:id="6">
    <w:p w14:paraId="40AADB05" w14:textId="4576BAFB" w:rsidR="00504979" w:rsidRDefault="00504979">
      <w:pPr>
        <w:pStyle w:val="FootnoteText"/>
      </w:pPr>
      <w:r>
        <w:rPr>
          <w:rStyle w:val="FootnoteReference"/>
        </w:rPr>
        <w:footnoteRef/>
      </w:r>
      <w:r>
        <w:t xml:space="preserve"> Gibbons, Edward (1776), </w:t>
      </w:r>
      <w:r w:rsidRPr="00504979">
        <w:rPr>
          <w:i/>
          <w:iCs/>
        </w:rPr>
        <w:t>The Decline and Fall of the Roman Empire</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0B8B4" w14:textId="77777777" w:rsidR="00BC1DAA" w:rsidRDefault="00BC1D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A3E58" w14:textId="38CA2085" w:rsidR="00BC1DAA" w:rsidRDefault="00BC1DAA">
    <w:pPr>
      <w:pStyle w:val="Header"/>
    </w:pPr>
    <w:r>
      <w:t>709 words</w:t>
    </w:r>
  </w:p>
  <w:p w14:paraId="3D4E51FA" w14:textId="6CB3339F" w:rsidR="00BC1DAA" w:rsidRDefault="00BC1DAA">
    <w:pPr>
      <w:pStyle w:val="Header"/>
    </w:pPr>
    <w:r>
      <w:t>J Williams</w:t>
    </w:r>
  </w:p>
  <w:p w14:paraId="31D042D7" w14:textId="2B60F2A2" w:rsidR="00BC1DAA" w:rsidRDefault="001E4F16">
    <w:pPr>
      <w:pStyle w:val="Header"/>
    </w:pPr>
    <w:r>
      <w:t>Conflict, War and Society BA</w:t>
    </w:r>
  </w:p>
  <w:p w14:paraId="62ECC0C0" w14:textId="77777777" w:rsidR="00BC1DAA" w:rsidRDefault="00BC1D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591ED" w14:textId="77777777" w:rsidR="00BC1DAA" w:rsidRDefault="00BC1D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EA2B67"/>
    <w:multiLevelType w:val="hybridMultilevel"/>
    <w:tmpl w:val="92044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1240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DA4"/>
    <w:rsid w:val="000007FD"/>
    <w:rsid w:val="001B03EC"/>
    <w:rsid w:val="001E4F16"/>
    <w:rsid w:val="004110DF"/>
    <w:rsid w:val="00504979"/>
    <w:rsid w:val="005E4DA4"/>
    <w:rsid w:val="00660D5D"/>
    <w:rsid w:val="008E4B02"/>
    <w:rsid w:val="009F1972"/>
    <w:rsid w:val="00BC1DAA"/>
    <w:rsid w:val="00FD3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D222C"/>
  <w15:chartTrackingRefBased/>
  <w15:docId w15:val="{5183FF70-C0C9-4E27-A7BA-4D0DCF1E2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110D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110DF"/>
    <w:rPr>
      <w:sz w:val="20"/>
      <w:szCs w:val="20"/>
    </w:rPr>
  </w:style>
  <w:style w:type="character" w:styleId="FootnoteReference">
    <w:name w:val="footnote reference"/>
    <w:basedOn w:val="DefaultParagraphFont"/>
    <w:uiPriority w:val="99"/>
    <w:semiHidden/>
    <w:unhideWhenUsed/>
    <w:rsid w:val="004110DF"/>
    <w:rPr>
      <w:vertAlign w:val="superscript"/>
    </w:rPr>
  </w:style>
  <w:style w:type="character" w:styleId="Hyperlink">
    <w:name w:val="Hyperlink"/>
    <w:basedOn w:val="DefaultParagraphFont"/>
    <w:uiPriority w:val="99"/>
    <w:semiHidden/>
    <w:unhideWhenUsed/>
    <w:rsid w:val="00BC1DAA"/>
    <w:rPr>
      <w:color w:val="0000FF"/>
      <w:u w:val="single"/>
    </w:rPr>
  </w:style>
  <w:style w:type="paragraph" w:styleId="ListParagraph">
    <w:name w:val="List Paragraph"/>
    <w:basedOn w:val="Normal"/>
    <w:uiPriority w:val="34"/>
    <w:qFormat/>
    <w:rsid w:val="00BC1DAA"/>
    <w:pPr>
      <w:ind w:left="720"/>
      <w:contextualSpacing/>
    </w:pPr>
  </w:style>
  <w:style w:type="paragraph" w:styleId="Header">
    <w:name w:val="header"/>
    <w:basedOn w:val="Normal"/>
    <w:link w:val="HeaderChar"/>
    <w:uiPriority w:val="99"/>
    <w:unhideWhenUsed/>
    <w:rsid w:val="00BC1D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1DAA"/>
  </w:style>
  <w:style w:type="paragraph" w:styleId="Footer">
    <w:name w:val="footer"/>
    <w:basedOn w:val="Normal"/>
    <w:link w:val="FooterChar"/>
    <w:uiPriority w:val="99"/>
    <w:unhideWhenUsed/>
    <w:rsid w:val="00BC1D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1D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geographic.com/trajan-column/article.htm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D144B-00FC-486E-B069-3A3A55F22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Pages>
  <Words>702</Words>
  <Characters>4006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thalia jefferson</dc:creator>
  <cp:keywords/>
  <dc:description/>
  <cp:lastModifiedBy>thalia jefferson</cp:lastModifiedBy>
  <cp:revision>1</cp:revision>
  <dcterms:created xsi:type="dcterms:W3CDTF">2022-11-01T19:59:00Z</dcterms:created>
  <dcterms:modified xsi:type="dcterms:W3CDTF">2022-11-01T21:21:00Z</dcterms:modified>
</cp:coreProperties>
</file>