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3FD067" w14:textId="77777777" w:rsidR="00613B58" w:rsidRPr="001D72E7" w:rsidRDefault="00613B58" w:rsidP="00613B58">
      <w:pPr>
        <w:rPr>
          <w:rFonts w:ascii="Arial" w:hAnsi="Arial" w:cs="Arial"/>
          <w:sz w:val="28"/>
          <w:szCs w:val="28"/>
        </w:rPr>
      </w:pPr>
    </w:p>
    <w:p w14:paraId="66BB0F17" w14:textId="77777777" w:rsidR="00613B58" w:rsidRDefault="00613B58" w:rsidP="00613B58">
      <w:pPr>
        <w:rPr>
          <w:rFonts w:ascii="Arial" w:hAnsi="Arial" w:cs="Arial"/>
          <w:sz w:val="28"/>
          <w:szCs w:val="28"/>
        </w:rPr>
      </w:pPr>
    </w:p>
    <w:p w14:paraId="4FA40E0D" w14:textId="77777777" w:rsidR="00613B58" w:rsidRDefault="00613B58" w:rsidP="00613B58">
      <w:pPr>
        <w:rPr>
          <w:rFonts w:ascii="Arial" w:hAnsi="Arial" w:cs="Arial"/>
          <w:sz w:val="28"/>
          <w:szCs w:val="28"/>
        </w:rPr>
      </w:pPr>
    </w:p>
    <w:p w14:paraId="3A039F14" w14:textId="77777777" w:rsidR="00613B58" w:rsidRDefault="00613B58" w:rsidP="00613B58">
      <w:pPr>
        <w:rPr>
          <w:rFonts w:ascii="Arial" w:hAnsi="Arial" w:cs="Arial"/>
          <w:sz w:val="28"/>
          <w:szCs w:val="28"/>
        </w:rPr>
      </w:pPr>
    </w:p>
    <w:p w14:paraId="16AD2E71" w14:textId="77777777" w:rsidR="00F77C8C" w:rsidRDefault="00F77C8C" w:rsidP="00613B58">
      <w:pPr>
        <w:rPr>
          <w:rFonts w:ascii="Arial" w:hAnsi="Arial" w:cs="Arial"/>
          <w:sz w:val="28"/>
          <w:szCs w:val="28"/>
        </w:rPr>
      </w:pPr>
    </w:p>
    <w:p w14:paraId="5A2A1350" w14:textId="77777777" w:rsidR="00F77C8C" w:rsidRDefault="00F77C8C" w:rsidP="00613B58">
      <w:pPr>
        <w:rPr>
          <w:rFonts w:ascii="Arial" w:hAnsi="Arial" w:cs="Arial"/>
          <w:sz w:val="28"/>
          <w:szCs w:val="28"/>
        </w:rPr>
      </w:pPr>
    </w:p>
    <w:p w14:paraId="2AC41BB2" w14:textId="77777777" w:rsidR="00F77C8C" w:rsidRDefault="00F77C8C" w:rsidP="00613B58">
      <w:pPr>
        <w:rPr>
          <w:rFonts w:ascii="Arial" w:hAnsi="Arial" w:cs="Arial"/>
          <w:sz w:val="28"/>
          <w:szCs w:val="28"/>
        </w:rPr>
      </w:pPr>
    </w:p>
    <w:p w14:paraId="259F59D5" w14:textId="77777777" w:rsidR="00613B58" w:rsidRDefault="00613B58" w:rsidP="00613B58">
      <w:pPr>
        <w:rPr>
          <w:rFonts w:ascii="Arial" w:hAnsi="Arial" w:cs="Arial"/>
          <w:sz w:val="28"/>
          <w:szCs w:val="28"/>
        </w:rPr>
      </w:pPr>
    </w:p>
    <w:p w14:paraId="3A2ADB48" w14:textId="37FAA52C" w:rsidR="00613B58" w:rsidRPr="001D72E7" w:rsidRDefault="00613B58" w:rsidP="00613B58">
      <w:pPr>
        <w:rPr>
          <w:rFonts w:ascii="Arial" w:hAnsi="Arial" w:cs="Arial"/>
          <w:sz w:val="28"/>
          <w:szCs w:val="28"/>
        </w:rPr>
      </w:pPr>
      <w:r w:rsidRPr="001D72E7">
        <w:rPr>
          <w:rFonts w:ascii="Arial" w:hAnsi="Arial" w:cs="Arial"/>
          <w:sz w:val="28"/>
          <w:szCs w:val="28"/>
        </w:rPr>
        <w:t>STUDENT NAME: Sladjana Koprivica</w:t>
      </w:r>
    </w:p>
    <w:p w14:paraId="192B3E2A" w14:textId="4A520027" w:rsidR="00613B58" w:rsidRPr="001D72E7" w:rsidRDefault="00613B58" w:rsidP="00613B58">
      <w:pPr>
        <w:rPr>
          <w:rFonts w:ascii="Arial" w:hAnsi="Arial" w:cs="Arial"/>
          <w:sz w:val="28"/>
          <w:szCs w:val="28"/>
        </w:rPr>
      </w:pPr>
      <w:r w:rsidRPr="001D72E7">
        <w:rPr>
          <w:rFonts w:ascii="Arial" w:hAnsi="Arial" w:cs="Arial"/>
          <w:sz w:val="28"/>
          <w:szCs w:val="28"/>
        </w:rPr>
        <w:t xml:space="preserve">MODULE NAME: </w:t>
      </w:r>
      <w:r>
        <w:rPr>
          <w:rFonts w:ascii="Arial" w:hAnsi="Arial" w:cs="Arial"/>
          <w:sz w:val="28"/>
          <w:szCs w:val="28"/>
        </w:rPr>
        <w:t xml:space="preserve">Developing and Managing Individuals and Teams </w:t>
      </w:r>
    </w:p>
    <w:p w14:paraId="2AFC7F0A" w14:textId="1C1BA319" w:rsidR="00613B58" w:rsidRPr="001D72E7" w:rsidRDefault="00613B58" w:rsidP="00613B58">
      <w:pPr>
        <w:rPr>
          <w:rFonts w:ascii="Arial" w:hAnsi="Arial" w:cs="Arial"/>
          <w:sz w:val="28"/>
          <w:szCs w:val="28"/>
        </w:rPr>
      </w:pPr>
      <w:r w:rsidRPr="001D72E7">
        <w:rPr>
          <w:rFonts w:ascii="Arial" w:hAnsi="Arial" w:cs="Arial"/>
          <w:sz w:val="28"/>
          <w:szCs w:val="28"/>
        </w:rPr>
        <w:t>MODULE CODE: (LCLM500</w:t>
      </w:r>
      <w:r>
        <w:rPr>
          <w:rFonts w:ascii="Arial" w:hAnsi="Arial" w:cs="Arial"/>
          <w:sz w:val="28"/>
          <w:szCs w:val="28"/>
        </w:rPr>
        <w:t>2</w:t>
      </w:r>
      <w:r w:rsidRPr="001D72E7">
        <w:rPr>
          <w:rFonts w:ascii="Arial" w:hAnsi="Arial" w:cs="Arial"/>
          <w:sz w:val="28"/>
          <w:szCs w:val="28"/>
        </w:rPr>
        <w:t>-LON)</w:t>
      </w:r>
    </w:p>
    <w:p w14:paraId="33A27BCC" w14:textId="77777777" w:rsidR="00613B58" w:rsidRPr="001D72E7" w:rsidRDefault="00613B58" w:rsidP="00613B58">
      <w:pPr>
        <w:rPr>
          <w:rFonts w:ascii="Arial" w:hAnsi="Arial" w:cs="Arial"/>
          <w:sz w:val="28"/>
          <w:szCs w:val="28"/>
        </w:rPr>
      </w:pPr>
      <w:r w:rsidRPr="001D72E7">
        <w:rPr>
          <w:rFonts w:ascii="Arial" w:hAnsi="Arial" w:cs="Arial"/>
          <w:sz w:val="28"/>
          <w:szCs w:val="28"/>
        </w:rPr>
        <w:t>STUDENT ID: 2427801</w:t>
      </w:r>
    </w:p>
    <w:p w14:paraId="02DBB3E3" w14:textId="77777777" w:rsidR="00613B58" w:rsidRDefault="00613B58" w:rsidP="00613B58">
      <w:pPr>
        <w:rPr>
          <w:rFonts w:ascii="Arial" w:hAnsi="Arial" w:cs="Arial"/>
          <w:sz w:val="28"/>
          <w:szCs w:val="28"/>
        </w:rPr>
      </w:pPr>
      <w:r w:rsidRPr="001D72E7">
        <w:rPr>
          <w:rFonts w:ascii="Arial" w:hAnsi="Arial" w:cs="Arial"/>
          <w:sz w:val="28"/>
          <w:szCs w:val="28"/>
        </w:rPr>
        <w:t xml:space="preserve">LECTURER: </w:t>
      </w:r>
      <w:r>
        <w:rPr>
          <w:rFonts w:ascii="Arial" w:hAnsi="Arial" w:cs="Arial"/>
          <w:sz w:val="28"/>
          <w:szCs w:val="28"/>
        </w:rPr>
        <w:t>Amir Homayounfard</w:t>
      </w:r>
    </w:p>
    <w:p w14:paraId="49459ACC" w14:textId="1FF48695" w:rsidR="00613B58" w:rsidRPr="00613B58" w:rsidRDefault="00613B58" w:rsidP="00613B58">
      <w:pPr>
        <w:rPr>
          <w:rFonts w:ascii="Arial" w:hAnsi="Arial" w:cs="Arial"/>
          <w:sz w:val="28"/>
          <w:szCs w:val="28"/>
        </w:rPr>
      </w:pPr>
      <w:r w:rsidRPr="00613B58">
        <w:rPr>
          <w:rFonts w:ascii="Arial" w:hAnsi="Arial" w:cs="Arial"/>
          <w:sz w:val="28"/>
          <w:szCs w:val="28"/>
        </w:rPr>
        <w:t xml:space="preserve">TITLE: </w:t>
      </w:r>
      <w:r w:rsidRPr="00613B58">
        <w:rPr>
          <w:rFonts w:ascii="Arial" w:eastAsia="Times New Roman" w:hAnsi="Arial" w:cs="Arial"/>
          <w:kern w:val="0"/>
          <w:sz w:val="28"/>
          <w:szCs w:val="28"/>
          <w:lang w:eastAsia="en-GB"/>
          <w14:ligatures w14:val="none"/>
        </w:rPr>
        <w:t>HR Challenges and Contemporary Practices Report</w:t>
      </w:r>
    </w:p>
    <w:p w14:paraId="311AE3DD" w14:textId="0E5051F7" w:rsidR="00613B58" w:rsidRPr="001D72E7" w:rsidRDefault="00613B58" w:rsidP="00613B58">
      <w:pPr>
        <w:rPr>
          <w:rFonts w:ascii="Arial" w:hAnsi="Arial" w:cs="Arial"/>
          <w:sz w:val="28"/>
          <w:szCs w:val="28"/>
        </w:rPr>
      </w:pPr>
    </w:p>
    <w:p w14:paraId="6FA46023" w14:textId="77777777" w:rsidR="00613B58" w:rsidRPr="001D72E7" w:rsidRDefault="00613B58" w:rsidP="00613B58">
      <w:pPr>
        <w:rPr>
          <w:rFonts w:ascii="Arial" w:hAnsi="Arial" w:cs="Arial"/>
        </w:rPr>
      </w:pPr>
    </w:p>
    <w:p w14:paraId="1588FF18" w14:textId="77777777" w:rsidR="0006468A" w:rsidRDefault="0006468A"/>
    <w:p w14:paraId="2F2ECC4F" w14:textId="77777777" w:rsidR="00613B58" w:rsidRDefault="00613B58"/>
    <w:p w14:paraId="66F8B9CE" w14:textId="77777777" w:rsidR="00613B58" w:rsidRDefault="00613B58"/>
    <w:p w14:paraId="7D725B40" w14:textId="77777777" w:rsidR="00613B58" w:rsidRDefault="00613B58"/>
    <w:p w14:paraId="1D4E068C" w14:textId="77777777" w:rsidR="00613B58" w:rsidRDefault="00613B58"/>
    <w:p w14:paraId="0D113E76" w14:textId="77777777" w:rsidR="00613B58" w:rsidRDefault="00613B58"/>
    <w:p w14:paraId="36B1AD22" w14:textId="77777777" w:rsidR="00613B58" w:rsidRDefault="00613B58"/>
    <w:p w14:paraId="4B1B0FD8" w14:textId="77777777" w:rsidR="00613B58" w:rsidRDefault="00613B58"/>
    <w:p w14:paraId="54CBA000" w14:textId="77777777" w:rsidR="00613B58" w:rsidRDefault="00613B58"/>
    <w:p w14:paraId="1F4827B4" w14:textId="77777777" w:rsidR="00613B58" w:rsidRDefault="00613B58"/>
    <w:p w14:paraId="4BDE76CF" w14:textId="77777777" w:rsidR="00613B58" w:rsidRDefault="00613B58"/>
    <w:p w14:paraId="55B01C81" w14:textId="77777777" w:rsidR="00613B58" w:rsidRDefault="00613B58"/>
    <w:p w14:paraId="6B8D6959" w14:textId="77777777" w:rsidR="00613B58" w:rsidRDefault="00613B58"/>
    <w:p w14:paraId="075FDE02" w14:textId="77777777" w:rsidR="00613B58" w:rsidRDefault="00613B58"/>
    <w:p w14:paraId="54C9E43F" w14:textId="77777777" w:rsidR="00F77C8C" w:rsidRDefault="00F77C8C" w:rsidP="00613B58"/>
    <w:p w14:paraId="7C24221A" w14:textId="77777777" w:rsidR="00F77C8C" w:rsidRDefault="00F77C8C" w:rsidP="00613B58"/>
    <w:p w14:paraId="75D0D446" w14:textId="77777777" w:rsidR="00F77C8C" w:rsidRDefault="00F77C8C" w:rsidP="00613B58"/>
    <w:p w14:paraId="56D97671" w14:textId="113D401A" w:rsidR="00613B58" w:rsidRPr="003E0CEA" w:rsidRDefault="00613B58" w:rsidP="00613B58">
      <w:pPr>
        <w:rPr>
          <w:rFonts w:ascii="Arial" w:hAnsi="Arial" w:cs="Arial"/>
          <w:b/>
          <w:bCs/>
          <w:sz w:val="22"/>
          <w:szCs w:val="22"/>
        </w:rPr>
      </w:pPr>
      <w:r w:rsidRPr="003E0CEA">
        <w:rPr>
          <w:rFonts w:ascii="Arial" w:hAnsi="Arial" w:cs="Arial"/>
          <w:b/>
          <w:bCs/>
          <w:sz w:val="22"/>
          <w:szCs w:val="22"/>
        </w:rPr>
        <w:t>Table of Constance:</w:t>
      </w:r>
    </w:p>
    <w:p w14:paraId="6FA1A10B" w14:textId="77777777" w:rsidR="00613B58" w:rsidRPr="003E0CEA" w:rsidRDefault="00613B58" w:rsidP="00613B58">
      <w:pPr>
        <w:rPr>
          <w:rFonts w:ascii="Arial" w:hAnsi="Arial" w:cs="Arial"/>
          <w:b/>
          <w:bCs/>
          <w:sz w:val="22"/>
          <w:szCs w:val="22"/>
        </w:rPr>
      </w:pPr>
    </w:p>
    <w:p w14:paraId="26AC1497" w14:textId="77777777" w:rsidR="00613B58" w:rsidRPr="003E0CEA" w:rsidRDefault="00613B58" w:rsidP="00613B58">
      <w:pPr>
        <w:rPr>
          <w:rFonts w:ascii="Arial" w:hAnsi="Arial" w:cs="Arial"/>
          <w:sz w:val="22"/>
          <w:szCs w:val="22"/>
        </w:rPr>
      </w:pPr>
    </w:p>
    <w:p w14:paraId="329EA66B" w14:textId="0B1EDD30" w:rsidR="00613B58" w:rsidRPr="003E0CEA" w:rsidRDefault="00613B58" w:rsidP="00613B58">
      <w:pPr>
        <w:rPr>
          <w:rFonts w:ascii="Arial" w:hAnsi="Arial" w:cs="Arial"/>
          <w:sz w:val="22"/>
          <w:szCs w:val="22"/>
        </w:rPr>
      </w:pPr>
      <w:r w:rsidRPr="003E0CEA">
        <w:rPr>
          <w:rFonts w:ascii="Arial" w:hAnsi="Arial" w:cs="Arial"/>
          <w:sz w:val="22"/>
          <w:szCs w:val="22"/>
        </w:rPr>
        <w:t>1. Introduction …………………………………………………………………</w:t>
      </w:r>
      <w:r w:rsidR="00666D47">
        <w:rPr>
          <w:rFonts w:ascii="Arial" w:hAnsi="Arial" w:cs="Arial"/>
          <w:sz w:val="22"/>
          <w:szCs w:val="22"/>
        </w:rPr>
        <w:t>.</w:t>
      </w:r>
      <w:r w:rsidRPr="003E0CEA">
        <w:rPr>
          <w:rFonts w:ascii="Arial" w:hAnsi="Arial" w:cs="Arial"/>
          <w:sz w:val="22"/>
          <w:szCs w:val="22"/>
        </w:rPr>
        <w:t>…</w:t>
      </w:r>
      <w:r w:rsidR="00666D47">
        <w:rPr>
          <w:rFonts w:ascii="Arial" w:hAnsi="Arial" w:cs="Arial"/>
          <w:sz w:val="22"/>
          <w:szCs w:val="22"/>
        </w:rPr>
        <w:t>….</w:t>
      </w:r>
      <w:r w:rsidRPr="003E0CEA">
        <w:rPr>
          <w:rFonts w:ascii="Arial" w:hAnsi="Arial" w:cs="Arial"/>
          <w:sz w:val="22"/>
          <w:szCs w:val="22"/>
        </w:rPr>
        <w:t>p.3</w:t>
      </w:r>
    </w:p>
    <w:p w14:paraId="012F2953" w14:textId="749326DC" w:rsidR="00613B58" w:rsidRPr="003E0CEA" w:rsidRDefault="00613B58" w:rsidP="00613B58">
      <w:pPr>
        <w:rPr>
          <w:rFonts w:ascii="Arial" w:eastAsia="Times New Roman" w:hAnsi="Arial" w:cs="Arial"/>
          <w:kern w:val="0"/>
          <w:sz w:val="22"/>
          <w:szCs w:val="22"/>
          <w:lang w:eastAsia="en-GB"/>
          <w14:ligatures w14:val="none"/>
        </w:rPr>
      </w:pPr>
      <w:r w:rsidRPr="003E0CEA">
        <w:rPr>
          <w:rFonts w:ascii="Arial" w:hAnsi="Arial" w:cs="Arial"/>
          <w:sz w:val="22"/>
          <w:szCs w:val="22"/>
        </w:rPr>
        <w:t xml:space="preserve">2. </w:t>
      </w:r>
      <w:r w:rsidR="00F77C8C" w:rsidRPr="003E0CEA">
        <w:rPr>
          <w:rFonts w:ascii="Arial" w:eastAsia="Times New Roman" w:hAnsi="Arial" w:cs="Arial"/>
          <w:kern w:val="0"/>
          <w:sz w:val="22"/>
          <w:szCs w:val="22"/>
          <w:lang w:eastAsia="en-GB"/>
          <w14:ligatures w14:val="none"/>
        </w:rPr>
        <w:t>Factors Affecting HR</w:t>
      </w:r>
    </w:p>
    <w:p w14:paraId="34250B50" w14:textId="43FC2946" w:rsidR="00613B58" w:rsidRPr="003E0CEA" w:rsidRDefault="00F77C8C" w:rsidP="00613B58">
      <w:pPr>
        <w:rPr>
          <w:rFonts w:ascii="Arial" w:eastAsia="Times New Roman" w:hAnsi="Arial" w:cs="Arial"/>
          <w:kern w:val="0"/>
          <w:sz w:val="22"/>
          <w:szCs w:val="22"/>
          <w:lang w:eastAsia="en-GB"/>
          <w14:ligatures w14:val="none"/>
        </w:rPr>
      </w:pPr>
      <w:r w:rsidRPr="003E0CEA">
        <w:rPr>
          <w:rFonts w:ascii="Arial" w:eastAsia="Times New Roman" w:hAnsi="Arial" w:cs="Arial"/>
          <w:kern w:val="0"/>
          <w:sz w:val="22"/>
          <w:szCs w:val="22"/>
          <w:lang w:eastAsia="en-GB"/>
          <w14:ligatures w14:val="none"/>
        </w:rPr>
        <w:t xml:space="preserve">   2.1 Technological Advancement</w:t>
      </w:r>
      <w:r w:rsidR="00B40FA6" w:rsidRPr="003E0CEA">
        <w:rPr>
          <w:rFonts w:ascii="Arial" w:eastAsia="Times New Roman" w:hAnsi="Arial" w:cs="Arial"/>
          <w:kern w:val="0"/>
          <w:sz w:val="22"/>
          <w:szCs w:val="22"/>
          <w:lang w:eastAsia="en-GB"/>
          <w14:ligatures w14:val="none"/>
        </w:rPr>
        <w:t>…………………………………………………</w:t>
      </w:r>
      <w:r w:rsidR="00666D47">
        <w:rPr>
          <w:rFonts w:ascii="Arial" w:eastAsia="Times New Roman" w:hAnsi="Arial" w:cs="Arial"/>
          <w:kern w:val="0"/>
          <w:sz w:val="22"/>
          <w:szCs w:val="22"/>
          <w:lang w:eastAsia="en-GB"/>
          <w14:ligatures w14:val="none"/>
        </w:rPr>
        <w:t>.</w:t>
      </w:r>
      <w:r w:rsidR="00B40FA6" w:rsidRPr="003E0CEA">
        <w:rPr>
          <w:rFonts w:ascii="Arial" w:eastAsia="Times New Roman" w:hAnsi="Arial" w:cs="Arial"/>
          <w:kern w:val="0"/>
          <w:sz w:val="22"/>
          <w:szCs w:val="22"/>
          <w:lang w:eastAsia="en-GB"/>
          <w14:ligatures w14:val="none"/>
        </w:rPr>
        <w:t>p3</w:t>
      </w:r>
    </w:p>
    <w:p w14:paraId="6274CAF6" w14:textId="3EE7217A" w:rsidR="00F77C8C" w:rsidRPr="003E0CEA" w:rsidRDefault="00F77C8C" w:rsidP="00613B58">
      <w:pPr>
        <w:rPr>
          <w:rFonts w:ascii="Arial" w:eastAsia="Times New Roman" w:hAnsi="Arial" w:cs="Arial"/>
          <w:kern w:val="0"/>
          <w:sz w:val="22"/>
          <w:szCs w:val="22"/>
          <w:lang w:eastAsia="en-GB"/>
          <w14:ligatures w14:val="none"/>
        </w:rPr>
      </w:pPr>
      <w:r w:rsidRPr="003E0CEA">
        <w:rPr>
          <w:rFonts w:ascii="Arial" w:eastAsia="Times New Roman" w:hAnsi="Arial" w:cs="Arial"/>
          <w:kern w:val="0"/>
          <w:sz w:val="22"/>
          <w:szCs w:val="22"/>
          <w:lang w:eastAsia="en-GB"/>
          <w14:ligatures w14:val="none"/>
        </w:rPr>
        <w:t xml:space="preserve">   2.2 Talent Acquisition and Retention</w:t>
      </w:r>
      <w:r w:rsidR="00B40FA6" w:rsidRPr="003E0CEA">
        <w:rPr>
          <w:rFonts w:ascii="Arial" w:eastAsia="Times New Roman" w:hAnsi="Arial" w:cs="Arial"/>
          <w:kern w:val="0"/>
          <w:sz w:val="22"/>
          <w:szCs w:val="22"/>
          <w:lang w:eastAsia="en-GB"/>
          <w14:ligatures w14:val="none"/>
        </w:rPr>
        <w:t>……………………………………………</w:t>
      </w:r>
      <w:r w:rsidR="00666D47">
        <w:rPr>
          <w:rFonts w:ascii="Arial" w:eastAsia="Times New Roman" w:hAnsi="Arial" w:cs="Arial"/>
          <w:kern w:val="0"/>
          <w:sz w:val="22"/>
          <w:szCs w:val="22"/>
          <w:lang w:eastAsia="en-GB"/>
          <w14:ligatures w14:val="none"/>
        </w:rPr>
        <w:t>.</w:t>
      </w:r>
      <w:r w:rsidR="00B40FA6" w:rsidRPr="003E0CEA">
        <w:rPr>
          <w:rFonts w:ascii="Arial" w:eastAsia="Times New Roman" w:hAnsi="Arial" w:cs="Arial"/>
          <w:kern w:val="0"/>
          <w:sz w:val="22"/>
          <w:szCs w:val="22"/>
          <w:lang w:eastAsia="en-GB"/>
          <w14:ligatures w14:val="none"/>
        </w:rPr>
        <w:t>.p4</w:t>
      </w:r>
    </w:p>
    <w:p w14:paraId="1C825115" w14:textId="30A6153E" w:rsidR="00F77C8C" w:rsidRPr="003E0CEA" w:rsidRDefault="00F77C8C" w:rsidP="00613B58">
      <w:pPr>
        <w:rPr>
          <w:rFonts w:ascii="Arial" w:eastAsia="Times New Roman" w:hAnsi="Arial" w:cs="Arial"/>
          <w:kern w:val="0"/>
          <w:sz w:val="22"/>
          <w:szCs w:val="22"/>
          <w:lang w:eastAsia="en-GB"/>
          <w14:ligatures w14:val="none"/>
        </w:rPr>
      </w:pPr>
      <w:r w:rsidRPr="003E0CEA">
        <w:rPr>
          <w:rFonts w:ascii="Arial" w:eastAsia="Times New Roman" w:hAnsi="Arial" w:cs="Arial"/>
          <w:kern w:val="0"/>
          <w:sz w:val="22"/>
          <w:szCs w:val="22"/>
          <w:lang w:eastAsia="en-GB"/>
          <w14:ligatures w14:val="none"/>
        </w:rPr>
        <w:t xml:space="preserve">   2.3 Diversity, Equity and Inclusion (DEI)</w:t>
      </w:r>
      <w:r w:rsidR="00B40FA6" w:rsidRPr="003E0CEA">
        <w:rPr>
          <w:rFonts w:ascii="Arial" w:eastAsia="Times New Roman" w:hAnsi="Arial" w:cs="Arial"/>
          <w:kern w:val="0"/>
          <w:sz w:val="22"/>
          <w:szCs w:val="22"/>
          <w:lang w:eastAsia="en-GB"/>
          <w14:ligatures w14:val="none"/>
        </w:rPr>
        <w:t>……………………………………</w:t>
      </w:r>
      <w:r w:rsidR="00666D47" w:rsidRPr="003E0CEA">
        <w:rPr>
          <w:rFonts w:ascii="Arial" w:eastAsia="Times New Roman" w:hAnsi="Arial" w:cs="Arial"/>
          <w:kern w:val="0"/>
          <w:sz w:val="22"/>
          <w:szCs w:val="22"/>
          <w:lang w:eastAsia="en-GB"/>
          <w14:ligatures w14:val="none"/>
        </w:rPr>
        <w:t>…</w:t>
      </w:r>
      <w:r w:rsidR="00666D47">
        <w:rPr>
          <w:rFonts w:ascii="Arial" w:eastAsia="Times New Roman" w:hAnsi="Arial" w:cs="Arial"/>
          <w:kern w:val="0"/>
          <w:sz w:val="22"/>
          <w:szCs w:val="22"/>
          <w:lang w:eastAsia="en-GB"/>
          <w14:ligatures w14:val="none"/>
        </w:rPr>
        <w:t>...</w:t>
      </w:r>
      <w:r w:rsidR="00666D47" w:rsidRPr="003E0CEA">
        <w:rPr>
          <w:rFonts w:ascii="Arial" w:eastAsia="Times New Roman" w:hAnsi="Arial" w:cs="Arial"/>
          <w:kern w:val="0"/>
          <w:sz w:val="22"/>
          <w:szCs w:val="22"/>
          <w:lang w:eastAsia="en-GB"/>
          <w14:ligatures w14:val="none"/>
        </w:rPr>
        <w:t>.</w:t>
      </w:r>
      <w:r w:rsidR="00B40FA6" w:rsidRPr="003E0CEA">
        <w:rPr>
          <w:rFonts w:ascii="Arial" w:eastAsia="Times New Roman" w:hAnsi="Arial" w:cs="Arial"/>
          <w:kern w:val="0"/>
          <w:sz w:val="22"/>
          <w:szCs w:val="22"/>
          <w:lang w:eastAsia="en-GB"/>
          <w14:ligatures w14:val="none"/>
        </w:rPr>
        <w:t>p</w:t>
      </w:r>
      <w:r w:rsidR="008F4B75">
        <w:rPr>
          <w:rFonts w:ascii="Arial" w:eastAsia="Times New Roman" w:hAnsi="Arial" w:cs="Arial"/>
          <w:kern w:val="0"/>
          <w:sz w:val="22"/>
          <w:szCs w:val="22"/>
          <w:lang w:eastAsia="en-GB"/>
          <w14:ligatures w14:val="none"/>
        </w:rPr>
        <w:t>4-</w:t>
      </w:r>
      <w:r w:rsidR="00B40FA6" w:rsidRPr="003E0CEA">
        <w:rPr>
          <w:rFonts w:ascii="Arial" w:eastAsia="Times New Roman" w:hAnsi="Arial" w:cs="Arial"/>
          <w:kern w:val="0"/>
          <w:sz w:val="22"/>
          <w:szCs w:val="22"/>
          <w:lang w:eastAsia="en-GB"/>
          <w14:ligatures w14:val="none"/>
        </w:rPr>
        <w:t>5</w:t>
      </w:r>
    </w:p>
    <w:p w14:paraId="5D27C78C" w14:textId="7815FA94" w:rsidR="00F77C8C" w:rsidRPr="003E0CEA" w:rsidRDefault="00F77C8C" w:rsidP="00613B58">
      <w:pPr>
        <w:rPr>
          <w:rFonts w:ascii="Arial" w:eastAsia="Times New Roman" w:hAnsi="Arial" w:cs="Arial"/>
          <w:kern w:val="0"/>
          <w:sz w:val="22"/>
          <w:szCs w:val="22"/>
          <w:lang w:eastAsia="en-GB"/>
          <w14:ligatures w14:val="none"/>
        </w:rPr>
      </w:pPr>
      <w:r w:rsidRPr="003E0CEA">
        <w:rPr>
          <w:rFonts w:ascii="Arial" w:eastAsia="Times New Roman" w:hAnsi="Arial" w:cs="Arial"/>
          <w:kern w:val="0"/>
          <w:sz w:val="22"/>
          <w:szCs w:val="22"/>
          <w:lang w:eastAsia="en-GB"/>
          <w14:ligatures w14:val="none"/>
        </w:rPr>
        <w:t>3. Evaluation of Contemporary HR Practices</w:t>
      </w:r>
    </w:p>
    <w:p w14:paraId="3766AB42" w14:textId="0406CD21" w:rsidR="00F77C8C" w:rsidRPr="003E0CEA" w:rsidRDefault="00F77C8C" w:rsidP="00613B58">
      <w:pPr>
        <w:rPr>
          <w:rFonts w:ascii="Arial" w:eastAsia="Times New Roman" w:hAnsi="Arial" w:cs="Arial"/>
          <w:kern w:val="0"/>
          <w:sz w:val="22"/>
          <w:szCs w:val="22"/>
          <w:lang w:eastAsia="en-GB"/>
          <w14:ligatures w14:val="none"/>
        </w:rPr>
      </w:pPr>
      <w:r w:rsidRPr="003E0CEA">
        <w:rPr>
          <w:rFonts w:ascii="Arial" w:eastAsia="Times New Roman" w:hAnsi="Arial" w:cs="Arial"/>
          <w:kern w:val="0"/>
          <w:sz w:val="22"/>
          <w:szCs w:val="22"/>
          <w:lang w:eastAsia="en-GB"/>
          <w14:ligatures w14:val="none"/>
        </w:rPr>
        <w:t xml:space="preserve">    3.1 Addressing Technological Advancement </w:t>
      </w:r>
      <w:r w:rsidR="00B40FA6" w:rsidRPr="003E0CEA">
        <w:rPr>
          <w:rFonts w:ascii="Arial" w:eastAsia="Times New Roman" w:hAnsi="Arial" w:cs="Arial"/>
          <w:kern w:val="0"/>
          <w:sz w:val="22"/>
          <w:szCs w:val="22"/>
          <w:lang w:eastAsia="en-GB"/>
          <w14:ligatures w14:val="none"/>
        </w:rPr>
        <w:t>…………………………………..p</w:t>
      </w:r>
      <w:r w:rsidR="008F4B75">
        <w:rPr>
          <w:rFonts w:ascii="Arial" w:eastAsia="Times New Roman" w:hAnsi="Arial" w:cs="Arial"/>
          <w:kern w:val="0"/>
          <w:sz w:val="22"/>
          <w:szCs w:val="22"/>
          <w:lang w:eastAsia="en-GB"/>
          <w14:ligatures w14:val="none"/>
        </w:rPr>
        <w:t>5</w:t>
      </w:r>
    </w:p>
    <w:p w14:paraId="2EB06096" w14:textId="237A7C53" w:rsidR="00F77C8C" w:rsidRDefault="00F77C8C" w:rsidP="00613B58">
      <w:pPr>
        <w:rPr>
          <w:rFonts w:ascii="Arial" w:eastAsia="Times New Roman" w:hAnsi="Arial" w:cs="Arial"/>
          <w:kern w:val="0"/>
          <w:sz w:val="22"/>
          <w:szCs w:val="22"/>
          <w:lang w:eastAsia="en-GB"/>
          <w14:ligatures w14:val="none"/>
        </w:rPr>
      </w:pPr>
      <w:r w:rsidRPr="003E0CEA">
        <w:rPr>
          <w:rFonts w:ascii="Arial" w:eastAsia="Times New Roman" w:hAnsi="Arial" w:cs="Arial"/>
          <w:kern w:val="0"/>
          <w:sz w:val="22"/>
          <w:szCs w:val="22"/>
          <w:lang w:eastAsia="en-GB"/>
          <w14:ligatures w14:val="none"/>
        </w:rPr>
        <w:t xml:space="preserve">    3.2 Talent Acquisition and Retention Practices</w:t>
      </w:r>
      <w:r w:rsidR="00B40FA6" w:rsidRPr="003E0CEA">
        <w:rPr>
          <w:rFonts w:ascii="Arial" w:eastAsia="Times New Roman" w:hAnsi="Arial" w:cs="Arial"/>
          <w:kern w:val="0"/>
          <w:sz w:val="22"/>
          <w:szCs w:val="22"/>
          <w:lang w:eastAsia="en-GB"/>
          <w14:ligatures w14:val="none"/>
        </w:rPr>
        <w:t>…………………………………p6-7</w:t>
      </w:r>
    </w:p>
    <w:p w14:paraId="30651086" w14:textId="65ECC2F8" w:rsidR="008F4B75" w:rsidRPr="003E0CEA" w:rsidRDefault="008F4B75" w:rsidP="00613B58">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3.</w:t>
      </w:r>
      <w:r w:rsidRPr="008F4B75">
        <w:rPr>
          <w:rFonts w:ascii="Arial" w:eastAsia="Times New Roman" w:hAnsi="Arial" w:cs="Arial"/>
          <w:kern w:val="0"/>
          <w:sz w:val="22"/>
          <w:szCs w:val="22"/>
          <w:lang w:eastAsia="en-GB"/>
          <w14:ligatures w14:val="none"/>
        </w:rPr>
        <w:t xml:space="preserve">3 </w:t>
      </w:r>
      <w:r w:rsidRPr="00154F7D">
        <w:rPr>
          <w:rFonts w:ascii="Arial" w:eastAsia="Times New Roman" w:hAnsi="Arial" w:cs="Arial"/>
          <w:kern w:val="0"/>
          <w:sz w:val="22"/>
          <w:szCs w:val="22"/>
          <w:lang w:eastAsia="en-GB"/>
          <w14:ligatures w14:val="none"/>
        </w:rPr>
        <w:t>DEI</w:t>
      </w:r>
      <w:r w:rsidRPr="00154F7D">
        <w:rPr>
          <w:rFonts w:ascii="Arial" w:eastAsia="Times New Roman" w:hAnsi="Arial" w:cs="Arial"/>
          <w:kern w:val="0"/>
          <w:sz w:val="22"/>
          <w:szCs w:val="22"/>
          <w:lang w:eastAsia="en-GB"/>
          <w14:ligatures w14:val="none"/>
        </w:rPr>
        <w:t xml:space="preserve"> Practices</w:t>
      </w:r>
    </w:p>
    <w:p w14:paraId="4D5E0B4B" w14:textId="38F07224" w:rsidR="00F77C8C" w:rsidRPr="003E0CEA" w:rsidRDefault="00F77C8C" w:rsidP="00613B58">
      <w:pPr>
        <w:rPr>
          <w:rFonts w:ascii="Arial" w:eastAsia="Times New Roman" w:hAnsi="Arial" w:cs="Arial"/>
          <w:kern w:val="0"/>
          <w:sz w:val="22"/>
          <w:szCs w:val="22"/>
          <w:lang w:eastAsia="en-GB"/>
          <w14:ligatures w14:val="none"/>
        </w:rPr>
      </w:pPr>
      <w:r w:rsidRPr="003E0CEA">
        <w:rPr>
          <w:rFonts w:ascii="Arial" w:eastAsia="Times New Roman" w:hAnsi="Arial" w:cs="Arial"/>
          <w:kern w:val="0"/>
          <w:sz w:val="22"/>
          <w:szCs w:val="22"/>
          <w:lang w:eastAsia="en-GB"/>
          <w14:ligatures w14:val="none"/>
        </w:rPr>
        <w:t>4. Role of Departmental Managers in Implementation</w:t>
      </w:r>
      <w:r w:rsidR="00B40FA6" w:rsidRPr="003E0CEA">
        <w:rPr>
          <w:rFonts w:ascii="Arial" w:eastAsia="Times New Roman" w:hAnsi="Arial" w:cs="Arial"/>
          <w:kern w:val="0"/>
          <w:sz w:val="22"/>
          <w:szCs w:val="22"/>
          <w:lang w:eastAsia="en-GB"/>
          <w14:ligatures w14:val="none"/>
        </w:rPr>
        <w:t>…………………………….p</w:t>
      </w:r>
      <w:r w:rsidR="00666D47">
        <w:rPr>
          <w:rFonts w:ascii="Arial" w:eastAsia="Times New Roman" w:hAnsi="Arial" w:cs="Arial"/>
          <w:kern w:val="0"/>
          <w:sz w:val="22"/>
          <w:szCs w:val="22"/>
          <w:lang w:eastAsia="en-GB"/>
          <w14:ligatures w14:val="none"/>
        </w:rPr>
        <w:t>7</w:t>
      </w:r>
    </w:p>
    <w:p w14:paraId="7FBF8E91" w14:textId="195D015C" w:rsidR="00F77C8C" w:rsidRPr="003E0CEA" w:rsidRDefault="00F77C8C" w:rsidP="00613B58">
      <w:pPr>
        <w:rPr>
          <w:rFonts w:ascii="Arial" w:eastAsia="Times New Roman" w:hAnsi="Arial" w:cs="Arial"/>
          <w:kern w:val="0"/>
          <w:sz w:val="22"/>
          <w:szCs w:val="22"/>
          <w:lang w:eastAsia="en-GB"/>
          <w14:ligatures w14:val="none"/>
        </w:rPr>
      </w:pPr>
      <w:r w:rsidRPr="003E0CEA">
        <w:rPr>
          <w:rFonts w:ascii="Arial" w:eastAsia="Times New Roman" w:hAnsi="Arial" w:cs="Arial"/>
          <w:kern w:val="0"/>
          <w:sz w:val="22"/>
          <w:szCs w:val="22"/>
          <w:lang w:eastAsia="en-GB"/>
          <w14:ligatures w14:val="none"/>
        </w:rPr>
        <w:t xml:space="preserve">5. </w:t>
      </w:r>
      <w:r w:rsidR="00B40FA6" w:rsidRPr="003E0CEA">
        <w:rPr>
          <w:rFonts w:ascii="Arial" w:eastAsia="Times New Roman" w:hAnsi="Arial" w:cs="Arial"/>
          <w:kern w:val="0"/>
          <w:sz w:val="22"/>
          <w:szCs w:val="22"/>
          <w:lang w:eastAsia="en-GB"/>
          <w14:ligatures w14:val="none"/>
        </w:rPr>
        <w:t>C</w:t>
      </w:r>
      <w:r w:rsidRPr="003E0CEA">
        <w:rPr>
          <w:rFonts w:ascii="Arial" w:eastAsia="Times New Roman" w:hAnsi="Arial" w:cs="Arial"/>
          <w:kern w:val="0"/>
          <w:sz w:val="22"/>
          <w:szCs w:val="22"/>
          <w:lang w:eastAsia="en-GB"/>
          <w14:ligatures w14:val="none"/>
        </w:rPr>
        <w:t>onclusion and Recommendation</w:t>
      </w:r>
      <w:r w:rsidR="00B40FA6" w:rsidRPr="003E0CEA">
        <w:rPr>
          <w:rFonts w:ascii="Arial" w:eastAsia="Times New Roman" w:hAnsi="Arial" w:cs="Arial"/>
          <w:kern w:val="0"/>
          <w:sz w:val="22"/>
          <w:szCs w:val="22"/>
          <w:lang w:eastAsia="en-GB"/>
          <w14:ligatures w14:val="none"/>
        </w:rPr>
        <w:t>………………………………………………</w:t>
      </w:r>
      <w:r w:rsidR="00666D47">
        <w:rPr>
          <w:rFonts w:ascii="Arial" w:eastAsia="Times New Roman" w:hAnsi="Arial" w:cs="Arial"/>
          <w:kern w:val="0"/>
          <w:sz w:val="22"/>
          <w:szCs w:val="22"/>
          <w:lang w:eastAsia="en-GB"/>
          <w14:ligatures w14:val="none"/>
        </w:rPr>
        <w:t>..</w:t>
      </w:r>
      <w:r w:rsidR="00B40FA6" w:rsidRPr="003E0CEA">
        <w:rPr>
          <w:rFonts w:ascii="Arial" w:eastAsia="Times New Roman" w:hAnsi="Arial" w:cs="Arial"/>
          <w:kern w:val="0"/>
          <w:sz w:val="22"/>
          <w:szCs w:val="22"/>
          <w:lang w:eastAsia="en-GB"/>
          <w14:ligatures w14:val="none"/>
        </w:rPr>
        <w:t>p</w:t>
      </w:r>
      <w:r w:rsidR="00666D47">
        <w:rPr>
          <w:rFonts w:ascii="Arial" w:eastAsia="Times New Roman" w:hAnsi="Arial" w:cs="Arial"/>
          <w:kern w:val="0"/>
          <w:sz w:val="22"/>
          <w:szCs w:val="22"/>
          <w:lang w:eastAsia="en-GB"/>
          <w14:ligatures w14:val="none"/>
        </w:rPr>
        <w:t>8</w:t>
      </w:r>
    </w:p>
    <w:p w14:paraId="71C1FF19" w14:textId="2E13CEA5" w:rsidR="00F77C8C" w:rsidRPr="003E0CEA" w:rsidRDefault="00F77C8C" w:rsidP="00613B58">
      <w:pPr>
        <w:rPr>
          <w:rFonts w:ascii="Arial" w:eastAsia="Times New Roman" w:hAnsi="Arial" w:cs="Arial"/>
          <w:kern w:val="0"/>
          <w:sz w:val="22"/>
          <w:szCs w:val="22"/>
          <w:lang w:eastAsia="en-GB"/>
          <w14:ligatures w14:val="none"/>
        </w:rPr>
      </w:pPr>
      <w:r w:rsidRPr="003E0CEA">
        <w:rPr>
          <w:rFonts w:ascii="Arial" w:eastAsia="Times New Roman" w:hAnsi="Arial" w:cs="Arial"/>
          <w:kern w:val="0"/>
          <w:sz w:val="22"/>
          <w:szCs w:val="22"/>
          <w:lang w:eastAsia="en-GB"/>
          <w14:ligatures w14:val="none"/>
        </w:rPr>
        <w:t>6. References</w:t>
      </w:r>
      <w:r w:rsidR="00B40FA6" w:rsidRPr="003E0CEA">
        <w:rPr>
          <w:rFonts w:ascii="Arial" w:eastAsia="Times New Roman" w:hAnsi="Arial" w:cs="Arial"/>
          <w:kern w:val="0"/>
          <w:sz w:val="22"/>
          <w:szCs w:val="22"/>
          <w:lang w:eastAsia="en-GB"/>
          <w14:ligatures w14:val="none"/>
        </w:rPr>
        <w:t>…………………………………………………………………………</w:t>
      </w:r>
      <w:r w:rsidR="00666D47">
        <w:rPr>
          <w:rFonts w:ascii="Arial" w:eastAsia="Times New Roman" w:hAnsi="Arial" w:cs="Arial"/>
          <w:kern w:val="0"/>
          <w:sz w:val="22"/>
          <w:szCs w:val="22"/>
          <w:lang w:eastAsia="en-GB"/>
          <w14:ligatures w14:val="none"/>
        </w:rPr>
        <w:t>..</w:t>
      </w:r>
      <w:r w:rsidR="00B40FA6" w:rsidRPr="003E0CEA">
        <w:rPr>
          <w:rFonts w:ascii="Arial" w:eastAsia="Times New Roman" w:hAnsi="Arial" w:cs="Arial"/>
          <w:kern w:val="0"/>
          <w:sz w:val="22"/>
          <w:szCs w:val="22"/>
          <w:lang w:eastAsia="en-GB"/>
          <w14:ligatures w14:val="none"/>
        </w:rPr>
        <w:t>p</w:t>
      </w:r>
      <w:r w:rsidR="00666D47">
        <w:rPr>
          <w:rFonts w:ascii="Arial" w:eastAsia="Times New Roman" w:hAnsi="Arial" w:cs="Arial"/>
          <w:kern w:val="0"/>
          <w:sz w:val="22"/>
          <w:szCs w:val="22"/>
          <w:lang w:eastAsia="en-GB"/>
          <w14:ligatures w14:val="none"/>
        </w:rPr>
        <w:t>9</w:t>
      </w:r>
    </w:p>
    <w:p w14:paraId="1F11946A" w14:textId="77777777" w:rsidR="00613B58" w:rsidRDefault="00613B58" w:rsidP="00613B58">
      <w:pPr>
        <w:rPr>
          <w:rFonts w:ascii="Arial" w:eastAsia="Times New Roman" w:hAnsi="Arial" w:cs="Arial"/>
          <w:kern w:val="0"/>
          <w:lang w:eastAsia="en-GB"/>
          <w14:ligatures w14:val="none"/>
        </w:rPr>
      </w:pPr>
    </w:p>
    <w:p w14:paraId="020B18F3" w14:textId="77777777" w:rsidR="00613B58" w:rsidRDefault="00613B58" w:rsidP="00613B58">
      <w:pPr>
        <w:rPr>
          <w:rFonts w:ascii="Arial" w:eastAsia="Times New Roman" w:hAnsi="Arial" w:cs="Arial"/>
          <w:kern w:val="0"/>
          <w:lang w:eastAsia="en-GB"/>
          <w14:ligatures w14:val="none"/>
        </w:rPr>
      </w:pPr>
    </w:p>
    <w:p w14:paraId="7A164646" w14:textId="77777777" w:rsidR="00613B58" w:rsidRDefault="00613B58" w:rsidP="00613B58">
      <w:pPr>
        <w:rPr>
          <w:rFonts w:ascii="Arial" w:eastAsia="Times New Roman" w:hAnsi="Arial" w:cs="Arial"/>
          <w:kern w:val="0"/>
          <w:lang w:eastAsia="en-GB"/>
          <w14:ligatures w14:val="none"/>
        </w:rPr>
      </w:pPr>
    </w:p>
    <w:p w14:paraId="04AF85E6" w14:textId="77777777" w:rsidR="00F77C8C" w:rsidRDefault="00F77C8C" w:rsidP="00613B58">
      <w:pPr>
        <w:spacing w:before="100" w:beforeAutospacing="1" w:after="100" w:afterAutospacing="1" w:line="240" w:lineRule="auto"/>
        <w:outlineLvl w:val="1"/>
        <w:rPr>
          <w:rFonts w:ascii="Arial" w:eastAsia="Times New Roman" w:hAnsi="Arial" w:cs="Arial"/>
          <w:kern w:val="0"/>
          <w:lang w:eastAsia="en-GB"/>
          <w14:ligatures w14:val="none"/>
        </w:rPr>
      </w:pPr>
    </w:p>
    <w:p w14:paraId="45FB74F3" w14:textId="77777777" w:rsidR="00F77C8C" w:rsidRDefault="00F77C8C" w:rsidP="00613B5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6FA8327D" w14:textId="77777777" w:rsidR="00F77C8C" w:rsidRDefault="00F77C8C" w:rsidP="00613B5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510D6DB7" w14:textId="77777777" w:rsidR="00F77C8C" w:rsidRDefault="00F77C8C" w:rsidP="00613B5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6D3F8231" w14:textId="77777777" w:rsidR="003E0CEA" w:rsidRDefault="003E0CEA" w:rsidP="00613B58">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1612817E" w14:textId="4468382A" w:rsidR="00613B58" w:rsidRPr="008F4B75" w:rsidRDefault="00613B58" w:rsidP="00613B58">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8F4B75">
        <w:rPr>
          <w:rFonts w:ascii="Arial" w:eastAsia="Times New Roman" w:hAnsi="Arial" w:cs="Arial"/>
          <w:b/>
          <w:bCs/>
          <w:kern w:val="0"/>
          <w:sz w:val="22"/>
          <w:szCs w:val="22"/>
          <w:lang w:eastAsia="en-GB"/>
          <w14:ligatures w14:val="none"/>
        </w:rPr>
        <w:t>1. Introduction</w:t>
      </w:r>
    </w:p>
    <w:p w14:paraId="6B43668E" w14:textId="77777777" w:rsidR="009D711D" w:rsidRPr="003E0CEA" w:rsidRDefault="009D711D" w:rsidP="009D711D">
      <w:pPr>
        <w:pStyle w:val="NormalWeb"/>
        <w:rPr>
          <w:rFonts w:ascii="Arial" w:hAnsi="Arial" w:cs="Arial"/>
          <w:sz w:val="22"/>
          <w:szCs w:val="22"/>
        </w:rPr>
      </w:pPr>
      <w:r w:rsidRPr="003E0CEA">
        <w:rPr>
          <w:rFonts w:ascii="Arial" w:hAnsi="Arial" w:cs="Arial"/>
          <w:sz w:val="22"/>
          <w:szCs w:val="22"/>
        </w:rPr>
        <w:t>Human Resource Management (HRM) plays a critical role in enabling organisations to respond effectively to an increasingly complex and fast-changing business environment. Across the UK, organisations are encountering a range of HR challenges, particularly in relation to digital transformation, workforce planning, and fostering inclusive workplaces.</w:t>
      </w:r>
    </w:p>
    <w:p w14:paraId="13C25318" w14:textId="43DA7621" w:rsidR="009D711D" w:rsidRPr="003E0CEA" w:rsidRDefault="009D711D" w:rsidP="009D711D">
      <w:pPr>
        <w:pStyle w:val="NormalWeb"/>
        <w:rPr>
          <w:rFonts w:ascii="Arial" w:hAnsi="Arial" w:cs="Arial"/>
          <w:sz w:val="22"/>
          <w:szCs w:val="22"/>
        </w:rPr>
      </w:pPr>
      <w:r w:rsidRPr="003E0CEA">
        <w:rPr>
          <w:rFonts w:ascii="Arial" w:hAnsi="Arial" w:cs="Arial"/>
          <w:sz w:val="22"/>
          <w:szCs w:val="22"/>
        </w:rPr>
        <w:t xml:space="preserve">This report examines these challenges within </w:t>
      </w:r>
      <w:r w:rsidRPr="003E0CEA">
        <w:rPr>
          <w:rStyle w:val="whitespace-normal"/>
          <w:rFonts w:ascii="Arial" w:eastAsiaTheme="majorEastAsia" w:hAnsi="Arial" w:cs="Arial"/>
          <w:sz w:val="22"/>
          <w:szCs w:val="22"/>
        </w:rPr>
        <w:t xml:space="preserve">Hayward </w:t>
      </w:r>
      <w:r w:rsidR="00103F91" w:rsidRPr="003E0CEA">
        <w:rPr>
          <w:rStyle w:val="whitespace-normal"/>
          <w:rFonts w:ascii="Arial" w:eastAsiaTheme="majorEastAsia" w:hAnsi="Arial" w:cs="Arial"/>
          <w:sz w:val="22"/>
          <w:szCs w:val="22"/>
        </w:rPr>
        <w:t>Gallery</w:t>
      </w:r>
      <w:r w:rsidR="00103F91">
        <w:rPr>
          <w:rFonts w:ascii="Arial" w:hAnsi="Arial" w:cs="Arial"/>
          <w:sz w:val="22"/>
          <w:szCs w:val="22"/>
        </w:rPr>
        <w:t xml:space="preserve">, </w:t>
      </w:r>
      <w:r w:rsidRPr="003E0CEA">
        <w:rPr>
          <w:rFonts w:ascii="Arial" w:hAnsi="Arial" w:cs="Arial"/>
          <w:sz w:val="22"/>
          <w:szCs w:val="22"/>
        </w:rPr>
        <w:t>a contemporary art venue located within London’s Southbank Centre. The gallery is widely recognised for its innovative exhibitions and its ability to engage a broad and diverse audience. As a cultural organisation, its success depends on skilled employees, creative expertise, and effective management</w:t>
      </w:r>
      <w:r w:rsidR="008A5D42">
        <w:rPr>
          <w:rFonts w:ascii="Arial" w:hAnsi="Arial" w:cs="Arial"/>
          <w:sz w:val="22"/>
          <w:szCs w:val="22"/>
        </w:rPr>
        <w:t>.</w:t>
      </w:r>
    </w:p>
    <w:p w14:paraId="20FA7CCA" w14:textId="77777777" w:rsidR="009D711D" w:rsidRPr="003E0CEA" w:rsidRDefault="009D711D" w:rsidP="009D711D">
      <w:pPr>
        <w:pStyle w:val="NormalWeb"/>
        <w:rPr>
          <w:rFonts w:ascii="Arial" w:hAnsi="Arial" w:cs="Arial"/>
          <w:sz w:val="22"/>
          <w:szCs w:val="22"/>
        </w:rPr>
      </w:pPr>
      <w:r w:rsidRPr="003E0CEA">
        <w:rPr>
          <w:rFonts w:ascii="Arial" w:hAnsi="Arial" w:cs="Arial"/>
          <w:sz w:val="22"/>
          <w:szCs w:val="22"/>
        </w:rPr>
        <w:t>The report aims to analyse key HR challenges faced by the gallery, focusing on technological advancement, talent attraction and retention, and Diversity, Equity, and Inclusion (DEI). It also evaluates contemporary HR practices designed to address these issues and critically examines the role of departmental managers in ensuring these strategies are implemented successfully.</w:t>
      </w:r>
    </w:p>
    <w:p w14:paraId="5F8F6830" w14:textId="77777777" w:rsidR="00A56747" w:rsidRPr="003E0CEA" w:rsidRDefault="00A56747" w:rsidP="00613B58">
      <w:pPr>
        <w:spacing w:before="100" w:beforeAutospacing="1" w:after="100" w:afterAutospacing="1" w:line="240" w:lineRule="auto"/>
        <w:rPr>
          <w:rFonts w:ascii="Arial" w:eastAsia="Times New Roman" w:hAnsi="Arial" w:cs="Arial"/>
          <w:kern w:val="0"/>
          <w:sz w:val="22"/>
          <w:szCs w:val="22"/>
          <w:lang w:eastAsia="en-GB"/>
          <w14:ligatures w14:val="none"/>
        </w:rPr>
      </w:pPr>
    </w:p>
    <w:p w14:paraId="308AE2C8" w14:textId="77777777" w:rsidR="00613B58" w:rsidRPr="003E0CEA" w:rsidRDefault="00613B58" w:rsidP="00613B58">
      <w:pPr>
        <w:rPr>
          <w:rFonts w:ascii="Arial" w:eastAsia="Times New Roman" w:hAnsi="Arial" w:cs="Arial"/>
          <w:kern w:val="0"/>
          <w:sz w:val="22"/>
          <w:szCs w:val="22"/>
          <w:lang w:eastAsia="en-GB"/>
          <w14:ligatures w14:val="none"/>
        </w:rPr>
      </w:pPr>
    </w:p>
    <w:p w14:paraId="114DF0A7" w14:textId="3FCDA448" w:rsidR="00154F7D" w:rsidRPr="00154F7D" w:rsidRDefault="00154F7D" w:rsidP="00154F7D">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r w:rsidRPr="00154F7D">
        <w:rPr>
          <w:rFonts w:ascii="Arial" w:eastAsia="Times New Roman" w:hAnsi="Arial" w:cs="Arial"/>
          <w:b/>
          <w:bCs/>
          <w:kern w:val="36"/>
          <w:sz w:val="22"/>
          <w:szCs w:val="22"/>
          <w:lang w:eastAsia="en-GB"/>
          <w14:ligatures w14:val="none"/>
        </w:rPr>
        <w:t>2. Factors Affecting H</w:t>
      </w:r>
      <w:r w:rsidR="00F77C8C" w:rsidRPr="003E0CEA">
        <w:rPr>
          <w:rFonts w:ascii="Arial" w:eastAsia="Times New Roman" w:hAnsi="Arial" w:cs="Arial"/>
          <w:b/>
          <w:bCs/>
          <w:kern w:val="36"/>
          <w:sz w:val="22"/>
          <w:szCs w:val="22"/>
          <w:lang w:eastAsia="en-GB"/>
          <w14:ligatures w14:val="none"/>
        </w:rPr>
        <w:t>R</w:t>
      </w:r>
    </w:p>
    <w:p w14:paraId="7615FB00" w14:textId="77777777" w:rsidR="00154F7D" w:rsidRPr="00154F7D" w:rsidRDefault="00154F7D" w:rsidP="00154F7D">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154F7D">
        <w:rPr>
          <w:rFonts w:ascii="Arial" w:eastAsia="Times New Roman" w:hAnsi="Arial" w:cs="Arial"/>
          <w:b/>
          <w:bCs/>
          <w:kern w:val="0"/>
          <w:sz w:val="22"/>
          <w:szCs w:val="22"/>
          <w:lang w:eastAsia="en-GB"/>
          <w14:ligatures w14:val="none"/>
        </w:rPr>
        <w:t>2.1 Technological Advancement</w:t>
      </w:r>
    </w:p>
    <w:p w14:paraId="444B2204" w14:textId="77777777"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Technological innovation has fundamentally transformed organisational practices across multiple sectors, including the cultural and creative industries. Within Hayward Gallery, digital technologies are increasingly embedded in core operations such as exhibition design, audience engagement, ticketing systems, and marketing strategies. For example, interactive installations, virtual exhibitions, and data-driven audience insights have become essential tools for enhancing visitor experiences.</w:t>
      </w:r>
    </w:p>
    <w:p w14:paraId="1164C667" w14:textId="7D7C2EBB"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 xml:space="preserve">From an HR perspective, this shift requires a workforce that is not only creatively skilled but also digitally competent. Consequently, HR departments must prioritise continuous learning and development initiatives to ensure employees can effectively engage with evolving technologies (Noe, 2020). However, the implementation of such initiatives can be complex, as employees may have varying levels of digital literacy. </w:t>
      </w:r>
    </w:p>
    <w:p w14:paraId="621C13D0" w14:textId="4846AF93"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 xml:space="preserve">In addition, </w:t>
      </w:r>
      <w:r w:rsidR="008A5D42" w:rsidRPr="00154F7D">
        <w:rPr>
          <w:rFonts w:ascii="Arial" w:eastAsia="Times New Roman" w:hAnsi="Arial" w:cs="Arial"/>
          <w:kern w:val="0"/>
          <w:sz w:val="22"/>
          <w:szCs w:val="22"/>
          <w:lang w:eastAsia="en-GB"/>
          <w14:ligatures w14:val="none"/>
        </w:rPr>
        <w:t>F</w:t>
      </w:r>
      <w:r w:rsidR="008A5D42">
        <w:rPr>
          <w:rFonts w:ascii="Arial" w:eastAsia="Times New Roman" w:hAnsi="Arial" w:cs="Arial"/>
          <w:kern w:val="0"/>
          <w:sz w:val="22"/>
          <w:szCs w:val="22"/>
          <w:lang w:eastAsia="en-GB"/>
          <w14:ligatures w14:val="none"/>
        </w:rPr>
        <w:t>unding shortage</w:t>
      </w:r>
      <w:r w:rsidRPr="00154F7D">
        <w:rPr>
          <w:rFonts w:ascii="Arial" w:eastAsia="Times New Roman" w:hAnsi="Arial" w:cs="Arial"/>
          <w:kern w:val="0"/>
          <w:sz w:val="22"/>
          <w:szCs w:val="22"/>
          <w:lang w:eastAsia="en-GB"/>
          <w14:ligatures w14:val="none"/>
        </w:rPr>
        <w:t xml:space="preserve"> within the arts sector may limit the ability of organisations like Hayward Gallery to invest in advanced technologies and training programmes. This creates a risk of falling behind more technologically advanced competitors. There is also a growing need for HR to manage the ethical implications of digital transformation, particularly in relation to employee monitoring and the use of data analytics.</w:t>
      </w:r>
    </w:p>
    <w:p w14:paraId="6A310DD1" w14:textId="40404EBA"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Moreover, increased reliance on digital platforms introduces significant data protection and cybersecurity challenges</w:t>
      </w:r>
      <w:r w:rsidR="002309A3">
        <w:rPr>
          <w:rFonts w:ascii="Arial" w:eastAsia="Times New Roman" w:hAnsi="Arial" w:cs="Arial"/>
          <w:kern w:val="0"/>
          <w:sz w:val="22"/>
          <w:szCs w:val="22"/>
          <w:lang w:eastAsia="en-GB"/>
          <w14:ligatures w14:val="none"/>
        </w:rPr>
        <w:t xml:space="preserve">. </w:t>
      </w:r>
      <w:r w:rsidRPr="00154F7D">
        <w:rPr>
          <w:rFonts w:ascii="Arial" w:eastAsia="Times New Roman" w:hAnsi="Arial" w:cs="Arial"/>
          <w:kern w:val="0"/>
          <w:sz w:val="22"/>
          <w:szCs w:val="22"/>
          <w:lang w:eastAsia="en-GB"/>
          <w14:ligatures w14:val="none"/>
        </w:rPr>
        <w:t>Failure to address these issues could result in legal penalties and reputational damage.</w:t>
      </w:r>
    </w:p>
    <w:p w14:paraId="76EC0368" w14:textId="77777777"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lastRenderedPageBreak/>
        <w:t>Overall, while technological advancement offers opportunities for innovation and efficiency, it also presents substantial challenges that require strategic HR intervention to ensure successful implementation.</w:t>
      </w:r>
    </w:p>
    <w:p w14:paraId="574BAFFB" w14:textId="4F243C0A" w:rsidR="00154F7D" w:rsidRPr="00154F7D" w:rsidRDefault="00154F7D" w:rsidP="00154F7D">
      <w:pPr>
        <w:spacing w:after="0" w:line="240" w:lineRule="auto"/>
        <w:rPr>
          <w:rFonts w:ascii="Arial" w:eastAsia="Times New Roman" w:hAnsi="Arial" w:cs="Arial"/>
          <w:kern w:val="0"/>
          <w:sz w:val="22"/>
          <w:szCs w:val="22"/>
          <w:lang w:eastAsia="en-GB"/>
          <w14:ligatures w14:val="none"/>
        </w:rPr>
      </w:pPr>
    </w:p>
    <w:p w14:paraId="0DAB0C20" w14:textId="77777777" w:rsidR="00154F7D" w:rsidRPr="00154F7D" w:rsidRDefault="00154F7D" w:rsidP="00154F7D">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154F7D">
        <w:rPr>
          <w:rFonts w:ascii="Arial" w:eastAsia="Times New Roman" w:hAnsi="Arial" w:cs="Arial"/>
          <w:b/>
          <w:bCs/>
          <w:kern w:val="0"/>
          <w:sz w:val="22"/>
          <w:szCs w:val="22"/>
          <w:lang w:eastAsia="en-GB"/>
          <w14:ligatures w14:val="none"/>
        </w:rPr>
        <w:t>2.2 Talent Acquisition and Retention</w:t>
      </w:r>
    </w:p>
    <w:p w14:paraId="75FCD63A" w14:textId="77777777"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Attracting and retaining skilled employees remains a critical issue within the cultural sector, where organisations often operate under financial constraints while competing for highly specialised talent. Hayward Gallery must compete not only with other cultural institutions but also with private-sector organisations that may offer higher salaries and more stable career opportunities.</w:t>
      </w:r>
    </w:p>
    <w:p w14:paraId="7FB36E85" w14:textId="38F02F9F"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Recruitment challenges are particularly evident in roles requiring expertise, such as curatorial positions, digital content creation, and technical production. The limited pool of qualified candidates makes it difficult to fill vacancies efficiently. Additionally, the reliance on short-term contracts and project-based roles, which are common in the arts sector, may discourage potential applicants seeking long-term stability.</w:t>
      </w:r>
    </w:p>
    <w:p w14:paraId="21A3E379" w14:textId="55937437"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 xml:space="preserve">Retention presents an equally significant challenge. Employees are more likely to remain with an organisation when they experience high levels of job satisfaction, opportunities for career development, and a positive organisational culture (Armstrong and Taylor, 2023). </w:t>
      </w:r>
    </w:p>
    <w:p w14:paraId="275A55E0" w14:textId="77777777"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However, if organisations fail to provide clear progression pathways or adequate support for professional development, employees may seek opportunities elsewhere. High turnover can disrupt organisational continuity, reduce team cohesion, and increase recruitment and training costs.</w:t>
      </w:r>
    </w:p>
    <w:p w14:paraId="4F9D3FB3" w14:textId="77777777"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Furthermore, changing workforce expectations, particularly among younger employees, have intensified the need for flexible working arrangements and a better work-life balance. Organisations that are unable to meet these expectations risk losing talent to more adaptable employers.</w:t>
      </w:r>
    </w:p>
    <w:p w14:paraId="5EA1A140" w14:textId="77777777"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To remain competitive, HR departments must adopt a strategic approach to talent management, balancing financial limitations with innovative retention strategies that prioritise employee engagement and development.</w:t>
      </w:r>
    </w:p>
    <w:p w14:paraId="3EACB217" w14:textId="77777777" w:rsidR="00154F7D" w:rsidRPr="003E0CEA" w:rsidRDefault="00154F7D" w:rsidP="00154F7D">
      <w:pPr>
        <w:spacing w:before="100" w:beforeAutospacing="1" w:after="100" w:afterAutospacing="1" w:line="240" w:lineRule="auto"/>
        <w:outlineLvl w:val="1"/>
        <w:rPr>
          <w:rFonts w:ascii="Arial" w:eastAsia="Times New Roman" w:hAnsi="Arial" w:cs="Arial"/>
          <w:kern w:val="0"/>
          <w:sz w:val="22"/>
          <w:szCs w:val="22"/>
          <w:lang w:eastAsia="en-GB"/>
          <w14:ligatures w14:val="none"/>
        </w:rPr>
      </w:pPr>
    </w:p>
    <w:p w14:paraId="5B0AF336" w14:textId="77777777" w:rsidR="00154F7D" w:rsidRPr="003E0CEA" w:rsidRDefault="00154F7D" w:rsidP="00154F7D">
      <w:pPr>
        <w:spacing w:before="100" w:beforeAutospacing="1" w:after="100" w:afterAutospacing="1" w:line="240" w:lineRule="auto"/>
        <w:outlineLvl w:val="1"/>
        <w:rPr>
          <w:rFonts w:ascii="Arial" w:eastAsia="Times New Roman" w:hAnsi="Arial" w:cs="Arial"/>
          <w:kern w:val="0"/>
          <w:sz w:val="22"/>
          <w:szCs w:val="22"/>
          <w:lang w:eastAsia="en-GB"/>
          <w14:ligatures w14:val="none"/>
        </w:rPr>
      </w:pPr>
    </w:p>
    <w:p w14:paraId="06575ED1" w14:textId="0238E08B" w:rsidR="00154F7D" w:rsidRPr="00154F7D" w:rsidRDefault="00154F7D" w:rsidP="00154F7D">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154F7D">
        <w:rPr>
          <w:rFonts w:ascii="Arial" w:eastAsia="Times New Roman" w:hAnsi="Arial" w:cs="Arial"/>
          <w:b/>
          <w:bCs/>
          <w:kern w:val="0"/>
          <w:sz w:val="22"/>
          <w:szCs w:val="22"/>
          <w:lang w:eastAsia="en-GB"/>
          <w14:ligatures w14:val="none"/>
        </w:rPr>
        <w:t>2.3 Diversity, Equity, and Inclusion (DEI)</w:t>
      </w:r>
    </w:p>
    <w:p w14:paraId="60DD2A0D" w14:textId="77777777"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Diversity, equity, and inclusion have become central to organisational success, particularly within cultural institutions that aim to reflect and engage diverse audiences. Hayward Gallery has a responsibility to ensure that its workforce represents a broad range of perspectives, experiences, and backgrounds.</w:t>
      </w:r>
    </w:p>
    <w:p w14:paraId="1FA3226C" w14:textId="77777777"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 xml:space="preserve">Despite growing awareness, the arts sector continues to face challenges in achieving meaningful diversity, particularly in leadership positions. Barriers such as unpaid internships, limited access to professional networks, and socio-economic inequalities can restrict entry </w:t>
      </w:r>
      <w:r w:rsidRPr="00154F7D">
        <w:rPr>
          <w:rFonts w:ascii="Arial" w:eastAsia="Times New Roman" w:hAnsi="Arial" w:cs="Arial"/>
          <w:kern w:val="0"/>
          <w:sz w:val="22"/>
          <w:szCs w:val="22"/>
          <w:lang w:eastAsia="en-GB"/>
          <w14:ligatures w14:val="none"/>
        </w:rPr>
        <w:lastRenderedPageBreak/>
        <w:t>into the sector for underrepresented groups. As a result, organisations may struggle to build a truly inclusive workforce.</w:t>
      </w:r>
    </w:p>
    <w:p w14:paraId="506C39B6" w14:textId="77777777"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Unconscious bias in recruitment and promotion processes further complicates efforts to improve diversity. Without structured and transparent procedures, there is a risk that decision-making may favour certain groups, perpetuating existing inequalities. HR departments must therefore implement fair and inclusive practices to ensure equal access to opportunities.</w:t>
      </w:r>
    </w:p>
    <w:p w14:paraId="62EEE8F6" w14:textId="77777777"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Creating an inclusive organisational culture is equally important. Employees must feel valued, respected, and supported regardless of their background. This requires ongoing commitment from leadership and the integration of inclusive practices into everyday operations.</w:t>
      </w:r>
    </w:p>
    <w:p w14:paraId="026C0A26" w14:textId="77777777"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Research suggests that diverse teams are more innovative and better equipped to solve complex problems (CIPD, 2021). For an organisation like Hayward Gallery, this can enhance creativity and improve the quality of exhibitions and audience engagement.</w:t>
      </w:r>
    </w:p>
    <w:p w14:paraId="05CE130C" w14:textId="77777777"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However, achieving genuine inclusion is a long-term process that requires continuous monitoring and evaluation. Organisations must establish clear objectives, track progress through data, and hold leadership accountable for outcomes. Without sustained effort, DEI initiatives may lack impact and fail to deliver meaningful change.</w:t>
      </w:r>
    </w:p>
    <w:p w14:paraId="55610B76" w14:textId="77777777" w:rsidR="00613B58" w:rsidRPr="003E0CEA" w:rsidRDefault="00613B58" w:rsidP="00613B58">
      <w:pPr>
        <w:rPr>
          <w:rFonts w:ascii="Arial" w:eastAsia="Times New Roman" w:hAnsi="Arial" w:cs="Arial"/>
          <w:kern w:val="0"/>
          <w:sz w:val="22"/>
          <w:szCs w:val="22"/>
          <w:lang w:eastAsia="en-GB"/>
          <w14:ligatures w14:val="none"/>
        </w:rPr>
      </w:pPr>
    </w:p>
    <w:p w14:paraId="6A5E7131" w14:textId="4C4F54AB" w:rsidR="00154F7D" w:rsidRPr="00154F7D" w:rsidRDefault="00154F7D" w:rsidP="00154F7D">
      <w:pPr>
        <w:spacing w:before="100" w:beforeAutospacing="1" w:after="100" w:afterAutospacing="1" w:line="240" w:lineRule="auto"/>
        <w:outlineLvl w:val="0"/>
        <w:rPr>
          <w:rFonts w:ascii="Arial" w:eastAsia="Times New Roman" w:hAnsi="Arial" w:cs="Arial"/>
          <w:b/>
          <w:bCs/>
          <w:kern w:val="36"/>
          <w:sz w:val="22"/>
          <w:szCs w:val="22"/>
          <w:lang w:eastAsia="en-GB"/>
          <w14:ligatures w14:val="none"/>
        </w:rPr>
      </w:pPr>
      <w:r w:rsidRPr="00154F7D">
        <w:rPr>
          <w:rFonts w:ascii="Arial" w:eastAsia="Times New Roman" w:hAnsi="Arial" w:cs="Arial"/>
          <w:b/>
          <w:bCs/>
          <w:kern w:val="36"/>
          <w:sz w:val="22"/>
          <w:szCs w:val="22"/>
          <w:lang w:eastAsia="en-GB"/>
          <w14:ligatures w14:val="none"/>
        </w:rPr>
        <w:t xml:space="preserve">3. Evaluation of Contemporary HR Practices </w:t>
      </w:r>
    </w:p>
    <w:p w14:paraId="4429447C" w14:textId="77777777" w:rsidR="00154F7D" w:rsidRPr="00154F7D" w:rsidRDefault="00154F7D" w:rsidP="00154F7D">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154F7D">
        <w:rPr>
          <w:rFonts w:ascii="Arial" w:eastAsia="Times New Roman" w:hAnsi="Arial" w:cs="Arial"/>
          <w:b/>
          <w:bCs/>
          <w:kern w:val="0"/>
          <w:sz w:val="22"/>
          <w:szCs w:val="22"/>
          <w:lang w:eastAsia="en-GB"/>
          <w14:ligatures w14:val="none"/>
        </w:rPr>
        <w:t>3.1 Addressing Technological Advancement</w:t>
      </w:r>
    </w:p>
    <w:p w14:paraId="7E352129" w14:textId="77777777"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A key approach to managing technological change is the implementation of continuous learning and development strategies. For an organisation such as Hayward Gallery, investing in digital training platforms, workshops, and blended learning methods can significantly enhance employees’ technical capabilities. This ensures that staff remain adaptable and capable of utilising emerging technologies effectively (Noe, 2020).</w:t>
      </w:r>
    </w:p>
    <w:p w14:paraId="5746131C" w14:textId="77777777"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One advantage of continuous learning is that it supports long-term organisational resilience by equipping employees with transferable digital skills. It also encourages a culture of innovation, which is particularly important in creative environments. However, the effectiveness of such programmes depends on employee engagement and organisational commitment. Without sufficient time, resources, or motivation, training initiatives may fail to deliver meaningful outcomes.</w:t>
      </w:r>
    </w:p>
    <w:p w14:paraId="365804B2" w14:textId="14DE3A53"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 xml:space="preserve">The adoption of digital HR systems, such as e-recruitment platforms and performance management software, represents another important contemporary practice. </w:t>
      </w:r>
    </w:p>
    <w:p w14:paraId="69B8ED3D" w14:textId="6EE169B2"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Despite these benefits, there are potential drawbacks. Over-reliance on digital systems may reduce human interaction, which is essential in maintaining strong workplace relationships. Additionally, the use of employee data raises ethical concerns, particularly regarding privacy and surveillance</w:t>
      </w:r>
    </w:p>
    <w:p w14:paraId="76722F6C" w14:textId="77777777"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 xml:space="preserve">Flexible working arrangements, supported by digital technologies, have also become increasingly important. Remote and hybrid working models can enhance employee satisfaction and productivity, particularly in roles that require creativity and independent </w:t>
      </w:r>
      <w:r w:rsidRPr="00154F7D">
        <w:rPr>
          <w:rFonts w:ascii="Arial" w:eastAsia="Times New Roman" w:hAnsi="Arial" w:cs="Arial"/>
          <w:kern w:val="0"/>
          <w:sz w:val="22"/>
          <w:szCs w:val="22"/>
          <w:lang w:eastAsia="en-GB"/>
          <w14:ligatures w14:val="none"/>
        </w:rPr>
        <w:lastRenderedPageBreak/>
        <w:t>working. However, these arrangements may also present challenges, such as reduced collaboration and difficulties in maintaining organisational culture. As a result, organisations must carefully balance flexibility with effective communication and team cohesion.</w:t>
      </w:r>
    </w:p>
    <w:p w14:paraId="15924284" w14:textId="71A790BB" w:rsidR="00154F7D" w:rsidRPr="00154F7D" w:rsidRDefault="00154F7D" w:rsidP="00154F7D">
      <w:pPr>
        <w:spacing w:after="0" w:line="240" w:lineRule="auto"/>
        <w:rPr>
          <w:rFonts w:ascii="Arial" w:eastAsia="Times New Roman" w:hAnsi="Arial" w:cs="Arial"/>
          <w:kern w:val="0"/>
          <w:sz w:val="22"/>
          <w:szCs w:val="22"/>
          <w:lang w:eastAsia="en-GB"/>
          <w14:ligatures w14:val="none"/>
        </w:rPr>
      </w:pPr>
    </w:p>
    <w:p w14:paraId="270E743B" w14:textId="77777777" w:rsidR="00154F7D" w:rsidRPr="00154F7D" w:rsidRDefault="00154F7D" w:rsidP="00154F7D">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154F7D">
        <w:rPr>
          <w:rFonts w:ascii="Arial" w:eastAsia="Times New Roman" w:hAnsi="Arial" w:cs="Arial"/>
          <w:b/>
          <w:bCs/>
          <w:kern w:val="0"/>
          <w:sz w:val="22"/>
          <w:szCs w:val="22"/>
          <w:lang w:eastAsia="en-GB"/>
          <w14:ligatures w14:val="none"/>
        </w:rPr>
        <w:t>3.2 Talent Acquisition and Retention Practices</w:t>
      </w:r>
    </w:p>
    <w:p w14:paraId="708DD0B3" w14:textId="77777777"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Employer branding has emerged as a critical tool in attracting high-quality candidates. Hayward Gallery can utilise its strong reputation as a leading cultural institution to appeal to individuals who are motivated by creativity and purpose rather than solely financial rewards. A well-developed employer brand can enhance organisational visibility and differentiate it from competitors in a crowded labour market.</w:t>
      </w:r>
    </w:p>
    <w:p w14:paraId="0B8C57FE" w14:textId="77777777"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Recruitment strategies that focus on building long-term talent pipelines are particularly effective. Collaborations with universities, internship programmes, and engagement with professional networks allow organisations to identify emerging talent at an early stage. These approaches not only support recruitment but also contribute to workforce development within the sector.</w:t>
      </w:r>
    </w:p>
    <w:p w14:paraId="22187395" w14:textId="77777777"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However, such strategies may require significant time and resource investment, and there is no guarantee that interns or graduates will remain with the organisation in the long term. Therefore, recruitment efforts must be aligned with retention strategies to maximise their effectiveness.</w:t>
      </w:r>
    </w:p>
    <w:p w14:paraId="1F16D979" w14:textId="6CDB1E4F"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 xml:space="preserve">Retention practices are equally important and often centre on employee development and </w:t>
      </w:r>
      <w:r w:rsidR="004B41FD" w:rsidRPr="00154F7D">
        <w:rPr>
          <w:rFonts w:ascii="Arial" w:eastAsia="Times New Roman" w:hAnsi="Arial" w:cs="Arial"/>
          <w:kern w:val="0"/>
          <w:sz w:val="22"/>
          <w:szCs w:val="22"/>
          <w:lang w:eastAsia="en-GB"/>
          <w14:ligatures w14:val="none"/>
        </w:rPr>
        <w:t xml:space="preserve">engagement </w:t>
      </w:r>
      <w:r w:rsidR="004B41FD">
        <w:rPr>
          <w:rFonts w:ascii="Arial" w:eastAsia="Times New Roman" w:hAnsi="Arial" w:cs="Arial"/>
          <w:kern w:val="0"/>
          <w:sz w:val="22"/>
          <w:szCs w:val="22"/>
          <w:lang w:eastAsia="en-GB"/>
          <w14:ligatures w14:val="none"/>
        </w:rPr>
        <w:t>i</w:t>
      </w:r>
      <w:r w:rsidR="004B41FD" w:rsidRPr="00154F7D">
        <w:rPr>
          <w:rFonts w:ascii="Arial" w:eastAsia="Times New Roman" w:hAnsi="Arial" w:cs="Arial"/>
          <w:kern w:val="0"/>
          <w:sz w:val="22"/>
          <w:szCs w:val="22"/>
          <w:lang w:eastAsia="en-GB"/>
          <w14:ligatures w14:val="none"/>
        </w:rPr>
        <w:t>n</w:t>
      </w:r>
      <w:r w:rsidRPr="00154F7D">
        <w:rPr>
          <w:rFonts w:ascii="Arial" w:eastAsia="Times New Roman" w:hAnsi="Arial" w:cs="Arial"/>
          <w:kern w:val="0"/>
          <w:sz w:val="22"/>
          <w:szCs w:val="22"/>
          <w:lang w:eastAsia="en-GB"/>
          <w14:ligatures w14:val="none"/>
        </w:rPr>
        <w:t xml:space="preserve"> creative sectors, involving employees in decision-making processes can further increase engagement by giving them a sense of ownership and purpose.</w:t>
      </w:r>
    </w:p>
    <w:p w14:paraId="4AA1AF3A" w14:textId="77777777"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While financial incentives remain relevant, research suggests that non-monetary factors such as recognition, meaningful work, and a supportive organisational culture play a significant role in retention. This is particularly true in the arts sector, where employees are often driven by intrinsic motivation.</w:t>
      </w:r>
    </w:p>
    <w:p w14:paraId="1ED4794C" w14:textId="3978E119" w:rsidR="00F10E54" w:rsidRPr="003E0CEA" w:rsidRDefault="00154F7D" w:rsidP="00F10E54">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Nevertheless, there are limitations to these practices. Financial constraints may restrict the ability of organisations to offer competitive salaries or extensive development programmes.</w:t>
      </w:r>
    </w:p>
    <w:p w14:paraId="646D1F98" w14:textId="77777777" w:rsidR="00F10E54" w:rsidRPr="003E0CEA" w:rsidRDefault="00F10E54" w:rsidP="00F10E54">
      <w:pPr>
        <w:spacing w:before="100" w:beforeAutospacing="1" w:after="100" w:afterAutospacing="1" w:line="240" w:lineRule="auto"/>
        <w:rPr>
          <w:rFonts w:ascii="Arial" w:eastAsia="Times New Roman" w:hAnsi="Arial" w:cs="Arial"/>
          <w:kern w:val="0"/>
          <w:sz w:val="22"/>
          <w:szCs w:val="22"/>
          <w:lang w:eastAsia="en-GB"/>
          <w14:ligatures w14:val="none"/>
        </w:rPr>
      </w:pPr>
    </w:p>
    <w:p w14:paraId="190D54BF" w14:textId="583E2DBA" w:rsidR="00154F7D" w:rsidRPr="00154F7D" w:rsidRDefault="00154F7D" w:rsidP="00F10E54">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b/>
          <w:bCs/>
          <w:kern w:val="0"/>
          <w:sz w:val="22"/>
          <w:szCs w:val="22"/>
          <w:lang w:eastAsia="en-GB"/>
          <w14:ligatures w14:val="none"/>
        </w:rPr>
        <w:t>3.3 DEI Practices</w:t>
      </w:r>
    </w:p>
    <w:p w14:paraId="2F78F3F0" w14:textId="77777777"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Contemporary HR practices aimed at promoting diversity, equity, and inclusion (DEI) are essential for fostering a fair and innovative workplace. One widely used approach is inclusive recruitment, which includes techniques such as anonymised applications to minimise unconscious bias during the selection process (CIPD, 2021). This can improve fairness and increase the diversity of candidate pools.</w:t>
      </w:r>
    </w:p>
    <w:p w14:paraId="4E32FBC7" w14:textId="11EA8D77"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 xml:space="preserve">Diversity training programmes are another important initiative, as they raise awareness of unconscious bias and encourage inclusive behaviours among employees. </w:t>
      </w:r>
    </w:p>
    <w:p w14:paraId="14F1E6F9" w14:textId="77777777"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 xml:space="preserve">The establishment of employee networks and support groups provides additional support for underrepresented groups, helping to create a sense of belonging and community within the </w:t>
      </w:r>
      <w:r w:rsidRPr="00154F7D">
        <w:rPr>
          <w:rFonts w:ascii="Arial" w:eastAsia="Times New Roman" w:hAnsi="Arial" w:cs="Arial"/>
          <w:kern w:val="0"/>
          <w:sz w:val="22"/>
          <w:szCs w:val="22"/>
          <w:lang w:eastAsia="en-GB"/>
          <w14:ligatures w14:val="none"/>
        </w:rPr>
        <w:lastRenderedPageBreak/>
        <w:t>organisation. These networks can also offer valuable insights into employee experiences, enabling organisations to identify and address potential issues.</w:t>
      </w:r>
    </w:p>
    <w:p w14:paraId="1F36A498" w14:textId="77777777"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Flexible working arrangements and equal opportunity policies further contribute to an inclusive environment by accommodating diverse employee needs. For example, flexible scheduling can support individuals with caring responsibilities or those from different socio-economic backgrounds.</w:t>
      </w:r>
    </w:p>
    <w:p w14:paraId="0E550F4C" w14:textId="512F9E99"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 xml:space="preserve">Despite the potential benefits, DEI practices must be carefully implemented and continuously evaluated. Without clear objectives and measurable outcomes, initiatives may become symbolic rather than effective. </w:t>
      </w:r>
    </w:p>
    <w:p w14:paraId="7038934C" w14:textId="2AE424A8" w:rsidR="00154F7D" w:rsidRPr="00154F7D" w:rsidRDefault="00154F7D" w:rsidP="00154F7D">
      <w:pPr>
        <w:spacing w:before="100" w:beforeAutospacing="1" w:after="100" w:afterAutospacing="1" w:line="240" w:lineRule="auto"/>
        <w:rPr>
          <w:rFonts w:ascii="Arial" w:eastAsia="Times New Roman" w:hAnsi="Arial" w:cs="Arial"/>
          <w:kern w:val="0"/>
          <w:sz w:val="22"/>
          <w:szCs w:val="22"/>
          <w:lang w:eastAsia="en-GB"/>
          <w14:ligatures w14:val="none"/>
        </w:rPr>
      </w:pPr>
      <w:r w:rsidRPr="00154F7D">
        <w:rPr>
          <w:rFonts w:ascii="Arial" w:eastAsia="Times New Roman" w:hAnsi="Arial" w:cs="Arial"/>
          <w:kern w:val="0"/>
          <w:sz w:val="22"/>
          <w:szCs w:val="22"/>
          <w:lang w:eastAsia="en-GB"/>
          <w14:ligatures w14:val="none"/>
        </w:rPr>
        <w:t>. Regular monitoring, data analysis, and employee feedback are essential in assessing progress and identifying areas for improvement.</w:t>
      </w:r>
    </w:p>
    <w:p w14:paraId="6B821246" w14:textId="77777777" w:rsidR="00BE4503" w:rsidRPr="003E0CEA" w:rsidRDefault="00BE4503" w:rsidP="00613B58">
      <w:pPr>
        <w:spacing w:before="100" w:beforeAutospacing="1" w:after="100" w:afterAutospacing="1" w:line="240" w:lineRule="auto"/>
        <w:rPr>
          <w:rFonts w:ascii="Arial" w:eastAsia="Times New Roman" w:hAnsi="Arial" w:cs="Arial"/>
          <w:kern w:val="0"/>
          <w:sz w:val="22"/>
          <w:szCs w:val="22"/>
          <w:lang w:eastAsia="en-GB"/>
          <w14:ligatures w14:val="none"/>
        </w:rPr>
      </w:pPr>
    </w:p>
    <w:p w14:paraId="4F4F21A4" w14:textId="77777777" w:rsidR="009D711D" w:rsidRPr="003E0CEA" w:rsidRDefault="009D711D" w:rsidP="00613B58">
      <w:pPr>
        <w:spacing w:before="100" w:beforeAutospacing="1" w:after="100" w:afterAutospacing="1" w:line="240" w:lineRule="auto"/>
        <w:rPr>
          <w:rFonts w:ascii="Arial" w:eastAsia="Times New Roman" w:hAnsi="Arial" w:cs="Arial"/>
          <w:kern w:val="0"/>
          <w:sz w:val="22"/>
          <w:szCs w:val="22"/>
          <w:lang w:eastAsia="en-GB"/>
          <w14:ligatures w14:val="none"/>
        </w:rPr>
      </w:pPr>
    </w:p>
    <w:p w14:paraId="34EBEF9B" w14:textId="6C64D051" w:rsidR="00613B58" w:rsidRPr="003E0CEA" w:rsidRDefault="00613B58" w:rsidP="00613B58">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3E0CEA">
        <w:rPr>
          <w:rFonts w:ascii="Arial" w:eastAsia="Times New Roman" w:hAnsi="Arial" w:cs="Arial"/>
          <w:b/>
          <w:bCs/>
          <w:kern w:val="0"/>
          <w:sz w:val="22"/>
          <w:szCs w:val="22"/>
          <w:lang w:eastAsia="en-GB"/>
          <w14:ligatures w14:val="none"/>
        </w:rPr>
        <w:t>4. Role of Departmental Managers in Implementation</w:t>
      </w:r>
    </w:p>
    <w:p w14:paraId="2D598F0D" w14:textId="77777777" w:rsidR="00BE4503" w:rsidRPr="00BE4503" w:rsidRDefault="00BE4503" w:rsidP="00BE4503">
      <w:pPr>
        <w:spacing w:before="100" w:beforeAutospacing="1" w:after="100" w:afterAutospacing="1" w:line="240" w:lineRule="auto"/>
        <w:rPr>
          <w:rFonts w:ascii="Arial" w:eastAsia="Times New Roman" w:hAnsi="Arial" w:cs="Arial"/>
          <w:kern w:val="0"/>
          <w:sz w:val="22"/>
          <w:szCs w:val="22"/>
          <w:lang w:eastAsia="en-GB"/>
          <w14:ligatures w14:val="none"/>
        </w:rPr>
      </w:pPr>
      <w:r w:rsidRPr="00BE4503">
        <w:rPr>
          <w:rFonts w:ascii="Arial" w:eastAsia="Times New Roman" w:hAnsi="Arial" w:cs="Arial"/>
          <w:kern w:val="0"/>
          <w:sz w:val="22"/>
          <w:szCs w:val="22"/>
          <w:lang w:eastAsia="en-GB"/>
          <w14:ligatures w14:val="none"/>
        </w:rPr>
        <w:t>Departmental managers play a crucial role in translating HR policies into practical outcomes within Hayward Gallery. Their leadership directly influences how effectively HR strategies are implemented.</w:t>
      </w:r>
    </w:p>
    <w:p w14:paraId="5FD1C0D5" w14:textId="77777777" w:rsidR="00BE4503" w:rsidRPr="00BE4503" w:rsidRDefault="00BE4503" w:rsidP="00BE4503">
      <w:pPr>
        <w:spacing w:before="100" w:beforeAutospacing="1" w:after="100" w:afterAutospacing="1" w:line="240" w:lineRule="auto"/>
        <w:rPr>
          <w:rFonts w:ascii="Arial" w:eastAsia="Times New Roman" w:hAnsi="Arial" w:cs="Arial"/>
          <w:kern w:val="0"/>
          <w:sz w:val="22"/>
          <w:szCs w:val="22"/>
          <w:lang w:eastAsia="en-GB"/>
          <w14:ligatures w14:val="none"/>
        </w:rPr>
      </w:pPr>
      <w:r w:rsidRPr="00BE4503">
        <w:rPr>
          <w:rFonts w:ascii="Arial" w:eastAsia="Times New Roman" w:hAnsi="Arial" w:cs="Arial"/>
          <w:kern w:val="0"/>
          <w:sz w:val="22"/>
          <w:szCs w:val="22"/>
          <w:lang w:eastAsia="en-GB"/>
          <w14:ligatures w14:val="none"/>
        </w:rPr>
        <w:t>To begin with, managers must actively promote the adoption of new technologies by encouraging staff participation in training programmes and demonstrating the effective use of digital tools. Without visible managerial support, employees may be reluctant to embrace change.</w:t>
      </w:r>
    </w:p>
    <w:p w14:paraId="0CDFA6CA" w14:textId="77777777" w:rsidR="00BE4503" w:rsidRPr="00BE4503" w:rsidRDefault="00BE4503" w:rsidP="00BE4503">
      <w:pPr>
        <w:spacing w:before="100" w:beforeAutospacing="1" w:after="100" w:afterAutospacing="1" w:line="240" w:lineRule="auto"/>
        <w:rPr>
          <w:rFonts w:ascii="Arial" w:eastAsia="Times New Roman" w:hAnsi="Arial" w:cs="Arial"/>
          <w:kern w:val="0"/>
          <w:sz w:val="22"/>
          <w:szCs w:val="22"/>
          <w:lang w:eastAsia="en-GB"/>
          <w14:ligatures w14:val="none"/>
        </w:rPr>
      </w:pPr>
      <w:r w:rsidRPr="00BE4503">
        <w:rPr>
          <w:rFonts w:ascii="Arial" w:eastAsia="Times New Roman" w:hAnsi="Arial" w:cs="Arial"/>
          <w:kern w:val="0"/>
          <w:sz w:val="22"/>
          <w:szCs w:val="22"/>
          <w:lang w:eastAsia="en-GB"/>
          <w14:ligatures w14:val="none"/>
        </w:rPr>
        <w:t>Clear and consistent communication is also essential. Managers must explain the purpose and benefits of HR initiatives, ensuring that employees understand how these changes affect their roles and responsibilities.</w:t>
      </w:r>
    </w:p>
    <w:p w14:paraId="7B0E4D13" w14:textId="77777777" w:rsidR="00BE4503" w:rsidRPr="00BE4503" w:rsidRDefault="00BE4503" w:rsidP="00BE4503">
      <w:pPr>
        <w:spacing w:before="100" w:beforeAutospacing="1" w:after="100" w:afterAutospacing="1" w:line="240" w:lineRule="auto"/>
        <w:rPr>
          <w:rFonts w:ascii="Arial" w:eastAsia="Times New Roman" w:hAnsi="Arial" w:cs="Arial"/>
          <w:kern w:val="0"/>
          <w:sz w:val="22"/>
          <w:szCs w:val="22"/>
          <w:lang w:eastAsia="en-GB"/>
          <w14:ligatures w14:val="none"/>
        </w:rPr>
      </w:pPr>
      <w:r w:rsidRPr="00BE4503">
        <w:rPr>
          <w:rFonts w:ascii="Arial" w:eastAsia="Times New Roman" w:hAnsi="Arial" w:cs="Arial"/>
          <w:kern w:val="0"/>
          <w:sz w:val="22"/>
          <w:szCs w:val="22"/>
          <w:lang w:eastAsia="en-GB"/>
          <w14:ligatures w14:val="none"/>
        </w:rPr>
        <w:t>In addition, managers are responsible for monitoring employee performance and providing constructive feedback. This enables organisations to assess the effectiveness of HR practices and identify areas for improvement.</w:t>
      </w:r>
    </w:p>
    <w:p w14:paraId="6EAFCCDB" w14:textId="1AF201EE" w:rsidR="00BE4503" w:rsidRPr="00BE4503" w:rsidRDefault="00BE4503" w:rsidP="00BE4503">
      <w:pPr>
        <w:spacing w:before="100" w:beforeAutospacing="1" w:after="100" w:afterAutospacing="1" w:line="240" w:lineRule="auto"/>
        <w:rPr>
          <w:rFonts w:ascii="Arial" w:eastAsia="Times New Roman" w:hAnsi="Arial" w:cs="Arial"/>
          <w:kern w:val="0"/>
          <w:sz w:val="22"/>
          <w:szCs w:val="22"/>
          <w:lang w:eastAsia="en-GB"/>
          <w14:ligatures w14:val="none"/>
        </w:rPr>
      </w:pPr>
      <w:r w:rsidRPr="003E0CEA">
        <w:rPr>
          <w:rFonts w:ascii="Arial" w:eastAsia="Times New Roman" w:hAnsi="Arial" w:cs="Arial"/>
          <w:kern w:val="0"/>
          <w:sz w:val="22"/>
          <w:szCs w:val="22"/>
          <w:lang w:eastAsia="en-GB"/>
          <w14:ligatures w14:val="none"/>
        </w:rPr>
        <w:t>Regarding</w:t>
      </w:r>
      <w:r w:rsidRPr="00BE4503">
        <w:rPr>
          <w:rFonts w:ascii="Arial" w:eastAsia="Times New Roman" w:hAnsi="Arial" w:cs="Arial"/>
          <w:kern w:val="0"/>
          <w:sz w:val="22"/>
          <w:szCs w:val="22"/>
          <w:lang w:eastAsia="en-GB"/>
          <w14:ligatures w14:val="none"/>
        </w:rPr>
        <w:t xml:space="preserve"> DEI, managers play a key role in fostering an inclusive workplace culture. They must promote fairness, address discriminatory behaviour, and ensure that all employees feel valued and respected.</w:t>
      </w:r>
    </w:p>
    <w:p w14:paraId="6952F09B" w14:textId="77777777" w:rsidR="00BE4503" w:rsidRPr="00BE4503" w:rsidRDefault="00BE4503" w:rsidP="00BE4503">
      <w:pPr>
        <w:spacing w:before="100" w:beforeAutospacing="1" w:after="100" w:afterAutospacing="1" w:line="240" w:lineRule="auto"/>
        <w:rPr>
          <w:rFonts w:ascii="Arial" w:eastAsia="Times New Roman" w:hAnsi="Arial" w:cs="Arial"/>
          <w:kern w:val="0"/>
          <w:sz w:val="22"/>
          <w:szCs w:val="22"/>
          <w:lang w:eastAsia="en-GB"/>
          <w14:ligatures w14:val="none"/>
        </w:rPr>
      </w:pPr>
      <w:r w:rsidRPr="00BE4503">
        <w:rPr>
          <w:rFonts w:ascii="Arial" w:eastAsia="Times New Roman" w:hAnsi="Arial" w:cs="Arial"/>
          <w:kern w:val="0"/>
          <w:sz w:val="22"/>
          <w:szCs w:val="22"/>
          <w:lang w:eastAsia="en-GB"/>
          <w14:ligatures w14:val="none"/>
        </w:rPr>
        <w:t>Despite their importance, managers may face challenges such as time constraints, limited training, and competing organisational priorities. To overcome these barriers, organisations should invest in management development programmes and provide ongoing support.</w:t>
      </w:r>
    </w:p>
    <w:p w14:paraId="4FCF5312" w14:textId="77777777" w:rsidR="00F10E54" w:rsidRPr="003E0CEA" w:rsidRDefault="00F10E54" w:rsidP="00613B58">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67FCA65D" w14:textId="77777777" w:rsidR="00F10E54" w:rsidRPr="003E0CEA" w:rsidRDefault="00F10E54" w:rsidP="00613B58">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74403FAE" w14:textId="77777777" w:rsidR="00F10E54" w:rsidRDefault="00F10E54" w:rsidP="00613B58">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5D67127F" w14:textId="77777777" w:rsidR="008F4B75" w:rsidRDefault="008F4B75" w:rsidP="00613B58">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509D4061" w14:textId="1889113D" w:rsidR="00613B58" w:rsidRPr="003E0CEA" w:rsidRDefault="00613B58" w:rsidP="00613B58">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sidRPr="003E0CEA">
        <w:rPr>
          <w:rFonts w:ascii="Arial" w:eastAsia="Times New Roman" w:hAnsi="Arial" w:cs="Arial"/>
          <w:b/>
          <w:bCs/>
          <w:kern w:val="0"/>
          <w:sz w:val="22"/>
          <w:szCs w:val="22"/>
          <w:lang w:eastAsia="en-GB"/>
          <w14:ligatures w14:val="none"/>
        </w:rPr>
        <w:lastRenderedPageBreak/>
        <w:t xml:space="preserve">5. Conclusion and Recommendations </w:t>
      </w:r>
    </w:p>
    <w:p w14:paraId="29F161EE" w14:textId="561E4CE1" w:rsidR="00BE4503" w:rsidRPr="00BE4503" w:rsidRDefault="003E6ACA" w:rsidP="00BE4503">
      <w:pPr>
        <w:spacing w:before="100" w:beforeAutospacing="1" w:after="100" w:afterAutospacing="1" w:line="24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I</w:t>
      </w:r>
      <w:r w:rsidR="00BE4503" w:rsidRPr="003E0CEA">
        <w:rPr>
          <w:rFonts w:ascii="Arial" w:eastAsia="Times New Roman" w:hAnsi="Arial" w:cs="Arial"/>
          <w:kern w:val="0"/>
          <w:sz w:val="22"/>
          <w:szCs w:val="22"/>
          <w:lang w:eastAsia="en-GB"/>
          <w14:ligatures w14:val="none"/>
        </w:rPr>
        <w:t>n</w:t>
      </w:r>
      <w:r w:rsidR="00BE4503" w:rsidRPr="00BE4503">
        <w:rPr>
          <w:rFonts w:ascii="Arial" w:eastAsia="Times New Roman" w:hAnsi="Arial" w:cs="Arial"/>
          <w:kern w:val="0"/>
          <w:sz w:val="22"/>
          <w:szCs w:val="22"/>
          <w:lang w:eastAsia="en-GB"/>
          <w14:ligatures w14:val="none"/>
        </w:rPr>
        <w:t xml:space="preserve"> conclusion, Hayward Gallery faces a range of HR challenges related to technological change, talent management, and diversity and inclusion. Addressing these challenges requires the adoption of modern HR strategies, including digital training, inclusive recruitment practices, and employee engagement initiatives.</w:t>
      </w:r>
    </w:p>
    <w:p w14:paraId="2C46A893" w14:textId="77777777" w:rsidR="00BE4503" w:rsidRPr="00BE4503" w:rsidRDefault="00BE4503" w:rsidP="00BE4503">
      <w:pPr>
        <w:spacing w:before="100" w:beforeAutospacing="1" w:after="100" w:afterAutospacing="1" w:line="240" w:lineRule="auto"/>
        <w:rPr>
          <w:rFonts w:ascii="Arial" w:eastAsia="Times New Roman" w:hAnsi="Arial" w:cs="Arial"/>
          <w:kern w:val="0"/>
          <w:sz w:val="22"/>
          <w:szCs w:val="22"/>
          <w:lang w:eastAsia="en-GB"/>
          <w14:ligatures w14:val="none"/>
        </w:rPr>
      </w:pPr>
      <w:r w:rsidRPr="00BE4503">
        <w:rPr>
          <w:rFonts w:ascii="Arial" w:eastAsia="Times New Roman" w:hAnsi="Arial" w:cs="Arial"/>
          <w:kern w:val="0"/>
          <w:sz w:val="22"/>
          <w:szCs w:val="22"/>
          <w:lang w:eastAsia="en-GB"/>
          <w14:ligatures w14:val="none"/>
        </w:rPr>
        <w:t>Departmental managers play a vital role in ensuring the successful implementation of these practices. Their ability to lead teams, communicate effectively, and support employees is essential for achieving organisational objectives.</w:t>
      </w:r>
    </w:p>
    <w:p w14:paraId="2DBDE353" w14:textId="77777777" w:rsidR="00BE4503" w:rsidRPr="00BE4503" w:rsidRDefault="00BE4503" w:rsidP="00BE4503">
      <w:pPr>
        <w:spacing w:before="100" w:beforeAutospacing="1" w:after="100" w:afterAutospacing="1" w:line="240" w:lineRule="auto"/>
        <w:outlineLvl w:val="2"/>
        <w:rPr>
          <w:rFonts w:ascii="Arial" w:eastAsia="Times New Roman" w:hAnsi="Arial" w:cs="Arial"/>
          <w:b/>
          <w:bCs/>
          <w:kern w:val="0"/>
          <w:sz w:val="22"/>
          <w:szCs w:val="22"/>
          <w:lang w:eastAsia="en-GB"/>
          <w14:ligatures w14:val="none"/>
        </w:rPr>
      </w:pPr>
      <w:r w:rsidRPr="00BE4503">
        <w:rPr>
          <w:rFonts w:ascii="Arial" w:eastAsia="Times New Roman" w:hAnsi="Arial" w:cs="Arial"/>
          <w:b/>
          <w:bCs/>
          <w:kern w:val="0"/>
          <w:sz w:val="22"/>
          <w:szCs w:val="22"/>
          <w:lang w:eastAsia="en-GB"/>
          <w14:ligatures w14:val="none"/>
        </w:rPr>
        <w:t>Recommendations</w:t>
      </w:r>
    </w:p>
    <w:p w14:paraId="68C6AB69" w14:textId="77777777" w:rsidR="00BE4503" w:rsidRPr="00BE4503" w:rsidRDefault="00BE4503" w:rsidP="00BE4503">
      <w:pPr>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r w:rsidRPr="00BE4503">
        <w:rPr>
          <w:rFonts w:ascii="Arial" w:eastAsia="Times New Roman" w:hAnsi="Arial" w:cs="Arial"/>
          <w:kern w:val="0"/>
          <w:sz w:val="22"/>
          <w:szCs w:val="22"/>
          <w:lang w:eastAsia="en-GB"/>
          <w14:ligatures w14:val="none"/>
        </w:rPr>
        <w:t xml:space="preserve">Invest in ongoing digital skills development programmes </w:t>
      </w:r>
    </w:p>
    <w:p w14:paraId="28AAC731" w14:textId="77777777" w:rsidR="00BE4503" w:rsidRPr="00BE4503" w:rsidRDefault="00BE4503" w:rsidP="00BE4503">
      <w:pPr>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r w:rsidRPr="00BE4503">
        <w:rPr>
          <w:rFonts w:ascii="Arial" w:eastAsia="Times New Roman" w:hAnsi="Arial" w:cs="Arial"/>
          <w:kern w:val="0"/>
          <w:sz w:val="22"/>
          <w:szCs w:val="22"/>
          <w:lang w:eastAsia="en-GB"/>
          <w14:ligatures w14:val="none"/>
        </w:rPr>
        <w:t xml:space="preserve">Build stronger links with educational institutions to attract talent </w:t>
      </w:r>
    </w:p>
    <w:p w14:paraId="3AA879CB" w14:textId="77777777" w:rsidR="00BE4503" w:rsidRPr="00BE4503" w:rsidRDefault="00BE4503" w:rsidP="00BE4503">
      <w:pPr>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r w:rsidRPr="00BE4503">
        <w:rPr>
          <w:rFonts w:ascii="Arial" w:eastAsia="Times New Roman" w:hAnsi="Arial" w:cs="Arial"/>
          <w:kern w:val="0"/>
          <w:sz w:val="22"/>
          <w:szCs w:val="22"/>
          <w:lang w:eastAsia="en-GB"/>
          <w14:ligatures w14:val="none"/>
        </w:rPr>
        <w:t xml:space="preserve">Enhance career development and progression opportunities </w:t>
      </w:r>
    </w:p>
    <w:p w14:paraId="6C553629" w14:textId="77777777" w:rsidR="00BE4503" w:rsidRPr="00BE4503" w:rsidRDefault="00BE4503" w:rsidP="00BE4503">
      <w:pPr>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r w:rsidRPr="00BE4503">
        <w:rPr>
          <w:rFonts w:ascii="Arial" w:eastAsia="Times New Roman" w:hAnsi="Arial" w:cs="Arial"/>
          <w:kern w:val="0"/>
          <w:sz w:val="22"/>
          <w:szCs w:val="22"/>
          <w:lang w:eastAsia="en-GB"/>
          <w14:ligatures w14:val="none"/>
        </w:rPr>
        <w:t xml:space="preserve">Implement comprehensive DEI strategies with measurable outcomes </w:t>
      </w:r>
    </w:p>
    <w:p w14:paraId="1C0BC5CC" w14:textId="77777777" w:rsidR="00BE4503" w:rsidRPr="00BE4503" w:rsidRDefault="00BE4503" w:rsidP="00BE4503">
      <w:pPr>
        <w:numPr>
          <w:ilvl w:val="0"/>
          <w:numId w:val="2"/>
        </w:numPr>
        <w:spacing w:before="100" w:beforeAutospacing="1" w:after="100" w:afterAutospacing="1" w:line="240" w:lineRule="auto"/>
        <w:rPr>
          <w:rFonts w:ascii="Arial" w:eastAsia="Times New Roman" w:hAnsi="Arial" w:cs="Arial"/>
          <w:kern w:val="0"/>
          <w:sz w:val="22"/>
          <w:szCs w:val="22"/>
          <w:lang w:eastAsia="en-GB"/>
          <w14:ligatures w14:val="none"/>
        </w:rPr>
      </w:pPr>
      <w:r w:rsidRPr="00BE4503">
        <w:rPr>
          <w:rFonts w:ascii="Arial" w:eastAsia="Times New Roman" w:hAnsi="Arial" w:cs="Arial"/>
          <w:kern w:val="0"/>
          <w:sz w:val="22"/>
          <w:szCs w:val="22"/>
          <w:lang w:eastAsia="en-GB"/>
          <w14:ligatures w14:val="none"/>
        </w:rPr>
        <w:t xml:space="preserve">Provide targeted training and support for managers </w:t>
      </w:r>
    </w:p>
    <w:p w14:paraId="0AAFE32D" w14:textId="77777777" w:rsidR="00BE4503" w:rsidRPr="00BE4503" w:rsidRDefault="00BE4503" w:rsidP="00BE4503">
      <w:pPr>
        <w:spacing w:before="100" w:beforeAutospacing="1" w:after="100" w:afterAutospacing="1" w:line="240" w:lineRule="auto"/>
        <w:rPr>
          <w:rFonts w:ascii="Arial" w:eastAsia="Times New Roman" w:hAnsi="Arial" w:cs="Arial"/>
          <w:kern w:val="0"/>
          <w:sz w:val="22"/>
          <w:szCs w:val="22"/>
          <w:lang w:eastAsia="en-GB"/>
          <w14:ligatures w14:val="none"/>
        </w:rPr>
      </w:pPr>
      <w:r w:rsidRPr="00BE4503">
        <w:rPr>
          <w:rFonts w:ascii="Arial" w:eastAsia="Times New Roman" w:hAnsi="Arial" w:cs="Arial"/>
          <w:kern w:val="0"/>
          <w:sz w:val="22"/>
          <w:szCs w:val="22"/>
          <w:lang w:eastAsia="en-GB"/>
          <w14:ligatures w14:val="none"/>
        </w:rPr>
        <w:t>By implementing these recommendations, the organisation can improve employee satisfaction, strengthen organisational performance, and sustain its position as a leading cultural institution.</w:t>
      </w:r>
    </w:p>
    <w:p w14:paraId="0BCF25A7" w14:textId="77777777" w:rsidR="00BE4503" w:rsidRPr="003E0CEA" w:rsidRDefault="00BE4503" w:rsidP="00613B58">
      <w:pPr>
        <w:rPr>
          <w:rFonts w:ascii="Arial" w:eastAsia="Times New Roman" w:hAnsi="Arial" w:cs="Arial"/>
          <w:kern w:val="0"/>
          <w:sz w:val="22"/>
          <w:szCs w:val="22"/>
          <w:lang w:eastAsia="en-GB"/>
          <w14:ligatures w14:val="none"/>
        </w:rPr>
      </w:pPr>
    </w:p>
    <w:p w14:paraId="308C5E0E" w14:textId="77777777" w:rsidR="00613B58" w:rsidRPr="003E0CEA" w:rsidRDefault="00613B58" w:rsidP="00613B58">
      <w:pPr>
        <w:rPr>
          <w:rFonts w:ascii="Arial" w:eastAsia="Times New Roman" w:hAnsi="Arial" w:cs="Arial"/>
          <w:kern w:val="0"/>
          <w:sz w:val="22"/>
          <w:szCs w:val="22"/>
          <w:lang w:eastAsia="en-GB"/>
          <w14:ligatures w14:val="none"/>
        </w:rPr>
      </w:pPr>
    </w:p>
    <w:p w14:paraId="7B8AECE0" w14:textId="77777777" w:rsidR="00F10E54" w:rsidRPr="003E0CEA" w:rsidRDefault="00F10E54" w:rsidP="00613B58">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067EB423" w14:textId="77777777" w:rsidR="00F10E54" w:rsidRPr="003E0CEA" w:rsidRDefault="00F10E54" w:rsidP="00613B58">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6CAD3B5E" w14:textId="77777777" w:rsidR="003E0CEA" w:rsidRDefault="003E0CEA" w:rsidP="00613B58">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34A57804" w14:textId="77777777" w:rsidR="003E0CEA" w:rsidRDefault="003E0CEA" w:rsidP="00613B58">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19645B38" w14:textId="77777777" w:rsidR="003E0CEA" w:rsidRDefault="003E0CEA" w:rsidP="00613B58">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036487FC" w14:textId="77777777" w:rsidR="003E0CEA" w:rsidRDefault="003E0CEA" w:rsidP="00613B58">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156C48EE" w14:textId="77777777" w:rsidR="003E0CEA" w:rsidRDefault="003E0CEA" w:rsidP="00613B58">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280D13B6" w14:textId="77777777" w:rsidR="003E0CEA" w:rsidRDefault="003E0CEA" w:rsidP="00613B58">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2FA4A4FA" w14:textId="77777777" w:rsidR="003E0CEA" w:rsidRDefault="003E0CEA" w:rsidP="00613B58">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42759DCC" w14:textId="77777777" w:rsidR="003E0CEA" w:rsidRDefault="003E0CEA" w:rsidP="00613B58">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0F34C152" w14:textId="77777777" w:rsidR="003E0CEA" w:rsidRDefault="003E0CEA" w:rsidP="00613B58">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22E3FBA5" w14:textId="77777777" w:rsidR="002309A3" w:rsidRDefault="002309A3" w:rsidP="008A5D42">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0431D882" w14:textId="77777777" w:rsidR="002309A3" w:rsidRDefault="002309A3" w:rsidP="008A5D42">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p>
    <w:p w14:paraId="41B2B5EA" w14:textId="0FA30DA1" w:rsidR="00613B58" w:rsidRPr="003E0CEA" w:rsidRDefault="008F4B75" w:rsidP="008A5D42">
      <w:pPr>
        <w:spacing w:before="100" w:beforeAutospacing="1" w:after="100" w:afterAutospacing="1" w:line="240" w:lineRule="auto"/>
        <w:outlineLvl w:val="1"/>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lastRenderedPageBreak/>
        <w:t>6.</w:t>
      </w:r>
      <w:r w:rsidR="00613B58" w:rsidRPr="003E0CEA">
        <w:rPr>
          <w:rFonts w:ascii="Arial" w:eastAsia="Times New Roman" w:hAnsi="Arial" w:cs="Arial"/>
          <w:b/>
          <w:bCs/>
          <w:kern w:val="0"/>
          <w:sz w:val="22"/>
          <w:szCs w:val="22"/>
          <w:lang w:eastAsia="en-GB"/>
          <w14:ligatures w14:val="none"/>
        </w:rPr>
        <w:t>Reference List</w:t>
      </w:r>
    </w:p>
    <w:p w14:paraId="7FF9A300" w14:textId="77777777" w:rsidR="00613B58" w:rsidRPr="003E0CEA" w:rsidRDefault="00613B58" w:rsidP="00613B58">
      <w:pPr>
        <w:spacing w:before="100" w:beforeAutospacing="1" w:after="100" w:afterAutospacing="1" w:line="240" w:lineRule="auto"/>
        <w:rPr>
          <w:rFonts w:ascii="Arial" w:eastAsia="Times New Roman" w:hAnsi="Arial" w:cs="Arial"/>
          <w:kern w:val="0"/>
          <w:sz w:val="22"/>
          <w:szCs w:val="22"/>
          <w:lang w:eastAsia="en-GB"/>
          <w14:ligatures w14:val="none"/>
        </w:rPr>
      </w:pPr>
      <w:r w:rsidRPr="003E0CEA">
        <w:rPr>
          <w:rFonts w:ascii="Arial" w:eastAsia="Times New Roman" w:hAnsi="Arial" w:cs="Arial"/>
          <w:kern w:val="0"/>
          <w:sz w:val="22"/>
          <w:szCs w:val="22"/>
          <w:lang w:eastAsia="en-GB"/>
          <w14:ligatures w14:val="none"/>
        </w:rPr>
        <w:t xml:space="preserve">Armstrong, M. (2020) </w:t>
      </w:r>
      <w:r w:rsidRPr="003E0CEA">
        <w:rPr>
          <w:rFonts w:ascii="Arial" w:eastAsia="Times New Roman" w:hAnsi="Arial" w:cs="Arial"/>
          <w:i/>
          <w:iCs/>
          <w:kern w:val="0"/>
          <w:sz w:val="22"/>
          <w:szCs w:val="22"/>
          <w:lang w:eastAsia="en-GB"/>
          <w14:ligatures w14:val="none"/>
        </w:rPr>
        <w:t>Armstrong’s Handbook of Human Resource Management Practice</w:t>
      </w:r>
      <w:r w:rsidRPr="003E0CEA">
        <w:rPr>
          <w:rFonts w:ascii="Arial" w:eastAsia="Times New Roman" w:hAnsi="Arial" w:cs="Arial"/>
          <w:kern w:val="0"/>
          <w:sz w:val="22"/>
          <w:szCs w:val="22"/>
          <w:lang w:eastAsia="en-GB"/>
          <w14:ligatures w14:val="none"/>
        </w:rPr>
        <w:t>. 15th edn. London: Kogan Page.</w:t>
      </w:r>
    </w:p>
    <w:p w14:paraId="4BC91C14" w14:textId="7527193E" w:rsidR="0076577A" w:rsidRPr="003E0CEA" w:rsidRDefault="0076577A" w:rsidP="0076577A">
      <w:pPr>
        <w:spacing w:after="0" w:line="240" w:lineRule="auto"/>
        <w:rPr>
          <w:rFonts w:ascii="Arial" w:eastAsia="Times New Roman" w:hAnsi="Arial" w:cs="Arial"/>
          <w:kern w:val="0"/>
          <w:sz w:val="22"/>
          <w:szCs w:val="22"/>
          <w:lang w:eastAsia="en-GB"/>
          <w14:ligatures w14:val="none"/>
        </w:rPr>
      </w:pPr>
      <w:r w:rsidRPr="0076577A">
        <w:rPr>
          <w:rFonts w:ascii="Arial" w:eastAsia="Times New Roman" w:hAnsi="Arial" w:cs="Arial"/>
          <w:kern w:val="0"/>
          <w:sz w:val="22"/>
          <w:szCs w:val="22"/>
          <w:lang w:eastAsia="en-GB"/>
          <w14:ligatures w14:val="none"/>
        </w:rPr>
        <w:t xml:space="preserve"> Bakhshi, H., Freeman, A. and Higgs, P. (2020) </w:t>
      </w:r>
      <w:r w:rsidRPr="0076577A">
        <w:rPr>
          <w:rFonts w:ascii="Arial" w:eastAsia="Times New Roman" w:hAnsi="Arial" w:cs="Arial"/>
          <w:i/>
          <w:iCs/>
          <w:kern w:val="0"/>
          <w:sz w:val="22"/>
          <w:szCs w:val="22"/>
          <w:lang w:eastAsia="en-GB"/>
          <w14:ligatures w14:val="none"/>
        </w:rPr>
        <w:t>The Geography of the UK’s Creative and High-Tech Economies</w:t>
      </w:r>
      <w:r w:rsidRPr="0076577A">
        <w:rPr>
          <w:rFonts w:ascii="Arial" w:eastAsia="Times New Roman" w:hAnsi="Arial" w:cs="Arial"/>
          <w:kern w:val="0"/>
          <w:sz w:val="22"/>
          <w:szCs w:val="22"/>
          <w:lang w:eastAsia="en-GB"/>
          <w14:ligatures w14:val="none"/>
        </w:rPr>
        <w:t xml:space="preserve">. London: Nesta. </w:t>
      </w:r>
    </w:p>
    <w:p w14:paraId="5DBCE688" w14:textId="77777777" w:rsidR="0076577A" w:rsidRPr="0076577A" w:rsidRDefault="0076577A" w:rsidP="0076577A">
      <w:pPr>
        <w:spacing w:after="0" w:line="240" w:lineRule="auto"/>
        <w:rPr>
          <w:rFonts w:ascii="Arial" w:eastAsia="Times New Roman" w:hAnsi="Arial" w:cs="Arial"/>
          <w:kern w:val="0"/>
          <w:sz w:val="22"/>
          <w:szCs w:val="22"/>
          <w:lang w:eastAsia="en-GB"/>
          <w14:ligatures w14:val="none"/>
        </w:rPr>
      </w:pPr>
    </w:p>
    <w:p w14:paraId="7D46FFEE" w14:textId="0223553B" w:rsidR="0076577A" w:rsidRPr="003E0CEA" w:rsidRDefault="0076577A" w:rsidP="0076577A">
      <w:pPr>
        <w:spacing w:after="0" w:line="240" w:lineRule="auto"/>
        <w:rPr>
          <w:rFonts w:ascii="Arial" w:eastAsia="Times New Roman" w:hAnsi="Arial" w:cs="Arial"/>
          <w:kern w:val="0"/>
          <w:sz w:val="22"/>
          <w:szCs w:val="22"/>
          <w:lang w:eastAsia="en-GB"/>
          <w14:ligatures w14:val="none"/>
        </w:rPr>
      </w:pPr>
      <w:r w:rsidRPr="0076577A">
        <w:rPr>
          <w:rFonts w:ascii="Arial" w:eastAsia="Times New Roman" w:hAnsi="Arial" w:cs="Arial"/>
          <w:kern w:val="0"/>
          <w:sz w:val="22"/>
          <w:szCs w:val="22"/>
          <w:lang w:eastAsia="en-GB"/>
          <w14:ligatures w14:val="none"/>
        </w:rPr>
        <w:t xml:space="preserve">  Chartered Institute of Personnel and Development (CIPD) (2021) </w:t>
      </w:r>
      <w:r w:rsidRPr="0076577A">
        <w:rPr>
          <w:rFonts w:ascii="Arial" w:eastAsia="Times New Roman" w:hAnsi="Arial" w:cs="Arial"/>
          <w:i/>
          <w:iCs/>
          <w:kern w:val="0"/>
          <w:sz w:val="22"/>
          <w:szCs w:val="22"/>
          <w:lang w:eastAsia="en-GB"/>
          <w14:ligatures w14:val="none"/>
        </w:rPr>
        <w:t>Inclusion and Diversity at Work</w:t>
      </w:r>
      <w:r w:rsidRPr="0076577A">
        <w:rPr>
          <w:rFonts w:ascii="Arial" w:eastAsia="Times New Roman" w:hAnsi="Arial" w:cs="Arial"/>
          <w:kern w:val="0"/>
          <w:sz w:val="22"/>
          <w:szCs w:val="22"/>
          <w:lang w:eastAsia="en-GB"/>
          <w14:ligatures w14:val="none"/>
        </w:rPr>
        <w:t xml:space="preserve">. London: CIPD. </w:t>
      </w:r>
    </w:p>
    <w:p w14:paraId="32AA7543" w14:textId="77777777" w:rsidR="0076577A" w:rsidRPr="0076577A" w:rsidRDefault="0076577A" w:rsidP="0076577A">
      <w:pPr>
        <w:spacing w:after="0" w:line="240" w:lineRule="auto"/>
        <w:rPr>
          <w:rFonts w:ascii="Arial" w:eastAsia="Times New Roman" w:hAnsi="Arial" w:cs="Arial"/>
          <w:kern w:val="0"/>
          <w:sz w:val="22"/>
          <w:szCs w:val="22"/>
          <w:lang w:eastAsia="en-GB"/>
          <w14:ligatures w14:val="none"/>
        </w:rPr>
      </w:pPr>
    </w:p>
    <w:p w14:paraId="27D55768" w14:textId="32E4C5E0" w:rsidR="0076577A" w:rsidRPr="003E0CEA" w:rsidRDefault="0076577A" w:rsidP="0076577A">
      <w:pPr>
        <w:spacing w:after="0" w:line="240" w:lineRule="auto"/>
        <w:rPr>
          <w:rFonts w:ascii="Arial" w:eastAsia="Times New Roman" w:hAnsi="Arial" w:cs="Arial"/>
          <w:kern w:val="0"/>
          <w:sz w:val="22"/>
          <w:szCs w:val="22"/>
          <w:lang w:eastAsia="en-GB"/>
          <w14:ligatures w14:val="none"/>
        </w:rPr>
      </w:pPr>
      <w:r w:rsidRPr="0076577A">
        <w:rPr>
          <w:rFonts w:ascii="Arial" w:eastAsia="Times New Roman" w:hAnsi="Arial" w:cs="Arial"/>
          <w:kern w:val="0"/>
          <w:sz w:val="22"/>
          <w:szCs w:val="22"/>
          <w:lang w:eastAsia="en-GB"/>
          <w14:ligatures w14:val="none"/>
        </w:rPr>
        <w:t xml:space="preserve">  Chartered Institute of Personnel and Development (CIPD) (2023) </w:t>
      </w:r>
      <w:r w:rsidRPr="0076577A">
        <w:rPr>
          <w:rFonts w:ascii="Arial" w:eastAsia="Times New Roman" w:hAnsi="Arial" w:cs="Arial"/>
          <w:i/>
          <w:iCs/>
          <w:kern w:val="0"/>
          <w:sz w:val="22"/>
          <w:szCs w:val="22"/>
          <w:lang w:eastAsia="en-GB"/>
          <w14:ligatures w14:val="none"/>
        </w:rPr>
        <w:t>People Profession Survey 2023</w:t>
      </w:r>
      <w:r w:rsidRPr="0076577A">
        <w:rPr>
          <w:rFonts w:ascii="Arial" w:eastAsia="Times New Roman" w:hAnsi="Arial" w:cs="Arial"/>
          <w:kern w:val="0"/>
          <w:sz w:val="22"/>
          <w:szCs w:val="22"/>
          <w:lang w:eastAsia="en-GB"/>
          <w14:ligatures w14:val="none"/>
        </w:rPr>
        <w:t xml:space="preserve">. London: CIPD. </w:t>
      </w:r>
    </w:p>
    <w:p w14:paraId="0CCCC58B" w14:textId="77777777" w:rsidR="0076577A" w:rsidRPr="0076577A" w:rsidRDefault="0076577A" w:rsidP="0076577A">
      <w:pPr>
        <w:spacing w:after="0" w:line="240" w:lineRule="auto"/>
        <w:rPr>
          <w:rFonts w:ascii="Arial" w:eastAsia="Times New Roman" w:hAnsi="Arial" w:cs="Arial"/>
          <w:kern w:val="0"/>
          <w:sz w:val="22"/>
          <w:szCs w:val="22"/>
          <w:lang w:eastAsia="en-GB"/>
          <w14:ligatures w14:val="none"/>
        </w:rPr>
      </w:pPr>
    </w:p>
    <w:p w14:paraId="3E86F3B1" w14:textId="506148B5" w:rsidR="0076577A" w:rsidRPr="0076577A" w:rsidRDefault="0076577A" w:rsidP="0076577A">
      <w:pPr>
        <w:spacing w:after="0" w:line="240" w:lineRule="auto"/>
        <w:rPr>
          <w:rFonts w:ascii="Arial" w:eastAsia="Times New Roman" w:hAnsi="Arial" w:cs="Arial"/>
          <w:kern w:val="0"/>
          <w:sz w:val="22"/>
          <w:szCs w:val="22"/>
          <w:lang w:eastAsia="en-GB"/>
          <w14:ligatures w14:val="none"/>
        </w:rPr>
      </w:pPr>
      <w:r w:rsidRPr="0076577A">
        <w:rPr>
          <w:rFonts w:ascii="Arial" w:eastAsia="Times New Roman" w:hAnsi="Arial" w:cs="Arial"/>
          <w:kern w:val="0"/>
          <w:sz w:val="22"/>
          <w:szCs w:val="22"/>
          <w:lang w:eastAsia="en-GB"/>
          <w14:ligatures w14:val="none"/>
        </w:rPr>
        <w:t xml:space="preserve">  Noe, R.A. (2020) </w:t>
      </w:r>
      <w:r w:rsidRPr="0076577A">
        <w:rPr>
          <w:rFonts w:ascii="Arial" w:eastAsia="Times New Roman" w:hAnsi="Arial" w:cs="Arial"/>
          <w:i/>
          <w:iCs/>
          <w:kern w:val="0"/>
          <w:sz w:val="22"/>
          <w:szCs w:val="22"/>
          <w:lang w:eastAsia="en-GB"/>
          <w14:ligatures w14:val="none"/>
        </w:rPr>
        <w:t>Employee Training and Development</w:t>
      </w:r>
      <w:r w:rsidRPr="0076577A">
        <w:rPr>
          <w:rFonts w:ascii="Arial" w:eastAsia="Times New Roman" w:hAnsi="Arial" w:cs="Arial"/>
          <w:kern w:val="0"/>
          <w:sz w:val="22"/>
          <w:szCs w:val="22"/>
          <w:lang w:eastAsia="en-GB"/>
          <w14:ligatures w14:val="none"/>
        </w:rPr>
        <w:t xml:space="preserve">. 8th edn. New York: McGraw-Hill Education. </w:t>
      </w:r>
    </w:p>
    <w:p w14:paraId="5A3FAF02" w14:textId="4ED78E6A" w:rsidR="0076577A" w:rsidRPr="003E0CEA" w:rsidRDefault="0076577A" w:rsidP="0076577A">
      <w:pPr>
        <w:spacing w:after="0" w:line="240" w:lineRule="auto"/>
        <w:rPr>
          <w:rFonts w:ascii="Arial" w:eastAsia="Times New Roman" w:hAnsi="Arial" w:cs="Arial"/>
          <w:kern w:val="0"/>
          <w:sz w:val="22"/>
          <w:szCs w:val="22"/>
          <w:lang w:eastAsia="en-GB"/>
          <w14:ligatures w14:val="none"/>
        </w:rPr>
      </w:pPr>
    </w:p>
    <w:p w14:paraId="5829B42B" w14:textId="3DC31B2E" w:rsidR="0076577A" w:rsidRPr="003E0CEA" w:rsidRDefault="0076577A" w:rsidP="0076577A">
      <w:pPr>
        <w:spacing w:after="0" w:line="240" w:lineRule="auto"/>
        <w:rPr>
          <w:rFonts w:ascii="Arial" w:eastAsia="Times New Roman" w:hAnsi="Arial" w:cs="Arial"/>
          <w:kern w:val="0"/>
          <w:sz w:val="22"/>
          <w:szCs w:val="22"/>
          <w:lang w:eastAsia="en-GB"/>
          <w14:ligatures w14:val="none"/>
        </w:rPr>
      </w:pPr>
      <w:r w:rsidRPr="0076577A">
        <w:rPr>
          <w:rFonts w:ascii="Arial" w:eastAsia="Times New Roman" w:hAnsi="Arial" w:cs="Arial"/>
          <w:kern w:val="0"/>
          <w:sz w:val="22"/>
          <w:szCs w:val="22"/>
          <w:lang w:eastAsia="en-GB"/>
          <w14:ligatures w14:val="none"/>
        </w:rPr>
        <w:t xml:space="preserve">Stone, D.L., Deadrick, D.L., Lukaszewski, K.M. and Johnson, R. (2015) ‘The influence of technology on the future of human resource management’, </w:t>
      </w:r>
      <w:r w:rsidRPr="0076577A">
        <w:rPr>
          <w:rFonts w:ascii="Arial" w:eastAsia="Times New Roman" w:hAnsi="Arial" w:cs="Arial"/>
          <w:i/>
          <w:iCs/>
          <w:kern w:val="0"/>
          <w:sz w:val="22"/>
          <w:szCs w:val="22"/>
          <w:lang w:eastAsia="en-GB"/>
          <w14:ligatures w14:val="none"/>
        </w:rPr>
        <w:t>Human Resource Management Review</w:t>
      </w:r>
      <w:r w:rsidRPr="0076577A">
        <w:rPr>
          <w:rFonts w:ascii="Arial" w:eastAsia="Times New Roman" w:hAnsi="Arial" w:cs="Arial"/>
          <w:kern w:val="0"/>
          <w:sz w:val="22"/>
          <w:szCs w:val="22"/>
          <w:lang w:eastAsia="en-GB"/>
          <w14:ligatures w14:val="none"/>
        </w:rPr>
        <w:t xml:space="preserve">, 25(2), pp. 216–231. </w:t>
      </w:r>
    </w:p>
    <w:p w14:paraId="0B43DF4D" w14:textId="77777777" w:rsidR="0076577A" w:rsidRPr="0076577A" w:rsidRDefault="0076577A" w:rsidP="0076577A">
      <w:pPr>
        <w:spacing w:after="0" w:line="240" w:lineRule="auto"/>
        <w:rPr>
          <w:rFonts w:ascii="Arial" w:eastAsia="Times New Roman" w:hAnsi="Arial" w:cs="Arial"/>
          <w:kern w:val="0"/>
          <w:sz w:val="22"/>
          <w:szCs w:val="22"/>
          <w:lang w:eastAsia="en-GB"/>
          <w14:ligatures w14:val="none"/>
        </w:rPr>
      </w:pPr>
    </w:p>
    <w:p w14:paraId="52F1CAA9" w14:textId="35A5D26F" w:rsidR="0076577A" w:rsidRPr="003E0CEA" w:rsidRDefault="0076577A" w:rsidP="0076577A">
      <w:pPr>
        <w:spacing w:after="0" w:line="240" w:lineRule="auto"/>
        <w:rPr>
          <w:rFonts w:ascii="Arial" w:eastAsia="Times New Roman" w:hAnsi="Arial" w:cs="Arial"/>
          <w:kern w:val="0"/>
          <w:sz w:val="22"/>
          <w:szCs w:val="22"/>
          <w:lang w:eastAsia="en-GB"/>
          <w14:ligatures w14:val="none"/>
        </w:rPr>
      </w:pPr>
      <w:r w:rsidRPr="0076577A">
        <w:rPr>
          <w:rFonts w:ascii="Arial" w:eastAsia="Times New Roman" w:hAnsi="Arial" w:cs="Arial"/>
          <w:kern w:val="0"/>
          <w:sz w:val="22"/>
          <w:szCs w:val="22"/>
          <w:lang w:eastAsia="en-GB"/>
          <w14:ligatures w14:val="none"/>
        </w:rPr>
        <w:t xml:space="preserve"> Torrington, D., Hall, L., Taylor, S. and Atkinson, C. (2020) </w:t>
      </w:r>
      <w:r w:rsidRPr="0076577A">
        <w:rPr>
          <w:rFonts w:ascii="Arial" w:eastAsia="Times New Roman" w:hAnsi="Arial" w:cs="Arial"/>
          <w:i/>
          <w:iCs/>
          <w:kern w:val="0"/>
          <w:sz w:val="22"/>
          <w:szCs w:val="22"/>
          <w:lang w:eastAsia="en-GB"/>
          <w14:ligatures w14:val="none"/>
        </w:rPr>
        <w:t>Human Resource Management</w:t>
      </w:r>
      <w:r w:rsidRPr="0076577A">
        <w:rPr>
          <w:rFonts w:ascii="Arial" w:eastAsia="Times New Roman" w:hAnsi="Arial" w:cs="Arial"/>
          <w:kern w:val="0"/>
          <w:sz w:val="22"/>
          <w:szCs w:val="22"/>
          <w:lang w:eastAsia="en-GB"/>
          <w14:ligatures w14:val="none"/>
        </w:rPr>
        <w:t xml:space="preserve">. 11th edn. Harlow: Pearson. </w:t>
      </w:r>
    </w:p>
    <w:p w14:paraId="574C156A" w14:textId="77777777" w:rsidR="0076577A" w:rsidRPr="0076577A" w:rsidRDefault="0076577A" w:rsidP="0076577A">
      <w:pPr>
        <w:spacing w:after="0" w:line="240" w:lineRule="auto"/>
        <w:rPr>
          <w:rFonts w:ascii="Arial" w:eastAsia="Times New Roman" w:hAnsi="Arial" w:cs="Arial"/>
          <w:kern w:val="0"/>
          <w:sz w:val="22"/>
          <w:szCs w:val="22"/>
          <w:lang w:eastAsia="en-GB"/>
          <w14:ligatures w14:val="none"/>
        </w:rPr>
      </w:pPr>
    </w:p>
    <w:p w14:paraId="757F1006" w14:textId="4BD40283" w:rsidR="00BE4503" w:rsidRPr="003E0CEA" w:rsidRDefault="0076577A" w:rsidP="0076577A">
      <w:pPr>
        <w:rPr>
          <w:rFonts w:ascii="Arial" w:eastAsia="Times New Roman" w:hAnsi="Arial" w:cs="Arial"/>
          <w:kern w:val="0"/>
          <w:sz w:val="22"/>
          <w:szCs w:val="22"/>
          <w:lang w:eastAsia="en-GB"/>
          <w14:ligatures w14:val="none"/>
        </w:rPr>
      </w:pPr>
      <w:r w:rsidRPr="003E0CEA">
        <w:rPr>
          <w:rFonts w:ascii="Arial" w:eastAsia="Times New Roman" w:hAnsi="Arial" w:cs="Arial"/>
          <w:kern w:val="0"/>
          <w:sz w:val="22"/>
          <w:szCs w:val="22"/>
          <w:lang w:eastAsia="en-GB"/>
          <w14:ligatures w14:val="none"/>
        </w:rPr>
        <w:t xml:space="preserve">UK Government (2022) </w:t>
      </w:r>
      <w:r w:rsidRPr="003E0CEA">
        <w:rPr>
          <w:rFonts w:ascii="Arial" w:eastAsia="Times New Roman" w:hAnsi="Arial" w:cs="Arial"/>
          <w:i/>
          <w:iCs/>
          <w:kern w:val="0"/>
          <w:sz w:val="22"/>
          <w:szCs w:val="22"/>
          <w:lang w:eastAsia="en-GB"/>
          <w14:ligatures w14:val="none"/>
        </w:rPr>
        <w:t>Guide to the General Data Protection Regulation (GDPR)</w:t>
      </w:r>
      <w:r w:rsidRPr="003E0CEA">
        <w:rPr>
          <w:rFonts w:ascii="Arial" w:eastAsia="Times New Roman" w:hAnsi="Arial" w:cs="Arial"/>
          <w:kern w:val="0"/>
          <w:sz w:val="22"/>
          <w:szCs w:val="22"/>
          <w:lang w:eastAsia="en-GB"/>
          <w14:ligatures w14:val="none"/>
        </w:rPr>
        <w:t xml:space="preserve">. Available at: </w:t>
      </w:r>
      <w:hyperlink r:id="rId8" w:tgtFrame="_new" w:history="1">
        <w:r w:rsidRPr="003E0CEA">
          <w:rPr>
            <w:rFonts w:ascii="Arial" w:eastAsia="Times New Roman" w:hAnsi="Arial" w:cs="Arial"/>
            <w:color w:val="0000FF"/>
            <w:kern w:val="0"/>
            <w:sz w:val="22"/>
            <w:szCs w:val="22"/>
            <w:u w:val="single"/>
            <w:lang w:eastAsia="en-GB"/>
            <w14:ligatures w14:val="none"/>
          </w:rPr>
          <w:t>https://www.gov.uk</w:t>
        </w:r>
      </w:hyperlink>
      <w:r w:rsidRPr="003E0CEA">
        <w:rPr>
          <w:rFonts w:ascii="Arial" w:eastAsia="Times New Roman" w:hAnsi="Arial" w:cs="Arial"/>
          <w:kern w:val="0"/>
          <w:sz w:val="22"/>
          <w:szCs w:val="22"/>
          <w:lang w:eastAsia="en-GB"/>
          <w14:ligatures w14:val="none"/>
        </w:rPr>
        <w:t xml:space="preserve"> (Accessed: 29 April 2026).</w:t>
      </w:r>
    </w:p>
    <w:p w14:paraId="21896F1E" w14:textId="77777777" w:rsidR="00BE4503" w:rsidRPr="003E0CEA" w:rsidRDefault="00BE4503" w:rsidP="00613B58">
      <w:pPr>
        <w:rPr>
          <w:rFonts w:ascii="Arial" w:eastAsia="Times New Roman" w:hAnsi="Arial" w:cs="Arial"/>
          <w:kern w:val="0"/>
          <w:sz w:val="22"/>
          <w:szCs w:val="22"/>
          <w:lang w:eastAsia="en-GB"/>
          <w14:ligatures w14:val="none"/>
        </w:rPr>
      </w:pPr>
    </w:p>
    <w:sectPr w:rsidR="00BE4503" w:rsidRPr="003E0CEA">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065A4" w14:textId="77777777" w:rsidR="00C87C16" w:rsidRDefault="00C87C16" w:rsidP="008A5D42">
      <w:pPr>
        <w:spacing w:after="0" w:line="240" w:lineRule="auto"/>
      </w:pPr>
      <w:r>
        <w:separator/>
      </w:r>
    </w:p>
  </w:endnote>
  <w:endnote w:type="continuationSeparator" w:id="0">
    <w:p w14:paraId="6F6318A7" w14:textId="77777777" w:rsidR="00C87C16" w:rsidRDefault="00C87C16" w:rsidP="008A5D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DF23C" w14:textId="77777777" w:rsidR="008A5D42" w:rsidRDefault="008A5D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0874853"/>
      <w:docPartObj>
        <w:docPartGallery w:val="Page Numbers (Bottom of Page)"/>
        <w:docPartUnique/>
      </w:docPartObj>
    </w:sdtPr>
    <w:sdtEndPr>
      <w:rPr>
        <w:noProof/>
      </w:rPr>
    </w:sdtEndPr>
    <w:sdtContent>
      <w:p w14:paraId="1D32D686" w14:textId="51701524" w:rsidR="008A5D42" w:rsidRDefault="008A5D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7658D7" w14:textId="77777777" w:rsidR="008A5D42" w:rsidRDefault="008A5D4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7C08E" w14:textId="77777777" w:rsidR="008A5D42" w:rsidRDefault="008A5D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041C41" w14:textId="77777777" w:rsidR="00C87C16" w:rsidRDefault="00C87C16" w:rsidP="008A5D42">
      <w:pPr>
        <w:spacing w:after="0" w:line="240" w:lineRule="auto"/>
      </w:pPr>
      <w:r>
        <w:separator/>
      </w:r>
    </w:p>
  </w:footnote>
  <w:footnote w:type="continuationSeparator" w:id="0">
    <w:p w14:paraId="6B3B8F77" w14:textId="77777777" w:rsidR="00C87C16" w:rsidRDefault="00C87C16" w:rsidP="008A5D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89A88" w14:textId="77777777" w:rsidR="008A5D42" w:rsidRDefault="008A5D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31F3D" w14:textId="77777777" w:rsidR="008A5D42" w:rsidRDefault="008A5D4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442BD" w14:textId="77777777" w:rsidR="008A5D42" w:rsidRDefault="008A5D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B458CD"/>
    <w:multiLevelType w:val="multilevel"/>
    <w:tmpl w:val="06B48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EB155EC"/>
    <w:multiLevelType w:val="multilevel"/>
    <w:tmpl w:val="0C9E5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2DE7764"/>
    <w:multiLevelType w:val="multilevel"/>
    <w:tmpl w:val="0CDA6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7495903">
    <w:abstractNumId w:val="2"/>
  </w:num>
  <w:num w:numId="2" w16cid:durableId="652176151">
    <w:abstractNumId w:val="1"/>
  </w:num>
  <w:num w:numId="3" w16cid:durableId="702753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B58"/>
    <w:rsid w:val="0006468A"/>
    <w:rsid w:val="00103F91"/>
    <w:rsid w:val="00154F7D"/>
    <w:rsid w:val="002309A3"/>
    <w:rsid w:val="003E0CEA"/>
    <w:rsid w:val="003E6ACA"/>
    <w:rsid w:val="00424C03"/>
    <w:rsid w:val="004B41FD"/>
    <w:rsid w:val="005A71FB"/>
    <w:rsid w:val="00613B58"/>
    <w:rsid w:val="00666D47"/>
    <w:rsid w:val="0076577A"/>
    <w:rsid w:val="008A5D42"/>
    <w:rsid w:val="008F4B75"/>
    <w:rsid w:val="009D711D"/>
    <w:rsid w:val="00A01FE5"/>
    <w:rsid w:val="00A56747"/>
    <w:rsid w:val="00AB4010"/>
    <w:rsid w:val="00B40FA6"/>
    <w:rsid w:val="00B62C98"/>
    <w:rsid w:val="00BE4503"/>
    <w:rsid w:val="00C87C16"/>
    <w:rsid w:val="00D43E0A"/>
    <w:rsid w:val="00F10E54"/>
    <w:rsid w:val="00F77C8C"/>
    <w:rsid w:val="00FA01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0A0624"/>
  <w15:chartTrackingRefBased/>
  <w15:docId w15:val="{344EFE55-5BEE-40F8-9703-9B7D95B0A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B58"/>
  </w:style>
  <w:style w:type="paragraph" w:styleId="Heading1">
    <w:name w:val="heading 1"/>
    <w:basedOn w:val="Normal"/>
    <w:next w:val="Normal"/>
    <w:link w:val="Heading1Char"/>
    <w:uiPriority w:val="9"/>
    <w:qFormat/>
    <w:rsid w:val="00613B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3B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3B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3B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3B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3B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3B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3B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3B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B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3B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3B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3B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3B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3B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3B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3B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3B58"/>
    <w:rPr>
      <w:rFonts w:eastAsiaTheme="majorEastAsia" w:cstheme="majorBidi"/>
      <w:color w:val="272727" w:themeColor="text1" w:themeTint="D8"/>
    </w:rPr>
  </w:style>
  <w:style w:type="paragraph" w:styleId="Title">
    <w:name w:val="Title"/>
    <w:basedOn w:val="Normal"/>
    <w:next w:val="Normal"/>
    <w:link w:val="TitleChar"/>
    <w:uiPriority w:val="10"/>
    <w:qFormat/>
    <w:rsid w:val="00613B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3B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3B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3B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3B58"/>
    <w:pPr>
      <w:spacing w:before="160"/>
      <w:jc w:val="center"/>
    </w:pPr>
    <w:rPr>
      <w:i/>
      <w:iCs/>
      <w:color w:val="404040" w:themeColor="text1" w:themeTint="BF"/>
    </w:rPr>
  </w:style>
  <w:style w:type="character" w:customStyle="1" w:styleId="QuoteChar">
    <w:name w:val="Quote Char"/>
    <w:basedOn w:val="DefaultParagraphFont"/>
    <w:link w:val="Quote"/>
    <w:uiPriority w:val="29"/>
    <w:rsid w:val="00613B58"/>
    <w:rPr>
      <w:i/>
      <w:iCs/>
      <w:color w:val="404040" w:themeColor="text1" w:themeTint="BF"/>
    </w:rPr>
  </w:style>
  <w:style w:type="paragraph" w:styleId="ListParagraph">
    <w:name w:val="List Paragraph"/>
    <w:basedOn w:val="Normal"/>
    <w:uiPriority w:val="34"/>
    <w:qFormat/>
    <w:rsid w:val="00613B58"/>
    <w:pPr>
      <w:ind w:left="720"/>
      <w:contextualSpacing/>
    </w:pPr>
  </w:style>
  <w:style w:type="character" w:styleId="IntenseEmphasis">
    <w:name w:val="Intense Emphasis"/>
    <w:basedOn w:val="DefaultParagraphFont"/>
    <w:uiPriority w:val="21"/>
    <w:qFormat/>
    <w:rsid w:val="00613B58"/>
    <w:rPr>
      <w:i/>
      <w:iCs/>
      <w:color w:val="0F4761" w:themeColor="accent1" w:themeShade="BF"/>
    </w:rPr>
  </w:style>
  <w:style w:type="paragraph" w:styleId="IntenseQuote">
    <w:name w:val="Intense Quote"/>
    <w:basedOn w:val="Normal"/>
    <w:next w:val="Normal"/>
    <w:link w:val="IntenseQuoteChar"/>
    <w:uiPriority w:val="30"/>
    <w:qFormat/>
    <w:rsid w:val="00613B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3B58"/>
    <w:rPr>
      <w:i/>
      <w:iCs/>
      <w:color w:val="0F4761" w:themeColor="accent1" w:themeShade="BF"/>
    </w:rPr>
  </w:style>
  <w:style w:type="character" w:styleId="IntenseReference">
    <w:name w:val="Intense Reference"/>
    <w:basedOn w:val="DefaultParagraphFont"/>
    <w:uiPriority w:val="32"/>
    <w:qFormat/>
    <w:rsid w:val="00613B58"/>
    <w:rPr>
      <w:b/>
      <w:bCs/>
      <w:smallCaps/>
      <w:color w:val="0F4761" w:themeColor="accent1" w:themeShade="BF"/>
      <w:spacing w:val="5"/>
    </w:rPr>
  </w:style>
  <w:style w:type="paragraph" w:styleId="NormalWeb">
    <w:name w:val="Normal (Web)"/>
    <w:basedOn w:val="Normal"/>
    <w:uiPriority w:val="99"/>
    <w:semiHidden/>
    <w:unhideWhenUsed/>
    <w:rsid w:val="009D711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hitespace-normal">
    <w:name w:val="whitespace-normal"/>
    <w:basedOn w:val="DefaultParagraphFont"/>
    <w:rsid w:val="009D711D"/>
  </w:style>
  <w:style w:type="paragraph" w:styleId="Header">
    <w:name w:val="header"/>
    <w:basedOn w:val="Normal"/>
    <w:link w:val="HeaderChar"/>
    <w:uiPriority w:val="99"/>
    <w:unhideWhenUsed/>
    <w:rsid w:val="008A5D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5D42"/>
  </w:style>
  <w:style w:type="paragraph" w:styleId="Footer">
    <w:name w:val="footer"/>
    <w:basedOn w:val="Normal"/>
    <w:link w:val="FooterChar"/>
    <w:uiPriority w:val="99"/>
    <w:unhideWhenUsed/>
    <w:rsid w:val="008A5D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5D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6A8E3E-7F7A-4637-AB62-0D3DB1078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1844</TotalTime>
  <Pages>9</Pages>
  <Words>2235</Words>
  <Characters>14440</Characters>
  <Application>Microsoft Office Word</Application>
  <DocSecurity>0</DocSecurity>
  <Lines>481</Lines>
  <Paragraphs>155</Paragraphs>
  <ScaleCrop>false</ScaleCrop>
  <Company/>
  <LinksUpToDate>false</LinksUpToDate>
  <CharactersWithSpaces>16520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Dordo Koprivica (2427812)</dc:creator>
  <cp:keywords/>
  <dc:description/>
  <cp:lastModifiedBy>Dordo Koprivica (2427812)</cp:lastModifiedBy>
  <cp:revision>16</cp:revision>
  <dcterms:created xsi:type="dcterms:W3CDTF">2026-04-29T12:28:00Z</dcterms:created>
  <dcterms:modified xsi:type="dcterms:W3CDTF">2026-05-01T09:01:00Z</dcterms:modified>
</cp:coreProperties>
</file>