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FCE04" w14:textId="76E7E57C" w:rsidR="00B108A2" w:rsidRPr="00B108A2" w:rsidRDefault="00B108A2" w:rsidP="00B108A2">
      <w:pPr>
        <w:rPr>
          <w:sz w:val="20"/>
          <w:szCs w:val="20"/>
        </w:rPr>
      </w:pPr>
      <w:r>
        <w:rPr>
          <w:noProof/>
          <w:sz w:val="32"/>
          <w:szCs w:val="32"/>
        </w:rPr>
        <w:drawing>
          <wp:inline distT="0" distB="0" distL="0" distR="0" wp14:anchorId="1E9941E0" wp14:editId="6DA8FD02">
            <wp:extent cx="1950720" cy="8477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950720" cy="847725"/>
                    </a:xfrm>
                    <a:prstGeom prst="rect">
                      <a:avLst/>
                    </a:prstGeom>
                    <a:noFill/>
                  </pic:spPr>
                </pic:pic>
              </a:graphicData>
            </a:graphic>
          </wp:inline>
        </w:drawing>
      </w:r>
      <w:r>
        <w:rPr>
          <w:sz w:val="32"/>
          <w:szCs w:val="32"/>
        </w:rPr>
        <w:t xml:space="preserve">                         </w:t>
      </w:r>
      <w:r w:rsidRPr="00B108A2">
        <w:rPr>
          <w:sz w:val="20"/>
          <w:szCs w:val="20"/>
        </w:rPr>
        <w:t xml:space="preserve">      </w:t>
      </w:r>
      <w:bookmarkStart w:id="0" w:name="_Hlk89983389"/>
      <w:r w:rsidRPr="00B108A2">
        <w:rPr>
          <w:sz w:val="20"/>
          <w:szCs w:val="20"/>
        </w:rPr>
        <w:t xml:space="preserve">BSc/HND Computing (All </w:t>
      </w:r>
      <w:r w:rsidRPr="00B108A2">
        <w:rPr>
          <w:sz w:val="20"/>
          <w:szCs w:val="20"/>
        </w:rPr>
        <w:t xml:space="preserve">Streams) </w:t>
      </w:r>
      <w:r w:rsidR="00546B15" w:rsidRPr="00546B15">
        <w:rPr>
          <w:sz w:val="20"/>
          <w:szCs w:val="20"/>
        </w:rPr>
        <w:t>ACCA4025</w:t>
      </w:r>
    </w:p>
    <w:p w14:paraId="704F113E" w14:textId="04184120" w:rsidR="00B108A2" w:rsidRPr="00B108A2" w:rsidRDefault="00B108A2" w:rsidP="00B108A2">
      <w:pPr>
        <w:rPr>
          <w:sz w:val="20"/>
          <w:szCs w:val="20"/>
        </w:rPr>
      </w:pPr>
      <w:r w:rsidRPr="00B108A2">
        <w:rPr>
          <w:sz w:val="20"/>
          <w:szCs w:val="20"/>
        </w:rPr>
        <w:t xml:space="preserve">Assessment </w:t>
      </w:r>
      <w:r w:rsidR="00E951DA">
        <w:rPr>
          <w:sz w:val="20"/>
          <w:szCs w:val="20"/>
        </w:rPr>
        <w:t>–</w:t>
      </w:r>
      <w:r w:rsidRPr="00B108A2">
        <w:rPr>
          <w:sz w:val="20"/>
          <w:szCs w:val="20"/>
        </w:rPr>
        <w:t xml:space="preserve"> </w:t>
      </w:r>
      <w:r w:rsidR="00546B15">
        <w:rPr>
          <w:sz w:val="20"/>
          <w:szCs w:val="20"/>
        </w:rPr>
        <w:t xml:space="preserve">Learning in the </w:t>
      </w:r>
      <w:r w:rsidR="00E951DA">
        <w:rPr>
          <w:sz w:val="20"/>
          <w:szCs w:val="20"/>
        </w:rPr>
        <w:t>Digital Era</w:t>
      </w:r>
    </w:p>
    <w:p w14:paraId="245574A8" w14:textId="77777777" w:rsidR="00B108A2" w:rsidRPr="00B108A2" w:rsidRDefault="00B108A2" w:rsidP="00B108A2">
      <w:pPr>
        <w:rPr>
          <w:sz w:val="20"/>
          <w:szCs w:val="20"/>
        </w:rPr>
      </w:pPr>
      <w:r w:rsidRPr="00B108A2">
        <w:rPr>
          <w:sz w:val="20"/>
          <w:szCs w:val="20"/>
        </w:rPr>
        <w:t>University of Wales Trinity Saint David, London</w:t>
      </w:r>
    </w:p>
    <w:p w14:paraId="786EDC15" w14:textId="680E7700" w:rsidR="00B108A2" w:rsidRDefault="00B108A2" w:rsidP="00B108A2">
      <w:pPr>
        <w:rPr>
          <w:sz w:val="20"/>
          <w:szCs w:val="20"/>
        </w:rPr>
      </w:pPr>
      <w:r w:rsidRPr="00B108A2">
        <w:rPr>
          <w:sz w:val="20"/>
          <w:szCs w:val="20"/>
        </w:rPr>
        <w:t>Student Name:</w:t>
      </w:r>
      <w:r>
        <w:rPr>
          <w:sz w:val="20"/>
          <w:szCs w:val="20"/>
        </w:rPr>
        <w:t xml:space="preserve"> Anca Iulia Leonte</w:t>
      </w:r>
    </w:p>
    <w:p w14:paraId="363AC881" w14:textId="1FAED27A" w:rsidR="00B108A2" w:rsidRPr="00B108A2" w:rsidRDefault="00B108A2" w:rsidP="00B108A2">
      <w:pPr>
        <w:rPr>
          <w:sz w:val="20"/>
          <w:szCs w:val="20"/>
        </w:rPr>
      </w:pPr>
      <w:r w:rsidRPr="00B108A2">
        <w:rPr>
          <w:sz w:val="20"/>
          <w:szCs w:val="20"/>
        </w:rPr>
        <w:t xml:space="preserve"> Student ID:</w:t>
      </w:r>
      <w:r w:rsidR="00E951DA">
        <w:rPr>
          <w:sz w:val="20"/>
          <w:szCs w:val="20"/>
        </w:rPr>
        <w:t xml:space="preserve"> 2112154</w:t>
      </w:r>
    </w:p>
    <w:bookmarkEnd w:id="0"/>
    <w:p w14:paraId="2A808F30" w14:textId="77777777" w:rsidR="00DB26BC" w:rsidRPr="00DB26BC" w:rsidRDefault="00DB26BC"/>
    <w:p w14:paraId="15A665A0" w14:textId="089AD06E" w:rsidR="00646F48" w:rsidRPr="00113F0F" w:rsidRDefault="00113F0F">
      <w:pPr>
        <w:rPr>
          <w:sz w:val="32"/>
          <w:szCs w:val="32"/>
        </w:rPr>
      </w:pPr>
      <w:r>
        <w:rPr>
          <w:sz w:val="32"/>
          <w:szCs w:val="32"/>
        </w:rPr>
        <w:t>End Note:</w:t>
      </w:r>
    </w:p>
    <w:p w14:paraId="532C94BF" w14:textId="77777777" w:rsidR="00113F0F" w:rsidRDefault="00113F0F" w:rsidP="00113F0F">
      <w:r>
        <w:t xml:space="preserve">In 1988, EndNote was released as a commercial product, principally through the selling of its desktop programme (currently version X8). It provides free basic </w:t>
      </w:r>
      <w:proofErr w:type="gramStart"/>
      <w:r>
        <w:t>functions,</w:t>
      </w:r>
      <w:proofErr w:type="gramEnd"/>
      <w:r>
        <w:t xml:space="preserve"> however its usefulness and capabilities are limited. There are desktop and web versions of the programme. </w:t>
      </w:r>
    </w:p>
    <w:p w14:paraId="705346E4" w14:textId="77777777" w:rsidR="00113F0F" w:rsidRDefault="00113F0F" w:rsidP="00113F0F">
      <w:r>
        <w:t>endnote, user databases, text materials, and locate full text functionality are all keywords.</w:t>
      </w:r>
    </w:p>
    <w:p w14:paraId="1B0FD6F7" w14:textId="0ABFB14B" w:rsidR="009C12A1" w:rsidRDefault="00113F0F" w:rsidP="00113F0F">
      <w:r>
        <w:t>EndNote's Capture Reference bookmarklet has fewer features than other bookmarklets. Users can also browse catalogues and search databases using the application. EndNote's Find Full Text tool allows users to search their institution's database for full-text materials. EndNote X7 or X8 users can exchange documents with up to 100 other people. It is also compatible with a mobile application, giving it a competitive advantage over other products on the market. Out of all the tools in this category, this one has the most advanced database search options.</w:t>
      </w:r>
    </w:p>
    <w:p w14:paraId="44DD36D4" w14:textId="77777777" w:rsidR="006839CD" w:rsidRDefault="006839CD" w:rsidP="00113F0F"/>
    <w:p w14:paraId="2454EC41" w14:textId="18031D67" w:rsidR="006839CD" w:rsidRDefault="006839CD" w:rsidP="00113F0F">
      <w:r>
        <w:rPr>
          <w:noProof/>
        </w:rPr>
        <w:drawing>
          <wp:inline distT="0" distB="0" distL="0" distR="0" wp14:anchorId="3CD0C8BC" wp14:editId="349B8ECA">
            <wp:extent cx="5980624" cy="3206408"/>
            <wp:effectExtent l="0" t="0" r="127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95040" cy="3214137"/>
                    </a:xfrm>
                    <a:prstGeom prst="rect">
                      <a:avLst/>
                    </a:prstGeom>
                    <a:noFill/>
                  </pic:spPr>
                </pic:pic>
              </a:graphicData>
            </a:graphic>
          </wp:inline>
        </w:drawing>
      </w:r>
    </w:p>
    <w:p w14:paraId="59CB6A08" w14:textId="16B3EA32" w:rsidR="00113F0F" w:rsidRDefault="00113F0F" w:rsidP="00113F0F"/>
    <w:p w14:paraId="0F2C4374" w14:textId="22747897" w:rsidR="006839CD" w:rsidRDefault="006839CD" w:rsidP="00113F0F"/>
    <w:p w14:paraId="6942F672" w14:textId="48F56498" w:rsidR="006839CD" w:rsidRDefault="006839CD" w:rsidP="00113F0F"/>
    <w:p w14:paraId="0920F00B" w14:textId="4FA57AC9" w:rsidR="006839CD" w:rsidRDefault="006839CD" w:rsidP="00113F0F"/>
    <w:p w14:paraId="1A6451FB" w14:textId="15A9BF50" w:rsidR="006839CD" w:rsidRDefault="006839CD" w:rsidP="00113F0F"/>
    <w:p w14:paraId="2C1D0B39" w14:textId="71445528" w:rsidR="006839CD" w:rsidRDefault="006839CD" w:rsidP="00113F0F"/>
    <w:p w14:paraId="6583DC5C" w14:textId="0EA9A6F1" w:rsidR="006839CD" w:rsidRDefault="006839CD" w:rsidP="00113F0F"/>
    <w:p w14:paraId="1D762626" w14:textId="58A234ED" w:rsidR="006839CD" w:rsidRDefault="006839CD" w:rsidP="00113F0F"/>
    <w:p w14:paraId="61D55FFB" w14:textId="77777777" w:rsidR="006839CD" w:rsidRDefault="006839CD" w:rsidP="00113F0F"/>
    <w:p w14:paraId="72CCB8B2" w14:textId="32D68A1D" w:rsidR="00113F0F" w:rsidRDefault="00113F0F" w:rsidP="00113F0F"/>
    <w:p w14:paraId="6B7D4157" w14:textId="732DC3CA" w:rsidR="00113F0F" w:rsidRPr="00113F0F" w:rsidRDefault="00113F0F" w:rsidP="00113F0F">
      <w:pPr>
        <w:rPr>
          <w:sz w:val="32"/>
          <w:szCs w:val="32"/>
        </w:rPr>
      </w:pPr>
      <w:r>
        <w:rPr>
          <w:sz w:val="32"/>
          <w:szCs w:val="32"/>
        </w:rPr>
        <w:t>RefWorks:</w:t>
      </w:r>
    </w:p>
    <w:p w14:paraId="349770F0" w14:textId="77777777" w:rsidR="00113F0F" w:rsidRDefault="00113F0F" w:rsidP="00113F0F">
      <w:proofErr w:type="spellStart"/>
      <w:r>
        <w:t>refworks</w:t>
      </w:r>
      <w:proofErr w:type="spellEnd"/>
      <w:r>
        <w:t xml:space="preserve">, search results, library catalogues, users, and institutional administrators are all keywords. </w:t>
      </w:r>
    </w:p>
    <w:p w14:paraId="30D47530" w14:textId="77777777" w:rsidR="00113F0F" w:rsidRDefault="00113F0F" w:rsidP="00113F0F"/>
    <w:p w14:paraId="4C7C3F19" w14:textId="4F89AC71" w:rsidR="00113F0F" w:rsidRDefault="00113F0F" w:rsidP="00113F0F">
      <w:proofErr w:type="spellStart"/>
      <w:r>
        <w:t>ReferWorks</w:t>
      </w:r>
      <w:proofErr w:type="spellEnd"/>
      <w:r>
        <w:t xml:space="preserve"> was originally implemented in libraries in 2001. The whole thing is done through the internet. RefWorks does not have a mobile app, despite being mobile-friendly. RefWorks allows users to upload results from specified searches in addition to searching databases and library catalogues directly within the programme. PubMed and the Library of Congress are the sole search choices on RefWorks. At least one citation must be added into the document to construct a </w:t>
      </w:r>
      <w:proofErr w:type="gramStart"/>
      <w:r>
        <w:t>bibliography, and</w:t>
      </w:r>
      <w:proofErr w:type="gramEnd"/>
      <w:r>
        <w:t xml:space="preserve"> adding more than one citation assures that the material is accessible. Using RefWorks, administrators can </w:t>
      </w:r>
      <w:proofErr w:type="gramStart"/>
      <w:r>
        <w:t>configure  Link</w:t>
      </w:r>
      <w:proofErr w:type="gramEnd"/>
      <w:r>
        <w:t xml:space="preserve"> resolvers for all users at the university. One of </w:t>
      </w:r>
      <w:proofErr w:type="spellStart"/>
      <w:r>
        <w:t>ReferWorks</w:t>
      </w:r>
      <w:proofErr w:type="spellEnd"/>
      <w:r>
        <w:t>' unique features is a Google Docs plug-in, which is particularly valuable in higher education institutions where students rely significantly on Google resources.</w:t>
      </w:r>
    </w:p>
    <w:p w14:paraId="6FA93D78" w14:textId="4AA81D4E" w:rsidR="006839CD" w:rsidRDefault="006839CD" w:rsidP="00113F0F"/>
    <w:p w14:paraId="2E7904CA" w14:textId="4B798AE0" w:rsidR="006839CD" w:rsidRDefault="00112982" w:rsidP="00113F0F">
      <w:r>
        <w:rPr>
          <w:noProof/>
        </w:rPr>
        <w:drawing>
          <wp:inline distT="0" distB="0" distL="0" distR="0" wp14:anchorId="00875AEA" wp14:editId="538FB758">
            <wp:extent cx="5248275" cy="26384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48275" cy="2638425"/>
                    </a:xfrm>
                    <a:prstGeom prst="rect">
                      <a:avLst/>
                    </a:prstGeom>
                    <a:noFill/>
                  </pic:spPr>
                </pic:pic>
              </a:graphicData>
            </a:graphic>
          </wp:inline>
        </w:drawing>
      </w:r>
    </w:p>
    <w:p w14:paraId="30D06933" w14:textId="77777777" w:rsidR="006839CD" w:rsidRDefault="006839CD" w:rsidP="00113F0F"/>
    <w:p w14:paraId="3ECA682C" w14:textId="77777777" w:rsidR="006839CD" w:rsidRDefault="006839CD" w:rsidP="00113F0F"/>
    <w:p w14:paraId="24430984" w14:textId="253D2996" w:rsidR="006839CD" w:rsidRDefault="006839CD" w:rsidP="00113F0F"/>
    <w:p w14:paraId="2EACEBDC" w14:textId="3DBD21D5" w:rsidR="00113F0F" w:rsidRDefault="00113F0F" w:rsidP="00113F0F"/>
    <w:p w14:paraId="1BC7AF30" w14:textId="758D2E17" w:rsidR="00113F0F" w:rsidRDefault="00113F0F" w:rsidP="00113F0F"/>
    <w:p w14:paraId="442E28B5" w14:textId="39DC8770" w:rsidR="006839CD" w:rsidRDefault="006839CD" w:rsidP="00113F0F"/>
    <w:p w14:paraId="5C44ABCD" w14:textId="517FC8B0" w:rsidR="006839CD" w:rsidRDefault="006839CD" w:rsidP="00113F0F"/>
    <w:p w14:paraId="2E42F363" w14:textId="597FE292" w:rsidR="006839CD" w:rsidRDefault="006839CD" w:rsidP="00113F0F"/>
    <w:p w14:paraId="1A23F16E" w14:textId="6FF1BC22" w:rsidR="006839CD" w:rsidRDefault="006839CD" w:rsidP="00113F0F"/>
    <w:p w14:paraId="27CB66E1" w14:textId="41368966" w:rsidR="006839CD" w:rsidRDefault="006839CD" w:rsidP="00113F0F"/>
    <w:p w14:paraId="6441E8B7" w14:textId="77777777" w:rsidR="006839CD" w:rsidRDefault="006839CD" w:rsidP="00113F0F"/>
    <w:p w14:paraId="35FA529D" w14:textId="04DB15E6" w:rsidR="00113F0F" w:rsidRDefault="00113F0F" w:rsidP="00113F0F">
      <w:pPr>
        <w:rPr>
          <w:sz w:val="32"/>
          <w:szCs w:val="32"/>
        </w:rPr>
      </w:pPr>
      <w:r>
        <w:rPr>
          <w:sz w:val="32"/>
          <w:szCs w:val="32"/>
        </w:rPr>
        <w:t>Mendeley:</w:t>
      </w:r>
    </w:p>
    <w:p w14:paraId="13F98210" w14:textId="77777777" w:rsidR="00113F0F" w:rsidRDefault="00113F0F" w:rsidP="00113F0F">
      <w:r>
        <w:t xml:space="preserve">Mendeley, references, online versions, collection, digital item are all keywords. </w:t>
      </w:r>
    </w:p>
    <w:p w14:paraId="15506230" w14:textId="0272387D" w:rsidR="006839CD" w:rsidRDefault="00113F0F" w:rsidP="00113F0F">
      <w:r>
        <w:t xml:space="preserve">Mendeley released this online and desktop citation management in 2008. It operates as a research network as well as a social networking platform. A PubMed ID (PMID), a digital object ID (DOI), or an </w:t>
      </w:r>
      <w:proofErr w:type="spellStart"/>
      <w:r>
        <w:t>ArXiv</w:t>
      </w:r>
      <w:proofErr w:type="spellEnd"/>
      <w:r>
        <w:t xml:space="preserve"> ID can be used to add references to Mendeley. Mendeley's online edition allows users to import and search reference data from Mendeley's online catalogue, which includes a list of all the references that each Mendeley user has uploaded to their personal library. As a result, offline access to Mendeley collections and documents is possible.</w:t>
      </w:r>
    </w:p>
    <w:p w14:paraId="4CE7DF91" w14:textId="77777777" w:rsidR="00112982" w:rsidRDefault="00112982" w:rsidP="00113F0F"/>
    <w:p w14:paraId="2592DD4E" w14:textId="71CCA464" w:rsidR="00113F0F" w:rsidRDefault="006839CD" w:rsidP="00113F0F">
      <w:r>
        <w:rPr>
          <w:noProof/>
        </w:rPr>
        <w:drawing>
          <wp:inline distT="0" distB="0" distL="0" distR="0" wp14:anchorId="19CF50A1" wp14:editId="73AE40AE">
            <wp:extent cx="5699125" cy="3635940"/>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07862" cy="3641514"/>
                    </a:xfrm>
                    <a:prstGeom prst="rect">
                      <a:avLst/>
                    </a:prstGeom>
                    <a:noFill/>
                  </pic:spPr>
                </pic:pic>
              </a:graphicData>
            </a:graphic>
          </wp:inline>
        </w:drawing>
      </w:r>
    </w:p>
    <w:p w14:paraId="63A2C950" w14:textId="1F08E7AD" w:rsidR="00113F0F" w:rsidRDefault="00113F0F" w:rsidP="00113F0F"/>
    <w:p w14:paraId="33AC949E" w14:textId="7ECE30C9" w:rsidR="00112982" w:rsidRDefault="00112982" w:rsidP="00113F0F"/>
    <w:p w14:paraId="4732827C" w14:textId="77C4A570" w:rsidR="00112982" w:rsidRDefault="00112982" w:rsidP="00113F0F"/>
    <w:p w14:paraId="4E0BA416" w14:textId="2FA2B723" w:rsidR="00112982" w:rsidRDefault="00112982" w:rsidP="00113F0F"/>
    <w:p w14:paraId="105876B6" w14:textId="2CCED20D" w:rsidR="00112982" w:rsidRDefault="00112982" w:rsidP="00113F0F"/>
    <w:p w14:paraId="155CFD77" w14:textId="2B746F4F" w:rsidR="00112982" w:rsidRDefault="00112982" w:rsidP="00113F0F"/>
    <w:p w14:paraId="2CDF0291" w14:textId="77777777" w:rsidR="00112982" w:rsidRDefault="00112982" w:rsidP="00113F0F"/>
    <w:p w14:paraId="03871A96" w14:textId="5F8058E4" w:rsidR="00113F0F" w:rsidRPr="00113F0F" w:rsidRDefault="00113F0F" w:rsidP="00113F0F">
      <w:pPr>
        <w:rPr>
          <w:sz w:val="32"/>
          <w:szCs w:val="32"/>
        </w:rPr>
      </w:pPr>
      <w:r>
        <w:rPr>
          <w:sz w:val="32"/>
          <w:szCs w:val="32"/>
        </w:rPr>
        <w:t>Zotero:</w:t>
      </w:r>
    </w:p>
    <w:p w14:paraId="4D2A66F5" w14:textId="7711DE39" w:rsidR="00113F0F" w:rsidRDefault="00113F0F" w:rsidP="00113F0F">
      <w:proofErr w:type="spellStart"/>
      <w:r>
        <w:t>zotero</w:t>
      </w:r>
      <w:proofErr w:type="spellEnd"/>
      <w:r>
        <w:t xml:space="preserve">, standalone package, and pdfs are some of the keywords. </w:t>
      </w:r>
    </w:p>
    <w:p w14:paraId="6271B663" w14:textId="1DA65D29" w:rsidR="00113F0F" w:rsidRDefault="00113F0F" w:rsidP="00113F0F">
      <w:r>
        <w:t>In 2006, it was first launched as a Firefox extension, but it was later released as a standalone programme. A single installation application is now available. To utilise the add-on, you'll need a desktop version of Zotero. Users can annotate PDFs in other applications and save them to Zotero in addition to opening them in Zotero. Zotero allows you to establish both public and private groups. This programme is provided for free on GitHub under the AGPLv3 licence</w:t>
      </w:r>
    </w:p>
    <w:p w14:paraId="1250AB1D" w14:textId="3BC13A5F" w:rsidR="00112982" w:rsidRDefault="00112982" w:rsidP="00113F0F"/>
    <w:p w14:paraId="7EE9293F" w14:textId="51E054D1" w:rsidR="00112982" w:rsidRDefault="00112982" w:rsidP="00113F0F"/>
    <w:p w14:paraId="2622A461" w14:textId="1A08D789" w:rsidR="00112982" w:rsidRDefault="00112982" w:rsidP="00113F0F"/>
    <w:p w14:paraId="60416262" w14:textId="47682B9C" w:rsidR="00112982" w:rsidRDefault="00112982" w:rsidP="00113F0F"/>
    <w:p w14:paraId="025DC9A1" w14:textId="77777777" w:rsidR="00112982" w:rsidRDefault="00112982" w:rsidP="00113F0F"/>
    <w:p w14:paraId="4EB1C046" w14:textId="7131D0AA" w:rsidR="00112982" w:rsidRDefault="00112982" w:rsidP="00113F0F">
      <w:r>
        <w:rPr>
          <w:noProof/>
        </w:rPr>
        <w:drawing>
          <wp:inline distT="0" distB="0" distL="0" distR="0" wp14:anchorId="3013097D" wp14:editId="208B675C">
            <wp:extent cx="6299200" cy="3543300"/>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10196" cy="3549485"/>
                    </a:xfrm>
                    <a:prstGeom prst="rect">
                      <a:avLst/>
                    </a:prstGeom>
                    <a:noFill/>
                  </pic:spPr>
                </pic:pic>
              </a:graphicData>
            </a:graphic>
          </wp:inline>
        </w:drawing>
      </w:r>
    </w:p>
    <w:p w14:paraId="5EB703FF" w14:textId="2E2147C5" w:rsidR="00113F0F" w:rsidRDefault="00113F0F" w:rsidP="00113F0F"/>
    <w:p w14:paraId="0D8FBB27" w14:textId="77777777" w:rsidR="00112982" w:rsidRDefault="00112982" w:rsidP="00113F0F"/>
    <w:p w14:paraId="786FE8FE" w14:textId="77777777" w:rsidR="00112982" w:rsidRDefault="00112982" w:rsidP="00113F0F"/>
    <w:p w14:paraId="53FAF70E" w14:textId="77777777" w:rsidR="00112982" w:rsidRDefault="00112982" w:rsidP="00113F0F"/>
    <w:p w14:paraId="2855F5C1" w14:textId="77777777" w:rsidR="00112982" w:rsidRDefault="00112982" w:rsidP="00113F0F"/>
    <w:p w14:paraId="17C3DE48" w14:textId="77777777" w:rsidR="00112982" w:rsidRDefault="00112982" w:rsidP="00113F0F"/>
    <w:p w14:paraId="584EE877" w14:textId="77777777" w:rsidR="00112982" w:rsidRDefault="00112982" w:rsidP="00113F0F"/>
    <w:p w14:paraId="35901B00" w14:textId="77777777" w:rsidR="00112982" w:rsidRDefault="00112982" w:rsidP="00113F0F"/>
    <w:p w14:paraId="6D9DD7B9" w14:textId="77777777" w:rsidR="00112982" w:rsidRDefault="00112982" w:rsidP="00113F0F"/>
    <w:p w14:paraId="059F168D" w14:textId="77777777" w:rsidR="00112982" w:rsidRDefault="00112982" w:rsidP="00113F0F"/>
    <w:p w14:paraId="17791F2E" w14:textId="5B69D1B6" w:rsidR="00113F0F" w:rsidRDefault="00113F0F" w:rsidP="00113F0F">
      <w:r>
        <w:t>References</w:t>
      </w:r>
    </w:p>
    <w:p w14:paraId="1CADE228" w14:textId="77777777" w:rsidR="00113F0F" w:rsidRDefault="00113F0F" w:rsidP="00113F0F">
      <w:r>
        <w:t xml:space="preserve"> </w:t>
      </w:r>
    </w:p>
    <w:p w14:paraId="55C9E615" w14:textId="77777777" w:rsidR="00113F0F" w:rsidRDefault="00113F0F" w:rsidP="00113F0F">
      <w:r>
        <w:t>[1]</w:t>
      </w:r>
    </w:p>
    <w:p w14:paraId="3D8C8D65" w14:textId="77777777" w:rsidR="00113F0F" w:rsidRDefault="00113F0F" w:rsidP="00113F0F">
      <w:r>
        <w:t>“RefWorks,” Exlibrisgroup.com, 21-Feb-2018. [Online]. Available: https://knowledge.exlibrisgroup.com/RefWorks. [Accessed: 08-Jul-2021].</w:t>
      </w:r>
    </w:p>
    <w:p w14:paraId="54192665" w14:textId="77777777" w:rsidR="00113F0F" w:rsidRDefault="00113F0F" w:rsidP="00113F0F">
      <w:r>
        <w:t>[2]</w:t>
      </w:r>
    </w:p>
    <w:p w14:paraId="63E2CE33" w14:textId="77777777" w:rsidR="00113F0F" w:rsidRDefault="00113F0F" w:rsidP="00113F0F">
      <w:r>
        <w:t xml:space="preserve">C. Ivey and J. Crum, “Choosing the right citation management tool: EndNote, Mendeley, RefWorks, or Zotero,” J. Med. </w:t>
      </w:r>
      <w:proofErr w:type="spellStart"/>
      <w:r>
        <w:t>Libr</w:t>
      </w:r>
      <w:proofErr w:type="spellEnd"/>
      <w:r>
        <w:t>. Assoc., vol. 106, no. 3, p. 399, 2018.</w:t>
      </w:r>
    </w:p>
    <w:p w14:paraId="0F0D6EBF" w14:textId="77777777" w:rsidR="00113F0F" w:rsidRDefault="00113F0F" w:rsidP="00113F0F">
      <w:r>
        <w:t>[3]</w:t>
      </w:r>
    </w:p>
    <w:p w14:paraId="115E3E4D" w14:textId="77777777" w:rsidR="00113F0F" w:rsidRDefault="00113F0F" w:rsidP="00113F0F">
      <w:r>
        <w:t xml:space="preserve">C. J. Vaughn, “Citation Management: RefWorks,” J. electron. </w:t>
      </w:r>
      <w:proofErr w:type="spellStart"/>
      <w:r>
        <w:t>resour</w:t>
      </w:r>
      <w:proofErr w:type="spellEnd"/>
      <w:r>
        <w:t xml:space="preserve">. med. </w:t>
      </w:r>
      <w:proofErr w:type="spellStart"/>
      <w:r>
        <w:t>libr</w:t>
      </w:r>
      <w:proofErr w:type="spellEnd"/>
      <w:r>
        <w:t>., vol. 10, no. 1, pp. 25–31, 2013.</w:t>
      </w:r>
    </w:p>
    <w:p w14:paraId="6788CA31" w14:textId="77777777" w:rsidR="00113F0F" w:rsidRDefault="00113F0F" w:rsidP="00113F0F">
      <w:r>
        <w:t>[4]</w:t>
      </w:r>
    </w:p>
    <w:p w14:paraId="05C198D0" w14:textId="77777777" w:rsidR="00113F0F" w:rsidRDefault="00113F0F" w:rsidP="00113F0F">
      <w:r>
        <w:t xml:space="preserve">L. P. Robbins, “Mendeley or </w:t>
      </w:r>
      <w:proofErr w:type="spellStart"/>
      <w:r>
        <w:t>zotero</w:t>
      </w:r>
      <w:proofErr w:type="spellEnd"/>
      <w:r>
        <w:t xml:space="preserve">: Which should the mobile researcher </w:t>
      </w:r>
      <w:proofErr w:type="gramStart"/>
      <w:r>
        <w:t>use?,</w:t>
      </w:r>
      <w:proofErr w:type="gramEnd"/>
      <w:r>
        <w:t xml:space="preserve">” </w:t>
      </w:r>
      <w:proofErr w:type="spellStart"/>
      <w:r>
        <w:t>Charlest</w:t>
      </w:r>
      <w:proofErr w:type="spellEnd"/>
      <w:r>
        <w:t xml:space="preserve">. </w:t>
      </w:r>
      <w:proofErr w:type="spellStart"/>
      <w:r>
        <w:t>advis</w:t>
      </w:r>
      <w:proofErr w:type="spellEnd"/>
      <w:r>
        <w:t>., vol. 14, no. 2, pp. 5–11, 2012.</w:t>
      </w:r>
    </w:p>
    <w:p w14:paraId="6F102353" w14:textId="77777777" w:rsidR="00113F0F" w:rsidRDefault="00113F0F" w:rsidP="00113F0F">
      <w:r>
        <w:t>[5]</w:t>
      </w:r>
    </w:p>
    <w:p w14:paraId="59281718" w14:textId="77777777" w:rsidR="00113F0F" w:rsidRDefault="00113F0F" w:rsidP="00113F0F">
      <w:r>
        <w:t>J. Shin, “Mendeley mobile: Powerful cloud-based article and reference management in your pocket,” J. Digit. Imaging, vol. 29, no. 6, pp. 635–637, 2016.</w:t>
      </w:r>
    </w:p>
    <w:p w14:paraId="720ADBF1" w14:textId="77777777" w:rsidR="00113F0F" w:rsidRDefault="00113F0F" w:rsidP="00113F0F">
      <w:r>
        <w:t>[6]</w:t>
      </w:r>
    </w:p>
    <w:p w14:paraId="4DCB2D41" w14:textId="3F249A8D" w:rsidR="00113F0F" w:rsidRDefault="00113F0F" w:rsidP="00113F0F">
      <w:r>
        <w:t xml:space="preserve">J. D. </w:t>
      </w:r>
      <w:proofErr w:type="spellStart"/>
      <w:r>
        <w:t>Murimboh</w:t>
      </w:r>
      <w:proofErr w:type="spellEnd"/>
      <w:r>
        <w:t xml:space="preserve"> and C. R. </w:t>
      </w:r>
      <w:proofErr w:type="spellStart"/>
      <w:r>
        <w:t>Hollingdale</w:t>
      </w:r>
      <w:proofErr w:type="spellEnd"/>
      <w:r>
        <w:t>, “Zotero: A reference manager for everyone,” J. Chem. Educ., vol. 89, no. 1, pp. 173–174, 2012.</w:t>
      </w:r>
    </w:p>
    <w:p w14:paraId="773C3416" w14:textId="78A66C99" w:rsidR="00E43BF0" w:rsidRDefault="00E43BF0" w:rsidP="00113F0F"/>
    <w:p w14:paraId="23A12631" w14:textId="0E20E9A3" w:rsidR="00E43BF0" w:rsidRDefault="00E43BF0" w:rsidP="00113F0F">
      <w:r>
        <w:t>[Online E Portfolio]</w:t>
      </w:r>
    </w:p>
    <w:p w14:paraId="1FAFCC49" w14:textId="4C678621" w:rsidR="00E43BF0" w:rsidRDefault="00E43BF0" w:rsidP="00113F0F">
      <w:hyperlink r:id="rId9" w:history="1">
        <w:r w:rsidRPr="00905C4C">
          <w:rPr>
            <w:rStyle w:val="Hyperlink"/>
          </w:rPr>
          <w:t>https://sites.google.com/d/1nSyM8Bwp2OkG348KccLUwycMq1daYCOn/p/1kIsKHMkoQyLmSTJFfEgluqgt6kS86U6P/edit</w:t>
        </w:r>
      </w:hyperlink>
    </w:p>
    <w:p w14:paraId="5855FAF1" w14:textId="77777777" w:rsidR="00E43BF0" w:rsidRPr="00113F0F" w:rsidRDefault="00E43BF0" w:rsidP="00113F0F"/>
    <w:sectPr w:rsidR="00E43BF0" w:rsidRPr="00113F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2A1"/>
    <w:rsid w:val="000C60DE"/>
    <w:rsid w:val="00112982"/>
    <w:rsid w:val="00113F0F"/>
    <w:rsid w:val="003204C8"/>
    <w:rsid w:val="0036680D"/>
    <w:rsid w:val="00546B15"/>
    <w:rsid w:val="00596815"/>
    <w:rsid w:val="005E2B04"/>
    <w:rsid w:val="00646F48"/>
    <w:rsid w:val="006839CD"/>
    <w:rsid w:val="008C2AFE"/>
    <w:rsid w:val="009C12A1"/>
    <w:rsid w:val="00B108A2"/>
    <w:rsid w:val="00DB26BC"/>
    <w:rsid w:val="00DC3A8B"/>
    <w:rsid w:val="00E43BF0"/>
    <w:rsid w:val="00E95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61118"/>
  <w15:chartTrackingRefBased/>
  <w15:docId w15:val="{B9B95B24-ED60-4497-8F62-3745AD3DFF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680D"/>
    <w:rPr>
      <w:color w:val="0563C1" w:themeColor="hyperlink"/>
      <w:u w:val="single"/>
    </w:rPr>
  </w:style>
  <w:style w:type="character" w:styleId="UnresolvedMention">
    <w:name w:val="Unresolved Mention"/>
    <w:basedOn w:val="DefaultParagraphFont"/>
    <w:uiPriority w:val="99"/>
    <w:semiHidden/>
    <w:unhideWhenUsed/>
    <w:rsid w:val="003668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sites.google.com/d/1nSyM8Bwp2OkG348KccLUwycMq1daYCOn/p/1kIsKHMkoQyLmSTJFfEgluqgt6kS86U6P/ed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662</Words>
  <Characters>3778</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Iulia Leonte (2112154)</dc:creator>
  <cp:keywords/>
  <dc:description/>
  <cp:lastModifiedBy>Anca Iulia Leonte (2112154)</cp:lastModifiedBy>
  <cp:revision>2</cp:revision>
  <dcterms:created xsi:type="dcterms:W3CDTF">2021-12-09T23:21:00Z</dcterms:created>
  <dcterms:modified xsi:type="dcterms:W3CDTF">2021-12-09T23:21:00Z</dcterms:modified>
</cp:coreProperties>
</file>