
<file path=[Content_Types].xml><?xml version="1.0" encoding="utf-8"?>
<Types xmlns="http://schemas.openxmlformats.org/package/2006/content-types">
  <Default Extension="rels" ContentType="application/vnd.openxmlformats-package.relationships+xml"/>
  <Default Extension="tmp" ContentType="image/png"/>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chart2.xml" ContentType="application/vnd.openxmlformats-officedocument.drawingml.chart+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2BAF3DD" w14:textId="77777777" w:rsidR="009638B5" w:rsidRDefault="009638B5" w:rsidP="009638B5">
      <w:r>
        <w:rPr>
          <w:noProof/>
        </w:rPr>
        <w:drawing>
          <wp:inline distT="0" distB="0" distL="0" distR="0" wp14:anchorId="0B53471B" wp14:editId="14DB7CCD">
            <wp:extent cx="1695687" cy="666843"/>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pic:cNvPicPr/>
                  </pic:nvPicPr>
                  <pic:blipFill>
                    <a:blip r:embed="rId8"/>
                    <a:stretch>
                      <a:fillRect/>
                    </a:stretch>
                  </pic:blipFill>
                  <pic:spPr>
                    <a:xfrm>
                      <a:off x="0" y="0"/>
                      <a:ext cx="1695687" cy="666843"/>
                    </a:xfrm>
                    <a:prstGeom prst="rect">
                      <a:avLst/>
                    </a:prstGeom>
                  </pic:spPr>
                </pic:pic>
              </a:graphicData>
            </a:graphic>
          </wp:inline>
        </w:drawing>
      </w:r>
    </w:p>
    <w:p w14:paraId="092A69B0" w14:textId="77777777" w:rsidR="009638B5" w:rsidRPr="005E5382" w:rsidRDefault="009638B5" w:rsidP="009638B5">
      <w:pPr>
        <w:rPr>
          <w:color w:val="000000" w:themeColor="text1"/>
        </w:rPr>
      </w:pPr>
    </w:p>
    <w:p w14:paraId="3B2536EA" w14:textId="77777777" w:rsidR="009638B5" w:rsidRPr="005E5382" w:rsidRDefault="009638B5" w:rsidP="009638B5">
      <w:pPr>
        <w:spacing w:after="800"/>
        <w:jc w:val="center"/>
        <w:rPr>
          <w:color w:val="000000" w:themeColor="text1"/>
        </w:rPr>
      </w:pPr>
      <w:r w:rsidRPr="005E5382">
        <w:rPr>
          <w:color w:val="000000" w:themeColor="text1"/>
        </w:rPr>
        <w:t>BA (Hons) Leadership and Management Skills for the Workplace</w:t>
      </w:r>
    </w:p>
    <w:p w14:paraId="1DB88EC5" w14:textId="77777777" w:rsidR="009638B5" w:rsidRDefault="009638B5" w:rsidP="009638B5">
      <w:pPr>
        <w:spacing w:after="80"/>
        <w:jc w:val="center"/>
      </w:pPr>
      <w:r>
        <w:rPr>
          <w:b/>
          <w:sz w:val="26"/>
        </w:rPr>
        <w:t>Module: LCLM 5005 — Organisational Culture</w:t>
      </w:r>
    </w:p>
    <w:p w14:paraId="4E0FF502" w14:textId="77777777" w:rsidR="005E5382" w:rsidRDefault="005E5382" w:rsidP="009638B5">
      <w:pPr>
        <w:spacing w:after="80"/>
        <w:jc w:val="center"/>
      </w:pPr>
    </w:p>
    <w:p w14:paraId="4761E19D" w14:textId="40F33A4A" w:rsidR="009638B5" w:rsidRPr="005E5382" w:rsidRDefault="009638B5" w:rsidP="009638B5">
      <w:pPr>
        <w:spacing w:after="80"/>
        <w:jc w:val="center"/>
        <w:rPr>
          <w:color w:val="000000" w:themeColor="text1"/>
        </w:rPr>
      </w:pPr>
      <w:r w:rsidRPr="005E5382">
        <w:rPr>
          <w:b/>
          <w:color w:val="000000" w:themeColor="text1"/>
          <w:sz w:val="36"/>
        </w:rPr>
        <w:t>A Critical Evaluation of Organisational Culture</w:t>
      </w:r>
    </w:p>
    <w:p w14:paraId="0E4DCD03" w14:textId="431A9323" w:rsidR="009638B5" w:rsidRPr="005E5382" w:rsidRDefault="009638B5" w:rsidP="005E5382">
      <w:pPr>
        <w:spacing w:after="160"/>
        <w:jc w:val="center"/>
        <w:rPr>
          <w:color w:val="000000" w:themeColor="text1"/>
        </w:rPr>
      </w:pPr>
      <w:r w:rsidRPr="005E5382">
        <w:rPr>
          <w:b/>
          <w:color w:val="000000" w:themeColor="text1"/>
          <w:sz w:val="36"/>
        </w:rPr>
        <w:t>at the John Lewis Partnership</w:t>
      </w:r>
    </w:p>
    <w:p w14:paraId="1B250236" w14:textId="77777777" w:rsidR="005E5382" w:rsidRDefault="005E5382" w:rsidP="005E5382">
      <w:pPr>
        <w:spacing w:after="160"/>
        <w:jc w:val="center"/>
      </w:pPr>
    </w:p>
    <w:tbl>
      <w:tblPr>
        <w:tblW w:w="0" w:type="auto"/>
        <w:jc w:val="center"/>
        <w:tblLayout w:type="fixed"/>
        <w:tblLook w:val="04A0" w:firstRow="1" w:lastRow="0" w:firstColumn="1" w:lastColumn="0" w:noHBand="0" w:noVBand="1"/>
      </w:tblPr>
      <w:tblGrid>
        <w:gridCol w:w="3118"/>
        <w:gridCol w:w="4819"/>
      </w:tblGrid>
      <w:tr w:rsidR="009638B5" w14:paraId="13A4BB23" w14:textId="77777777" w:rsidTr="004D772A">
        <w:trPr>
          <w:jc w:val="center"/>
        </w:trPr>
        <w:tc>
          <w:tcPr>
            <w:tcW w:w="3118" w:type="dxa"/>
            <w:tcBorders>
              <w:top w:val="single" w:sz="6" w:space="0" w:color="9DB5C9"/>
              <w:left w:val="single" w:sz="6" w:space="0" w:color="9DB5C9"/>
              <w:bottom w:val="single" w:sz="6" w:space="0" w:color="9DB5C9"/>
              <w:right w:val="single" w:sz="6" w:space="0" w:color="9DB5C9"/>
            </w:tcBorders>
            <w:vAlign w:val="center"/>
          </w:tcPr>
          <w:p w14:paraId="59BEA782" w14:textId="77777777" w:rsidR="009638B5" w:rsidRDefault="009638B5" w:rsidP="004D772A">
            <w:r>
              <w:rPr>
                <w:b/>
                <w:sz w:val="22"/>
              </w:rPr>
              <w:t>Student Name:</w:t>
            </w:r>
          </w:p>
        </w:tc>
        <w:tc>
          <w:tcPr>
            <w:tcW w:w="4819" w:type="dxa"/>
            <w:tcBorders>
              <w:top w:val="single" w:sz="6" w:space="0" w:color="9DB5C9"/>
              <w:left w:val="single" w:sz="6" w:space="0" w:color="9DB5C9"/>
              <w:bottom w:val="single" w:sz="6" w:space="0" w:color="9DB5C9"/>
              <w:right w:val="single" w:sz="6" w:space="0" w:color="9DB5C9"/>
            </w:tcBorders>
            <w:vAlign w:val="center"/>
          </w:tcPr>
          <w:p w14:paraId="022D01A5" w14:textId="77777777" w:rsidR="009638B5" w:rsidRDefault="009638B5" w:rsidP="004D772A">
            <w:r w:rsidRPr="009652C2">
              <w:t>Omima Suliman</w:t>
            </w:r>
          </w:p>
        </w:tc>
      </w:tr>
      <w:tr w:rsidR="009638B5" w14:paraId="335C56A0" w14:textId="77777777" w:rsidTr="004D772A">
        <w:trPr>
          <w:jc w:val="center"/>
        </w:trPr>
        <w:tc>
          <w:tcPr>
            <w:tcW w:w="3118" w:type="dxa"/>
            <w:tcBorders>
              <w:top w:val="single" w:sz="6" w:space="0" w:color="9DB5C9"/>
              <w:left w:val="single" w:sz="6" w:space="0" w:color="9DB5C9"/>
              <w:bottom w:val="single" w:sz="6" w:space="0" w:color="9DB5C9"/>
              <w:right w:val="single" w:sz="6" w:space="0" w:color="9DB5C9"/>
            </w:tcBorders>
            <w:vAlign w:val="center"/>
          </w:tcPr>
          <w:p w14:paraId="31ABD6EE" w14:textId="77777777" w:rsidR="009638B5" w:rsidRDefault="009638B5" w:rsidP="004D772A">
            <w:r>
              <w:rPr>
                <w:b/>
                <w:sz w:val="22"/>
              </w:rPr>
              <w:t>Student ID:</w:t>
            </w:r>
          </w:p>
        </w:tc>
        <w:tc>
          <w:tcPr>
            <w:tcW w:w="4819" w:type="dxa"/>
            <w:tcBorders>
              <w:top w:val="single" w:sz="6" w:space="0" w:color="9DB5C9"/>
              <w:left w:val="single" w:sz="6" w:space="0" w:color="9DB5C9"/>
              <w:bottom w:val="single" w:sz="6" w:space="0" w:color="9DB5C9"/>
              <w:right w:val="single" w:sz="6" w:space="0" w:color="9DB5C9"/>
            </w:tcBorders>
            <w:vAlign w:val="center"/>
          </w:tcPr>
          <w:p w14:paraId="28612F32" w14:textId="33BDF4F5" w:rsidR="009638B5" w:rsidRDefault="005E5382" w:rsidP="004D772A">
            <w:r>
              <w:t>2325135</w:t>
            </w:r>
          </w:p>
        </w:tc>
      </w:tr>
      <w:tr w:rsidR="009638B5" w14:paraId="4751E38B" w14:textId="77777777" w:rsidTr="004D772A">
        <w:trPr>
          <w:jc w:val="center"/>
        </w:trPr>
        <w:tc>
          <w:tcPr>
            <w:tcW w:w="3118" w:type="dxa"/>
            <w:tcBorders>
              <w:top w:val="single" w:sz="6" w:space="0" w:color="9DB5C9"/>
              <w:left w:val="single" w:sz="6" w:space="0" w:color="9DB5C9"/>
              <w:bottom w:val="single" w:sz="6" w:space="0" w:color="9DB5C9"/>
              <w:right w:val="single" w:sz="6" w:space="0" w:color="9DB5C9"/>
            </w:tcBorders>
            <w:vAlign w:val="center"/>
          </w:tcPr>
          <w:p w14:paraId="7873FA35" w14:textId="77777777" w:rsidR="009638B5" w:rsidRDefault="009638B5" w:rsidP="004D772A">
            <w:r>
              <w:rPr>
                <w:b/>
                <w:sz w:val="22"/>
              </w:rPr>
              <w:t>Module Leader:</w:t>
            </w:r>
          </w:p>
        </w:tc>
        <w:tc>
          <w:tcPr>
            <w:tcW w:w="4819" w:type="dxa"/>
            <w:tcBorders>
              <w:top w:val="single" w:sz="6" w:space="0" w:color="9DB5C9"/>
              <w:left w:val="single" w:sz="6" w:space="0" w:color="9DB5C9"/>
              <w:bottom w:val="single" w:sz="6" w:space="0" w:color="9DB5C9"/>
              <w:right w:val="single" w:sz="6" w:space="0" w:color="9DB5C9"/>
            </w:tcBorders>
            <w:vAlign w:val="center"/>
          </w:tcPr>
          <w:p w14:paraId="1452CB67" w14:textId="55780672" w:rsidR="009638B5" w:rsidRDefault="005E5382" w:rsidP="004D772A">
            <w:r>
              <w:rPr>
                <w:sz w:val="22"/>
              </w:rPr>
              <w:t>Ibrahim Rufai</w:t>
            </w:r>
          </w:p>
        </w:tc>
      </w:tr>
      <w:tr w:rsidR="009638B5" w14:paraId="678F7188" w14:textId="77777777" w:rsidTr="004D772A">
        <w:trPr>
          <w:jc w:val="center"/>
        </w:trPr>
        <w:tc>
          <w:tcPr>
            <w:tcW w:w="3118" w:type="dxa"/>
            <w:tcBorders>
              <w:top w:val="single" w:sz="6" w:space="0" w:color="9DB5C9"/>
              <w:left w:val="single" w:sz="6" w:space="0" w:color="9DB5C9"/>
              <w:bottom w:val="single" w:sz="6" w:space="0" w:color="9DB5C9"/>
              <w:right w:val="single" w:sz="6" w:space="0" w:color="9DB5C9"/>
            </w:tcBorders>
            <w:vAlign w:val="center"/>
          </w:tcPr>
          <w:p w14:paraId="2B931D05" w14:textId="7C9587E9" w:rsidR="009638B5" w:rsidRDefault="005E5382" w:rsidP="004D772A">
            <w:r>
              <w:rPr>
                <w:b/>
                <w:sz w:val="22"/>
              </w:rPr>
              <w:t>Assignment Title:</w:t>
            </w:r>
          </w:p>
        </w:tc>
        <w:tc>
          <w:tcPr>
            <w:tcW w:w="4819" w:type="dxa"/>
            <w:tcBorders>
              <w:top w:val="single" w:sz="6" w:space="0" w:color="9DB5C9"/>
              <w:left w:val="single" w:sz="6" w:space="0" w:color="9DB5C9"/>
              <w:bottom w:val="single" w:sz="6" w:space="0" w:color="9DB5C9"/>
              <w:right w:val="single" w:sz="6" w:space="0" w:color="9DB5C9"/>
            </w:tcBorders>
            <w:vAlign w:val="center"/>
          </w:tcPr>
          <w:p w14:paraId="45CD1445" w14:textId="45CD216E" w:rsidR="009638B5" w:rsidRDefault="005E5382" w:rsidP="004D772A">
            <w:r>
              <w:rPr>
                <w:sz w:val="22"/>
              </w:rPr>
              <w:t>Component 1 Organisational culture: Individual report</w:t>
            </w:r>
          </w:p>
        </w:tc>
      </w:tr>
      <w:tr w:rsidR="009638B5" w14:paraId="161DAB03" w14:textId="77777777" w:rsidTr="004D772A">
        <w:trPr>
          <w:jc w:val="center"/>
        </w:trPr>
        <w:tc>
          <w:tcPr>
            <w:tcW w:w="3118" w:type="dxa"/>
            <w:tcBorders>
              <w:top w:val="single" w:sz="6" w:space="0" w:color="9DB5C9"/>
              <w:left w:val="single" w:sz="6" w:space="0" w:color="9DB5C9"/>
              <w:bottom w:val="single" w:sz="6" w:space="0" w:color="9DB5C9"/>
              <w:right w:val="single" w:sz="6" w:space="0" w:color="9DB5C9"/>
            </w:tcBorders>
            <w:vAlign w:val="center"/>
          </w:tcPr>
          <w:p w14:paraId="05035FC7" w14:textId="5347239B" w:rsidR="009638B5" w:rsidRPr="005E5382" w:rsidRDefault="005E5382" w:rsidP="004D772A">
            <w:pPr>
              <w:rPr>
                <w:b/>
                <w:bCs/>
              </w:rPr>
            </w:pPr>
            <w:r w:rsidRPr="005E5382">
              <w:rPr>
                <w:b/>
                <w:bCs/>
              </w:rPr>
              <w:t>Module Code:</w:t>
            </w:r>
          </w:p>
        </w:tc>
        <w:tc>
          <w:tcPr>
            <w:tcW w:w="4819" w:type="dxa"/>
            <w:tcBorders>
              <w:top w:val="single" w:sz="6" w:space="0" w:color="9DB5C9"/>
              <w:left w:val="single" w:sz="6" w:space="0" w:color="9DB5C9"/>
              <w:bottom w:val="single" w:sz="6" w:space="0" w:color="9DB5C9"/>
              <w:right w:val="single" w:sz="6" w:space="0" w:color="9DB5C9"/>
            </w:tcBorders>
            <w:vAlign w:val="center"/>
          </w:tcPr>
          <w:p w14:paraId="6D7E01F3" w14:textId="441774D3" w:rsidR="009638B5" w:rsidRDefault="005E5382" w:rsidP="004D772A">
            <w:r>
              <w:t>LCLM 5005</w:t>
            </w:r>
          </w:p>
        </w:tc>
      </w:tr>
    </w:tbl>
    <w:p w14:paraId="393606CA" w14:textId="77777777" w:rsidR="003F0F31" w:rsidRDefault="00B00309">
      <w:r>
        <w:br w:type="page"/>
      </w:r>
    </w:p>
    <w:p w14:paraId="3BBB732D" w14:textId="77777777" w:rsidR="00DF0EF4" w:rsidRDefault="00DF0EF4">
      <w:pPr>
        <w:pStyle w:val="TOCHeading"/>
      </w:pPr>
      <w:r>
        <w:lastRenderedPageBreak/>
        <w:t xml:space="preserve"> </w:t>
      </w:r>
    </w:p>
    <w:sdt>
      <w:sdtPr>
        <w:rPr>
          <w:rFonts w:ascii="Arial" w:eastAsiaTheme="minorEastAsia" w:hAnsi="Arial" w:cstheme="minorBidi"/>
          <w:b w:val="0"/>
          <w:bCs w:val="0"/>
          <w:color w:val="000000"/>
          <w:sz w:val="24"/>
          <w:szCs w:val="22"/>
        </w:rPr>
        <w:id w:val="1602602091"/>
        <w:docPartObj>
          <w:docPartGallery w:val="Table of Contents"/>
          <w:docPartUnique/>
        </w:docPartObj>
      </w:sdtPr>
      <w:sdtEndPr>
        <w:rPr>
          <w:noProof/>
        </w:rPr>
      </w:sdtEndPr>
      <w:sdtContent>
        <w:p w14:paraId="47152E17" w14:textId="43FC28F1" w:rsidR="00DF0EF4" w:rsidRPr="005E5382" w:rsidRDefault="00DF0EF4" w:rsidP="00DF0EF4">
          <w:pPr>
            <w:pStyle w:val="Heading1"/>
            <w:rPr>
              <w:color w:val="000000" w:themeColor="text1"/>
            </w:rPr>
          </w:pPr>
          <w:r w:rsidRPr="005E5382">
            <w:rPr>
              <w:color w:val="000000" w:themeColor="text1"/>
            </w:rPr>
            <w:t>Table of Contents</w:t>
          </w:r>
        </w:p>
        <w:p w14:paraId="50FAD42E" w14:textId="12DFF6D1" w:rsidR="00DF0EF4" w:rsidRDefault="00DF0EF4">
          <w:pPr>
            <w:pStyle w:val="TOC1"/>
            <w:tabs>
              <w:tab w:val="right" w:leader="dot" w:pos="9016"/>
            </w:tabs>
            <w:rPr>
              <w:noProof/>
            </w:rPr>
          </w:pPr>
          <w:r>
            <w:fldChar w:fldCharType="begin"/>
          </w:r>
          <w:r>
            <w:instrText xml:space="preserve"> TOC \o "1-3" \h \z \u </w:instrText>
          </w:r>
          <w:r>
            <w:fldChar w:fldCharType="separate"/>
          </w:r>
          <w:hyperlink w:anchor="_Toc232024477" w:history="1">
            <w:r w:rsidRPr="009F20AE">
              <w:rPr>
                <w:rStyle w:val="Hyperlink"/>
                <w:noProof/>
              </w:rPr>
              <w:t>Executive Summary</w:t>
            </w:r>
            <w:r>
              <w:rPr>
                <w:noProof/>
                <w:webHidden/>
              </w:rPr>
              <w:tab/>
            </w:r>
            <w:r>
              <w:rPr>
                <w:noProof/>
                <w:webHidden/>
              </w:rPr>
              <w:fldChar w:fldCharType="begin"/>
            </w:r>
            <w:r>
              <w:rPr>
                <w:noProof/>
                <w:webHidden/>
              </w:rPr>
              <w:instrText xml:space="preserve"> PAGEREF _Toc232024477 \h </w:instrText>
            </w:r>
            <w:r>
              <w:rPr>
                <w:noProof/>
                <w:webHidden/>
              </w:rPr>
            </w:r>
            <w:r>
              <w:rPr>
                <w:noProof/>
                <w:webHidden/>
              </w:rPr>
              <w:fldChar w:fldCharType="separate"/>
            </w:r>
            <w:r>
              <w:rPr>
                <w:noProof/>
                <w:webHidden/>
              </w:rPr>
              <w:t>3</w:t>
            </w:r>
            <w:r>
              <w:rPr>
                <w:noProof/>
                <w:webHidden/>
              </w:rPr>
              <w:fldChar w:fldCharType="end"/>
            </w:r>
          </w:hyperlink>
        </w:p>
        <w:p w14:paraId="41AAD176" w14:textId="2B1F0B6E" w:rsidR="00DF0EF4" w:rsidRDefault="00DF0EF4">
          <w:pPr>
            <w:pStyle w:val="TOC1"/>
            <w:tabs>
              <w:tab w:val="right" w:leader="dot" w:pos="9016"/>
            </w:tabs>
            <w:rPr>
              <w:noProof/>
            </w:rPr>
          </w:pPr>
          <w:hyperlink w:anchor="_Toc232024478" w:history="1">
            <w:r w:rsidRPr="009F20AE">
              <w:rPr>
                <w:rStyle w:val="Hyperlink"/>
                <w:noProof/>
              </w:rPr>
              <w:t>1.0 Introduction</w:t>
            </w:r>
            <w:r>
              <w:rPr>
                <w:noProof/>
                <w:webHidden/>
              </w:rPr>
              <w:tab/>
            </w:r>
            <w:r>
              <w:rPr>
                <w:noProof/>
                <w:webHidden/>
              </w:rPr>
              <w:fldChar w:fldCharType="begin"/>
            </w:r>
            <w:r>
              <w:rPr>
                <w:noProof/>
                <w:webHidden/>
              </w:rPr>
              <w:instrText xml:space="preserve"> PAGEREF _Toc232024478 \h </w:instrText>
            </w:r>
            <w:r>
              <w:rPr>
                <w:noProof/>
                <w:webHidden/>
              </w:rPr>
            </w:r>
            <w:r>
              <w:rPr>
                <w:noProof/>
                <w:webHidden/>
              </w:rPr>
              <w:fldChar w:fldCharType="separate"/>
            </w:r>
            <w:r>
              <w:rPr>
                <w:noProof/>
                <w:webHidden/>
              </w:rPr>
              <w:t>3</w:t>
            </w:r>
            <w:r>
              <w:rPr>
                <w:noProof/>
                <w:webHidden/>
              </w:rPr>
              <w:fldChar w:fldCharType="end"/>
            </w:r>
          </w:hyperlink>
        </w:p>
        <w:p w14:paraId="51327328" w14:textId="37516687" w:rsidR="00DF0EF4" w:rsidRDefault="00DF0EF4">
          <w:pPr>
            <w:pStyle w:val="TOC1"/>
            <w:tabs>
              <w:tab w:val="right" w:leader="dot" w:pos="9016"/>
            </w:tabs>
            <w:rPr>
              <w:noProof/>
            </w:rPr>
          </w:pPr>
          <w:hyperlink w:anchor="_Toc232024479" w:history="1">
            <w:r w:rsidRPr="009F20AE">
              <w:rPr>
                <w:rStyle w:val="Hyperlink"/>
                <w:noProof/>
              </w:rPr>
              <w:t>2.0 Organisational Culture, Structure and Decision-Making</w:t>
            </w:r>
            <w:r>
              <w:rPr>
                <w:noProof/>
                <w:webHidden/>
              </w:rPr>
              <w:tab/>
            </w:r>
            <w:r>
              <w:rPr>
                <w:noProof/>
                <w:webHidden/>
              </w:rPr>
              <w:fldChar w:fldCharType="begin"/>
            </w:r>
            <w:r>
              <w:rPr>
                <w:noProof/>
                <w:webHidden/>
              </w:rPr>
              <w:instrText xml:space="preserve"> PAGEREF _Toc232024479 \h </w:instrText>
            </w:r>
            <w:r>
              <w:rPr>
                <w:noProof/>
                <w:webHidden/>
              </w:rPr>
            </w:r>
            <w:r>
              <w:rPr>
                <w:noProof/>
                <w:webHidden/>
              </w:rPr>
              <w:fldChar w:fldCharType="separate"/>
            </w:r>
            <w:r>
              <w:rPr>
                <w:noProof/>
                <w:webHidden/>
              </w:rPr>
              <w:t>4</w:t>
            </w:r>
            <w:r>
              <w:rPr>
                <w:noProof/>
                <w:webHidden/>
              </w:rPr>
              <w:fldChar w:fldCharType="end"/>
            </w:r>
          </w:hyperlink>
        </w:p>
        <w:p w14:paraId="1778B6D3" w14:textId="12DF0BF5" w:rsidR="00DF0EF4" w:rsidRDefault="00DF0EF4">
          <w:pPr>
            <w:pStyle w:val="TOC1"/>
            <w:tabs>
              <w:tab w:val="right" w:leader="dot" w:pos="9016"/>
            </w:tabs>
            <w:rPr>
              <w:noProof/>
            </w:rPr>
          </w:pPr>
          <w:hyperlink w:anchor="_Toc232024480" w:history="1">
            <w:r w:rsidRPr="009F20AE">
              <w:rPr>
                <w:rStyle w:val="Hyperlink"/>
                <w:noProof/>
              </w:rPr>
              <w:t>3.0 Application of Cultural Frameworks</w:t>
            </w:r>
            <w:r>
              <w:rPr>
                <w:noProof/>
                <w:webHidden/>
              </w:rPr>
              <w:tab/>
            </w:r>
            <w:r>
              <w:rPr>
                <w:noProof/>
                <w:webHidden/>
              </w:rPr>
              <w:fldChar w:fldCharType="begin"/>
            </w:r>
            <w:r>
              <w:rPr>
                <w:noProof/>
                <w:webHidden/>
              </w:rPr>
              <w:instrText xml:space="preserve"> PAGEREF _Toc232024480 \h </w:instrText>
            </w:r>
            <w:r>
              <w:rPr>
                <w:noProof/>
                <w:webHidden/>
              </w:rPr>
            </w:r>
            <w:r>
              <w:rPr>
                <w:noProof/>
                <w:webHidden/>
              </w:rPr>
              <w:fldChar w:fldCharType="separate"/>
            </w:r>
            <w:r>
              <w:rPr>
                <w:noProof/>
                <w:webHidden/>
              </w:rPr>
              <w:t>6</w:t>
            </w:r>
            <w:r>
              <w:rPr>
                <w:noProof/>
                <w:webHidden/>
              </w:rPr>
              <w:fldChar w:fldCharType="end"/>
            </w:r>
          </w:hyperlink>
        </w:p>
        <w:p w14:paraId="0D0A88B5" w14:textId="471D4AD4" w:rsidR="00DF0EF4" w:rsidRDefault="00DF0EF4">
          <w:pPr>
            <w:pStyle w:val="TOC2"/>
            <w:tabs>
              <w:tab w:val="right" w:leader="dot" w:pos="9016"/>
            </w:tabs>
            <w:rPr>
              <w:noProof/>
            </w:rPr>
          </w:pPr>
          <w:hyperlink w:anchor="_Toc232024481" w:history="1">
            <w:r w:rsidRPr="009F20AE">
              <w:rPr>
                <w:rStyle w:val="Hyperlink"/>
                <w:noProof/>
              </w:rPr>
              <w:t>3.1 Schein's Three Levels of Culture</w:t>
            </w:r>
            <w:r>
              <w:rPr>
                <w:noProof/>
                <w:webHidden/>
              </w:rPr>
              <w:tab/>
            </w:r>
            <w:r>
              <w:rPr>
                <w:noProof/>
                <w:webHidden/>
              </w:rPr>
              <w:fldChar w:fldCharType="begin"/>
            </w:r>
            <w:r>
              <w:rPr>
                <w:noProof/>
                <w:webHidden/>
              </w:rPr>
              <w:instrText xml:space="preserve"> PAGEREF _Toc232024481 \h </w:instrText>
            </w:r>
            <w:r>
              <w:rPr>
                <w:noProof/>
                <w:webHidden/>
              </w:rPr>
            </w:r>
            <w:r>
              <w:rPr>
                <w:noProof/>
                <w:webHidden/>
              </w:rPr>
              <w:fldChar w:fldCharType="separate"/>
            </w:r>
            <w:r>
              <w:rPr>
                <w:noProof/>
                <w:webHidden/>
              </w:rPr>
              <w:t>6</w:t>
            </w:r>
            <w:r>
              <w:rPr>
                <w:noProof/>
                <w:webHidden/>
              </w:rPr>
              <w:fldChar w:fldCharType="end"/>
            </w:r>
          </w:hyperlink>
        </w:p>
        <w:p w14:paraId="682B493D" w14:textId="5524348E" w:rsidR="00DF0EF4" w:rsidRDefault="00DF0EF4">
          <w:pPr>
            <w:pStyle w:val="TOC2"/>
            <w:tabs>
              <w:tab w:val="right" w:leader="dot" w:pos="9016"/>
            </w:tabs>
            <w:rPr>
              <w:noProof/>
            </w:rPr>
          </w:pPr>
          <w:hyperlink w:anchor="_Toc232024482" w:history="1">
            <w:r w:rsidRPr="009F20AE">
              <w:rPr>
                <w:rStyle w:val="Hyperlink"/>
                <w:noProof/>
              </w:rPr>
              <w:t>3.2 Handy's Cultural Typology</w:t>
            </w:r>
            <w:r>
              <w:rPr>
                <w:noProof/>
                <w:webHidden/>
              </w:rPr>
              <w:tab/>
            </w:r>
            <w:r>
              <w:rPr>
                <w:noProof/>
                <w:webHidden/>
              </w:rPr>
              <w:fldChar w:fldCharType="begin"/>
            </w:r>
            <w:r>
              <w:rPr>
                <w:noProof/>
                <w:webHidden/>
              </w:rPr>
              <w:instrText xml:space="preserve"> PAGEREF _Toc232024482 \h </w:instrText>
            </w:r>
            <w:r>
              <w:rPr>
                <w:noProof/>
                <w:webHidden/>
              </w:rPr>
            </w:r>
            <w:r>
              <w:rPr>
                <w:noProof/>
                <w:webHidden/>
              </w:rPr>
              <w:fldChar w:fldCharType="separate"/>
            </w:r>
            <w:r>
              <w:rPr>
                <w:noProof/>
                <w:webHidden/>
              </w:rPr>
              <w:t>7</w:t>
            </w:r>
            <w:r>
              <w:rPr>
                <w:noProof/>
                <w:webHidden/>
              </w:rPr>
              <w:fldChar w:fldCharType="end"/>
            </w:r>
          </w:hyperlink>
        </w:p>
        <w:p w14:paraId="5FA59FEB" w14:textId="5A76F8E7" w:rsidR="00DF0EF4" w:rsidRDefault="00DF0EF4">
          <w:pPr>
            <w:pStyle w:val="TOC2"/>
            <w:tabs>
              <w:tab w:val="right" w:leader="dot" w:pos="9016"/>
            </w:tabs>
            <w:rPr>
              <w:noProof/>
            </w:rPr>
          </w:pPr>
          <w:hyperlink w:anchor="_Toc232024483" w:history="1">
            <w:r w:rsidRPr="009F20AE">
              <w:rPr>
                <w:rStyle w:val="Hyperlink"/>
                <w:noProof/>
              </w:rPr>
              <w:t>3.3 Hofstede's Cultural Dimensions</w:t>
            </w:r>
            <w:r>
              <w:rPr>
                <w:noProof/>
                <w:webHidden/>
              </w:rPr>
              <w:tab/>
            </w:r>
            <w:r>
              <w:rPr>
                <w:noProof/>
                <w:webHidden/>
              </w:rPr>
              <w:fldChar w:fldCharType="begin"/>
            </w:r>
            <w:r>
              <w:rPr>
                <w:noProof/>
                <w:webHidden/>
              </w:rPr>
              <w:instrText xml:space="preserve"> PAGEREF _Toc232024483 \h </w:instrText>
            </w:r>
            <w:r>
              <w:rPr>
                <w:noProof/>
                <w:webHidden/>
              </w:rPr>
            </w:r>
            <w:r>
              <w:rPr>
                <w:noProof/>
                <w:webHidden/>
              </w:rPr>
              <w:fldChar w:fldCharType="separate"/>
            </w:r>
            <w:r>
              <w:rPr>
                <w:noProof/>
                <w:webHidden/>
              </w:rPr>
              <w:t>8</w:t>
            </w:r>
            <w:r>
              <w:rPr>
                <w:noProof/>
                <w:webHidden/>
              </w:rPr>
              <w:fldChar w:fldCharType="end"/>
            </w:r>
          </w:hyperlink>
        </w:p>
        <w:p w14:paraId="6FF4F6C0" w14:textId="3453258F" w:rsidR="00DF0EF4" w:rsidRDefault="00DF0EF4">
          <w:pPr>
            <w:pStyle w:val="TOC2"/>
            <w:tabs>
              <w:tab w:val="right" w:leader="dot" w:pos="9016"/>
            </w:tabs>
            <w:rPr>
              <w:noProof/>
            </w:rPr>
          </w:pPr>
          <w:hyperlink w:anchor="_Toc232024484" w:history="1">
            <w:r w:rsidRPr="009F20AE">
              <w:rPr>
                <w:rStyle w:val="Hyperlink"/>
                <w:noProof/>
              </w:rPr>
              <w:t>3.4 The Prevailing Culture</w:t>
            </w:r>
            <w:r>
              <w:rPr>
                <w:noProof/>
                <w:webHidden/>
              </w:rPr>
              <w:tab/>
            </w:r>
            <w:r>
              <w:rPr>
                <w:noProof/>
                <w:webHidden/>
              </w:rPr>
              <w:fldChar w:fldCharType="begin"/>
            </w:r>
            <w:r>
              <w:rPr>
                <w:noProof/>
                <w:webHidden/>
              </w:rPr>
              <w:instrText xml:space="preserve"> PAGEREF _Toc232024484 \h </w:instrText>
            </w:r>
            <w:r>
              <w:rPr>
                <w:noProof/>
                <w:webHidden/>
              </w:rPr>
            </w:r>
            <w:r>
              <w:rPr>
                <w:noProof/>
                <w:webHidden/>
              </w:rPr>
              <w:fldChar w:fldCharType="separate"/>
            </w:r>
            <w:r>
              <w:rPr>
                <w:noProof/>
                <w:webHidden/>
              </w:rPr>
              <w:t>9</w:t>
            </w:r>
            <w:r>
              <w:rPr>
                <w:noProof/>
                <w:webHidden/>
              </w:rPr>
              <w:fldChar w:fldCharType="end"/>
            </w:r>
          </w:hyperlink>
        </w:p>
        <w:p w14:paraId="23AB11AC" w14:textId="31CDC705" w:rsidR="00DF0EF4" w:rsidRDefault="00DF0EF4">
          <w:pPr>
            <w:pStyle w:val="TOC1"/>
            <w:tabs>
              <w:tab w:val="right" w:leader="dot" w:pos="9016"/>
            </w:tabs>
            <w:rPr>
              <w:noProof/>
            </w:rPr>
          </w:pPr>
          <w:hyperlink w:anchor="_Toc232024485" w:history="1">
            <w:r w:rsidRPr="009F20AE">
              <w:rPr>
                <w:rStyle w:val="Hyperlink"/>
                <w:noProof/>
              </w:rPr>
              <w:t>4.0 Culture and External Adaptation</w:t>
            </w:r>
            <w:r>
              <w:rPr>
                <w:noProof/>
                <w:webHidden/>
              </w:rPr>
              <w:tab/>
            </w:r>
            <w:r>
              <w:rPr>
                <w:noProof/>
                <w:webHidden/>
              </w:rPr>
              <w:fldChar w:fldCharType="begin"/>
            </w:r>
            <w:r>
              <w:rPr>
                <w:noProof/>
                <w:webHidden/>
              </w:rPr>
              <w:instrText xml:space="preserve"> PAGEREF _Toc232024485 \h </w:instrText>
            </w:r>
            <w:r>
              <w:rPr>
                <w:noProof/>
                <w:webHidden/>
              </w:rPr>
            </w:r>
            <w:r>
              <w:rPr>
                <w:noProof/>
                <w:webHidden/>
              </w:rPr>
              <w:fldChar w:fldCharType="separate"/>
            </w:r>
            <w:r>
              <w:rPr>
                <w:noProof/>
                <w:webHidden/>
              </w:rPr>
              <w:t>9</w:t>
            </w:r>
            <w:r>
              <w:rPr>
                <w:noProof/>
                <w:webHidden/>
              </w:rPr>
              <w:fldChar w:fldCharType="end"/>
            </w:r>
          </w:hyperlink>
        </w:p>
        <w:p w14:paraId="74D1B8F1" w14:textId="0EBC8775" w:rsidR="00DF0EF4" w:rsidRDefault="00DF0EF4">
          <w:pPr>
            <w:pStyle w:val="TOC1"/>
            <w:tabs>
              <w:tab w:val="right" w:leader="dot" w:pos="9016"/>
            </w:tabs>
            <w:rPr>
              <w:noProof/>
            </w:rPr>
          </w:pPr>
          <w:hyperlink w:anchor="_Toc232024486" w:history="1">
            <w:r w:rsidRPr="009F20AE">
              <w:rPr>
                <w:rStyle w:val="Hyperlink"/>
                <w:noProof/>
              </w:rPr>
              <w:t>5.0 Barrier or Enabler? A Critical Assessment</w:t>
            </w:r>
            <w:r>
              <w:rPr>
                <w:noProof/>
                <w:webHidden/>
              </w:rPr>
              <w:tab/>
            </w:r>
            <w:r>
              <w:rPr>
                <w:noProof/>
                <w:webHidden/>
              </w:rPr>
              <w:fldChar w:fldCharType="begin"/>
            </w:r>
            <w:r>
              <w:rPr>
                <w:noProof/>
                <w:webHidden/>
              </w:rPr>
              <w:instrText xml:space="preserve"> PAGEREF _Toc232024486 \h </w:instrText>
            </w:r>
            <w:r>
              <w:rPr>
                <w:noProof/>
                <w:webHidden/>
              </w:rPr>
            </w:r>
            <w:r>
              <w:rPr>
                <w:noProof/>
                <w:webHidden/>
              </w:rPr>
              <w:fldChar w:fldCharType="separate"/>
            </w:r>
            <w:r>
              <w:rPr>
                <w:noProof/>
                <w:webHidden/>
              </w:rPr>
              <w:t>10</w:t>
            </w:r>
            <w:r>
              <w:rPr>
                <w:noProof/>
                <w:webHidden/>
              </w:rPr>
              <w:fldChar w:fldCharType="end"/>
            </w:r>
          </w:hyperlink>
        </w:p>
        <w:p w14:paraId="2CB0DE01" w14:textId="7D9BD175" w:rsidR="00DF0EF4" w:rsidRDefault="00DF0EF4">
          <w:pPr>
            <w:pStyle w:val="TOC1"/>
            <w:tabs>
              <w:tab w:val="right" w:leader="dot" w:pos="9016"/>
            </w:tabs>
            <w:rPr>
              <w:noProof/>
            </w:rPr>
          </w:pPr>
          <w:hyperlink w:anchor="_Toc232024487" w:history="1">
            <w:r w:rsidRPr="009F20AE">
              <w:rPr>
                <w:rStyle w:val="Hyperlink"/>
                <w:noProof/>
              </w:rPr>
              <w:t>6.0 Performance Impact and Recommendations</w:t>
            </w:r>
            <w:r>
              <w:rPr>
                <w:noProof/>
                <w:webHidden/>
              </w:rPr>
              <w:tab/>
            </w:r>
            <w:r>
              <w:rPr>
                <w:noProof/>
                <w:webHidden/>
              </w:rPr>
              <w:fldChar w:fldCharType="begin"/>
            </w:r>
            <w:r>
              <w:rPr>
                <w:noProof/>
                <w:webHidden/>
              </w:rPr>
              <w:instrText xml:space="preserve"> PAGEREF _Toc232024487 \h </w:instrText>
            </w:r>
            <w:r>
              <w:rPr>
                <w:noProof/>
                <w:webHidden/>
              </w:rPr>
            </w:r>
            <w:r>
              <w:rPr>
                <w:noProof/>
                <w:webHidden/>
              </w:rPr>
              <w:fldChar w:fldCharType="separate"/>
            </w:r>
            <w:r>
              <w:rPr>
                <w:noProof/>
                <w:webHidden/>
              </w:rPr>
              <w:t>11</w:t>
            </w:r>
            <w:r>
              <w:rPr>
                <w:noProof/>
                <w:webHidden/>
              </w:rPr>
              <w:fldChar w:fldCharType="end"/>
            </w:r>
          </w:hyperlink>
        </w:p>
        <w:p w14:paraId="184187EF" w14:textId="69DFD375" w:rsidR="00DF0EF4" w:rsidRDefault="00DF0EF4">
          <w:pPr>
            <w:pStyle w:val="TOC1"/>
            <w:tabs>
              <w:tab w:val="right" w:leader="dot" w:pos="9016"/>
            </w:tabs>
            <w:rPr>
              <w:noProof/>
            </w:rPr>
          </w:pPr>
          <w:hyperlink w:anchor="_Toc232024488" w:history="1">
            <w:r w:rsidRPr="009F20AE">
              <w:rPr>
                <w:rStyle w:val="Hyperlink"/>
                <w:noProof/>
              </w:rPr>
              <w:t>7.0 Conclusion</w:t>
            </w:r>
            <w:r>
              <w:rPr>
                <w:noProof/>
                <w:webHidden/>
              </w:rPr>
              <w:tab/>
            </w:r>
            <w:r>
              <w:rPr>
                <w:noProof/>
                <w:webHidden/>
              </w:rPr>
              <w:fldChar w:fldCharType="begin"/>
            </w:r>
            <w:r>
              <w:rPr>
                <w:noProof/>
                <w:webHidden/>
              </w:rPr>
              <w:instrText xml:space="preserve"> PAGEREF _Toc232024488 \h </w:instrText>
            </w:r>
            <w:r>
              <w:rPr>
                <w:noProof/>
                <w:webHidden/>
              </w:rPr>
            </w:r>
            <w:r>
              <w:rPr>
                <w:noProof/>
                <w:webHidden/>
              </w:rPr>
              <w:fldChar w:fldCharType="separate"/>
            </w:r>
            <w:r>
              <w:rPr>
                <w:noProof/>
                <w:webHidden/>
              </w:rPr>
              <w:t>13</w:t>
            </w:r>
            <w:r>
              <w:rPr>
                <w:noProof/>
                <w:webHidden/>
              </w:rPr>
              <w:fldChar w:fldCharType="end"/>
            </w:r>
          </w:hyperlink>
        </w:p>
        <w:p w14:paraId="25089ED0" w14:textId="431C4911" w:rsidR="00DF0EF4" w:rsidRDefault="00DF0EF4">
          <w:pPr>
            <w:pStyle w:val="TOC1"/>
            <w:tabs>
              <w:tab w:val="right" w:leader="dot" w:pos="9016"/>
            </w:tabs>
            <w:rPr>
              <w:noProof/>
            </w:rPr>
          </w:pPr>
          <w:hyperlink w:anchor="_Toc232024489" w:history="1">
            <w:r w:rsidRPr="009F20AE">
              <w:rPr>
                <w:rStyle w:val="Hyperlink"/>
                <w:noProof/>
              </w:rPr>
              <w:t>References</w:t>
            </w:r>
            <w:r>
              <w:rPr>
                <w:noProof/>
                <w:webHidden/>
              </w:rPr>
              <w:tab/>
            </w:r>
            <w:r>
              <w:rPr>
                <w:noProof/>
                <w:webHidden/>
              </w:rPr>
              <w:fldChar w:fldCharType="begin"/>
            </w:r>
            <w:r>
              <w:rPr>
                <w:noProof/>
                <w:webHidden/>
              </w:rPr>
              <w:instrText xml:space="preserve"> PAGEREF _Toc232024489 \h </w:instrText>
            </w:r>
            <w:r>
              <w:rPr>
                <w:noProof/>
                <w:webHidden/>
              </w:rPr>
            </w:r>
            <w:r>
              <w:rPr>
                <w:noProof/>
                <w:webHidden/>
              </w:rPr>
              <w:fldChar w:fldCharType="separate"/>
            </w:r>
            <w:r>
              <w:rPr>
                <w:noProof/>
                <w:webHidden/>
              </w:rPr>
              <w:t>15</w:t>
            </w:r>
            <w:r>
              <w:rPr>
                <w:noProof/>
                <w:webHidden/>
              </w:rPr>
              <w:fldChar w:fldCharType="end"/>
            </w:r>
          </w:hyperlink>
        </w:p>
        <w:p w14:paraId="12961634" w14:textId="2F2BE300" w:rsidR="00DF0EF4" w:rsidRDefault="00DF0EF4">
          <w:r>
            <w:rPr>
              <w:b/>
              <w:bCs/>
              <w:noProof/>
            </w:rPr>
            <w:fldChar w:fldCharType="end"/>
          </w:r>
        </w:p>
      </w:sdtContent>
    </w:sdt>
    <w:p w14:paraId="68AF3A56" w14:textId="70DC17E6" w:rsidR="003F0F31" w:rsidRDefault="003F0F31">
      <w:pPr>
        <w:pStyle w:val="Heading1"/>
      </w:pPr>
    </w:p>
    <w:p w14:paraId="404FC928" w14:textId="5B4090DF" w:rsidR="003F0F31" w:rsidRDefault="009638B5">
      <w:pPr>
        <w:tabs>
          <w:tab w:val="right" w:leader="dot" w:pos="8787"/>
        </w:tabs>
        <w:spacing w:after="40" w:line="288" w:lineRule="auto"/>
      </w:pPr>
      <w:r>
        <w:rPr>
          <w:b/>
          <w:sz w:val="22"/>
        </w:rPr>
        <w:t xml:space="preserve"> </w:t>
      </w:r>
    </w:p>
    <w:p w14:paraId="4FE4D50D" w14:textId="77777777" w:rsidR="003F0F31" w:rsidRDefault="00B00309">
      <w:r>
        <w:br w:type="page"/>
      </w:r>
    </w:p>
    <w:p w14:paraId="18CE458B" w14:textId="77777777" w:rsidR="003F0F31" w:rsidRPr="005E5382" w:rsidRDefault="00B00309" w:rsidP="005E5382">
      <w:pPr>
        <w:pStyle w:val="Heading1"/>
        <w:rPr>
          <w:color w:val="000000" w:themeColor="text1"/>
        </w:rPr>
      </w:pPr>
      <w:bookmarkStart w:id="0" w:name="_Toc232024477"/>
      <w:r w:rsidRPr="005E5382">
        <w:rPr>
          <w:color w:val="000000" w:themeColor="text1"/>
        </w:rPr>
        <w:lastRenderedPageBreak/>
        <w:t>Executive Summary</w:t>
      </w:r>
      <w:bookmarkEnd w:id="0"/>
    </w:p>
    <w:p w14:paraId="3C4E959A" w14:textId="680DF9EB" w:rsidR="003F0F31" w:rsidRDefault="00B00309" w:rsidP="00BE4549">
      <w:pPr>
        <w:spacing w:line="276" w:lineRule="auto"/>
      </w:pPr>
      <w:r>
        <w:t xml:space="preserve">This report critically evaluates </w:t>
      </w:r>
      <w:proofErr w:type="spellStart"/>
      <w:r>
        <w:t>organisational</w:t>
      </w:r>
      <w:proofErr w:type="spellEnd"/>
      <w:r>
        <w:t xml:space="preserve"> culture at the John Lewis Partnership (JLP), the United Kingdom’s largest employee-owned retailer. Drawing on Mullins and Christy (2016), it argues that culture is a pervasive force shaping JLP’s distinctive Trust-based structure and tri-partite decision-making system. Schein’s three-level model (Schein and Schein, 2017), Handy’s (1993) cultural typology and Hofstede, Hofstede and Minkov’s (2010) national dimensions are applied to surface visible artefacts, espoused values and underlying assumptions. The analysis finds that JLP exhibits a hybrid role-and-person culture rooted in deep assumptions of co-ownership, fairness and long-term stewardship. While this culture has been a powerful enabler — supporting customer service differentiation and a 5% sales rise to £13.4bn in 2025/26 (John Lewis Partnership, </w:t>
      </w:r>
      <w:proofErr w:type="gramStart"/>
      <w:r>
        <w:t>2026) —</w:t>
      </w:r>
      <w:proofErr w:type="gramEnd"/>
      <w:r>
        <w:t xml:space="preserve"> it has also acted as a barrier by slowing decision velocity and constraining external capital. The report concludes with three theory-informed recommendations: </w:t>
      </w:r>
      <w:proofErr w:type="spellStart"/>
      <w:r>
        <w:t>institutionalised</w:t>
      </w:r>
      <w:proofErr w:type="spellEnd"/>
      <w:r>
        <w:t xml:space="preserve"> ambidextrous culture, a published cultural performance scorecard and Kotter-style change management around pay architecture. Implemented alongside the current ‘Brilliant Retail’ transformation, these proposals aim to convert cultural distinctiveness into measurable competitive advantage.</w:t>
      </w:r>
    </w:p>
    <w:p w14:paraId="7B398B01" w14:textId="69968F03" w:rsidR="00311ABF" w:rsidRDefault="00311ABF" w:rsidP="00BE4549">
      <w:pPr>
        <w:spacing w:line="276" w:lineRule="auto"/>
      </w:pPr>
    </w:p>
    <w:p w14:paraId="4FF9446D" w14:textId="3F0A376A" w:rsidR="00311ABF" w:rsidRDefault="00311ABF" w:rsidP="00BE4549">
      <w:pPr>
        <w:spacing w:line="276" w:lineRule="auto"/>
      </w:pPr>
    </w:p>
    <w:p w14:paraId="05FCBC25" w14:textId="00C96552" w:rsidR="00311ABF" w:rsidRDefault="00311ABF" w:rsidP="00BE4549">
      <w:pPr>
        <w:spacing w:line="276" w:lineRule="auto"/>
      </w:pPr>
    </w:p>
    <w:p w14:paraId="4940A4F9" w14:textId="0762B601" w:rsidR="00311ABF" w:rsidRDefault="00311ABF" w:rsidP="00BE4549">
      <w:pPr>
        <w:spacing w:line="276" w:lineRule="auto"/>
      </w:pPr>
    </w:p>
    <w:p w14:paraId="70ECE7BA" w14:textId="418E8F13" w:rsidR="00311ABF" w:rsidRDefault="00311ABF" w:rsidP="00BE4549">
      <w:pPr>
        <w:spacing w:line="276" w:lineRule="auto"/>
      </w:pPr>
    </w:p>
    <w:p w14:paraId="1513AFEF" w14:textId="5D3083E3" w:rsidR="00311ABF" w:rsidRDefault="00311ABF" w:rsidP="00BE4549">
      <w:pPr>
        <w:spacing w:line="276" w:lineRule="auto"/>
      </w:pPr>
    </w:p>
    <w:p w14:paraId="29407B00" w14:textId="52064588" w:rsidR="00311ABF" w:rsidRDefault="00311ABF" w:rsidP="00BE4549">
      <w:pPr>
        <w:spacing w:line="276" w:lineRule="auto"/>
      </w:pPr>
    </w:p>
    <w:p w14:paraId="55A6656C" w14:textId="0E14350A" w:rsidR="00311ABF" w:rsidRDefault="00311ABF" w:rsidP="00BE4549">
      <w:pPr>
        <w:spacing w:line="276" w:lineRule="auto"/>
      </w:pPr>
    </w:p>
    <w:p w14:paraId="384372FC" w14:textId="73CFAD1A" w:rsidR="00311ABF" w:rsidRDefault="00311ABF" w:rsidP="00BE4549">
      <w:pPr>
        <w:spacing w:line="276" w:lineRule="auto"/>
      </w:pPr>
    </w:p>
    <w:p w14:paraId="0130BF07" w14:textId="77777777" w:rsidR="00311ABF" w:rsidRDefault="00311ABF" w:rsidP="00BE4549">
      <w:pPr>
        <w:spacing w:line="276" w:lineRule="auto"/>
      </w:pPr>
    </w:p>
    <w:p w14:paraId="2DCDFFF3" w14:textId="77777777" w:rsidR="003F0F31" w:rsidRPr="005E5382" w:rsidRDefault="00B00309" w:rsidP="00BE4549">
      <w:pPr>
        <w:pStyle w:val="Heading1"/>
        <w:spacing w:line="276" w:lineRule="auto"/>
        <w:rPr>
          <w:color w:val="000000" w:themeColor="text1"/>
        </w:rPr>
      </w:pPr>
      <w:bookmarkStart w:id="1" w:name="_Toc232024478"/>
      <w:r w:rsidRPr="005E5382">
        <w:rPr>
          <w:color w:val="000000" w:themeColor="text1"/>
        </w:rPr>
        <w:t>1.0 Introduction</w:t>
      </w:r>
      <w:bookmarkEnd w:id="1"/>
    </w:p>
    <w:p w14:paraId="20025FB0" w14:textId="77777777" w:rsidR="00370E6F" w:rsidRDefault="00370E6F" w:rsidP="00BE4549">
      <w:pPr>
        <w:spacing w:line="276" w:lineRule="auto"/>
      </w:pPr>
      <w:r>
        <w:t xml:space="preserve">The definition of </w:t>
      </w:r>
      <w:proofErr w:type="spellStart"/>
      <w:r>
        <w:t>organisational</w:t>
      </w:r>
      <w:proofErr w:type="spellEnd"/>
      <w:r>
        <w:t xml:space="preserve"> culture from Mullins and Christy (2016, p. 574) is 'how things are done around here' and represents shared values, beliefs and attitudes that shape the way in which </w:t>
      </w:r>
      <w:proofErr w:type="spellStart"/>
      <w:r>
        <w:t>organisational</w:t>
      </w:r>
      <w:proofErr w:type="spellEnd"/>
      <w:r>
        <w:t xml:space="preserve"> processes are interpreted and acted upon. As digital disruption, structural cost inflation and changing expectations have been rapidly expanding, culture is emerging as a strategic resource that can either help or hinder transformation (Schein and Schein, 2017). The John Lewis Partnership (JLP) is the parent company of the John Lewis department stores and Waitrose supermarkets and is the largest employee-owned business in the United </w:t>
      </w:r>
      <w:r>
        <w:lastRenderedPageBreak/>
        <w:t>Kingdom. JLP is chosen deliberately for its culture to be a pillar of its business, as it is enshrined in its constitution by its founder, John Spedan Lewis, almost 100 years ago and is not a peripheral artefact of culture being at the end of the chain (Employee Ownership Association, 2024).</w:t>
      </w:r>
    </w:p>
    <w:p w14:paraId="6C6D9C26" w14:textId="596361A8" w:rsidR="00370E6F" w:rsidRDefault="00370E6F" w:rsidP="00BE4549">
      <w:pPr>
        <w:spacing w:line="276" w:lineRule="auto"/>
      </w:pPr>
      <w:r>
        <w:t xml:space="preserve">The report is divided into five related tasks. First, it critically examines the culture's influence on the structure and decision-making of JLP. Second, it uses Schein's three-level approach, Handy's cultural typology and Hofstede's national dimensions to gain understanding of the dominant culture. Third, it examines the ways in which JLP uses culture to respond to its external environment. Fourth, it examines critically whether culture is a barrier or an enabler to </w:t>
      </w:r>
      <w:proofErr w:type="spellStart"/>
      <w:r>
        <w:t>organisational</w:t>
      </w:r>
      <w:proofErr w:type="spellEnd"/>
      <w:r>
        <w:t xml:space="preserve"> effectiveness. Fifth, it assesses how culture is affecting more recent performance and makes theory-based recommendations. Real-world evidence comes from the published annual reports of JLP for 2024/25 &amp; 2025/26, parliamentary submissions regarding corporate governance and the trade and national media of the time. The report has a critical tone throughout, confronting the cultural structures that have been in place with the contested realities of the recent JLP performances, in this case the suspension of the Partnership Bonus in 2025 and the partial restoration of the Partnership Bonus in March 2026 (BBC News, 2026).</w:t>
      </w:r>
    </w:p>
    <w:p w14:paraId="54A641EC" w14:textId="093BD70D" w:rsidR="00311ABF" w:rsidRDefault="00311ABF" w:rsidP="00BE4549">
      <w:pPr>
        <w:spacing w:line="276" w:lineRule="auto"/>
      </w:pPr>
    </w:p>
    <w:p w14:paraId="57B5B8CE" w14:textId="3B4FC2F6" w:rsidR="00311ABF" w:rsidRDefault="00311ABF" w:rsidP="00BE4549">
      <w:pPr>
        <w:spacing w:line="276" w:lineRule="auto"/>
      </w:pPr>
    </w:p>
    <w:p w14:paraId="7DF734E0" w14:textId="77777777" w:rsidR="00311ABF" w:rsidRDefault="00311ABF" w:rsidP="00BE4549">
      <w:pPr>
        <w:spacing w:line="276" w:lineRule="auto"/>
      </w:pPr>
    </w:p>
    <w:p w14:paraId="45658561" w14:textId="77777777" w:rsidR="003F0F31" w:rsidRPr="005E5382" w:rsidRDefault="00B00309" w:rsidP="00BE4549">
      <w:pPr>
        <w:pStyle w:val="Heading1"/>
        <w:spacing w:line="276" w:lineRule="auto"/>
        <w:rPr>
          <w:color w:val="000000" w:themeColor="text1"/>
        </w:rPr>
      </w:pPr>
      <w:bookmarkStart w:id="2" w:name="_Toc232024479"/>
      <w:r w:rsidRPr="005E5382">
        <w:rPr>
          <w:color w:val="000000" w:themeColor="text1"/>
        </w:rPr>
        <w:t>2.0 Organisational Culture, Structure and Decision-Making</w:t>
      </w:r>
      <w:bookmarkEnd w:id="2"/>
    </w:p>
    <w:p w14:paraId="109C7A77" w14:textId="77777777" w:rsidR="00370E6F" w:rsidRDefault="00370E6F" w:rsidP="00BE4549">
      <w:pPr>
        <w:spacing w:line="276" w:lineRule="auto"/>
      </w:pPr>
      <w:r>
        <w:t xml:space="preserve">For Mullins and Christy (2016), </w:t>
      </w:r>
      <w:proofErr w:type="spellStart"/>
      <w:r>
        <w:t>organisational</w:t>
      </w:r>
      <w:proofErr w:type="spellEnd"/>
      <w:r>
        <w:t xml:space="preserve"> culture is a collection of deeply entrenched values, beliefs and shared assumptions that guide the interpretation of events and decision-making of </w:t>
      </w:r>
      <w:proofErr w:type="spellStart"/>
      <w:r>
        <w:t>organisational</w:t>
      </w:r>
      <w:proofErr w:type="spellEnd"/>
      <w:r>
        <w:t xml:space="preserve"> members. Schein and Schein (2017) further state that culture is the </w:t>
      </w:r>
      <w:proofErr w:type="gramStart"/>
      <w:r>
        <w:t>after-image</w:t>
      </w:r>
      <w:proofErr w:type="gramEnd"/>
      <w:r>
        <w:t xml:space="preserve"> of the group's learning in adapting to the outside world and integrating with the inside world. In JLP, culture is not emergent but is designed as an institution: The 1928 Constitution, created by John Spedan Lewis, established three governing authorities: the Partnership Council, the Chairman and the Partnership Board; and the ultimate purpose of the business was to 'promote the happiness of its members' (Employee Ownership Association, 2024).</w:t>
      </w:r>
    </w:p>
    <w:p w14:paraId="2E81819D" w14:textId="4B22952A" w:rsidR="003F0F31" w:rsidRDefault="00370E6F" w:rsidP="00BE4549">
      <w:pPr>
        <w:spacing w:line="276" w:lineRule="auto"/>
      </w:pPr>
      <w:r>
        <w:t xml:space="preserve">This constitutional structure creates a </w:t>
      </w:r>
      <w:proofErr w:type="gramStart"/>
      <w:r>
        <w:t>structure rare</w:t>
      </w:r>
      <w:proofErr w:type="gramEnd"/>
      <w:r>
        <w:t xml:space="preserve"> in the UK retail sector. JLP is a special type of shareholder-owned listed company and is held in trust for its 76,000 partners (employees) who are all co-owners. The executive board shares power with the chairman and a democratically elected partnership council which oversees partners throughout the business and holds the chairman to account under the constitution, which provides that the council may call to account the chairman and, in extremis, pass a resolution for his/her dismissal (Parliament of the United Kingdom, 2017). This tri-part arrangement is </w:t>
      </w:r>
      <w:proofErr w:type="spellStart"/>
      <w:r>
        <w:t>visualised</w:t>
      </w:r>
      <w:proofErr w:type="spellEnd"/>
      <w:r>
        <w:t xml:space="preserve"> in Figure 1.</w:t>
      </w:r>
    </w:p>
    <w:tbl>
      <w:tblPr>
        <w:tblW w:w="8640" w:type="dxa"/>
        <w:jc w:val="center"/>
        <w:tblCellMar>
          <w:top w:w="80" w:type="dxa"/>
          <w:left w:w="120" w:type="dxa"/>
          <w:bottom w:w="80" w:type="dxa"/>
          <w:right w:w="120" w:type="dxa"/>
        </w:tblCellMar>
        <w:tblLook w:val="04A0" w:firstRow="1" w:lastRow="0" w:firstColumn="1" w:lastColumn="0" w:noHBand="0" w:noVBand="1"/>
      </w:tblPr>
      <w:tblGrid>
        <w:gridCol w:w="2880"/>
        <w:gridCol w:w="2880"/>
        <w:gridCol w:w="2880"/>
      </w:tblGrid>
      <w:tr w:rsidR="003F0F31" w14:paraId="50A9E755" w14:textId="77777777">
        <w:trPr>
          <w:jc w:val="center"/>
        </w:trPr>
        <w:tc>
          <w:tcPr>
            <w:tcW w:w="2880" w:type="dxa"/>
            <w:tcBorders>
              <w:top w:val="single" w:sz="6" w:space="0" w:color="9DB5C9"/>
              <w:left w:val="single" w:sz="6" w:space="0" w:color="9DB5C9"/>
              <w:bottom w:val="single" w:sz="6" w:space="0" w:color="9DB5C9"/>
              <w:right w:val="single" w:sz="6" w:space="0" w:color="9DB5C9"/>
            </w:tcBorders>
            <w:shd w:val="clear" w:color="auto" w:fill="1F3A68"/>
          </w:tcPr>
          <w:p w14:paraId="39562B4B" w14:textId="77777777" w:rsidR="003F0F31" w:rsidRDefault="00B00309" w:rsidP="00BE4549">
            <w:pPr>
              <w:spacing w:line="276" w:lineRule="auto"/>
            </w:pPr>
            <w:r>
              <w:rPr>
                <w:b/>
                <w:color w:val="FFFFFF"/>
                <w:sz w:val="22"/>
              </w:rPr>
              <w:lastRenderedPageBreak/>
              <w:t>PARTNERSHIP COUNCIL</w:t>
            </w:r>
          </w:p>
          <w:p w14:paraId="39C7AC1F" w14:textId="77777777" w:rsidR="003F0F31" w:rsidRDefault="00B00309" w:rsidP="00BE4549">
            <w:pPr>
              <w:spacing w:line="276" w:lineRule="auto"/>
            </w:pPr>
            <w:r>
              <w:rPr>
                <w:color w:val="BBDDFF"/>
                <w:sz w:val="18"/>
              </w:rPr>
              <w:t>Democratic voice of Partners</w:t>
            </w:r>
          </w:p>
          <w:p w14:paraId="3C22ECDD" w14:textId="77777777" w:rsidR="003F0F31" w:rsidRDefault="00B00309" w:rsidP="00BE4549">
            <w:pPr>
              <w:spacing w:line="276" w:lineRule="auto"/>
            </w:pPr>
            <w:r>
              <w:rPr>
                <w:color w:val="BBDDFF"/>
                <w:sz w:val="18"/>
              </w:rPr>
              <w:t>Holds Chairman to account</w:t>
            </w:r>
          </w:p>
          <w:p w14:paraId="22E5BEB1" w14:textId="77777777" w:rsidR="003F0F31" w:rsidRDefault="00B00309" w:rsidP="00BE4549">
            <w:pPr>
              <w:spacing w:line="276" w:lineRule="auto"/>
            </w:pPr>
            <w:r>
              <w:rPr>
                <w:color w:val="BBDDFF"/>
                <w:sz w:val="18"/>
              </w:rPr>
              <w:t>600+ elected Partners</w:t>
            </w:r>
          </w:p>
        </w:tc>
        <w:tc>
          <w:tcPr>
            <w:tcW w:w="2880" w:type="dxa"/>
            <w:tcBorders>
              <w:top w:val="single" w:sz="6" w:space="0" w:color="9DB5C9"/>
              <w:left w:val="single" w:sz="6" w:space="0" w:color="9DB5C9"/>
              <w:bottom w:val="single" w:sz="6" w:space="0" w:color="9DB5C9"/>
              <w:right w:val="single" w:sz="6" w:space="0" w:color="9DB5C9"/>
            </w:tcBorders>
            <w:shd w:val="clear" w:color="auto" w:fill="2E86AB"/>
          </w:tcPr>
          <w:p w14:paraId="62D14F0F" w14:textId="77777777" w:rsidR="003F0F31" w:rsidRDefault="00B00309" w:rsidP="00BE4549">
            <w:pPr>
              <w:spacing w:line="276" w:lineRule="auto"/>
            </w:pPr>
            <w:r>
              <w:rPr>
                <w:b/>
                <w:color w:val="FFFFFF"/>
                <w:sz w:val="22"/>
              </w:rPr>
              <w:t>CHAIRMAN</w:t>
            </w:r>
          </w:p>
          <w:p w14:paraId="12D2EC96" w14:textId="77777777" w:rsidR="003F0F31" w:rsidRDefault="00B00309" w:rsidP="00BE4549">
            <w:pPr>
              <w:spacing w:line="276" w:lineRule="auto"/>
            </w:pPr>
            <w:r>
              <w:rPr>
                <w:color w:val="DDEFFF"/>
                <w:sz w:val="18"/>
              </w:rPr>
              <w:t>Upholds the Constitution</w:t>
            </w:r>
          </w:p>
          <w:p w14:paraId="40CAECD1" w14:textId="77777777" w:rsidR="003F0F31" w:rsidRDefault="00B00309" w:rsidP="00BE4549">
            <w:pPr>
              <w:spacing w:line="276" w:lineRule="auto"/>
            </w:pPr>
            <w:r>
              <w:rPr>
                <w:color w:val="DDEFFF"/>
                <w:sz w:val="18"/>
              </w:rPr>
              <w:t>Accountable to Council</w:t>
            </w:r>
          </w:p>
          <w:p w14:paraId="43EBDBDA" w14:textId="77777777" w:rsidR="003F0F31" w:rsidRDefault="00B00309" w:rsidP="00BE4549">
            <w:pPr>
              <w:spacing w:line="276" w:lineRule="auto"/>
            </w:pPr>
            <w:r>
              <w:rPr>
                <w:color w:val="DDEFFF"/>
                <w:sz w:val="18"/>
              </w:rPr>
              <w:t>Jason Tarry (2024–)</w:t>
            </w:r>
          </w:p>
        </w:tc>
        <w:tc>
          <w:tcPr>
            <w:tcW w:w="2880" w:type="dxa"/>
            <w:tcBorders>
              <w:top w:val="single" w:sz="6" w:space="0" w:color="9DB5C9"/>
              <w:left w:val="single" w:sz="6" w:space="0" w:color="9DB5C9"/>
              <w:bottom w:val="single" w:sz="6" w:space="0" w:color="9DB5C9"/>
              <w:right w:val="single" w:sz="6" w:space="0" w:color="9DB5C9"/>
            </w:tcBorders>
            <w:shd w:val="clear" w:color="auto" w:fill="1F3A68"/>
          </w:tcPr>
          <w:p w14:paraId="4A5E1070" w14:textId="77777777" w:rsidR="003F0F31" w:rsidRDefault="00B00309" w:rsidP="00BE4549">
            <w:pPr>
              <w:spacing w:line="276" w:lineRule="auto"/>
            </w:pPr>
            <w:r>
              <w:rPr>
                <w:b/>
                <w:color w:val="FFFFFF"/>
                <w:sz w:val="22"/>
              </w:rPr>
              <w:t>PARTNERSHIP BOARD</w:t>
            </w:r>
          </w:p>
          <w:p w14:paraId="15A97527" w14:textId="77777777" w:rsidR="003F0F31" w:rsidRDefault="00B00309" w:rsidP="00BE4549">
            <w:pPr>
              <w:spacing w:line="276" w:lineRule="auto"/>
            </w:pPr>
            <w:r>
              <w:rPr>
                <w:color w:val="BBDDFF"/>
                <w:sz w:val="18"/>
              </w:rPr>
              <w:t>Strategic direction</w:t>
            </w:r>
          </w:p>
          <w:p w14:paraId="21001231" w14:textId="77777777" w:rsidR="003F0F31" w:rsidRDefault="00B00309" w:rsidP="00BE4549">
            <w:pPr>
              <w:spacing w:line="276" w:lineRule="auto"/>
            </w:pPr>
            <w:r>
              <w:rPr>
                <w:color w:val="BBDDFF"/>
                <w:sz w:val="18"/>
              </w:rPr>
              <w:t>Financial oversight</w:t>
            </w:r>
          </w:p>
          <w:p w14:paraId="1AC69E0C" w14:textId="77777777" w:rsidR="003F0F31" w:rsidRDefault="00B00309" w:rsidP="00BE4549">
            <w:pPr>
              <w:spacing w:line="276" w:lineRule="auto"/>
            </w:pPr>
            <w:r>
              <w:rPr>
                <w:color w:val="BBDDFF"/>
                <w:sz w:val="18"/>
              </w:rPr>
              <w:t>5 elected Partner directors</w:t>
            </w:r>
          </w:p>
        </w:tc>
      </w:tr>
      <w:tr w:rsidR="003F0F31" w14:paraId="601345B5" w14:textId="77777777">
        <w:trPr>
          <w:jc w:val="center"/>
        </w:trPr>
        <w:tc>
          <w:tcPr>
            <w:tcW w:w="8640" w:type="dxa"/>
            <w:gridSpan w:val="3"/>
            <w:tcBorders>
              <w:top w:val="single" w:sz="4" w:space="0" w:color="9DB5C9"/>
              <w:bottom w:val="single" w:sz="4" w:space="0" w:color="9DB5C9"/>
            </w:tcBorders>
            <w:shd w:val="clear" w:color="auto" w:fill="EAF2F8"/>
          </w:tcPr>
          <w:p w14:paraId="211C91D4" w14:textId="77777777" w:rsidR="003F0F31" w:rsidRDefault="00B00309" w:rsidP="00BE4549">
            <w:pPr>
              <w:spacing w:line="276" w:lineRule="auto"/>
            </w:pPr>
            <w:r>
              <w:rPr>
                <w:i/>
                <w:color w:val="1F3A68"/>
                <w:sz w:val="18"/>
              </w:rPr>
              <w:t>76,000 Partners (employee co-</w:t>
            </w:r>
            <w:proofErr w:type="gramStart"/>
            <w:r>
              <w:rPr>
                <w:i/>
                <w:color w:val="1F3A68"/>
                <w:sz w:val="18"/>
              </w:rPr>
              <w:t>owners) —</w:t>
            </w:r>
            <w:proofErr w:type="gramEnd"/>
            <w:r>
              <w:rPr>
                <w:i/>
                <w:color w:val="1F3A68"/>
                <w:sz w:val="18"/>
              </w:rPr>
              <w:t xml:space="preserve"> share profit, knowledge and power</w:t>
            </w:r>
          </w:p>
        </w:tc>
      </w:tr>
    </w:tbl>
    <w:p w14:paraId="5E662CD5" w14:textId="6C635852" w:rsidR="003F0F31" w:rsidRPr="005E5382" w:rsidRDefault="00B00309" w:rsidP="00BE4549">
      <w:pPr>
        <w:spacing w:before="40" w:after="160" w:line="276" w:lineRule="auto"/>
        <w:rPr>
          <w:iCs/>
        </w:rPr>
      </w:pPr>
      <w:r w:rsidRPr="005E5382">
        <w:rPr>
          <w:iCs/>
          <w:sz w:val="20"/>
        </w:rPr>
        <w:t>Figure 1: JLP Governance Structure — The Three Authorities (Employee Ownership Association, 2024)</w:t>
      </w:r>
    </w:p>
    <w:p w14:paraId="518F9342" w14:textId="77777777" w:rsidR="00370E6F" w:rsidRPr="00311ABF" w:rsidRDefault="00370E6F" w:rsidP="00BE4549">
      <w:pPr>
        <w:spacing w:line="276" w:lineRule="auto"/>
        <w:rPr>
          <w:color w:val="auto"/>
        </w:rPr>
      </w:pPr>
      <w:r w:rsidRPr="00311ABF">
        <w:rPr>
          <w:color w:val="auto"/>
        </w:rPr>
        <w:t xml:space="preserve">JLP is structurally distinct from a traditional machine bureaucracy and resembles what Mullins and McLean (2019) </w:t>
      </w:r>
      <w:proofErr w:type="gramStart"/>
      <w:r w:rsidRPr="00311ABF">
        <w:rPr>
          <w:color w:val="auto"/>
        </w:rPr>
        <w:t>calls</w:t>
      </w:r>
      <w:proofErr w:type="gramEnd"/>
      <w:r w:rsidRPr="00311ABF">
        <w:rPr>
          <w:color w:val="auto"/>
        </w:rPr>
        <w:t xml:space="preserve"> a participative form, in which decision rights are shared and moderated by deliberative structures. The strategic direction, allocation of capital, and partner pay are not executive decisions but are mediated through partner forums and constitutional accountability. The decision not to pay the partnership bonus in 2025 despite a threefold rise in profits, for instance, was mentioned in democratic forums, and the council had to examine the balance between reward and reinvestment in transformation (Retail Gazette, 2026).</w:t>
      </w:r>
    </w:p>
    <w:p w14:paraId="0723358F" w14:textId="77777777" w:rsidR="00370E6F" w:rsidRPr="00311ABF" w:rsidRDefault="00370E6F" w:rsidP="00BE4549">
      <w:pPr>
        <w:spacing w:line="276" w:lineRule="auto"/>
        <w:rPr>
          <w:color w:val="auto"/>
        </w:rPr>
      </w:pPr>
      <w:r>
        <w:t xml:space="preserve">Critically, this is a structure with two implications for decision-making. On the positive side, partner buy-in is important for legitimate decisions, creating less friction in implementing the decision and reinforcing the espoused value of fairness (Cameron and Quinn, 2011). Participating in democratic systems also brings out front-line knowledge that hierarchical retailers might not know. The downside of the trade-off is decision speed. A consultative </w:t>
      </w:r>
      <w:r w:rsidRPr="00311ABF">
        <w:rPr>
          <w:color w:val="auto"/>
        </w:rPr>
        <w:t xml:space="preserve">culture slows down decision-making, which is risky in the fast-moving sector, as Hofstede, Hofstede and Minkov (2010) suggest. As Chairman (2020-2024), Sharon White was </w:t>
      </w:r>
      <w:proofErr w:type="spellStart"/>
      <w:r w:rsidRPr="00311ABF">
        <w:rPr>
          <w:color w:val="auto"/>
        </w:rPr>
        <w:t>criticised</w:t>
      </w:r>
      <w:proofErr w:type="spellEnd"/>
      <w:r w:rsidRPr="00311ABF">
        <w:rPr>
          <w:color w:val="auto"/>
        </w:rPr>
        <w:t xml:space="preserve"> for restricting the speed and amount of investment needed for digital and store-portfolio reform; her replacement, Jason Tarry, has made it clear that he is seeking to accelerate digital investment, with capital expenditure rising from £312m in 2023/24 to £542m in 2024/25, and there are plans to spend approximately £600m in 2025/26 (Fortune, 2025; Drapers, 2025).</w:t>
      </w:r>
    </w:p>
    <w:p w14:paraId="3C599E12" w14:textId="3A40382D" w:rsidR="00370E6F" w:rsidRDefault="00370E6F" w:rsidP="00BE4549">
      <w:pPr>
        <w:spacing w:line="276" w:lineRule="auto"/>
      </w:pPr>
      <w:r w:rsidRPr="00311ABF">
        <w:rPr>
          <w:color w:val="auto"/>
        </w:rPr>
        <w:t xml:space="preserve">The structure-decision relationship at JLP can thus be interpreted as a constitutional agreement to participative governance that ensures legitimacy but comes at a price of lack of agility. This trade-off mirrors the study </w:t>
      </w:r>
      <w:r>
        <w:t xml:space="preserve">by Schneider, Ehrhart and Macey (2013), which found that effectiveness and adaptability are both shaped by climate and culture and sometimes </w:t>
      </w:r>
      <w:proofErr w:type="gramStart"/>
      <w:r>
        <w:t>are in tension</w:t>
      </w:r>
      <w:proofErr w:type="gramEnd"/>
      <w:r>
        <w:t xml:space="preserve">. </w:t>
      </w:r>
    </w:p>
    <w:p w14:paraId="3314855C" w14:textId="354CEDE5" w:rsidR="00311ABF" w:rsidRDefault="00311ABF" w:rsidP="00BE4549">
      <w:pPr>
        <w:spacing w:line="276" w:lineRule="auto"/>
      </w:pPr>
    </w:p>
    <w:p w14:paraId="634F2B01" w14:textId="58E72C1B" w:rsidR="00311ABF" w:rsidRDefault="00311ABF" w:rsidP="00BE4549">
      <w:pPr>
        <w:spacing w:line="276" w:lineRule="auto"/>
      </w:pPr>
    </w:p>
    <w:p w14:paraId="3793F3DB" w14:textId="599C751D" w:rsidR="00311ABF" w:rsidRDefault="00311ABF" w:rsidP="00BE4549">
      <w:pPr>
        <w:spacing w:line="276" w:lineRule="auto"/>
      </w:pPr>
    </w:p>
    <w:p w14:paraId="6245BFF6" w14:textId="37E15E8A" w:rsidR="00311ABF" w:rsidRDefault="00311ABF" w:rsidP="00BE4549">
      <w:pPr>
        <w:spacing w:line="276" w:lineRule="auto"/>
      </w:pPr>
    </w:p>
    <w:p w14:paraId="5BF4B610" w14:textId="4CB7EFE3" w:rsidR="00311ABF" w:rsidRDefault="00311ABF" w:rsidP="00BE4549">
      <w:pPr>
        <w:spacing w:line="276" w:lineRule="auto"/>
      </w:pPr>
    </w:p>
    <w:p w14:paraId="477AB3A0" w14:textId="77777777" w:rsidR="00822A4A" w:rsidRDefault="00822A4A" w:rsidP="00BE4549">
      <w:pPr>
        <w:spacing w:line="276" w:lineRule="auto"/>
      </w:pPr>
    </w:p>
    <w:p w14:paraId="7406946B" w14:textId="77777777" w:rsidR="003F0F31" w:rsidRPr="005E5382" w:rsidRDefault="00B00309" w:rsidP="00BE4549">
      <w:pPr>
        <w:pStyle w:val="Heading1"/>
        <w:spacing w:line="276" w:lineRule="auto"/>
        <w:rPr>
          <w:color w:val="000000" w:themeColor="text1"/>
        </w:rPr>
      </w:pPr>
      <w:bookmarkStart w:id="3" w:name="_Toc232024480"/>
      <w:r w:rsidRPr="005E5382">
        <w:rPr>
          <w:color w:val="000000" w:themeColor="text1"/>
        </w:rPr>
        <w:t>3.0 Application of Cultural Frameworks</w:t>
      </w:r>
      <w:bookmarkEnd w:id="3"/>
    </w:p>
    <w:p w14:paraId="2B729196" w14:textId="5FD86957" w:rsidR="00370E6F" w:rsidRDefault="00370E6F" w:rsidP="00BE4549">
      <w:pPr>
        <w:spacing w:line="276" w:lineRule="auto"/>
      </w:pPr>
      <w:proofErr w:type="gramStart"/>
      <w:r>
        <w:t>In order to</w:t>
      </w:r>
      <w:proofErr w:type="gramEnd"/>
      <w:r>
        <w:t xml:space="preserve"> get to know the prevailing culture at JLP, this section uses three frameworks that are well known in the field: Schein's three-level model, Handy's typology and Hofstede's national dimensions; the results are triangulated.</w:t>
      </w:r>
    </w:p>
    <w:p w14:paraId="256897C1" w14:textId="77777777" w:rsidR="003F0F31" w:rsidRPr="005E5382" w:rsidRDefault="00B00309" w:rsidP="00BE4549">
      <w:pPr>
        <w:pStyle w:val="Heading2"/>
        <w:spacing w:line="276" w:lineRule="auto"/>
        <w:rPr>
          <w:color w:val="000000" w:themeColor="text1"/>
        </w:rPr>
      </w:pPr>
      <w:bookmarkStart w:id="4" w:name="_Toc232024481"/>
      <w:r w:rsidRPr="005E5382">
        <w:rPr>
          <w:color w:val="000000" w:themeColor="text1"/>
        </w:rPr>
        <w:t>3.1 Schein's Three Levels of Culture</w:t>
      </w:r>
      <w:bookmarkEnd w:id="4"/>
    </w:p>
    <w:p w14:paraId="3892859B" w14:textId="77777777" w:rsidR="003F0F31" w:rsidRDefault="00B00309" w:rsidP="00BE4549">
      <w:pPr>
        <w:spacing w:line="276" w:lineRule="auto"/>
      </w:pPr>
      <w:r>
        <w:t>Schein and Schein (2017) propose that culture operates at three interlocking levels: visible artefacts, espoused values and underlying basic assumptions. Figure 2 maps JLP-specific exemplars to each level.</w:t>
      </w:r>
    </w:p>
    <w:tbl>
      <w:tblPr>
        <w:tblW w:w="8640" w:type="dxa"/>
        <w:jc w:val="center"/>
        <w:tblCellMar>
          <w:top w:w="80" w:type="dxa"/>
          <w:left w:w="120" w:type="dxa"/>
          <w:bottom w:w="80" w:type="dxa"/>
          <w:right w:w="120" w:type="dxa"/>
        </w:tblCellMar>
        <w:tblLook w:val="04A0" w:firstRow="1" w:lastRow="0" w:firstColumn="1" w:lastColumn="0" w:noHBand="0" w:noVBand="1"/>
      </w:tblPr>
      <w:tblGrid>
        <w:gridCol w:w="2400"/>
        <w:gridCol w:w="6240"/>
      </w:tblGrid>
      <w:tr w:rsidR="003F0F31" w14:paraId="6416A65B" w14:textId="77777777">
        <w:trPr>
          <w:jc w:val="center"/>
        </w:trPr>
        <w:tc>
          <w:tcPr>
            <w:tcW w:w="2400" w:type="dxa"/>
            <w:tcBorders>
              <w:top w:val="single" w:sz="4" w:space="0" w:color="9DB5C9"/>
              <w:left w:val="single" w:sz="4" w:space="0" w:color="9DB5C9"/>
              <w:bottom w:val="single" w:sz="4" w:space="0" w:color="9DB5C9"/>
              <w:right w:val="single" w:sz="4" w:space="0" w:color="9DB5C9"/>
            </w:tcBorders>
            <w:shd w:val="clear" w:color="auto" w:fill="1F3A68"/>
            <w:vAlign w:val="center"/>
          </w:tcPr>
          <w:p w14:paraId="681C5184" w14:textId="77777777" w:rsidR="003F0F31" w:rsidRDefault="00B00309" w:rsidP="00BE4549">
            <w:pPr>
              <w:spacing w:line="276" w:lineRule="auto"/>
            </w:pPr>
            <w:r>
              <w:rPr>
                <w:b/>
                <w:color w:val="FFFFFF"/>
                <w:sz w:val="18"/>
              </w:rPr>
              <w:t>UNDERLYING ASSUMPTIONS (Level 3 — Deepest)</w:t>
            </w:r>
          </w:p>
        </w:tc>
        <w:tc>
          <w:tcPr>
            <w:tcW w:w="6240" w:type="dxa"/>
            <w:tcBorders>
              <w:top w:val="single" w:sz="4" w:space="0" w:color="9DB5C9"/>
              <w:left w:val="single" w:sz="4" w:space="0" w:color="9DB5C9"/>
              <w:bottom w:val="single" w:sz="4" w:space="0" w:color="9DB5C9"/>
              <w:right w:val="single" w:sz="4" w:space="0" w:color="9DB5C9"/>
            </w:tcBorders>
            <w:shd w:val="clear" w:color="auto" w:fill="1F3A68"/>
            <w:vAlign w:val="center"/>
          </w:tcPr>
          <w:p w14:paraId="2170165D" w14:textId="77777777" w:rsidR="003F0F31" w:rsidRDefault="00B00309" w:rsidP="00BE4549">
            <w:pPr>
              <w:spacing w:line="276" w:lineRule="auto"/>
            </w:pPr>
            <w:r>
              <w:rPr>
                <w:color w:val="FFFFFF"/>
                <w:sz w:val="18"/>
              </w:rPr>
              <w:t>Co-ownership is morally right; fairness underpins commercial success; long-term stewardship supersedes short-term profit</w:t>
            </w:r>
          </w:p>
        </w:tc>
      </w:tr>
      <w:tr w:rsidR="003F0F31" w14:paraId="671907B2" w14:textId="77777777">
        <w:trPr>
          <w:jc w:val="center"/>
        </w:trPr>
        <w:tc>
          <w:tcPr>
            <w:tcW w:w="2400" w:type="dxa"/>
            <w:tcBorders>
              <w:top w:val="single" w:sz="4" w:space="0" w:color="9DB5C9"/>
              <w:left w:val="single" w:sz="4" w:space="0" w:color="9DB5C9"/>
              <w:bottom w:val="single" w:sz="4" w:space="0" w:color="9DB5C9"/>
              <w:right w:val="single" w:sz="4" w:space="0" w:color="9DB5C9"/>
            </w:tcBorders>
            <w:shd w:val="clear" w:color="auto" w:fill="2E86AB"/>
            <w:vAlign w:val="center"/>
          </w:tcPr>
          <w:p w14:paraId="53F8D037" w14:textId="77777777" w:rsidR="003F0F31" w:rsidRDefault="00B00309" w:rsidP="00BE4549">
            <w:pPr>
              <w:spacing w:line="276" w:lineRule="auto"/>
            </w:pPr>
            <w:r>
              <w:rPr>
                <w:b/>
                <w:color w:val="FFFFFF"/>
                <w:sz w:val="18"/>
              </w:rPr>
              <w:t>ESPOUSED VALUES (Level 2)</w:t>
            </w:r>
          </w:p>
        </w:tc>
        <w:tc>
          <w:tcPr>
            <w:tcW w:w="6240" w:type="dxa"/>
            <w:tcBorders>
              <w:top w:val="single" w:sz="4" w:space="0" w:color="9DB5C9"/>
              <w:left w:val="single" w:sz="4" w:space="0" w:color="9DB5C9"/>
              <w:bottom w:val="single" w:sz="4" w:space="0" w:color="9DB5C9"/>
              <w:right w:val="single" w:sz="4" w:space="0" w:color="9DB5C9"/>
            </w:tcBorders>
            <w:shd w:val="clear" w:color="auto" w:fill="2E86AB"/>
            <w:vAlign w:val="center"/>
          </w:tcPr>
          <w:p w14:paraId="0B58C20C" w14:textId="77777777" w:rsidR="003F0F31" w:rsidRDefault="00B00309" w:rsidP="00BE4549">
            <w:pPr>
              <w:spacing w:line="276" w:lineRule="auto"/>
            </w:pPr>
            <w:r>
              <w:rPr>
                <w:color w:val="FFFFFF"/>
                <w:sz w:val="18"/>
              </w:rPr>
              <w:t>'Working in Partnership for a happier world'; 'Brilliant Retail'; Partners share profit, knowledge and power; fairness, honesty, respect</w:t>
            </w:r>
          </w:p>
        </w:tc>
      </w:tr>
      <w:tr w:rsidR="003F0F31" w14:paraId="3261424B" w14:textId="77777777">
        <w:trPr>
          <w:jc w:val="center"/>
        </w:trPr>
        <w:tc>
          <w:tcPr>
            <w:tcW w:w="2400" w:type="dxa"/>
            <w:tcBorders>
              <w:top w:val="single" w:sz="4" w:space="0" w:color="9DB5C9"/>
              <w:left w:val="single" w:sz="4" w:space="0" w:color="9DB5C9"/>
              <w:bottom w:val="single" w:sz="4" w:space="0" w:color="9DB5C9"/>
              <w:right w:val="single" w:sz="4" w:space="0" w:color="9DB5C9"/>
            </w:tcBorders>
            <w:shd w:val="clear" w:color="auto" w:fill="EAF2F8"/>
            <w:vAlign w:val="center"/>
          </w:tcPr>
          <w:p w14:paraId="4649207D" w14:textId="77777777" w:rsidR="003F0F31" w:rsidRDefault="00B00309" w:rsidP="00BE4549">
            <w:pPr>
              <w:spacing w:line="276" w:lineRule="auto"/>
            </w:pPr>
            <w:r>
              <w:rPr>
                <w:b/>
                <w:color w:val="1F3A68"/>
                <w:sz w:val="18"/>
              </w:rPr>
              <w:t>ARTEFACTS (Level 1 — Visible)</w:t>
            </w:r>
          </w:p>
        </w:tc>
        <w:tc>
          <w:tcPr>
            <w:tcW w:w="6240" w:type="dxa"/>
            <w:tcBorders>
              <w:top w:val="single" w:sz="4" w:space="0" w:color="9DB5C9"/>
              <w:left w:val="single" w:sz="4" w:space="0" w:color="9DB5C9"/>
              <w:bottom w:val="single" w:sz="4" w:space="0" w:color="9DB5C9"/>
              <w:right w:val="single" w:sz="4" w:space="0" w:color="9DB5C9"/>
            </w:tcBorders>
            <w:shd w:val="clear" w:color="auto" w:fill="EAF2F8"/>
            <w:vAlign w:val="center"/>
          </w:tcPr>
          <w:p w14:paraId="7E7039AB" w14:textId="77777777" w:rsidR="003F0F31" w:rsidRDefault="00B00309" w:rsidP="00BE4549">
            <w:pPr>
              <w:spacing w:line="276" w:lineRule="auto"/>
            </w:pPr>
            <w:r>
              <w:rPr>
                <w:color w:val="1F3A68"/>
                <w:sz w:val="18"/>
              </w:rPr>
              <w:t>Partnership Constitution; Partnership Council; The Gazette; 'Partners' branding; Partnership Bonus; democratic forums; store uniforms</w:t>
            </w:r>
          </w:p>
        </w:tc>
      </w:tr>
    </w:tbl>
    <w:p w14:paraId="583903BF" w14:textId="77777777" w:rsidR="003F0F31" w:rsidRPr="005E5382" w:rsidRDefault="00B00309" w:rsidP="00BE4549">
      <w:pPr>
        <w:spacing w:before="40" w:after="160" w:line="276" w:lineRule="auto"/>
        <w:rPr>
          <w:iCs/>
        </w:rPr>
      </w:pPr>
      <w:r w:rsidRPr="005E5382">
        <w:rPr>
          <w:iCs/>
          <w:sz w:val="20"/>
        </w:rPr>
        <w:t>Figure 2: Schein's Three Levels of Culture applied to JLP (adapted from Schein and Schein, 2017)</w:t>
      </w:r>
    </w:p>
    <w:p w14:paraId="7167DB22" w14:textId="77777777" w:rsidR="008F4A70" w:rsidRDefault="008F4A70" w:rsidP="00BE4549">
      <w:pPr>
        <w:spacing w:line="276" w:lineRule="auto"/>
      </w:pPr>
      <w:r>
        <w:t xml:space="preserve">The most obvious JLP signals are the Partnership Constitution, the United Kingdom's longest-running in-house newspaper (the Gazette, in circulation since 1918), the elected Partnership Council and the annual Partnership Bonus. Employee Ownership Association (2024): The "Partners" branding on the shopfront and on Partner badges comes to life as co-ownership between colleagues and customers. The purpose statement 'Working in Partnership for a happier world' and the 'Brilliant Retail' strategic narrative (John Lewis Partnership, 2025) are used to support the espoused values which are expressed in the Constitution. The deepest and most powerful beliefs are underlying assumptions, such as a belief that the business is bigger for the satisfaction of partners than it is for outside shareholders; that fairness is a part of business success; and that long-term stewardship is more important than short-term profit </w:t>
      </w:r>
      <w:proofErr w:type="spellStart"/>
      <w:r>
        <w:t>maximisation</w:t>
      </w:r>
      <w:proofErr w:type="spellEnd"/>
      <w:r>
        <w:t>.</w:t>
      </w:r>
    </w:p>
    <w:p w14:paraId="0D95AAAE" w14:textId="77777777" w:rsidR="008F4A70" w:rsidRDefault="008F4A70" w:rsidP="00BE4549">
      <w:pPr>
        <w:spacing w:line="276" w:lineRule="auto"/>
      </w:pPr>
      <w:r>
        <w:t xml:space="preserve">The key to the strength of Schein's framework is the fact that artefacts and espoused values can be copied by others, but assumptions cannot. This is the most fundamental level of JLP's competitive distinctiveness. It is also </w:t>
      </w:r>
      <w:proofErr w:type="spellStart"/>
      <w:r>
        <w:t>recognised</w:t>
      </w:r>
      <w:proofErr w:type="spellEnd"/>
      <w:r>
        <w:t xml:space="preserve">, however, that culture can become maladaptive when assumptions become entrenched and hinder learning, as Schein and Schein (2017) point out. They </w:t>
      </w:r>
      <w:proofErr w:type="gramStart"/>
      <w:r>
        <w:t>have been</w:t>
      </w:r>
      <w:proofErr w:type="gramEnd"/>
      <w:r>
        <w:t xml:space="preserve"> </w:t>
      </w:r>
      <w:proofErr w:type="gramStart"/>
      <w:r>
        <w:t>heard to complain</w:t>
      </w:r>
      <w:proofErr w:type="gramEnd"/>
      <w:r>
        <w:t xml:space="preserve"> that this is a problem at JLP, where quick decisions on closing stores may have been put off, along with online migration and the external minority investment scheme later mooted by White, which was briefly explored (Drapers, 2025; Personnel Today, 2024).</w:t>
      </w:r>
    </w:p>
    <w:p w14:paraId="76B5FCEF" w14:textId="77777777" w:rsidR="003F0F31" w:rsidRPr="005E5382" w:rsidRDefault="00B00309" w:rsidP="00BE4549">
      <w:pPr>
        <w:pStyle w:val="Heading2"/>
        <w:spacing w:line="276" w:lineRule="auto"/>
        <w:rPr>
          <w:color w:val="000000" w:themeColor="text1"/>
        </w:rPr>
      </w:pPr>
      <w:bookmarkStart w:id="5" w:name="_Toc232024482"/>
      <w:r w:rsidRPr="005E5382">
        <w:rPr>
          <w:color w:val="000000" w:themeColor="text1"/>
        </w:rPr>
        <w:lastRenderedPageBreak/>
        <w:t>3.2 Handy's Cultural Typology</w:t>
      </w:r>
      <w:bookmarkEnd w:id="5"/>
    </w:p>
    <w:p w14:paraId="36BA0FBA" w14:textId="5284FD51" w:rsidR="008F4A70" w:rsidRDefault="008F4A70" w:rsidP="00BE4549">
      <w:pPr>
        <w:spacing w:line="276" w:lineRule="auto"/>
      </w:pPr>
      <w:r>
        <w:t xml:space="preserve">There are four types of culture in </w:t>
      </w:r>
      <w:proofErr w:type="spellStart"/>
      <w:r>
        <w:t>organisations</w:t>
      </w:r>
      <w:proofErr w:type="spellEnd"/>
      <w:r>
        <w:t xml:space="preserve"> according to Handy (1993): power, role, task and person. All of these are applied to JLP in Table 1.</w:t>
      </w:r>
    </w:p>
    <w:tbl>
      <w:tblPr>
        <w:tblW w:w="0" w:type="auto"/>
        <w:jc w:val="center"/>
        <w:tblLayout w:type="fixed"/>
        <w:tblLook w:val="04A0" w:firstRow="1" w:lastRow="0" w:firstColumn="1" w:lastColumn="0" w:noHBand="0" w:noVBand="1"/>
      </w:tblPr>
      <w:tblGrid>
        <w:gridCol w:w="1984"/>
        <w:gridCol w:w="2551"/>
        <w:gridCol w:w="3118"/>
        <w:gridCol w:w="1134"/>
      </w:tblGrid>
      <w:tr w:rsidR="003F0F31" w14:paraId="2E62470A" w14:textId="77777777">
        <w:trPr>
          <w:jc w:val="center"/>
        </w:trPr>
        <w:tc>
          <w:tcPr>
            <w:tcW w:w="1984" w:type="dxa"/>
            <w:tcBorders>
              <w:top w:val="single" w:sz="4" w:space="0" w:color="9DB5C9"/>
              <w:left w:val="single" w:sz="4" w:space="0" w:color="9DB5C9"/>
              <w:bottom w:val="single" w:sz="4" w:space="0" w:color="9DB5C9"/>
              <w:right w:val="single" w:sz="4" w:space="0" w:color="9DB5C9"/>
            </w:tcBorders>
            <w:shd w:val="clear" w:color="auto" w:fill="1F3A68"/>
            <w:vAlign w:val="center"/>
          </w:tcPr>
          <w:p w14:paraId="4E96691A" w14:textId="77777777" w:rsidR="003F0F31" w:rsidRDefault="00B00309" w:rsidP="00BE4549">
            <w:pPr>
              <w:spacing w:after="40" w:line="276" w:lineRule="auto"/>
            </w:pPr>
            <w:r>
              <w:rPr>
                <w:b/>
                <w:color w:val="FFFFFF"/>
                <w:sz w:val="20"/>
              </w:rPr>
              <w:t>Culture Type (Handy, 1993)</w:t>
            </w:r>
          </w:p>
        </w:tc>
        <w:tc>
          <w:tcPr>
            <w:tcW w:w="2551" w:type="dxa"/>
            <w:tcBorders>
              <w:top w:val="single" w:sz="4" w:space="0" w:color="9DB5C9"/>
              <w:left w:val="single" w:sz="4" w:space="0" w:color="9DB5C9"/>
              <w:bottom w:val="single" w:sz="4" w:space="0" w:color="9DB5C9"/>
              <w:right w:val="single" w:sz="4" w:space="0" w:color="9DB5C9"/>
            </w:tcBorders>
            <w:shd w:val="clear" w:color="auto" w:fill="1F3A68"/>
            <w:vAlign w:val="center"/>
          </w:tcPr>
          <w:p w14:paraId="7B4AD7C5" w14:textId="77777777" w:rsidR="003F0F31" w:rsidRDefault="00B00309" w:rsidP="00BE4549">
            <w:pPr>
              <w:spacing w:after="40" w:line="276" w:lineRule="auto"/>
            </w:pPr>
            <w:r>
              <w:rPr>
                <w:b/>
                <w:color w:val="FFFFFF"/>
                <w:sz w:val="20"/>
              </w:rPr>
              <w:t>Defining Characteristic</w:t>
            </w:r>
          </w:p>
        </w:tc>
        <w:tc>
          <w:tcPr>
            <w:tcW w:w="3118" w:type="dxa"/>
            <w:tcBorders>
              <w:top w:val="single" w:sz="4" w:space="0" w:color="9DB5C9"/>
              <w:left w:val="single" w:sz="4" w:space="0" w:color="9DB5C9"/>
              <w:bottom w:val="single" w:sz="4" w:space="0" w:color="9DB5C9"/>
              <w:right w:val="single" w:sz="4" w:space="0" w:color="9DB5C9"/>
            </w:tcBorders>
            <w:shd w:val="clear" w:color="auto" w:fill="1F3A68"/>
            <w:vAlign w:val="center"/>
          </w:tcPr>
          <w:p w14:paraId="01448BCB" w14:textId="77777777" w:rsidR="003F0F31" w:rsidRDefault="00B00309" w:rsidP="00BE4549">
            <w:pPr>
              <w:spacing w:after="40" w:line="276" w:lineRule="auto"/>
            </w:pPr>
            <w:r>
              <w:rPr>
                <w:b/>
                <w:color w:val="FFFFFF"/>
                <w:sz w:val="20"/>
              </w:rPr>
              <w:t>Evidence at JLP</w:t>
            </w:r>
          </w:p>
        </w:tc>
        <w:tc>
          <w:tcPr>
            <w:tcW w:w="1134" w:type="dxa"/>
            <w:tcBorders>
              <w:top w:val="single" w:sz="4" w:space="0" w:color="9DB5C9"/>
              <w:left w:val="single" w:sz="4" w:space="0" w:color="9DB5C9"/>
              <w:bottom w:val="single" w:sz="4" w:space="0" w:color="9DB5C9"/>
              <w:right w:val="single" w:sz="4" w:space="0" w:color="9DB5C9"/>
            </w:tcBorders>
            <w:shd w:val="clear" w:color="auto" w:fill="1F3A68"/>
            <w:vAlign w:val="center"/>
          </w:tcPr>
          <w:p w14:paraId="3DB39B86" w14:textId="77777777" w:rsidR="003F0F31" w:rsidRDefault="00B00309" w:rsidP="00BE4549">
            <w:pPr>
              <w:spacing w:after="40" w:line="276" w:lineRule="auto"/>
            </w:pPr>
            <w:r>
              <w:rPr>
                <w:b/>
                <w:color w:val="FFFFFF"/>
                <w:sz w:val="20"/>
              </w:rPr>
              <w:t>Strength</w:t>
            </w:r>
          </w:p>
        </w:tc>
      </w:tr>
      <w:tr w:rsidR="003F0F31" w14:paraId="69BE7DC8" w14:textId="77777777">
        <w:trPr>
          <w:jc w:val="center"/>
        </w:trPr>
        <w:tc>
          <w:tcPr>
            <w:tcW w:w="1984" w:type="dxa"/>
            <w:tcBorders>
              <w:top w:val="single" w:sz="4" w:space="0" w:color="9DB5C9"/>
              <w:left w:val="single" w:sz="4" w:space="0" w:color="9DB5C9"/>
              <w:bottom w:val="single" w:sz="4" w:space="0" w:color="9DB5C9"/>
              <w:right w:val="single" w:sz="4" w:space="0" w:color="9DB5C9"/>
            </w:tcBorders>
            <w:vAlign w:val="center"/>
          </w:tcPr>
          <w:p w14:paraId="0B4C0408" w14:textId="77777777" w:rsidR="003F0F31" w:rsidRDefault="00B00309" w:rsidP="00BE4549">
            <w:pPr>
              <w:spacing w:after="40" w:line="276" w:lineRule="auto"/>
            </w:pPr>
            <w:r>
              <w:rPr>
                <w:sz w:val="20"/>
              </w:rPr>
              <w:t>Power culture</w:t>
            </w:r>
          </w:p>
        </w:tc>
        <w:tc>
          <w:tcPr>
            <w:tcW w:w="2551" w:type="dxa"/>
            <w:tcBorders>
              <w:top w:val="single" w:sz="4" w:space="0" w:color="9DB5C9"/>
              <w:left w:val="single" w:sz="4" w:space="0" w:color="9DB5C9"/>
              <w:bottom w:val="single" w:sz="4" w:space="0" w:color="9DB5C9"/>
              <w:right w:val="single" w:sz="4" w:space="0" w:color="9DB5C9"/>
            </w:tcBorders>
            <w:vAlign w:val="center"/>
          </w:tcPr>
          <w:p w14:paraId="7E435FA0" w14:textId="77777777" w:rsidR="003F0F31" w:rsidRDefault="00B00309" w:rsidP="00BE4549">
            <w:pPr>
              <w:spacing w:after="40" w:line="276" w:lineRule="auto"/>
            </w:pPr>
            <w:r>
              <w:rPr>
                <w:sz w:val="20"/>
              </w:rPr>
              <w:t>Central authority; decisions radiate from a power figure</w:t>
            </w:r>
          </w:p>
        </w:tc>
        <w:tc>
          <w:tcPr>
            <w:tcW w:w="3118" w:type="dxa"/>
            <w:tcBorders>
              <w:top w:val="single" w:sz="4" w:space="0" w:color="9DB5C9"/>
              <w:left w:val="single" w:sz="4" w:space="0" w:color="9DB5C9"/>
              <w:bottom w:val="single" w:sz="4" w:space="0" w:color="9DB5C9"/>
              <w:right w:val="single" w:sz="4" w:space="0" w:color="9DB5C9"/>
            </w:tcBorders>
            <w:vAlign w:val="center"/>
          </w:tcPr>
          <w:p w14:paraId="79B86A38" w14:textId="77777777" w:rsidR="003F0F31" w:rsidRDefault="00B00309" w:rsidP="00BE4549">
            <w:pPr>
              <w:spacing w:after="40" w:line="276" w:lineRule="auto"/>
            </w:pPr>
            <w:r>
              <w:rPr>
                <w:sz w:val="20"/>
              </w:rPr>
              <w:t>Muted: Chairman is constitutionally constrained by Council and Trust</w:t>
            </w:r>
          </w:p>
        </w:tc>
        <w:tc>
          <w:tcPr>
            <w:tcW w:w="1134" w:type="dxa"/>
            <w:tcBorders>
              <w:top w:val="single" w:sz="4" w:space="0" w:color="9DB5C9"/>
              <w:left w:val="single" w:sz="4" w:space="0" w:color="9DB5C9"/>
              <w:bottom w:val="single" w:sz="4" w:space="0" w:color="9DB5C9"/>
              <w:right w:val="single" w:sz="4" w:space="0" w:color="9DB5C9"/>
            </w:tcBorders>
            <w:vAlign w:val="center"/>
          </w:tcPr>
          <w:p w14:paraId="32CFD22B" w14:textId="77777777" w:rsidR="003F0F31" w:rsidRDefault="00B00309" w:rsidP="00BE4549">
            <w:pPr>
              <w:spacing w:after="40" w:line="276" w:lineRule="auto"/>
            </w:pPr>
            <w:r>
              <w:rPr>
                <w:sz w:val="20"/>
              </w:rPr>
              <w:t>Weak</w:t>
            </w:r>
          </w:p>
        </w:tc>
      </w:tr>
      <w:tr w:rsidR="003F0F31" w14:paraId="668864E2" w14:textId="77777777">
        <w:trPr>
          <w:jc w:val="center"/>
        </w:trPr>
        <w:tc>
          <w:tcPr>
            <w:tcW w:w="1984" w:type="dxa"/>
            <w:tcBorders>
              <w:top w:val="single" w:sz="4" w:space="0" w:color="9DB5C9"/>
              <w:left w:val="single" w:sz="4" w:space="0" w:color="9DB5C9"/>
              <w:bottom w:val="single" w:sz="4" w:space="0" w:color="9DB5C9"/>
              <w:right w:val="single" w:sz="4" w:space="0" w:color="9DB5C9"/>
            </w:tcBorders>
            <w:shd w:val="clear" w:color="auto" w:fill="F2F5F9"/>
            <w:vAlign w:val="center"/>
          </w:tcPr>
          <w:p w14:paraId="4BEC4A68" w14:textId="77777777" w:rsidR="003F0F31" w:rsidRDefault="00B00309" w:rsidP="00BE4549">
            <w:pPr>
              <w:spacing w:after="40" w:line="276" w:lineRule="auto"/>
            </w:pPr>
            <w:r>
              <w:rPr>
                <w:sz w:val="20"/>
              </w:rPr>
              <w:t>Role culture</w:t>
            </w:r>
          </w:p>
        </w:tc>
        <w:tc>
          <w:tcPr>
            <w:tcW w:w="2551" w:type="dxa"/>
            <w:tcBorders>
              <w:top w:val="single" w:sz="4" w:space="0" w:color="9DB5C9"/>
              <w:left w:val="single" w:sz="4" w:space="0" w:color="9DB5C9"/>
              <w:bottom w:val="single" w:sz="4" w:space="0" w:color="9DB5C9"/>
              <w:right w:val="single" w:sz="4" w:space="0" w:color="9DB5C9"/>
            </w:tcBorders>
            <w:shd w:val="clear" w:color="auto" w:fill="F2F5F9"/>
            <w:vAlign w:val="center"/>
          </w:tcPr>
          <w:p w14:paraId="42EF4F13" w14:textId="77777777" w:rsidR="003F0F31" w:rsidRDefault="00B00309" w:rsidP="00BE4549">
            <w:pPr>
              <w:spacing w:after="40" w:line="276" w:lineRule="auto"/>
            </w:pPr>
            <w:r>
              <w:rPr>
                <w:sz w:val="20"/>
              </w:rPr>
              <w:t>Bureaucratic; rules, procedures and defined roles dominate</w:t>
            </w:r>
          </w:p>
        </w:tc>
        <w:tc>
          <w:tcPr>
            <w:tcW w:w="3118" w:type="dxa"/>
            <w:tcBorders>
              <w:top w:val="single" w:sz="4" w:space="0" w:color="9DB5C9"/>
              <w:left w:val="single" w:sz="4" w:space="0" w:color="9DB5C9"/>
              <w:bottom w:val="single" w:sz="4" w:space="0" w:color="9DB5C9"/>
              <w:right w:val="single" w:sz="4" w:space="0" w:color="9DB5C9"/>
            </w:tcBorders>
            <w:shd w:val="clear" w:color="auto" w:fill="F2F5F9"/>
            <w:vAlign w:val="center"/>
          </w:tcPr>
          <w:p w14:paraId="71B956D4" w14:textId="77777777" w:rsidR="003F0F31" w:rsidRDefault="00B00309" w:rsidP="00BE4549">
            <w:pPr>
              <w:spacing w:after="40" w:line="276" w:lineRule="auto"/>
            </w:pPr>
            <w:r>
              <w:rPr>
                <w:sz w:val="20"/>
              </w:rPr>
              <w:t>Strong: written Constitution, formal Council and Board procedures, codified Partner rights</w:t>
            </w:r>
          </w:p>
        </w:tc>
        <w:tc>
          <w:tcPr>
            <w:tcW w:w="1134" w:type="dxa"/>
            <w:tcBorders>
              <w:top w:val="single" w:sz="4" w:space="0" w:color="9DB5C9"/>
              <w:left w:val="single" w:sz="4" w:space="0" w:color="9DB5C9"/>
              <w:bottom w:val="single" w:sz="4" w:space="0" w:color="9DB5C9"/>
              <w:right w:val="single" w:sz="4" w:space="0" w:color="9DB5C9"/>
            </w:tcBorders>
            <w:shd w:val="clear" w:color="auto" w:fill="F2F5F9"/>
            <w:vAlign w:val="center"/>
          </w:tcPr>
          <w:p w14:paraId="6E44F56E" w14:textId="77777777" w:rsidR="003F0F31" w:rsidRDefault="00B00309" w:rsidP="00BE4549">
            <w:pPr>
              <w:spacing w:after="40" w:line="276" w:lineRule="auto"/>
            </w:pPr>
            <w:r>
              <w:rPr>
                <w:sz w:val="20"/>
              </w:rPr>
              <w:t>Strong</w:t>
            </w:r>
          </w:p>
        </w:tc>
      </w:tr>
      <w:tr w:rsidR="003F0F31" w14:paraId="2762D692" w14:textId="77777777">
        <w:trPr>
          <w:jc w:val="center"/>
        </w:trPr>
        <w:tc>
          <w:tcPr>
            <w:tcW w:w="1984" w:type="dxa"/>
            <w:tcBorders>
              <w:top w:val="single" w:sz="4" w:space="0" w:color="9DB5C9"/>
              <w:left w:val="single" w:sz="4" w:space="0" w:color="9DB5C9"/>
              <w:bottom w:val="single" w:sz="4" w:space="0" w:color="9DB5C9"/>
              <w:right w:val="single" w:sz="4" w:space="0" w:color="9DB5C9"/>
            </w:tcBorders>
            <w:vAlign w:val="center"/>
          </w:tcPr>
          <w:p w14:paraId="19932FE9" w14:textId="77777777" w:rsidR="003F0F31" w:rsidRDefault="00B00309" w:rsidP="00BE4549">
            <w:pPr>
              <w:spacing w:after="40" w:line="276" w:lineRule="auto"/>
            </w:pPr>
            <w:r>
              <w:rPr>
                <w:sz w:val="20"/>
              </w:rPr>
              <w:t>Task culture</w:t>
            </w:r>
          </w:p>
        </w:tc>
        <w:tc>
          <w:tcPr>
            <w:tcW w:w="2551" w:type="dxa"/>
            <w:tcBorders>
              <w:top w:val="single" w:sz="4" w:space="0" w:color="9DB5C9"/>
              <w:left w:val="single" w:sz="4" w:space="0" w:color="9DB5C9"/>
              <w:bottom w:val="single" w:sz="4" w:space="0" w:color="9DB5C9"/>
              <w:right w:val="single" w:sz="4" w:space="0" w:color="9DB5C9"/>
            </w:tcBorders>
            <w:vAlign w:val="center"/>
          </w:tcPr>
          <w:p w14:paraId="3EA1B026" w14:textId="77777777" w:rsidR="003F0F31" w:rsidRDefault="00B00309" w:rsidP="00BE4549">
            <w:pPr>
              <w:spacing w:after="40" w:line="276" w:lineRule="auto"/>
            </w:pPr>
            <w:r>
              <w:rPr>
                <w:sz w:val="20"/>
              </w:rPr>
              <w:t>Project- and outcome-oriented; team-based</w:t>
            </w:r>
          </w:p>
        </w:tc>
        <w:tc>
          <w:tcPr>
            <w:tcW w:w="3118" w:type="dxa"/>
            <w:tcBorders>
              <w:top w:val="single" w:sz="4" w:space="0" w:color="9DB5C9"/>
              <w:left w:val="single" w:sz="4" w:space="0" w:color="9DB5C9"/>
              <w:bottom w:val="single" w:sz="4" w:space="0" w:color="9DB5C9"/>
              <w:right w:val="single" w:sz="4" w:space="0" w:color="9DB5C9"/>
            </w:tcBorders>
            <w:vAlign w:val="center"/>
          </w:tcPr>
          <w:p w14:paraId="5BEF659D" w14:textId="77777777" w:rsidR="003F0F31" w:rsidRDefault="00B00309" w:rsidP="00BE4549">
            <w:pPr>
              <w:spacing w:after="40" w:line="276" w:lineRule="auto"/>
            </w:pPr>
            <w:r>
              <w:rPr>
                <w:sz w:val="20"/>
              </w:rPr>
              <w:t>Moderate: cross-functional store and category teams pursuing the Brilliant Retail agenda</w:t>
            </w:r>
          </w:p>
        </w:tc>
        <w:tc>
          <w:tcPr>
            <w:tcW w:w="1134" w:type="dxa"/>
            <w:tcBorders>
              <w:top w:val="single" w:sz="4" w:space="0" w:color="9DB5C9"/>
              <w:left w:val="single" w:sz="4" w:space="0" w:color="9DB5C9"/>
              <w:bottom w:val="single" w:sz="4" w:space="0" w:color="9DB5C9"/>
              <w:right w:val="single" w:sz="4" w:space="0" w:color="9DB5C9"/>
            </w:tcBorders>
            <w:vAlign w:val="center"/>
          </w:tcPr>
          <w:p w14:paraId="0A1A20A3" w14:textId="77777777" w:rsidR="003F0F31" w:rsidRDefault="00B00309" w:rsidP="00BE4549">
            <w:pPr>
              <w:spacing w:after="40" w:line="276" w:lineRule="auto"/>
            </w:pPr>
            <w:r>
              <w:rPr>
                <w:sz w:val="20"/>
              </w:rPr>
              <w:t>Moderate</w:t>
            </w:r>
          </w:p>
        </w:tc>
      </w:tr>
      <w:tr w:rsidR="003F0F31" w14:paraId="573CA58C" w14:textId="77777777">
        <w:trPr>
          <w:jc w:val="center"/>
        </w:trPr>
        <w:tc>
          <w:tcPr>
            <w:tcW w:w="1984" w:type="dxa"/>
            <w:tcBorders>
              <w:top w:val="single" w:sz="4" w:space="0" w:color="9DB5C9"/>
              <w:left w:val="single" w:sz="4" w:space="0" w:color="9DB5C9"/>
              <w:bottom w:val="single" w:sz="4" w:space="0" w:color="9DB5C9"/>
              <w:right w:val="single" w:sz="4" w:space="0" w:color="9DB5C9"/>
            </w:tcBorders>
            <w:shd w:val="clear" w:color="auto" w:fill="F2F5F9"/>
            <w:vAlign w:val="center"/>
          </w:tcPr>
          <w:p w14:paraId="15CE7236" w14:textId="77777777" w:rsidR="003F0F31" w:rsidRDefault="00B00309" w:rsidP="00BE4549">
            <w:pPr>
              <w:spacing w:after="40" w:line="276" w:lineRule="auto"/>
            </w:pPr>
            <w:r>
              <w:rPr>
                <w:sz w:val="20"/>
              </w:rPr>
              <w:t>Person culture</w:t>
            </w:r>
          </w:p>
        </w:tc>
        <w:tc>
          <w:tcPr>
            <w:tcW w:w="2551" w:type="dxa"/>
            <w:tcBorders>
              <w:top w:val="single" w:sz="4" w:space="0" w:color="9DB5C9"/>
              <w:left w:val="single" w:sz="4" w:space="0" w:color="9DB5C9"/>
              <w:bottom w:val="single" w:sz="4" w:space="0" w:color="9DB5C9"/>
              <w:right w:val="single" w:sz="4" w:space="0" w:color="9DB5C9"/>
            </w:tcBorders>
            <w:shd w:val="clear" w:color="auto" w:fill="F2F5F9"/>
            <w:vAlign w:val="center"/>
          </w:tcPr>
          <w:p w14:paraId="2C004CEC" w14:textId="77777777" w:rsidR="003F0F31" w:rsidRDefault="00B00309" w:rsidP="00BE4549">
            <w:pPr>
              <w:spacing w:after="40" w:line="276" w:lineRule="auto"/>
            </w:pPr>
            <w:proofErr w:type="spellStart"/>
            <w:r>
              <w:rPr>
                <w:sz w:val="20"/>
              </w:rPr>
              <w:t>Organisation</w:t>
            </w:r>
            <w:proofErr w:type="spellEnd"/>
            <w:r>
              <w:rPr>
                <w:sz w:val="20"/>
              </w:rPr>
              <w:t xml:space="preserve"> exists to serve its members</w:t>
            </w:r>
          </w:p>
        </w:tc>
        <w:tc>
          <w:tcPr>
            <w:tcW w:w="3118" w:type="dxa"/>
            <w:tcBorders>
              <w:top w:val="single" w:sz="4" w:space="0" w:color="9DB5C9"/>
              <w:left w:val="single" w:sz="4" w:space="0" w:color="9DB5C9"/>
              <w:bottom w:val="single" w:sz="4" w:space="0" w:color="9DB5C9"/>
              <w:right w:val="single" w:sz="4" w:space="0" w:color="9DB5C9"/>
            </w:tcBorders>
            <w:shd w:val="clear" w:color="auto" w:fill="F2F5F9"/>
            <w:vAlign w:val="center"/>
          </w:tcPr>
          <w:p w14:paraId="2293C244" w14:textId="77777777" w:rsidR="003F0F31" w:rsidRDefault="00B00309" w:rsidP="00BE4549">
            <w:pPr>
              <w:spacing w:after="40" w:line="276" w:lineRule="auto"/>
            </w:pPr>
            <w:r>
              <w:rPr>
                <w:sz w:val="20"/>
              </w:rPr>
              <w:t>Strong: Partners are co-owners; constitutional purpose is the happiness of members</w:t>
            </w:r>
          </w:p>
        </w:tc>
        <w:tc>
          <w:tcPr>
            <w:tcW w:w="1134" w:type="dxa"/>
            <w:tcBorders>
              <w:top w:val="single" w:sz="4" w:space="0" w:color="9DB5C9"/>
              <w:left w:val="single" w:sz="4" w:space="0" w:color="9DB5C9"/>
              <w:bottom w:val="single" w:sz="4" w:space="0" w:color="9DB5C9"/>
              <w:right w:val="single" w:sz="4" w:space="0" w:color="9DB5C9"/>
            </w:tcBorders>
            <w:shd w:val="clear" w:color="auto" w:fill="F2F5F9"/>
            <w:vAlign w:val="center"/>
          </w:tcPr>
          <w:p w14:paraId="19907DF3" w14:textId="77777777" w:rsidR="003F0F31" w:rsidRDefault="00B00309" w:rsidP="00BE4549">
            <w:pPr>
              <w:spacing w:after="40" w:line="276" w:lineRule="auto"/>
            </w:pPr>
            <w:r>
              <w:rPr>
                <w:sz w:val="20"/>
              </w:rPr>
              <w:t>Strong</w:t>
            </w:r>
          </w:p>
        </w:tc>
      </w:tr>
    </w:tbl>
    <w:p w14:paraId="4CA7D6A2" w14:textId="77777777" w:rsidR="003F0F31" w:rsidRPr="005E5382" w:rsidRDefault="00B00309" w:rsidP="00BE4549">
      <w:pPr>
        <w:spacing w:before="40" w:after="160" w:line="276" w:lineRule="auto"/>
        <w:rPr>
          <w:iCs/>
        </w:rPr>
      </w:pPr>
      <w:r w:rsidRPr="005E5382">
        <w:rPr>
          <w:iCs/>
          <w:sz w:val="20"/>
        </w:rPr>
        <w:t>Table 1: Handy's Four Culture Types Applied to JLP (author's analysis, drawing on Handy, 1993)</w:t>
      </w:r>
    </w:p>
    <w:p w14:paraId="676D9389" w14:textId="267D4982" w:rsidR="008F4A70" w:rsidRDefault="008F4A70" w:rsidP="00BE4549">
      <w:pPr>
        <w:spacing w:line="276" w:lineRule="auto"/>
      </w:pPr>
      <w:r>
        <w:t xml:space="preserve">No single Handy archetype fits with JLP. Role culture can be seen in the formal constitutional structure, clear roles for the council and board and a policy framework. But person culture is also present: the purpose of the </w:t>
      </w:r>
      <w:proofErr w:type="spellStart"/>
      <w:r>
        <w:t>organisation</w:t>
      </w:r>
      <w:proofErr w:type="spellEnd"/>
      <w:r>
        <w:t xml:space="preserve"> is to support the growth and well-being of its partners, rather than its members, as Handy said of the culture that exists around its members. Task culture emerges in multi-functional teams working to achieve the Brilliant Retail agenda, and power culture is subdued by constitutional restraints. It is therefore most defensible to interpret JLP as fulfilling a hybrid role-person culture -- a rules-based culture structure within which Partners are the main beneficiaries. This is a hybrid, which is not commonly found in mainstream UK retail and is perhaps JLP's most unique cultural aspect (Cameron and Quinn, 2011).</w:t>
      </w:r>
    </w:p>
    <w:p w14:paraId="3C3A68B5" w14:textId="77777777" w:rsidR="003F0F31" w:rsidRPr="005E5382" w:rsidRDefault="00B00309" w:rsidP="00BE4549">
      <w:pPr>
        <w:pStyle w:val="Heading2"/>
        <w:spacing w:line="276" w:lineRule="auto"/>
        <w:rPr>
          <w:color w:val="000000" w:themeColor="text1"/>
        </w:rPr>
      </w:pPr>
      <w:bookmarkStart w:id="6" w:name="_Toc232024483"/>
      <w:r w:rsidRPr="005E5382">
        <w:rPr>
          <w:color w:val="000000" w:themeColor="text1"/>
        </w:rPr>
        <w:t>3.3 Hofstede's Cultural Dimensions</w:t>
      </w:r>
      <w:bookmarkEnd w:id="6"/>
    </w:p>
    <w:p w14:paraId="6BC1A89F" w14:textId="31CFA5F8" w:rsidR="008F4A70" w:rsidRDefault="008F4A70" w:rsidP="00BE4549">
      <w:pPr>
        <w:spacing w:line="276" w:lineRule="auto"/>
      </w:pPr>
      <w:r>
        <w:t>The framework of Hofstede, Hofstede and Minkov (2010) provides a context for JLP within its UK national context. The scores on the six dimensions in the United Kingdom are shown in figure 3.</w:t>
      </w:r>
    </w:p>
    <w:p w14:paraId="67B5DC3A" w14:textId="77777777" w:rsidR="003F0F31" w:rsidRDefault="00B00309" w:rsidP="00BE4549">
      <w:pPr>
        <w:spacing w:line="276" w:lineRule="auto"/>
      </w:pPr>
      <w:r>
        <w:rPr>
          <w:noProof/>
        </w:rPr>
        <w:lastRenderedPageBreak/>
        <w:drawing>
          <wp:inline distT="0" distB="0" distL="0" distR="0" wp14:anchorId="0617B319" wp14:editId="563E6806">
            <wp:extent cx="5040000" cy="2880000"/>
            <wp:effectExtent l="0" t="0" r="0" b="0"/>
            <wp:docPr id="1" name="Chart" descr="Hofstede UK Dimensions"/>
            <wp:cNvGraphicFramePr/>
            <a:graphic xmlns:a="http://schemas.openxmlformats.org/drawingml/2006/main">
              <a:graphicData uri="http://schemas.openxmlformats.org/drawingml/2006/chart">
                <c:chart xmlns:c="http://schemas.openxmlformats.org/drawingml/2006/chart" xmlns:r="http://schemas.openxmlformats.org/officeDocument/2006/relationships" r:id="rId9"/>
              </a:graphicData>
            </a:graphic>
          </wp:inline>
        </w:drawing>
      </w:r>
    </w:p>
    <w:p w14:paraId="46CE8093" w14:textId="77777777" w:rsidR="003F0F31" w:rsidRDefault="00B00309" w:rsidP="00BE4549">
      <w:pPr>
        <w:spacing w:before="40" w:after="160" w:line="276" w:lineRule="auto"/>
      </w:pPr>
      <w:r>
        <w:rPr>
          <w:i/>
          <w:sz w:val="20"/>
        </w:rPr>
        <w:t>Figure 3: Hofstede UK National Culture Dimensions (data from Hofstede Insights, 2024)</w:t>
      </w:r>
    </w:p>
    <w:p w14:paraId="564FB383" w14:textId="2B3B59E6" w:rsidR="00711B9B" w:rsidRDefault="00711B9B" w:rsidP="00BE4549">
      <w:pPr>
        <w:spacing w:line="276" w:lineRule="auto"/>
      </w:pPr>
      <w:r>
        <w:t xml:space="preserve">The United Kingdom has low scores on power distance (35), high scores on individualism (89) and indulgence (69), moderately high scores on masculinity (66), low scores on uncertainty avoidance (35) and intermediate scores on long-term orientation (51) (Hofstede Insights, 2024). JLP is illuminated well in 3 dimensions. First, low power distance is in line with the constitutional norm that partners have the right to challenge the chairman, which has facilitated the cultural embedment of the partnership model. Second, although it may seem paradoxical, high levels of individualism and the JLP collectivist concept of trust ownership can be resolved if it is understood that JLP collectivism is contractual, as partners </w:t>
      </w:r>
      <w:proofErr w:type="gramStart"/>
      <w:r>
        <w:t>opt in</w:t>
      </w:r>
      <w:proofErr w:type="gramEnd"/>
      <w:r>
        <w:t xml:space="preserve"> individually into the shared enterprise, which is compatible with individualism in Britain (Cameron and Quinn, 2011). Third, uncertainty avoidance is related to why the market can tolerate the gradual transformation that has been taking place for JLP over the years and why the market is impatient with the external recovery and the delayed bonus.</w:t>
      </w:r>
    </w:p>
    <w:p w14:paraId="320C4AB6" w14:textId="77777777" w:rsidR="003F0F31" w:rsidRPr="005E5382" w:rsidRDefault="00B00309" w:rsidP="00BE4549">
      <w:pPr>
        <w:pStyle w:val="Heading2"/>
        <w:spacing w:line="276" w:lineRule="auto"/>
        <w:rPr>
          <w:color w:val="000000" w:themeColor="text1"/>
        </w:rPr>
      </w:pPr>
      <w:bookmarkStart w:id="7" w:name="_Toc232024484"/>
      <w:r w:rsidRPr="005E5382">
        <w:rPr>
          <w:color w:val="000000" w:themeColor="text1"/>
        </w:rPr>
        <w:t>3.4 The Prevailing Culture</w:t>
      </w:r>
      <w:bookmarkEnd w:id="7"/>
    </w:p>
    <w:p w14:paraId="2A1EE82F" w14:textId="5EF38424" w:rsidR="00711B9B" w:rsidRDefault="00711B9B" w:rsidP="00BE4549">
      <w:pPr>
        <w:spacing w:line="276" w:lineRule="auto"/>
      </w:pPr>
      <w:r>
        <w:t xml:space="preserve">Triangulating the three, the prevailing culture within the JLP may be one that is hybrid in nature – a role of the constitution – with strong beliefs in fairness, co-ownership and long-term stewardship and, at the same time, a low power distance and national context. The </w:t>
      </w:r>
      <w:proofErr w:type="spellStart"/>
      <w:r>
        <w:t>characterisation</w:t>
      </w:r>
      <w:proofErr w:type="spellEnd"/>
      <w:r>
        <w:t xml:space="preserve"> is used as the analytical framework in the following sections.</w:t>
      </w:r>
    </w:p>
    <w:p w14:paraId="016D6844" w14:textId="77777777" w:rsidR="003F0F31" w:rsidRPr="005E5382" w:rsidRDefault="00B00309" w:rsidP="00BE4549">
      <w:pPr>
        <w:pStyle w:val="Heading1"/>
        <w:spacing w:line="276" w:lineRule="auto"/>
        <w:rPr>
          <w:color w:val="000000" w:themeColor="text1"/>
        </w:rPr>
      </w:pPr>
      <w:bookmarkStart w:id="8" w:name="_Toc232024485"/>
      <w:r w:rsidRPr="005E5382">
        <w:rPr>
          <w:color w:val="000000" w:themeColor="text1"/>
        </w:rPr>
        <w:t>4.0 Culture and External Adaptation</w:t>
      </w:r>
      <w:bookmarkEnd w:id="8"/>
    </w:p>
    <w:p w14:paraId="7622C120" w14:textId="69406CCA" w:rsidR="00711B9B" w:rsidRPr="00311ABF" w:rsidRDefault="00711B9B" w:rsidP="00BE4549">
      <w:pPr>
        <w:spacing w:line="276" w:lineRule="auto"/>
        <w:rPr>
          <w:color w:val="auto"/>
        </w:rPr>
      </w:pPr>
      <w:r>
        <w:t xml:space="preserve">It includes structural cost inflation as a result of the new Extended Producer Responsibility packaging levy, which costs </w:t>
      </w:r>
      <w:r w:rsidRPr="00311ABF">
        <w:rPr>
          <w:color w:val="auto"/>
        </w:rPr>
        <w:t xml:space="preserve">UK retailers £13m in 2025/26 (John Lewis Partnership, 2026), as well as the faster channel shift to online, increased </w:t>
      </w:r>
      <w:r w:rsidRPr="00311ABF">
        <w:rPr>
          <w:color w:val="auto"/>
        </w:rPr>
        <w:lastRenderedPageBreak/>
        <w:t>grocery competition from Aldi, Lidl and Tesco, and growing consumer demand for sustainability and digital convenience.</w:t>
      </w:r>
    </w:p>
    <w:p w14:paraId="7A9500E7" w14:textId="198A49DD" w:rsidR="00711B9B" w:rsidRPr="00311ABF" w:rsidRDefault="00711B9B" w:rsidP="00BE4549">
      <w:pPr>
        <w:spacing w:line="276" w:lineRule="auto"/>
        <w:rPr>
          <w:color w:val="auto"/>
        </w:rPr>
      </w:pPr>
      <w:r w:rsidRPr="00311ABF">
        <w:rPr>
          <w:color w:val="auto"/>
        </w:rPr>
        <w:t xml:space="preserve">How these pressures are handled by JLP is mediated by its culture. The principal cultural lever is the mentorship, loyalty and family sense that is promoted in a clan-type orientation, as described by Cameron and Quinn (2011), and is </w:t>
      </w:r>
      <w:proofErr w:type="spellStart"/>
      <w:r w:rsidRPr="00311ABF">
        <w:rPr>
          <w:color w:val="auto"/>
        </w:rPr>
        <w:t>institutionalised</w:t>
      </w:r>
      <w:proofErr w:type="spellEnd"/>
      <w:r w:rsidRPr="00311ABF">
        <w:rPr>
          <w:color w:val="auto"/>
        </w:rPr>
        <w:t xml:space="preserve"> in the partnership model. The orientation enables Waitrose to differentiate their customer service, with their Net Promoter Score reaching a high in 2025/26 and a tenth consecutive quarter of customer growth in the same period (John Lewis Partnership, 2026). In a price-competitive grocery environment, service is a differentiating factor </w:t>
      </w:r>
      <w:proofErr w:type="gramStart"/>
      <w:r w:rsidRPr="00311ABF">
        <w:rPr>
          <w:color w:val="auto"/>
        </w:rPr>
        <w:t>more and more</w:t>
      </w:r>
      <w:proofErr w:type="gramEnd"/>
      <w:r w:rsidRPr="00311ABF">
        <w:rPr>
          <w:color w:val="auto"/>
        </w:rPr>
        <w:t>, becoming a structural one rather than a niche one.</w:t>
      </w:r>
    </w:p>
    <w:p w14:paraId="4A1A1C40" w14:textId="462BCDFD" w:rsidR="00711B9B" w:rsidRPr="00311ABF" w:rsidRDefault="00711B9B" w:rsidP="00BE4549">
      <w:pPr>
        <w:spacing w:line="276" w:lineRule="auto"/>
        <w:rPr>
          <w:color w:val="auto"/>
        </w:rPr>
      </w:pPr>
      <w:r w:rsidRPr="00311ABF">
        <w:rPr>
          <w:color w:val="auto"/>
        </w:rPr>
        <w:t xml:space="preserve">Culture also influences adaptive capacity by influencing how change is introduced and accepted. According to Kotter (2012), change needs to have a guiding coalition and a wide coalition of support. One of the reasons that the £542m-£600m transformation </w:t>
      </w:r>
      <w:proofErr w:type="spellStart"/>
      <w:r w:rsidRPr="00311ABF">
        <w:rPr>
          <w:color w:val="auto"/>
        </w:rPr>
        <w:t>programme</w:t>
      </w:r>
      <w:proofErr w:type="spellEnd"/>
      <w:r w:rsidRPr="00311ABF">
        <w:rPr>
          <w:color w:val="auto"/>
        </w:rPr>
        <w:t xml:space="preserve"> has found partner consent </w:t>
      </w:r>
      <w:proofErr w:type="gramStart"/>
      <w:r w:rsidRPr="00311ABF">
        <w:rPr>
          <w:color w:val="auto"/>
        </w:rPr>
        <w:t>in spite of</w:t>
      </w:r>
      <w:proofErr w:type="gramEnd"/>
      <w:r w:rsidRPr="00311ABF">
        <w:rPr>
          <w:color w:val="auto"/>
        </w:rPr>
        <w:t xml:space="preserve"> the suspended bonus is the elected forums that JLP has available that can be easily joined to form coalitions. But the same forums can exacerbate time-to-market issues with technology-led innovations, with competitors' cycles being quarterly, not constitutional. Tarry's arrival from Tesco in 2024 was much </w:t>
      </w:r>
      <w:proofErr w:type="spellStart"/>
      <w:r w:rsidRPr="00311ABF">
        <w:rPr>
          <w:color w:val="auto"/>
        </w:rPr>
        <w:t>publicised</w:t>
      </w:r>
      <w:proofErr w:type="spellEnd"/>
      <w:r w:rsidRPr="00311ABF">
        <w:rPr>
          <w:color w:val="auto"/>
        </w:rPr>
        <w:t xml:space="preserve"> as a cultural shift, and his tenure has focused on making quicker, more commercially driven decisions within the framework of the constitution (Fortune, 2025).</w:t>
      </w:r>
    </w:p>
    <w:p w14:paraId="6751BF7B" w14:textId="77777777" w:rsidR="00711B9B" w:rsidRPr="00311ABF" w:rsidRDefault="00711B9B" w:rsidP="00BE4549">
      <w:pPr>
        <w:spacing w:line="276" w:lineRule="auto"/>
        <w:rPr>
          <w:color w:val="auto"/>
        </w:rPr>
      </w:pPr>
      <w:r w:rsidRPr="00311ABF">
        <w:rPr>
          <w:color w:val="auto"/>
        </w:rPr>
        <w:t xml:space="preserve">The Partnership Bonus is an illustration of the cultural-adaptive interplay, nothing more. The 2023-2025 suspension was unpopular with the partners and could cause symbolic harm to the cultural compact (The </w:t>
      </w:r>
      <w:proofErr w:type="spellStart"/>
      <w:r w:rsidRPr="00311ABF">
        <w:rPr>
          <w:color w:val="auto"/>
        </w:rPr>
        <w:t>Industry.fashion</w:t>
      </w:r>
      <w:proofErr w:type="spellEnd"/>
      <w:r w:rsidRPr="00311ABF">
        <w:rPr>
          <w:color w:val="auto"/>
        </w:rPr>
        <w:t>, 2024). However, the Council and the Board determined that the cash to fund base pay uplifts and capital expenditure of £116m in 2024 and £114m in 2025 were an investment in the long-term culture of the business (John Lewis Partnership, 2025). With record customer satisfaction and 6% PBTBE growth, this trade-off has worked so far (at least provisionally in March 2026) – see BBC News, 2026. In the external-adaptation profile, adapted from Denison, Nieminen and Kotrba (2014), JLP's profile features strength in mission and consistency (clear purpose and codified constitution) as well as improving but contested adaptability.</w:t>
      </w:r>
    </w:p>
    <w:p w14:paraId="734C8F5A" w14:textId="77777777" w:rsidR="003F0F31" w:rsidRPr="005E5382" w:rsidRDefault="00B00309" w:rsidP="00BE4549">
      <w:pPr>
        <w:pStyle w:val="Heading1"/>
        <w:spacing w:line="276" w:lineRule="auto"/>
        <w:rPr>
          <w:color w:val="000000" w:themeColor="text1"/>
        </w:rPr>
      </w:pPr>
      <w:bookmarkStart w:id="9" w:name="_Toc232024486"/>
      <w:r w:rsidRPr="005E5382">
        <w:rPr>
          <w:color w:val="000000" w:themeColor="text1"/>
        </w:rPr>
        <w:t>5.0 Barrier or Enabler? A Critical Assessment</w:t>
      </w:r>
      <w:bookmarkEnd w:id="9"/>
    </w:p>
    <w:p w14:paraId="4EF191C4" w14:textId="77777777" w:rsidR="00711B9B" w:rsidRDefault="00711B9B" w:rsidP="00BE4549">
      <w:pPr>
        <w:spacing w:line="276" w:lineRule="auto"/>
      </w:pPr>
      <w:r>
        <w:t xml:space="preserve">It is one of the most debated topics in the UK retailing discussion these days: whether JLP's culture is a hindrance or </w:t>
      </w:r>
      <w:proofErr w:type="gramStart"/>
      <w:r>
        <w:t>a</w:t>
      </w:r>
      <w:proofErr w:type="gramEnd"/>
      <w:r>
        <w:t xml:space="preserve"> help is to be found out. A balanced critical assessment shows that culture functions both ways, with the net effect being </w:t>
      </w:r>
      <w:proofErr w:type="gramStart"/>
      <w:r>
        <w:t>context-dependent</w:t>
      </w:r>
      <w:proofErr w:type="gramEnd"/>
      <w:r>
        <w:t>.</w:t>
      </w:r>
    </w:p>
    <w:p w14:paraId="41F1B5E4" w14:textId="77777777" w:rsidR="00711B9B" w:rsidRDefault="00711B9B" w:rsidP="00BE4549">
      <w:pPr>
        <w:spacing w:line="276" w:lineRule="auto"/>
      </w:pPr>
      <w:r>
        <w:t xml:space="preserve">JLP's culture provides four areas of advantage as an enabler. First, it is a testament to the quality of customer service; partners say they see themselves as 'co-owners', and customer numbers are up 4%, and there has been a 13% increase in My John </w:t>
      </w:r>
      <w:r>
        <w:lastRenderedPageBreak/>
        <w:t>Lewis loyalty membership (John Lewis Partnership, 2025). Second, culture gives legitimacy to hard choices -- such as pay restraint and store closures -- by allowing them to go through the democratic process instead of being imposed. Thirdly, the Constitution offers a reputational moat in an industry that's been pilloried for low pay and temporary jobs. Third, culture is a key enabler for long-term investment periods which are unavailable to listed companies facing quarterly earnings pressures (Mullins and Christy, 2016).</w:t>
      </w:r>
    </w:p>
    <w:p w14:paraId="398E8A8E" w14:textId="77777777" w:rsidR="00711B9B" w:rsidRPr="00311ABF" w:rsidRDefault="00711B9B" w:rsidP="00BE4549">
      <w:pPr>
        <w:spacing w:line="276" w:lineRule="auto"/>
        <w:rPr>
          <w:color w:val="auto"/>
        </w:rPr>
      </w:pPr>
      <w:r w:rsidRPr="00311ABF">
        <w:rPr>
          <w:color w:val="auto"/>
        </w:rPr>
        <w:t xml:space="preserve">Culture has come with three documented costs. Then, there is the factor of slower decision velocity, as observed by Schneider, Ehrhart and Macey (2013) in consensus-orientated cultures, which is what is happening in this case at the private-equity-owned or listed competitors. Second, the trust structure is a limiting factor for external funding, which helped to slow down the investment in the digital and store fleet during White's time (Drapers, 2025). Third, assumptions of the inviolability of partnership can stifle candid discussion of radical reform of the system (thoughtfully, the brief proposal of the minority external investment in 2023 that was withdrawn after partner uproar (Drapers, </w:t>
      </w:r>
      <w:proofErr w:type="gramStart"/>
      <w:r w:rsidRPr="00311ABF">
        <w:rPr>
          <w:color w:val="auto"/>
        </w:rPr>
        <w:t>2025))</w:t>
      </w:r>
      <w:proofErr w:type="gramEnd"/>
      <w:r w:rsidRPr="00311ABF">
        <w:rPr>
          <w:color w:val="auto"/>
        </w:rPr>
        <w:t>, as witnessed by the Parklife project falling into disrepair.</w:t>
      </w:r>
    </w:p>
    <w:p w14:paraId="11D67A56" w14:textId="77777777" w:rsidR="00711B9B" w:rsidRDefault="00711B9B" w:rsidP="00BE4549">
      <w:pPr>
        <w:spacing w:line="276" w:lineRule="auto"/>
      </w:pPr>
      <w:r>
        <w:t>The key is that where the strategic task is a service-led differentiator, JLP's culture is an enabler; where the strategic task is rapid capital deployment or restructuring of the firm, JLP's culture is a barrier. This aligns with the work of Denison, Nieminen and Kotrba (2014), which determined that there is no one-size-fits-all type of culture that is consistently going to be successful; it is a matter of culture fit and strategic context. Thus, the strategic challenge for JLP is not to lose its culture but to select structural and process changes that preserve partnership values and enhance capital agility and decision agility. In the following section, these innovations are developed.</w:t>
      </w:r>
    </w:p>
    <w:p w14:paraId="0B9D49DB" w14:textId="77777777" w:rsidR="003F0F31" w:rsidRPr="005E5382" w:rsidRDefault="00B00309" w:rsidP="00BE4549">
      <w:pPr>
        <w:pStyle w:val="Heading1"/>
        <w:spacing w:line="276" w:lineRule="auto"/>
        <w:rPr>
          <w:color w:val="000000" w:themeColor="text1"/>
        </w:rPr>
      </w:pPr>
      <w:bookmarkStart w:id="10" w:name="_Toc232024487"/>
      <w:r w:rsidRPr="005E5382">
        <w:rPr>
          <w:color w:val="000000" w:themeColor="text1"/>
        </w:rPr>
        <w:t>6.0 Performance Impact and Recommendations</w:t>
      </w:r>
      <w:bookmarkEnd w:id="10"/>
    </w:p>
    <w:p w14:paraId="2C2718B9" w14:textId="77777777" w:rsidR="003F0F31" w:rsidRDefault="00B00309" w:rsidP="00BE4549">
      <w:pPr>
        <w:spacing w:line="276" w:lineRule="auto"/>
      </w:pPr>
      <w:r>
        <w:t>The performance impact of JLP’s culture is observable in recent financials. Figure 4 presents Partnership Profit Before Tax, Bonus and Exceptional Items (PBTBE) across the past five reporting years.</w:t>
      </w:r>
    </w:p>
    <w:p w14:paraId="72EC3397" w14:textId="77777777" w:rsidR="003F0F31" w:rsidRDefault="00B00309" w:rsidP="00BE4549">
      <w:pPr>
        <w:spacing w:line="276" w:lineRule="auto"/>
      </w:pPr>
      <w:r>
        <w:rPr>
          <w:noProof/>
        </w:rPr>
        <w:lastRenderedPageBreak/>
        <w:drawing>
          <wp:inline distT="0" distB="0" distL="0" distR="0" wp14:anchorId="332992E2" wp14:editId="5CF4C6BC">
            <wp:extent cx="5040000" cy="2880000"/>
            <wp:effectExtent l="0" t="0" r="0" b="0"/>
            <wp:docPr id="2" name="Chart" descr="JLP PBTBE Chart"/>
            <wp:cNvGraphicFramePr/>
            <a:graphic xmlns:a="http://schemas.openxmlformats.org/drawingml/2006/main">
              <a:graphicData uri="http://schemas.openxmlformats.org/drawingml/2006/chart">
                <c:chart xmlns:c="http://schemas.openxmlformats.org/drawingml/2006/chart" xmlns:r="http://schemas.openxmlformats.org/officeDocument/2006/relationships" r:id="rId10"/>
              </a:graphicData>
            </a:graphic>
          </wp:inline>
        </w:drawing>
      </w:r>
    </w:p>
    <w:p w14:paraId="6A842582" w14:textId="77777777" w:rsidR="003F0F31" w:rsidRDefault="00B00309" w:rsidP="00BE4549">
      <w:pPr>
        <w:spacing w:before="40" w:after="160" w:line="276" w:lineRule="auto"/>
      </w:pPr>
      <w:r>
        <w:rPr>
          <w:i/>
          <w:sz w:val="20"/>
        </w:rPr>
        <w:t>Figure 4: JLP Profit Before Tax, Bonus and Exceptional Items (PBTBE), 2021/22–2025/26 (£m). Source: John Lewis Partnership Annual Reports 2022, 2023, 2024, 2025, 2026.</w:t>
      </w:r>
    </w:p>
    <w:p w14:paraId="6A9FDD97" w14:textId="77777777" w:rsidR="003F0F31" w:rsidRDefault="00B00309" w:rsidP="00BE4549">
      <w:pPr>
        <w:spacing w:line="276" w:lineRule="auto"/>
      </w:pPr>
      <w:r>
        <w:t>PBTBE moved from a £78m loss in 2022/23 to a £42m profit in 2023/24, £126m in 2024/25 and £134m in 2025/26 — a £212m swing in three years (</w:t>
      </w:r>
      <w:proofErr w:type="spellStart"/>
      <w:r>
        <w:t>Investegate</w:t>
      </w:r>
      <w:proofErr w:type="spellEnd"/>
      <w:r>
        <w:t xml:space="preserve">, 2024; John Lewis Partnership, 2025; John Lewis Partnership, 2026). Sales reached £13.4bn in 2025/26, up 5% year-on-year (John Lewis Partnership, 2026). These results were achieved while doubling capital investment to approximately £600m and increasing Partner base pay by £114m (Fortune, 2025). The 2% Partnership Bonus </w:t>
      </w:r>
      <w:proofErr w:type="gramStart"/>
      <w:r>
        <w:t>restored</w:t>
      </w:r>
      <w:proofErr w:type="gramEnd"/>
      <w:r>
        <w:t xml:space="preserve"> in March 2026 — the first since 2022 — symbolically reconnected performance with the cultural compact (BBC News, 2026). Critically, this trajectory coincides with a cultural inflection: a </w:t>
      </w:r>
      <w:proofErr w:type="gramStart"/>
      <w:r>
        <w:t>Chairman</w:t>
      </w:r>
      <w:proofErr w:type="gramEnd"/>
      <w:r>
        <w:t xml:space="preserve"> appointed from outside the Partnership for the first time in two decades, an explicit ‘Brilliant Retail’ framing, and accelerated structural investment within constitutional bounds. The data thus support the proposition that cultural distinctiveness, when paired with disciplined commercial leadership, can drive performance (Cameron and Quinn, 2011).</w:t>
      </w:r>
    </w:p>
    <w:p w14:paraId="1204E33E" w14:textId="77777777" w:rsidR="003F0F31" w:rsidRDefault="00B00309" w:rsidP="00BE4549">
      <w:pPr>
        <w:spacing w:line="276" w:lineRule="auto"/>
      </w:pPr>
      <w:r>
        <w:t xml:space="preserve">Three theory-informed recommendations follow, </w:t>
      </w:r>
      <w:proofErr w:type="spellStart"/>
      <w:r>
        <w:t>summarised</w:t>
      </w:r>
      <w:proofErr w:type="spellEnd"/>
      <w:r>
        <w:t xml:space="preserve"> in Table 2.</w:t>
      </w:r>
    </w:p>
    <w:tbl>
      <w:tblPr>
        <w:tblW w:w="0" w:type="auto"/>
        <w:jc w:val="center"/>
        <w:tblLayout w:type="fixed"/>
        <w:tblLook w:val="04A0" w:firstRow="1" w:lastRow="0" w:firstColumn="1" w:lastColumn="0" w:noHBand="0" w:noVBand="1"/>
      </w:tblPr>
      <w:tblGrid>
        <w:gridCol w:w="1871"/>
        <w:gridCol w:w="2154"/>
        <w:gridCol w:w="2835"/>
        <w:gridCol w:w="1928"/>
      </w:tblGrid>
      <w:tr w:rsidR="003F0F31" w14:paraId="50A3E068" w14:textId="77777777">
        <w:trPr>
          <w:jc w:val="center"/>
        </w:trPr>
        <w:tc>
          <w:tcPr>
            <w:tcW w:w="1871" w:type="dxa"/>
            <w:tcBorders>
              <w:top w:val="single" w:sz="4" w:space="0" w:color="9DB5C9"/>
              <w:left w:val="single" w:sz="4" w:space="0" w:color="9DB5C9"/>
              <w:bottom w:val="single" w:sz="4" w:space="0" w:color="9DB5C9"/>
              <w:right w:val="single" w:sz="4" w:space="0" w:color="9DB5C9"/>
            </w:tcBorders>
            <w:shd w:val="clear" w:color="auto" w:fill="1F3A68"/>
            <w:vAlign w:val="center"/>
          </w:tcPr>
          <w:p w14:paraId="608E7EE3" w14:textId="77777777" w:rsidR="003F0F31" w:rsidRDefault="00B00309" w:rsidP="00BE4549">
            <w:pPr>
              <w:spacing w:after="40" w:line="276" w:lineRule="auto"/>
            </w:pPr>
            <w:r>
              <w:rPr>
                <w:b/>
                <w:color w:val="FFFFFF"/>
                <w:sz w:val="20"/>
              </w:rPr>
              <w:t>Recommendation</w:t>
            </w:r>
          </w:p>
        </w:tc>
        <w:tc>
          <w:tcPr>
            <w:tcW w:w="2154" w:type="dxa"/>
            <w:tcBorders>
              <w:top w:val="single" w:sz="4" w:space="0" w:color="9DB5C9"/>
              <w:left w:val="single" w:sz="4" w:space="0" w:color="9DB5C9"/>
              <w:bottom w:val="single" w:sz="4" w:space="0" w:color="9DB5C9"/>
              <w:right w:val="single" w:sz="4" w:space="0" w:color="9DB5C9"/>
            </w:tcBorders>
            <w:shd w:val="clear" w:color="auto" w:fill="1F3A68"/>
            <w:vAlign w:val="center"/>
          </w:tcPr>
          <w:p w14:paraId="55A6C19A" w14:textId="77777777" w:rsidR="003F0F31" w:rsidRDefault="00B00309" w:rsidP="00BE4549">
            <w:pPr>
              <w:spacing w:after="40" w:line="276" w:lineRule="auto"/>
            </w:pPr>
            <w:r>
              <w:rPr>
                <w:b/>
                <w:color w:val="FFFFFF"/>
                <w:sz w:val="20"/>
              </w:rPr>
              <w:t>Theoretical Basis</w:t>
            </w:r>
          </w:p>
        </w:tc>
        <w:tc>
          <w:tcPr>
            <w:tcW w:w="2835" w:type="dxa"/>
            <w:tcBorders>
              <w:top w:val="single" w:sz="4" w:space="0" w:color="9DB5C9"/>
              <w:left w:val="single" w:sz="4" w:space="0" w:color="9DB5C9"/>
              <w:bottom w:val="single" w:sz="4" w:space="0" w:color="9DB5C9"/>
              <w:right w:val="single" w:sz="4" w:space="0" w:color="9DB5C9"/>
            </w:tcBorders>
            <w:shd w:val="clear" w:color="auto" w:fill="1F3A68"/>
            <w:vAlign w:val="center"/>
          </w:tcPr>
          <w:p w14:paraId="795E0370" w14:textId="77777777" w:rsidR="003F0F31" w:rsidRDefault="00B00309" w:rsidP="00BE4549">
            <w:pPr>
              <w:spacing w:after="40" w:line="276" w:lineRule="auto"/>
            </w:pPr>
            <w:r>
              <w:rPr>
                <w:b/>
                <w:color w:val="FFFFFF"/>
                <w:sz w:val="20"/>
              </w:rPr>
              <w:t>Operational Step</w:t>
            </w:r>
          </w:p>
        </w:tc>
        <w:tc>
          <w:tcPr>
            <w:tcW w:w="1928" w:type="dxa"/>
            <w:tcBorders>
              <w:top w:val="single" w:sz="4" w:space="0" w:color="9DB5C9"/>
              <w:left w:val="single" w:sz="4" w:space="0" w:color="9DB5C9"/>
              <w:bottom w:val="single" w:sz="4" w:space="0" w:color="9DB5C9"/>
              <w:right w:val="single" w:sz="4" w:space="0" w:color="9DB5C9"/>
            </w:tcBorders>
            <w:shd w:val="clear" w:color="auto" w:fill="1F3A68"/>
            <w:vAlign w:val="center"/>
          </w:tcPr>
          <w:p w14:paraId="26B6DF5E" w14:textId="77777777" w:rsidR="003F0F31" w:rsidRDefault="00B00309" w:rsidP="00BE4549">
            <w:pPr>
              <w:spacing w:after="40" w:line="276" w:lineRule="auto"/>
            </w:pPr>
            <w:r>
              <w:rPr>
                <w:b/>
                <w:color w:val="FFFFFF"/>
                <w:sz w:val="20"/>
              </w:rPr>
              <w:t>Expected Outcome</w:t>
            </w:r>
          </w:p>
        </w:tc>
      </w:tr>
      <w:tr w:rsidR="003F0F31" w14:paraId="2D7AE482" w14:textId="77777777">
        <w:trPr>
          <w:jc w:val="center"/>
        </w:trPr>
        <w:tc>
          <w:tcPr>
            <w:tcW w:w="1871" w:type="dxa"/>
            <w:tcBorders>
              <w:top w:val="single" w:sz="4" w:space="0" w:color="9DB5C9"/>
              <w:left w:val="single" w:sz="4" w:space="0" w:color="9DB5C9"/>
              <w:bottom w:val="single" w:sz="4" w:space="0" w:color="9DB5C9"/>
              <w:right w:val="single" w:sz="4" w:space="0" w:color="9DB5C9"/>
            </w:tcBorders>
            <w:vAlign w:val="center"/>
          </w:tcPr>
          <w:p w14:paraId="39E4C5A8" w14:textId="77777777" w:rsidR="003F0F31" w:rsidRDefault="00B00309" w:rsidP="00BE4549">
            <w:pPr>
              <w:spacing w:after="40" w:line="276" w:lineRule="auto"/>
            </w:pPr>
            <w:proofErr w:type="spellStart"/>
            <w:r>
              <w:rPr>
                <w:sz w:val="20"/>
              </w:rPr>
              <w:t>Institutionalise</w:t>
            </w:r>
            <w:proofErr w:type="spellEnd"/>
            <w:r>
              <w:rPr>
                <w:sz w:val="20"/>
              </w:rPr>
              <w:t xml:space="preserve"> ambidextrous culture</w:t>
            </w:r>
          </w:p>
        </w:tc>
        <w:tc>
          <w:tcPr>
            <w:tcW w:w="2154" w:type="dxa"/>
            <w:tcBorders>
              <w:top w:val="single" w:sz="4" w:space="0" w:color="9DB5C9"/>
              <w:left w:val="single" w:sz="4" w:space="0" w:color="9DB5C9"/>
              <w:bottom w:val="single" w:sz="4" w:space="0" w:color="9DB5C9"/>
              <w:right w:val="single" w:sz="4" w:space="0" w:color="9DB5C9"/>
            </w:tcBorders>
            <w:vAlign w:val="center"/>
          </w:tcPr>
          <w:p w14:paraId="187F89A3" w14:textId="77777777" w:rsidR="003F0F31" w:rsidRDefault="00B00309" w:rsidP="00BE4549">
            <w:pPr>
              <w:spacing w:after="40" w:line="276" w:lineRule="auto"/>
            </w:pPr>
            <w:r>
              <w:rPr>
                <w:sz w:val="20"/>
              </w:rPr>
              <w:t>O'Reilly and Tushman in Schein and Schein (2017); Cameron and Quinn (2011)</w:t>
            </w:r>
          </w:p>
        </w:tc>
        <w:tc>
          <w:tcPr>
            <w:tcW w:w="2835" w:type="dxa"/>
            <w:tcBorders>
              <w:top w:val="single" w:sz="4" w:space="0" w:color="9DB5C9"/>
              <w:left w:val="single" w:sz="4" w:space="0" w:color="9DB5C9"/>
              <w:bottom w:val="single" w:sz="4" w:space="0" w:color="9DB5C9"/>
              <w:right w:val="single" w:sz="4" w:space="0" w:color="9DB5C9"/>
            </w:tcBorders>
            <w:vAlign w:val="center"/>
          </w:tcPr>
          <w:p w14:paraId="6FCFF041" w14:textId="77777777" w:rsidR="003F0F31" w:rsidRDefault="00B00309" w:rsidP="00BE4549">
            <w:pPr>
              <w:spacing w:after="40" w:line="276" w:lineRule="auto"/>
            </w:pPr>
            <w:r>
              <w:rPr>
                <w:sz w:val="20"/>
              </w:rPr>
              <w:t>Define ring-fenced 'fast-track' decision rights for technology and supply-chain procurement below a stated threshold, while preserving Council strategic oversight</w:t>
            </w:r>
          </w:p>
        </w:tc>
        <w:tc>
          <w:tcPr>
            <w:tcW w:w="1928" w:type="dxa"/>
            <w:tcBorders>
              <w:top w:val="single" w:sz="4" w:space="0" w:color="9DB5C9"/>
              <w:left w:val="single" w:sz="4" w:space="0" w:color="9DB5C9"/>
              <w:bottom w:val="single" w:sz="4" w:space="0" w:color="9DB5C9"/>
              <w:right w:val="single" w:sz="4" w:space="0" w:color="9DB5C9"/>
            </w:tcBorders>
            <w:vAlign w:val="center"/>
          </w:tcPr>
          <w:p w14:paraId="1740D6BE" w14:textId="77777777" w:rsidR="003F0F31" w:rsidRDefault="00B00309" w:rsidP="00BE4549">
            <w:pPr>
              <w:spacing w:after="40" w:line="276" w:lineRule="auto"/>
            </w:pPr>
            <w:r>
              <w:rPr>
                <w:sz w:val="20"/>
              </w:rPr>
              <w:t>Faster digital cycle time without diluting Partnership consultation</w:t>
            </w:r>
          </w:p>
        </w:tc>
      </w:tr>
      <w:tr w:rsidR="003F0F31" w14:paraId="7F6824FD" w14:textId="77777777">
        <w:trPr>
          <w:jc w:val="center"/>
        </w:trPr>
        <w:tc>
          <w:tcPr>
            <w:tcW w:w="1871" w:type="dxa"/>
            <w:tcBorders>
              <w:top w:val="single" w:sz="4" w:space="0" w:color="9DB5C9"/>
              <w:left w:val="single" w:sz="4" w:space="0" w:color="9DB5C9"/>
              <w:bottom w:val="single" w:sz="4" w:space="0" w:color="9DB5C9"/>
              <w:right w:val="single" w:sz="4" w:space="0" w:color="9DB5C9"/>
            </w:tcBorders>
            <w:shd w:val="clear" w:color="auto" w:fill="F2F5F9"/>
            <w:vAlign w:val="center"/>
          </w:tcPr>
          <w:p w14:paraId="5E9D0C84" w14:textId="77777777" w:rsidR="003F0F31" w:rsidRDefault="00B00309" w:rsidP="00BE4549">
            <w:pPr>
              <w:spacing w:after="40" w:line="276" w:lineRule="auto"/>
            </w:pPr>
            <w:r>
              <w:rPr>
                <w:sz w:val="20"/>
              </w:rPr>
              <w:t>Publish a cultural performance scorecard</w:t>
            </w:r>
          </w:p>
        </w:tc>
        <w:tc>
          <w:tcPr>
            <w:tcW w:w="2154" w:type="dxa"/>
            <w:tcBorders>
              <w:top w:val="single" w:sz="4" w:space="0" w:color="9DB5C9"/>
              <w:left w:val="single" w:sz="4" w:space="0" w:color="9DB5C9"/>
              <w:bottom w:val="single" w:sz="4" w:space="0" w:color="9DB5C9"/>
              <w:right w:val="single" w:sz="4" w:space="0" w:color="9DB5C9"/>
            </w:tcBorders>
            <w:shd w:val="clear" w:color="auto" w:fill="F2F5F9"/>
            <w:vAlign w:val="center"/>
          </w:tcPr>
          <w:p w14:paraId="49F6141F" w14:textId="77777777" w:rsidR="003F0F31" w:rsidRPr="005E5382" w:rsidRDefault="00B00309" w:rsidP="00BE4549">
            <w:pPr>
              <w:spacing w:after="40" w:line="276" w:lineRule="auto"/>
              <w:rPr>
                <w:lang w:val="de-DE"/>
              </w:rPr>
            </w:pPr>
            <w:r w:rsidRPr="005E5382">
              <w:rPr>
                <w:sz w:val="20"/>
                <w:lang w:val="de-DE"/>
              </w:rPr>
              <w:t>Denison, Nieminen and Kotrba (2014); Schneider, Ehrhart and Macey (2013)</w:t>
            </w:r>
          </w:p>
        </w:tc>
        <w:tc>
          <w:tcPr>
            <w:tcW w:w="2835" w:type="dxa"/>
            <w:tcBorders>
              <w:top w:val="single" w:sz="4" w:space="0" w:color="9DB5C9"/>
              <w:left w:val="single" w:sz="4" w:space="0" w:color="9DB5C9"/>
              <w:bottom w:val="single" w:sz="4" w:space="0" w:color="9DB5C9"/>
              <w:right w:val="single" w:sz="4" w:space="0" w:color="9DB5C9"/>
            </w:tcBorders>
            <w:shd w:val="clear" w:color="auto" w:fill="F2F5F9"/>
            <w:vAlign w:val="center"/>
          </w:tcPr>
          <w:p w14:paraId="006EBFE2" w14:textId="77777777" w:rsidR="003F0F31" w:rsidRDefault="00B00309" w:rsidP="00BE4549">
            <w:pPr>
              <w:spacing w:after="40" w:line="276" w:lineRule="auto"/>
            </w:pPr>
            <w:r>
              <w:rPr>
                <w:sz w:val="20"/>
              </w:rPr>
              <w:t>Include Partner engagement, Net Promoter Score, internal mobility and democratic participation in the annual report alongside financials</w:t>
            </w:r>
          </w:p>
        </w:tc>
        <w:tc>
          <w:tcPr>
            <w:tcW w:w="1928" w:type="dxa"/>
            <w:tcBorders>
              <w:top w:val="single" w:sz="4" w:space="0" w:color="9DB5C9"/>
              <w:left w:val="single" w:sz="4" w:space="0" w:color="9DB5C9"/>
              <w:bottom w:val="single" w:sz="4" w:space="0" w:color="9DB5C9"/>
              <w:right w:val="single" w:sz="4" w:space="0" w:color="9DB5C9"/>
            </w:tcBorders>
            <w:shd w:val="clear" w:color="auto" w:fill="F2F5F9"/>
            <w:vAlign w:val="center"/>
          </w:tcPr>
          <w:p w14:paraId="33C3F3AE" w14:textId="77777777" w:rsidR="003F0F31" w:rsidRDefault="00B00309" w:rsidP="00BE4549">
            <w:pPr>
              <w:spacing w:after="40" w:line="276" w:lineRule="auto"/>
            </w:pPr>
            <w:r>
              <w:rPr>
                <w:sz w:val="20"/>
              </w:rPr>
              <w:t>Joint measurement of culture and performance; early warning of cultural drift</w:t>
            </w:r>
          </w:p>
        </w:tc>
      </w:tr>
      <w:tr w:rsidR="003F0F31" w14:paraId="6AFCC44A" w14:textId="77777777">
        <w:trPr>
          <w:jc w:val="center"/>
        </w:trPr>
        <w:tc>
          <w:tcPr>
            <w:tcW w:w="1871" w:type="dxa"/>
            <w:tcBorders>
              <w:top w:val="single" w:sz="4" w:space="0" w:color="9DB5C9"/>
              <w:left w:val="single" w:sz="4" w:space="0" w:color="9DB5C9"/>
              <w:bottom w:val="single" w:sz="4" w:space="0" w:color="9DB5C9"/>
              <w:right w:val="single" w:sz="4" w:space="0" w:color="9DB5C9"/>
            </w:tcBorders>
            <w:vAlign w:val="center"/>
          </w:tcPr>
          <w:p w14:paraId="595FEDE4" w14:textId="77777777" w:rsidR="003F0F31" w:rsidRDefault="00B00309" w:rsidP="00BE4549">
            <w:pPr>
              <w:spacing w:after="40" w:line="276" w:lineRule="auto"/>
            </w:pPr>
            <w:r>
              <w:rPr>
                <w:sz w:val="20"/>
              </w:rPr>
              <w:t xml:space="preserve">Apply Kotter-style </w:t>
            </w:r>
            <w:r>
              <w:rPr>
                <w:sz w:val="20"/>
              </w:rPr>
              <w:lastRenderedPageBreak/>
              <w:t>change management to pay architecture</w:t>
            </w:r>
          </w:p>
        </w:tc>
        <w:tc>
          <w:tcPr>
            <w:tcW w:w="2154" w:type="dxa"/>
            <w:tcBorders>
              <w:top w:val="single" w:sz="4" w:space="0" w:color="9DB5C9"/>
              <w:left w:val="single" w:sz="4" w:space="0" w:color="9DB5C9"/>
              <w:bottom w:val="single" w:sz="4" w:space="0" w:color="9DB5C9"/>
              <w:right w:val="single" w:sz="4" w:space="0" w:color="9DB5C9"/>
            </w:tcBorders>
            <w:vAlign w:val="center"/>
          </w:tcPr>
          <w:p w14:paraId="50361C51" w14:textId="77777777" w:rsidR="003F0F31" w:rsidRDefault="00B00309" w:rsidP="00BE4549">
            <w:pPr>
              <w:spacing w:after="40" w:line="276" w:lineRule="auto"/>
            </w:pPr>
            <w:r>
              <w:rPr>
                <w:sz w:val="20"/>
              </w:rPr>
              <w:lastRenderedPageBreak/>
              <w:t xml:space="preserve">Kotter (2012); Mullins </w:t>
            </w:r>
            <w:r>
              <w:rPr>
                <w:sz w:val="20"/>
              </w:rPr>
              <w:lastRenderedPageBreak/>
              <w:t>and Christy (2016)</w:t>
            </w:r>
          </w:p>
        </w:tc>
        <w:tc>
          <w:tcPr>
            <w:tcW w:w="2835" w:type="dxa"/>
            <w:tcBorders>
              <w:top w:val="single" w:sz="4" w:space="0" w:color="9DB5C9"/>
              <w:left w:val="single" w:sz="4" w:space="0" w:color="9DB5C9"/>
              <w:bottom w:val="single" w:sz="4" w:space="0" w:color="9DB5C9"/>
              <w:right w:val="single" w:sz="4" w:space="0" w:color="9DB5C9"/>
            </w:tcBorders>
            <w:vAlign w:val="center"/>
          </w:tcPr>
          <w:p w14:paraId="46E93D1F" w14:textId="77777777" w:rsidR="003F0F31" w:rsidRDefault="00B00309" w:rsidP="00BE4549">
            <w:pPr>
              <w:spacing w:after="40" w:line="276" w:lineRule="auto"/>
            </w:pPr>
            <w:r>
              <w:rPr>
                <w:sz w:val="20"/>
              </w:rPr>
              <w:lastRenderedPageBreak/>
              <w:t xml:space="preserve">Codify and transparently </w:t>
            </w:r>
            <w:r>
              <w:rPr>
                <w:sz w:val="20"/>
              </w:rPr>
              <w:lastRenderedPageBreak/>
              <w:t>communicate the formula linking PBTBE, capital investment and Partnership Bonus, with Council ratification</w:t>
            </w:r>
          </w:p>
        </w:tc>
        <w:tc>
          <w:tcPr>
            <w:tcW w:w="1928" w:type="dxa"/>
            <w:tcBorders>
              <w:top w:val="single" w:sz="4" w:space="0" w:color="9DB5C9"/>
              <w:left w:val="single" w:sz="4" w:space="0" w:color="9DB5C9"/>
              <w:bottom w:val="single" w:sz="4" w:space="0" w:color="9DB5C9"/>
              <w:right w:val="single" w:sz="4" w:space="0" w:color="9DB5C9"/>
            </w:tcBorders>
            <w:vAlign w:val="center"/>
          </w:tcPr>
          <w:p w14:paraId="7CDAA51A" w14:textId="77777777" w:rsidR="003F0F31" w:rsidRDefault="00B00309" w:rsidP="00BE4549">
            <w:pPr>
              <w:spacing w:after="40" w:line="276" w:lineRule="auto"/>
            </w:pPr>
            <w:r>
              <w:rPr>
                <w:sz w:val="20"/>
              </w:rPr>
              <w:lastRenderedPageBreak/>
              <w:t xml:space="preserve">Bonus suspension </w:t>
            </w:r>
            <w:r>
              <w:rPr>
                <w:sz w:val="20"/>
              </w:rPr>
              <w:lastRenderedPageBreak/>
              <w:t>or restoration is read as commercial discipline rather than cultural betrayal</w:t>
            </w:r>
          </w:p>
        </w:tc>
      </w:tr>
    </w:tbl>
    <w:p w14:paraId="7E032FCF" w14:textId="77777777" w:rsidR="003F0F31" w:rsidRPr="005E5382" w:rsidRDefault="00B00309" w:rsidP="00BE4549">
      <w:pPr>
        <w:spacing w:before="40" w:after="160" w:line="276" w:lineRule="auto"/>
        <w:rPr>
          <w:iCs/>
        </w:rPr>
      </w:pPr>
      <w:r w:rsidRPr="005E5382">
        <w:rPr>
          <w:iCs/>
          <w:sz w:val="20"/>
        </w:rPr>
        <w:lastRenderedPageBreak/>
        <w:t xml:space="preserve">Table 2: </w:t>
      </w:r>
      <w:proofErr w:type="gramStart"/>
      <w:r w:rsidRPr="005E5382">
        <w:rPr>
          <w:iCs/>
          <w:sz w:val="20"/>
        </w:rPr>
        <w:t>Recommendations Matrix</w:t>
      </w:r>
      <w:proofErr w:type="gramEnd"/>
      <w:r w:rsidRPr="005E5382">
        <w:rPr>
          <w:iCs/>
          <w:sz w:val="20"/>
        </w:rPr>
        <w:t xml:space="preserve"> (author's synthesis)</w:t>
      </w:r>
    </w:p>
    <w:p w14:paraId="5B4E0BD0" w14:textId="0A1EBF4D" w:rsidR="003F0F31" w:rsidRDefault="00B00309" w:rsidP="00BE4549">
      <w:pPr>
        <w:spacing w:line="276" w:lineRule="auto"/>
      </w:pPr>
      <w:r>
        <w:t xml:space="preserve">First, JLP should </w:t>
      </w:r>
      <w:proofErr w:type="spellStart"/>
      <w:r>
        <w:t>institutionalise</w:t>
      </w:r>
      <w:proofErr w:type="spellEnd"/>
      <w:r>
        <w:t xml:space="preserve"> an ambidextrous culture (O’Reilly and Tushman, as cited in Schein and Schein, 2017), preserving consultative norms for strategy while ring-fencing decisional speed for digital and supply-chain investment. Operationally, this means defining a small set of fast-track decision rights for operational technology procurement, exempt from full Council deliberation while remaining within constitutional audit. Second, the Partnership should publish a cultural performance scorecard alongside its financial Annual Report, with metrics on Partner engagement, customer satisfaction, internal mobility and democratic participation. This would </w:t>
      </w:r>
      <w:proofErr w:type="spellStart"/>
      <w:r>
        <w:t>operationalise</w:t>
      </w:r>
      <w:proofErr w:type="spellEnd"/>
      <w:r>
        <w:t xml:space="preserve"> Denison, Nieminen and Kotrba’s (2014) insight that culture and performance must be measured jointly, disciplining cultural drift by exposing trends to Partner and external scrutiny. Third, JLP should accelerate evidence-based change management around the Bonus and pay architecture, applying Kotter’s (2012) eight-step model. </w:t>
      </w:r>
      <w:r w:rsidR="00822A4A">
        <w:t xml:space="preserve"> </w:t>
      </w:r>
    </w:p>
    <w:p w14:paraId="049061D7" w14:textId="32061A6C" w:rsidR="00311ABF" w:rsidRDefault="00311ABF" w:rsidP="00BE4549">
      <w:pPr>
        <w:spacing w:line="276" w:lineRule="auto"/>
      </w:pPr>
    </w:p>
    <w:p w14:paraId="2F30663F" w14:textId="621062AD" w:rsidR="00311ABF" w:rsidRDefault="00311ABF" w:rsidP="00BE4549">
      <w:pPr>
        <w:spacing w:line="276" w:lineRule="auto"/>
      </w:pPr>
    </w:p>
    <w:p w14:paraId="29A66D80" w14:textId="470031B6" w:rsidR="00311ABF" w:rsidRDefault="00311ABF" w:rsidP="00BE4549">
      <w:pPr>
        <w:spacing w:line="276" w:lineRule="auto"/>
      </w:pPr>
    </w:p>
    <w:p w14:paraId="6D7FEA7B" w14:textId="47E7CD91" w:rsidR="00311ABF" w:rsidRDefault="00311ABF" w:rsidP="00BE4549">
      <w:pPr>
        <w:spacing w:line="276" w:lineRule="auto"/>
      </w:pPr>
    </w:p>
    <w:p w14:paraId="22C5FC6F" w14:textId="226F30F3" w:rsidR="00311ABF" w:rsidRDefault="00311ABF" w:rsidP="00BE4549">
      <w:pPr>
        <w:spacing w:line="276" w:lineRule="auto"/>
      </w:pPr>
    </w:p>
    <w:p w14:paraId="1EB5A356" w14:textId="5E6502C4" w:rsidR="00311ABF" w:rsidRDefault="00311ABF" w:rsidP="00BE4549">
      <w:pPr>
        <w:spacing w:line="276" w:lineRule="auto"/>
      </w:pPr>
    </w:p>
    <w:p w14:paraId="6427FA88" w14:textId="20B5E72B" w:rsidR="00311ABF" w:rsidRDefault="00311ABF" w:rsidP="00BE4549">
      <w:pPr>
        <w:spacing w:line="276" w:lineRule="auto"/>
      </w:pPr>
    </w:p>
    <w:p w14:paraId="7D722872" w14:textId="067AC5DD" w:rsidR="00311ABF" w:rsidRDefault="00311ABF" w:rsidP="00BE4549">
      <w:pPr>
        <w:spacing w:line="276" w:lineRule="auto"/>
      </w:pPr>
    </w:p>
    <w:p w14:paraId="2F0556EC" w14:textId="78100172" w:rsidR="00311ABF" w:rsidRDefault="00311ABF" w:rsidP="00BE4549">
      <w:pPr>
        <w:spacing w:line="276" w:lineRule="auto"/>
      </w:pPr>
    </w:p>
    <w:p w14:paraId="19145878" w14:textId="0ADC65B5" w:rsidR="00311ABF" w:rsidRDefault="00311ABF" w:rsidP="00BE4549">
      <w:pPr>
        <w:spacing w:line="276" w:lineRule="auto"/>
      </w:pPr>
    </w:p>
    <w:p w14:paraId="44367851" w14:textId="589D9B94" w:rsidR="00311ABF" w:rsidRDefault="00311ABF" w:rsidP="00BE4549">
      <w:pPr>
        <w:spacing w:line="276" w:lineRule="auto"/>
      </w:pPr>
    </w:p>
    <w:p w14:paraId="316655DB" w14:textId="3DF88B46" w:rsidR="00822A4A" w:rsidRDefault="00822A4A" w:rsidP="00BE4549">
      <w:pPr>
        <w:spacing w:line="276" w:lineRule="auto"/>
      </w:pPr>
    </w:p>
    <w:p w14:paraId="0303D8AC" w14:textId="459BE29A" w:rsidR="00822A4A" w:rsidRDefault="00822A4A" w:rsidP="00BE4549">
      <w:pPr>
        <w:spacing w:line="276" w:lineRule="auto"/>
      </w:pPr>
    </w:p>
    <w:p w14:paraId="0850F68F" w14:textId="250F7071" w:rsidR="00822A4A" w:rsidRDefault="00822A4A" w:rsidP="00BE4549">
      <w:pPr>
        <w:spacing w:line="276" w:lineRule="auto"/>
      </w:pPr>
    </w:p>
    <w:p w14:paraId="5C596422" w14:textId="77777777" w:rsidR="00822A4A" w:rsidRDefault="00822A4A" w:rsidP="00BE4549">
      <w:pPr>
        <w:spacing w:line="276" w:lineRule="auto"/>
      </w:pPr>
    </w:p>
    <w:p w14:paraId="4F09FC03" w14:textId="35CF3D4E" w:rsidR="00311ABF" w:rsidRDefault="00311ABF" w:rsidP="00BE4549">
      <w:pPr>
        <w:spacing w:line="276" w:lineRule="auto"/>
      </w:pPr>
    </w:p>
    <w:p w14:paraId="6A6FA90F" w14:textId="77777777" w:rsidR="00311ABF" w:rsidRDefault="00311ABF" w:rsidP="00BE4549">
      <w:pPr>
        <w:spacing w:line="276" w:lineRule="auto"/>
      </w:pPr>
    </w:p>
    <w:p w14:paraId="5C280EE4" w14:textId="77777777" w:rsidR="003F0F31" w:rsidRPr="005E5382" w:rsidRDefault="00B00309" w:rsidP="00BE4549">
      <w:pPr>
        <w:pStyle w:val="Heading1"/>
        <w:spacing w:line="276" w:lineRule="auto"/>
        <w:rPr>
          <w:color w:val="000000" w:themeColor="text1"/>
        </w:rPr>
      </w:pPr>
      <w:bookmarkStart w:id="11" w:name="_Toc232024488"/>
      <w:r w:rsidRPr="005E5382">
        <w:rPr>
          <w:color w:val="000000" w:themeColor="text1"/>
        </w:rPr>
        <w:lastRenderedPageBreak/>
        <w:t>7.0 Conclusion</w:t>
      </w:r>
      <w:bookmarkEnd w:id="11"/>
    </w:p>
    <w:p w14:paraId="56DAF570" w14:textId="6925DCF3" w:rsidR="003F0F31" w:rsidRDefault="00711B9B" w:rsidP="00BE4549">
      <w:pPr>
        <w:spacing w:line="276" w:lineRule="auto"/>
      </w:pPr>
      <w:r>
        <w:t xml:space="preserve">This report has critically </w:t>
      </w:r>
      <w:proofErr w:type="spellStart"/>
      <w:r>
        <w:t>analysed</w:t>
      </w:r>
      <w:proofErr w:type="spellEnd"/>
      <w:r>
        <w:t xml:space="preserve"> the </w:t>
      </w:r>
      <w:proofErr w:type="spellStart"/>
      <w:r>
        <w:t>organisational</w:t>
      </w:r>
      <w:proofErr w:type="spellEnd"/>
      <w:r>
        <w:t xml:space="preserve"> culture of the John Lewis Partnership. Drawing on the three-level model of culture proposed by Schein, the typology provided by Handy, and Hofstede's national dimensions, an analysis identified the dominant culture of JLP as a constitutional role-person, with a set of strong assumptions of fairness, co-</w:t>
      </w:r>
      <w:r w:rsidRPr="00311ABF">
        <w:rPr>
          <w:color w:val="auto"/>
        </w:rPr>
        <w:t xml:space="preserve">ownership and long-term stewardship. The report showed that this culture not only affects JLP's three-tiered governance model but also helps to delay and </w:t>
      </w:r>
      <w:proofErr w:type="spellStart"/>
      <w:r w:rsidRPr="00311ABF">
        <w:rPr>
          <w:color w:val="auto"/>
        </w:rPr>
        <w:t>formalise</w:t>
      </w:r>
      <w:proofErr w:type="spellEnd"/>
      <w:r w:rsidRPr="00311ABF">
        <w:rPr>
          <w:color w:val="auto"/>
        </w:rPr>
        <w:t xml:space="preserve"> decision-making processes. It provides a means to differentiate through services and align partners; it limits decision speed and external funding. Recent financial results are testament to the fact that cultural distinctiveness </w:t>
      </w:r>
      <w:proofErr w:type="gramStart"/>
      <w:r w:rsidRPr="00311ABF">
        <w:rPr>
          <w:color w:val="auto"/>
        </w:rPr>
        <w:t>is able to</w:t>
      </w:r>
      <w:proofErr w:type="gramEnd"/>
      <w:r w:rsidRPr="00311ABF">
        <w:rPr>
          <w:color w:val="auto"/>
        </w:rPr>
        <w:t xml:space="preserve"> support performance, as evidenced by a £212m PBTBE swing over the past three years, a 5% sales increase to £13.4bn and the partial restoration of the Partnership Bonus in March 2026. The following recommendations were put forward: create an </w:t>
      </w:r>
      <w:proofErr w:type="spellStart"/>
      <w:r w:rsidRPr="00311ABF">
        <w:rPr>
          <w:color w:val="auto"/>
        </w:rPr>
        <w:t>institutionalised</w:t>
      </w:r>
      <w:proofErr w:type="spellEnd"/>
      <w:r w:rsidRPr="00311ABF">
        <w:rPr>
          <w:color w:val="auto"/>
        </w:rPr>
        <w:t xml:space="preserve"> ambidextrous culture, publish the cultural performance scorecard, and implement Kotter change management </w:t>
      </w:r>
      <w:r>
        <w:t>of pay and bonus architecture. The broader lesson is in keeping with Mullins and Christy (2016), who argue that culture is not a ‘soft variable’ but a ‘strategic asset’ and must be managed through ‘stewardship' and ‘reform'.</w:t>
      </w:r>
      <w:r>
        <w:br w:type="page"/>
      </w:r>
    </w:p>
    <w:p w14:paraId="2906A600" w14:textId="77777777" w:rsidR="003F0F31" w:rsidRPr="005E5382" w:rsidRDefault="00B00309">
      <w:pPr>
        <w:pStyle w:val="Heading1"/>
        <w:rPr>
          <w:color w:val="000000" w:themeColor="text1"/>
        </w:rPr>
      </w:pPr>
      <w:bookmarkStart w:id="12" w:name="_Toc232024489"/>
      <w:r w:rsidRPr="005E5382">
        <w:rPr>
          <w:color w:val="000000" w:themeColor="text1"/>
        </w:rPr>
        <w:lastRenderedPageBreak/>
        <w:t>References</w:t>
      </w:r>
      <w:bookmarkEnd w:id="12"/>
    </w:p>
    <w:p w14:paraId="4F06B642" w14:textId="77777777" w:rsidR="00B00309" w:rsidRPr="00B00309" w:rsidRDefault="00B00309" w:rsidP="00B00309">
      <w:pPr>
        <w:pStyle w:val="font-claude-response-body"/>
        <w:spacing w:line="360" w:lineRule="auto"/>
        <w:ind w:left="720" w:hanging="720"/>
        <w:jc w:val="both"/>
        <w:rPr>
          <w:rFonts w:ascii="Arial" w:hAnsi="Arial" w:cs="Arial"/>
        </w:rPr>
      </w:pPr>
      <w:r>
        <w:rPr>
          <w:rFonts w:ascii="Arial" w:hAnsi="Arial" w:cs="Arial"/>
        </w:rPr>
        <w:t xml:space="preserve">BBC News (2026) 'John Lewis to pay first staff bonus for four years', </w:t>
      </w:r>
      <w:r>
        <w:rPr>
          <w:rStyle w:val="Emphasis"/>
          <w:rFonts w:ascii="Arial" w:hAnsi="Arial" w:cs="Arial"/>
        </w:rPr>
        <w:t>BBC News</w:t>
      </w:r>
      <w:r>
        <w:rPr>
          <w:rFonts w:ascii="Arial" w:hAnsi="Arial" w:cs="Arial"/>
        </w:rPr>
        <w:t xml:space="preserve">, 12 March. Available at: </w:t>
      </w:r>
      <w:hyperlink r:id="rId11" w:history="1">
        <w:r>
          <w:rPr>
            <w:rStyle w:val="Hyperlink"/>
            <w:rFonts w:ascii="Arial" w:hAnsi="Arial" w:cs="Arial"/>
          </w:rPr>
          <w:t>https://www.aol.com/articles/john-lewis-pays-first-staff-072958291.html</w:t>
        </w:r>
      </w:hyperlink>
      <w:r>
        <w:rPr>
          <w:rFonts w:ascii="Arial" w:hAnsi="Arial" w:cs="Arial"/>
        </w:rPr>
        <w:t xml:space="preserve"> (Accessed: 10 June 2026).</w:t>
      </w:r>
    </w:p>
    <w:p w14:paraId="4F8AE5A1" w14:textId="77777777" w:rsidR="00B00309" w:rsidRPr="00B00309" w:rsidRDefault="00B00309" w:rsidP="00B00309">
      <w:pPr>
        <w:pStyle w:val="font-claude-response-body"/>
        <w:spacing w:line="360" w:lineRule="auto"/>
        <w:ind w:left="720" w:hanging="720"/>
        <w:jc w:val="both"/>
        <w:rPr>
          <w:rFonts w:ascii="Arial" w:hAnsi="Arial" w:cs="Arial"/>
        </w:rPr>
      </w:pPr>
      <w:r>
        <w:rPr>
          <w:rFonts w:ascii="Arial" w:hAnsi="Arial" w:cs="Arial"/>
        </w:rPr>
        <w:t xml:space="preserve">Cameron, K.S. and Quinn, R.E. (2011) </w:t>
      </w:r>
      <w:r>
        <w:rPr>
          <w:rStyle w:val="Emphasis"/>
          <w:rFonts w:ascii="Arial" w:hAnsi="Arial" w:cs="Arial"/>
        </w:rPr>
        <w:t>Diagnosing and Changing Organizational Culture: Based on the Competing Values Framework</w:t>
      </w:r>
      <w:r>
        <w:rPr>
          <w:rFonts w:ascii="Arial" w:hAnsi="Arial" w:cs="Arial"/>
        </w:rPr>
        <w:t xml:space="preserve">. 3rd </w:t>
      </w:r>
      <w:proofErr w:type="spellStart"/>
      <w:r>
        <w:rPr>
          <w:rFonts w:ascii="Arial" w:hAnsi="Arial" w:cs="Arial"/>
        </w:rPr>
        <w:t>edn</w:t>
      </w:r>
      <w:proofErr w:type="spellEnd"/>
      <w:r>
        <w:rPr>
          <w:rFonts w:ascii="Arial" w:hAnsi="Arial" w:cs="Arial"/>
        </w:rPr>
        <w:t>. San Francisco: Jossey-Bass.</w:t>
      </w:r>
    </w:p>
    <w:p w14:paraId="1E9841A9" w14:textId="77777777" w:rsidR="00B00309" w:rsidRPr="00B00309" w:rsidRDefault="00B00309" w:rsidP="00B00309">
      <w:pPr>
        <w:pStyle w:val="font-claude-response-body"/>
        <w:spacing w:line="360" w:lineRule="auto"/>
        <w:ind w:left="720" w:hanging="720"/>
        <w:jc w:val="both"/>
        <w:rPr>
          <w:rFonts w:ascii="Arial" w:hAnsi="Arial" w:cs="Arial"/>
        </w:rPr>
      </w:pPr>
      <w:r>
        <w:rPr>
          <w:rFonts w:ascii="Arial" w:hAnsi="Arial" w:cs="Arial"/>
        </w:rPr>
        <w:t xml:space="preserve">Denison, D.R., Nieminen, L. and Kotrba, L. (2014) 'Diagnosing organizational cultures: a conceptual and empirical review of culture effectiveness surveys', </w:t>
      </w:r>
      <w:r>
        <w:rPr>
          <w:rStyle w:val="Emphasis"/>
          <w:rFonts w:ascii="Arial" w:hAnsi="Arial" w:cs="Arial"/>
        </w:rPr>
        <w:t>European Journal of Work and Organizational Psychology</w:t>
      </w:r>
      <w:r>
        <w:rPr>
          <w:rFonts w:ascii="Arial" w:hAnsi="Arial" w:cs="Arial"/>
        </w:rPr>
        <w:t>, 23(1), pp. 145–161.</w:t>
      </w:r>
    </w:p>
    <w:p w14:paraId="521BA0A6" w14:textId="77777777" w:rsidR="00B00309" w:rsidRPr="00B00309" w:rsidRDefault="00B00309" w:rsidP="00B00309">
      <w:pPr>
        <w:pStyle w:val="font-claude-response-body"/>
        <w:spacing w:line="360" w:lineRule="auto"/>
        <w:ind w:left="720" w:hanging="720"/>
        <w:jc w:val="both"/>
        <w:rPr>
          <w:rFonts w:ascii="Arial" w:hAnsi="Arial" w:cs="Arial"/>
        </w:rPr>
      </w:pPr>
      <w:r>
        <w:rPr>
          <w:rFonts w:ascii="Arial" w:hAnsi="Arial" w:cs="Arial"/>
        </w:rPr>
        <w:t xml:space="preserve">Drapers (2025) 'John Lewis mulls revival of staff bonus', </w:t>
      </w:r>
      <w:r>
        <w:rPr>
          <w:rStyle w:val="Emphasis"/>
          <w:rFonts w:ascii="Arial" w:hAnsi="Arial" w:cs="Arial"/>
        </w:rPr>
        <w:t>Drapers Online</w:t>
      </w:r>
      <w:r>
        <w:rPr>
          <w:rFonts w:ascii="Arial" w:hAnsi="Arial" w:cs="Arial"/>
        </w:rPr>
        <w:t xml:space="preserve">, 21 July. Available at: </w:t>
      </w:r>
      <w:hyperlink r:id="rId12" w:history="1">
        <w:r>
          <w:rPr>
            <w:rStyle w:val="Hyperlink"/>
            <w:rFonts w:ascii="Arial" w:hAnsi="Arial" w:cs="Arial"/>
          </w:rPr>
          <w:t>https://www.drapersonline.com/news/john-lewis-mulls-revival-of-staff-bonus</w:t>
        </w:r>
      </w:hyperlink>
      <w:r>
        <w:rPr>
          <w:rFonts w:ascii="Arial" w:hAnsi="Arial" w:cs="Arial"/>
        </w:rPr>
        <w:t xml:space="preserve"> (Accessed: 10 June 2026).</w:t>
      </w:r>
    </w:p>
    <w:p w14:paraId="08EED940" w14:textId="77777777" w:rsidR="00B00309" w:rsidRPr="00B00309" w:rsidRDefault="00B00309" w:rsidP="00B00309">
      <w:pPr>
        <w:pStyle w:val="font-claude-response-body"/>
        <w:spacing w:line="360" w:lineRule="auto"/>
        <w:ind w:left="720" w:hanging="720"/>
        <w:jc w:val="both"/>
        <w:rPr>
          <w:rFonts w:ascii="Arial" w:hAnsi="Arial" w:cs="Arial"/>
        </w:rPr>
      </w:pPr>
      <w:r>
        <w:rPr>
          <w:rFonts w:ascii="Arial" w:hAnsi="Arial" w:cs="Arial"/>
        </w:rPr>
        <w:t xml:space="preserve">Employee Ownership Association (2024) </w:t>
      </w:r>
      <w:r>
        <w:rPr>
          <w:rStyle w:val="Emphasis"/>
          <w:rFonts w:ascii="Arial" w:hAnsi="Arial" w:cs="Arial"/>
        </w:rPr>
        <w:t>John Lewis Partnership: Employee Ownership Case Study</w:t>
      </w:r>
      <w:r>
        <w:rPr>
          <w:rFonts w:ascii="Arial" w:hAnsi="Arial" w:cs="Arial"/>
        </w:rPr>
        <w:t xml:space="preserve">. London: Employee Ownership Association. Available at: </w:t>
      </w:r>
      <w:hyperlink r:id="rId13" w:history="1">
        <w:r>
          <w:rPr>
            <w:rStyle w:val="Hyperlink"/>
            <w:rFonts w:ascii="Arial" w:hAnsi="Arial" w:cs="Arial"/>
          </w:rPr>
          <w:t>https://employeeownership.co.uk/Site/Site/content/All-About-EO/Case-Studies/john-lewis-partnership.aspx</w:t>
        </w:r>
      </w:hyperlink>
      <w:r>
        <w:rPr>
          <w:rFonts w:ascii="Arial" w:hAnsi="Arial" w:cs="Arial"/>
        </w:rPr>
        <w:t xml:space="preserve"> (Accessed: 10 June 2026).</w:t>
      </w:r>
    </w:p>
    <w:p w14:paraId="4E1110AA" w14:textId="77777777" w:rsidR="00B00309" w:rsidRPr="00B00309" w:rsidRDefault="00B00309" w:rsidP="00B00309">
      <w:pPr>
        <w:pStyle w:val="font-claude-response-body"/>
        <w:spacing w:line="360" w:lineRule="auto"/>
        <w:ind w:left="720" w:hanging="720"/>
        <w:jc w:val="both"/>
        <w:rPr>
          <w:rFonts w:ascii="Arial" w:hAnsi="Arial" w:cs="Arial"/>
        </w:rPr>
      </w:pPr>
      <w:r>
        <w:rPr>
          <w:rFonts w:ascii="Arial" w:hAnsi="Arial" w:cs="Arial"/>
        </w:rPr>
        <w:t xml:space="preserve">Fortune (2025) 'John Lewis profit jumps as turnaround wins back shoppers', </w:t>
      </w:r>
      <w:r>
        <w:rPr>
          <w:rStyle w:val="Emphasis"/>
          <w:rFonts w:ascii="Arial" w:hAnsi="Arial" w:cs="Arial"/>
        </w:rPr>
        <w:t>Fortune Europe</w:t>
      </w:r>
      <w:r>
        <w:rPr>
          <w:rFonts w:ascii="Arial" w:hAnsi="Arial" w:cs="Arial"/>
        </w:rPr>
        <w:t xml:space="preserve">, 13 March. Available at: </w:t>
      </w:r>
      <w:hyperlink r:id="rId14" w:history="1">
        <w:r>
          <w:rPr>
            <w:rStyle w:val="Hyperlink"/>
            <w:rFonts w:ascii="Arial" w:hAnsi="Arial" w:cs="Arial"/>
          </w:rPr>
          <w:t>https://fortune.com/europe/2025/03/13/john-lewis-profit-jumps-turnaround-wins-back-shoppers-fortune-500-europe-jason-tarry-waitrose/</w:t>
        </w:r>
      </w:hyperlink>
      <w:r>
        <w:rPr>
          <w:rFonts w:ascii="Arial" w:hAnsi="Arial" w:cs="Arial"/>
        </w:rPr>
        <w:t xml:space="preserve"> (Accessed: 10 June 2026).</w:t>
      </w:r>
    </w:p>
    <w:p w14:paraId="7FB92E3C" w14:textId="77777777" w:rsidR="00B00309" w:rsidRPr="00B00309" w:rsidRDefault="00B00309" w:rsidP="00B00309">
      <w:pPr>
        <w:pStyle w:val="font-claude-response-body"/>
        <w:spacing w:line="360" w:lineRule="auto"/>
        <w:ind w:left="720" w:hanging="720"/>
        <w:jc w:val="both"/>
        <w:rPr>
          <w:rFonts w:ascii="Arial" w:hAnsi="Arial" w:cs="Arial"/>
        </w:rPr>
      </w:pPr>
      <w:r>
        <w:rPr>
          <w:rFonts w:ascii="Arial" w:hAnsi="Arial" w:cs="Arial"/>
        </w:rPr>
        <w:t xml:space="preserve">Handy, C.B. (1993) </w:t>
      </w:r>
      <w:r>
        <w:rPr>
          <w:rStyle w:val="Emphasis"/>
          <w:rFonts w:ascii="Arial" w:hAnsi="Arial" w:cs="Arial"/>
        </w:rPr>
        <w:t xml:space="preserve">Understanding </w:t>
      </w:r>
      <w:proofErr w:type="spellStart"/>
      <w:r>
        <w:rPr>
          <w:rStyle w:val="Emphasis"/>
          <w:rFonts w:ascii="Arial" w:hAnsi="Arial" w:cs="Arial"/>
        </w:rPr>
        <w:t>Organisations</w:t>
      </w:r>
      <w:proofErr w:type="spellEnd"/>
      <w:r>
        <w:rPr>
          <w:rFonts w:ascii="Arial" w:hAnsi="Arial" w:cs="Arial"/>
        </w:rPr>
        <w:t xml:space="preserve">. 4th </w:t>
      </w:r>
      <w:proofErr w:type="spellStart"/>
      <w:r>
        <w:rPr>
          <w:rFonts w:ascii="Arial" w:hAnsi="Arial" w:cs="Arial"/>
        </w:rPr>
        <w:t>edn</w:t>
      </w:r>
      <w:proofErr w:type="spellEnd"/>
      <w:r>
        <w:rPr>
          <w:rFonts w:ascii="Arial" w:hAnsi="Arial" w:cs="Arial"/>
        </w:rPr>
        <w:t>. London: Penguin Books.</w:t>
      </w:r>
    </w:p>
    <w:p w14:paraId="7E2FA3E3" w14:textId="77777777" w:rsidR="00B00309" w:rsidRPr="00B00309" w:rsidRDefault="00B00309" w:rsidP="00B00309">
      <w:pPr>
        <w:pStyle w:val="font-claude-response-body"/>
        <w:spacing w:line="360" w:lineRule="auto"/>
        <w:ind w:left="720" w:hanging="720"/>
        <w:jc w:val="both"/>
        <w:rPr>
          <w:rFonts w:ascii="Arial" w:hAnsi="Arial" w:cs="Arial"/>
        </w:rPr>
      </w:pPr>
      <w:r>
        <w:rPr>
          <w:rFonts w:ascii="Arial" w:hAnsi="Arial" w:cs="Arial"/>
        </w:rPr>
        <w:t xml:space="preserve">Hofstede Insights (2024) </w:t>
      </w:r>
      <w:r>
        <w:rPr>
          <w:rStyle w:val="Emphasis"/>
          <w:rFonts w:ascii="Arial" w:hAnsi="Arial" w:cs="Arial"/>
        </w:rPr>
        <w:t>Country Comparison Tool: United Kingdom</w:t>
      </w:r>
      <w:r>
        <w:rPr>
          <w:rFonts w:ascii="Arial" w:hAnsi="Arial" w:cs="Arial"/>
        </w:rPr>
        <w:t xml:space="preserve">. Available at: </w:t>
      </w:r>
      <w:hyperlink r:id="rId15" w:history="1">
        <w:r>
          <w:rPr>
            <w:rStyle w:val="Hyperlink"/>
            <w:rFonts w:ascii="Arial" w:hAnsi="Arial" w:cs="Arial"/>
          </w:rPr>
          <w:t>https://www.hofstede-insights.com/country-comparison-tool</w:t>
        </w:r>
      </w:hyperlink>
      <w:r>
        <w:rPr>
          <w:rFonts w:ascii="Arial" w:hAnsi="Arial" w:cs="Arial"/>
        </w:rPr>
        <w:t xml:space="preserve"> (Accessed: 10 June 2026).</w:t>
      </w:r>
    </w:p>
    <w:p w14:paraId="04AF317B" w14:textId="77777777" w:rsidR="00B00309" w:rsidRPr="00B00309" w:rsidRDefault="00B00309" w:rsidP="00B00309">
      <w:pPr>
        <w:pStyle w:val="font-claude-response-body"/>
        <w:spacing w:line="360" w:lineRule="auto"/>
        <w:ind w:left="720" w:hanging="720"/>
        <w:jc w:val="both"/>
        <w:rPr>
          <w:rFonts w:ascii="Arial" w:hAnsi="Arial" w:cs="Arial"/>
        </w:rPr>
      </w:pPr>
      <w:r>
        <w:rPr>
          <w:rFonts w:ascii="Arial" w:hAnsi="Arial" w:cs="Arial"/>
        </w:rPr>
        <w:lastRenderedPageBreak/>
        <w:t xml:space="preserve">Hofstede, G., Hofstede, G.J. and Minkov, M. (2010) </w:t>
      </w:r>
      <w:r>
        <w:rPr>
          <w:rStyle w:val="Emphasis"/>
          <w:rFonts w:ascii="Arial" w:hAnsi="Arial" w:cs="Arial"/>
        </w:rPr>
        <w:t>Cultures and Organizations: Software of the Mind</w:t>
      </w:r>
      <w:r>
        <w:rPr>
          <w:rFonts w:ascii="Arial" w:hAnsi="Arial" w:cs="Arial"/>
        </w:rPr>
        <w:t xml:space="preserve">. 3rd </w:t>
      </w:r>
      <w:proofErr w:type="spellStart"/>
      <w:r>
        <w:rPr>
          <w:rFonts w:ascii="Arial" w:hAnsi="Arial" w:cs="Arial"/>
        </w:rPr>
        <w:t>edn</w:t>
      </w:r>
      <w:proofErr w:type="spellEnd"/>
      <w:r>
        <w:rPr>
          <w:rFonts w:ascii="Arial" w:hAnsi="Arial" w:cs="Arial"/>
        </w:rPr>
        <w:t>. New York: McGraw-Hill.</w:t>
      </w:r>
    </w:p>
    <w:p w14:paraId="5009F275" w14:textId="77777777" w:rsidR="00B00309" w:rsidRPr="00B00309" w:rsidRDefault="00B00309" w:rsidP="00B00309">
      <w:pPr>
        <w:pStyle w:val="font-claude-response-body"/>
        <w:spacing w:line="360" w:lineRule="auto"/>
        <w:ind w:left="720" w:hanging="720"/>
        <w:jc w:val="both"/>
        <w:rPr>
          <w:rFonts w:ascii="Arial" w:hAnsi="Arial" w:cs="Arial"/>
        </w:rPr>
      </w:pPr>
      <w:proofErr w:type="spellStart"/>
      <w:r>
        <w:rPr>
          <w:rFonts w:ascii="Arial" w:hAnsi="Arial" w:cs="Arial"/>
        </w:rPr>
        <w:t>Investegate</w:t>
      </w:r>
      <w:proofErr w:type="spellEnd"/>
      <w:r>
        <w:rPr>
          <w:rFonts w:ascii="Arial" w:hAnsi="Arial" w:cs="Arial"/>
        </w:rPr>
        <w:t xml:space="preserve"> (2024) 'John Lewis Partnership unaudited results for the 52 weeks ended 27 January 2024', </w:t>
      </w:r>
      <w:proofErr w:type="spellStart"/>
      <w:r>
        <w:rPr>
          <w:rStyle w:val="Emphasis"/>
          <w:rFonts w:ascii="Arial" w:hAnsi="Arial" w:cs="Arial"/>
        </w:rPr>
        <w:t>Investegate</w:t>
      </w:r>
      <w:proofErr w:type="spellEnd"/>
      <w:r>
        <w:rPr>
          <w:rFonts w:ascii="Arial" w:hAnsi="Arial" w:cs="Arial"/>
        </w:rPr>
        <w:t xml:space="preserve">, 14 March. Available at: </w:t>
      </w:r>
      <w:hyperlink r:id="rId16" w:history="1">
        <w:r>
          <w:rPr>
            <w:rStyle w:val="Hyperlink"/>
            <w:rFonts w:ascii="Arial" w:hAnsi="Arial" w:cs="Arial"/>
          </w:rPr>
          <w:t>https://www.investegate.co.uk/announcement/rns/john-lewis-plc--45gd/john-</w:t>
        </w:r>
        <w:proofErr w:type="spellStart"/>
        <w:r>
          <w:rPr>
            <w:rStyle w:val="Hyperlink"/>
            <w:rFonts w:ascii="Arial" w:hAnsi="Arial" w:cs="Arial"/>
          </w:rPr>
          <w:t>lewis</w:t>
        </w:r>
        <w:proofErr w:type="spellEnd"/>
        <w:r>
          <w:rPr>
            <w:rStyle w:val="Hyperlink"/>
            <w:rFonts w:ascii="Arial" w:hAnsi="Arial" w:cs="Arial"/>
          </w:rPr>
          <w:t>-partnership-unaudited-results-/8086823</w:t>
        </w:r>
      </w:hyperlink>
      <w:r>
        <w:rPr>
          <w:rFonts w:ascii="Arial" w:hAnsi="Arial" w:cs="Arial"/>
        </w:rPr>
        <w:t xml:space="preserve"> (Accessed: 10 June 2026).</w:t>
      </w:r>
    </w:p>
    <w:p w14:paraId="28A743E1" w14:textId="77777777" w:rsidR="00B00309" w:rsidRPr="00B00309" w:rsidRDefault="00B00309" w:rsidP="00B00309">
      <w:pPr>
        <w:pStyle w:val="font-claude-response-body"/>
        <w:spacing w:line="360" w:lineRule="auto"/>
        <w:ind w:left="720" w:hanging="720"/>
        <w:jc w:val="both"/>
        <w:rPr>
          <w:rFonts w:ascii="Arial" w:hAnsi="Arial" w:cs="Arial"/>
        </w:rPr>
      </w:pPr>
      <w:r>
        <w:rPr>
          <w:rFonts w:ascii="Arial" w:hAnsi="Arial" w:cs="Arial"/>
        </w:rPr>
        <w:t xml:space="preserve">John Lewis Partnership (2025) </w:t>
      </w:r>
      <w:r>
        <w:rPr>
          <w:rStyle w:val="Emphasis"/>
          <w:rFonts w:ascii="Arial" w:hAnsi="Arial" w:cs="Arial"/>
        </w:rPr>
        <w:t>Annual Report and Accounts 2024/25</w:t>
      </w:r>
      <w:r>
        <w:rPr>
          <w:rFonts w:ascii="Arial" w:hAnsi="Arial" w:cs="Arial"/>
        </w:rPr>
        <w:t xml:space="preserve">. London: John Lewis Partnership plc. Available at: </w:t>
      </w:r>
      <w:hyperlink r:id="rId17" w:history="1">
        <w:r>
          <w:rPr>
            <w:rStyle w:val="Hyperlink"/>
            <w:rFonts w:ascii="Arial" w:hAnsi="Arial" w:cs="Arial"/>
          </w:rPr>
          <w:t>https://www.johnlewispartnership.co.uk/~/media/Files/J/john-lewis/corp/documents/jlp-plc-ara-2024-25.pdf</w:t>
        </w:r>
      </w:hyperlink>
      <w:r>
        <w:rPr>
          <w:rFonts w:ascii="Arial" w:hAnsi="Arial" w:cs="Arial"/>
        </w:rPr>
        <w:t xml:space="preserve"> (Accessed: 10 June 2026).</w:t>
      </w:r>
    </w:p>
    <w:p w14:paraId="33E3CC41" w14:textId="77777777" w:rsidR="00B00309" w:rsidRPr="00B00309" w:rsidRDefault="00B00309" w:rsidP="00B00309">
      <w:pPr>
        <w:pStyle w:val="font-claude-response-body"/>
        <w:spacing w:line="360" w:lineRule="auto"/>
        <w:ind w:left="720" w:hanging="720"/>
        <w:jc w:val="both"/>
        <w:rPr>
          <w:rFonts w:ascii="Arial" w:hAnsi="Arial" w:cs="Arial"/>
        </w:rPr>
      </w:pPr>
      <w:r>
        <w:rPr>
          <w:rFonts w:ascii="Arial" w:hAnsi="Arial" w:cs="Arial"/>
        </w:rPr>
        <w:t xml:space="preserve">John Lewis Partnership (2026) </w:t>
      </w:r>
      <w:r>
        <w:rPr>
          <w:rStyle w:val="Emphasis"/>
          <w:rFonts w:ascii="Arial" w:hAnsi="Arial" w:cs="Arial"/>
        </w:rPr>
        <w:t>Full Year Results to 31 January 2026</w:t>
      </w:r>
      <w:r>
        <w:rPr>
          <w:rFonts w:ascii="Arial" w:hAnsi="Arial" w:cs="Arial"/>
        </w:rPr>
        <w:t xml:space="preserve">. London: John Lewis Partnership plc. Available at: </w:t>
      </w:r>
      <w:hyperlink r:id="rId18" w:history="1">
        <w:r>
          <w:rPr>
            <w:rStyle w:val="Hyperlink"/>
            <w:rFonts w:ascii="Arial" w:hAnsi="Arial" w:cs="Arial"/>
          </w:rPr>
          <w:t>https://www.johnlewispartnership.co.uk/media-centre/latest-news/2026/23872</w:t>
        </w:r>
      </w:hyperlink>
      <w:r>
        <w:rPr>
          <w:rFonts w:ascii="Arial" w:hAnsi="Arial" w:cs="Arial"/>
        </w:rPr>
        <w:t xml:space="preserve"> (Accessed: 10 June 2026).</w:t>
      </w:r>
    </w:p>
    <w:p w14:paraId="451FB853" w14:textId="77777777" w:rsidR="00B00309" w:rsidRPr="00B00309" w:rsidRDefault="00B00309" w:rsidP="00B00309">
      <w:pPr>
        <w:pStyle w:val="font-claude-response-body"/>
        <w:spacing w:line="360" w:lineRule="auto"/>
        <w:ind w:left="720" w:hanging="720"/>
        <w:jc w:val="both"/>
        <w:rPr>
          <w:rFonts w:ascii="Arial" w:hAnsi="Arial" w:cs="Arial"/>
        </w:rPr>
      </w:pPr>
      <w:r>
        <w:rPr>
          <w:rFonts w:ascii="Arial" w:hAnsi="Arial" w:cs="Arial"/>
        </w:rPr>
        <w:t xml:space="preserve">Kotter, J.P. (2012) </w:t>
      </w:r>
      <w:r>
        <w:rPr>
          <w:rStyle w:val="Emphasis"/>
          <w:rFonts w:ascii="Arial" w:hAnsi="Arial" w:cs="Arial"/>
        </w:rPr>
        <w:t>Leading Change</w:t>
      </w:r>
      <w:r>
        <w:rPr>
          <w:rFonts w:ascii="Arial" w:hAnsi="Arial" w:cs="Arial"/>
        </w:rPr>
        <w:t>. Boston, MA: Harvard Business Review Press.</w:t>
      </w:r>
    </w:p>
    <w:p w14:paraId="6CEF1267" w14:textId="77777777" w:rsidR="00B00309" w:rsidRPr="00B00309" w:rsidRDefault="00B00309" w:rsidP="00B00309">
      <w:pPr>
        <w:pStyle w:val="font-claude-response-body"/>
        <w:spacing w:line="360" w:lineRule="auto"/>
        <w:ind w:left="720" w:hanging="720"/>
        <w:jc w:val="both"/>
        <w:rPr>
          <w:rFonts w:ascii="Arial" w:hAnsi="Arial" w:cs="Arial"/>
        </w:rPr>
      </w:pPr>
      <w:r>
        <w:rPr>
          <w:rFonts w:ascii="Arial" w:hAnsi="Arial" w:cs="Arial"/>
        </w:rPr>
        <w:t xml:space="preserve">Mullins, L.J. and Christy, G. (2016) </w:t>
      </w:r>
      <w:r>
        <w:rPr>
          <w:rStyle w:val="Emphasis"/>
          <w:rFonts w:ascii="Arial" w:hAnsi="Arial" w:cs="Arial"/>
        </w:rPr>
        <w:t xml:space="preserve">Management and Organisational </w:t>
      </w:r>
      <w:proofErr w:type="spellStart"/>
      <w:r>
        <w:rPr>
          <w:rStyle w:val="Emphasis"/>
          <w:rFonts w:ascii="Arial" w:hAnsi="Arial" w:cs="Arial"/>
        </w:rPr>
        <w:t>Behaviour</w:t>
      </w:r>
      <w:proofErr w:type="spellEnd"/>
      <w:r>
        <w:rPr>
          <w:rFonts w:ascii="Arial" w:hAnsi="Arial" w:cs="Arial"/>
        </w:rPr>
        <w:t xml:space="preserve">. 11th </w:t>
      </w:r>
      <w:proofErr w:type="spellStart"/>
      <w:r>
        <w:rPr>
          <w:rFonts w:ascii="Arial" w:hAnsi="Arial" w:cs="Arial"/>
        </w:rPr>
        <w:t>edn</w:t>
      </w:r>
      <w:proofErr w:type="spellEnd"/>
      <w:r>
        <w:rPr>
          <w:rFonts w:ascii="Arial" w:hAnsi="Arial" w:cs="Arial"/>
        </w:rPr>
        <w:t>. Harlow: Pearson Education Limited.</w:t>
      </w:r>
    </w:p>
    <w:p w14:paraId="2AA1F9D9" w14:textId="77777777" w:rsidR="00B00309" w:rsidRPr="00B00309" w:rsidRDefault="00B00309" w:rsidP="00B00309">
      <w:pPr>
        <w:pStyle w:val="font-claude-response-body"/>
        <w:spacing w:line="360" w:lineRule="auto"/>
        <w:ind w:left="720" w:hanging="720"/>
        <w:jc w:val="both"/>
        <w:rPr>
          <w:rFonts w:ascii="Arial" w:hAnsi="Arial" w:cs="Arial"/>
        </w:rPr>
      </w:pPr>
      <w:r>
        <w:rPr>
          <w:rFonts w:ascii="Arial" w:hAnsi="Arial" w:cs="Arial"/>
        </w:rPr>
        <w:t xml:space="preserve">Mullins, L.J. and McLean, J.E. (2019) </w:t>
      </w:r>
      <w:r>
        <w:rPr>
          <w:rStyle w:val="Emphasis"/>
          <w:rFonts w:ascii="Arial" w:hAnsi="Arial" w:cs="Arial"/>
        </w:rPr>
        <w:t xml:space="preserve">Organisational </w:t>
      </w:r>
      <w:proofErr w:type="spellStart"/>
      <w:r>
        <w:rPr>
          <w:rStyle w:val="Emphasis"/>
          <w:rFonts w:ascii="Arial" w:hAnsi="Arial" w:cs="Arial"/>
        </w:rPr>
        <w:t>Behaviour</w:t>
      </w:r>
      <w:proofErr w:type="spellEnd"/>
      <w:r>
        <w:rPr>
          <w:rStyle w:val="Emphasis"/>
          <w:rFonts w:ascii="Arial" w:hAnsi="Arial" w:cs="Arial"/>
        </w:rPr>
        <w:t xml:space="preserve"> in the Workplace</w:t>
      </w:r>
      <w:r>
        <w:rPr>
          <w:rFonts w:ascii="Arial" w:hAnsi="Arial" w:cs="Arial"/>
        </w:rPr>
        <w:t xml:space="preserve">. 12th </w:t>
      </w:r>
      <w:proofErr w:type="spellStart"/>
      <w:r>
        <w:rPr>
          <w:rFonts w:ascii="Arial" w:hAnsi="Arial" w:cs="Arial"/>
        </w:rPr>
        <w:t>edn</w:t>
      </w:r>
      <w:proofErr w:type="spellEnd"/>
      <w:r>
        <w:rPr>
          <w:rFonts w:ascii="Arial" w:hAnsi="Arial" w:cs="Arial"/>
        </w:rPr>
        <w:t>. Harlow: Pearson Education Limited.</w:t>
      </w:r>
    </w:p>
    <w:p w14:paraId="22FABA33" w14:textId="77777777" w:rsidR="00B00309" w:rsidRPr="00B00309" w:rsidRDefault="00B00309" w:rsidP="00B00309">
      <w:pPr>
        <w:pStyle w:val="font-claude-response-body"/>
        <w:spacing w:line="360" w:lineRule="auto"/>
        <w:ind w:left="720" w:hanging="720"/>
        <w:jc w:val="both"/>
        <w:rPr>
          <w:rFonts w:ascii="Arial" w:hAnsi="Arial" w:cs="Arial"/>
        </w:rPr>
      </w:pPr>
      <w:r>
        <w:rPr>
          <w:rFonts w:ascii="Arial" w:hAnsi="Arial" w:cs="Arial"/>
        </w:rPr>
        <w:t xml:space="preserve">Parliament of the United Kingdom (2017) </w:t>
      </w:r>
      <w:r>
        <w:rPr>
          <w:rStyle w:val="Emphasis"/>
          <w:rFonts w:ascii="Arial" w:hAnsi="Arial" w:cs="Arial"/>
        </w:rPr>
        <w:t>Written Evidence from the John Lewis Partnership (CGV0099)</w:t>
      </w:r>
      <w:r>
        <w:rPr>
          <w:rFonts w:ascii="Arial" w:hAnsi="Arial" w:cs="Arial"/>
        </w:rPr>
        <w:t xml:space="preserve">, Corporate Governance Inquiry, Business, Energy and Industrial Strategy Committee. Available at: </w:t>
      </w:r>
      <w:hyperlink r:id="rId19" w:history="1">
        <w:r>
          <w:rPr>
            <w:rStyle w:val="Hyperlink"/>
            <w:rFonts w:ascii="Arial" w:hAnsi="Arial" w:cs="Arial"/>
          </w:rPr>
          <w:t>https://committees.parliament.uk/writtenevidence/74324/html/</w:t>
        </w:r>
      </w:hyperlink>
      <w:r>
        <w:rPr>
          <w:rFonts w:ascii="Arial" w:hAnsi="Arial" w:cs="Arial"/>
        </w:rPr>
        <w:t xml:space="preserve"> (Accessed: 10 June 2026).</w:t>
      </w:r>
    </w:p>
    <w:p w14:paraId="07C5EB21" w14:textId="77777777" w:rsidR="00B00309" w:rsidRPr="00B00309" w:rsidRDefault="00B00309" w:rsidP="00B00309">
      <w:pPr>
        <w:pStyle w:val="font-claude-response-body"/>
        <w:spacing w:line="360" w:lineRule="auto"/>
        <w:ind w:left="720" w:hanging="720"/>
        <w:jc w:val="both"/>
        <w:rPr>
          <w:rFonts w:ascii="Arial" w:hAnsi="Arial" w:cs="Arial"/>
        </w:rPr>
      </w:pPr>
      <w:r>
        <w:rPr>
          <w:rFonts w:ascii="Arial" w:hAnsi="Arial" w:cs="Arial"/>
        </w:rPr>
        <w:t xml:space="preserve">Personnel Today (2024) 'No bonus for John Lewis partners despite return to profit', </w:t>
      </w:r>
      <w:r>
        <w:rPr>
          <w:rStyle w:val="Emphasis"/>
          <w:rFonts w:ascii="Arial" w:hAnsi="Arial" w:cs="Arial"/>
        </w:rPr>
        <w:t>Personnel Today</w:t>
      </w:r>
      <w:r>
        <w:rPr>
          <w:rFonts w:ascii="Arial" w:hAnsi="Arial" w:cs="Arial"/>
        </w:rPr>
        <w:t xml:space="preserve">, 14 March. Available at: </w:t>
      </w:r>
      <w:hyperlink r:id="rId20" w:history="1">
        <w:r>
          <w:rPr>
            <w:rStyle w:val="Hyperlink"/>
            <w:rFonts w:ascii="Arial" w:hAnsi="Arial" w:cs="Arial"/>
          </w:rPr>
          <w:t>https://www.personneltoday.com/hr/no-bonus-for-john-lewis-partners-despite-return-to-profit/</w:t>
        </w:r>
      </w:hyperlink>
      <w:r>
        <w:rPr>
          <w:rFonts w:ascii="Arial" w:hAnsi="Arial" w:cs="Arial"/>
        </w:rPr>
        <w:t xml:space="preserve"> (Accessed: 10 June 2026).</w:t>
      </w:r>
    </w:p>
    <w:p w14:paraId="4EDA1818" w14:textId="77777777" w:rsidR="00B00309" w:rsidRPr="00B00309" w:rsidRDefault="00B00309" w:rsidP="00B00309">
      <w:pPr>
        <w:pStyle w:val="font-claude-response-body"/>
        <w:spacing w:line="360" w:lineRule="auto"/>
        <w:ind w:left="720" w:hanging="720"/>
        <w:jc w:val="both"/>
        <w:rPr>
          <w:rFonts w:ascii="Arial" w:hAnsi="Arial" w:cs="Arial"/>
        </w:rPr>
      </w:pPr>
      <w:r>
        <w:rPr>
          <w:rFonts w:ascii="Arial" w:hAnsi="Arial" w:cs="Arial"/>
        </w:rPr>
        <w:lastRenderedPageBreak/>
        <w:t xml:space="preserve">Retail Gazette (2026) 'John Lewis partners face anxious wait over first bonus since 2022', </w:t>
      </w:r>
      <w:r>
        <w:rPr>
          <w:rStyle w:val="Emphasis"/>
          <w:rFonts w:ascii="Arial" w:hAnsi="Arial" w:cs="Arial"/>
        </w:rPr>
        <w:t>Retail Gazette</w:t>
      </w:r>
      <w:r>
        <w:rPr>
          <w:rFonts w:ascii="Arial" w:hAnsi="Arial" w:cs="Arial"/>
        </w:rPr>
        <w:t xml:space="preserve">, 9 March. Available at: </w:t>
      </w:r>
      <w:hyperlink r:id="rId21" w:history="1">
        <w:r>
          <w:rPr>
            <w:rStyle w:val="Hyperlink"/>
            <w:rFonts w:ascii="Arial" w:hAnsi="Arial" w:cs="Arial"/>
          </w:rPr>
          <w:t>https://www.retailgazette.co.uk/blog/2026/03/john-lewis-first-bonus-2022/</w:t>
        </w:r>
      </w:hyperlink>
      <w:r>
        <w:rPr>
          <w:rFonts w:ascii="Arial" w:hAnsi="Arial" w:cs="Arial"/>
        </w:rPr>
        <w:t xml:space="preserve"> (Accessed: 10 June 2026).</w:t>
      </w:r>
    </w:p>
    <w:p w14:paraId="1FDB3905" w14:textId="77777777" w:rsidR="00B00309" w:rsidRPr="00B00309" w:rsidRDefault="00B00309" w:rsidP="00B00309">
      <w:pPr>
        <w:pStyle w:val="font-claude-response-body"/>
        <w:spacing w:line="360" w:lineRule="auto"/>
        <w:ind w:left="720" w:hanging="720"/>
        <w:jc w:val="both"/>
        <w:rPr>
          <w:rFonts w:ascii="Arial" w:hAnsi="Arial" w:cs="Arial"/>
        </w:rPr>
      </w:pPr>
      <w:r>
        <w:rPr>
          <w:rFonts w:ascii="Arial" w:hAnsi="Arial" w:cs="Arial"/>
        </w:rPr>
        <w:t xml:space="preserve">Schein, E.H. and Schein, P.A. (2017) </w:t>
      </w:r>
      <w:r>
        <w:rPr>
          <w:rStyle w:val="Emphasis"/>
          <w:rFonts w:ascii="Arial" w:hAnsi="Arial" w:cs="Arial"/>
        </w:rPr>
        <w:t>Organizational Culture and Leadership</w:t>
      </w:r>
      <w:r>
        <w:rPr>
          <w:rFonts w:ascii="Arial" w:hAnsi="Arial" w:cs="Arial"/>
        </w:rPr>
        <w:t xml:space="preserve">. 5th </w:t>
      </w:r>
      <w:proofErr w:type="spellStart"/>
      <w:r>
        <w:rPr>
          <w:rFonts w:ascii="Arial" w:hAnsi="Arial" w:cs="Arial"/>
        </w:rPr>
        <w:t>edn</w:t>
      </w:r>
      <w:proofErr w:type="spellEnd"/>
      <w:r>
        <w:rPr>
          <w:rFonts w:ascii="Arial" w:hAnsi="Arial" w:cs="Arial"/>
        </w:rPr>
        <w:t>. Hoboken, NJ: John Wiley &amp; Sons.</w:t>
      </w:r>
    </w:p>
    <w:p w14:paraId="382748A9" w14:textId="77777777" w:rsidR="00B00309" w:rsidRPr="00B00309" w:rsidRDefault="00B00309" w:rsidP="00B00309">
      <w:pPr>
        <w:pStyle w:val="font-claude-response-body"/>
        <w:spacing w:line="360" w:lineRule="auto"/>
        <w:ind w:left="720" w:hanging="720"/>
        <w:jc w:val="both"/>
        <w:rPr>
          <w:rFonts w:ascii="Arial" w:hAnsi="Arial" w:cs="Arial"/>
        </w:rPr>
      </w:pPr>
      <w:r>
        <w:rPr>
          <w:rFonts w:ascii="Arial" w:hAnsi="Arial" w:cs="Arial"/>
        </w:rPr>
        <w:t xml:space="preserve">Schneider, B., Ehrhart, M.G. and Macey, W.H. (2013) 'Organizational climate and culture', </w:t>
      </w:r>
      <w:r>
        <w:rPr>
          <w:rStyle w:val="Emphasis"/>
          <w:rFonts w:ascii="Arial" w:hAnsi="Arial" w:cs="Arial"/>
        </w:rPr>
        <w:t>Annual Review of Psychology</w:t>
      </w:r>
      <w:r>
        <w:rPr>
          <w:rFonts w:ascii="Arial" w:hAnsi="Arial" w:cs="Arial"/>
        </w:rPr>
        <w:t>, 64(1), pp. 361–388.</w:t>
      </w:r>
    </w:p>
    <w:p w14:paraId="561B5F0C" w14:textId="77777777" w:rsidR="00B00309" w:rsidRPr="00B00309" w:rsidRDefault="00B00309" w:rsidP="00B00309">
      <w:pPr>
        <w:pStyle w:val="font-claude-response-body"/>
        <w:spacing w:line="360" w:lineRule="auto"/>
        <w:ind w:left="720" w:hanging="720"/>
        <w:jc w:val="both"/>
        <w:rPr>
          <w:rFonts w:ascii="Arial" w:hAnsi="Arial" w:cs="Arial"/>
        </w:rPr>
      </w:pPr>
      <w:proofErr w:type="spellStart"/>
      <w:r>
        <w:rPr>
          <w:rFonts w:ascii="Arial" w:hAnsi="Arial" w:cs="Arial"/>
        </w:rPr>
        <w:t>TheIndustry.fashion</w:t>
      </w:r>
      <w:proofErr w:type="spellEnd"/>
      <w:r>
        <w:rPr>
          <w:rFonts w:ascii="Arial" w:hAnsi="Arial" w:cs="Arial"/>
        </w:rPr>
        <w:t xml:space="preserve"> (2024) 'The John Lewis Partnership: are staff being given a bonus incentive to leave?', </w:t>
      </w:r>
      <w:proofErr w:type="spellStart"/>
      <w:r>
        <w:rPr>
          <w:rStyle w:val="Emphasis"/>
          <w:rFonts w:ascii="Arial" w:hAnsi="Arial" w:cs="Arial"/>
        </w:rPr>
        <w:t>TheIndustry.fashion</w:t>
      </w:r>
      <w:proofErr w:type="spellEnd"/>
      <w:r>
        <w:rPr>
          <w:rFonts w:ascii="Arial" w:hAnsi="Arial" w:cs="Arial"/>
        </w:rPr>
        <w:t xml:space="preserve">, 19 March. Available at: </w:t>
      </w:r>
      <w:hyperlink r:id="rId22" w:history="1">
        <w:r>
          <w:rPr>
            <w:rStyle w:val="Hyperlink"/>
            <w:rFonts w:ascii="Arial" w:hAnsi="Arial" w:cs="Arial"/>
          </w:rPr>
          <w:t>https://www.theindustry.fashion/the-john-lewis-partnership-are-staff-being-given-a-bonus-incentive-to-leave/</w:t>
        </w:r>
      </w:hyperlink>
      <w:r>
        <w:rPr>
          <w:rFonts w:ascii="Arial" w:hAnsi="Arial" w:cs="Arial"/>
        </w:rPr>
        <w:t xml:space="preserve"> (Accessed: 10 June 2026).</w:t>
      </w:r>
    </w:p>
    <w:p w14:paraId="28956385" w14:textId="731A3F86" w:rsidR="003F0F31" w:rsidRDefault="003F0F31">
      <w:pPr>
        <w:spacing w:line="312" w:lineRule="auto"/>
        <w:ind w:left="567" w:hanging="567"/>
      </w:pPr>
    </w:p>
    <w:sectPr w:rsidR="003F0F31" w:rsidSect="00034616">
      <w:footerReference w:type="default" r:id="rId23"/>
      <w:pgSz w:w="11906" w:h="16838"/>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8C631D7" w14:textId="77777777" w:rsidR="00135607" w:rsidRDefault="00135607" w:rsidP="00311ABF">
      <w:pPr>
        <w:spacing w:after="0" w:line="240" w:lineRule="auto"/>
      </w:pPr>
      <w:r>
        <w:separator/>
      </w:r>
    </w:p>
  </w:endnote>
  <w:endnote w:type="continuationSeparator" w:id="0">
    <w:p w14:paraId="1E5E8CEB" w14:textId="77777777" w:rsidR="00135607" w:rsidRDefault="00135607" w:rsidP="00311AB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MS Mincho">
    <w:panose1 w:val="02020609040205080304"/>
    <w:charset w:val="80"/>
    <w:family w:val="modern"/>
    <w:pitch w:val="fixed"/>
    <w:sig w:usb0="E00002FF" w:usb1="6AC7FDFB" w:usb2="08000012" w:usb3="00000000" w:csb0="0002009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Courier">
    <w:panose1 w:val="02070409020205020404"/>
    <w:charset w:val="00"/>
    <w:family w:val="auto"/>
    <w:pitch w:val="variable"/>
    <w:sig w:usb0="00000003" w:usb1="00000000" w:usb2="00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358579972"/>
      <w:docPartObj>
        <w:docPartGallery w:val="Page Numbers (Bottom of Page)"/>
        <w:docPartUnique/>
      </w:docPartObj>
    </w:sdtPr>
    <w:sdtEndPr>
      <w:rPr>
        <w:noProof/>
      </w:rPr>
    </w:sdtEndPr>
    <w:sdtContent>
      <w:p w14:paraId="3B8B57F1" w14:textId="47886B24" w:rsidR="00311ABF" w:rsidRDefault="00311ABF">
        <w:pPr>
          <w:pStyle w:val="Footer"/>
        </w:pPr>
        <w:r>
          <w:fldChar w:fldCharType="begin"/>
        </w:r>
        <w:r>
          <w:instrText xml:space="preserve"> PAGE   \* MERGEFORMAT </w:instrText>
        </w:r>
        <w:r>
          <w:fldChar w:fldCharType="separate"/>
        </w:r>
        <w:r>
          <w:rPr>
            <w:noProof/>
          </w:rPr>
          <w:t>2</w:t>
        </w:r>
        <w:r>
          <w:rPr>
            <w:noProof/>
          </w:rPr>
          <w:fldChar w:fldCharType="end"/>
        </w:r>
      </w:p>
    </w:sdtContent>
  </w:sdt>
  <w:p w14:paraId="48249AF1" w14:textId="77777777" w:rsidR="00311ABF" w:rsidRDefault="00311AB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1B0B27B" w14:textId="77777777" w:rsidR="00135607" w:rsidRDefault="00135607" w:rsidP="00311ABF">
      <w:pPr>
        <w:spacing w:after="0" w:line="240" w:lineRule="auto"/>
      </w:pPr>
      <w:r>
        <w:separator/>
      </w:r>
    </w:p>
  </w:footnote>
  <w:footnote w:type="continuationSeparator" w:id="0">
    <w:p w14:paraId="4A8B4772" w14:textId="77777777" w:rsidR="00135607" w:rsidRDefault="00135607" w:rsidP="00311ABF">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7C"/>
    <w:multiLevelType w:val="singleLevel"/>
    <w:tmpl w:val="C310EC42"/>
    <w:lvl w:ilvl="0">
      <w:start w:val="1"/>
      <w:numFmt w:val="decimal"/>
      <w:lvlText w:val="%1."/>
      <w:lvlJc w:val="left"/>
      <w:pPr>
        <w:tabs>
          <w:tab w:val="num" w:pos="1800"/>
        </w:tabs>
        <w:ind w:left="1800" w:hanging="360"/>
      </w:pPr>
    </w:lvl>
  </w:abstractNum>
  <w:abstractNum w:abstractNumId="1" w15:restartNumberingAfterBreak="0">
    <w:nsid w:val="FFFFFF7D"/>
    <w:multiLevelType w:val="singleLevel"/>
    <w:tmpl w:val="E4089024"/>
    <w:lvl w:ilvl="0">
      <w:start w:val="1"/>
      <w:numFmt w:val="decimal"/>
      <w:lvlText w:val="%1."/>
      <w:lvlJc w:val="left"/>
      <w:pPr>
        <w:tabs>
          <w:tab w:val="num" w:pos="1440"/>
        </w:tabs>
        <w:ind w:left="1440" w:hanging="360"/>
      </w:pPr>
    </w:lvl>
  </w:abstractNum>
  <w:abstractNum w:abstractNumId="2" w15:restartNumberingAfterBreak="0">
    <w:nsid w:val="FFFFFF7E"/>
    <w:multiLevelType w:val="singleLevel"/>
    <w:tmpl w:val="FB12693A"/>
    <w:lvl w:ilvl="0">
      <w:start w:val="1"/>
      <w:numFmt w:val="decimal"/>
      <w:pStyle w:val="ListNumber3"/>
      <w:lvlText w:val="%1."/>
      <w:lvlJc w:val="left"/>
      <w:pPr>
        <w:tabs>
          <w:tab w:val="num" w:pos="1080"/>
        </w:tabs>
        <w:ind w:left="1080" w:hanging="360"/>
      </w:pPr>
    </w:lvl>
  </w:abstractNum>
  <w:abstractNum w:abstractNumId="3" w15:restartNumberingAfterBreak="0">
    <w:nsid w:val="FFFFFF7F"/>
    <w:multiLevelType w:val="singleLevel"/>
    <w:tmpl w:val="38441652"/>
    <w:lvl w:ilvl="0">
      <w:start w:val="1"/>
      <w:numFmt w:val="decimal"/>
      <w:pStyle w:val="ListNumber2"/>
      <w:lvlText w:val="%1."/>
      <w:lvlJc w:val="left"/>
      <w:pPr>
        <w:tabs>
          <w:tab w:val="num" w:pos="720"/>
        </w:tabs>
        <w:ind w:left="720" w:hanging="360"/>
      </w:pPr>
    </w:lvl>
  </w:abstractNum>
  <w:abstractNum w:abstractNumId="4" w15:restartNumberingAfterBreak="0">
    <w:nsid w:val="FFFFFF81"/>
    <w:multiLevelType w:val="singleLevel"/>
    <w:tmpl w:val="171AC3A4"/>
    <w:lvl w:ilvl="0">
      <w:start w:val="1"/>
      <w:numFmt w:val="bullet"/>
      <w:lvlText w:val=""/>
      <w:lvlJc w:val="left"/>
      <w:pPr>
        <w:tabs>
          <w:tab w:val="num" w:pos="1440"/>
        </w:tabs>
        <w:ind w:left="1440" w:hanging="360"/>
      </w:pPr>
      <w:rPr>
        <w:rFonts w:ascii="Symbol" w:hAnsi="Symbol" w:hint="default"/>
      </w:rPr>
    </w:lvl>
  </w:abstractNum>
  <w:abstractNum w:abstractNumId="5" w15:restartNumberingAfterBreak="0">
    <w:nsid w:val="FFFFFF82"/>
    <w:multiLevelType w:val="singleLevel"/>
    <w:tmpl w:val="F3EAFDEC"/>
    <w:lvl w:ilvl="0">
      <w:start w:val="1"/>
      <w:numFmt w:val="bullet"/>
      <w:pStyle w:val="ListBullet3"/>
      <w:lvlText w:val=""/>
      <w:lvlJc w:val="left"/>
      <w:pPr>
        <w:tabs>
          <w:tab w:val="num" w:pos="1080"/>
        </w:tabs>
        <w:ind w:left="1080" w:hanging="360"/>
      </w:pPr>
      <w:rPr>
        <w:rFonts w:ascii="Symbol" w:hAnsi="Symbol" w:hint="default"/>
      </w:rPr>
    </w:lvl>
  </w:abstractNum>
  <w:abstractNum w:abstractNumId="6" w15:restartNumberingAfterBreak="0">
    <w:nsid w:val="FFFFFF83"/>
    <w:multiLevelType w:val="singleLevel"/>
    <w:tmpl w:val="3D1EFFD4"/>
    <w:lvl w:ilvl="0">
      <w:start w:val="1"/>
      <w:numFmt w:val="bullet"/>
      <w:pStyle w:val="ListBullet2"/>
      <w:lvlText w:val=""/>
      <w:lvlJc w:val="left"/>
      <w:pPr>
        <w:tabs>
          <w:tab w:val="num" w:pos="720"/>
        </w:tabs>
        <w:ind w:left="720" w:hanging="360"/>
      </w:pPr>
      <w:rPr>
        <w:rFonts w:ascii="Symbol" w:hAnsi="Symbol" w:hint="default"/>
      </w:rPr>
    </w:lvl>
  </w:abstractNum>
  <w:abstractNum w:abstractNumId="7" w15:restartNumberingAfterBreak="0">
    <w:nsid w:val="FFFFFF88"/>
    <w:multiLevelType w:val="singleLevel"/>
    <w:tmpl w:val="D0A62B40"/>
    <w:lvl w:ilvl="0">
      <w:start w:val="1"/>
      <w:numFmt w:val="decimal"/>
      <w:pStyle w:val="ListNumber"/>
      <w:lvlText w:val="%1."/>
      <w:lvlJc w:val="left"/>
      <w:pPr>
        <w:tabs>
          <w:tab w:val="num" w:pos="360"/>
        </w:tabs>
        <w:ind w:left="360" w:hanging="360"/>
      </w:pPr>
    </w:lvl>
  </w:abstractNum>
  <w:abstractNum w:abstractNumId="8" w15:restartNumberingAfterBreak="0">
    <w:nsid w:val="FFFFFF89"/>
    <w:multiLevelType w:val="singleLevel"/>
    <w:tmpl w:val="29761A62"/>
    <w:lvl w:ilvl="0">
      <w:start w:val="1"/>
      <w:numFmt w:val="bullet"/>
      <w:pStyle w:val="ListBullet"/>
      <w:lvlText w:val=""/>
      <w:lvlJc w:val="left"/>
      <w:pPr>
        <w:tabs>
          <w:tab w:val="num" w:pos="360"/>
        </w:tabs>
        <w:ind w:left="360" w:hanging="360"/>
      </w:pPr>
      <w:rPr>
        <w:rFonts w:ascii="Symbol" w:hAnsi="Symbol" w:hint="default"/>
      </w:rPr>
    </w:lvl>
  </w:abstractNum>
  <w:num w:numId="1" w16cid:durableId="2130276370">
    <w:abstractNumId w:val="8"/>
  </w:num>
  <w:num w:numId="2" w16cid:durableId="1448428247">
    <w:abstractNumId w:val="6"/>
  </w:num>
  <w:num w:numId="3" w16cid:durableId="1522355120">
    <w:abstractNumId w:val="5"/>
  </w:num>
  <w:num w:numId="4" w16cid:durableId="216354155">
    <w:abstractNumId w:val="4"/>
  </w:num>
  <w:num w:numId="5" w16cid:durableId="429351424">
    <w:abstractNumId w:val="7"/>
  </w:num>
  <w:num w:numId="6" w16cid:durableId="620036128">
    <w:abstractNumId w:val="3"/>
  </w:num>
  <w:num w:numId="7" w16cid:durableId="485247539">
    <w:abstractNumId w:val="2"/>
  </w:num>
  <w:num w:numId="8" w16cid:durableId="799298292">
    <w:abstractNumId w:val="1"/>
  </w:num>
  <w:num w:numId="9" w16cid:durableId="54599014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4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B47730"/>
    <w:rsid w:val="00034616"/>
    <w:rsid w:val="0006063C"/>
    <w:rsid w:val="000B3958"/>
    <w:rsid w:val="00135607"/>
    <w:rsid w:val="0015074B"/>
    <w:rsid w:val="0029639D"/>
    <w:rsid w:val="00311ABF"/>
    <w:rsid w:val="00326F90"/>
    <w:rsid w:val="00370E6F"/>
    <w:rsid w:val="003D1F7D"/>
    <w:rsid w:val="003F0F31"/>
    <w:rsid w:val="0056427D"/>
    <w:rsid w:val="005E5382"/>
    <w:rsid w:val="00711B9B"/>
    <w:rsid w:val="00822A4A"/>
    <w:rsid w:val="008F4A70"/>
    <w:rsid w:val="009638B5"/>
    <w:rsid w:val="00AA1D8D"/>
    <w:rsid w:val="00AF75B0"/>
    <w:rsid w:val="00B00309"/>
    <w:rsid w:val="00B47730"/>
    <w:rsid w:val="00BE4549"/>
    <w:rsid w:val="00CB0664"/>
    <w:rsid w:val="00DF0EF4"/>
    <w:rsid w:val="00F87C6A"/>
    <w:rsid w:val="00FC693F"/>
  </w:rsids>
  <m:mathPr>
    <m:mathFont m:val="Cambria Math"/>
    <m:brkBin m:val="before"/>
    <m:brkBinSub m:val="--"/>
    <m:smallFrac m:val="0"/>
    <m:dispDef/>
    <m:lMargin m:val="0"/>
    <m:rMargin m:val="0"/>
    <m:defJc m:val="centerGroup"/>
    <m:wrapIndent m:val="1440"/>
    <m:intLim m:val="subSup"/>
    <m:naryLim m:val="undOvr"/>
  </m:mathPr>
  <w:themeFontLang w:val="en-US"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6"/>
    <o:shapelayout v:ext="edit">
      <o:idmap v:ext="edit" data="1"/>
    </o:shapelayout>
  </w:shapeDefaults>
  <w:decimalSymbol w:val="."/>
  <w:listSeparator w:val=","/>
  <w14:docId w14:val="30B2D2D1"/>
  <w14:defaultImageDpi w14:val="300"/>
  <w15:docId w15:val="{8B0248FE-230F-4172-970A-83A7847A576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C693F"/>
    <w:pPr>
      <w:spacing w:after="120" w:line="360" w:lineRule="auto"/>
    </w:pPr>
    <w:rPr>
      <w:rFonts w:ascii="Arial" w:hAnsi="Arial"/>
      <w:color w:val="000000"/>
      <w:sz w:val="24"/>
    </w:rPr>
  </w:style>
  <w:style w:type="paragraph" w:styleId="Heading1">
    <w:name w:val="heading 1"/>
    <w:basedOn w:val="Normal"/>
    <w:next w:val="Normal"/>
    <w:link w:val="Heading1Char"/>
    <w:uiPriority w:val="9"/>
    <w:qFormat/>
    <w:rsid w:val="00FC693F"/>
    <w:pPr>
      <w:keepNext/>
      <w:keepLines/>
      <w:spacing w:before="360" w:after="160" w:line="312" w:lineRule="auto"/>
      <w:outlineLvl w:val="0"/>
    </w:pPr>
    <w:rPr>
      <w:rFonts w:asciiTheme="majorHAnsi" w:eastAsiaTheme="majorEastAsia" w:hAnsiTheme="majorHAnsi" w:cstheme="majorBidi"/>
      <w:b/>
      <w:bCs/>
      <w:color w:val="1F3A68"/>
      <w:sz w:val="32"/>
      <w:szCs w:val="28"/>
    </w:rPr>
  </w:style>
  <w:style w:type="paragraph" w:styleId="Heading2">
    <w:name w:val="heading 2"/>
    <w:basedOn w:val="Normal"/>
    <w:next w:val="Normal"/>
    <w:link w:val="Heading2Char"/>
    <w:uiPriority w:val="9"/>
    <w:unhideWhenUsed/>
    <w:qFormat/>
    <w:rsid w:val="00FC693F"/>
    <w:pPr>
      <w:keepNext/>
      <w:keepLines/>
      <w:spacing w:before="240" w:line="312" w:lineRule="auto"/>
      <w:outlineLvl w:val="1"/>
    </w:pPr>
    <w:rPr>
      <w:rFonts w:asciiTheme="majorHAnsi" w:eastAsiaTheme="majorEastAsia" w:hAnsiTheme="majorHAnsi" w:cstheme="majorBidi"/>
      <w:b/>
      <w:bCs/>
      <w:color w:val="1F3A68"/>
      <w:sz w:val="26"/>
      <w:szCs w:val="26"/>
    </w:rPr>
  </w:style>
  <w:style w:type="paragraph" w:styleId="Heading3">
    <w:name w:val="heading 3"/>
    <w:basedOn w:val="Normal"/>
    <w:next w:val="Normal"/>
    <w:link w:val="Heading3Char"/>
    <w:uiPriority w:val="9"/>
    <w:unhideWhenUsed/>
    <w:qFormat/>
    <w:rsid w:val="00FC693F"/>
    <w:pPr>
      <w:keepNext/>
      <w:keepLines/>
      <w:spacing w:before="200" w:after="80" w:line="312" w:lineRule="auto"/>
      <w:outlineLvl w:val="2"/>
    </w:pPr>
    <w:rPr>
      <w:rFonts w:asciiTheme="majorHAnsi" w:eastAsiaTheme="majorEastAsia" w:hAnsiTheme="majorHAnsi" w:cstheme="majorBidi"/>
      <w:b/>
      <w:bCs/>
      <w:color w:val="1F3A68"/>
    </w:rPr>
  </w:style>
  <w:style w:type="paragraph" w:styleId="Heading4">
    <w:name w:val="heading 4"/>
    <w:basedOn w:val="Normal"/>
    <w:next w:val="Normal"/>
    <w:link w:val="Heading4Char"/>
    <w:uiPriority w:val="9"/>
    <w:semiHidden/>
    <w:unhideWhenUsed/>
    <w:qFormat/>
    <w:rsid w:val="00FC693F"/>
    <w:pPr>
      <w:keepNext/>
      <w:keepLines/>
      <w:spacing w:before="200" w:after="0"/>
      <w:outlineLvl w:val="3"/>
    </w:pPr>
    <w:rPr>
      <w:rFonts w:asciiTheme="majorHAnsi" w:eastAsiaTheme="majorEastAsia" w:hAnsiTheme="majorHAnsi" w:cstheme="majorBidi"/>
      <w:b/>
      <w:bCs/>
      <w:i/>
      <w:iCs/>
      <w:color w:val="4F81BD" w:themeColor="accent1"/>
    </w:rPr>
  </w:style>
  <w:style w:type="paragraph" w:styleId="Heading5">
    <w:name w:val="heading 5"/>
    <w:basedOn w:val="Normal"/>
    <w:next w:val="Normal"/>
    <w:link w:val="Heading5Char"/>
    <w:uiPriority w:val="9"/>
    <w:semiHidden/>
    <w:unhideWhenUsed/>
    <w:qFormat/>
    <w:rsid w:val="00FC693F"/>
    <w:pPr>
      <w:keepNext/>
      <w:keepLines/>
      <w:spacing w:before="200" w:after="0"/>
      <w:outlineLvl w:val="4"/>
    </w:pPr>
    <w:rPr>
      <w:rFonts w:asciiTheme="majorHAnsi" w:eastAsiaTheme="majorEastAsia" w:hAnsiTheme="majorHAnsi" w:cstheme="majorBidi"/>
      <w:color w:val="243F60" w:themeColor="accent1" w:themeShade="7F"/>
    </w:rPr>
  </w:style>
  <w:style w:type="paragraph" w:styleId="Heading6">
    <w:name w:val="heading 6"/>
    <w:basedOn w:val="Normal"/>
    <w:next w:val="Normal"/>
    <w:link w:val="Heading6Char"/>
    <w:uiPriority w:val="9"/>
    <w:semiHidden/>
    <w:unhideWhenUsed/>
    <w:qFormat/>
    <w:rsid w:val="00FC693F"/>
    <w:pPr>
      <w:keepNext/>
      <w:keepLines/>
      <w:spacing w:before="200" w:after="0"/>
      <w:outlineLvl w:val="5"/>
    </w:pPr>
    <w:rPr>
      <w:rFonts w:asciiTheme="majorHAnsi" w:eastAsiaTheme="majorEastAsia" w:hAnsiTheme="majorHAnsi" w:cstheme="majorBidi"/>
      <w:i/>
      <w:iCs/>
      <w:color w:val="243F60" w:themeColor="accent1" w:themeShade="7F"/>
    </w:rPr>
  </w:style>
  <w:style w:type="paragraph" w:styleId="Heading7">
    <w:name w:val="heading 7"/>
    <w:basedOn w:val="Normal"/>
    <w:next w:val="Normal"/>
    <w:link w:val="Heading7Char"/>
    <w:uiPriority w:val="9"/>
    <w:semiHidden/>
    <w:unhideWhenUsed/>
    <w:qFormat/>
    <w:rsid w:val="00FC693F"/>
    <w:pPr>
      <w:keepNext/>
      <w:keepLines/>
      <w:spacing w:before="200" w:after="0"/>
      <w:outlineLvl w:val="6"/>
    </w:pPr>
    <w:rPr>
      <w:rFonts w:asciiTheme="majorHAnsi" w:eastAsiaTheme="majorEastAsia" w:hAnsiTheme="majorHAnsi" w:cstheme="majorBidi"/>
      <w:i/>
      <w:iCs/>
      <w:color w:val="404040" w:themeColor="text1" w:themeTint="BF"/>
    </w:rPr>
  </w:style>
  <w:style w:type="paragraph" w:styleId="Heading8">
    <w:name w:val="heading 8"/>
    <w:basedOn w:val="Normal"/>
    <w:next w:val="Normal"/>
    <w:link w:val="Heading8Char"/>
    <w:uiPriority w:val="9"/>
    <w:semiHidden/>
    <w:unhideWhenUsed/>
    <w:qFormat/>
    <w:rsid w:val="00FC693F"/>
    <w:pPr>
      <w:keepNext/>
      <w:keepLines/>
      <w:spacing w:before="200" w:after="0"/>
      <w:outlineLvl w:val="7"/>
    </w:pPr>
    <w:rPr>
      <w:rFonts w:asciiTheme="majorHAnsi" w:eastAsiaTheme="majorEastAsia" w:hAnsiTheme="majorHAnsi" w:cstheme="majorBidi"/>
      <w:color w:val="4F81BD" w:themeColor="accent1"/>
      <w:sz w:val="20"/>
      <w:szCs w:val="20"/>
    </w:rPr>
  </w:style>
  <w:style w:type="paragraph" w:styleId="Heading9">
    <w:name w:val="heading 9"/>
    <w:basedOn w:val="Normal"/>
    <w:next w:val="Normal"/>
    <w:link w:val="Heading9Char"/>
    <w:uiPriority w:val="9"/>
    <w:semiHidden/>
    <w:unhideWhenUsed/>
    <w:qFormat/>
    <w:rsid w:val="00FC693F"/>
    <w:pPr>
      <w:keepNext/>
      <w:keepLines/>
      <w:spacing w:before="200" w:after="0"/>
      <w:outlineLvl w:val="8"/>
    </w:pPr>
    <w:rPr>
      <w:rFonts w:asciiTheme="majorHAnsi" w:eastAsiaTheme="majorEastAsia" w:hAnsiTheme="majorHAnsi" w:cstheme="majorBidi"/>
      <w:i/>
      <w:iCs/>
      <w:color w:val="404040" w:themeColor="text1" w:themeTint="BF"/>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E618BF"/>
    <w:pPr>
      <w:tabs>
        <w:tab w:val="center" w:pos="4680"/>
        <w:tab w:val="right" w:pos="9360"/>
      </w:tabs>
      <w:spacing w:after="0" w:line="240" w:lineRule="auto"/>
    </w:pPr>
  </w:style>
  <w:style w:type="character" w:customStyle="1" w:styleId="HeaderChar">
    <w:name w:val="Header Char"/>
    <w:basedOn w:val="DefaultParagraphFont"/>
    <w:link w:val="Header"/>
    <w:uiPriority w:val="99"/>
    <w:rsid w:val="00E618BF"/>
  </w:style>
  <w:style w:type="paragraph" w:styleId="Footer">
    <w:name w:val="footer"/>
    <w:basedOn w:val="Normal"/>
    <w:link w:val="FooterChar"/>
    <w:uiPriority w:val="99"/>
    <w:unhideWhenUsed/>
    <w:rsid w:val="00E618BF"/>
    <w:pPr>
      <w:tabs>
        <w:tab w:val="center" w:pos="4680"/>
        <w:tab w:val="right" w:pos="9360"/>
      </w:tabs>
      <w:spacing w:after="0" w:line="240" w:lineRule="auto"/>
    </w:pPr>
  </w:style>
  <w:style w:type="character" w:customStyle="1" w:styleId="FooterChar">
    <w:name w:val="Footer Char"/>
    <w:basedOn w:val="DefaultParagraphFont"/>
    <w:link w:val="Footer"/>
    <w:uiPriority w:val="99"/>
    <w:rsid w:val="00E618BF"/>
  </w:style>
  <w:style w:type="paragraph" w:styleId="NoSpacing">
    <w:name w:val="No Spacing"/>
    <w:uiPriority w:val="1"/>
    <w:qFormat/>
    <w:rsid w:val="00FC693F"/>
    <w:pPr>
      <w:spacing w:after="0" w:line="240" w:lineRule="auto"/>
    </w:pPr>
  </w:style>
  <w:style w:type="character" w:customStyle="1" w:styleId="Heading1Char">
    <w:name w:val="Heading 1 Char"/>
    <w:basedOn w:val="DefaultParagraphFont"/>
    <w:link w:val="Heading1"/>
    <w:uiPriority w:val="9"/>
    <w:rsid w:val="00FC693F"/>
    <w:rPr>
      <w:rFonts w:asciiTheme="majorHAnsi" w:eastAsiaTheme="majorEastAsia" w:hAnsiTheme="majorHAnsi" w:cstheme="majorBidi"/>
      <w:b/>
      <w:bCs/>
      <w:color w:val="365F91" w:themeColor="accent1" w:themeShade="BF"/>
      <w:sz w:val="28"/>
      <w:szCs w:val="28"/>
    </w:rPr>
  </w:style>
  <w:style w:type="character" w:customStyle="1" w:styleId="Heading2Char">
    <w:name w:val="Heading 2 Char"/>
    <w:basedOn w:val="DefaultParagraphFont"/>
    <w:link w:val="Heading2"/>
    <w:uiPriority w:val="9"/>
    <w:rsid w:val="00FC693F"/>
    <w:rPr>
      <w:rFonts w:asciiTheme="majorHAnsi" w:eastAsiaTheme="majorEastAsia" w:hAnsiTheme="majorHAnsi" w:cstheme="majorBidi"/>
      <w:b/>
      <w:bCs/>
      <w:color w:val="4F81BD" w:themeColor="accent1"/>
      <w:sz w:val="26"/>
      <w:szCs w:val="26"/>
    </w:rPr>
  </w:style>
  <w:style w:type="character" w:customStyle="1" w:styleId="Heading3Char">
    <w:name w:val="Heading 3 Char"/>
    <w:basedOn w:val="DefaultParagraphFont"/>
    <w:link w:val="Heading3"/>
    <w:uiPriority w:val="9"/>
    <w:rsid w:val="00FC693F"/>
    <w:rPr>
      <w:rFonts w:asciiTheme="majorHAnsi" w:eastAsiaTheme="majorEastAsia" w:hAnsiTheme="majorHAnsi" w:cstheme="majorBidi"/>
      <w:b/>
      <w:bCs/>
      <w:color w:val="4F81BD" w:themeColor="accent1"/>
    </w:rPr>
  </w:style>
  <w:style w:type="paragraph" w:styleId="Title">
    <w:name w:val="Title"/>
    <w:basedOn w:val="Normal"/>
    <w:next w:val="Normal"/>
    <w:link w:val="TitleChar"/>
    <w:uiPriority w:val="10"/>
    <w:qFormat/>
    <w:rsid w:val="00FC693F"/>
    <w:pPr>
      <w:pBdr>
        <w:bottom w:val="single" w:sz="8" w:space="4" w:color="4F81BD" w:themeColor="accent1"/>
      </w:pBdr>
      <w:spacing w:after="300" w:line="240" w:lineRule="auto"/>
      <w:contextualSpacing/>
    </w:pPr>
    <w:rPr>
      <w:rFonts w:asciiTheme="majorHAnsi" w:eastAsiaTheme="majorEastAsia" w:hAnsiTheme="majorHAnsi" w:cstheme="majorBidi"/>
      <w:color w:val="17365D" w:themeColor="text2" w:themeShade="BF"/>
      <w:spacing w:val="5"/>
      <w:kern w:val="28"/>
      <w:sz w:val="52"/>
      <w:szCs w:val="52"/>
    </w:rPr>
  </w:style>
  <w:style w:type="character" w:customStyle="1" w:styleId="TitleChar">
    <w:name w:val="Title Char"/>
    <w:basedOn w:val="DefaultParagraphFont"/>
    <w:link w:val="Title"/>
    <w:uiPriority w:val="10"/>
    <w:rsid w:val="00FC693F"/>
    <w:rPr>
      <w:rFonts w:asciiTheme="majorHAnsi" w:eastAsiaTheme="majorEastAsia" w:hAnsiTheme="majorHAnsi" w:cstheme="majorBidi"/>
      <w:color w:val="17365D" w:themeColor="text2" w:themeShade="BF"/>
      <w:spacing w:val="5"/>
      <w:kern w:val="28"/>
      <w:sz w:val="52"/>
      <w:szCs w:val="52"/>
    </w:rPr>
  </w:style>
  <w:style w:type="paragraph" w:styleId="Subtitle">
    <w:name w:val="Subtitle"/>
    <w:basedOn w:val="Normal"/>
    <w:next w:val="Normal"/>
    <w:link w:val="SubtitleChar"/>
    <w:uiPriority w:val="11"/>
    <w:qFormat/>
    <w:rsid w:val="00FC693F"/>
    <w:pPr>
      <w:numPr>
        <w:ilvl w:val="1"/>
      </w:numPr>
    </w:pPr>
    <w:rPr>
      <w:rFonts w:asciiTheme="majorHAnsi" w:eastAsiaTheme="majorEastAsia" w:hAnsiTheme="majorHAnsi" w:cstheme="majorBidi"/>
      <w:i/>
      <w:iCs/>
      <w:color w:val="4F81BD" w:themeColor="accent1"/>
      <w:spacing w:val="15"/>
      <w:szCs w:val="24"/>
    </w:rPr>
  </w:style>
  <w:style w:type="character" w:customStyle="1" w:styleId="SubtitleChar">
    <w:name w:val="Subtitle Char"/>
    <w:basedOn w:val="DefaultParagraphFont"/>
    <w:link w:val="Subtitle"/>
    <w:uiPriority w:val="11"/>
    <w:rsid w:val="00FC693F"/>
    <w:rPr>
      <w:rFonts w:asciiTheme="majorHAnsi" w:eastAsiaTheme="majorEastAsia" w:hAnsiTheme="majorHAnsi" w:cstheme="majorBidi"/>
      <w:i/>
      <w:iCs/>
      <w:color w:val="4F81BD" w:themeColor="accent1"/>
      <w:spacing w:val="15"/>
      <w:sz w:val="24"/>
      <w:szCs w:val="24"/>
    </w:rPr>
  </w:style>
  <w:style w:type="paragraph" w:styleId="ListParagraph">
    <w:name w:val="List Paragraph"/>
    <w:basedOn w:val="Normal"/>
    <w:uiPriority w:val="34"/>
    <w:qFormat/>
    <w:rsid w:val="00FC693F"/>
    <w:pPr>
      <w:ind w:left="720"/>
      <w:contextualSpacing/>
    </w:pPr>
  </w:style>
  <w:style w:type="paragraph" w:styleId="BodyText">
    <w:name w:val="Body Text"/>
    <w:basedOn w:val="Normal"/>
    <w:link w:val="BodyTextChar"/>
    <w:uiPriority w:val="99"/>
    <w:unhideWhenUsed/>
    <w:rsid w:val="00AA1D8D"/>
  </w:style>
  <w:style w:type="character" w:customStyle="1" w:styleId="BodyTextChar">
    <w:name w:val="Body Text Char"/>
    <w:basedOn w:val="DefaultParagraphFont"/>
    <w:link w:val="BodyText"/>
    <w:uiPriority w:val="99"/>
    <w:rsid w:val="00AA1D8D"/>
  </w:style>
  <w:style w:type="paragraph" w:styleId="BodyText2">
    <w:name w:val="Body Text 2"/>
    <w:basedOn w:val="Normal"/>
    <w:link w:val="BodyText2Char"/>
    <w:uiPriority w:val="99"/>
    <w:unhideWhenUsed/>
    <w:rsid w:val="00AA1D8D"/>
    <w:pPr>
      <w:spacing w:line="480" w:lineRule="auto"/>
    </w:pPr>
  </w:style>
  <w:style w:type="character" w:customStyle="1" w:styleId="BodyText2Char">
    <w:name w:val="Body Text 2 Char"/>
    <w:basedOn w:val="DefaultParagraphFont"/>
    <w:link w:val="BodyText2"/>
    <w:uiPriority w:val="99"/>
    <w:rsid w:val="00AA1D8D"/>
  </w:style>
  <w:style w:type="paragraph" w:styleId="BodyText3">
    <w:name w:val="Body Text 3"/>
    <w:basedOn w:val="Normal"/>
    <w:link w:val="BodyText3Char"/>
    <w:uiPriority w:val="99"/>
    <w:unhideWhenUsed/>
    <w:rsid w:val="00AA1D8D"/>
    <w:rPr>
      <w:sz w:val="16"/>
      <w:szCs w:val="16"/>
    </w:rPr>
  </w:style>
  <w:style w:type="character" w:customStyle="1" w:styleId="BodyText3Char">
    <w:name w:val="Body Text 3 Char"/>
    <w:basedOn w:val="DefaultParagraphFont"/>
    <w:link w:val="BodyText3"/>
    <w:uiPriority w:val="99"/>
    <w:rsid w:val="00AA1D8D"/>
    <w:rPr>
      <w:sz w:val="16"/>
      <w:szCs w:val="16"/>
    </w:rPr>
  </w:style>
  <w:style w:type="paragraph" w:styleId="List">
    <w:name w:val="List"/>
    <w:basedOn w:val="Normal"/>
    <w:uiPriority w:val="99"/>
    <w:unhideWhenUsed/>
    <w:rsid w:val="00AA1D8D"/>
    <w:pPr>
      <w:ind w:left="360" w:hanging="360"/>
      <w:contextualSpacing/>
    </w:pPr>
  </w:style>
  <w:style w:type="paragraph" w:styleId="List2">
    <w:name w:val="List 2"/>
    <w:basedOn w:val="Normal"/>
    <w:uiPriority w:val="99"/>
    <w:unhideWhenUsed/>
    <w:rsid w:val="00326F90"/>
    <w:pPr>
      <w:ind w:left="720" w:hanging="360"/>
      <w:contextualSpacing/>
    </w:pPr>
  </w:style>
  <w:style w:type="paragraph" w:styleId="List3">
    <w:name w:val="List 3"/>
    <w:basedOn w:val="Normal"/>
    <w:uiPriority w:val="99"/>
    <w:unhideWhenUsed/>
    <w:rsid w:val="00326F90"/>
    <w:pPr>
      <w:ind w:left="1080" w:hanging="360"/>
      <w:contextualSpacing/>
    </w:pPr>
  </w:style>
  <w:style w:type="paragraph" w:styleId="ListBullet">
    <w:name w:val="List Bullet"/>
    <w:basedOn w:val="Normal"/>
    <w:uiPriority w:val="99"/>
    <w:unhideWhenUsed/>
    <w:rsid w:val="00326F90"/>
    <w:pPr>
      <w:numPr>
        <w:numId w:val="1"/>
      </w:numPr>
      <w:contextualSpacing/>
    </w:pPr>
  </w:style>
  <w:style w:type="paragraph" w:styleId="ListBullet2">
    <w:name w:val="List Bullet 2"/>
    <w:basedOn w:val="Normal"/>
    <w:uiPriority w:val="99"/>
    <w:unhideWhenUsed/>
    <w:rsid w:val="00326F90"/>
    <w:pPr>
      <w:numPr>
        <w:numId w:val="2"/>
      </w:numPr>
      <w:contextualSpacing/>
    </w:pPr>
  </w:style>
  <w:style w:type="paragraph" w:styleId="ListBullet3">
    <w:name w:val="List Bullet 3"/>
    <w:basedOn w:val="Normal"/>
    <w:uiPriority w:val="99"/>
    <w:unhideWhenUsed/>
    <w:rsid w:val="00326F90"/>
    <w:pPr>
      <w:numPr>
        <w:numId w:val="3"/>
      </w:numPr>
      <w:contextualSpacing/>
    </w:pPr>
  </w:style>
  <w:style w:type="paragraph" w:styleId="ListNumber">
    <w:name w:val="List Number"/>
    <w:basedOn w:val="Normal"/>
    <w:uiPriority w:val="99"/>
    <w:unhideWhenUsed/>
    <w:rsid w:val="00326F90"/>
    <w:pPr>
      <w:numPr>
        <w:numId w:val="5"/>
      </w:numPr>
      <w:contextualSpacing/>
    </w:pPr>
  </w:style>
  <w:style w:type="paragraph" w:styleId="ListNumber2">
    <w:name w:val="List Number 2"/>
    <w:basedOn w:val="Normal"/>
    <w:uiPriority w:val="99"/>
    <w:unhideWhenUsed/>
    <w:rsid w:val="0029639D"/>
    <w:pPr>
      <w:numPr>
        <w:numId w:val="6"/>
      </w:numPr>
      <w:contextualSpacing/>
    </w:pPr>
  </w:style>
  <w:style w:type="paragraph" w:styleId="ListNumber3">
    <w:name w:val="List Number 3"/>
    <w:basedOn w:val="Normal"/>
    <w:uiPriority w:val="99"/>
    <w:unhideWhenUsed/>
    <w:rsid w:val="0029639D"/>
    <w:pPr>
      <w:numPr>
        <w:numId w:val="7"/>
      </w:numPr>
      <w:contextualSpacing/>
    </w:pPr>
  </w:style>
  <w:style w:type="paragraph" w:styleId="ListContinue">
    <w:name w:val="List Continue"/>
    <w:basedOn w:val="Normal"/>
    <w:uiPriority w:val="99"/>
    <w:unhideWhenUsed/>
    <w:rsid w:val="0029639D"/>
    <w:pPr>
      <w:ind w:left="360"/>
      <w:contextualSpacing/>
    </w:pPr>
  </w:style>
  <w:style w:type="paragraph" w:styleId="ListContinue2">
    <w:name w:val="List Continue 2"/>
    <w:basedOn w:val="Normal"/>
    <w:uiPriority w:val="99"/>
    <w:unhideWhenUsed/>
    <w:rsid w:val="0029639D"/>
    <w:pPr>
      <w:ind w:left="720"/>
      <w:contextualSpacing/>
    </w:pPr>
  </w:style>
  <w:style w:type="paragraph" w:styleId="ListContinue3">
    <w:name w:val="List Continue 3"/>
    <w:basedOn w:val="Normal"/>
    <w:uiPriority w:val="99"/>
    <w:unhideWhenUsed/>
    <w:rsid w:val="0029639D"/>
    <w:pPr>
      <w:ind w:left="1080"/>
      <w:contextualSpacing/>
    </w:pPr>
  </w:style>
  <w:style w:type="paragraph" w:styleId="MacroText">
    <w:name w:val="macro"/>
    <w:link w:val="MacroTextChar"/>
    <w:uiPriority w:val="99"/>
    <w:unhideWhenUsed/>
    <w:rsid w:val="0029639D"/>
    <w:pPr>
      <w:tabs>
        <w:tab w:val="left" w:pos="576"/>
        <w:tab w:val="left" w:pos="1152"/>
        <w:tab w:val="left" w:pos="1728"/>
        <w:tab w:val="left" w:pos="2304"/>
        <w:tab w:val="left" w:pos="2880"/>
        <w:tab w:val="left" w:pos="3456"/>
        <w:tab w:val="left" w:pos="4032"/>
      </w:tabs>
    </w:pPr>
    <w:rPr>
      <w:rFonts w:ascii="Courier" w:hAnsi="Courier"/>
      <w:sz w:val="20"/>
      <w:szCs w:val="20"/>
    </w:rPr>
  </w:style>
  <w:style w:type="character" w:customStyle="1" w:styleId="MacroTextChar">
    <w:name w:val="Macro Text Char"/>
    <w:basedOn w:val="DefaultParagraphFont"/>
    <w:link w:val="MacroText"/>
    <w:uiPriority w:val="99"/>
    <w:rsid w:val="0029639D"/>
    <w:rPr>
      <w:rFonts w:ascii="Courier" w:hAnsi="Courier"/>
      <w:sz w:val="20"/>
      <w:szCs w:val="20"/>
    </w:rPr>
  </w:style>
  <w:style w:type="paragraph" w:styleId="Quote">
    <w:name w:val="Quote"/>
    <w:basedOn w:val="Normal"/>
    <w:next w:val="Normal"/>
    <w:link w:val="QuoteChar"/>
    <w:uiPriority w:val="29"/>
    <w:qFormat/>
    <w:rsid w:val="00FC693F"/>
    <w:rPr>
      <w:i/>
      <w:iCs/>
      <w:color w:val="000000" w:themeColor="text1"/>
    </w:rPr>
  </w:style>
  <w:style w:type="character" w:customStyle="1" w:styleId="QuoteChar">
    <w:name w:val="Quote Char"/>
    <w:basedOn w:val="DefaultParagraphFont"/>
    <w:link w:val="Quote"/>
    <w:uiPriority w:val="29"/>
    <w:rsid w:val="00FC693F"/>
    <w:rPr>
      <w:i/>
      <w:iCs/>
      <w:color w:val="000000" w:themeColor="text1"/>
    </w:rPr>
  </w:style>
  <w:style w:type="character" w:customStyle="1" w:styleId="Heading4Char">
    <w:name w:val="Heading 4 Char"/>
    <w:basedOn w:val="DefaultParagraphFont"/>
    <w:link w:val="Heading4"/>
    <w:uiPriority w:val="9"/>
    <w:semiHidden/>
    <w:rsid w:val="00FC693F"/>
    <w:rPr>
      <w:rFonts w:asciiTheme="majorHAnsi" w:eastAsiaTheme="majorEastAsia" w:hAnsiTheme="majorHAnsi" w:cstheme="majorBidi"/>
      <w:b/>
      <w:bCs/>
      <w:i/>
      <w:iCs/>
      <w:color w:val="4F81BD" w:themeColor="accent1"/>
    </w:rPr>
  </w:style>
  <w:style w:type="character" w:customStyle="1" w:styleId="Heading5Char">
    <w:name w:val="Heading 5 Char"/>
    <w:basedOn w:val="DefaultParagraphFont"/>
    <w:link w:val="Heading5"/>
    <w:uiPriority w:val="9"/>
    <w:semiHidden/>
    <w:rsid w:val="00FC693F"/>
    <w:rPr>
      <w:rFonts w:asciiTheme="majorHAnsi" w:eastAsiaTheme="majorEastAsia" w:hAnsiTheme="majorHAnsi" w:cstheme="majorBidi"/>
      <w:color w:val="243F60" w:themeColor="accent1" w:themeShade="7F"/>
    </w:rPr>
  </w:style>
  <w:style w:type="character" w:customStyle="1" w:styleId="Heading6Char">
    <w:name w:val="Heading 6 Char"/>
    <w:basedOn w:val="DefaultParagraphFont"/>
    <w:link w:val="Heading6"/>
    <w:uiPriority w:val="9"/>
    <w:semiHidden/>
    <w:rsid w:val="00FC693F"/>
    <w:rPr>
      <w:rFonts w:asciiTheme="majorHAnsi" w:eastAsiaTheme="majorEastAsia" w:hAnsiTheme="majorHAnsi" w:cstheme="majorBidi"/>
      <w:i/>
      <w:iCs/>
      <w:color w:val="243F60" w:themeColor="accent1" w:themeShade="7F"/>
    </w:rPr>
  </w:style>
  <w:style w:type="character" w:customStyle="1" w:styleId="Heading7Char">
    <w:name w:val="Heading 7 Char"/>
    <w:basedOn w:val="DefaultParagraphFont"/>
    <w:link w:val="Heading7"/>
    <w:uiPriority w:val="9"/>
    <w:semiHidden/>
    <w:rsid w:val="00FC693F"/>
    <w:rPr>
      <w:rFonts w:asciiTheme="majorHAnsi" w:eastAsiaTheme="majorEastAsia" w:hAnsiTheme="majorHAnsi" w:cstheme="majorBidi"/>
      <w:i/>
      <w:iCs/>
      <w:color w:val="404040" w:themeColor="text1" w:themeTint="BF"/>
    </w:rPr>
  </w:style>
  <w:style w:type="character" w:customStyle="1" w:styleId="Heading8Char">
    <w:name w:val="Heading 8 Char"/>
    <w:basedOn w:val="DefaultParagraphFont"/>
    <w:link w:val="Heading8"/>
    <w:uiPriority w:val="9"/>
    <w:semiHidden/>
    <w:rsid w:val="00FC693F"/>
    <w:rPr>
      <w:rFonts w:asciiTheme="majorHAnsi" w:eastAsiaTheme="majorEastAsia" w:hAnsiTheme="majorHAnsi" w:cstheme="majorBidi"/>
      <w:color w:val="4F81BD" w:themeColor="accent1"/>
      <w:sz w:val="20"/>
      <w:szCs w:val="20"/>
    </w:rPr>
  </w:style>
  <w:style w:type="character" w:customStyle="1" w:styleId="Heading9Char">
    <w:name w:val="Heading 9 Char"/>
    <w:basedOn w:val="DefaultParagraphFont"/>
    <w:link w:val="Heading9"/>
    <w:uiPriority w:val="9"/>
    <w:semiHidden/>
    <w:rsid w:val="00FC693F"/>
    <w:rPr>
      <w:rFonts w:asciiTheme="majorHAnsi" w:eastAsiaTheme="majorEastAsia" w:hAnsiTheme="majorHAnsi" w:cstheme="majorBidi"/>
      <w:i/>
      <w:iCs/>
      <w:color w:val="404040" w:themeColor="text1" w:themeTint="BF"/>
      <w:sz w:val="20"/>
      <w:szCs w:val="20"/>
    </w:rPr>
  </w:style>
  <w:style w:type="paragraph" w:styleId="Caption">
    <w:name w:val="caption"/>
    <w:basedOn w:val="Normal"/>
    <w:next w:val="Normal"/>
    <w:uiPriority w:val="35"/>
    <w:semiHidden/>
    <w:unhideWhenUsed/>
    <w:qFormat/>
    <w:rsid w:val="00FC693F"/>
    <w:pPr>
      <w:spacing w:line="240" w:lineRule="auto"/>
    </w:pPr>
    <w:rPr>
      <w:b/>
      <w:bCs/>
      <w:color w:val="4F81BD" w:themeColor="accent1"/>
      <w:sz w:val="18"/>
      <w:szCs w:val="18"/>
    </w:rPr>
  </w:style>
  <w:style w:type="character" w:styleId="Strong">
    <w:name w:val="Strong"/>
    <w:basedOn w:val="DefaultParagraphFont"/>
    <w:uiPriority w:val="22"/>
    <w:qFormat/>
    <w:rsid w:val="00FC693F"/>
    <w:rPr>
      <w:b/>
      <w:bCs/>
    </w:rPr>
  </w:style>
  <w:style w:type="character" w:styleId="Emphasis">
    <w:name w:val="Emphasis"/>
    <w:basedOn w:val="DefaultParagraphFont"/>
    <w:uiPriority w:val="20"/>
    <w:qFormat/>
    <w:rsid w:val="00FC693F"/>
    <w:rPr>
      <w:i/>
      <w:iCs/>
    </w:rPr>
  </w:style>
  <w:style w:type="paragraph" w:styleId="IntenseQuote">
    <w:name w:val="Intense Quote"/>
    <w:basedOn w:val="Normal"/>
    <w:next w:val="Normal"/>
    <w:link w:val="IntenseQuoteChar"/>
    <w:uiPriority w:val="30"/>
    <w:qFormat/>
    <w:rsid w:val="00FC693F"/>
    <w:pPr>
      <w:pBdr>
        <w:bottom w:val="single" w:sz="4" w:space="4" w:color="4F81BD" w:themeColor="accent1"/>
      </w:pBdr>
      <w:spacing w:before="200" w:after="280"/>
      <w:ind w:left="936" w:right="936"/>
    </w:pPr>
    <w:rPr>
      <w:b/>
      <w:bCs/>
      <w:i/>
      <w:iCs/>
      <w:color w:val="4F81BD" w:themeColor="accent1"/>
    </w:rPr>
  </w:style>
  <w:style w:type="character" w:customStyle="1" w:styleId="IntenseQuoteChar">
    <w:name w:val="Intense Quote Char"/>
    <w:basedOn w:val="DefaultParagraphFont"/>
    <w:link w:val="IntenseQuote"/>
    <w:uiPriority w:val="30"/>
    <w:rsid w:val="00FC693F"/>
    <w:rPr>
      <w:b/>
      <w:bCs/>
      <w:i/>
      <w:iCs/>
      <w:color w:val="4F81BD" w:themeColor="accent1"/>
    </w:rPr>
  </w:style>
  <w:style w:type="character" w:styleId="SubtleEmphasis">
    <w:name w:val="Subtle Emphasis"/>
    <w:basedOn w:val="DefaultParagraphFont"/>
    <w:uiPriority w:val="19"/>
    <w:qFormat/>
    <w:rsid w:val="00FC693F"/>
    <w:rPr>
      <w:i/>
      <w:iCs/>
      <w:color w:val="808080" w:themeColor="text1" w:themeTint="7F"/>
    </w:rPr>
  </w:style>
  <w:style w:type="character" w:styleId="IntenseEmphasis">
    <w:name w:val="Intense Emphasis"/>
    <w:basedOn w:val="DefaultParagraphFont"/>
    <w:uiPriority w:val="21"/>
    <w:qFormat/>
    <w:rsid w:val="00FC693F"/>
    <w:rPr>
      <w:b/>
      <w:bCs/>
      <w:i/>
      <w:iCs/>
      <w:color w:val="4F81BD" w:themeColor="accent1"/>
    </w:rPr>
  </w:style>
  <w:style w:type="character" w:styleId="SubtleReference">
    <w:name w:val="Subtle Reference"/>
    <w:basedOn w:val="DefaultParagraphFont"/>
    <w:uiPriority w:val="31"/>
    <w:qFormat/>
    <w:rsid w:val="00FC693F"/>
    <w:rPr>
      <w:smallCaps/>
      <w:color w:val="C0504D" w:themeColor="accent2"/>
      <w:u w:val="single"/>
    </w:rPr>
  </w:style>
  <w:style w:type="character" w:styleId="IntenseReference">
    <w:name w:val="Intense Reference"/>
    <w:basedOn w:val="DefaultParagraphFont"/>
    <w:uiPriority w:val="32"/>
    <w:qFormat/>
    <w:rsid w:val="00FC693F"/>
    <w:rPr>
      <w:b/>
      <w:bCs/>
      <w:smallCaps/>
      <w:color w:val="C0504D" w:themeColor="accent2"/>
      <w:spacing w:val="5"/>
      <w:u w:val="single"/>
    </w:rPr>
  </w:style>
  <w:style w:type="character" w:styleId="BookTitle">
    <w:name w:val="Book Title"/>
    <w:basedOn w:val="DefaultParagraphFont"/>
    <w:uiPriority w:val="33"/>
    <w:qFormat/>
    <w:rsid w:val="00FC693F"/>
    <w:rPr>
      <w:b/>
      <w:bCs/>
      <w:smallCaps/>
      <w:spacing w:val="5"/>
    </w:rPr>
  </w:style>
  <w:style w:type="paragraph" w:styleId="TOCHeading">
    <w:name w:val="TOC Heading"/>
    <w:basedOn w:val="Heading1"/>
    <w:next w:val="Normal"/>
    <w:uiPriority w:val="39"/>
    <w:unhideWhenUsed/>
    <w:qFormat/>
    <w:rsid w:val="00FC693F"/>
    <w:pPr>
      <w:outlineLvl w:val="9"/>
    </w:pPr>
  </w:style>
  <w:style w:type="table" w:styleId="TableGrid">
    <w:name w:val="Table Grid"/>
    <w:basedOn w:val="TableNormal"/>
    <w:uiPriority w:val="59"/>
    <w:rsid w:val="00FC693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LightShading">
    <w:name w:val="Light Shading"/>
    <w:basedOn w:val="TableNormal"/>
    <w:uiPriority w:val="60"/>
    <w:rsid w:val="00FC693F"/>
    <w:pPr>
      <w:spacing w:after="0" w:line="240" w:lineRule="auto"/>
    </w:pPr>
    <w:rPr>
      <w:color w:val="000000" w:themeColor="text1" w:themeShade="BF"/>
    </w:rPr>
    <w:tblPr>
      <w:tblStyleRowBandSize w:val="1"/>
      <w:tblStyleColBandSize w:val="1"/>
      <w:tblBorders>
        <w:top w:val="single" w:sz="8" w:space="0" w:color="000000" w:themeColor="text1"/>
        <w:bottom w:val="single" w:sz="8" w:space="0" w:color="000000" w:themeColor="text1"/>
      </w:tblBorders>
    </w:tblPr>
    <w:tblStylePr w:type="fir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la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left w:val="nil"/>
          <w:right w:val="nil"/>
          <w:insideH w:val="nil"/>
          <w:insideV w:val="nil"/>
        </w:tcBorders>
        <w:shd w:val="clear" w:color="auto" w:fill="C0C0C0" w:themeFill="text1" w:themeFillTint="3F"/>
      </w:tcPr>
    </w:tblStylePr>
  </w:style>
  <w:style w:type="table" w:styleId="LightShading-Accent1">
    <w:name w:val="Light Shading Accent 1"/>
    <w:basedOn w:val="TableNormal"/>
    <w:uiPriority w:val="60"/>
    <w:rsid w:val="00FC693F"/>
    <w:pPr>
      <w:spacing w:after="0" w:line="240" w:lineRule="auto"/>
    </w:pPr>
    <w:rPr>
      <w:color w:val="365F91" w:themeColor="accent1" w:themeShade="BF"/>
    </w:rPr>
    <w:tblPr>
      <w:tblStyleRowBandSize w:val="1"/>
      <w:tblStyleColBandSize w:val="1"/>
      <w:tblBorders>
        <w:top w:val="single" w:sz="8" w:space="0" w:color="4F81BD" w:themeColor="accent1"/>
        <w:bottom w:val="single" w:sz="8" w:space="0" w:color="4F81BD" w:themeColor="accent1"/>
      </w:tblBorders>
    </w:tblPr>
    <w:tblStylePr w:type="fir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la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left w:val="nil"/>
          <w:right w:val="nil"/>
          <w:insideH w:val="nil"/>
          <w:insideV w:val="nil"/>
        </w:tcBorders>
        <w:shd w:val="clear" w:color="auto" w:fill="D3DFEE" w:themeFill="accent1" w:themeFillTint="3F"/>
      </w:tcPr>
    </w:tblStylePr>
  </w:style>
  <w:style w:type="table" w:styleId="LightShading-Accent2">
    <w:name w:val="Light Shading Accent 2"/>
    <w:basedOn w:val="TableNormal"/>
    <w:uiPriority w:val="60"/>
    <w:rsid w:val="00FC693F"/>
    <w:pPr>
      <w:spacing w:after="0" w:line="240" w:lineRule="auto"/>
    </w:pPr>
    <w:rPr>
      <w:color w:val="943634" w:themeColor="accent2" w:themeShade="BF"/>
    </w:rPr>
    <w:tblPr>
      <w:tblStyleRowBandSize w:val="1"/>
      <w:tblStyleColBandSize w:val="1"/>
      <w:tblBorders>
        <w:top w:val="single" w:sz="8" w:space="0" w:color="C0504D" w:themeColor="accent2"/>
        <w:bottom w:val="single" w:sz="8" w:space="0" w:color="C0504D" w:themeColor="accent2"/>
      </w:tblBorders>
    </w:tblPr>
    <w:tblStylePr w:type="fir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la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left w:val="nil"/>
          <w:right w:val="nil"/>
          <w:insideH w:val="nil"/>
          <w:insideV w:val="nil"/>
        </w:tcBorders>
        <w:shd w:val="clear" w:color="auto" w:fill="EFD3D2" w:themeFill="accent2" w:themeFillTint="3F"/>
      </w:tcPr>
    </w:tblStylePr>
  </w:style>
  <w:style w:type="table" w:styleId="LightShading-Accent3">
    <w:name w:val="Light Shading Accent 3"/>
    <w:basedOn w:val="TableNormal"/>
    <w:uiPriority w:val="60"/>
    <w:rsid w:val="00FC693F"/>
    <w:pPr>
      <w:spacing w:after="0" w:line="240" w:lineRule="auto"/>
    </w:pPr>
    <w:rPr>
      <w:color w:val="76923C" w:themeColor="accent3" w:themeShade="BF"/>
    </w:rPr>
    <w:tblPr>
      <w:tblStyleRowBandSize w:val="1"/>
      <w:tblStyleColBandSize w:val="1"/>
      <w:tblBorders>
        <w:top w:val="single" w:sz="8" w:space="0" w:color="9BBB59" w:themeColor="accent3"/>
        <w:bottom w:val="single" w:sz="8" w:space="0" w:color="9BBB59" w:themeColor="accent3"/>
      </w:tblBorders>
    </w:tblPr>
    <w:tblStylePr w:type="fir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la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left w:val="nil"/>
          <w:right w:val="nil"/>
          <w:insideH w:val="nil"/>
          <w:insideV w:val="nil"/>
        </w:tcBorders>
        <w:shd w:val="clear" w:color="auto" w:fill="E6EED5" w:themeFill="accent3" w:themeFillTint="3F"/>
      </w:tcPr>
    </w:tblStylePr>
  </w:style>
  <w:style w:type="table" w:styleId="LightShading-Accent4">
    <w:name w:val="Light Shading Accent 4"/>
    <w:basedOn w:val="TableNormal"/>
    <w:uiPriority w:val="60"/>
    <w:rsid w:val="00FC693F"/>
    <w:pPr>
      <w:spacing w:after="0" w:line="240" w:lineRule="auto"/>
    </w:pPr>
    <w:rPr>
      <w:color w:val="5F497A" w:themeColor="accent4" w:themeShade="BF"/>
    </w:rPr>
    <w:tblPr>
      <w:tblStyleRowBandSize w:val="1"/>
      <w:tblStyleColBandSize w:val="1"/>
      <w:tblBorders>
        <w:top w:val="single" w:sz="8" w:space="0" w:color="8064A2" w:themeColor="accent4"/>
        <w:bottom w:val="single" w:sz="8" w:space="0" w:color="8064A2" w:themeColor="accent4"/>
      </w:tblBorders>
    </w:tblPr>
    <w:tblStylePr w:type="fir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la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left w:val="nil"/>
          <w:right w:val="nil"/>
          <w:insideH w:val="nil"/>
          <w:insideV w:val="nil"/>
        </w:tcBorders>
        <w:shd w:val="clear" w:color="auto" w:fill="DFD8E8" w:themeFill="accent4" w:themeFillTint="3F"/>
      </w:tcPr>
    </w:tblStylePr>
  </w:style>
  <w:style w:type="table" w:styleId="LightShading-Accent5">
    <w:name w:val="Light Shading Accent 5"/>
    <w:basedOn w:val="TableNormal"/>
    <w:uiPriority w:val="60"/>
    <w:rsid w:val="00FC693F"/>
    <w:pPr>
      <w:spacing w:after="0" w:line="240" w:lineRule="auto"/>
    </w:pPr>
    <w:rPr>
      <w:color w:val="31849B" w:themeColor="accent5" w:themeShade="BF"/>
    </w:rPr>
    <w:tblPr>
      <w:tblStyleRowBandSize w:val="1"/>
      <w:tblStyleColBandSize w:val="1"/>
      <w:tblBorders>
        <w:top w:val="single" w:sz="8" w:space="0" w:color="4BACC6" w:themeColor="accent5"/>
        <w:bottom w:val="single" w:sz="8" w:space="0" w:color="4BACC6" w:themeColor="accent5"/>
      </w:tblBorders>
    </w:tblPr>
    <w:tblStylePr w:type="fir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la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left w:val="nil"/>
          <w:right w:val="nil"/>
          <w:insideH w:val="nil"/>
          <w:insideV w:val="nil"/>
        </w:tcBorders>
        <w:shd w:val="clear" w:color="auto" w:fill="D2EAF1" w:themeFill="accent5" w:themeFillTint="3F"/>
      </w:tcPr>
    </w:tblStylePr>
  </w:style>
  <w:style w:type="table" w:styleId="LightShading-Accent6">
    <w:name w:val="Light Shading Accent 6"/>
    <w:basedOn w:val="TableNormal"/>
    <w:uiPriority w:val="60"/>
    <w:rsid w:val="00FC693F"/>
    <w:pPr>
      <w:spacing w:after="0" w:line="240" w:lineRule="auto"/>
    </w:pPr>
    <w:rPr>
      <w:color w:val="E36C0A" w:themeColor="accent6" w:themeShade="BF"/>
    </w:rPr>
    <w:tblPr>
      <w:tblStyleRowBandSize w:val="1"/>
      <w:tblStyleColBandSize w:val="1"/>
      <w:tblBorders>
        <w:top w:val="single" w:sz="8" w:space="0" w:color="F79646" w:themeColor="accent6"/>
        <w:bottom w:val="single" w:sz="8" w:space="0" w:color="F79646" w:themeColor="accent6"/>
      </w:tblBorders>
    </w:tblPr>
    <w:tblStylePr w:type="fir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la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left w:val="nil"/>
          <w:right w:val="nil"/>
          <w:insideH w:val="nil"/>
          <w:insideV w:val="nil"/>
        </w:tcBorders>
        <w:shd w:val="clear" w:color="auto" w:fill="FDE4D0" w:themeFill="accent6" w:themeFillTint="3F"/>
      </w:tcPr>
    </w:tblStylePr>
  </w:style>
  <w:style w:type="table" w:styleId="LightList">
    <w:name w:val="Light List"/>
    <w:basedOn w:val="TableNormal"/>
    <w:uiPriority w:val="61"/>
    <w:rsid w:val="00FC693F"/>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pPr>
        <w:spacing w:before="0" w:after="0" w:line="240" w:lineRule="auto"/>
      </w:pPr>
      <w:rPr>
        <w:b/>
        <w:bCs/>
        <w:color w:val="FFFFFF" w:themeColor="background1"/>
      </w:rPr>
      <w:tblPr/>
      <w:tcPr>
        <w:shd w:val="clear" w:color="auto" w:fill="000000" w:themeFill="text1"/>
      </w:tcPr>
    </w:tblStylePr>
    <w:tblStylePr w:type="lastRow">
      <w:pPr>
        <w:spacing w:before="0" w:after="0" w:line="240" w:lineRule="auto"/>
      </w:pPr>
      <w:rPr>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tcBorders>
      </w:tcPr>
    </w:tblStylePr>
    <w:tblStylePr w:type="firstCol">
      <w:rPr>
        <w:b/>
        <w:bCs/>
      </w:rPr>
    </w:tblStylePr>
    <w:tblStylePr w:type="lastCol">
      <w:rPr>
        <w:b/>
        <w:bCs/>
      </w:r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style>
  <w:style w:type="table" w:styleId="LightList-Accent1">
    <w:name w:val="Light List Accent 1"/>
    <w:basedOn w:val="TableNormal"/>
    <w:uiPriority w:val="61"/>
    <w:rsid w:val="00FC693F"/>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pPr>
        <w:spacing w:before="0" w:after="0" w:line="240" w:lineRule="auto"/>
      </w:pPr>
      <w:rPr>
        <w:b/>
        <w:bCs/>
        <w:color w:val="FFFFFF" w:themeColor="background1"/>
      </w:rPr>
      <w:tblPr/>
      <w:tcPr>
        <w:shd w:val="clear" w:color="auto" w:fill="4F81BD" w:themeFill="accent1"/>
      </w:tcPr>
    </w:tblStylePr>
    <w:tblStylePr w:type="lastRow">
      <w:pPr>
        <w:spacing w:before="0" w:after="0" w:line="240" w:lineRule="auto"/>
      </w:pPr>
      <w:rPr>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tcBorders>
      </w:tcPr>
    </w:tblStylePr>
    <w:tblStylePr w:type="firstCol">
      <w:rPr>
        <w:b/>
        <w:bCs/>
      </w:rPr>
    </w:tblStylePr>
    <w:tblStylePr w:type="lastCol">
      <w:rPr>
        <w:b/>
        <w:bCs/>
      </w:r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style>
  <w:style w:type="table" w:styleId="LightList-Accent2">
    <w:name w:val="Light List Accent 2"/>
    <w:basedOn w:val="TableNormal"/>
    <w:uiPriority w:val="61"/>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pPr>
        <w:spacing w:before="0" w:after="0" w:line="240" w:lineRule="auto"/>
      </w:pPr>
      <w:rPr>
        <w:b/>
        <w:bCs/>
        <w:color w:val="FFFFFF" w:themeColor="background1"/>
      </w:rPr>
      <w:tblPr/>
      <w:tcPr>
        <w:shd w:val="clear" w:color="auto" w:fill="C0504D" w:themeFill="accent2"/>
      </w:tcPr>
    </w:tblStylePr>
    <w:tblStylePr w:type="lastRow">
      <w:pPr>
        <w:spacing w:before="0" w:after="0" w:line="240" w:lineRule="auto"/>
      </w:pPr>
      <w:rPr>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tcBorders>
      </w:tcPr>
    </w:tblStylePr>
    <w:tblStylePr w:type="firstCol">
      <w:rPr>
        <w:b/>
        <w:bCs/>
      </w:rPr>
    </w:tblStylePr>
    <w:tblStylePr w:type="lastCol">
      <w:rPr>
        <w:b/>
        <w:bCs/>
      </w:r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style>
  <w:style w:type="table" w:styleId="LightList-Accent3">
    <w:name w:val="Light List Accent 3"/>
    <w:basedOn w:val="TableNormal"/>
    <w:uiPriority w:val="61"/>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pPr>
        <w:spacing w:before="0" w:after="0" w:line="240" w:lineRule="auto"/>
      </w:pPr>
      <w:rPr>
        <w:b/>
        <w:bCs/>
        <w:color w:val="FFFFFF" w:themeColor="background1"/>
      </w:rPr>
      <w:tblPr/>
      <w:tcPr>
        <w:shd w:val="clear" w:color="auto" w:fill="9BBB59" w:themeFill="accent3"/>
      </w:tcPr>
    </w:tblStylePr>
    <w:tblStylePr w:type="lastRow">
      <w:pPr>
        <w:spacing w:before="0" w:after="0" w:line="240" w:lineRule="auto"/>
      </w:pPr>
      <w:rPr>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tcBorders>
      </w:tcPr>
    </w:tblStylePr>
    <w:tblStylePr w:type="firstCol">
      <w:rPr>
        <w:b/>
        <w:bCs/>
      </w:rPr>
    </w:tblStylePr>
    <w:tblStylePr w:type="lastCol">
      <w:rPr>
        <w:b/>
        <w:bCs/>
      </w:r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style>
  <w:style w:type="table" w:styleId="LightList-Accent4">
    <w:name w:val="Light List Accent 4"/>
    <w:basedOn w:val="TableNormal"/>
    <w:uiPriority w:val="61"/>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pPr>
        <w:spacing w:before="0" w:after="0" w:line="240" w:lineRule="auto"/>
      </w:pPr>
      <w:rPr>
        <w:b/>
        <w:bCs/>
        <w:color w:val="FFFFFF" w:themeColor="background1"/>
      </w:rPr>
      <w:tblPr/>
      <w:tcPr>
        <w:shd w:val="clear" w:color="auto" w:fill="8064A2" w:themeFill="accent4"/>
      </w:tcPr>
    </w:tblStylePr>
    <w:tblStylePr w:type="lastRow">
      <w:pPr>
        <w:spacing w:before="0" w:after="0" w:line="240" w:lineRule="auto"/>
      </w:pPr>
      <w:rPr>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tcBorders>
      </w:tcPr>
    </w:tblStylePr>
    <w:tblStylePr w:type="firstCol">
      <w:rPr>
        <w:b/>
        <w:bCs/>
      </w:rPr>
    </w:tblStylePr>
    <w:tblStylePr w:type="lastCol">
      <w:rPr>
        <w:b/>
        <w:bCs/>
      </w:r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style>
  <w:style w:type="table" w:styleId="LightList-Accent5">
    <w:name w:val="Light List Accent 5"/>
    <w:basedOn w:val="TableNormal"/>
    <w:uiPriority w:val="61"/>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pPr>
        <w:spacing w:before="0" w:after="0" w:line="240" w:lineRule="auto"/>
      </w:pPr>
      <w:rPr>
        <w:b/>
        <w:bCs/>
        <w:color w:val="FFFFFF" w:themeColor="background1"/>
      </w:rPr>
      <w:tblPr/>
      <w:tcPr>
        <w:shd w:val="clear" w:color="auto" w:fill="4BACC6" w:themeFill="accent5"/>
      </w:tcPr>
    </w:tblStylePr>
    <w:tblStylePr w:type="lastRow">
      <w:pPr>
        <w:spacing w:before="0" w:after="0" w:line="240" w:lineRule="auto"/>
      </w:pPr>
      <w:rPr>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tcBorders>
      </w:tcPr>
    </w:tblStylePr>
    <w:tblStylePr w:type="firstCol">
      <w:rPr>
        <w:b/>
        <w:bCs/>
      </w:rPr>
    </w:tblStylePr>
    <w:tblStylePr w:type="lastCol">
      <w:rPr>
        <w:b/>
        <w:bCs/>
      </w:r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style>
  <w:style w:type="table" w:styleId="LightList-Accent6">
    <w:name w:val="Light List Accent 6"/>
    <w:basedOn w:val="TableNormal"/>
    <w:uiPriority w:val="61"/>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pPr>
        <w:spacing w:before="0" w:after="0" w:line="240" w:lineRule="auto"/>
      </w:pPr>
      <w:rPr>
        <w:b/>
        <w:bCs/>
        <w:color w:val="FFFFFF" w:themeColor="background1"/>
      </w:rPr>
      <w:tblPr/>
      <w:tcPr>
        <w:shd w:val="clear" w:color="auto" w:fill="F79646" w:themeFill="accent6"/>
      </w:tcPr>
    </w:tblStylePr>
    <w:tblStylePr w:type="lastRow">
      <w:pPr>
        <w:spacing w:before="0" w:after="0" w:line="240" w:lineRule="auto"/>
      </w:pPr>
      <w:rPr>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tcBorders>
      </w:tcPr>
    </w:tblStylePr>
    <w:tblStylePr w:type="firstCol">
      <w:rPr>
        <w:b/>
        <w:bCs/>
      </w:rPr>
    </w:tblStylePr>
    <w:tblStylePr w:type="lastCol">
      <w:rPr>
        <w:b/>
        <w:bCs/>
      </w:r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style>
  <w:style w:type="table" w:styleId="LightGrid">
    <w:name w:val="Light Grid"/>
    <w:basedOn w:val="TableNormal"/>
    <w:uiPriority w:val="62"/>
    <w:rsid w:val="00CB0664"/>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18" w:space="0" w:color="000000" w:themeColor="text1"/>
          <w:right w:val="single" w:sz="8" w:space="0" w:color="000000" w:themeColor="text1"/>
          <w:insideH w:val="nil"/>
          <w:insideV w:val="single" w:sz="8" w:space="0" w:color="000000" w:themeColor="tex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insideH w:val="nil"/>
          <w:insideV w:val="single" w:sz="8" w:space="0" w:color="000000" w:themeColor="tex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shd w:val="clear" w:color="auto" w:fill="C0C0C0" w:themeFill="text1" w:themeFillTint="3F"/>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shd w:val="clear" w:color="auto" w:fill="C0C0C0" w:themeFill="text1" w:themeFillTint="3F"/>
      </w:tcPr>
    </w:tblStylePr>
    <w:tblStylePr w:type="band2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tcPr>
    </w:tblStylePr>
  </w:style>
  <w:style w:type="table" w:styleId="LightGrid-Accent1">
    <w:name w:val="Light Grid Accent 1"/>
    <w:basedOn w:val="TableNormal"/>
    <w:uiPriority w:val="62"/>
    <w:rsid w:val="00CB0664"/>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18" w:space="0" w:color="4F81BD" w:themeColor="accent1"/>
          <w:right w:val="single" w:sz="8" w:space="0" w:color="4F81BD" w:themeColor="accent1"/>
          <w:insideH w:val="nil"/>
          <w:insideV w:val="single" w:sz="8" w:space="0" w:color="4F81BD" w:themeColor="accen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insideH w:val="nil"/>
          <w:insideV w:val="single" w:sz="8" w:space="0" w:color="4F81BD" w:themeColor="accen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shd w:val="clear" w:color="auto" w:fill="D3DFEE" w:themeFill="accent1" w:themeFillTint="3F"/>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shd w:val="clear" w:color="auto" w:fill="D3DFEE" w:themeFill="accent1" w:themeFillTint="3F"/>
      </w:tcPr>
    </w:tblStylePr>
    <w:tblStylePr w:type="band2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tcPr>
    </w:tblStylePr>
  </w:style>
  <w:style w:type="table" w:styleId="LightGrid-Accent2">
    <w:name w:val="Light Grid Accent 2"/>
    <w:basedOn w:val="TableNormal"/>
    <w:uiPriority w:val="62"/>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18" w:space="0" w:color="C0504D" w:themeColor="accent2"/>
          <w:right w:val="single" w:sz="8" w:space="0" w:color="C0504D" w:themeColor="accent2"/>
          <w:insideH w:val="nil"/>
          <w:insideV w:val="single" w:sz="8" w:space="0" w:color="C0504D" w:themeColor="accent2"/>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insideH w:val="nil"/>
          <w:insideV w:val="single" w:sz="8" w:space="0" w:color="C0504D" w:themeColor="accent2"/>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shd w:val="clear" w:color="auto" w:fill="EFD3D2" w:themeFill="accent2" w:themeFillTint="3F"/>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shd w:val="clear" w:color="auto" w:fill="EFD3D2" w:themeFill="accent2" w:themeFillTint="3F"/>
      </w:tcPr>
    </w:tblStylePr>
    <w:tblStylePr w:type="band2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tcPr>
    </w:tblStylePr>
  </w:style>
  <w:style w:type="table" w:styleId="LightGrid-Accent3">
    <w:name w:val="Light Grid Accent 3"/>
    <w:basedOn w:val="TableNormal"/>
    <w:uiPriority w:val="62"/>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18" w:space="0" w:color="9BBB59" w:themeColor="accent3"/>
          <w:right w:val="single" w:sz="8" w:space="0" w:color="9BBB59" w:themeColor="accent3"/>
          <w:insideH w:val="nil"/>
          <w:insideV w:val="single" w:sz="8" w:space="0" w:color="9BBB59" w:themeColor="accent3"/>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insideH w:val="nil"/>
          <w:insideV w:val="single" w:sz="8" w:space="0" w:color="9BBB59" w:themeColor="accent3"/>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shd w:val="clear" w:color="auto" w:fill="E6EED5" w:themeFill="accent3" w:themeFillTint="3F"/>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shd w:val="clear" w:color="auto" w:fill="E6EED5" w:themeFill="accent3" w:themeFillTint="3F"/>
      </w:tcPr>
    </w:tblStylePr>
    <w:tblStylePr w:type="band2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tcPr>
    </w:tblStylePr>
  </w:style>
  <w:style w:type="table" w:styleId="LightGrid-Accent4">
    <w:name w:val="Light Grid Accent 4"/>
    <w:basedOn w:val="TableNormal"/>
    <w:uiPriority w:val="62"/>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18" w:space="0" w:color="8064A2" w:themeColor="accent4"/>
          <w:right w:val="single" w:sz="8" w:space="0" w:color="8064A2" w:themeColor="accent4"/>
          <w:insideH w:val="nil"/>
          <w:insideV w:val="single" w:sz="8" w:space="0" w:color="8064A2" w:themeColor="accent4"/>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insideH w:val="nil"/>
          <w:insideV w:val="single" w:sz="8" w:space="0" w:color="8064A2" w:themeColor="accent4"/>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shd w:val="clear" w:color="auto" w:fill="DFD8E8" w:themeFill="accent4" w:themeFillTint="3F"/>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shd w:val="clear" w:color="auto" w:fill="DFD8E8" w:themeFill="accent4" w:themeFillTint="3F"/>
      </w:tcPr>
    </w:tblStylePr>
    <w:tblStylePr w:type="band2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tcPr>
    </w:tblStylePr>
  </w:style>
  <w:style w:type="table" w:styleId="LightGrid-Accent5">
    <w:name w:val="Light Grid Accent 5"/>
    <w:basedOn w:val="TableNormal"/>
    <w:uiPriority w:val="62"/>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18" w:space="0" w:color="4BACC6" w:themeColor="accent5"/>
          <w:right w:val="single" w:sz="8" w:space="0" w:color="4BACC6" w:themeColor="accent5"/>
          <w:insideH w:val="nil"/>
          <w:insideV w:val="single" w:sz="8" w:space="0" w:color="4BACC6" w:themeColor="accent5"/>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insideH w:val="nil"/>
          <w:insideV w:val="single" w:sz="8" w:space="0" w:color="4BACC6" w:themeColor="accent5"/>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shd w:val="clear" w:color="auto" w:fill="D2EAF1" w:themeFill="accent5" w:themeFillTint="3F"/>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shd w:val="clear" w:color="auto" w:fill="D2EAF1" w:themeFill="accent5" w:themeFillTint="3F"/>
      </w:tcPr>
    </w:tblStylePr>
    <w:tblStylePr w:type="band2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tcPr>
    </w:tblStylePr>
  </w:style>
  <w:style w:type="table" w:styleId="LightGrid-Accent6">
    <w:name w:val="Light Grid Accent 6"/>
    <w:basedOn w:val="TableNormal"/>
    <w:uiPriority w:val="62"/>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18" w:space="0" w:color="F79646" w:themeColor="accent6"/>
          <w:right w:val="single" w:sz="8" w:space="0" w:color="F79646" w:themeColor="accent6"/>
          <w:insideH w:val="nil"/>
          <w:insideV w:val="single" w:sz="8" w:space="0" w:color="F79646" w:themeColor="accent6"/>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insideH w:val="nil"/>
          <w:insideV w:val="single" w:sz="8" w:space="0" w:color="F79646" w:themeColor="accent6"/>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shd w:val="clear" w:color="auto" w:fill="FDE4D0" w:themeFill="accent6" w:themeFillTint="3F"/>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shd w:val="clear" w:color="auto" w:fill="FDE4D0" w:themeFill="accent6" w:themeFillTint="3F"/>
      </w:tcPr>
    </w:tblStylePr>
    <w:tblStylePr w:type="band2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tcPr>
    </w:tblStylePr>
  </w:style>
  <w:style w:type="table" w:styleId="MediumShading1">
    <w:name w:val="Medium Shading 1"/>
    <w:basedOn w:val="TableNormal"/>
    <w:uiPriority w:val="63"/>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tblBorders>
    </w:tblPr>
    <w:tblStylePr w:type="firstRow">
      <w:pPr>
        <w:spacing w:before="0" w:after="0" w:line="240" w:lineRule="auto"/>
      </w:pPr>
      <w:rPr>
        <w:b/>
        <w:bCs/>
        <w:color w:val="FFFFFF" w:themeColor="background1"/>
      </w:rPr>
      <w:tblPr/>
      <w:tcPr>
        <w:tc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shd w:val="clear" w:color="auto" w:fill="000000" w:themeFill="text1"/>
      </w:tcPr>
    </w:tblStylePr>
    <w:tblStylePr w:type="lastRow">
      <w:pPr>
        <w:spacing w:before="0" w:after="0" w:line="240" w:lineRule="auto"/>
      </w:pPr>
      <w:rPr>
        <w:b/>
        <w:bCs/>
      </w:rPr>
      <w:tblPr/>
      <w:tcPr>
        <w:tcBorders>
          <w:top w:val="double" w:sz="6"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tcPr>
    </w:tblStylePr>
    <w:tblStylePr w:type="firstCol">
      <w:rPr>
        <w:b/>
        <w:bCs/>
      </w:rPr>
    </w:tblStylePr>
    <w:tblStylePr w:type="lastCol">
      <w:rPr>
        <w:b/>
        <w:bCs/>
      </w:rPr>
    </w:tblStylePr>
    <w:tblStylePr w:type="band1Vert">
      <w:tblPr/>
      <w:tcPr>
        <w:shd w:val="clear" w:color="auto" w:fill="C0C0C0" w:themeFill="text1" w:themeFillTint="3F"/>
      </w:tcPr>
    </w:tblStylePr>
    <w:tblStylePr w:type="band1Horz">
      <w:tblPr/>
      <w:tcPr>
        <w:tcBorders>
          <w:insideH w:val="nil"/>
          <w:insideV w:val="nil"/>
        </w:tcBorders>
        <w:shd w:val="clear" w:color="auto" w:fill="C0C0C0" w:themeFill="text1" w:themeFillTint="3F"/>
      </w:tcPr>
    </w:tblStylePr>
    <w:tblStylePr w:type="band2Horz">
      <w:tblPr/>
      <w:tcPr>
        <w:tcBorders>
          <w:insideH w:val="nil"/>
          <w:insideV w:val="nil"/>
        </w:tcBorders>
      </w:tcPr>
    </w:tblStylePr>
  </w:style>
  <w:style w:type="table" w:styleId="MediumShading1-Accent1">
    <w:name w:val="Medium Shading 1 Accent 1"/>
    <w:basedOn w:val="TableNormal"/>
    <w:uiPriority w:val="63"/>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tblBorders>
    </w:tblPr>
    <w:tblStylePr w:type="firstRow">
      <w:pPr>
        <w:spacing w:before="0" w:after="0" w:line="240" w:lineRule="auto"/>
      </w:pPr>
      <w:rPr>
        <w:b/>
        <w:bCs/>
        <w:color w:val="FFFFFF" w:themeColor="background1"/>
      </w:rPr>
      <w:tblPr/>
      <w:tcPr>
        <w:tc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shd w:val="clear" w:color="auto" w:fill="4F81BD" w:themeFill="accent1"/>
      </w:tcPr>
    </w:tblStylePr>
    <w:tblStylePr w:type="lastRow">
      <w:pPr>
        <w:spacing w:before="0" w:after="0" w:line="240" w:lineRule="auto"/>
      </w:pPr>
      <w:rPr>
        <w:b/>
        <w:bCs/>
      </w:rPr>
      <w:tblPr/>
      <w:tcPr>
        <w:tcBorders>
          <w:top w:val="double" w:sz="6"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tcPr>
    </w:tblStylePr>
    <w:tblStylePr w:type="firstCol">
      <w:rPr>
        <w:b/>
        <w:bCs/>
      </w:rPr>
    </w:tblStylePr>
    <w:tblStylePr w:type="lastCol">
      <w:rPr>
        <w:b/>
        <w:bCs/>
      </w:rPr>
    </w:tblStylePr>
    <w:tblStylePr w:type="band1Vert">
      <w:tblPr/>
      <w:tcPr>
        <w:shd w:val="clear" w:color="auto" w:fill="D3DFEE" w:themeFill="accent1" w:themeFillTint="3F"/>
      </w:tcPr>
    </w:tblStylePr>
    <w:tblStylePr w:type="band1Horz">
      <w:tblPr/>
      <w:tcPr>
        <w:tcBorders>
          <w:insideH w:val="nil"/>
          <w:insideV w:val="nil"/>
        </w:tcBorders>
        <w:shd w:val="clear" w:color="auto" w:fill="D3DFEE" w:themeFill="accent1" w:themeFillTint="3F"/>
      </w:tcPr>
    </w:tblStylePr>
    <w:tblStylePr w:type="band2Horz">
      <w:tblPr/>
      <w:tcPr>
        <w:tcBorders>
          <w:insideH w:val="nil"/>
          <w:insideV w:val="nil"/>
        </w:tcBorders>
      </w:tcPr>
    </w:tblStylePr>
  </w:style>
  <w:style w:type="table" w:styleId="MediumShading1-Accent2">
    <w:name w:val="Medium Shading 1 Accent 2"/>
    <w:basedOn w:val="TableNormal"/>
    <w:uiPriority w:val="63"/>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tblBorders>
    </w:tblPr>
    <w:tblStylePr w:type="firstRow">
      <w:pPr>
        <w:spacing w:before="0" w:after="0" w:line="240" w:lineRule="auto"/>
      </w:pPr>
      <w:rPr>
        <w:b/>
        <w:bCs/>
        <w:color w:val="FFFFFF" w:themeColor="background1"/>
      </w:rPr>
      <w:tblPr/>
      <w:tcPr>
        <w:tc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shd w:val="clear" w:color="auto" w:fill="C0504D" w:themeFill="accent2"/>
      </w:tcPr>
    </w:tblStylePr>
    <w:tblStylePr w:type="lastRow">
      <w:pPr>
        <w:spacing w:before="0" w:after="0" w:line="240" w:lineRule="auto"/>
      </w:pPr>
      <w:rPr>
        <w:b/>
        <w:bCs/>
      </w:rPr>
      <w:tblPr/>
      <w:tcPr>
        <w:tcBorders>
          <w:top w:val="double" w:sz="6"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tcPr>
    </w:tblStylePr>
    <w:tblStylePr w:type="firstCol">
      <w:rPr>
        <w:b/>
        <w:bCs/>
      </w:rPr>
    </w:tblStylePr>
    <w:tblStylePr w:type="lastCol">
      <w:rPr>
        <w:b/>
        <w:bCs/>
      </w:rPr>
    </w:tblStylePr>
    <w:tblStylePr w:type="band1Vert">
      <w:tblPr/>
      <w:tcPr>
        <w:shd w:val="clear" w:color="auto" w:fill="EFD3D2" w:themeFill="accent2" w:themeFillTint="3F"/>
      </w:tcPr>
    </w:tblStylePr>
    <w:tblStylePr w:type="band1Horz">
      <w:tblPr/>
      <w:tcPr>
        <w:tcBorders>
          <w:insideH w:val="nil"/>
          <w:insideV w:val="nil"/>
        </w:tcBorders>
        <w:shd w:val="clear" w:color="auto" w:fill="EFD3D2" w:themeFill="accent2" w:themeFillTint="3F"/>
      </w:tcPr>
    </w:tblStylePr>
    <w:tblStylePr w:type="band2Horz">
      <w:tblPr/>
      <w:tcPr>
        <w:tcBorders>
          <w:insideH w:val="nil"/>
          <w:insideV w:val="nil"/>
        </w:tcBorders>
      </w:tcPr>
    </w:tblStylePr>
  </w:style>
  <w:style w:type="table" w:styleId="MediumShading1-Accent3">
    <w:name w:val="Medium Shading 1 Accent 3"/>
    <w:basedOn w:val="TableNormal"/>
    <w:uiPriority w:val="63"/>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tblBorders>
    </w:tblPr>
    <w:tblStylePr w:type="firstRow">
      <w:pPr>
        <w:spacing w:before="0" w:after="0" w:line="240" w:lineRule="auto"/>
      </w:pPr>
      <w:rPr>
        <w:b/>
        <w:bCs/>
        <w:color w:val="FFFFFF" w:themeColor="background1"/>
      </w:rPr>
      <w:tblPr/>
      <w:tcPr>
        <w:tc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shd w:val="clear" w:color="auto" w:fill="9BBB59" w:themeFill="accent3"/>
      </w:tcPr>
    </w:tblStylePr>
    <w:tblStylePr w:type="lastRow">
      <w:pPr>
        <w:spacing w:before="0" w:after="0" w:line="240" w:lineRule="auto"/>
      </w:pPr>
      <w:rPr>
        <w:b/>
        <w:bCs/>
      </w:rPr>
      <w:tblPr/>
      <w:tcPr>
        <w:tcBorders>
          <w:top w:val="double" w:sz="6"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tcPr>
    </w:tblStylePr>
    <w:tblStylePr w:type="firstCol">
      <w:rPr>
        <w:b/>
        <w:bCs/>
      </w:rPr>
    </w:tblStylePr>
    <w:tblStylePr w:type="lastCol">
      <w:rPr>
        <w:b/>
        <w:bCs/>
      </w:rPr>
    </w:tblStylePr>
    <w:tblStylePr w:type="band1Vert">
      <w:tblPr/>
      <w:tcPr>
        <w:shd w:val="clear" w:color="auto" w:fill="E6EED5" w:themeFill="accent3" w:themeFillTint="3F"/>
      </w:tcPr>
    </w:tblStylePr>
    <w:tblStylePr w:type="band1Horz">
      <w:tblPr/>
      <w:tcPr>
        <w:tcBorders>
          <w:insideH w:val="nil"/>
          <w:insideV w:val="nil"/>
        </w:tcBorders>
        <w:shd w:val="clear" w:color="auto" w:fill="E6EED5" w:themeFill="accent3" w:themeFillTint="3F"/>
      </w:tcPr>
    </w:tblStylePr>
    <w:tblStylePr w:type="band2Horz">
      <w:tblPr/>
      <w:tcPr>
        <w:tcBorders>
          <w:insideH w:val="nil"/>
          <w:insideV w:val="nil"/>
        </w:tcBorders>
      </w:tcPr>
    </w:tblStylePr>
  </w:style>
  <w:style w:type="table" w:styleId="MediumShading1-Accent4">
    <w:name w:val="Medium Shading 1 Accent 4"/>
    <w:basedOn w:val="TableNormal"/>
    <w:uiPriority w:val="63"/>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tblBorders>
    </w:tblPr>
    <w:tblStylePr w:type="firstRow">
      <w:pPr>
        <w:spacing w:before="0" w:after="0" w:line="240" w:lineRule="auto"/>
      </w:pPr>
      <w:rPr>
        <w:b/>
        <w:bCs/>
        <w:color w:val="FFFFFF" w:themeColor="background1"/>
      </w:rPr>
      <w:tblPr/>
      <w:tcPr>
        <w:tc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shd w:val="clear" w:color="auto" w:fill="8064A2" w:themeFill="accent4"/>
      </w:tcPr>
    </w:tblStylePr>
    <w:tblStylePr w:type="lastRow">
      <w:pPr>
        <w:spacing w:before="0" w:after="0" w:line="240" w:lineRule="auto"/>
      </w:pPr>
      <w:rPr>
        <w:b/>
        <w:bCs/>
      </w:rPr>
      <w:tblPr/>
      <w:tcPr>
        <w:tcBorders>
          <w:top w:val="double" w:sz="6"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tcPr>
    </w:tblStylePr>
    <w:tblStylePr w:type="firstCol">
      <w:rPr>
        <w:b/>
        <w:bCs/>
      </w:rPr>
    </w:tblStylePr>
    <w:tblStylePr w:type="lastCol">
      <w:rPr>
        <w:b/>
        <w:bCs/>
      </w:rPr>
    </w:tblStylePr>
    <w:tblStylePr w:type="band1Vert">
      <w:tblPr/>
      <w:tcPr>
        <w:shd w:val="clear" w:color="auto" w:fill="DFD8E8" w:themeFill="accent4" w:themeFillTint="3F"/>
      </w:tcPr>
    </w:tblStylePr>
    <w:tblStylePr w:type="band1Horz">
      <w:tblPr/>
      <w:tcPr>
        <w:tcBorders>
          <w:insideH w:val="nil"/>
          <w:insideV w:val="nil"/>
        </w:tcBorders>
        <w:shd w:val="clear" w:color="auto" w:fill="DFD8E8" w:themeFill="accent4" w:themeFillTint="3F"/>
      </w:tcPr>
    </w:tblStylePr>
    <w:tblStylePr w:type="band2Horz">
      <w:tblPr/>
      <w:tcPr>
        <w:tcBorders>
          <w:insideH w:val="nil"/>
          <w:insideV w:val="nil"/>
        </w:tcBorders>
      </w:tcPr>
    </w:tblStylePr>
  </w:style>
  <w:style w:type="table" w:styleId="MediumShading1-Accent5">
    <w:name w:val="Medium Shading 1 Accent 5"/>
    <w:basedOn w:val="TableNormal"/>
    <w:uiPriority w:val="63"/>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tblBorders>
    </w:tblPr>
    <w:tblStylePr w:type="firstRow">
      <w:pPr>
        <w:spacing w:before="0" w:after="0" w:line="240" w:lineRule="auto"/>
      </w:pPr>
      <w:rPr>
        <w:b/>
        <w:bCs/>
        <w:color w:val="FFFFFF" w:themeColor="background1"/>
      </w:rPr>
      <w:tblPr/>
      <w:tcPr>
        <w:tc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shd w:val="clear" w:color="auto" w:fill="4BACC6" w:themeFill="accent5"/>
      </w:tcPr>
    </w:tblStylePr>
    <w:tblStylePr w:type="lastRow">
      <w:pPr>
        <w:spacing w:before="0" w:after="0" w:line="240" w:lineRule="auto"/>
      </w:pPr>
      <w:rPr>
        <w:b/>
        <w:bCs/>
      </w:rPr>
      <w:tblPr/>
      <w:tcPr>
        <w:tcBorders>
          <w:top w:val="double" w:sz="6"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tcPr>
    </w:tblStylePr>
    <w:tblStylePr w:type="firstCol">
      <w:rPr>
        <w:b/>
        <w:bCs/>
      </w:rPr>
    </w:tblStylePr>
    <w:tblStylePr w:type="lastCol">
      <w:rPr>
        <w:b/>
        <w:bCs/>
      </w:rPr>
    </w:tblStylePr>
    <w:tblStylePr w:type="band1Vert">
      <w:tblPr/>
      <w:tcPr>
        <w:shd w:val="clear" w:color="auto" w:fill="D2EAF1" w:themeFill="accent5" w:themeFillTint="3F"/>
      </w:tcPr>
    </w:tblStylePr>
    <w:tblStylePr w:type="band1Horz">
      <w:tblPr/>
      <w:tcPr>
        <w:tcBorders>
          <w:insideH w:val="nil"/>
          <w:insideV w:val="nil"/>
        </w:tcBorders>
        <w:shd w:val="clear" w:color="auto" w:fill="D2EAF1" w:themeFill="accent5" w:themeFillTint="3F"/>
      </w:tcPr>
    </w:tblStylePr>
    <w:tblStylePr w:type="band2Horz">
      <w:tblPr/>
      <w:tcPr>
        <w:tcBorders>
          <w:insideH w:val="nil"/>
          <w:insideV w:val="nil"/>
        </w:tcBorders>
      </w:tcPr>
    </w:tblStylePr>
  </w:style>
  <w:style w:type="table" w:styleId="MediumShading1-Accent6">
    <w:name w:val="Medium Shading 1 Accent 6"/>
    <w:basedOn w:val="TableNormal"/>
    <w:uiPriority w:val="63"/>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tblBorders>
    </w:tblPr>
    <w:tblStylePr w:type="firstRow">
      <w:pPr>
        <w:spacing w:before="0" w:after="0" w:line="240" w:lineRule="auto"/>
      </w:pPr>
      <w:rPr>
        <w:b/>
        <w:bCs/>
        <w:color w:val="FFFFFF" w:themeColor="background1"/>
      </w:rPr>
      <w:tblPr/>
      <w:tcPr>
        <w:tc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shd w:val="clear" w:color="auto" w:fill="F79646" w:themeFill="accent6"/>
      </w:tcPr>
    </w:tblStylePr>
    <w:tblStylePr w:type="lastRow">
      <w:pPr>
        <w:spacing w:before="0" w:after="0" w:line="240" w:lineRule="auto"/>
      </w:pPr>
      <w:rPr>
        <w:b/>
        <w:bCs/>
      </w:rPr>
      <w:tblPr/>
      <w:tcPr>
        <w:tcBorders>
          <w:top w:val="double" w:sz="6"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tcPr>
    </w:tblStylePr>
    <w:tblStylePr w:type="firstCol">
      <w:rPr>
        <w:b/>
        <w:bCs/>
      </w:rPr>
    </w:tblStylePr>
    <w:tblStylePr w:type="lastCol">
      <w:rPr>
        <w:b/>
        <w:bCs/>
      </w:rPr>
    </w:tblStylePr>
    <w:tblStylePr w:type="band1Vert">
      <w:tblPr/>
      <w:tcPr>
        <w:shd w:val="clear" w:color="auto" w:fill="FDE4D0" w:themeFill="accent6" w:themeFillTint="3F"/>
      </w:tcPr>
    </w:tblStylePr>
    <w:tblStylePr w:type="band1Horz">
      <w:tblPr/>
      <w:tcPr>
        <w:tcBorders>
          <w:insideH w:val="nil"/>
          <w:insideV w:val="nil"/>
        </w:tcBorders>
        <w:shd w:val="clear" w:color="auto" w:fill="FDE4D0" w:themeFill="accent6" w:themeFillTint="3F"/>
      </w:tcPr>
    </w:tblStylePr>
    <w:tblStylePr w:type="band2Horz">
      <w:tblPr/>
      <w:tcPr>
        <w:tcBorders>
          <w:insideH w:val="nil"/>
          <w:insideV w:val="nil"/>
        </w:tcBorders>
      </w:tcPr>
    </w:tblStylePr>
  </w:style>
  <w:style w:type="table" w:styleId="MediumShading2">
    <w:name w:val="Medium Shading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000000" w:themeFill="tex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000000" w:themeFill="text1"/>
      </w:tcPr>
    </w:tblStylePr>
    <w:tblStylePr w:type="lastCol">
      <w:rPr>
        <w:b/>
        <w:bCs/>
        <w:color w:val="FFFFFF" w:themeColor="background1"/>
      </w:rPr>
      <w:tblPr/>
      <w:tcPr>
        <w:tcBorders>
          <w:left w:val="nil"/>
          <w:right w:val="nil"/>
          <w:insideH w:val="nil"/>
          <w:insideV w:val="nil"/>
        </w:tcBorders>
        <w:shd w:val="clear" w:color="auto" w:fill="000000" w:themeFill="tex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1">
    <w:name w:val="Medium Shading 2 Accent 1"/>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F81BD" w:themeFill="accen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F81BD" w:themeFill="accent1"/>
      </w:tcPr>
    </w:tblStylePr>
    <w:tblStylePr w:type="lastCol">
      <w:rPr>
        <w:b/>
        <w:bCs/>
        <w:color w:val="FFFFFF" w:themeColor="background1"/>
      </w:rPr>
      <w:tblPr/>
      <w:tcPr>
        <w:tcBorders>
          <w:left w:val="nil"/>
          <w:right w:val="nil"/>
          <w:insideH w:val="nil"/>
          <w:insideV w:val="nil"/>
        </w:tcBorders>
        <w:shd w:val="clear" w:color="auto" w:fill="4F81BD" w:themeFill="accen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2">
    <w:name w:val="Medium Shading 2 Accent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C0504D" w:themeFill="accent2"/>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C0504D" w:themeFill="accent2"/>
      </w:tcPr>
    </w:tblStylePr>
    <w:tblStylePr w:type="lastCol">
      <w:rPr>
        <w:b/>
        <w:bCs/>
        <w:color w:val="FFFFFF" w:themeColor="background1"/>
      </w:rPr>
      <w:tblPr/>
      <w:tcPr>
        <w:tcBorders>
          <w:left w:val="nil"/>
          <w:right w:val="nil"/>
          <w:insideH w:val="nil"/>
          <w:insideV w:val="nil"/>
        </w:tcBorders>
        <w:shd w:val="clear" w:color="auto" w:fill="C0504D" w:themeFill="accent2"/>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3">
    <w:name w:val="Medium Shading 2 Accent 3"/>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9BBB59" w:themeFill="accent3"/>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9BBB59" w:themeFill="accent3"/>
      </w:tcPr>
    </w:tblStylePr>
    <w:tblStylePr w:type="lastCol">
      <w:rPr>
        <w:b/>
        <w:bCs/>
        <w:color w:val="FFFFFF" w:themeColor="background1"/>
      </w:rPr>
      <w:tblPr/>
      <w:tcPr>
        <w:tcBorders>
          <w:left w:val="nil"/>
          <w:right w:val="nil"/>
          <w:insideH w:val="nil"/>
          <w:insideV w:val="nil"/>
        </w:tcBorders>
        <w:shd w:val="clear" w:color="auto" w:fill="9BBB59" w:themeFill="accent3"/>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4">
    <w:name w:val="Medium Shading 2 Accent 4"/>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8064A2" w:themeFill="accent4"/>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8064A2" w:themeFill="accent4"/>
      </w:tcPr>
    </w:tblStylePr>
    <w:tblStylePr w:type="lastCol">
      <w:rPr>
        <w:b/>
        <w:bCs/>
        <w:color w:val="FFFFFF" w:themeColor="background1"/>
      </w:rPr>
      <w:tblPr/>
      <w:tcPr>
        <w:tcBorders>
          <w:left w:val="nil"/>
          <w:right w:val="nil"/>
          <w:insideH w:val="nil"/>
          <w:insideV w:val="nil"/>
        </w:tcBorders>
        <w:shd w:val="clear" w:color="auto" w:fill="8064A2" w:themeFill="accent4"/>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5">
    <w:name w:val="Medium Shading 2 Accent 5"/>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BACC6" w:themeFill="accent5"/>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BACC6" w:themeFill="accent5"/>
      </w:tcPr>
    </w:tblStylePr>
    <w:tblStylePr w:type="lastCol">
      <w:rPr>
        <w:b/>
        <w:bCs/>
        <w:color w:val="FFFFFF" w:themeColor="background1"/>
      </w:rPr>
      <w:tblPr/>
      <w:tcPr>
        <w:tcBorders>
          <w:left w:val="nil"/>
          <w:right w:val="nil"/>
          <w:insideH w:val="nil"/>
          <w:insideV w:val="nil"/>
        </w:tcBorders>
        <w:shd w:val="clear" w:color="auto" w:fill="4BACC6" w:themeFill="accent5"/>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6">
    <w:name w:val="Medium Shading 2 Accent 6"/>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F79646" w:themeFill="accent6"/>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F79646" w:themeFill="accent6"/>
      </w:tcPr>
    </w:tblStylePr>
    <w:tblStylePr w:type="lastCol">
      <w:rPr>
        <w:b/>
        <w:bCs/>
        <w:color w:val="FFFFFF" w:themeColor="background1"/>
      </w:rPr>
      <w:tblPr/>
      <w:tcPr>
        <w:tcBorders>
          <w:left w:val="nil"/>
          <w:right w:val="nil"/>
          <w:insideH w:val="nil"/>
          <w:insideV w:val="nil"/>
        </w:tcBorders>
        <w:shd w:val="clear" w:color="auto" w:fill="F79646" w:themeFill="accent6"/>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List1">
    <w:name w:val="Medium List 1"/>
    <w:basedOn w:val="TableNormal"/>
    <w:uiPriority w:val="65"/>
    <w:rsid w:val="00CB0664"/>
    <w:pPr>
      <w:spacing w:after="0" w:line="240" w:lineRule="auto"/>
    </w:pPr>
    <w:rPr>
      <w:color w:val="000000" w:themeColor="text1"/>
    </w:rPr>
    <w:tblPr>
      <w:tblStyleRowBandSize w:val="1"/>
      <w:tblStyleColBandSize w:val="1"/>
      <w:tblBorders>
        <w:top w:val="single" w:sz="8" w:space="0" w:color="000000" w:themeColor="text1"/>
        <w:bottom w:val="single" w:sz="8" w:space="0" w:color="000000" w:themeColor="text1"/>
      </w:tblBorders>
    </w:tblPr>
    <w:tblStylePr w:type="firstRow">
      <w:rPr>
        <w:rFonts w:asciiTheme="majorHAnsi" w:eastAsiaTheme="majorEastAsia" w:hAnsiTheme="majorHAnsi" w:cstheme="majorBidi"/>
      </w:rPr>
      <w:tblPr/>
      <w:tcPr>
        <w:tcBorders>
          <w:top w:val="nil"/>
          <w:bottom w:val="single" w:sz="8" w:space="0" w:color="000000" w:themeColor="text1"/>
        </w:tcBorders>
      </w:tcPr>
    </w:tblStylePr>
    <w:tblStylePr w:type="lastRow">
      <w:rPr>
        <w:b/>
        <w:bCs/>
        <w:color w:val="1F497D" w:themeColor="text2"/>
      </w:rPr>
      <w:tblPr/>
      <w:tcPr>
        <w:tcBorders>
          <w:top w:val="single" w:sz="8" w:space="0" w:color="000000" w:themeColor="text1"/>
          <w:bottom w:val="single" w:sz="8" w:space="0" w:color="000000" w:themeColor="text1"/>
        </w:tcBorders>
      </w:tcPr>
    </w:tblStylePr>
    <w:tblStylePr w:type="firstCol">
      <w:rPr>
        <w:b/>
        <w:bCs/>
      </w:rPr>
    </w:tblStylePr>
    <w:tblStylePr w:type="lastCol">
      <w:rPr>
        <w:b/>
        <w:bCs/>
      </w:rPr>
      <w:tblPr/>
      <w:tcPr>
        <w:tcBorders>
          <w:top w:val="single" w:sz="8" w:space="0" w:color="000000" w:themeColor="text1"/>
          <w:bottom w:val="single" w:sz="8" w:space="0" w:color="000000" w:themeColor="text1"/>
        </w:tcBorders>
      </w:tcPr>
    </w:tblStylePr>
    <w:tblStylePr w:type="band1Vert">
      <w:tblPr/>
      <w:tcPr>
        <w:shd w:val="clear" w:color="auto" w:fill="C0C0C0" w:themeFill="text1" w:themeFillTint="3F"/>
      </w:tcPr>
    </w:tblStylePr>
    <w:tblStylePr w:type="band1Horz">
      <w:tblPr/>
      <w:tcPr>
        <w:shd w:val="clear" w:color="auto" w:fill="C0C0C0" w:themeFill="text1" w:themeFillTint="3F"/>
      </w:tcPr>
    </w:tblStylePr>
  </w:style>
  <w:style w:type="table" w:styleId="MediumList1-Accent1">
    <w:name w:val="Medium List 1 Accent 1"/>
    <w:basedOn w:val="TableNormal"/>
    <w:uiPriority w:val="65"/>
    <w:rsid w:val="00CB0664"/>
    <w:pPr>
      <w:spacing w:after="0" w:line="240" w:lineRule="auto"/>
    </w:pPr>
    <w:rPr>
      <w:color w:val="000000" w:themeColor="text1"/>
    </w:rPr>
    <w:tblPr>
      <w:tblStyleRowBandSize w:val="1"/>
      <w:tblStyleColBandSize w:val="1"/>
      <w:tblBorders>
        <w:top w:val="single" w:sz="8" w:space="0" w:color="4F81BD" w:themeColor="accent1"/>
        <w:bottom w:val="single" w:sz="8" w:space="0" w:color="4F81BD" w:themeColor="accent1"/>
      </w:tblBorders>
    </w:tblPr>
    <w:tblStylePr w:type="firstRow">
      <w:rPr>
        <w:rFonts w:asciiTheme="majorHAnsi" w:eastAsiaTheme="majorEastAsia" w:hAnsiTheme="majorHAnsi" w:cstheme="majorBidi"/>
      </w:rPr>
      <w:tblPr/>
      <w:tcPr>
        <w:tcBorders>
          <w:top w:val="nil"/>
          <w:bottom w:val="single" w:sz="8" w:space="0" w:color="4F81BD" w:themeColor="accent1"/>
        </w:tcBorders>
      </w:tcPr>
    </w:tblStylePr>
    <w:tblStylePr w:type="lastRow">
      <w:rPr>
        <w:b/>
        <w:bCs/>
        <w:color w:val="1F497D" w:themeColor="text2"/>
      </w:rPr>
      <w:tblPr/>
      <w:tcPr>
        <w:tcBorders>
          <w:top w:val="single" w:sz="8" w:space="0" w:color="4F81BD" w:themeColor="accent1"/>
          <w:bottom w:val="single" w:sz="8" w:space="0" w:color="4F81BD" w:themeColor="accent1"/>
        </w:tcBorders>
      </w:tcPr>
    </w:tblStylePr>
    <w:tblStylePr w:type="firstCol">
      <w:rPr>
        <w:b/>
        <w:bCs/>
      </w:rPr>
    </w:tblStylePr>
    <w:tblStylePr w:type="lastCol">
      <w:rPr>
        <w:b/>
        <w:bCs/>
      </w:rPr>
      <w:tblPr/>
      <w:tcPr>
        <w:tcBorders>
          <w:top w:val="single" w:sz="8" w:space="0" w:color="4F81BD" w:themeColor="accent1"/>
          <w:bottom w:val="single" w:sz="8" w:space="0" w:color="4F81BD" w:themeColor="accent1"/>
        </w:tcBorders>
      </w:tcPr>
    </w:tblStylePr>
    <w:tblStylePr w:type="band1Vert">
      <w:tblPr/>
      <w:tcPr>
        <w:shd w:val="clear" w:color="auto" w:fill="D3DFEE" w:themeFill="accent1" w:themeFillTint="3F"/>
      </w:tcPr>
    </w:tblStylePr>
    <w:tblStylePr w:type="band1Horz">
      <w:tblPr/>
      <w:tcPr>
        <w:shd w:val="clear" w:color="auto" w:fill="D3DFEE" w:themeFill="accent1" w:themeFillTint="3F"/>
      </w:tcPr>
    </w:tblStylePr>
  </w:style>
  <w:style w:type="table" w:styleId="MediumList1-Accent2">
    <w:name w:val="Medium List 1 Accent 2"/>
    <w:basedOn w:val="TableNormal"/>
    <w:uiPriority w:val="65"/>
    <w:rsid w:val="00CB0664"/>
    <w:pPr>
      <w:spacing w:after="0" w:line="240" w:lineRule="auto"/>
    </w:pPr>
    <w:rPr>
      <w:color w:val="000000" w:themeColor="text1"/>
    </w:rPr>
    <w:tblPr>
      <w:tblStyleRowBandSize w:val="1"/>
      <w:tblStyleColBandSize w:val="1"/>
      <w:tblBorders>
        <w:top w:val="single" w:sz="8" w:space="0" w:color="C0504D" w:themeColor="accent2"/>
        <w:bottom w:val="single" w:sz="8" w:space="0" w:color="C0504D" w:themeColor="accent2"/>
      </w:tblBorders>
    </w:tblPr>
    <w:tblStylePr w:type="firstRow">
      <w:rPr>
        <w:rFonts w:asciiTheme="majorHAnsi" w:eastAsiaTheme="majorEastAsia" w:hAnsiTheme="majorHAnsi" w:cstheme="majorBidi"/>
      </w:rPr>
      <w:tblPr/>
      <w:tcPr>
        <w:tcBorders>
          <w:top w:val="nil"/>
          <w:bottom w:val="single" w:sz="8" w:space="0" w:color="C0504D" w:themeColor="accent2"/>
        </w:tcBorders>
      </w:tcPr>
    </w:tblStylePr>
    <w:tblStylePr w:type="lastRow">
      <w:rPr>
        <w:b/>
        <w:bCs/>
        <w:color w:val="1F497D" w:themeColor="text2"/>
      </w:rPr>
      <w:tblPr/>
      <w:tcPr>
        <w:tcBorders>
          <w:top w:val="single" w:sz="8" w:space="0" w:color="C0504D" w:themeColor="accent2"/>
          <w:bottom w:val="single" w:sz="8" w:space="0" w:color="C0504D" w:themeColor="accent2"/>
        </w:tcBorders>
      </w:tcPr>
    </w:tblStylePr>
    <w:tblStylePr w:type="firstCol">
      <w:rPr>
        <w:b/>
        <w:bCs/>
      </w:rPr>
    </w:tblStylePr>
    <w:tblStylePr w:type="lastCol">
      <w:rPr>
        <w:b/>
        <w:bCs/>
      </w:rPr>
      <w:tblPr/>
      <w:tcPr>
        <w:tcBorders>
          <w:top w:val="single" w:sz="8" w:space="0" w:color="C0504D" w:themeColor="accent2"/>
          <w:bottom w:val="single" w:sz="8" w:space="0" w:color="C0504D" w:themeColor="accent2"/>
        </w:tcBorders>
      </w:tcPr>
    </w:tblStylePr>
    <w:tblStylePr w:type="band1Vert">
      <w:tblPr/>
      <w:tcPr>
        <w:shd w:val="clear" w:color="auto" w:fill="EFD3D2" w:themeFill="accent2" w:themeFillTint="3F"/>
      </w:tcPr>
    </w:tblStylePr>
    <w:tblStylePr w:type="band1Horz">
      <w:tblPr/>
      <w:tcPr>
        <w:shd w:val="clear" w:color="auto" w:fill="EFD3D2" w:themeFill="accent2" w:themeFillTint="3F"/>
      </w:tcPr>
    </w:tblStylePr>
  </w:style>
  <w:style w:type="table" w:styleId="MediumList1-Accent3">
    <w:name w:val="Medium List 1 Accent 3"/>
    <w:basedOn w:val="TableNormal"/>
    <w:uiPriority w:val="65"/>
    <w:rsid w:val="00CB0664"/>
    <w:pPr>
      <w:spacing w:after="0" w:line="240" w:lineRule="auto"/>
    </w:pPr>
    <w:rPr>
      <w:color w:val="000000" w:themeColor="text1"/>
    </w:rPr>
    <w:tblPr>
      <w:tblStyleRowBandSize w:val="1"/>
      <w:tblStyleColBandSize w:val="1"/>
      <w:tblBorders>
        <w:top w:val="single" w:sz="8" w:space="0" w:color="9BBB59" w:themeColor="accent3"/>
        <w:bottom w:val="single" w:sz="8" w:space="0" w:color="9BBB59" w:themeColor="accent3"/>
      </w:tblBorders>
    </w:tblPr>
    <w:tblStylePr w:type="firstRow">
      <w:rPr>
        <w:rFonts w:asciiTheme="majorHAnsi" w:eastAsiaTheme="majorEastAsia" w:hAnsiTheme="majorHAnsi" w:cstheme="majorBidi"/>
      </w:rPr>
      <w:tblPr/>
      <w:tcPr>
        <w:tcBorders>
          <w:top w:val="nil"/>
          <w:bottom w:val="single" w:sz="8" w:space="0" w:color="9BBB59" w:themeColor="accent3"/>
        </w:tcBorders>
      </w:tcPr>
    </w:tblStylePr>
    <w:tblStylePr w:type="lastRow">
      <w:rPr>
        <w:b/>
        <w:bCs/>
        <w:color w:val="1F497D" w:themeColor="text2"/>
      </w:rPr>
      <w:tblPr/>
      <w:tcPr>
        <w:tcBorders>
          <w:top w:val="single" w:sz="8" w:space="0" w:color="9BBB59" w:themeColor="accent3"/>
          <w:bottom w:val="single" w:sz="8" w:space="0" w:color="9BBB59" w:themeColor="accent3"/>
        </w:tcBorders>
      </w:tcPr>
    </w:tblStylePr>
    <w:tblStylePr w:type="firstCol">
      <w:rPr>
        <w:b/>
        <w:bCs/>
      </w:rPr>
    </w:tblStylePr>
    <w:tblStylePr w:type="lastCol">
      <w:rPr>
        <w:b/>
        <w:bCs/>
      </w:rPr>
      <w:tblPr/>
      <w:tcPr>
        <w:tcBorders>
          <w:top w:val="single" w:sz="8" w:space="0" w:color="9BBB59" w:themeColor="accent3"/>
          <w:bottom w:val="single" w:sz="8" w:space="0" w:color="9BBB59" w:themeColor="accent3"/>
        </w:tcBorders>
      </w:tcPr>
    </w:tblStylePr>
    <w:tblStylePr w:type="band1Vert">
      <w:tblPr/>
      <w:tcPr>
        <w:shd w:val="clear" w:color="auto" w:fill="E6EED5" w:themeFill="accent3" w:themeFillTint="3F"/>
      </w:tcPr>
    </w:tblStylePr>
    <w:tblStylePr w:type="band1Horz">
      <w:tblPr/>
      <w:tcPr>
        <w:shd w:val="clear" w:color="auto" w:fill="E6EED5" w:themeFill="accent3" w:themeFillTint="3F"/>
      </w:tcPr>
    </w:tblStylePr>
  </w:style>
  <w:style w:type="table" w:styleId="MediumList1-Accent4">
    <w:name w:val="Medium List 1 Accent 4"/>
    <w:basedOn w:val="TableNormal"/>
    <w:uiPriority w:val="65"/>
    <w:rsid w:val="00CB0664"/>
    <w:pPr>
      <w:spacing w:after="0" w:line="240" w:lineRule="auto"/>
    </w:pPr>
    <w:rPr>
      <w:color w:val="000000" w:themeColor="text1"/>
    </w:rPr>
    <w:tblPr>
      <w:tblStyleRowBandSize w:val="1"/>
      <w:tblStyleColBandSize w:val="1"/>
      <w:tblBorders>
        <w:top w:val="single" w:sz="8" w:space="0" w:color="8064A2" w:themeColor="accent4"/>
        <w:bottom w:val="single" w:sz="8" w:space="0" w:color="8064A2" w:themeColor="accent4"/>
      </w:tblBorders>
    </w:tblPr>
    <w:tblStylePr w:type="firstRow">
      <w:rPr>
        <w:rFonts w:asciiTheme="majorHAnsi" w:eastAsiaTheme="majorEastAsia" w:hAnsiTheme="majorHAnsi" w:cstheme="majorBidi"/>
      </w:rPr>
      <w:tblPr/>
      <w:tcPr>
        <w:tcBorders>
          <w:top w:val="nil"/>
          <w:bottom w:val="single" w:sz="8" w:space="0" w:color="8064A2" w:themeColor="accent4"/>
        </w:tcBorders>
      </w:tcPr>
    </w:tblStylePr>
    <w:tblStylePr w:type="lastRow">
      <w:rPr>
        <w:b/>
        <w:bCs/>
        <w:color w:val="1F497D" w:themeColor="text2"/>
      </w:rPr>
      <w:tblPr/>
      <w:tcPr>
        <w:tcBorders>
          <w:top w:val="single" w:sz="8" w:space="0" w:color="8064A2" w:themeColor="accent4"/>
          <w:bottom w:val="single" w:sz="8" w:space="0" w:color="8064A2" w:themeColor="accent4"/>
        </w:tcBorders>
      </w:tcPr>
    </w:tblStylePr>
    <w:tblStylePr w:type="firstCol">
      <w:rPr>
        <w:b/>
        <w:bCs/>
      </w:rPr>
    </w:tblStylePr>
    <w:tblStylePr w:type="lastCol">
      <w:rPr>
        <w:b/>
        <w:bCs/>
      </w:rPr>
      <w:tblPr/>
      <w:tcPr>
        <w:tcBorders>
          <w:top w:val="single" w:sz="8" w:space="0" w:color="8064A2" w:themeColor="accent4"/>
          <w:bottom w:val="single" w:sz="8" w:space="0" w:color="8064A2" w:themeColor="accent4"/>
        </w:tcBorders>
      </w:tcPr>
    </w:tblStylePr>
    <w:tblStylePr w:type="band1Vert">
      <w:tblPr/>
      <w:tcPr>
        <w:shd w:val="clear" w:color="auto" w:fill="DFD8E8" w:themeFill="accent4" w:themeFillTint="3F"/>
      </w:tcPr>
    </w:tblStylePr>
    <w:tblStylePr w:type="band1Horz">
      <w:tblPr/>
      <w:tcPr>
        <w:shd w:val="clear" w:color="auto" w:fill="DFD8E8" w:themeFill="accent4" w:themeFillTint="3F"/>
      </w:tcPr>
    </w:tblStylePr>
  </w:style>
  <w:style w:type="table" w:styleId="MediumList1-Accent5">
    <w:name w:val="Medium List 1 Accent 5"/>
    <w:basedOn w:val="TableNormal"/>
    <w:uiPriority w:val="65"/>
    <w:rsid w:val="00CB0664"/>
    <w:pPr>
      <w:spacing w:after="0" w:line="240" w:lineRule="auto"/>
    </w:pPr>
    <w:rPr>
      <w:color w:val="000000" w:themeColor="text1"/>
    </w:rPr>
    <w:tblPr>
      <w:tblStyleRowBandSize w:val="1"/>
      <w:tblStyleColBandSize w:val="1"/>
      <w:tblBorders>
        <w:top w:val="single" w:sz="8" w:space="0" w:color="4BACC6" w:themeColor="accent5"/>
        <w:bottom w:val="single" w:sz="8" w:space="0" w:color="4BACC6" w:themeColor="accent5"/>
      </w:tblBorders>
    </w:tblPr>
    <w:tblStylePr w:type="firstRow">
      <w:rPr>
        <w:rFonts w:asciiTheme="majorHAnsi" w:eastAsiaTheme="majorEastAsia" w:hAnsiTheme="majorHAnsi" w:cstheme="majorBidi"/>
      </w:rPr>
      <w:tblPr/>
      <w:tcPr>
        <w:tcBorders>
          <w:top w:val="nil"/>
          <w:bottom w:val="single" w:sz="8" w:space="0" w:color="4BACC6" w:themeColor="accent5"/>
        </w:tcBorders>
      </w:tcPr>
    </w:tblStylePr>
    <w:tblStylePr w:type="lastRow">
      <w:rPr>
        <w:b/>
        <w:bCs/>
        <w:color w:val="1F497D" w:themeColor="text2"/>
      </w:rPr>
      <w:tblPr/>
      <w:tcPr>
        <w:tcBorders>
          <w:top w:val="single" w:sz="8" w:space="0" w:color="4BACC6" w:themeColor="accent5"/>
          <w:bottom w:val="single" w:sz="8" w:space="0" w:color="4BACC6" w:themeColor="accent5"/>
        </w:tcBorders>
      </w:tcPr>
    </w:tblStylePr>
    <w:tblStylePr w:type="firstCol">
      <w:rPr>
        <w:b/>
        <w:bCs/>
      </w:rPr>
    </w:tblStylePr>
    <w:tblStylePr w:type="lastCol">
      <w:rPr>
        <w:b/>
        <w:bCs/>
      </w:rPr>
      <w:tblPr/>
      <w:tcPr>
        <w:tcBorders>
          <w:top w:val="single" w:sz="8" w:space="0" w:color="4BACC6" w:themeColor="accent5"/>
          <w:bottom w:val="single" w:sz="8" w:space="0" w:color="4BACC6" w:themeColor="accent5"/>
        </w:tcBorders>
      </w:tcPr>
    </w:tblStylePr>
    <w:tblStylePr w:type="band1Vert">
      <w:tblPr/>
      <w:tcPr>
        <w:shd w:val="clear" w:color="auto" w:fill="D2EAF1" w:themeFill="accent5" w:themeFillTint="3F"/>
      </w:tcPr>
    </w:tblStylePr>
    <w:tblStylePr w:type="band1Horz">
      <w:tblPr/>
      <w:tcPr>
        <w:shd w:val="clear" w:color="auto" w:fill="D2EAF1" w:themeFill="accent5" w:themeFillTint="3F"/>
      </w:tcPr>
    </w:tblStylePr>
  </w:style>
  <w:style w:type="table" w:styleId="MediumList1-Accent6">
    <w:name w:val="Medium List 1 Accent 6"/>
    <w:basedOn w:val="TableNormal"/>
    <w:uiPriority w:val="65"/>
    <w:rsid w:val="00CB0664"/>
    <w:pPr>
      <w:spacing w:after="0" w:line="240" w:lineRule="auto"/>
    </w:pPr>
    <w:rPr>
      <w:color w:val="000000" w:themeColor="text1"/>
    </w:rPr>
    <w:tblPr>
      <w:tblStyleRowBandSize w:val="1"/>
      <w:tblStyleColBandSize w:val="1"/>
      <w:tblBorders>
        <w:top w:val="single" w:sz="8" w:space="0" w:color="F79646" w:themeColor="accent6"/>
        <w:bottom w:val="single" w:sz="8" w:space="0" w:color="F79646" w:themeColor="accent6"/>
      </w:tblBorders>
    </w:tblPr>
    <w:tblStylePr w:type="firstRow">
      <w:rPr>
        <w:rFonts w:asciiTheme="majorHAnsi" w:eastAsiaTheme="majorEastAsia" w:hAnsiTheme="majorHAnsi" w:cstheme="majorBidi"/>
      </w:rPr>
      <w:tblPr/>
      <w:tcPr>
        <w:tcBorders>
          <w:top w:val="nil"/>
          <w:bottom w:val="single" w:sz="8" w:space="0" w:color="F79646" w:themeColor="accent6"/>
        </w:tcBorders>
      </w:tcPr>
    </w:tblStylePr>
    <w:tblStylePr w:type="lastRow">
      <w:rPr>
        <w:b/>
        <w:bCs/>
        <w:color w:val="1F497D" w:themeColor="text2"/>
      </w:rPr>
      <w:tblPr/>
      <w:tcPr>
        <w:tcBorders>
          <w:top w:val="single" w:sz="8" w:space="0" w:color="F79646" w:themeColor="accent6"/>
          <w:bottom w:val="single" w:sz="8" w:space="0" w:color="F79646" w:themeColor="accent6"/>
        </w:tcBorders>
      </w:tcPr>
    </w:tblStylePr>
    <w:tblStylePr w:type="firstCol">
      <w:rPr>
        <w:b/>
        <w:bCs/>
      </w:rPr>
    </w:tblStylePr>
    <w:tblStylePr w:type="lastCol">
      <w:rPr>
        <w:b/>
        <w:bCs/>
      </w:rPr>
      <w:tblPr/>
      <w:tcPr>
        <w:tcBorders>
          <w:top w:val="single" w:sz="8" w:space="0" w:color="F79646" w:themeColor="accent6"/>
          <w:bottom w:val="single" w:sz="8" w:space="0" w:color="F79646" w:themeColor="accent6"/>
        </w:tcBorders>
      </w:tcPr>
    </w:tblStylePr>
    <w:tblStylePr w:type="band1Vert">
      <w:tblPr/>
      <w:tcPr>
        <w:shd w:val="clear" w:color="auto" w:fill="FDE4D0" w:themeFill="accent6" w:themeFillTint="3F"/>
      </w:tcPr>
    </w:tblStylePr>
    <w:tblStylePr w:type="band1Horz">
      <w:tblPr/>
      <w:tcPr>
        <w:shd w:val="clear" w:color="auto" w:fill="FDE4D0" w:themeFill="accent6" w:themeFillTint="3F"/>
      </w:tcPr>
    </w:tblStylePr>
  </w:style>
  <w:style w:type="table" w:styleId="MediumList2">
    <w:name w:val="Medium Lis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rPr>
        <w:sz w:val="24"/>
        <w:szCs w:val="24"/>
      </w:rPr>
      <w:tblPr/>
      <w:tcPr>
        <w:tcBorders>
          <w:top w:val="nil"/>
          <w:left w:val="nil"/>
          <w:bottom w:val="single" w:sz="24" w:space="0" w:color="000000" w:themeColor="text1"/>
          <w:right w:val="nil"/>
          <w:insideH w:val="nil"/>
          <w:insideV w:val="nil"/>
        </w:tcBorders>
        <w:shd w:val="clear" w:color="auto" w:fill="FFFFFF" w:themeFill="background1"/>
      </w:tcPr>
    </w:tblStylePr>
    <w:tblStylePr w:type="lastRow">
      <w:tblPr/>
      <w:tcPr>
        <w:tcBorders>
          <w:top w:val="single" w:sz="8" w:space="0" w:color="000000" w:themeColor="tex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000000" w:themeColor="text1"/>
          <w:insideH w:val="nil"/>
          <w:insideV w:val="nil"/>
        </w:tcBorders>
        <w:shd w:val="clear" w:color="auto" w:fill="FFFFFF" w:themeFill="background1"/>
      </w:tcPr>
    </w:tblStylePr>
    <w:tblStylePr w:type="lastCol">
      <w:tblPr/>
      <w:tcPr>
        <w:tcBorders>
          <w:top w:val="nil"/>
          <w:left w:val="single" w:sz="8" w:space="0" w:color="000000" w:themeColor="tex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top w:val="nil"/>
          <w:bottom w:val="nil"/>
          <w:insideH w:val="nil"/>
          <w:insideV w:val="nil"/>
        </w:tcBorders>
        <w:shd w:val="clear" w:color="auto" w:fill="C0C0C0" w:themeFill="tex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1">
    <w:name w:val="Medium List 2 Accent 1"/>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rPr>
        <w:sz w:val="24"/>
        <w:szCs w:val="24"/>
      </w:rPr>
      <w:tblPr/>
      <w:tcPr>
        <w:tcBorders>
          <w:top w:val="nil"/>
          <w:left w:val="nil"/>
          <w:bottom w:val="single" w:sz="24" w:space="0" w:color="4F81BD" w:themeColor="accent1"/>
          <w:right w:val="nil"/>
          <w:insideH w:val="nil"/>
          <w:insideV w:val="nil"/>
        </w:tcBorders>
        <w:shd w:val="clear" w:color="auto" w:fill="FFFFFF" w:themeFill="background1"/>
      </w:tcPr>
    </w:tblStylePr>
    <w:tblStylePr w:type="lastRow">
      <w:tblPr/>
      <w:tcPr>
        <w:tcBorders>
          <w:top w:val="single" w:sz="8" w:space="0" w:color="4F81BD" w:themeColor="accen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F81BD" w:themeColor="accent1"/>
          <w:insideH w:val="nil"/>
          <w:insideV w:val="nil"/>
        </w:tcBorders>
        <w:shd w:val="clear" w:color="auto" w:fill="FFFFFF" w:themeFill="background1"/>
      </w:tcPr>
    </w:tblStylePr>
    <w:tblStylePr w:type="lastCol">
      <w:tblPr/>
      <w:tcPr>
        <w:tcBorders>
          <w:top w:val="nil"/>
          <w:left w:val="single" w:sz="8" w:space="0" w:color="4F81BD" w:themeColor="accen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top w:val="nil"/>
          <w:bottom w:val="nil"/>
          <w:insideH w:val="nil"/>
          <w:insideV w:val="nil"/>
        </w:tcBorders>
        <w:shd w:val="clear" w:color="auto" w:fill="D3DFEE" w:themeFill="accen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2">
    <w:name w:val="Medium List 2 Accen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rPr>
        <w:sz w:val="24"/>
        <w:szCs w:val="24"/>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tblPr/>
      <w:tcPr>
        <w:tcBorders>
          <w:top w:val="single" w:sz="8" w:space="0" w:color="C0504D" w:themeColor="accent2"/>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C0504D" w:themeColor="accent2"/>
          <w:insideH w:val="nil"/>
          <w:insideV w:val="nil"/>
        </w:tcBorders>
        <w:shd w:val="clear" w:color="auto" w:fill="FFFFFF" w:themeFill="background1"/>
      </w:tcPr>
    </w:tblStylePr>
    <w:tblStylePr w:type="lastCol">
      <w:tblPr/>
      <w:tcPr>
        <w:tcBorders>
          <w:top w:val="nil"/>
          <w:left w:val="single" w:sz="8" w:space="0" w:color="C0504D" w:themeColor="accent2"/>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top w:val="nil"/>
          <w:bottom w:val="nil"/>
          <w:insideH w:val="nil"/>
          <w:insideV w:val="nil"/>
        </w:tcBorders>
        <w:shd w:val="clear" w:color="auto" w:fill="EFD3D2" w:themeFill="accent2"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3">
    <w:name w:val="Medium List 2 Accent 3"/>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rPr>
        <w:sz w:val="24"/>
        <w:szCs w:val="24"/>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tblPr/>
      <w:tcPr>
        <w:tcBorders>
          <w:top w:val="single" w:sz="8" w:space="0" w:color="9BBB59" w:themeColor="accent3"/>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9BBB59" w:themeColor="accent3"/>
          <w:insideH w:val="nil"/>
          <w:insideV w:val="nil"/>
        </w:tcBorders>
        <w:shd w:val="clear" w:color="auto" w:fill="FFFFFF" w:themeFill="background1"/>
      </w:tcPr>
    </w:tblStylePr>
    <w:tblStylePr w:type="lastCol">
      <w:tblPr/>
      <w:tcPr>
        <w:tcBorders>
          <w:top w:val="nil"/>
          <w:left w:val="single" w:sz="8" w:space="0" w:color="9BBB59" w:themeColor="accent3"/>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top w:val="nil"/>
          <w:bottom w:val="nil"/>
          <w:insideH w:val="nil"/>
          <w:insideV w:val="nil"/>
        </w:tcBorders>
        <w:shd w:val="clear" w:color="auto" w:fill="E6EED5" w:themeFill="accent3"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4">
    <w:name w:val="Medium List 2 Accent 4"/>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rPr>
        <w:sz w:val="24"/>
        <w:szCs w:val="24"/>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tblPr/>
      <w:tcPr>
        <w:tcBorders>
          <w:top w:val="single" w:sz="8" w:space="0" w:color="8064A2" w:themeColor="accent4"/>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8064A2" w:themeColor="accent4"/>
          <w:insideH w:val="nil"/>
          <w:insideV w:val="nil"/>
        </w:tcBorders>
        <w:shd w:val="clear" w:color="auto" w:fill="FFFFFF" w:themeFill="background1"/>
      </w:tcPr>
    </w:tblStylePr>
    <w:tblStylePr w:type="lastCol">
      <w:tblPr/>
      <w:tcPr>
        <w:tcBorders>
          <w:top w:val="nil"/>
          <w:left w:val="single" w:sz="8" w:space="0" w:color="8064A2" w:themeColor="accent4"/>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top w:val="nil"/>
          <w:bottom w:val="nil"/>
          <w:insideH w:val="nil"/>
          <w:insideV w:val="nil"/>
        </w:tcBorders>
        <w:shd w:val="clear" w:color="auto" w:fill="DFD8E8" w:themeFill="accent4"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5">
    <w:name w:val="Medium List 2 Accent 5"/>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rPr>
        <w:sz w:val="24"/>
        <w:szCs w:val="24"/>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tblPr/>
      <w:tcPr>
        <w:tcBorders>
          <w:top w:val="single" w:sz="8" w:space="0" w:color="4BACC6" w:themeColor="accent5"/>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BACC6" w:themeColor="accent5"/>
          <w:insideH w:val="nil"/>
          <w:insideV w:val="nil"/>
        </w:tcBorders>
        <w:shd w:val="clear" w:color="auto" w:fill="FFFFFF" w:themeFill="background1"/>
      </w:tcPr>
    </w:tblStylePr>
    <w:tblStylePr w:type="lastCol">
      <w:tblPr/>
      <w:tcPr>
        <w:tcBorders>
          <w:top w:val="nil"/>
          <w:left w:val="single" w:sz="8" w:space="0" w:color="4BACC6" w:themeColor="accent5"/>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top w:val="nil"/>
          <w:bottom w:val="nil"/>
          <w:insideH w:val="nil"/>
          <w:insideV w:val="nil"/>
        </w:tcBorders>
        <w:shd w:val="clear" w:color="auto" w:fill="D2EAF1" w:themeFill="accent5"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6">
    <w:name w:val="Medium List 2 Accent 6"/>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rPr>
        <w:sz w:val="24"/>
        <w:szCs w:val="24"/>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tblPr/>
      <w:tcPr>
        <w:tcBorders>
          <w:top w:val="single" w:sz="8" w:space="0" w:color="F79646" w:themeColor="accent6"/>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F79646" w:themeColor="accent6"/>
          <w:insideH w:val="nil"/>
          <w:insideV w:val="nil"/>
        </w:tcBorders>
        <w:shd w:val="clear" w:color="auto" w:fill="FFFFFF" w:themeFill="background1"/>
      </w:tcPr>
    </w:tblStylePr>
    <w:tblStylePr w:type="lastCol">
      <w:tblPr/>
      <w:tcPr>
        <w:tcBorders>
          <w:top w:val="nil"/>
          <w:left w:val="single" w:sz="8" w:space="0" w:color="F79646" w:themeColor="accent6"/>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top w:val="nil"/>
          <w:bottom w:val="nil"/>
          <w:insideH w:val="nil"/>
          <w:insideV w:val="nil"/>
        </w:tcBorders>
        <w:shd w:val="clear" w:color="auto" w:fill="FDE4D0" w:themeFill="accent6"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Grid1">
    <w:name w:val="Medium Grid 1"/>
    <w:basedOn w:val="TableNormal"/>
    <w:uiPriority w:val="67"/>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insideV w:val="single" w:sz="8" w:space="0" w:color="404040" w:themeColor="text1" w:themeTint="BF"/>
      </w:tblBorders>
    </w:tblPr>
    <w:tcPr>
      <w:shd w:val="clear" w:color="auto" w:fill="C0C0C0" w:themeFill="text1" w:themeFillTint="3F"/>
    </w:tcPr>
    <w:tblStylePr w:type="firstRow">
      <w:rPr>
        <w:b/>
        <w:bCs/>
      </w:rPr>
    </w:tblStylePr>
    <w:tblStylePr w:type="lastRow">
      <w:rPr>
        <w:b/>
        <w:bCs/>
      </w:rPr>
      <w:tblPr/>
      <w:tcPr>
        <w:tcBorders>
          <w:top w:val="single" w:sz="18" w:space="0" w:color="404040" w:themeColor="text1" w:themeTint="BF"/>
        </w:tcBorders>
      </w:tcPr>
    </w:tblStylePr>
    <w:tblStylePr w:type="firstCol">
      <w:rPr>
        <w:b/>
        <w:bCs/>
      </w:rPr>
    </w:tblStylePr>
    <w:tblStylePr w:type="lastCol">
      <w:rPr>
        <w:b/>
        <w:bCs/>
      </w:r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MediumGrid1-Accent1">
    <w:name w:val="Medium Grid 1 Accent 1"/>
    <w:basedOn w:val="TableNormal"/>
    <w:uiPriority w:val="67"/>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insideV w:val="single" w:sz="8" w:space="0" w:color="7BA0CD" w:themeColor="accent1" w:themeTint="BF"/>
      </w:tblBorders>
    </w:tblPr>
    <w:tcPr>
      <w:shd w:val="clear" w:color="auto" w:fill="D3DFEE" w:themeFill="accent1" w:themeFillTint="3F"/>
    </w:tcPr>
    <w:tblStylePr w:type="firstRow">
      <w:rPr>
        <w:b/>
        <w:bCs/>
      </w:rPr>
    </w:tblStylePr>
    <w:tblStylePr w:type="lastRow">
      <w:rPr>
        <w:b/>
        <w:bCs/>
      </w:rPr>
      <w:tblPr/>
      <w:tcPr>
        <w:tcBorders>
          <w:top w:val="single" w:sz="18" w:space="0" w:color="7BA0CD" w:themeColor="accent1" w:themeTint="BF"/>
        </w:tcBorders>
      </w:tcPr>
    </w:tblStylePr>
    <w:tblStylePr w:type="firstCol">
      <w:rPr>
        <w:b/>
        <w:bCs/>
      </w:rPr>
    </w:tblStylePr>
    <w:tblStylePr w:type="lastCol">
      <w:rPr>
        <w:b/>
        <w:bCs/>
      </w:r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MediumGrid1-Accent2">
    <w:name w:val="Medium Grid 1 Accent 2"/>
    <w:basedOn w:val="TableNormal"/>
    <w:uiPriority w:val="67"/>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insideV w:val="single" w:sz="8" w:space="0" w:color="CF7B79" w:themeColor="accent2" w:themeTint="BF"/>
      </w:tblBorders>
    </w:tblPr>
    <w:tcPr>
      <w:shd w:val="clear" w:color="auto" w:fill="EFD3D2" w:themeFill="accent2" w:themeFillTint="3F"/>
    </w:tcPr>
    <w:tblStylePr w:type="firstRow">
      <w:rPr>
        <w:b/>
        <w:bCs/>
      </w:rPr>
    </w:tblStylePr>
    <w:tblStylePr w:type="lastRow">
      <w:rPr>
        <w:b/>
        <w:bCs/>
      </w:rPr>
      <w:tblPr/>
      <w:tcPr>
        <w:tcBorders>
          <w:top w:val="single" w:sz="18" w:space="0" w:color="CF7B79" w:themeColor="accent2" w:themeTint="BF"/>
        </w:tcBorders>
      </w:tcPr>
    </w:tblStylePr>
    <w:tblStylePr w:type="firstCol">
      <w:rPr>
        <w:b/>
        <w:bCs/>
      </w:rPr>
    </w:tblStylePr>
    <w:tblStylePr w:type="lastCol">
      <w:rPr>
        <w:b/>
        <w:bCs/>
      </w:r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MediumGrid1-Accent3">
    <w:name w:val="Medium Grid 1 Accent 3"/>
    <w:basedOn w:val="TableNormal"/>
    <w:uiPriority w:val="67"/>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insideV w:val="single" w:sz="8" w:space="0" w:color="B3CC82" w:themeColor="accent3" w:themeTint="BF"/>
      </w:tblBorders>
    </w:tblPr>
    <w:tcPr>
      <w:shd w:val="clear" w:color="auto" w:fill="E6EED5" w:themeFill="accent3" w:themeFillTint="3F"/>
    </w:tcPr>
    <w:tblStylePr w:type="firstRow">
      <w:rPr>
        <w:b/>
        <w:bCs/>
      </w:rPr>
    </w:tblStylePr>
    <w:tblStylePr w:type="lastRow">
      <w:rPr>
        <w:b/>
        <w:bCs/>
      </w:rPr>
      <w:tblPr/>
      <w:tcPr>
        <w:tcBorders>
          <w:top w:val="single" w:sz="18" w:space="0" w:color="B3CC82" w:themeColor="accent3" w:themeTint="BF"/>
        </w:tcBorders>
      </w:tcPr>
    </w:tblStylePr>
    <w:tblStylePr w:type="firstCol">
      <w:rPr>
        <w:b/>
        <w:bCs/>
      </w:rPr>
    </w:tblStylePr>
    <w:tblStylePr w:type="lastCol">
      <w:rPr>
        <w:b/>
        <w:bCs/>
      </w:r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MediumGrid1-Accent4">
    <w:name w:val="Medium Grid 1 Accent 4"/>
    <w:basedOn w:val="TableNormal"/>
    <w:uiPriority w:val="67"/>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insideV w:val="single" w:sz="8" w:space="0" w:color="9F8AB9" w:themeColor="accent4" w:themeTint="BF"/>
      </w:tblBorders>
    </w:tblPr>
    <w:tcPr>
      <w:shd w:val="clear" w:color="auto" w:fill="DFD8E8" w:themeFill="accent4" w:themeFillTint="3F"/>
    </w:tcPr>
    <w:tblStylePr w:type="firstRow">
      <w:rPr>
        <w:b/>
        <w:bCs/>
      </w:rPr>
    </w:tblStylePr>
    <w:tblStylePr w:type="lastRow">
      <w:rPr>
        <w:b/>
        <w:bCs/>
      </w:rPr>
      <w:tblPr/>
      <w:tcPr>
        <w:tcBorders>
          <w:top w:val="single" w:sz="18" w:space="0" w:color="9F8AB9" w:themeColor="accent4" w:themeTint="BF"/>
        </w:tcBorders>
      </w:tcPr>
    </w:tblStylePr>
    <w:tblStylePr w:type="firstCol">
      <w:rPr>
        <w:b/>
        <w:bCs/>
      </w:rPr>
    </w:tblStylePr>
    <w:tblStylePr w:type="lastCol">
      <w:rPr>
        <w:b/>
        <w:bCs/>
      </w:r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MediumGrid1-Accent5">
    <w:name w:val="Medium Grid 1 Accent 5"/>
    <w:basedOn w:val="TableNormal"/>
    <w:uiPriority w:val="67"/>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insideV w:val="single" w:sz="8" w:space="0" w:color="78C0D4" w:themeColor="accent5" w:themeTint="BF"/>
      </w:tblBorders>
    </w:tblPr>
    <w:tcPr>
      <w:shd w:val="clear" w:color="auto" w:fill="D2EAF1" w:themeFill="accent5" w:themeFillTint="3F"/>
    </w:tcPr>
    <w:tblStylePr w:type="firstRow">
      <w:rPr>
        <w:b/>
        <w:bCs/>
      </w:rPr>
    </w:tblStylePr>
    <w:tblStylePr w:type="lastRow">
      <w:rPr>
        <w:b/>
        <w:bCs/>
      </w:rPr>
      <w:tblPr/>
      <w:tcPr>
        <w:tcBorders>
          <w:top w:val="single" w:sz="18" w:space="0" w:color="78C0D4" w:themeColor="accent5" w:themeTint="BF"/>
        </w:tcBorders>
      </w:tcPr>
    </w:tblStylePr>
    <w:tblStylePr w:type="firstCol">
      <w:rPr>
        <w:b/>
        <w:bCs/>
      </w:rPr>
    </w:tblStylePr>
    <w:tblStylePr w:type="lastCol">
      <w:rPr>
        <w:b/>
        <w:bCs/>
      </w:r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MediumGrid1-Accent6">
    <w:name w:val="Medium Grid 1 Accent 6"/>
    <w:basedOn w:val="TableNormal"/>
    <w:uiPriority w:val="67"/>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insideV w:val="single" w:sz="8" w:space="0" w:color="F9B074" w:themeColor="accent6" w:themeTint="BF"/>
      </w:tblBorders>
    </w:tblPr>
    <w:tcPr>
      <w:shd w:val="clear" w:color="auto" w:fill="FDE4D0" w:themeFill="accent6" w:themeFillTint="3F"/>
    </w:tcPr>
    <w:tblStylePr w:type="firstRow">
      <w:rPr>
        <w:b/>
        <w:bCs/>
      </w:rPr>
    </w:tblStylePr>
    <w:tblStylePr w:type="lastRow">
      <w:rPr>
        <w:b/>
        <w:bCs/>
      </w:rPr>
      <w:tblPr/>
      <w:tcPr>
        <w:tcBorders>
          <w:top w:val="single" w:sz="18" w:space="0" w:color="F9B074" w:themeColor="accent6" w:themeTint="BF"/>
        </w:tcBorders>
      </w:tcPr>
    </w:tblStylePr>
    <w:tblStylePr w:type="firstCol">
      <w:rPr>
        <w:b/>
        <w:bCs/>
      </w:rPr>
    </w:tblStylePr>
    <w:tblStylePr w:type="lastCol">
      <w:rPr>
        <w:b/>
        <w:bCs/>
      </w:r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table" w:styleId="MediumGrid2">
    <w:name w:val="Medium Grid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cPr>
      <w:shd w:val="clear" w:color="auto" w:fill="C0C0C0" w:themeFill="text1" w:themeFillTint="3F"/>
    </w:tcPr>
    <w:tblStylePr w:type="firstRow">
      <w:rPr>
        <w:b/>
        <w:bCs/>
        <w:color w:val="000000" w:themeColor="text1"/>
      </w:rPr>
      <w:tblPr/>
      <w:tcPr>
        <w:shd w:val="clear" w:color="auto" w:fill="E6E6E6" w:themeFill="tex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CCCCCC" w:themeFill="text1" w:themeFillTint="33"/>
      </w:tcPr>
    </w:tblStylePr>
    <w:tblStylePr w:type="band1Vert">
      <w:tblPr/>
      <w:tcPr>
        <w:shd w:val="clear" w:color="auto" w:fill="808080" w:themeFill="text1" w:themeFillTint="7F"/>
      </w:tcPr>
    </w:tblStylePr>
    <w:tblStylePr w:type="band1Horz">
      <w:tblPr/>
      <w:tcPr>
        <w:tcBorders>
          <w:insideH w:val="single" w:sz="6" w:space="0" w:color="000000" w:themeColor="text1"/>
          <w:insideV w:val="single" w:sz="6" w:space="0" w:color="000000" w:themeColor="text1"/>
        </w:tcBorders>
        <w:shd w:val="clear" w:color="auto" w:fill="808080" w:themeFill="text1" w:themeFillTint="7F"/>
      </w:tcPr>
    </w:tblStylePr>
    <w:tblStylePr w:type="nwCell">
      <w:tblPr/>
      <w:tcPr>
        <w:shd w:val="clear" w:color="auto" w:fill="FFFFFF" w:themeFill="background1"/>
      </w:tcPr>
    </w:tblStylePr>
  </w:style>
  <w:style w:type="table" w:styleId="MediumGrid2-Accent1">
    <w:name w:val="Medium Grid 2 Accent 1"/>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cPr>
      <w:shd w:val="clear" w:color="auto" w:fill="D3DFEE" w:themeFill="accent1" w:themeFillTint="3F"/>
    </w:tcPr>
    <w:tblStylePr w:type="firstRow">
      <w:rPr>
        <w:b/>
        <w:bCs/>
        <w:color w:val="000000" w:themeColor="text1"/>
      </w:rPr>
      <w:tblPr/>
      <w:tcPr>
        <w:shd w:val="clear" w:color="auto" w:fill="EDF2F8" w:themeFill="accen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BE5F1" w:themeFill="accent1" w:themeFillTint="33"/>
      </w:tcPr>
    </w:tblStylePr>
    <w:tblStylePr w:type="band1Vert">
      <w:tblPr/>
      <w:tcPr>
        <w:shd w:val="clear" w:color="auto" w:fill="A7BFDE" w:themeFill="accent1" w:themeFillTint="7F"/>
      </w:tcPr>
    </w:tblStylePr>
    <w:tblStylePr w:type="band1Horz">
      <w:tblPr/>
      <w:tcPr>
        <w:tcBorders>
          <w:insideH w:val="single" w:sz="6" w:space="0" w:color="4F81BD" w:themeColor="accent1"/>
          <w:insideV w:val="single" w:sz="6" w:space="0" w:color="4F81BD" w:themeColor="accent1"/>
        </w:tcBorders>
        <w:shd w:val="clear" w:color="auto" w:fill="A7BFDE" w:themeFill="accent1" w:themeFillTint="7F"/>
      </w:tcPr>
    </w:tblStylePr>
    <w:tblStylePr w:type="nwCell">
      <w:tblPr/>
      <w:tcPr>
        <w:shd w:val="clear" w:color="auto" w:fill="FFFFFF" w:themeFill="background1"/>
      </w:tcPr>
    </w:tblStylePr>
  </w:style>
  <w:style w:type="table" w:styleId="MediumGrid2-Accent2">
    <w:name w:val="Medium Grid 2 Accent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cPr>
      <w:shd w:val="clear" w:color="auto" w:fill="EFD3D2" w:themeFill="accent2" w:themeFillTint="3F"/>
    </w:tcPr>
    <w:tblStylePr w:type="firstRow">
      <w:rPr>
        <w:b/>
        <w:bCs/>
        <w:color w:val="000000" w:themeColor="text1"/>
      </w:rPr>
      <w:tblPr/>
      <w:tcPr>
        <w:shd w:val="clear" w:color="auto" w:fill="F8EDED" w:themeFill="accent2"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2DBDB" w:themeFill="accent2" w:themeFillTint="33"/>
      </w:tcPr>
    </w:tblStylePr>
    <w:tblStylePr w:type="band1Vert">
      <w:tblPr/>
      <w:tcPr>
        <w:shd w:val="clear" w:color="auto" w:fill="DFA7A6" w:themeFill="accent2" w:themeFillTint="7F"/>
      </w:tcPr>
    </w:tblStylePr>
    <w:tblStylePr w:type="band1Horz">
      <w:tblPr/>
      <w:tcPr>
        <w:tcBorders>
          <w:insideH w:val="single" w:sz="6" w:space="0" w:color="C0504D" w:themeColor="accent2"/>
          <w:insideV w:val="single" w:sz="6" w:space="0" w:color="C0504D" w:themeColor="accent2"/>
        </w:tcBorders>
        <w:shd w:val="clear" w:color="auto" w:fill="DFA7A6" w:themeFill="accent2" w:themeFillTint="7F"/>
      </w:tcPr>
    </w:tblStylePr>
    <w:tblStylePr w:type="nwCell">
      <w:tblPr/>
      <w:tcPr>
        <w:shd w:val="clear" w:color="auto" w:fill="FFFFFF" w:themeFill="background1"/>
      </w:tcPr>
    </w:tblStylePr>
  </w:style>
  <w:style w:type="table" w:styleId="MediumGrid2-Accent3">
    <w:name w:val="Medium Grid 2 Accent 3"/>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cPr>
      <w:shd w:val="clear" w:color="auto" w:fill="E6EED5" w:themeFill="accent3" w:themeFillTint="3F"/>
    </w:tcPr>
    <w:tblStylePr w:type="firstRow">
      <w:rPr>
        <w:b/>
        <w:bCs/>
        <w:color w:val="000000" w:themeColor="text1"/>
      </w:rPr>
      <w:tblPr/>
      <w:tcPr>
        <w:shd w:val="clear" w:color="auto" w:fill="F5F8EE" w:themeFill="accent3"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AF1DD" w:themeFill="accent3" w:themeFillTint="33"/>
      </w:tcPr>
    </w:tblStylePr>
    <w:tblStylePr w:type="band1Vert">
      <w:tblPr/>
      <w:tcPr>
        <w:shd w:val="clear" w:color="auto" w:fill="CDDDAC" w:themeFill="accent3" w:themeFillTint="7F"/>
      </w:tcPr>
    </w:tblStylePr>
    <w:tblStylePr w:type="band1Horz">
      <w:tblPr/>
      <w:tcPr>
        <w:tcBorders>
          <w:insideH w:val="single" w:sz="6" w:space="0" w:color="9BBB59" w:themeColor="accent3"/>
          <w:insideV w:val="single" w:sz="6" w:space="0" w:color="9BBB59" w:themeColor="accent3"/>
        </w:tcBorders>
        <w:shd w:val="clear" w:color="auto" w:fill="CDDDAC" w:themeFill="accent3" w:themeFillTint="7F"/>
      </w:tcPr>
    </w:tblStylePr>
    <w:tblStylePr w:type="nwCell">
      <w:tblPr/>
      <w:tcPr>
        <w:shd w:val="clear" w:color="auto" w:fill="FFFFFF" w:themeFill="background1"/>
      </w:tcPr>
    </w:tblStylePr>
  </w:style>
  <w:style w:type="table" w:styleId="MediumGrid2-Accent4">
    <w:name w:val="Medium Grid 2 Accent 4"/>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cPr>
      <w:shd w:val="clear" w:color="auto" w:fill="DFD8E8" w:themeFill="accent4" w:themeFillTint="3F"/>
    </w:tcPr>
    <w:tblStylePr w:type="firstRow">
      <w:rPr>
        <w:b/>
        <w:bCs/>
        <w:color w:val="000000" w:themeColor="text1"/>
      </w:rPr>
      <w:tblPr/>
      <w:tcPr>
        <w:shd w:val="clear" w:color="auto" w:fill="F2EFF6" w:themeFill="accent4"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5DFEC" w:themeFill="accent4" w:themeFillTint="33"/>
      </w:tcPr>
    </w:tblStylePr>
    <w:tblStylePr w:type="band1Vert">
      <w:tblPr/>
      <w:tcPr>
        <w:shd w:val="clear" w:color="auto" w:fill="BFB1D0" w:themeFill="accent4" w:themeFillTint="7F"/>
      </w:tcPr>
    </w:tblStylePr>
    <w:tblStylePr w:type="band1Horz">
      <w:tblPr/>
      <w:tcPr>
        <w:tcBorders>
          <w:insideH w:val="single" w:sz="6" w:space="0" w:color="8064A2" w:themeColor="accent4"/>
          <w:insideV w:val="single" w:sz="6" w:space="0" w:color="8064A2" w:themeColor="accent4"/>
        </w:tcBorders>
        <w:shd w:val="clear" w:color="auto" w:fill="BFB1D0" w:themeFill="accent4" w:themeFillTint="7F"/>
      </w:tcPr>
    </w:tblStylePr>
    <w:tblStylePr w:type="nwCell">
      <w:tblPr/>
      <w:tcPr>
        <w:shd w:val="clear" w:color="auto" w:fill="FFFFFF" w:themeFill="background1"/>
      </w:tcPr>
    </w:tblStylePr>
  </w:style>
  <w:style w:type="table" w:styleId="MediumGrid2-Accent5">
    <w:name w:val="Medium Grid 2 Accent 5"/>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cPr>
      <w:shd w:val="clear" w:color="auto" w:fill="D2EAF1" w:themeFill="accent5" w:themeFillTint="3F"/>
    </w:tcPr>
    <w:tblStylePr w:type="firstRow">
      <w:rPr>
        <w:b/>
        <w:bCs/>
        <w:color w:val="000000" w:themeColor="text1"/>
      </w:rPr>
      <w:tblPr/>
      <w:tcPr>
        <w:shd w:val="clear" w:color="auto" w:fill="EDF6F9" w:themeFill="accent5"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AEEF3" w:themeFill="accent5" w:themeFillTint="33"/>
      </w:tcPr>
    </w:tblStylePr>
    <w:tblStylePr w:type="band1Vert">
      <w:tblPr/>
      <w:tcPr>
        <w:shd w:val="clear" w:color="auto" w:fill="A5D5E2" w:themeFill="accent5" w:themeFillTint="7F"/>
      </w:tcPr>
    </w:tblStylePr>
    <w:tblStylePr w:type="band1Horz">
      <w:tblPr/>
      <w:tcPr>
        <w:tcBorders>
          <w:insideH w:val="single" w:sz="6" w:space="0" w:color="4BACC6" w:themeColor="accent5"/>
          <w:insideV w:val="single" w:sz="6" w:space="0" w:color="4BACC6" w:themeColor="accent5"/>
        </w:tcBorders>
        <w:shd w:val="clear" w:color="auto" w:fill="A5D5E2" w:themeFill="accent5" w:themeFillTint="7F"/>
      </w:tcPr>
    </w:tblStylePr>
    <w:tblStylePr w:type="nwCell">
      <w:tblPr/>
      <w:tcPr>
        <w:shd w:val="clear" w:color="auto" w:fill="FFFFFF" w:themeFill="background1"/>
      </w:tcPr>
    </w:tblStylePr>
  </w:style>
  <w:style w:type="table" w:styleId="MediumGrid2-Accent6">
    <w:name w:val="Medium Grid 2 Accent 6"/>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cPr>
      <w:shd w:val="clear" w:color="auto" w:fill="FDE4D0" w:themeFill="accent6" w:themeFillTint="3F"/>
    </w:tcPr>
    <w:tblStylePr w:type="firstRow">
      <w:rPr>
        <w:b/>
        <w:bCs/>
        <w:color w:val="000000" w:themeColor="text1"/>
      </w:rPr>
      <w:tblPr/>
      <w:tcPr>
        <w:shd w:val="clear" w:color="auto" w:fill="FEF4EC" w:themeFill="accent6"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DE9D9" w:themeFill="accent6" w:themeFillTint="33"/>
      </w:tcPr>
    </w:tblStylePr>
    <w:tblStylePr w:type="band1Vert">
      <w:tblPr/>
      <w:tcPr>
        <w:shd w:val="clear" w:color="auto" w:fill="FBCAA2" w:themeFill="accent6" w:themeFillTint="7F"/>
      </w:tcPr>
    </w:tblStylePr>
    <w:tblStylePr w:type="band1Horz">
      <w:tblPr/>
      <w:tcPr>
        <w:tcBorders>
          <w:insideH w:val="single" w:sz="6" w:space="0" w:color="F79646" w:themeColor="accent6"/>
          <w:insideV w:val="single" w:sz="6" w:space="0" w:color="F79646" w:themeColor="accent6"/>
        </w:tcBorders>
        <w:shd w:val="clear" w:color="auto" w:fill="FBCAA2" w:themeFill="accent6" w:themeFillTint="7F"/>
      </w:tcPr>
    </w:tblStylePr>
    <w:tblStylePr w:type="nwCell">
      <w:tblPr/>
      <w:tcPr>
        <w:shd w:val="clear" w:color="auto" w:fill="FFFFFF" w:themeFill="background1"/>
      </w:tcPr>
    </w:tblStylePr>
  </w:style>
  <w:style w:type="table" w:styleId="MediumGrid3">
    <w:name w:val="Medium Grid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C0C0C0" w:themeFill="tex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000000" w:themeFill="tex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000000" w:themeFill="tex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808080" w:themeFill="tex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808080" w:themeFill="text1" w:themeFillTint="7F"/>
      </w:tcPr>
    </w:tblStylePr>
  </w:style>
  <w:style w:type="table" w:styleId="MediumGrid3-Accent1">
    <w:name w:val="Medium Grid 3 Accent 1"/>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3DFEE" w:themeFill="accen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F81BD" w:themeFill="accen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F81BD" w:themeFill="accen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7BFDE" w:themeFill="accen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7BFDE" w:themeFill="accent1" w:themeFillTint="7F"/>
      </w:tcPr>
    </w:tblStylePr>
  </w:style>
  <w:style w:type="table" w:styleId="MediumGrid3-Accent2">
    <w:name w:val="Medium Grid 3 Accent 2"/>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FD3D2" w:themeFill="accent2"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C0504D" w:themeFill="accent2"/>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C0504D" w:themeFill="accent2"/>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DFA7A6" w:themeFill="accent2"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DFA7A6" w:themeFill="accent2" w:themeFillTint="7F"/>
      </w:tcPr>
    </w:tblStylePr>
  </w:style>
  <w:style w:type="table" w:styleId="MediumGrid3-Accent3">
    <w:name w:val="Medium Grid 3 Accent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6EED5" w:themeFill="accent3"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9BBB59" w:themeFill="accent3"/>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9BBB59" w:themeFill="accent3"/>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CDDDAC" w:themeFill="accent3"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CDDDAC" w:themeFill="accent3" w:themeFillTint="7F"/>
      </w:tcPr>
    </w:tblStylePr>
  </w:style>
  <w:style w:type="table" w:styleId="MediumGrid3-Accent4">
    <w:name w:val="Medium Grid 3 Accent 4"/>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FD8E8" w:themeFill="accent4"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8064A2" w:themeFill="accent4"/>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8064A2" w:themeFill="accent4"/>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BFB1D0" w:themeFill="accent4"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BFB1D0" w:themeFill="accent4" w:themeFillTint="7F"/>
      </w:tcPr>
    </w:tblStylePr>
  </w:style>
  <w:style w:type="table" w:styleId="MediumGrid3-Accent5">
    <w:name w:val="Medium Grid 3 Accent 5"/>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2EAF1" w:themeFill="accent5"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BACC6" w:themeFill="accent5"/>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BACC6" w:themeFill="accent5"/>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5D5E2" w:themeFill="accent5"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5D5E2" w:themeFill="accent5" w:themeFillTint="7F"/>
      </w:tcPr>
    </w:tblStylePr>
  </w:style>
  <w:style w:type="table" w:styleId="MediumGrid3-Accent6">
    <w:name w:val="Medium Grid 3 Accent 6"/>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FDE4D0" w:themeFill="accent6"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F79646" w:themeFill="accent6"/>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F79646" w:themeFill="accent6"/>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FBCAA2" w:themeFill="accent6"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FBCAA2" w:themeFill="accent6" w:themeFillTint="7F"/>
      </w:tcPr>
    </w:tblStylePr>
  </w:style>
  <w:style w:type="table" w:styleId="DarkList">
    <w:name w:val="Dark List"/>
    <w:basedOn w:val="TableNormal"/>
    <w:uiPriority w:val="70"/>
    <w:rsid w:val="00CB0664"/>
    <w:pPr>
      <w:spacing w:after="0" w:line="240" w:lineRule="auto"/>
    </w:pPr>
    <w:rPr>
      <w:color w:val="FFFFFF" w:themeColor="background1"/>
    </w:rPr>
    <w:tblPr>
      <w:tblStyleRowBandSize w:val="1"/>
      <w:tblStyleColBandSize w:val="1"/>
    </w:tblPr>
    <w:tcPr>
      <w:shd w:val="clear" w:color="auto" w:fill="000000" w:themeFill="tex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000000" w:themeFill="text1" w:themeFillShade="7F"/>
      </w:tcPr>
    </w:tblStylePr>
    <w:tblStylePr w:type="firstCol">
      <w:tblPr/>
      <w:tcPr>
        <w:tcBorders>
          <w:top w:val="nil"/>
          <w:left w:val="nil"/>
          <w:bottom w:val="nil"/>
          <w:right w:val="single" w:sz="18" w:space="0" w:color="FFFFFF" w:themeColor="background1"/>
          <w:insideH w:val="nil"/>
          <w:insideV w:val="nil"/>
        </w:tcBorders>
        <w:shd w:val="clear" w:color="auto" w:fill="000000" w:themeFill="text1" w:themeFillShade="BF"/>
      </w:tcPr>
    </w:tblStylePr>
    <w:tblStylePr w:type="lastCol">
      <w:tblPr/>
      <w:tcPr>
        <w:tcBorders>
          <w:top w:val="nil"/>
          <w:left w:val="single" w:sz="18" w:space="0" w:color="FFFFFF" w:themeColor="background1"/>
          <w:bottom w:val="nil"/>
          <w:right w:val="nil"/>
          <w:insideH w:val="nil"/>
          <w:insideV w:val="nil"/>
        </w:tcBorders>
        <w:shd w:val="clear" w:color="auto" w:fill="000000" w:themeFill="text1" w:themeFillShade="BF"/>
      </w:tcPr>
    </w:tblStylePr>
    <w:tblStylePr w:type="band1Vert">
      <w:tblPr/>
      <w:tcPr>
        <w:tcBorders>
          <w:top w:val="nil"/>
          <w:left w:val="nil"/>
          <w:bottom w:val="nil"/>
          <w:right w:val="nil"/>
          <w:insideH w:val="nil"/>
          <w:insideV w:val="nil"/>
        </w:tcBorders>
        <w:shd w:val="clear" w:color="auto" w:fill="000000" w:themeFill="text1" w:themeFillShade="BF"/>
      </w:tcPr>
    </w:tblStylePr>
    <w:tblStylePr w:type="band1Horz">
      <w:tblPr/>
      <w:tcPr>
        <w:tcBorders>
          <w:top w:val="nil"/>
          <w:left w:val="nil"/>
          <w:bottom w:val="nil"/>
          <w:right w:val="nil"/>
          <w:insideH w:val="nil"/>
          <w:insideV w:val="nil"/>
        </w:tcBorders>
        <w:shd w:val="clear" w:color="auto" w:fill="000000" w:themeFill="text1" w:themeFillShade="BF"/>
      </w:tcPr>
    </w:tblStylePr>
  </w:style>
  <w:style w:type="table" w:styleId="DarkList-Accent1">
    <w:name w:val="Dark List Accent 1"/>
    <w:basedOn w:val="TableNormal"/>
    <w:uiPriority w:val="70"/>
    <w:rsid w:val="00CB0664"/>
    <w:pPr>
      <w:spacing w:after="0" w:line="240" w:lineRule="auto"/>
    </w:pPr>
    <w:rPr>
      <w:color w:val="FFFFFF" w:themeColor="background1"/>
    </w:rPr>
    <w:tblPr>
      <w:tblStyleRowBandSize w:val="1"/>
      <w:tblStyleColBandSize w:val="1"/>
    </w:tblPr>
    <w:tcPr>
      <w:shd w:val="clear" w:color="auto" w:fill="4F81BD" w:themeFill="accen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43F60" w:themeFill="accent1" w:themeFillShade="7F"/>
      </w:tcPr>
    </w:tblStylePr>
    <w:tblStylePr w:type="firstCol">
      <w:tblPr/>
      <w:tcPr>
        <w:tcBorders>
          <w:top w:val="nil"/>
          <w:left w:val="nil"/>
          <w:bottom w:val="nil"/>
          <w:right w:val="single" w:sz="18" w:space="0" w:color="FFFFFF" w:themeColor="background1"/>
          <w:insideH w:val="nil"/>
          <w:insideV w:val="nil"/>
        </w:tcBorders>
        <w:shd w:val="clear" w:color="auto" w:fill="365F91" w:themeFill="accent1" w:themeFillShade="BF"/>
      </w:tcPr>
    </w:tblStylePr>
    <w:tblStylePr w:type="lastCol">
      <w:tblPr/>
      <w:tcPr>
        <w:tcBorders>
          <w:top w:val="nil"/>
          <w:left w:val="single" w:sz="18" w:space="0" w:color="FFFFFF" w:themeColor="background1"/>
          <w:bottom w:val="nil"/>
          <w:right w:val="nil"/>
          <w:insideH w:val="nil"/>
          <w:insideV w:val="nil"/>
        </w:tcBorders>
        <w:shd w:val="clear" w:color="auto" w:fill="365F91" w:themeFill="accent1" w:themeFillShade="BF"/>
      </w:tcPr>
    </w:tblStylePr>
    <w:tblStylePr w:type="band1Vert">
      <w:tblPr/>
      <w:tcPr>
        <w:tcBorders>
          <w:top w:val="nil"/>
          <w:left w:val="nil"/>
          <w:bottom w:val="nil"/>
          <w:right w:val="nil"/>
          <w:insideH w:val="nil"/>
          <w:insideV w:val="nil"/>
        </w:tcBorders>
        <w:shd w:val="clear" w:color="auto" w:fill="365F91" w:themeFill="accent1" w:themeFillShade="BF"/>
      </w:tcPr>
    </w:tblStylePr>
    <w:tblStylePr w:type="band1Horz">
      <w:tblPr/>
      <w:tcPr>
        <w:tcBorders>
          <w:top w:val="nil"/>
          <w:left w:val="nil"/>
          <w:bottom w:val="nil"/>
          <w:right w:val="nil"/>
          <w:insideH w:val="nil"/>
          <w:insideV w:val="nil"/>
        </w:tcBorders>
        <w:shd w:val="clear" w:color="auto" w:fill="365F91" w:themeFill="accent1" w:themeFillShade="BF"/>
      </w:tcPr>
    </w:tblStylePr>
  </w:style>
  <w:style w:type="table" w:styleId="DarkList-Accent2">
    <w:name w:val="Dark List Accent 2"/>
    <w:basedOn w:val="TableNormal"/>
    <w:uiPriority w:val="70"/>
    <w:rsid w:val="00CB0664"/>
    <w:pPr>
      <w:spacing w:after="0" w:line="240" w:lineRule="auto"/>
    </w:pPr>
    <w:rPr>
      <w:color w:val="FFFFFF" w:themeColor="background1"/>
    </w:rPr>
    <w:tblPr>
      <w:tblStyleRowBandSize w:val="1"/>
      <w:tblStyleColBandSize w:val="1"/>
    </w:tblPr>
    <w:tcPr>
      <w:shd w:val="clear" w:color="auto" w:fill="C0504D" w:themeFill="accent2"/>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622423" w:themeFill="accent2" w:themeFillShade="7F"/>
      </w:tcPr>
    </w:tblStylePr>
    <w:tblStylePr w:type="firstCol">
      <w:tblPr/>
      <w:tcPr>
        <w:tcBorders>
          <w:top w:val="nil"/>
          <w:left w:val="nil"/>
          <w:bottom w:val="nil"/>
          <w:right w:val="single" w:sz="18" w:space="0" w:color="FFFFFF" w:themeColor="background1"/>
          <w:insideH w:val="nil"/>
          <w:insideV w:val="nil"/>
        </w:tcBorders>
        <w:shd w:val="clear" w:color="auto" w:fill="943634" w:themeFill="accent2" w:themeFillShade="BF"/>
      </w:tcPr>
    </w:tblStylePr>
    <w:tblStylePr w:type="lastCol">
      <w:tblPr/>
      <w:tcPr>
        <w:tcBorders>
          <w:top w:val="nil"/>
          <w:left w:val="single" w:sz="18" w:space="0" w:color="FFFFFF" w:themeColor="background1"/>
          <w:bottom w:val="nil"/>
          <w:right w:val="nil"/>
          <w:insideH w:val="nil"/>
          <w:insideV w:val="nil"/>
        </w:tcBorders>
        <w:shd w:val="clear" w:color="auto" w:fill="943634" w:themeFill="accent2" w:themeFillShade="BF"/>
      </w:tcPr>
    </w:tblStylePr>
    <w:tblStylePr w:type="band1Vert">
      <w:tblPr/>
      <w:tcPr>
        <w:tcBorders>
          <w:top w:val="nil"/>
          <w:left w:val="nil"/>
          <w:bottom w:val="nil"/>
          <w:right w:val="nil"/>
          <w:insideH w:val="nil"/>
          <w:insideV w:val="nil"/>
        </w:tcBorders>
        <w:shd w:val="clear" w:color="auto" w:fill="943634" w:themeFill="accent2" w:themeFillShade="BF"/>
      </w:tcPr>
    </w:tblStylePr>
    <w:tblStylePr w:type="band1Horz">
      <w:tblPr/>
      <w:tcPr>
        <w:tcBorders>
          <w:top w:val="nil"/>
          <w:left w:val="nil"/>
          <w:bottom w:val="nil"/>
          <w:right w:val="nil"/>
          <w:insideH w:val="nil"/>
          <w:insideV w:val="nil"/>
        </w:tcBorders>
        <w:shd w:val="clear" w:color="auto" w:fill="943634" w:themeFill="accent2" w:themeFillShade="BF"/>
      </w:tcPr>
    </w:tblStylePr>
  </w:style>
  <w:style w:type="table" w:styleId="DarkList-Accent3">
    <w:name w:val="Dark List Accent 3"/>
    <w:basedOn w:val="TableNormal"/>
    <w:uiPriority w:val="70"/>
    <w:rsid w:val="00CB0664"/>
    <w:pPr>
      <w:spacing w:after="0" w:line="240" w:lineRule="auto"/>
    </w:pPr>
    <w:rPr>
      <w:color w:val="FFFFFF" w:themeColor="background1"/>
    </w:rPr>
    <w:tblPr>
      <w:tblStyleRowBandSize w:val="1"/>
      <w:tblStyleColBandSize w:val="1"/>
    </w:tblPr>
    <w:tcPr>
      <w:shd w:val="clear" w:color="auto" w:fill="9BBB59" w:themeFill="accent3"/>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4E6128" w:themeFill="accent3" w:themeFillShade="7F"/>
      </w:tcPr>
    </w:tblStylePr>
    <w:tblStylePr w:type="firstCol">
      <w:tblPr/>
      <w:tcPr>
        <w:tcBorders>
          <w:top w:val="nil"/>
          <w:left w:val="nil"/>
          <w:bottom w:val="nil"/>
          <w:right w:val="single" w:sz="18" w:space="0" w:color="FFFFFF" w:themeColor="background1"/>
          <w:insideH w:val="nil"/>
          <w:insideV w:val="nil"/>
        </w:tcBorders>
        <w:shd w:val="clear" w:color="auto" w:fill="76923C" w:themeFill="accent3" w:themeFillShade="BF"/>
      </w:tcPr>
    </w:tblStylePr>
    <w:tblStylePr w:type="lastCol">
      <w:tblPr/>
      <w:tcPr>
        <w:tcBorders>
          <w:top w:val="nil"/>
          <w:left w:val="single" w:sz="18" w:space="0" w:color="FFFFFF" w:themeColor="background1"/>
          <w:bottom w:val="nil"/>
          <w:right w:val="nil"/>
          <w:insideH w:val="nil"/>
          <w:insideV w:val="nil"/>
        </w:tcBorders>
        <w:shd w:val="clear" w:color="auto" w:fill="76923C" w:themeFill="accent3" w:themeFillShade="BF"/>
      </w:tcPr>
    </w:tblStylePr>
    <w:tblStylePr w:type="band1Vert">
      <w:tblPr/>
      <w:tcPr>
        <w:tcBorders>
          <w:top w:val="nil"/>
          <w:left w:val="nil"/>
          <w:bottom w:val="nil"/>
          <w:right w:val="nil"/>
          <w:insideH w:val="nil"/>
          <w:insideV w:val="nil"/>
        </w:tcBorders>
        <w:shd w:val="clear" w:color="auto" w:fill="76923C" w:themeFill="accent3" w:themeFillShade="BF"/>
      </w:tcPr>
    </w:tblStylePr>
    <w:tblStylePr w:type="band1Horz">
      <w:tblPr/>
      <w:tcPr>
        <w:tcBorders>
          <w:top w:val="nil"/>
          <w:left w:val="nil"/>
          <w:bottom w:val="nil"/>
          <w:right w:val="nil"/>
          <w:insideH w:val="nil"/>
          <w:insideV w:val="nil"/>
        </w:tcBorders>
        <w:shd w:val="clear" w:color="auto" w:fill="76923C" w:themeFill="accent3" w:themeFillShade="BF"/>
      </w:tcPr>
    </w:tblStylePr>
  </w:style>
  <w:style w:type="table" w:styleId="DarkList-Accent4">
    <w:name w:val="Dark List Accent 4"/>
    <w:basedOn w:val="TableNormal"/>
    <w:uiPriority w:val="70"/>
    <w:rsid w:val="00CB0664"/>
    <w:pPr>
      <w:spacing w:after="0" w:line="240" w:lineRule="auto"/>
    </w:pPr>
    <w:rPr>
      <w:color w:val="FFFFFF" w:themeColor="background1"/>
    </w:rPr>
    <w:tblPr>
      <w:tblStyleRowBandSize w:val="1"/>
      <w:tblStyleColBandSize w:val="1"/>
    </w:tblPr>
    <w:tcPr>
      <w:shd w:val="clear" w:color="auto" w:fill="8064A2" w:themeFill="accent4"/>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3F3151" w:themeFill="accent4" w:themeFillShade="7F"/>
      </w:tcPr>
    </w:tblStylePr>
    <w:tblStylePr w:type="firstCol">
      <w:tblPr/>
      <w:tcPr>
        <w:tcBorders>
          <w:top w:val="nil"/>
          <w:left w:val="nil"/>
          <w:bottom w:val="nil"/>
          <w:right w:val="single" w:sz="18" w:space="0" w:color="FFFFFF" w:themeColor="background1"/>
          <w:insideH w:val="nil"/>
          <w:insideV w:val="nil"/>
        </w:tcBorders>
        <w:shd w:val="clear" w:color="auto" w:fill="5F497A" w:themeFill="accent4" w:themeFillShade="BF"/>
      </w:tcPr>
    </w:tblStylePr>
    <w:tblStylePr w:type="lastCol">
      <w:tblPr/>
      <w:tcPr>
        <w:tcBorders>
          <w:top w:val="nil"/>
          <w:left w:val="single" w:sz="18" w:space="0" w:color="FFFFFF" w:themeColor="background1"/>
          <w:bottom w:val="nil"/>
          <w:right w:val="nil"/>
          <w:insideH w:val="nil"/>
          <w:insideV w:val="nil"/>
        </w:tcBorders>
        <w:shd w:val="clear" w:color="auto" w:fill="5F497A" w:themeFill="accent4" w:themeFillShade="BF"/>
      </w:tcPr>
    </w:tblStylePr>
    <w:tblStylePr w:type="band1Vert">
      <w:tblPr/>
      <w:tcPr>
        <w:tcBorders>
          <w:top w:val="nil"/>
          <w:left w:val="nil"/>
          <w:bottom w:val="nil"/>
          <w:right w:val="nil"/>
          <w:insideH w:val="nil"/>
          <w:insideV w:val="nil"/>
        </w:tcBorders>
        <w:shd w:val="clear" w:color="auto" w:fill="5F497A" w:themeFill="accent4" w:themeFillShade="BF"/>
      </w:tcPr>
    </w:tblStylePr>
    <w:tblStylePr w:type="band1Horz">
      <w:tblPr/>
      <w:tcPr>
        <w:tcBorders>
          <w:top w:val="nil"/>
          <w:left w:val="nil"/>
          <w:bottom w:val="nil"/>
          <w:right w:val="nil"/>
          <w:insideH w:val="nil"/>
          <w:insideV w:val="nil"/>
        </w:tcBorders>
        <w:shd w:val="clear" w:color="auto" w:fill="5F497A" w:themeFill="accent4" w:themeFillShade="BF"/>
      </w:tcPr>
    </w:tblStylePr>
  </w:style>
  <w:style w:type="table" w:styleId="DarkList-Accent5">
    <w:name w:val="Dark List Accent 5"/>
    <w:basedOn w:val="TableNormal"/>
    <w:uiPriority w:val="70"/>
    <w:rsid w:val="00CB0664"/>
    <w:pPr>
      <w:spacing w:after="0" w:line="240" w:lineRule="auto"/>
    </w:pPr>
    <w:rPr>
      <w:color w:val="FFFFFF" w:themeColor="background1"/>
    </w:rPr>
    <w:tblPr>
      <w:tblStyleRowBandSize w:val="1"/>
      <w:tblStyleColBandSize w:val="1"/>
    </w:tblPr>
    <w:tcPr>
      <w:shd w:val="clear" w:color="auto" w:fill="4BACC6" w:themeFill="accent5"/>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05867" w:themeFill="accent5" w:themeFillShade="7F"/>
      </w:tcPr>
    </w:tblStylePr>
    <w:tblStylePr w:type="firstCol">
      <w:tblPr/>
      <w:tcPr>
        <w:tcBorders>
          <w:top w:val="nil"/>
          <w:left w:val="nil"/>
          <w:bottom w:val="nil"/>
          <w:right w:val="single" w:sz="18" w:space="0" w:color="FFFFFF" w:themeColor="background1"/>
          <w:insideH w:val="nil"/>
          <w:insideV w:val="nil"/>
        </w:tcBorders>
        <w:shd w:val="clear" w:color="auto" w:fill="31849B" w:themeFill="accent5" w:themeFillShade="BF"/>
      </w:tcPr>
    </w:tblStylePr>
    <w:tblStylePr w:type="lastCol">
      <w:tblPr/>
      <w:tcPr>
        <w:tcBorders>
          <w:top w:val="nil"/>
          <w:left w:val="single" w:sz="18" w:space="0" w:color="FFFFFF" w:themeColor="background1"/>
          <w:bottom w:val="nil"/>
          <w:right w:val="nil"/>
          <w:insideH w:val="nil"/>
          <w:insideV w:val="nil"/>
        </w:tcBorders>
        <w:shd w:val="clear" w:color="auto" w:fill="31849B" w:themeFill="accent5" w:themeFillShade="BF"/>
      </w:tcPr>
    </w:tblStylePr>
    <w:tblStylePr w:type="band1Vert">
      <w:tblPr/>
      <w:tcPr>
        <w:tcBorders>
          <w:top w:val="nil"/>
          <w:left w:val="nil"/>
          <w:bottom w:val="nil"/>
          <w:right w:val="nil"/>
          <w:insideH w:val="nil"/>
          <w:insideV w:val="nil"/>
        </w:tcBorders>
        <w:shd w:val="clear" w:color="auto" w:fill="31849B" w:themeFill="accent5" w:themeFillShade="BF"/>
      </w:tcPr>
    </w:tblStylePr>
    <w:tblStylePr w:type="band1Horz">
      <w:tblPr/>
      <w:tcPr>
        <w:tcBorders>
          <w:top w:val="nil"/>
          <w:left w:val="nil"/>
          <w:bottom w:val="nil"/>
          <w:right w:val="nil"/>
          <w:insideH w:val="nil"/>
          <w:insideV w:val="nil"/>
        </w:tcBorders>
        <w:shd w:val="clear" w:color="auto" w:fill="31849B" w:themeFill="accent5" w:themeFillShade="BF"/>
      </w:tcPr>
    </w:tblStylePr>
  </w:style>
  <w:style w:type="table" w:styleId="DarkList-Accent6">
    <w:name w:val="Dark List Accent 6"/>
    <w:basedOn w:val="TableNormal"/>
    <w:uiPriority w:val="70"/>
    <w:rsid w:val="00CB0664"/>
    <w:pPr>
      <w:spacing w:after="0" w:line="240" w:lineRule="auto"/>
    </w:pPr>
    <w:rPr>
      <w:color w:val="FFFFFF" w:themeColor="background1"/>
    </w:rPr>
    <w:tblPr>
      <w:tblStyleRowBandSize w:val="1"/>
      <w:tblStyleColBandSize w:val="1"/>
    </w:tblPr>
    <w:tcPr>
      <w:shd w:val="clear" w:color="auto" w:fill="F79646" w:themeFill="accent6"/>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974706" w:themeFill="accent6" w:themeFillShade="7F"/>
      </w:tcPr>
    </w:tblStylePr>
    <w:tblStylePr w:type="firstCol">
      <w:tblPr/>
      <w:tcPr>
        <w:tcBorders>
          <w:top w:val="nil"/>
          <w:left w:val="nil"/>
          <w:bottom w:val="nil"/>
          <w:right w:val="single" w:sz="18" w:space="0" w:color="FFFFFF" w:themeColor="background1"/>
          <w:insideH w:val="nil"/>
          <w:insideV w:val="nil"/>
        </w:tcBorders>
        <w:shd w:val="clear" w:color="auto" w:fill="E36C0A" w:themeFill="accent6" w:themeFillShade="BF"/>
      </w:tcPr>
    </w:tblStylePr>
    <w:tblStylePr w:type="lastCol">
      <w:tblPr/>
      <w:tcPr>
        <w:tcBorders>
          <w:top w:val="nil"/>
          <w:left w:val="single" w:sz="18" w:space="0" w:color="FFFFFF" w:themeColor="background1"/>
          <w:bottom w:val="nil"/>
          <w:right w:val="nil"/>
          <w:insideH w:val="nil"/>
          <w:insideV w:val="nil"/>
        </w:tcBorders>
        <w:shd w:val="clear" w:color="auto" w:fill="E36C0A" w:themeFill="accent6" w:themeFillShade="BF"/>
      </w:tcPr>
    </w:tblStylePr>
    <w:tblStylePr w:type="band1Vert">
      <w:tblPr/>
      <w:tcPr>
        <w:tcBorders>
          <w:top w:val="nil"/>
          <w:left w:val="nil"/>
          <w:bottom w:val="nil"/>
          <w:right w:val="nil"/>
          <w:insideH w:val="nil"/>
          <w:insideV w:val="nil"/>
        </w:tcBorders>
        <w:shd w:val="clear" w:color="auto" w:fill="E36C0A" w:themeFill="accent6" w:themeFillShade="BF"/>
      </w:tcPr>
    </w:tblStylePr>
    <w:tblStylePr w:type="band1Horz">
      <w:tblPr/>
      <w:tcPr>
        <w:tcBorders>
          <w:top w:val="nil"/>
          <w:left w:val="nil"/>
          <w:bottom w:val="nil"/>
          <w:right w:val="nil"/>
          <w:insideH w:val="nil"/>
          <w:insideV w:val="nil"/>
        </w:tcBorders>
        <w:shd w:val="clear" w:color="auto" w:fill="E36C0A" w:themeFill="accent6" w:themeFillShade="BF"/>
      </w:tcPr>
    </w:tblStylePr>
  </w:style>
  <w:style w:type="table" w:styleId="ColourfulShading">
    <w:name w:val="Colorful Shading"/>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000000" w:themeColor="text1"/>
        <w:bottom w:val="single" w:sz="4" w:space="0" w:color="000000" w:themeColor="text1"/>
        <w:right w:val="single" w:sz="4" w:space="0" w:color="000000" w:themeColor="text1"/>
        <w:insideH w:val="single" w:sz="4" w:space="0" w:color="FFFFFF" w:themeColor="background1"/>
        <w:insideV w:val="single" w:sz="4" w:space="0" w:color="FFFFFF" w:themeColor="background1"/>
      </w:tblBorders>
    </w:tblPr>
    <w:tcPr>
      <w:shd w:val="clear" w:color="auto" w:fill="E6E6E6" w:themeFill="tex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000000" w:themeFill="text1" w:themeFillShade="99"/>
      </w:tcPr>
    </w:tblStylePr>
    <w:tblStylePr w:type="firstCol">
      <w:rPr>
        <w:color w:val="FFFFFF" w:themeColor="background1"/>
      </w:rPr>
      <w:tblPr/>
      <w:tcPr>
        <w:tcBorders>
          <w:top w:val="nil"/>
          <w:left w:val="nil"/>
          <w:bottom w:val="nil"/>
          <w:right w:val="nil"/>
          <w:insideH w:val="single" w:sz="4" w:space="0" w:color="000000" w:themeColor="text1" w:themeShade="99"/>
          <w:insideV w:val="nil"/>
        </w:tcBorders>
        <w:shd w:val="clear" w:color="auto" w:fill="000000" w:themeFill="text1" w:themeFillShade="99"/>
      </w:tcPr>
    </w:tblStylePr>
    <w:tblStylePr w:type="lastCol">
      <w:rPr>
        <w:color w:val="FFFFFF" w:themeColor="background1"/>
      </w:rPr>
      <w:tblPr/>
      <w:tcPr>
        <w:tcBorders>
          <w:top w:val="nil"/>
          <w:left w:val="nil"/>
          <w:bottom w:val="nil"/>
          <w:right w:val="nil"/>
          <w:insideH w:val="nil"/>
          <w:insideV w:val="nil"/>
        </w:tcBorders>
        <w:shd w:val="clear" w:color="auto" w:fill="000000" w:themeFill="text1" w:themeFillShade="BF"/>
      </w:tcPr>
    </w:tblStylePr>
    <w:tblStylePr w:type="band1Vert">
      <w:tblPr/>
      <w:tcPr>
        <w:shd w:val="clear" w:color="auto" w:fill="999999" w:themeFill="text1" w:themeFillTint="66"/>
      </w:tcPr>
    </w:tblStylePr>
    <w:tblStylePr w:type="band1Horz">
      <w:tblPr/>
      <w:tcPr>
        <w:shd w:val="clear" w:color="auto" w:fill="808080" w:themeFill="text1" w:themeFillTint="7F"/>
      </w:tcPr>
    </w:tblStylePr>
    <w:tblStylePr w:type="neCell">
      <w:rPr>
        <w:color w:val="000000" w:themeColor="text1"/>
      </w:rPr>
    </w:tblStylePr>
    <w:tblStylePr w:type="nwCell">
      <w:rPr>
        <w:color w:val="000000" w:themeColor="text1"/>
      </w:rPr>
    </w:tblStylePr>
  </w:style>
  <w:style w:type="table" w:styleId="ColourfulShadingAccent1">
    <w:name w:val="Colorful Shading Accent 1"/>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4F81BD" w:themeColor="accent1"/>
        <w:bottom w:val="single" w:sz="4" w:space="0" w:color="4F81BD" w:themeColor="accent1"/>
        <w:right w:val="single" w:sz="4" w:space="0" w:color="4F81BD" w:themeColor="accent1"/>
        <w:insideH w:val="single" w:sz="4" w:space="0" w:color="FFFFFF" w:themeColor="background1"/>
        <w:insideV w:val="single" w:sz="4" w:space="0" w:color="FFFFFF" w:themeColor="background1"/>
      </w:tblBorders>
    </w:tblPr>
    <w:tcPr>
      <w:shd w:val="clear" w:color="auto" w:fill="EDF2F8" w:themeFill="accen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C4C74" w:themeFill="accent1" w:themeFillShade="99"/>
      </w:tcPr>
    </w:tblStylePr>
    <w:tblStylePr w:type="firstCol">
      <w:rPr>
        <w:color w:val="FFFFFF" w:themeColor="background1"/>
      </w:rPr>
      <w:tblPr/>
      <w:tcPr>
        <w:tcBorders>
          <w:top w:val="nil"/>
          <w:left w:val="nil"/>
          <w:bottom w:val="nil"/>
          <w:right w:val="nil"/>
          <w:insideH w:val="single" w:sz="4" w:space="0" w:color="2C4C74" w:themeColor="accent1" w:themeShade="99"/>
          <w:insideV w:val="nil"/>
        </w:tcBorders>
        <w:shd w:val="clear" w:color="auto" w:fill="2C4C74" w:themeFill="accent1" w:themeFillShade="99"/>
      </w:tcPr>
    </w:tblStylePr>
    <w:tblStylePr w:type="lastCol">
      <w:rPr>
        <w:color w:val="FFFFFF" w:themeColor="background1"/>
      </w:rPr>
      <w:tblPr/>
      <w:tcPr>
        <w:tcBorders>
          <w:top w:val="nil"/>
          <w:left w:val="nil"/>
          <w:bottom w:val="nil"/>
          <w:right w:val="nil"/>
          <w:insideH w:val="nil"/>
          <w:insideV w:val="nil"/>
        </w:tcBorders>
        <w:shd w:val="clear" w:color="auto" w:fill="2C4C74" w:themeFill="accent1" w:themeFillShade="99"/>
      </w:tcPr>
    </w:tblStylePr>
    <w:tblStylePr w:type="band1Vert">
      <w:tblPr/>
      <w:tcPr>
        <w:shd w:val="clear" w:color="auto" w:fill="B8CCE4" w:themeFill="accent1" w:themeFillTint="66"/>
      </w:tcPr>
    </w:tblStylePr>
    <w:tblStylePr w:type="band1Horz">
      <w:tblPr/>
      <w:tcPr>
        <w:shd w:val="clear" w:color="auto" w:fill="A7BFDE" w:themeFill="accent1" w:themeFillTint="7F"/>
      </w:tcPr>
    </w:tblStylePr>
    <w:tblStylePr w:type="neCell">
      <w:rPr>
        <w:color w:val="000000" w:themeColor="text1"/>
      </w:rPr>
    </w:tblStylePr>
    <w:tblStylePr w:type="nwCell">
      <w:rPr>
        <w:color w:val="000000" w:themeColor="text1"/>
      </w:rPr>
    </w:tblStylePr>
  </w:style>
  <w:style w:type="table" w:styleId="ColourfulShadingAccent2">
    <w:name w:val="Colorful Shading Accent 2"/>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C0504D" w:themeColor="accent2"/>
        <w:bottom w:val="single" w:sz="4" w:space="0" w:color="C0504D" w:themeColor="accent2"/>
        <w:right w:val="single" w:sz="4" w:space="0" w:color="C0504D" w:themeColor="accent2"/>
        <w:insideH w:val="single" w:sz="4" w:space="0" w:color="FFFFFF" w:themeColor="background1"/>
        <w:insideV w:val="single" w:sz="4" w:space="0" w:color="FFFFFF" w:themeColor="background1"/>
      </w:tblBorders>
    </w:tblPr>
    <w:tcPr>
      <w:shd w:val="clear" w:color="auto" w:fill="F8EDED" w:themeFill="accent2"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772C2A" w:themeFill="accent2" w:themeFillShade="99"/>
      </w:tcPr>
    </w:tblStylePr>
    <w:tblStylePr w:type="firstCol">
      <w:rPr>
        <w:color w:val="FFFFFF" w:themeColor="background1"/>
      </w:rPr>
      <w:tblPr/>
      <w:tcPr>
        <w:tcBorders>
          <w:top w:val="nil"/>
          <w:left w:val="nil"/>
          <w:bottom w:val="nil"/>
          <w:right w:val="nil"/>
          <w:insideH w:val="single" w:sz="4" w:space="0" w:color="772C2A" w:themeColor="accent2" w:themeShade="99"/>
          <w:insideV w:val="nil"/>
        </w:tcBorders>
        <w:shd w:val="clear" w:color="auto" w:fill="772C2A" w:themeFill="accent2" w:themeFillShade="99"/>
      </w:tcPr>
    </w:tblStylePr>
    <w:tblStylePr w:type="lastCol">
      <w:rPr>
        <w:color w:val="FFFFFF" w:themeColor="background1"/>
      </w:rPr>
      <w:tblPr/>
      <w:tcPr>
        <w:tcBorders>
          <w:top w:val="nil"/>
          <w:left w:val="nil"/>
          <w:bottom w:val="nil"/>
          <w:right w:val="nil"/>
          <w:insideH w:val="nil"/>
          <w:insideV w:val="nil"/>
        </w:tcBorders>
        <w:shd w:val="clear" w:color="auto" w:fill="772C2A" w:themeFill="accent2" w:themeFillShade="99"/>
      </w:tcPr>
    </w:tblStylePr>
    <w:tblStylePr w:type="band1Vert">
      <w:tblPr/>
      <w:tcPr>
        <w:shd w:val="clear" w:color="auto" w:fill="E5B8B7" w:themeFill="accent2" w:themeFillTint="66"/>
      </w:tcPr>
    </w:tblStylePr>
    <w:tblStylePr w:type="band1Horz">
      <w:tblPr/>
      <w:tcPr>
        <w:shd w:val="clear" w:color="auto" w:fill="DFA7A6" w:themeFill="accent2" w:themeFillTint="7F"/>
      </w:tcPr>
    </w:tblStylePr>
    <w:tblStylePr w:type="neCell">
      <w:rPr>
        <w:color w:val="000000" w:themeColor="text1"/>
      </w:rPr>
    </w:tblStylePr>
    <w:tblStylePr w:type="nwCell">
      <w:rPr>
        <w:color w:val="000000" w:themeColor="text1"/>
      </w:rPr>
    </w:tblStylePr>
  </w:style>
  <w:style w:type="table" w:styleId="ColourfulShadingAccent3">
    <w:name w:val="Colorful Shading Accent 3"/>
    <w:basedOn w:val="TableNormal"/>
    <w:uiPriority w:val="71"/>
    <w:rsid w:val="00CB0664"/>
    <w:pPr>
      <w:spacing w:after="0" w:line="240" w:lineRule="auto"/>
    </w:pPr>
    <w:rPr>
      <w:color w:val="000000" w:themeColor="text1"/>
    </w:rPr>
    <w:tblPr>
      <w:tblStyleRowBandSize w:val="1"/>
      <w:tblStyleColBandSize w:val="1"/>
      <w:tblBorders>
        <w:top w:val="single" w:sz="24" w:space="0" w:color="8064A2" w:themeColor="accent4"/>
        <w:left w:val="single" w:sz="4" w:space="0" w:color="9BBB59" w:themeColor="accent3"/>
        <w:bottom w:val="single" w:sz="4" w:space="0" w:color="9BBB59" w:themeColor="accent3"/>
        <w:right w:val="single" w:sz="4" w:space="0" w:color="9BBB59" w:themeColor="accent3"/>
        <w:insideH w:val="single" w:sz="4" w:space="0" w:color="FFFFFF" w:themeColor="background1"/>
        <w:insideV w:val="single" w:sz="4" w:space="0" w:color="FFFFFF" w:themeColor="background1"/>
      </w:tblBorders>
    </w:tblPr>
    <w:tcPr>
      <w:shd w:val="clear" w:color="auto" w:fill="F5F8EE" w:themeFill="accent3" w:themeFillTint="19"/>
    </w:tcPr>
    <w:tblStylePr w:type="firstRow">
      <w:rPr>
        <w:b/>
        <w:bCs/>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5E7530" w:themeFill="accent3" w:themeFillShade="99"/>
      </w:tcPr>
    </w:tblStylePr>
    <w:tblStylePr w:type="firstCol">
      <w:rPr>
        <w:color w:val="FFFFFF" w:themeColor="background1"/>
      </w:rPr>
      <w:tblPr/>
      <w:tcPr>
        <w:tcBorders>
          <w:top w:val="nil"/>
          <w:left w:val="nil"/>
          <w:bottom w:val="nil"/>
          <w:right w:val="nil"/>
          <w:insideH w:val="single" w:sz="4" w:space="0" w:color="5E7530" w:themeColor="accent3" w:themeShade="99"/>
          <w:insideV w:val="nil"/>
        </w:tcBorders>
        <w:shd w:val="clear" w:color="auto" w:fill="5E7530" w:themeFill="accent3" w:themeFillShade="99"/>
      </w:tcPr>
    </w:tblStylePr>
    <w:tblStylePr w:type="lastCol">
      <w:rPr>
        <w:color w:val="FFFFFF" w:themeColor="background1"/>
      </w:rPr>
      <w:tblPr/>
      <w:tcPr>
        <w:tcBorders>
          <w:top w:val="nil"/>
          <w:left w:val="nil"/>
          <w:bottom w:val="nil"/>
          <w:right w:val="nil"/>
          <w:insideH w:val="nil"/>
          <w:insideV w:val="nil"/>
        </w:tcBorders>
        <w:shd w:val="clear" w:color="auto" w:fill="5E7530" w:themeFill="accent3" w:themeFillShade="99"/>
      </w:tcPr>
    </w:tblStylePr>
    <w:tblStylePr w:type="band1Vert">
      <w:tblPr/>
      <w:tcPr>
        <w:shd w:val="clear" w:color="auto" w:fill="D6E3BC" w:themeFill="accent3" w:themeFillTint="66"/>
      </w:tcPr>
    </w:tblStylePr>
    <w:tblStylePr w:type="band1Horz">
      <w:tblPr/>
      <w:tcPr>
        <w:shd w:val="clear" w:color="auto" w:fill="CDDDAC" w:themeFill="accent3" w:themeFillTint="7F"/>
      </w:tcPr>
    </w:tblStylePr>
  </w:style>
  <w:style w:type="table" w:styleId="ColourfulShadingAccent4">
    <w:name w:val="Colorful Shading Accent 4"/>
    <w:basedOn w:val="TableNormal"/>
    <w:uiPriority w:val="71"/>
    <w:rsid w:val="00CB0664"/>
    <w:pPr>
      <w:spacing w:after="0" w:line="240" w:lineRule="auto"/>
    </w:pPr>
    <w:rPr>
      <w:color w:val="000000" w:themeColor="text1"/>
    </w:rPr>
    <w:tblPr>
      <w:tblStyleRowBandSize w:val="1"/>
      <w:tblStyleColBandSize w:val="1"/>
      <w:tblBorders>
        <w:top w:val="single" w:sz="24" w:space="0" w:color="9BBB59" w:themeColor="accent3"/>
        <w:left w:val="single" w:sz="4" w:space="0" w:color="8064A2" w:themeColor="accent4"/>
        <w:bottom w:val="single" w:sz="4" w:space="0" w:color="8064A2" w:themeColor="accent4"/>
        <w:right w:val="single" w:sz="4" w:space="0" w:color="8064A2" w:themeColor="accent4"/>
        <w:insideH w:val="single" w:sz="4" w:space="0" w:color="FFFFFF" w:themeColor="background1"/>
        <w:insideV w:val="single" w:sz="4" w:space="0" w:color="FFFFFF" w:themeColor="background1"/>
      </w:tblBorders>
    </w:tblPr>
    <w:tcPr>
      <w:shd w:val="clear" w:color="auto" w:fill="F2EFF6" w:themeFill="accent4" w:themeFillTint="19"/>
    </w:tcPr>
    <w:tblStylePr w:type="firstRow">
      <w:rPr>
        <w:b/>
        <w:bCs/>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4C3B62" w:themeFill="accent4" w:themeFillShade="99"/>
      </w:tcPr>
    </w:tblStylePr>
    <w:tblStylePr w:type="firstCol">
      <w:rPr>
        <w:color w:val="FFFFFF" w:themeColor="background1"/>
      </w:rPr>
      <w:tblPr/>
      <w:tcPr>
        <w:tcBorders>
          <w:top w:val="nil"/>
          <w:left w:val="nil"/>
          <w:bottom w:val="nil"/>
          <w:right w:val="nil"/>
          <w:insideH w:val="single" w:sz="4" w:space="0" w:color="4C3B62" w:themeColor="accent4" w:themeShade="99"/>
          <w:insideV w:val="nil"/>
        </w:tcBorders>
        <w:shd w:val="clear" w:color="auto" w:fill="4C3B62" w:themeFill="accent4" w:themeFillShade="99"/>
      </w:tcPr>
    </w:tblStylePr>
    <w:tblStylePr w:type="lastCol">
      <w:rPr>
        <w:color w:val="FFFFFF" w:themeColor="background1"/>
      </w:rPr>
      <w:tblPr/>
      <w:tcPr>
        <w:tcBorders>
          <w:top w:val="nil"/>
          <w:left w:val="nil"/>
          <w:bottom w:val="nil"/>
          <w:right w:val="nil"/>
          <w:insideH w:val="nil"/>
          <w:insideV w:val="nil"/>
        </w:tcBorders>
        <w:shd w:val="clear" w:color="auto" w:fill="4C3B62" w:themeFill="accent4" w:themeFillShade="99"/>
      </w:tcPr>
    </w:tblStylePr>
    <w:tblStylePr w:type="band1Vert">
      <w:tblPr/>
      <w:tcPr>
        <w:shd w:val="clear" w:color="auto" w:fill="CCC0D9" w:themeFill="accent4" w:themeFillTint="66"/>
      </w:tcPr>
    </w:tblStylePr>
    <w:tblStylePr w:type="band1Horz">
      <w:tblPr/>
      <w:tcPr>
        <w:shd w:val="clear" w:color="auto" w:fill="BFB1D0" w:themeFill="accent4" w:themeFillTint="7F"/>
      </w:tcPr>
    </w:tblStylePr>
    <w:tblStylePr w:type="neCell">
      <w:rPr>
        <w:color w:val="000000" w:themeColor="text1"/>
      </w:rPr>
    </w:tblStylePr>
    <w:tblStylePr w:type="nwCell">
      <w:rPr>
        <w:color w:val="000000" w:themeColor="text1"/>
      </w:rPr>
    </w:tblStylePr>
  </w:style>
  <w:style w:type="table" w:styleId="ColourfulShadingAccent5">
    <w:name w:val="Colorful Shading Accent 5"/>
    <w:basedOn w:val="TableNormal"/>
    <w:uiPriority w:val="71"/>
    <w:rsid w:val="00CB0664"/>
    <w:pPr>
      <w:spacing w:after="0" w:line="240" w:lineRule="auto"/>
    </w:pPr>
    <w:rPr>
      <w:color w:val="000000" w:themeColor="text1"/>
    </w:rPr>
    <w:tblPr>
      <w:tblStyleRowBandSize w:val="1"/>
      <w:tblStyleColBandSize w:val="1"/>
      <w:tblBorders>
        <w:top w:val="single" w:sz="24" w:space="0" w:color="F79646" w:themeColor="accent6"/>
        <w:left w:val="single" w:sz="4" w:space="0" w:color="4BACC6" w:themeColor="accent5"/>
        <w:bottom w:val="single" w:sz="4" w:space="0" w:color="4BACC6" w:themeColor="accent5"/>
        <w:right w:val="single" w:sz="4" w:space="0" w:color="4BACC6" w:themeColor="accent5"/>
        <w:insideH w:val="single" w:sz="4" w:space="0" w:color="FFFFFF" w:themeColor="background1"/>
        <w:insideV w:val="single" w:sz="4" w:space="0" w:color="FFFFFF" w:themeColor="background1"/>
      </w:tblBorders>
    </w:tblPr>
    <w:tcPr>
      <w:shd w:val="clear" w:color="auto" w:fill="EDF6F9" w:themeFill="accent5" w:themeFillTint="19"/>
    </w:tcPr>
    <w:tblStylePr w:type="firstRow">
      <w:rPr>
        <w:b/>
        <w:bCs/>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76A7C" w:themeFill="accent5" w:themeFillShade="99"/>
      </w:tcPr>
    </w:tblStylePr>
    <w:tblStylePr w:type="firstCol">
      <w:rPr>
        <w:color w:val="FFFFFF" w:themeColor="background1"/>
      </w:rPr>
      <w:tblPr/>
      <w:tcPr>
        <w:tcBorders>
          <w:top w:val="nil"/>
          <w:left w:val="nil"/>
          <w:bottom w:val="nil"/>
          <w:right w:val="nil"/>
          <w:insideH w:val="single" w:sz="4" w:space="0" w:color="276A7C" w:themeColor="accent5" w:themeShade="99"/>
          <w:insideV w:val="nil"/>
        </w:tcBorders>
        <w:shd w:val="clear" w:color="auto" w:fill="276A7C" w:themeFill="accent5" w:themeFillShade="99"/>
      </w:tcPr>
    </w:tblStylePr>
    <w:tblStylePr w:type="lastCol">
      <w:rPr>
        <w:color w:val="FFFFFF" w:themeColor="background1"/>
      </w:rPr>
      <w:tblPr/>
      <w:tcPr>
        <w:tcBorders>
          <w:top w:val="nil"/>
          <w:left w:val="nil"/>
          <w:bottom w:val="nil"/>
          <w:right w:val="nil"/>
          <w:insideH w:val="nil"/>
          <w:insideV w:val="nil"/>
        </w:tcBorders>
        <w:shd w:val="clear" w:color="auto" w:fill="276A7C" w:themeFill="accent5" w:themeFillShade="99"/>
      </w:tcPr>
    </w:tblStylePr>
    <w:tblStylePr w:type="band1Vert">
      <w:tblPr/>
      <w:tcPr>
        <w:shd w:val="clear" w:color="auto" w:fill="B6DDE8" w:themeFill="accent5" w:themeFillTint="66"/>
      </w:tcPr>
    </w:tblStylePr>
    <w:tblStylePr w:type="band1Horz">
      <w:tblPr/>
      <w:tcPr>
        <w:shd w:val="clear" w:color="auto" w:fill="A5D5E2" w:themeFill="accent5" w:themeFillTint="7F"/>
      </w:tcPr>
    </w:tblStylePr>
    <w:tblStylePr w:type="neCell">
      <w:rPr>
        <w:color w:val="000000" w:themeColor="text1"/>
      </w:rPr>
    </w:tblStylePr>
    <w:tblStylePr w:type="nwCell">
      <w:rPr>
        <w:color w:val="000000" w:themeColor="text1"/>
      </w:rPr>
    </w:tblStylePr>
  </w:style>
  <w:style w:type="table" w:styleId="ColourfulShadingAccent6">
    <w:name w:val="Colorful Shading Accent 6"/>
    <w:basedOn w:val="TableNormal"/>
    <w:uiPriority w:val="71"/>
    <w:rsid w:val="00CB0664"/>
    <w:pPr>
      <w:spacing w:after="0" w:line="240" w:lineRule="auto"/>
    </w:pPr>
    <w:rPr>
      <w:color w:val="000000" w:themeColor="text1"/>
    </w:rPr>
    <w:tblPr>
      <w:tblStyleRowBandSize w:val="1"/>
      <w:tblStyleColBandSize w:val="1"/>
      <w:tblBorders>
        <w:top w:val="single" w:sz="24" w:space="0" w:color="4BACC6" w:themeColor="accent5"/>
        <w:left w:val="single" w:sz="4" w:space="0" w:color="F79646" w:themeColor="accent6"/>
        <w:bottom w:val="single" w:sz="4" w:space="0" w:color="F79646" w:themeColor="accent6"/>
        <w:right w:val="single" w:sz="4" w:space="0" w:color="F79646" w:themeColor="accent6"/>
        <w:insideH w:val="single" w:sz="4" w:space="0" w:color="FFFFFF" w:themeColor="background1"/>
        <w:insideV w:val="single" w:sz="4" w:space="0" w:color="FFFFFF" w:themeColor="background1"/>
      </w:tblBorders>
    </w:tblPr>
    <w:tcPr>
      <w:shd w:val="clear" w:color="auto" w:fill="FEF4EC" w:themeFill="accent6" w:themeFillTint="19"/>
    </w:tcPr>
    <w:tblStylePr w:type="firstRow">
      <w:rPr>
        <w:b/>
        <w:bCs/>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B65608" w:themeFill="accent6" w:themeFillShade="99"/>
      </w:tcPr>
    </w:tblStylePr>
    <w:tblStylePr w:type="firstCol">
      <w:rPr>
        <w:color w:val="FFFFFF" w:themeColor="background1"/>
      </w:rPr>
      <w:tblPr/>
      <w:tcPr>
        <w:tcBorders>
          <w:top w:val="nil"/>
          <w:left w:val="nil"/>
          <w:bottom w:val="nil"/>
          <w:right w:val="nil"/>
          <w:insideH w:val="single" w:sz="4" w:space="0" w:color="B65608" w:themeColor="accent6" w:themeShade="99"/>
          <w:insideV w:val="nil"/>
        </w:tcBorders>
        <w:shd w:val="clear" w:color="auto" w:fill="B65608" w:themeFill="accent6" w:themeFillShade="99"/>
      </w:tcPr>
    </w:tblStylePr>
    <w:tblStylePr w:type="lastCol">
      <w:rPr>
        <w:color w:val="FFFFFF" w:themeColor="background1"/>
      </w:rPr>
      <w:tblPr/>
      <w:tcPr>
        <w:tcBorders>
          <w:top w:val="nil"/>
          <w:left w:val="nil"/>
          <w:bottom w:val="nil"/>
          <w:right w:val="nil"/>
          <w:insideH w:val="nil"/>
          <w:insideV w:val="nil"/>
        </w:tcBorders>
        <w:shd w:val="clear" w:color="auto" w:fill="B65608" w:themeFill="accent6" w:themeFillShade="99"/>
      </w:tcPr>
    </w:tblStylePr>
    <w:tblStylePr w:type="band1Vert">
      <w:tblPr/>
      <w:tcPr>
        <w:shd w:val="clear" w:color="auto" w:fill="FBD4B4" w:themeFill="accent6" w:themeFillTint="66"/>
      </w:tcPr>
    </w:tblStylePr>
    <w:tblStylePr w:type="band1Horz">
      <w:tblPr/>
      <w:tcPr>
        <w:shd w:val="clear" w:color="auto" w:fill="FBCAA2" w:themeFill="accent6" w:themeFillTint="7F"/>
      </w:tcPr>
    </w:tblStylePr>
    <w:tblStylePr w:type="neCell">
      <w:rPr>
        <w:color w:val="000000" w:themeColor="text1"/>
      </w:rPr>
    </w:tblStylePr>
    <w:tblStylePr w:type="nwCell">
      <w:rPr>
        <w:color w:val="000000" w:themeColor="text1"/>
      </w:rPr>
    </w:tblStylePr>
  </w:style>
  <w:style w:type="table" w:styleId="ColourfulList">
    <w:name w:val="Colorful List"/>
    <w:basedOn w:val="TableNormal"/>
    <w:uiPriority w:val="72"/>
    <w:rsid w:val="00CB0664"/>
    <w:pPr>
      <w:spacing w:after="0" w:line="240" w:lineRule="auto"/>
    </w:pPr>
    <w:rPr>
      <w:color w:val="000000" w:themeColor="text1"/>
    </w:rPr>
    <w:tblPr>
      <w:tblStyleRowBandSize w:val="1"/>
      <w:tblStyleColBandSize w:val="1"/>
    </w:tblPr>
    <w:tcPr>
      <w:shd w:val="clear" w:color="auto" w:fill="E6E6E6" w:themeFill="tex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C0C0C0" w:themeFill="text1" w:themeFillTint="3F"/>
      </w:tcPr>
    </w:tblStylePr>
    <w:tblStylePr w:type="band1Horz">
      <w:tblPr/>
      <w:tcPr>
        <w:shd w:val="clear" w:color="auto" w:fill="CCCCCC" w:themeFill="text1" w:themeFillTint="33"/>
      </w:tcPr>
    </w:tblStylePr>
  </w:style>
  <w:style w:type="table" w:styleId="ColourfulListAccent1">
    <w:name w:val="Colorful List Accent 1"/>
    <w:basedOn w:val="TableNormal"/>
    <w:uiPriority w:val="72"/>
    <w:rsid w:val="00CB0664"/>
    <w:pPr>
      <w:spacing w:after="0" w:line="240" w:lineRule="auto"/>
    </w:pPr>
    <w:rPr>
      <w:color w:val="000000" w:themeColor="text1"/>
    </w:rPr>
    <w:tblPr>
      <w:tblStyleRowBandSize w:val="1"/>
      <w:tblStyleColBandSize w:val="1"/>
    </w:tblPr>
    <w:tcPr>
      <w:shd w:val="clear" w:color="auto" w:fill="EDF2F8" w:themeFill="accen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3DFEE" w:themeFill="accent1" w:themeFillTint="3F"/>
      </w:tcPr>
    </w:tblStylePr>
    <w:tblStylePr w:type="band1Horz">
      <w:tblPr/>
      <w:tcPr>
        <w:shd w:val="clear" w:color="auto" w:fill="DBE5F1" w:themeFill="accent1" w:themeFillTint="33"/>
      </w:tcPr>
    </w:tblStylePr>
  </w:style>
  <w:style w:type="table" w:styleId="ColourfulListAccent2">
    <w:name w:val="Colorful List Accent 2"/>
    <w:basedOn w:val="TableNormal"/>
    <w:uiPriority w:val="72"/>
    <w:rsid w:val="00CB0664"/>
    <w:pPr>
      <w:spacing w:after="0" w:line="240" w:lineRule="auto"/>
    </w:pPr>
    <w:rPr>
      <w:color w:val="000000" w:themeColor="text1"/>
    </w:rPr>
    <w:tblPr>
      <w:tblStyleRowBandSize w:val="1"/>
      <w:tblStyleColBandSize w:val="1"/>
    </w:tblPr>
    <w:tcPr>
      <w:shd w:val="clear" w:color="auto" w:fill="F8EDED" w:themeFill="accent2"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FD3D2" w:themeFill="accent2" w:themeFillTint="3F"/>
      </w:tcPr>
    </w:tblStylePr>
    <w:tblStylePr w:type="band1Horz">
      <w:tblPr/>
      <w:tcPr>
        <w:shd w:val="clear" w:color="auto" w:fill="F2DBDB" w:themeFill="accent2" w:themeFillTint="33"/>
      </w:tcPr>
    </w:tblStylePr>
  </w:style>
  <w:style w:type="table" w:styleId="ColourfulListAccent3">
    <w:name w:val="Colorful List Accent 3"/>
    <w:basedOn w:val="TableNormal"/>
    <w:uiPriority w:val="72"/>
    <w:rsid w:val="00CB0664"/>
    <w:pPr>
      <w:spacing w:after="0" w:line="240" w:lineRule="auto"/>
    </w:pPr>
    <w:rPr>
      <w:color w:val="000000" w:themeColor="text1"/>
    </w:rPr>
    <w:tblPr>
      <w:tblStyleRowBandSize w:val="1"/>
      <w:tblStyleColBandSize w:val="1"/>
    </w:tblPr>
    <w:tcPr>
      <w:shd w:val="clear" w:color="auto" w:fill="F5F8EE" w:themeFill="accent3" w:themeFillTint="19"/>
    </w:tcPr>
    <w:tblStylePr w:type="firstRow">
      <w:rPr>
        <w:b/>
        <w:bCs/>
        <w:color w:val="FFFFFF" w:themeColor="background1"/>
      </w:rPr>
      <w:tblPr/>
      <w:tcPr>
        <w:tcBorders>
          <w:bottom w:val="single" w:sz="12" w:space="0" w:color="FFFFFF" w:themeColor="background1"/>
        </w:tcBorders>
        <w:shd w:val="clear" w:color="auto" w:fill="664E82" w:themeFill="accent4" w:themeFillShade="CC"/>
      </w:tcPr>
    </w:tblStylePr>
    <w:tblStylePr w:type="lastRow">
      <w:rPr>
        <w:b/>
        <w:bCs/>
        <w:color w:val="664E82" w:themeColor="accent4"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6EED5" w:themeFill="accent3" w:themeFillTint="3F"/>
      </w:tcPr>
    </w:tblStylePr>
    <w:tblStylePr w:type="band1Horz">
      <w:tblPr/>
      <w:tcPr>
        <w:shd w:val="clear" w:color="auto" w:fill="EAF1DD" w:themeFill="accent3" w:themeFillTint="33"/>
      </w:tcPr>
    </w:tblStylePr>
  </w:style>
  <w:style w:type="table" w:styleId="ColourfulListAccent4">
    <w:name w:val="Colorful List Accent 4"/>
    <w:basedOn w:val="TableNormal"/>
    <w:uiPriority w:val="72"/>
    <w:rsid w:val="00CB0664"/>
    <w:pPr>
      <w:spacing w:after="0" w:line="240" w:lineRule="auto"/>
    </w:pPr>
    <w:rPr>
      <w:color w:val="000000" w:themeColor="text1"/>
    </w:rPr>
    <w:tblPr>
      <w:tblStyleRowBandSize w:val="1"/>
      <w:tblStyleColBandSize w:val="1"/>
    </w:tblPr>
    <w:tcPr>
      <w:shd w:val="clear" w:color="auto" w:fill="F2EFF6" w:themeFill="accent4" w:themeFillTint="19"/>
    </w:tcPr>
    <w:tblStylePr w:type="firstRow">
      <w:rPr>
        <w:b/>
        <w:bCs/>
        <w:color w:val="FFFFFF" w:themeColor="background1"/>
      </w:rPr>
      <w:tblPr/>
      <w:tcPr>
        <w:tcBorders>
          <w:bottom w:val="single" w:sz="12" w:space="0" w:color="FFFFFF" w:themeColor="background1"/>
        </w:tcBorders>
        <w:shd w:val="clear" w:color="auto" w:fill="7E9C40" w:themeFill="accent3" w:themeFillShade="CC"/>
      </w:tcPr>
    </w:tblStylePr>
    <w:tblStylePr w:type="lastRow">
      <w:rPr>
        <w:b/>
        <w:bCs/>
        <w:color w:val="7E9C40" w:themeColor="accent3"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FD8E8" w:themeFill="accent4" w:themeFillTint="3F"/>
      </w:tcPr>
    </w:tblStylePr>
    <w:tblStylePr w:type="band1Horz">
      <w:tblPr/>
      <w:tcPr>
        <w:shd w:val="clear" w:color="auto" w:fill="E5DFEC" w:themeFill="accent4" w:themeFillTint="33"/>
      </w:tcPr>
    </w:tblStylePr>
  </w:style>
  <w:style w:type="table" w:styleId="ColourfulListAccent5">
    <w:name w:val="Colorful List Accent 5"/>
    <w:basedOn w:val="TableNormal"/>
    <w:uiPriority w:val="72"/>
    <w:rsid w:val="00CB0664"/>
    <w:pPr>
      <w:spacing w:after="0" w:line="240" w:lineRule="auto"/>
    </w:pPr>
    <w:rPr>
      <w:color w:val="000000" w:themeColor="text1"/>
    </w:rPr>
    <w:tblPr>
      <w:tblStyleRowBandSize w:val="1"/>
      <w:tblStyleColBandSize w:val="1"/>
    </w:tblPr>
    <w:tcPr>
      <w:shd w:val="clear" w:color="auto" w:fill="EDF6F9" w:themeFill="accent5" w:themeFillTint="19"/>
    </w:tcPr>
    <w:tblStylePr w:type="firstRow">
      <w:rPr>
        <w:b/>
        <w:bCs/>
        <w:color w:val="FFFFFF" w:themeColor="background1"/>
      </w:rPr>
      <w:tblPr/>
      <w:tcPr>
        <w:tcBorders>
          <w:bottom w:val="single" w:sz="12" w:space="0" w:color="FFFFFF" w:themeColor="background1"/>
        </w:tcBorders>
        <w:shd w:val="clear" w:color="auto" w:fill="F2730A" w:themeFill="accent6" w:themeFillShade="CC"/>
      </w:tcPr>
    </w:tblStylePr>
    <w:tblStylePr w:type="lastRow">
      <w:rPr>
        <w:b/>
        <w:bCs/>
        <w:color w:val="F2730A" w:themeColor="accent6"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2EAF1" w:themeFill="accent5" w:themeFillTint="3F"/>
      </w:tcPr>
    </w:tblStylePr>
    <w:tblStylePr w:type="band1Horz">
      <w:tblPr/>
      <w:tcPr>
        <w:shd w:val="clear" w:color="auto" w:fill="DAEEF3" w:themeFill="accent5" w:themeFillTint="33"/>
      </w:tcPr>
    </w:tblStylePr>
  </w:style>
  <w:style w:type="table" w:styleId="ColourfulListAccent6">
    <w:name w:val="Colorful List Accent 6"/>
    <w:basedOn w:val="TableNormal"/>
    <w:uiPriority w:val="72"/>
    <w:rsid w:val="00CB0664"/>
    <w:pPr>
      <w:spacing w:after="0" w:line="240" w:lineRule="auto"/>
    </w:pPr>
    <w:rPr>
      <w:color w:val="000000" w:themeColor="text1"/>
    </w:rPr>
    <w:tblPr>
      <w:tblStyleRowBandSize w:val="1"/>
      <w:tblStyleColBandSize w:val="1"/>
    </w:tblPr>
    <w:tcPr>
      <w:shd w:val="clear" w:color="auto" w:fill="FEF4EC" w:themeFill="accent6" w:themeFillTint="19"/>
    </w:tcPr>
    <w:tblStylePr w:type="firstRow">
      <w:rPr>
        <w:b/>
        <w:bCs/>
        <w:color w:val="FFFFFF" w:themeColor="background1"/>
      </w:rPr>
      <w:tblPr/>
      <w:tcPr>
        <w:tcBorders>
          <w:bottom w:val="single" w:sz="12" w:space="0" w:color="FFFFFF" w:themeColor="background1"/>
        </w:tcBorders>
        <w:shd w:val="clear" w:color="auto" w:fill="348DA5" w:themeFill="accent5" w:themeFillShade="CC"/>
      </w:tcPr>
    </w:tblStylePr>
    <w:tblStylePr w:type="lastRow">
      <w:rPr>
        <w:b/>
        <w:bCs/>
        <w:color w:val="348DA5" w:themeColor="accent5"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FDE4D0" w:themeFill="accent6" w:themeFillTint="3F"/>
      </w:tcPr>
    </w:tblStylePr>
    <w:tblStylePr w:type="band1Horz">
      <w:tblPr/>
      <w:tcPr>
        <w:shd w:val="clear" w:color="auto" w:fill="FDE9D9" w:themeFill="accent6" w:themeFillTint="33"/>
      </w:tcPr>
    </w:tblStylePr>
  </w:style>
  <w:style w:type="table" w:styleId="ColourfulGrid">
    <w:name w:val="Colorful Grid"/>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CCCCCC" w:themeFill="text1" w:themeFillTint="33"/>
    </w:tcPr>
    <w:tblStylePr w:type="firstRow">
      <w:rPr>
        <w:b/>
        <w:bCs/>
      </w:rPr>
      <w:tblPr/>
      <w:tcPr>
        <w:shd w:val="clear" w:color="auto" w:fill="999999" w:themeFill="text1" w:themeFillTint="66"/>
      </w:tcPr>
    </w:tblStylePr>
    <w:tblStylePr w:type="lastRow">
      <w:rPr>
        <w:b/>
        <w:bCs/>
        <w:color w:val="000000" w:themeColor="text1"/>
      </w:rPr>
      <w:tblPr/>
      <w:tcPr>
        <w:shd w:val="clear" w:color="auto" w:fill="999999" w:themeFill="text1" w:themeFillTint="66"/>
      </w:tcPr>
    </w:tblStylePr>
    <w:tblStylePr w:type="firstCol">
      <w:rPr>
        <w:color w:val="FFFFFF" w:themeColor="background1"/>
      </w:rPr>
      <w:tblPr/>
      <w:tcPr>
        <w:shd w:val="clear" w:color="auto" w:fill="000000" w:themeFill="text1" w:themeFillShade="BF"/>
      </w:tcPr>
    </w:tblStylePr>
    <w:tblStylePr w:type="lastCol">
      <w:rPr>
        <w:color w:val="FFFFFF" w:themeColor="background1"/>
      </w:rPr>
      <w:tblPr/>
      <w:tcPr>
        <w:shd w:val="clear" w:color="auto" w:fill="000000" w:themeFill="text1" w:themeFillShade="BF"/>
      </w:tc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ColourfulGridAccent1">
    <w:name w:val="Colorful Grid Accent 1"/>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BE5F1" w:themeFill="accent1" w:themeFillTint="33"/>
    </w:tcPr>
    <w:tblStylePr w:type="firstRow">
      <w:rPr>
        <w:b/>
        <w:bCs/>
      </w:rPr>
      <w:tblPr/>
      <w:tcPr>
        <w:shd w:val="clear" w:color="auto" w:fill="B8CCE4" w:themeFill="accent1" w:themeFillTint="66"/>
      </w:tcPr>
    </w:tblStylePr>
    <w:tblStylePr w:type="lastRow">
      <w:rPr>
        <w:b/>
        <w:bCs/>
        <w:color w:val="000000" w:themeColor="text1"/>
      </w:rPr>
      <w:tblPr/>
      <w:tcPr>
        <w:shd w:val="clear" w:color="auto" w:fill="B8CCE4" w:themeFill="accent1" w:themeFillTint="66"/>
      </w:tcPr>
    </w:tblStylePr>
    <w:tblStylePr w:type="firstCol">
      <w:rPr>
        <w:color w:val="FFFFFF" w:themeColor="background1"/>
      </w:rPr>
      <w:tblPr/>
      <w:tcPr>
        <w:shd w:val="clear" w:color="auto" w:fill="365F91" w:themeFill="accent1" w:themeFillShade="BF"/>
      </w:tcPr>
    </w:tblStylePr>
    <w:tblStylePr w:type="lastCol">
      <w:rPr>
        <w:color w:val="FFFFFF" w:themeColor="background1"/>
      </w:rPr>
      <w:tblPr/>
      <w:tcPr>
        <w:shd w:val="clear" w:color="auto" w:fill="365F91" w:themeFill="accent1" w:themeFillShade="BF"/>
      </w:tc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ColourfulGridAccent2">
    <w:name w:val="Colorful Grid Accent 2"/>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2DBDB" w:themeFill="accent2" w:themeFillTint="33"/>
    </w:tcPr>
    <w:tblStylePr w:type="firstRow">
      <w:rPr>
        <w:b/>
        <w:bCs/>
      </w:rPr>
      <w:tblPr/>
      <w:tcPr>
        <w:shd w:val="clear" w:color="auto" w:fill="E5B8B7" w:themeFill="accent2" w:themeFillTint="66"/>
      </w:tcPr>
    </w:tblStylePr>
    <w:tblStylePr w:type="lastRow">
      <w:rPr>
        <w:b/>
        <w:bCs/>
        <w:color w:val="000000" w:themeColor="text1"/>
      </w:rPr>
      <w:tblPr/>
      <w:tcPr>
        <w:shd w:val="clear" w:color="auto" w:fill="E5B8B7" w:themeFill="accent2" w:themeFillTint="66"/>
      </w:tcPr>
    </w:tblStylePr>
    <w:tblStylePr w:type="firstCol">
      <w:rPr>
        <w:color w:val="FFFFFF" w:themeColor="background1"/>
      </w:rPr>
      <w:tblPr/>
      <w:tcPr>
        <w:shd w:val="clear" w:color="auto" w:fill="943634" w:themeFill="accent2" w:themeFillShade="BF"/>
      </w:tcPr>
    </w:tblStylePr>
    <w:tblStylePr w:type="lastCol">
      <w:rPr>
        <w:color w:val="FFFFFF" w:themeColor="background1"/>
      </w:rPr>
      <w:tblPr/>
      <w:tcPr>
        <w:shd w:val="clear" w:color="auto" w:fill="943634" w:themeFill="accent2" w:themeFillShade="BF"/>
      </w:tc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ColourfulGridAccent3">
    <w:name w:val="Colorful Grid Accent 3"/>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AF1DD" w:themeFill="accent3" w:themeFillTint="33"/>
    </w:tcPr>
    <w:tblStylePr w:type="firstRow">
      <w:rPr>
        <w:b/>
        <w:bCs/>
      </w:rPr>
      <w:tblPr/>
      <w:tcPr>
        <w:shd w:val="clear" w:color="auto" w:fill="D6E3BC" w:themeFill="accent3" w:themeFillTint="66"/>
      </w:tcPr>
    </w:tblStylePr>
    <w:tblStylePr w:type="lastRow">
      <w:rPr>
        <w:b/>
        <w:bCs/>
        <w:color w:val="000000" w:themeColor="text1"/>
      </w:rPr>
      <w:tblPr/>
      <w:tcPr>
        <w:shd w:val="clear" w:color="auto" w:fill="D6E3BC" w:themeFill="accent3" w:themeFillTint="66"/>
      </w:tcPr>
    </w:tblStylePr>
    <w:tblStylePr w:type="firstCol">
      <w:rPr>
        <w:color w:val="FFFFFF" w:themeColor="background1"/>
      </w:rPr>
      <w:tblPr/>
      <w:tcPr>
        <w:shd w:val="clear" w:color="auto" w:fill="76923C" w:themeFill="accent3" w:themeFillShade="BF"/>
      </w:tcPr>
    </w:tblStylePr>
    <w:tblStylePr w:type="lastCol">
      <w:rPr>
        <w:color w:val="FFFFFF" w:themeColor="background1"/>
      </w:rPr>
      <w:tblPr/>
      <w:tcPr>
        <w:shd w:val="clear" w:color="auto" w:fill="76923C" w:themeFill="accent3" w:themeFillShade="BF"/>
      </w:tc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ColourfulGridAccent4">
    <w:name w:val="Colorful Grid Accent 4"/>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5DFEC" w:themeFill="accent4" w:themeFillTint="33"/>
    </w:tcPr>
    <w:tblStylePr w:type="firstRow">
      <w:rPr>
        <w:b/>
        <w:bCs/>
      </w:rPr>
      <w:tblPr/>
      <w:tcPr>
        <w:shd w:val="clear" w:color="auto" w:fill="CCC0D9" w:themeFill="accent4" w:themeFillTint="66"/>
      </w:tcPr>
    </w:tblStylePr>
    <w:tblStylePr w:type="lastRow">
      <w:rPr>
        <w:b/>
        <w:bCs/>
        <w:color w:val="000000" w:themeColor="text1"/>
      </w:rPr>
      <w:tblPr/>
      <w:tcPr>
        <w:shd w:val="clear" w:color="auto" w:fill="CCC0D9" w:themeFill="accent4" w:themeFillTint="66"/>
      </w:tcPr>
    </w:tblStylePr>
    <w:tblStylePr w:type="firstCol">
      <w:rPr>
        <w:color w:val="FFFFFF" w:themeColor="background1"/>
      </w:rPr>
      <w:tblPr/>
      <w:tcPr>
        <w:shd w:val="clear" w:color="auto" w:fill="5F497A" w:themeFill="accent4" w:themeFillShade="BF"/>
      </w:tcPr>
    </w:tblStylePr>
    <w:tblStylePr w:type="lastCol">
      <w:rPr>
        <w:color w:val="FFFFFF" w:themeColor="background1"/>
      </w:rPr>
      <w:tblPr/>
      <w:tcPr>
        <w:shd w:val="clear" w:color="auto" w:fill="5F497A" w:themeFill="accent4" w:themeFillShade="BF"/>
      </w:tc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ColourfulGridAccent5">
    <w:name w:val="Colorful Grid Accent 5"/>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AEEF3" w:themeFill="accent5" w:themeFillTint="33"/>
    </w:tcPr>
    <w:tblStylePr w:type="firstRow">
      <w:rPr>
        <w:b/>
        <w:bCs/>
      </w:rPr>
      <w:tblPr/>
      <w:tcPr>
        <w:shd w:val="clear" w:color="auto" w:fill="B6DDE8" w:themeFill="accent5" w:themeFillTint="66"/>
      </w:tcPr>
    </w:tblStylePr>
    <w:tblStylePr w:type="lastRow">
      <w:rPr>
        <w:b/>
        <w:bCs/>
        <w:color w:val="000000" w:themeColor="text1"/>
      </w:rPr>
      <w:tblPr/>
      <w:tcPr>
        <w:shd w:val="clear" w:color="auto" w:fill="B6DDE8" w:themeFill="accent5" w:themeFillTint="66"/>
      </w:tcPr>
    </w:tblStylePr>
    <w:tblStylePr w:type="firstCol">
      <w:rPr>
        <w:color w:val="FFFFFF" w:themeColor="background1"/>
      </w:rPr>
      <w:tblPr/>
      <w:tcPr>
        <w:shd w:val="clear" w:color="auto" w:fill="31849B" w:themeFill="accent5" w:themeFillShade="BF"/>
      </w:tcPr>
    </w:tblStylePr>
    <w:tblStylePr w:type="lastCol">
      <w:rPr>
        <w:color w:val="FFFFFF" w:themeColor="background1"/>
      </w:rPr>
      <w:tblPr/>
      <w:tcPr>
        <w:shd w:val="clear" w:color="auto" w:fill="31849B" w:themeFill="accent5" w:themeFillShade="BF"/>
      </w:tc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ColourfulGridAccent6">
    <w:name w:val="Colorful Grid Accent 6"/>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DE9D9" w:themeFill="accent6" w:themeFillTint="33"/>
    </w:tcPr>
    <w:tblStylePr w:type="firstRow">
      <w:rPr>
        <w:b/>
        <w:bCs/>
      </w:rPr>
      <w:tblPr/>
      <w:tcPr>
        <w:shd w:val="clear" w:color="auto" w:fill="FBD4B4" w:themeFill="accent6" w:themeFillTint="66"/>
      </w:tcPr>
    </w:tblStylePr>
    <w:tblStylePr w:type="lastRow">
      <w:rPr>
        <w:b/>
        <w:bCs/>
        <w:color w:val="000000" w:themeColor="text1"/>
      </w:rPr>
      <w:tblPr/>
      <w:tcPr>
        <w:shd w:val="clear" w:color="auto" w:fill="FBD4B4" w:themeFill="accent6" w:themeFillTint="66"/>
      </w:tcPr>
    </w:tblStylePr>
    <w:tblStylePr w:type="firstCol">
      <w:rPr>
        <w:color w:val="FFFFFF" w:themeColor="background1"/>
      </w:rPr>
      <w:tblPr/>
      <w:tcPr>
        <w:shd w:val="clear" w:color="auto" w:fill="E36C0A" w:themeFill="accent6" w:themeFillShade="BF"/>
      </w:tcPr>
    </w:tblStylePr>
    <w:tblStylePr w:type="lastCol">
      <w:rPr>
        <w:color w:val="FFFFFF" w:themeColor="background1"/>
      </w:rPr>
      <w:tblPr/>
      <w:tcPr>
        <w:shd w:val="clear" w:color="auto" w:fill="E36C0A" w:themeFill="accent6" w:themeFillShade="BF"/>
      </w:tc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paragraph" w:customStyle="1" w:styleId="font-claude-response-body">
    <w:name w:val="font-claude-response-body"/>
    <w:basedOn w:val="Normal"/>
    <w:rsid w:val="00B00309"/>
    <w:pPr>
      <w:spacing w:before="100" w:beforeAutospacing="1" w:after="100" w:afterAutospacing="1" w:line="240" w:lineRule="auto"/>
    </w:pPr>
    <w:rPr>
      <w:rFonts w:ascii="Times New Roman" w:eastAsia="Times New Roman" w:hAnsi="Times New Roman" w:cs="Times New Roman"/>
      <w:color w:val="auto"/>
      <w:szCs w:val="24"/>
    </w:rPr>
  </w:style>
  <w:style w:type="character" w:styleId="Hyperlink">
    <w:name w:val="Hyperlink"/>
    <w:basedOn w:val="DefaultParagraphFont"/>
    <w:uiPriority w:val="99"/>
    <w:unhideWhenUsed/>
    <w:rsid w:val="00B00309"/>
    <w:rPr>
      <w:color w:val="0000FF"/>
      <w:u w:val="single"/>
    </w:rPr>
  </w:style>
  <w:style w:type="paragraph" w:styleId="TOC1">
    <w:name w:val="toc 1"/>
    <w:basedOn w:val="Normal"/>
    <w:next w:val="Normal"/>
    <w:autoRedefine/>
    <w:uiPriority w:val="39"/>
    <w:unhideWhenUsed/>
    <w:rsid w:val="00DF0EF4"/>
    <w:pPr>
      <w:spacing w:after="100"/>
    </w:pPr>
  </w:style>
  <w:style w:type="paragraph" w:styleId="TOC2">
    <w:name w:val="toc 2"/>
    <w:basedOn w:val="Normal"/>
    <w:next w:val="Normal"/>
    <w:autoRedefine/>
    <w:uiPriority w:val="39"/>
    <w:unhideWhenUsed/>
    <w:rsid w:val="00DF0EF4"/>
    <w:pPr>
      <w:spacing w:after="100"/>
      <w:ind w:left="2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434402042">
      <w:bodyDiv w:val="1"/>
      <w:marLeft w:val="0"/>
      <w:marRight w:val="0"/>
      <w:marTop w:val="0"/>
      <w:marBottom w:val="0"/>
      <w:divBdr>
        <w:top w:val="none" w:sz="0" w:space="0" w:color="auto"/>
        <w:left w:val="none" w:sz="0" w:space="0" w:color="auto"/>
        <w:bottom w:val="none" w:sz="0" w:space="0" w:color="auto"/>
        <w:right w:val="none" w:sz="0" w:space="0" w:color="auto"/>
      </w:divBdr>
    </w:div>
  </w:divs>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tmp"/><Relationship Id="rId13" Type="http://schemas.openxmlformats.org/officeDocument/2006/relationships/hyperlink" Target="https://employeeownership.co.uk/Site/Site/content/All-About-EO/Case-Studies/john-lewis-partnership.aspx" TargetMode="External"/><Relationship Id="rId18" Type="http://schemas.openxmlformats.org/officeDocument/2006/relationships/hyperlink" Target="https://www.johnlewispartnership.co.uk/media-centre/latest-news/2026/23872" TargetMode="External"/><Relationship Id="rId3" Type="http://schemas.openxmlformats.org/officeDocument/2006/relationships/styles" Target="styles.xml"/><Relationship Id="rId21" Type="http://schemas.openxmlformats.org/officeDocument/2006/relationships/hyperlink" Target="https://www.retailgazette.co.uk/blog/2026/03/john-lewis-first-bonus-2022/" TargetMode="External"/><Relationship Id="rId7" Type="http://schemas.openxmlformats.org/officeDocument/2006/relationships/endnotes" Target="endnotes.xml"/><Relationship Id="rId12" Type="http://schemas.openxmlformats.org/officeDocument/2006/relationships/hyperlink" Target="https://www.drapersonline.com/news/john-lewis-mulls-revival-of-staff-bonus" TargetMode="External"/><Relationship Id="rId17" Type="http://schemas.openxmlformats.org/officeDocument/2006/relationships/hyperlink" Target="https://www.johnlewispartnership.co.uk/~/media/Files/J/john-lewis/corp/documents/jlp-plc-ara-2024-25.pdf" TargetMode="External"/><Relationship Id="rId25"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hyperlink" Target="https://www.investegate.co.uk/announcement/rns/john-lewis-plc--45gd/john-lewis-partnership-unaudited-results-/8086823" TargetMode="External"/><Relationship Id="rId20" Type="http://schemas.openxmlformats.org/officeDocument/2006/relationships/hyperlink" Target="https://www.personneltoday.com/hr/no-bonus-for-john-lewis-partners-despite-return-to-profit/"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aol.com/articles/john-lewis-pays-first-staff-072958291.html" TargetMode="External"/><Relationship Id="rId24"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hyperlink" Target="https://www.hofstede-insights.com/country-comparison-tool" TargetMode="External"/><Relationship Id="rId23" Type="http://schemas.openxmlformats.org/officeDocument/2006/relationships/footer" Target="footer1.xml"/><Relationship Id="rId10" Type="http://schemas.openxmlformats.org/officeDocument/2006/relationships/chart" Target="charts/chart2.xml"/><Relationship Id="rId19" Type="http://schemas.openxmlformats.org/officeDocument/2006/relationships/hyperlink" Target="https://committees.parliament.uk/writtenevidence/74324/html/" TargetMode="External"/><Relationship Id="rId4" Type="http://schemas.openxmlformats.org/officeDocument/2006/relationships/settings" Target="settings.xml"/><Relationship Id="rId9" Type="http://schemas.openxmlformats.org/officeDocument/2006/relationships/chart" Target="charts/chart1.xml"/><Relationship Id="rId14" Type="http://schemas.openxmlformats.org/officeDocument/2006/relationships/hyperlink" Target="https://fortune.com/europe/2025/03/13/john-lewis-profit-jumps-turnaround-wins-back-shoppers-fortune-500-europe-jason-tarry-waitrose/" TargetMode="External"/><Relationship Id="rId22" Type="http://schemas.openxmlformats.org/officeDocument/2006/relationships/hyperlink" Target="https://www.theindustry.fashion/the-john-lewis-partnership-are-staff-being-given-a-bonus-incentive-to-leave/" TargetMode="Externa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1"/>
  <c:lang val="en-GB"/>
  <c:roundedCorners val="1"/>
  <c:style val="10"/>
  <c:chart>
    <c:autoTitleDeleted val="1"/>
    <c:plotArea>
      <c:layout/>
      <c:barChart>
        <c:barDir val="bar"/>
        <c:grouping val="clustered"/>
        <c:varyColors val="0"/>
        <c:ser>
          <c:idx val="0"/>
          <c:order val="0"/>
          <c:tx>
            <c:strRef>
              <c:f>Sheet1!$B$1</c:f>
              <c:strCache>
                <c:ptCount val="1"/>
                <c:pt idx="0">
                  <c:v>UK Score</c:v>
                </c:pt>
              </c:strCache>
            </c:strRef>
          </c:tx>
          <c:spPr>
            <a:solidFill>
              <a:srgbClr val="1F3A68"/>
            </a:solidFill>
            <a:ln>
              <a:noFill/>
            </a:ln>
          </c:spPr>
          <c:invertIfNegative val="0"/>
          <c:dPt>
            <c:idx val="0"/>
            <c:invertIfNegative val="1"/>
            <c:bubble3D val="0"/>
            <c:spPr>
              <a:solidFill>
                <a:srgbClr val="7FB3D3"/>
              </a:solidFill>
            </c:spPr>
            <c:extLst>
              <c:ext xmlns:c16="http://schemas.microsoft.com/office/drawing/2014/chart" uri="{C3380CC4-5D6E-409C-BE32-E72D297353CC}">
                <c16:uniqueId val="{00000001-4166-4176-9FAD-A55BB2DF264B}"/>
              </c:ext>
            </c:extLst>
          </c:dPt>
          <c:dPt>
            <c:idx val="1"/>
            <c:invertIfNegative val="1"/>
            <c:bubble3D val="0"/>
            <c:spPr>
              <a:solidFill>
                <a:srgbClr val="1F3A68"/>
              </a:solidFill>
            </c:spPr>
            <c:extLst>
              <c:ext xmlns:c16="http://schemas.microsoft.com/office/drawing/2014/chart" uri="{C3380CC4-5D6E-409C-BE32-E72D297353CC}">
                <c16:uniqueId val="{00000003-4166-4176-9FAD-A55BB2DF264B}"/>
              </c:ext>
            </c:extLst>
          </c:dPt>
          <c:dPt>
            <c:idx val="2"/>
            <c:invertIfNegative val="1"/>
            <c:bubble3D val="0"/>
            <c:spPr>
              <a:solidFill>
                <a:srgbClr val="2E86AB"/>
              </a:solidFill>
            </c:spPr>
            <c:extLst>
              <c:ext xmlns:c16="http://schemas.microsoft.com/office/drawing/2014/chart" uri="{C3380CC4-5D6E-409C-BE32-E72D297353CC}">
                <c16:uniqueId val="{00000005-4166-4176-9FAD-A55BB2DF264B}"/>
              </c:ext>
            </c:extLst>
          </c:dPt>
          <c:dPt>
            <c:idx val="3"/>
            <c:invertIfNegative val="1"/>
            <c:bubble3D val="0"/>
            <c:spPr>
              <a:solidFill>
                <a:srgbClr val="7FB3D3"/>
              </a:solidFill>
            </c:spPr>
            <c:extLst>
              <c:ext xmlns:c16="http://schemas.microsoft.com/office/drawing/2014/chart" uri="{C3380CC4-5D6E-409C-BE32-E72D297353CC}">
                <c16:uniqueId val="{00000007-4166-4176-9FAD-A55BB2DF264B}"/>
              </c:ext>
            </c:extLst>
          </c:dPt>
          <c:dPt>
            <c:idx val="4"/>
            <c:invertIfNegative val="1"/>
            <c:bubble3D val="0"/>
            <c:spPr>
              <a:solidFill>
                <a:srgbClr val="2E86AB"/>
              </a:solidFill>
            </c:spPr>
            <c:extLst>
              <c:ext xmlns:c16="http://schemas.microsoft.com/office/drawing/2014/chart" uri="{C3380CC4-5D6E-409C-BE32-E72D297353CC}">
                <c16:uniqueId val="{00000009-4166-4176-9FAD-A55BB2DF264B}"/>
              </c:ext>
            </c:extLst>
          </c:dPt>
          <c:dPt>
            <c:idx val="5"/>
            <c:invertIfNegative val="1"/>
            <c:bubble3D val="0"/>
            <c:spPr>
              <a:solidFill>
                <a:srgbClr val="1F3A68"/>
              </a:solidFill>
            </c:spPr>
            <c:extLst>
              <c:ext xmlns:c16="http://schemas.microsoft.com/office/drawing/2014/chart" uri="{C3380CC4-5D6E-409C-BE32-E72D297353CC}">
                <c16:uniqueId val="{0000000B-4166-4176-9FAD-A55BB2DF264B}"/>
              </c:ext>
            </c:extLst>
          </c:dPt>
          <c:dLbls>
            <c:numFmt formatCode="General" sourceLinked="0"/>
            <c:spPr>
              <a:noFill/>
            </c:spPr>
            <c:txPr>
              <a:bodyPr/>
              <a:lstStyle/>
              <a:p>
                <a:pPr>
                  <a:defRPr sz="1000" b="1"/>
                </a:pPr>
                <a:endParaRPr lang="en-US"/>
              </a:p>
            </c:txPr>
            <c:showLegendKey val="0"/>
            <c:showVal val="1"/>
            <c:showCatName val="0"/>
            <c:showSerName val="0"/>
            <c:showPercent val="0"/>
            <c:showBubbleSize val="0"/>
            <c:showLeaderLines val="0"/>
            <c:extLst>
              <c:ext xmlns:c15="http://schemas.microsoft.com/office/drawing/2012/chart" uri="{CE6537A1-D6FC-4f65-9D91-7224C49458BB}">
                <c15:showLeaderLines val="0"/>
              </c:ext>
            </c:extLst>
          </c:dLbls>
          <c:cat>
            <c:strRef>
              <c:f>Sheet1!$A$2:$A$7</c:f>
              <c:strCache>
                <c:ptCount val="6"/>
                <c:pt idx="0">
                  <c:v>Power Distance</c:v>
                </c:pt>
                <c:pt idx="1">
                  <c:v>Individualism</c:v>
                </c:pt>
                <c:pt idx="2">
                  <c:v>Masculinity</c:v>
                </c:pt>
                <c:pt idx="3">
                  <c:v>Uncertainty Avoidance</c:v>
                </c:pt>
                <c:pt idx="4">
                  <c:v>Long-Term Orientation</c:v>
                </c:pt>
                <c:pt idx="5">
                  <c:v>Indulgence</c:v>
                </c:pt>
              </c:strCache>
            </c:strRef>
          </c:cat>
          <c:val>
            <c:numRef>
              <c:f>Sheet1!$B$2:$B$7</c:f>
              <c:numCache>
                <c:formatCode>General</c:formatCode>
                <c:ptCount val="6"/>
                <c:pt idx="0">
                  <c:v>35</c:v>
                </c:pt>
                <c:pt idx="1">
                  <c:v>89</c:v>
                </c:pt>
                <c:pt idx="2">
                  <c:v>66</c:v>
                </c:pt>
                <c:pt idx="3">
                  <c:v>35</c:v>
                </c:pt>
                <c:pt idx="4">
                  <c:v>51</c:v>
                </c:pt>
                <c:pt idx="5">
                  <c:v>69</c:v>
                </c:pt>
              </c:numCache>
            </c:numRef>
          </c:val>
          <c:extLst>
            <c:ext xmlns:c16="http://schemas.microsoft.com/office/drawing/2014/chart" uri="{C3380CC4-5D6E-409C-BE32-E72D297353CC}">
              <c16:uniqueId val="{0000000C-4166-4176-9FAD-A55BB2DF264B}"/>
            </c:ext>
          </c:extLst>
        </c:ser>
        <c:dLbls>
          <c:showLegendKey val="0"/>
          <c:showVal val="0"/>
          <c:showCatName val="0"/>
          <c:showSerName val="0"/>
          <c:showPercent val="0"/>
          <c:showBubbleSize val="0"/>
        </c:dLbls>
        <c:gapWidth val="150"/>
        <c:axId val="210"/>
        <c:axId val="211"/>
      </c:barChart>
      <c:catAx>
        <c:axId val="210"/>
        <c:scaling>
          <c:orientation val="minMax"/>
        </c:scaling>
        <c:delete val="0"/>
        <c:axPos val="l"/>
        <c:numFmt formatCode="General" sourceLinked="0"/>
        <c:majorTickMark val="cross"/>
        <c:minorTickMark val="cross"/>
        <c:tickLblPos val="nextTo"/>
        <c:spPr>
          <a:ln>
            <a:solidFill>
              <a:srgbClr val="A0A0A0"/>
            </a:solidFill>
          </a:ln>
        </c:spPr>
        <c:txPr>
          <a:bodyPr/>
          <a:lstStyle/>
          <a:p>
            <a:pPr>
              <a:defRPr sz="1000" b="0"/>
            </a:pPr>
            <a:endParaRPr lang="en-US"/>
          </a:p>
        </c:txPr>
        <c:crossAx val="211"/>
        <c:crosses val="autoZero"/>
        <c:auto val="1"/>
        <c:lblAlgn val="ctr"/>
        <c:lblOffset val="100"/>
        <c:noMultiLvlLbl val="1"/>
      </c:catAx>
      <c:valAx>
        <c:axId val="211"/>
        <c:scaling>
          <c:orientation val="minMax"/>
          <c:max val="100"/>
          <c:min val="0"/>
        </c:scaling>
        <c:delete val="0"/>
        <c:axPos val="b"/>
        <c:title>
          <c:tx>
            <c:rich>
              <a:bodyPr/>
              <a:lstStyle/>
              <a:p>
                <a:r>
                  <a:rPr lang="en-GB" sz="1000"/>
                  <a:t>Score (0-100)</a:t>
                </a:r>
              </a:p>
            </c:rich>
          </c:tx>
          <c:overlay val="0"/>
        </c:title>
        <c:numFmt formatCode="General" sourceLinked="0"/>
        <c:majorTickMark val="cross"/>
        <c:minorTickMark val="cross"/>
        <c:tickLblPos val="nextTo"/>
        <c:spPr>
          <a:ln>
            <a:solidFill>
              <a:srgbClr val="A0A0A0"/>
            </a:solidFill>
          </a:ln>
        </c:spPr>
        <c:txPr>
          <a:bodyPr/>
          <a:lstStyle/>
          <a:p>
            <a:pPr>
              <a:defRPr sz="1000" b="0"/>
            </a:pPr>
            <a:endParaRPr lang="en-US"/>
          </a:p>
        </c:txPr>
        <c:crossAx val="210"/>
        <c:crosses val="autoZero"/>
        <c:crossBetween val="between"/>
      </c:valAx>
    </c:plotArea>
    <c:legend>
      <c:legendPos val="b"/>
      <c:overlay val="0"/>
    </c:legend>
    <c:plotVisOnly val="1"/>
    <c:dispBlanksAs val="gap"/>
    <c:showDLblsOverMax val="1"/>
  </c:chart>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1"/>
  <c:lang val="en-GB"/>
  <c:roundedCorners val="1"/>
  <c:style val="10"/>
  <c:chart>
    <c:autoTitleDeleted val="1"/>
    <c:plotArea>
      <c:layout/>
      <c:barChart>
        <c:barDir val="col"/>
        <c:grouping val="clustered"/>
        <c:varyColors val="0"/>
        <c:ser>
          <c:idx val="0"/>
          <c:order val="0"/>
          <c:tx>
            <c:strRef>
              <c:f>Sheet1!$B$1</c:f>
              <c:strCache>
                <c:ptCount val="1"/>
                <c:pt idx="0">
                  <c:v>PBTBE</c:v>
                </c:pt>
              </c:strCache>
            </c:strRef>
          </c:tx>
          <c:spPr>
            <a:solidFill>
              <a:srgbClr val="1F3A68"/>
            </a:solidFill>
            <a:ln>
              <a:noFill/>
            </a:ln>
          </c:spPr>
          <c:invertIfNegative val="0"/>
          <c:dPt>
            <c:idx val="0"/>
            <c:invertIfNegative val="1"/>
            <c:bubble3D val="0"/>
            <c:spPr>
              <a:solidFill>
                <a:srgbClr val="1F3A68"/>
              </a:solidFill>
            </c:spPr>
            <c:extLst>
              <c:ext xmlns:c16="http://schemas.microsoft.com/office/drawing/2014/chart" uri="{C3380CC4-5D6E-409C-BE32-E72D297353CC}">
                <c16:uniqueId val="{00000001-518F-4AA5-91FB-596539B5A1EC}"/>
              </c:ext>
            </c:extLst>
          </c:dPt>
          <c:dPt>
            <c:idx val="1"/>
            <c:invertIfNegative val="1"/>
            <c:bubble3D val="0"/>
            <c:spPr>
              <a:solidFill>
                <a:srgbClr val="C0392B"/>
              </a:solidFill>
            </c:spPr>
            <c:extLst>
              <c:ext xmlns:c16="http://schemas.microsoft.com/office/drawing/2014/chart" uri="{C3380CC4-5D6E-409C-BE32-E72D297353CC}">
                <c16:uniqueId val="{00000003-518F-4AA5-91FB-596539B5A1EC}"/>
              </c:ext>
            </c:extLst>
          </c:dPt>
          <c:dPt>
            <c:idx val="2"/>
            <c:invertIfNegative val="1"/>
            <c:bubble3D val="0"/>
            <c:spPr>
              <a:solidFill>
                <a:srgbClr val="2E86AB"/>
              </a:solidFill>
            </c:spPr>
            <c:extLst>
              <c:ext xmlns:c16="http://schemas.microsoft.com/office/drawing/2014/chart" uri="{C3380CC4-5D6E-409C-BE32-E72D297353CC}">
                <c16:uniqueId val="{00000005-518F-4AA5-91FB-596539B5A1EC}"/>
              </c:ext>
            </c:extLst>
          </c:dPt>
          <c:dPt>
            <c:idx val="3"/>
            <c:invertIfNegative val="1"/>
            <c:bubble3D val="0"/>
            <c:spPr>
              <a:solidFill>
                <a:srgbClr val="1F3A68"/>
              </a:solidFill>
            </c:spPr>
            <c:extLst>
              <c:ext xmlns:c16="http://schemas.microsoft.com/office/drawing/2014/chart" uri="{C3380CC4-5D6E-409C-BE32-E72D297353CC}">
                <c16:uniqueId val="{00000007-518F-4AA5-91FB-596539B5A1EC}"/>
              </c:ext>
            </c:extLst>
          </c:dPt>
          <c:dPt>
            <c:idx val="4"/>
            <c:invertIfNegative val="1"/>
            <c:bubble3D val="0"/>
            <c:spPr>
              <a:solidFill>
                <a:srgbClr val="1F3A68"/>
              </a:solidFill>
            </c:spPr>
            <c:extLst>
              <c:ext xmlns:c16="http://schemas.microsoft.com/office/drawing/2014/chart" uri="{C3380CC4-5D6E-409C-BE32-E72D297353CC}">
                <c16:uniqueId val="{00000009-518F-4AA5-91FB-596539B5A1EC}"/>
              </c:ext>
            </c:extLst>
          </c:dPt>
          <c:dLbls>
            <c:numFmt formatCode="General" sourceLinked="0"/>
            <c:spPr>
              <a:noFill/>
            </c:spPr>
            <c:txPr>
              <a:bodyPr/>
              <a:lstStyle/>
              <a:p>
                <a:pPr>
                  <a:defRPr sz="1000" b="1"/>
                </a:pPr>
                <a:endParaRPr lang="en-US"/>
              </a:p>
            </c:txPr>
            <c:showLegendKey val="0"/>
            <c:showVal val="1"/>
            <c:showCatName val="0"/>
            <c:showSerName val="0"/>
            <c:showPercent val="0"/>
            <c:showBubbleSize val="0"/>
            <c:showLeaderLines val="0"/>
            <c:extLst>
              <c:ext xmlns:c15="http://schemas.microsoft.com/office/drawing/2012/chart" uri="{CE6537A1-D6FC-4f65-9D91-7224C49458BB}">
                <c15:showLeaderLines val="0"/>
              </c:ext>
            </c:extLst>
          </c:dLbls>
          <c:cat>
            <c:strRef>
              <c:f>Sheet1!$A$2:$A$6</c:f>
              <c:strCache>
                <c:ptCount val="5"/>
                <c:pt idx="0">
                  <c:v>2021/22</c:v>
                </c:pt>
                <c:pt idx="1">
                  <c:v>2022/23</c:v>
                </c:pt>
                <c:pt idx="2">
                  <c:v>2023/24</c:v>
                </c:pt>
                <c:pt idx="3">
                  <c:v>2024/25</c:v>
                </c:pt>
                <c:pt idx="4">
                  <c:v>2025/26</c:v>
                </c:pt>
              </c:strCache>
            </c:strRef>
          </c:cat>
          <c:val>
            <c:numRef>
              <c:f>Sheet1!$B$2:$B$6</c:f>
              <c:numCache>
                <c:formatCode>General</c:formatCode>
                <c:ptCount val="5"/>
                <c:pt idx="0">
                  <c:v>181</c:v>
                </c:pt>
                <c:pt idx="1">
                  <c:v>-78</c:v>
                </c:pt>
                <c:pt idx="2">
                  <c:v>42</c:v>
                </c:pt>
                <c:pt idx="3">
                  <c:v>126</c:v>
                </c:pt>
                <c:pt idx="4">
                  <c:v>134</c:v>
                </c:pt>
              </c:numCache>
            </c:numRef>
          </c:val>
          <c:extLst>
            <c:ext xmlns:c16="http://schemas.microsoft.com/office/drawing/2014/chart" uri="{C3380CC4-5D6E-409C-BE32-E72D297353CC}">
              <c16:uniqueId val="{0000000A-518F-4AA5-91FB-596539B5A1EC}"/>
            </c:ext>
          </c:extLst>
        </c:ser>
        <c:dLbls>
          <c:showLegendKey val="0"/>
          <c:showVal val="0"/>
          <c:showCatName val="0"/>
          <c:showSerName val="0"/>
          <c:showPercent val="0"/>
          <c:showBubbleSize val="0"/>
        </c:dLbls>
        <c:gapWidth val="150"/>
        <c:axId val="110"/>
        <c:axId val="111"/>
      </c:barChart>
      <c:catAx>
        <c:axId val="110"/>
        <c:scaling>
          <c:orientation val="minMax"/>
        </c:scaling>
        <c:delete val="0"/>
        <c:axPos val="b"/>
        <c:numFmt formatCode="General" sourceLinked="0"/>
        <c:majorTickMark val="cross"/>
        <c:minorTickMark val="cross"/>
        <c:tickLblPos val="nextTo"/>
        <c:spPr>
          <a:ln>
            <a:solidFill>
              <a:srgbClr val="A0A0A0"/>
            </a:solidFill>
          </a:ln>
        </c:spPr>
        <c:txPr>
          <a:bodyPr/>
          <a:lstStyle/>
          <a:p>
            <a:pPr>
              <a:defRPr sz="1000" b="0"/>
            </a:pPr>
            <a:endParaRPr lang="en-US"/>
          </a:p>
        </c:txPr>
        <c:crossAx val="111"/>
        <c:crosses val="autoZero"/>
        <c:auto val="1"/>
        <c:lblAlgn val="ctr"/>
        <c:lblOffset val="100"/>
        <c:noMultiLvlLbl val="1"/>
      </c:catAx>
      <c:valAx>
        <c:axId val="111"/>
        <c:scaling>
          <c:orientation val="minMax"/>
        </c:scaling>
        <c:delete val="0"/>
        <c:axPos val="l"/>
        <c:title>
          <c:tx>
            <c:rich>
              <a:bodyPr/>
              <a:lstStyle/>
              <a:p>
                <a:r>
                  <a:rPr lang="en-GB" sz="1000"/>
                  <a:t>PBTBE (£m)</a:t>
                </a:r>
              </a:p>
            </c:rich>
          </c:tx>
          <c:overlay val="0"/>
        </c:title>
        <c:numFmt formatCode="General" sourceLinked="0"/>
        <c:majorTickMark val="cross"/>
        <c:minorTickMark val="cross"/>
        <c:tickLblPos val="nextTo"/>
        <c:spPr>
          <a:ln>
            <a:solidFill>
              <a:srgbClr val="A0A0A0"/>
            </a:solidFill>
          </a:ln>
        </c:spPr>
        <c:txPr>
          <a:bodyPr/>
          <a:lstStyle/>
          <a:p>
            <a:pPr>
              <a:defRPr sz="1000" b="0"/>
            </a:pPr>
            <a:endParaRPr lang="en-US"/>
          </a:p>
        </c:txPr>
        <c:crossAx val="110"/>
        <c:crosses val="autoZero"/>
        <c:crossBetween val="between"/>
      </c:valAx>
    </c:plotArea>
    <c:legend>
      <c:legendPos val="b"/>
      <c:overlay val="0"/>
    </c:legend>
    <c:plotVisOnly val="1"/>
    <c:dispBlanksAs val="gap"/>
    <c:showDLblsOverMax val="1"/>
  </c:chart>
</c:chartSpace>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EF278816-EC6F-A645-907D-7F25AECB1D4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16</Pages>
  <Words>4620</Words>
  <Characters>26337</Characters>
  <Application>Microsoft Office Word</Application>
  <DocSecurity>0</DocSecurity>
  <Lines>219</Lines>
  <Paragraphs>61</Paragraphs>
  <ScaleCrop>false</ScaleCrop>
  <HeadingPairs>
    <vt:vector size="2" baseType="variant">
      <vt:variant>
        <vt:lpstr>Title</vt:lpstr>
      </vt:variant>
      <vt:variant>
        <vt:i4>1</vt:i4>
      </vt:variant>
    </vt:vector>
  </HeadingPairs>
  <TitlesOfParts>
    <vt:vector size="1" baseType="lpstr">
      <vt:lpstr/>
    </vt:vector>
  </TitlesOfParts>
  <Manager/>
  <Company/>
  <LinksUpToDate>false</LinksUpToDate>
  <CharactersWithSpaces>30896</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generated by python-docx</dc:description>
  <cp:lastModifiedBy>omima hassan</cp:lastModifiedBy>
  <cp:revision>2</cp:revision>
  <dcterms:created xsi:type="dcterms:W3CDTF">2026-07-08T23:44:00Z</dcterms:created>
  <dcterms:modified xsi:type="dcterms:W3CDTF">2026-07-08T23:44:00Z</dcterms:modified>
  <cp:category/>
</cp:coreProperties>
</file>