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8701144" w:rsidR="00DD5969" w:rsidRPr="00353860" w:rsidRDefault="00DD5969" w:rsidP="00DD5969">
      <w:pPr>
        <w:spacing w:before="212"/>
        <w:rPr>
          <w:rFonts w:ascii="Arial"/>
          <w:b/>
          <w:sz w:val="40"/>
          <w:szCs w:val="40"/>
          <w:highlight w:val="yellow"/>
          <w:lang w:val="fr-FR"/>
        </w:rPr>
      </w:pPr>
      <w:r w:rsidRPr="00353860">
        <w:rPr>
          <w:rFonts w:ascii="Arial"/>
          <w:b/>
          <w:bCs/>
          <w:sz w:val="48"/>
          <w:szCs w:val="48"/>
          <w:lang w:val="fr-FR"/>
        </w:rPr>
        <w:t xml:space="preserve">MODULE </w:t>
      </w:r>
      <w:proofErr w:type="gramStart"/>
      <w:r w:rsidRPr="00353860">
        <w:rPr>
          <w:rFonts w:ascii="Arial"/>
          <w:b/>
          <w:bCs/>
          <w:sz w:val="48"/>
          <w:szCs w:val="48"/>
          <w:lang w:val="fr-FR"/>
        </w:rPr>
        <w:t>CODE:</w:t>
      </w:r>
      <w:proofErr w:type="gramEnd"/>
      <w:r w:rsidR="095D05C6" w:rsidRPr="00353860">
        <w:rPr>
          <w:rFonts w:ascii="Arial"/>
          <w:b/>
          <w:bCs/>
          <w:sz w:val="48"/>
          <w:szCs w:val="48"/>
          <w:lang w:val="fr-FR"/>
        </w:rPr>
        <w:t xml:space="preserve"> </w:t>
      </w:r>
      <w:r w:rsidR="00545AD7" w:rsidRPr="00353860">
        <w:rPr>
          <w:rFonts w:ascii="Arial"/>
          <w:b/>
          <w:bCs/>
          <w:sz w:val="40"/>
          <w:szCs w:val="40"/>
          <w:lang w:val="fr-FR"/>
        </w:rPr>
        <w:t>EC</w:t>
      </w:r>
      <w:r w:rsidR="00D0262E" w:rsidRPr="00353860">
        <w:rPr>
          <w:rFonts w:ascii="Arial"/>
          <w:b/>
          <w:bCs/>
          <w:sz w:val="40"/>
          <w:szCs w:val="40"/>
          <w:lang w:val="fr-FR"/>
        </w:rPr>
        <w:t>PT600</w:t>
      </w:r>
      <w:r w:rsidR="00353860" w:rsidRPr="00353860">
        <w:rPr>
          <w:rFonts w:ascii="Arial"/>
          <w:b/>
          <w:bCs/>
          <w:sz w:val="40"/>
          <w:szCs w:val="40"/>
          <w:lang w:val="fr-FR"/>
        </w:rPr>
        <w:t>3</w:t>
      </w:r>
      <w:r w:rsidR="00A6013A" w:rsidRPr="00353860">
        <w:rPr>
          <w:rFonts w:ascii="Arial"/>
          <w:b/>
          <w:bCs/>
          <w:sz w:val="40"/>
          <w:szCs w:val="40"/>
          <w:lang w:val="fr-FR"/>
        </w:rPr>
        <w:t xml:space="preserve"> </w:t>
      </w:r>
    </w:p>
    <w:p w14:paraId="5051A2D5" w14:textId="77777777" w:rsidR="00347EA1" w:rsidRPr="00353860" w:rsidRDefault="00347EA1" w:rsidP="00DD5969">
      <w:pPr>
        <w:spacing w:before="212"/>
        <w:rPr>
          <w:rFonts w:ascii="Arial"/>
          <w:b/>
          <w:sz w:val="48"/>
          <w:szCs w:val="48"/>
          <w:lang w:val="fr-FR"/>
        </w:rPr>
      </w:pPr>
    </w:p>
    <w:p w14:paraId="52D012F0" w14:textId="75517ADD" w:rsidR="00347EA1" w:rsidRPr="00FD6F07" w:rsidRDefault="00347EA1" w:rsidP="00307139">
      <w:pPr>
        <w:spacing w:before="212"/>
        <w:rPr>
          <w:rFonts w:ascii="Arial"/>
          <w:b/>
          <w:bCs/>
          <w:sz w:val="48"/>
          <w:szCs w:val="48"/>
        </w:rPr>
      </w:pPr>
      <w:r w:rsidRPr="00FD6F07">
        <w:rPr>
          <w:rFonts w:ascii="Arial"/>
          <w:b/>
          <w:sz w:val="48"/>
          <w:szCs w:val="48"/>
        </w:rPr>
        <w:t>ASSESSMENT COMPONENT:</w:t>
      </w:r>
      <w:r w:rsidR="77A4C21D" w:rsidRPr="00FD6F07">
        <w:rPr>
          <w:rFonts w:ascii="Arial"/>
          <w:b/>
          <w:bCs/>
          <w:sz w:val="48"/>
          <w:szCs w:val="48"/>
        </w:rPr>
        <w:t xml:space="preserve"> </w:t>
      </w:r>
      <w:r w:rsidR="00353860" w:rsidRPr="00FD6F07">
        <w:rPr>
          <w:rFonts w:ascii="Arial"/>
          <w:b/>
          <w:bCs/>
          <w:sz w:val="40"/>
          <w:szCs w:val="40"/>
        </w:rPr>
        <w:t>A</w:t>
      </w:r>
      <w:r w:rsidR="00FD6F07" w:rsidRPr="00FD6F07">
        <w:rPr>
          <w:rFonts w:ascii="Arial"/>
          <w:b/>
          <w:bCs/>
          <w:sz w:val="40"/>
          <w:szCs w:val="40"/>
        </w:rPr>
        <w:t>1</w:t>
      </w:r>
      <w:r w:rsidR="00353860" w:rsidRPr="00FD6F07">
        <w:rPr>
          <w:rFonts w:ascii="Arial"/>
          <w:b/>
          <w:bCs/>
          <w:sz w:val="40"/>
          <w:szCs w:val="40"/>
        </w:rPr>
        <w:t xml:space="preserve"> P</w:t>
      </w:r>
      <w:r w:rsidR="00FD6F07" w:rsidRPr="00FD6F07">
        <w:rPr>
          <w:rFonts w:ascii="Arial"/>
          <w:b/>
          <w:bCs/>
          <w:sz w:val="40"/>
          <w:szCs w:val="40"/>
        </w:rPr>
        <w:t>ractical Teach</w:t>
      </w:r>
      <w:r w:rsidR="00FD6F07">
        <w:rPr>
          <w:rFonts w:ascii="Arial"/>
          <w:b/>
          <w:bCs/>
          <w:sz w:val="40"/>
          <w:szCs w:val="40"/>
        </w:rPr>
        <w:t>ing Session</w:t>
      </w:r>
    </w:p>
    <w:p w14:paraId="6AA1A7DC" w14:textId="77777777" w:rsidR="00DD5969" w:rsidRPr="00FD6F07" w:rsidRDefault="00DD5969" w:rsidP="00DD5969">
      <w:pPr>
        <w:spacing w:before="7"/>
        <w:jc w:val="center"/>
        <w:rPr>
          <w:rFonts w:ascii="Arial"/>
          <w:b/>
          <w:sz w:val="44"/>
        </w:rPr>
      </w:pPr>
    </w:p>
    <w:p w14:paraId="7681432B" w14:textId="403C1FF9" w:rsidR="00DD5969" w:rsidRPr="00DD5969" w:rsidRDefault="00DD5969" w:rsidP="00DD5969">
      <w:pPr>
        <w:spacing w:before="3"/>
        <w:rPr>
          <w:rFonts w:ascii="Arial"/>
          <w:b/>
          <w:sz w:val="48"/>
          <w:szCs w:val="48"/>
        </w:rPr>
      </w:pPr>
      <w:r w:rsidRPr="00DD5969">
        <w:rPr>
          <w:rFonts w:ascii="Arial"/>
          <w:b/>
          <w:sz w:val="48"/>
          <w:szCs w:val="48"/>
        </w:rPr>
        <w:t>STUDENT NAME:</w:t>
      </w:r>
      <w:r w:rsidR="007D6D2A">
        <w:rPr>
          <w:rFonts w:ascii="Arial"/>
          <w:b/>
          <w:sz w:val="48"/>
          <w:szCs w:val="48"/>
        </w:rPr>
        <w:t xml:space="preserve"> Katie Rees</w:t>
      </w:r>
    </w:p>
    <w:p w14:paraId="0D16D138" w14:textId="77777777" w:rsidR="00DD5969" w:rsidRPr="00DD5969" w:rsidRDefault="00DD5969" w:rsidP="00DD5969">
      <w:pPr>
        <w:spacing w:before="3"/>
        <w:rPr>
          <w:rFonts w:ascii="Arial"/>
          <w:b/>
          <w:sz w:val="48"/>
          <w:szCs w:val="48"/>
        </w:rPr>
      </w:pPr>
    </w:p>
    <w:p w14:paraId="18107AFF" w14:textId="15C40590"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7D6D2A">
        <w:rPr>
          <w:rFonts w:ascii="Arial"/>
          <w:b/>
          <w:sz w:val="48"/>
          <w:szCs w:val="48"/>
        </w:rPr>
        <w:t xml:space="preserve"> 2005699</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379ABBB7" w14:textId="77777777" w:rsidR="007D6D2A" w:rsidRDefault="007D6D2A" w:rsidP="00E243A8"/>
    <w:p w14:paraId="2599FFA0" w14:textId="77777777" w:rsidR="007D6D2A" w:rsidRPr="009D69DC" w:rsidRDefault="007D6D2A" w:rsidP="007D6D2A">
      <w:pPr>
        <w:spacing w:after="0" w:line="480" w:lineRule="auto"/>
        <w:ind w:left="360"/>
        <w:rPr>
          <w:rFonts w:asciiTheme="minorBidi" w:eastAsia="Arial" w:hAnsiTheme="minorBidi"/>
          <w:color w:val="000000" w:themeColor="text1"/>
        </w:rPr>
      </w:pPr>
      <w:r w:rsidRPr="009D69DC">
        <w:rPr>
          <w:rFonts w:asciiTheme="minorBidi" w:eastAsia="Arial" w:hAnsiTheme="minorBidi"/>
          <w:color w:val="000000" w:themeColor="text1"/>
        </w:rPr>
        <w:lastRenderedPageBreak/>
        <w:t>On the 24</w:t>
      </w:r>
      <w:r w:rsidRPr="009D69DC">
        <w:rPr>
          <w:rFonts w:asciiTheme="minorBidi" w:eastAsia="Arial" w:hAnsiTheme="minorBidi"/>
          <w:color w:val="000000" w:themeColor="text1"/>
          <w:vertAlign w:val="superscript"/>
        </w:rPr>
        <w:t>th</w:t>
      </w:r>
      <w:r w:rsidRPr="009D69DC">
        <w:rPr>
          <w:rFonts w:asciiTheme="minorBidi" w:eastAsia="Arial" w:hAnsiTheme="minorBidi"/>
          <w:color w:val="000000" w:themeColor="text1"/>
        </w:rPr>
        <w:t xml:space="preserve"> of November I completed a 30-minute micro teach to 5 students on the topic of Visual Hierarchy and making impactful infographics. I received feedback from both peers and the assessing tutor</w:t>
      </w:r>
      <w:r>
        <w:rPr>
          <w:rFonts w:asciiTheme="minorBidi" w:eastAsia="Arial" w:hAnsiTheme="minorBidi"/>
          <w:color w:val="000000" w:themeColor="text1"/>
        </w:rPr>
        <w:t xml:space="preserve">. </w:t>
      </w:r>
      <w:r w:rsidRPr="009D69DC">
        <w:rPr>
          <w:rFonts w:asciiTheme="minorBidi" w:eastAsia="Arial" w:hAnsiTheme="minorBidi"/>
          <w:color w:val="000000" w:themeColor="text1"/>
        </w:rPr>
        <w:t xml:space="preserve">I created a PowerPoint to support within my teaching and used handouts to aid the students in the practical task. Throughout this essay I aim to reflect on my microteach, considering feedback from my assessing tutor and peers. I will also consider any professional standards that I aligned with throughout my microteach, thinking about how I will evaluate and improve my practice going forward. </w:t>
      </w:r>
    </w:p>
    <w:p w14:paraId="1FF0583F" w14:textId="77777777" w:rsidR="007D6D2A" w:rsidRPr="009D69DC" w:rsidRDefault="007D6D2A" w:rsidP="007D6D2A">
      <w:pPr>
        <w:spacing w:after="0" w:line="480" w:lineRule="auto"/>
        <w:ind w:left="360"/>
        <w:rPr>
          <w:rFonts w:asciiTheme="minorBidi" w:eastAsia="Arial" w:hAnsiTheme="minorBidi"/>
          <w:color w:val="000000" w:themeColor="text1"/>
        </w:rPr>
      </w:pPr>
    </w:p>
    <w:p w14:paraId="2C2D134B" w14:textId="77777777" w:rsidR="007D6D2A" w:rsidRPr="009D69DC" w:rsidRDefault="007D6D2A" w:rsidP="007D6D2A">
      <w:pPr>
        <w:pStyle w:val="p1"/>
        <w:spacing w:line="480" w:lineRule="auto"/>
        <w:ind w:left="360"/>
        <w:rPr>
          <w:rFonts w:asciiTheme="minorBidi" w:hAnsiTheme="minorBidi" w:cstheme="minorBidi"/>
          <w:sz w:val="24"/>
          <w:szCs w:val="24"/>
        </w:rPr>
      </w:pPr>
      <w:bookmarkStart w:id="0" w:name="OLE_LINK3"/>
      <w:r w:rsidRPr="009D69DC">
        <w:rPr>
          <w:rFonts w:asciiTheme="minorBidi" w:eastAsia="Arial" w:hAnsiTheme="minorBidi" w:cstheme="minorBidi"/>
          <w:color w:val="000000" w:themeColor="text1"/>
          <w:sz w:val="24"/>
          <w:szCs w:val="24"/>
        </w:rPr>
        <w:t xml:space="preserve">I started my micro teach by displaying my Power point and handing out the relevant materials. I had </w:t>
      </w:r>
      <w:r>
        <w:rPr>
          <w:rFonts w:asciiTheme="minorBidi" w:eastAsia="Arial" w:hAnsiTheme="minorBidi" w:cstheme="minorBidi"/>
          <w:color w:val="000000" w:themeColor="text1"/>
          <w:sz w:val="24"/>
          <w:szCs w:val="24"/>
        </w:rPr>
        <w:t>feedback from my assessing tutor</w:t>
      </w:r>
      <w:r w:rsidRPr="009D69DC">
        <w:rPr>
          <w:rFonts w:asciiTheme="minorBidi" w:eastAsia="Arial" w:hAnsiTheme="minorBidi" w:cstheme="minorBidi"/>
          <w:color w:val="000000" w:themeColor="text1"/>
          <w:sz w:val="24"/>
          <w:szCs w:val="24"/>
        </w:rPr>
        <w:t xml:space="preserve"> </w:t>
      </w:r>
      <w:r>
        <w:rPr>
          <w:rFonts w:asciiTheme="minorBidi" w:eastAsia="Arial" w:hAnsiTheme="minorBidi" w:cstheme="minorBidi"/>
          <w:color w:val="000000" w:themeColor="text1"/>
          <w:sz w:val="24"/>
          <w:szCs w:val="24"/>
        </w:rPr>
        <w:t>stating,</w:t>
      </w:r>
      <w:r w:rsidRPr="009D69DC">
        <w:rPr>
          <w:rFonts w:asciiTheme="minorBidi" w:eastAsia="Arial" w:hAnsiTheme="minorBidi" w:cstheme="minorBidi"/>
          <w:color w:val="000000" w:themeColor="text1"/>
          <w:sz w:val="24"/>
          <w:szCs w:val="24"/>
        </w:rPr>
        <w:t xml:space="preserve"> “Your list of required resources for your lesson is good – you were well prepared for this lesson.” Planning my microteach in advance and creating a PowerPoint gave me confidence throughout. Race (2014) suggests that thorough preparation contributes significantly to the lecturer’s confidence and initial learner engagement, which I felt was true for me. Although, I would like to focus on speaking more freely and try to not rely on my notes as </w:t>
      </w:r>
      <w:r>
        <w:rPr>
          <w:rFonts w:asciiTheme="minorBidi" w:eastAsia="Arial" w:hAnsiTheme="minorBidi" w:cstheme="minorBidi"/>
          <w:color w:val="000000" w:themeColor="text1"/>
          <w:sz w:val="24"/>
          <w:szCs w:val="24"/>
        </w:rPr>
        <w:t>some f</w:t>
      </w:r>
      <w:r w:rsidRPr="009D69DC">
        <w:rPr>
          <w:rFonts w:asciiTheme="minorBidi" w:eastAsia="Arial" w:hAnsiTheme="minorBidi" w:cstheme="minorBidi"/>
          <w:color w:val="000000" w:themeColor="text1"/>
          <w:sz w:val="24"/>
          <w:szCs w:val="24"/>
        </w:rPr>
        <w:t>eedback stated my notes interrupted my flow. “When you go to your notes, you are less fluid.” This aligns with the professional standard “</w:t>
      </w:r>
      <w:r w:rsidRPr="009D69DC">
        <w:rPr>
          <w:rFonts w:asciiTheme="minorBidi" w:hAnsiTheme="minorBidi" w:cstheme="minorBidi"/>
          <w:sz w:val="24"/>
          <w:szCs w:val="24"/>
        </w:rPr>
        <w:t>Plan and deliver effective learning, teaching and assessment</w:t>
      </w:r>
      <w:r>
        <w:rPr>
          <w:rFonts w:asciiTheme="minorBidi" w:hAnsiTheme="minorBidi" w:cstheme="minorBidi"/>
          <w:sz w:val="24"/>
          <w:szCs w:val="24"/>
        </w:rPr>
        <w:t xml:space="preserve">. </w:t>
      </w:r>
    </w:p>
    <w:p w14:paraId="5849E210" w14:textId="77777777" w:rsidR="007D6D2A" w:rsidRPr="009D69DC" w:rsidRDefault="007D6D2A" w:rsidP="007D6D2A">
      <w:pPr>
        <w:pStyle w:val="p1"/>
        <w:spacing w:line="480" w:lineRule="auto"/>
        <w:ind w:left="360"/>
        <w:rPr>
          <w:rFonts w:asciiTheme="minorBidi" w:hAnsiTheme="minorBidi" w:cstheme="minorBidi"/>
          <w:sz w:val="24"/>
          <w:szCs w:val="24"/>
        </w:rPr>
      </w:pPr>
      <w:r w:rsidRPr="009D69DC">
        <w:rPr>
          <w:rFonts w:asciiTheme="minorBidi" w:hAnsiTheme="minorBidi" w:cstheme="minorBidi"/>
          <w:color w:val="2C3E50"/>
          <w:sz w:val="24"/>
          <w:szCs w:val="24"/>
          <w:shd w:val="clear" w:color="auto" w:fill="FFFFFF"/>
        </w:rPr>
        <w:t>(Professional standards for further education teachers, work-based learning practitioners and adult learning practitioners in Wales, 2023.)</w:t>
      </w:r>
    </w:p>
    <w:p w14:paraId="25725409" w14:textId="77777777" w:rsidR="007D6D2A" w:rsidRPr="009D69DC" w:rsidRDefault="007D6D2A" w:rsidP="007D6D2A">
      <w:pPr>
        <w:pStyle w:val="p1"/>
        <w:spacing w:line="480" w:lineRule="auto"/>
        <w:rPr>
          <w:rFonts w:asciiTheme="minorBidi" w:hAnsiTheme="minorBidi" w:cstheme="minorBidi"/>
          <w:sz w:val="24"/>
          <w:szCs w:val="24"/>
        </w:rPr>
      </w:pPr>
    </w:p>
    <w:p w14:paraId="00C53633" w14:textId="20D52B82" w:rsidR="007D6D2A" w:rsidRPr="009D69DC" w:rsidRDefault="007D6D2A" w:rsidP="007D6D2A">
      <w:pPr>
        <w:spacing w:line="480" w:lineRule="auto"/>
        <w:ind w:left="360"/>
        <w:rPr>
          <w:rFonts w:asciiTheme="minorBidi" w:eastAsia="Arial" w:hAnsiTheme="minorBidi"/>
          <w:color w:val="000000" w:themeColor="text1"/>
        </w:rPr>
      </w:pPr>
      <w:r w:rsidRPr="009D69DC">
        <w:rPr>
          <w:rFonts w:asciiTheme="minorBidi" w:eastAsia="Arial" w:hAnsiTheme="minorBidi"/>
          <w:color w:val="000000" w:themeColor="text1"/>
        </w:rPr>
        <w:t xml:space="preserve">I introduced the objectives clearly, outlining the expectations for the lesson. This </w:t>
      </w:r>
      <w:r>
        <w:rPr>
          <w:rFonts w:asciiTheme="minorBidi" w:eastAsia="Arial" w:hAnsiTheme="minorBidi"/>
          <w:color w:val="000000" w:themeColor="text1"/>
        </w:rPr>
        <w:t xml:space="preserve">was also </w:t>
      </w:r>
      <w:r w:rsidRPr="009D69DC">
        <w:rPr>
          <w:rFonts w:asciiTheme="minorBidi" w:eastAsia="Arial" w:hAnsiTheme="minorBidi"/>
          <w:color w:val="000000" w:themeColor="text1"/>
        </w:rPr>
        <w:t xml:space="preserve">reflected in my feedback, “Your aims and learning outcomes are clear </w:t>
      </w:r>
      <w:r w:rsidRPr="009D69DC">
        <w:rPr>
          <w:rFonts w:asciiTheme="minorBidi" w:eastAsia="Arial" w:hAnsiTheme="minorBidi"/>
          <w:color w:val="000000" w:themeColor="text1"/>
        </w:rPr>
        <w:lastRenderedPageBreak/>
        <w:t xml:space="preserve">and concise, they are measurable and achievable.” This links to Biggs and Tang’s constructive alignment theory. (Biggs &amp; Tang, 2011) which emphasizes the importance of transparent outcomes, so learners understand expectations. On reflection, I had too many aims and objectives for a 30-minute lesson so I will create fewer but more focused aims in the future. I then </w:t>
      </w:r>
      <w:r>
        <w:rPr>
          <w:rFonts w:asciiTheme="minorBidi" w:eastAsia="Arial" w:hAnsiTheme="minorBidi"/>
          <w:color w:val="000000" w:themeColor="text1"/>
        </w:rPr>
        <w:t xml:space="preserve">used a question </w:t>
      </w:r>
      <w:r w:rsidRPr="009D69DC">
        <w:rPr>
          <w:rFonts w:asciiTheme="minorBidi" w:eastAsia="Arial" w:hAnsiTheme="minorBidi"/>
          <w:color w:val="000000" w:themeColor="text1"/>
        </w:rPr>
        <w:t>to gauge prior knowledge, which helped</w:t>
      </w:r>
      <w:r>
        <w:rPr>
          <w:rFonts w:asciiTheme="minorBidi" w:eastAsia="Arial" w:hAnsiTheme="minorBidi"/>
          <w:color w:val="000000" w:themeColor="text1"/>
        </w:rPr>
        <w:t xml:space="preserve"> </w:t>
      </w:r>
      <w:r w:rsidRPr="009D69DC">
        <w:rPr>
          <w:rFonts w:asciiTheme="minorBidi" w:eastAsia="Arial" w:hAnsiTheme="minorBidi"/>
          <w:color w:val="000000" w:themeColor="text1"/>
        </w:rPr>
        <w:t xml:space="preserve">tailor the session. This reflects Wallace et al. (2012), who stresses the importance of understanding learners starting points when planning purposeful learning. </w:t>
      </w:r>
      <w:r>
        <w:rPr>
          <w:rFonts w:asciiTheme="minorBidi" w:eastAsia="Arial" w:hAnsiTheme="minorBidi"/>
          <w:color w:val="000000" w:themeColor="text1"/>
        </w:rPr>
        <w:t>My f</w:t>
      </w:r>
      <w:r w:rsidRPr="009D69DC">
        <w:rPr>
          <w:rFonts w:asciiTheme="minorBidi" w:eastAsia="Arial" w:hAnsiTheme="minorBidi"/>
          <w:color w:val="000000" w:themeColor="text1"/>
        </w:rPr>
        <w:t xml:space="preserve">eedback noted good engagement throughout, although one area of improvement was occasionally turning my back to the students. I will research teacher presence and see if also not relying on notes will help me to stop turning my back as much.  </w:t>
      </w:r>
    </w:p>
    <w:p w14:paraId="28BCF4A8" w14:textId="77777777" w:rsidR="007D6D2A" w:rsidRPr="009D69DC" w:rsidRDefault="007D6D2A" w:rsidP="007D6D2A">
      <w:pPr>
        <w:pStyle w:val="p1"/>
        <w:spacing w:line="480" w:lineRule="auto"/>
        <w:ind w:left="360"/>
        <w:rPr>
          <w:rFonts w:asciiTheme="minorBidi" w:eastAsia="Arial" w:hAnsiTheme="minorBidi" w:cstheme="minorBidi"/>
          <w:color w:val="000000" w:themeColor="text1"/>
          <w:sz w:val="24"/>
          <w:szCs w:val="24"/>
        </w:rPr>
      </w:pPr>
      <w:r w:rsidRPr="009D69DC">
        <w:rPr>
          <w:rFonts w:asciiTheme="minorBidi" w:eastAsia="Arial" w:hAnsiTheme="minorBidi" w:cstheme="minorBidi"/>
          <w:color w:val="000000" w:themeColor="text1"/>
          <w:sz w:val="24"/>
          <w:szCs w:val="24"/>
        </w:rPr>
        <w:t xml:space="preserve">Next, I introduced the four rules of visual hierarchy and showed examples. I also did a quick task where the students analysed the reading path of a strong infographic. I incorporated written examples, visuals and </w:t>
      </w:r>
      <w:proofErr w:type="spellStart"/>
      <w:r w:rsidRPr="009D69DC">
        <w:rPr>
          <w:rFonts w:asciiTheme="minorBidi" w:eastAsia="Arial" w:hAnsiTheme="minorBidi" w:cstheme="minorBidi"/>
          <w:color w:val="000000" w:themeColor="text1"/>
          <w:sz w:val="24"/>
          <w:szCs w:val="24"/>
        </w:rPr>
        <w:t>q&amp;a</w:t>
      </w:r>
      <w:proofErr w:type="spellEnd"/>
      <w:r w:rsidRPr="009D69DC">
        <w:rPr>
          <w:rFonts w:asciiTheme="minorBidi" w:eastAsia="Arial" w:hAnsiTheme="minorBidi" w:cstheme="minorBidi"/>
          <w:color w:val="000000" w:themeColor="text1"/>
          <w:sz w:val="24"/>
          <w:szCs w:val="24"/>
        </w:rPr>
        <w:t xml:space="preserve"> to support different learning styles. Reece and Walker </w:t>
      </w:r>
      <w:r>
        <w:rPr>
          <w:rFonts w:asciiTheme="minorBidi" w:eastAsia="Arial" w:hAnsiTheme="minorBidi" w:cstheme="minorBidi"/>
          <w:color w:val="000000" w:themeColor="text1"/>
          <w:sz w:val="24"/>
          <w:szCs w:val="24"/>
        </w:rPr>
        <w:t xml:space="preserve">(2007) </w:t>
      </w:r>
      <w:r w:rsidRPr="009D69DC">
        <w:rPr>
          <w:rFonts w:asciiTheme="minorBidi" w:eastAsia="Arial" w:hAnsiTheme="minorBidi" w:cstheme="minorBidi"/>
          <w:color w:val="000000" w:themeColor="text1"/>
          <w:sz w:val="24"/>
          <w:szCs w:val="24"/>
        </w:rPr>
        <w:t>emphasise the importance of using varied teaching methods to support learner engagement and understanding</w:t>
      </w:r>
      <w:r>
        <w:rPr>
          <w:rFonts w:asciiTheme="minorBidi" w:eastAsia="Arial" w:hAnsiTheme="minorBidi" w:cstheme="minorBidi"/>
          <w:color w:val="000000" w:themeColor="text1"/>
          <w:sz w:val="24"/>
          <w:szCs w:val="24"/>
        </w:rPr>
        <w:t xml:space="preserve">, </w:t>
      </w:r>
      <w:r w:rsidRPr="009D69DC">
        <w:rPr>
          <w:rFonts w:asciiTheme="minorBidi" w:eastAsia="Arial" w:hAnsiTheme="minorBidi" w:cstheme="minorBidi"/>
          <w:color w:val="000000" w:themeColor="text1"/>
          <w:sz w:val="24"/>
          <w:szCs w:val="24"/>
        </w:rPr>
        <w:t>which aligns with my approach. This aligns to the professional standard “</w:t>
      </w:r>
      <w:r w:rsidRPr="009D69DC">
        <w:rPr>
          <w:rFonts w:asciiTheme="minorBidi" w:hAnsiTheme="minorBidi" w:cstheme="minorBidi"/>
          <w:sz w:val="24"/>
          <w:szCs w:val="24"/>
        </w:rPr>
        <w:t xml:space="preserve">Plan and deliver effective learning, teaching and assessment” as I “created and planned learning environments where learners are active participants as individuals and as members of collaborative groups.” </w:t>
      </w:r>
      <w:r w:rsidRPr="009D69DC">
        <w:rPr>
          <w:rFonts w:asciiTheme="minorBidi" w:hAnsiTheme="minorBidi" w:cstheme="minorBidi"/>
          <w:color w:val="2C3E50"/>
          <w:sz w:val="24"/>
          <w:szCs w:val="24"/>
          <w:shd w:val="clear" w:color="auto" w:fill="FFFFFF"/>
        </w:rPr>
        <w:t xml:space="preserve">(Professional standards for further education teachers, work-based learning practitioners and adult learning practitioners in Wales, 2023.) </w:t>
      </w:r>
    </w:p>
    <w:p w14:paraId="7402985C" w14:textId="77777777" w:rsidR="007D6D2A" w:rsidRPr="009D69DC" w:rsidRDefault="007D6D2A" w:rsidP="007D6D2A">
      <w:pPr>
        <w:pStyle w:val="p1"/>
        <w:spacing w:line="480" w:lineRule="auto"/>
        <w:ind w:left="360"/>
        <w:rPr>
          <w:rFonts w:asciiTheme="minorBidi" w:hAnsiTheme="minorBidi" w:cstheme="minorBidi"/>
          <w:color w:val="2C3E50"/>
          <w:sz w:val="24"/>
          <w:szCs w:val="24"/>
          <w:shd w:val="clear" w:color="auto" w:fill="FFFFFF"/>
        </w:rPr>
      </w:pPr>
      <w:r w:rsidRPr="009D69DC">
        <w:rPr>
          <w:rFonts w:asciiTheme="minorBidi" w:hAnsiTheme="minorBidi" w:cstheme="minorBidi"/>
          <w:color w:val="2C3E50"/>
          <w:sz w:val="24"/>
          <w:szCs w:val="24"/>
          <w:shd w:val="clear" w:color="auto" w:fill="FFFFFF"/>
        </w:rPr>
        <w:t>I then included another visual example, which I created myself, showing a strong and weak infographic</w:t>
      </w:r>
      <w:r>
        <w:rPr>
          <w:rFonts w:asciiTheme="minorBidi" w:hAnsiTheme="minorBidi" w:cstheme="minorBidi"/>
          <w:color w:val="2C3E50"/>
          <w:sz w:val="24"/>
          <w:szCs w:val="24"/>
          <w:shd w:val="clear" w:color="auto" w:fill="FFFFFF"/>
        </w:rPr>
        <w:t xml:space="preserve"> side by side</w:t>
      </w:r>
      <w:r w:rsidRPr="009D69DC">
        <w:rPr>
          <w:rFonts w:asciiTheme="minorBidi" w:hAnsiTheme="minorBidi" w:cstheme="minorBidi"/>
          <w:color w:val="2C3E50"/>
          <w:sz w:val="24"/>
          <w:szCs w:val="24"/>
          <w:shd w:val="clear" w:color="auto" w:fill="FFFFFF"/>
        </w:rPr>
        <w:t xml:space="preserve">, helping students compare the effectiveness of the rules in practice. </w:t>
      </w:r>
    </w:p>
    <w:p w14:paraId="229C0A21" w14:textId="77777777" w:rsidR="007D6D2A" w:rsidRPr="009D69DC" w:rsidRDefault="007D6D2A" w:rsidP="007D6D2A">
      <w:pPr>
        <w:spacing w:line="480" w:lineRule="auto"/>
        <w:rPr>
          <w:rFonts w:asciiTheme="minorBidi" w:eastAsia="Arial" w:hAnsiTheme="minorBidi"/>
          <w:color w:val="000000" w:themeColor="text1"/>
        </w:rPr>
      </w:pPr>
    </w:p>
    <w:p w14:paraId="573D6A14" w14:textId="77777777" w:rsidR="007D6D2A" w:rsidRPr="009D69DC" w:rsidRDefault="007D6D2A" w:rsidP="007D6D2A">
      <w:pPr>
        <w:spacing w:line="480" w:lineRule="auto"/>
        <w:ind w:left="360"/>
        <w:rPr>
          <w:rFonts w:asciiTheme="minorBidi" w:eastAsia="Arial" w:hAnsiTheme="minorBidi"/>
          <w:color w:val="000000" w:themeColor="text1"/>
          <w:lang w:val="en-US"/>
        </w:rPr>
      </w:pPr>
      <w:r w:rsidRPr="009D69DC">
        <w:rPr>
          <w:rFonts w:asciiTheme="minorBidi" w:eastAsia="Arial" w:hAnsiTheme="minorBidi"/>
          <w:color w:val="000000" w:themeColor="text1"/>
        </w:rPr>
        <w:t>After this, I introduced the practical task students</w:t>
      </w:r>
      <w:r>
        <w:rPr>
          <w:rFonts w:asciiTheme="minorBidi" w:eastAsia="Arial" w:hAnsiTheme="minorBidi"/>
          <w:color w:val="000000" w:themeColor="text1"/>
        </w:rPr>
        <w:t xml:space="preserve"> had</w:t>
      </w:r>
      <w:r w:rsidRPr="009D69DC">
        <w:rPr>
          <w:rFonts w:asciiTheme="minorBidi" w:eastAsia="Arial" w:hAnsiTheme="minorBidi"/>
          <w:color w:val="000000" w:themeColor="text1"/>
        </w:rPr>
        <w:t xml:space="preserve"> 10 minutes to create their own infographics, applying the four rules of visual hierarchy. I set clear goals and did not make the brief too open to ensure focus. I also </w:t>
      </w:r>
      <w:r>
        <w:rPr>
          <w:rFonts w:asciiTheme="minorBidi" w:eastAsia="Arial" w:hAnsiTheme="minorBidi"/>
          <w:color w:val="000000" w:themeColor="text1"/>
        </w:rPr>
        <w:t xml:space="preserve">provided some topics </w:t>
      </w:r>
      <w:r w:rsidRPr="009D69DC">
        <w:rPr>
          <w:rFonts w:asciiTheme="minorBidi" w:eastAsia="Arial" w:hAnsiTheme="minorBidi"/>
          <w:color w:val="000000" w:themeColor="text1"/>
        </w:rPr>
        <w:t xml:space="preserve">as I anticipated that some students may struggle with coming up with a topic. This was noted in my feedback as a positive. Whilst the students completed the </w:t>
      </w:r>
      <w:r>
        <w:rPr>
          <w:rFonts w:asciiTheme="minorBidi" w:eastAsia="Arial" w:hAnsiTheme="minorBidi"/>
          <w:color w:val="000000" w:themeColor="text1"/>
        </w:rPr>
        <w:t>ta</w:t>
      </w:r>
      <w:r w:rsidRPr="009D69DC">
        <w:rPr>
          <w:rFonts w:asciiTheme="minorBidi" w:eastAsia="Arial" w:hAnsiTheme="minorBidi"/>
          <w:color w:val="000000" w:themeColor="text1"/>
        </w:rPr>
        <w:t>sk, I circled and checked in</w:t>
      </w:r>
      <w:r>
        <w:rPr>
          <w:rFonts w:asciiTheme="minorBidi" w:eastAsia="Arial" w:hAnsiTheme="minorBidi"/>
          <w:color w:val="000000" w:themeColor="text1"/>
        </w:rPr>
        <w:t xml:space="preserve">, </w:t>
      </w:r>
      <w:r w:rsidRPr="009D69DC">
        <w:rPr>
          <w:rFonts w:asciiTheme="minorBidi" w:eastAsia="Arial" w:hAnsiTheme="minorBidi"/>
          <w:color w:val="000000" w:themeColor="text1"/>
        </w:rPr>
        <w:t xml:space="preserve">offering supportive feedback. </w:t>
      </w:r>
      <w:r>
        <w:rPr>
          <w:rFonts w:asciiTheme="minorBidi" w:eastAsia="Arial" w:hAnsiTheme="minorBidi"/>
          <w:color w:val="000000" w:themeColor="text1"/>
        </w:rPr>
        <w:t>My Fe</w:t>
      </w:r>
      <w:r w:rsidRPr="009D69DC">
        <w:rPr>
          <w:rFonts w:asciiTheme="minorBidi" w:eastAsia="Arial" w:hAnsiTheme="minorBidi"/>
          <w:color w:val="000000" w:themeColor="text1"/>
        </w:rPr>
        <w:t xml:space="preserve">edback noted that I used multiple assessment strategies, including peer to peer, which aligns with Race’s (Race, 2014) emphasis on informal, ongoing feedback as a powerful learning tool. When the students were finished with the task, I asked them to display their infographics and stand by someone else’s work. From this I asked two questions - </w:t>
      </w:r>
      <w:r w:rsidRPr="009D69DC">
        <w:rPr>
          <w:rFonts w:asciiTheme="minorBidi" w:eastAsia="Arial" w:hAnsiTheme="minorBidi"/>
          <w:color w:val="000000" w:themeColor="text1"/>
          <w:lang w:val="en-US"/>
        </w:rPr>
        <w:t>What do you see first? And</w:t>
      </w:r>
      <w:r w:rsidRPr="009D69DC">
        <w:rPr>
          <w:rFonts w:asciiTheme="minorBidi" w:eastAsia="Arial" w:hAnsiTheme="minorBidi"/>
          <w:color w:val="000000" w:themeColor="text1"/>
        </w:rPr>
        <w:t xml:space="preserve"> </w:t>
      </w:r>
      <w:r w:rsidRPr="009D69DC">
        <w:rPr>
          <w:rFonts w:asciiTheme="minorBidi" w:eastAsia="Arial" w:hAnsiTheme="minorBidi"/>
          <w:color w:val="000000" w:themeColor="text1"/>
          <w:lang w:val="en-US"/>
        </w:rPr>
        <w:t>What hierarchy principle makes that happen? This peer review activity allowed students to reflect on each other’s work whilst receiving feedback f</w:t>
      </w:r>
      <w:r>
        <w:rPr>
          <w:rFonts w:asciiTheme="minorBidi" w:eastAsia="Arial" w:hAnsiTheme="minorBidi"/>
          <w:color w:val="000000" w:themeColor="text1"/>
          <w:lang w:val="en-US"/>
        </w:rPr>
        <w:t>rom</w:t>
      </w:r>
      <w:r w:rsidRPr="009D69DC">
        <w:rPr>
          <w:rFonts w:asciiTheme="minorBidi" w:eastAsia="Arial" w:hAnsiTheme="minorBidi"/>
          <w:color w:val="000000" w:themeColor="text1"/>
          <w:lang w:val="en-US"/>
        </w:rPr>
        <w:t xml:space="preserve"> myself.</w:t>
      </w:r>
      <w:r>
        <w:rPr>
          <w:rFonts w:asciiTheme="minorBidi" w:eastAsia="Arial" w:hAnsiTheme="minorBidi"/>
          <w:color w:val="000000" w:themeColor="text1"/>
          <w:lang w:val="en-US"/>
        </w:rPr>
        <w:t xml:space="preserve"> In my f</w:t>
      </w:r>
      <w:r w:rsidRPr="009D69DC">
        <w:rPr>
          <w:rFonts w:asciiTheme="minorBidi" w:eastAsia="Arial" w:hAnsiTheme="minorBidi"/>
          <w:color w:val="000000" w:themeColor="text1"/>
          <w:lang w:val="en-US"/>
        </w:rPr>
        <w:t xml:space="preserve">eedback </w:t>
      </w:r>
      <w:r>
        <w:rPr>
          <w:rFonts w:asciiTheme="minorBidi" w:eastAsia="Arial" w:hAnsiTheme="minorBidi"/>
          <w:color w:val="000000" w:themeColor="text1"/>
          <w:lang w:val="en-US"/>
        </w:rPr>
        <w:t xml:space="preserve">it was </w:t>
      </w:r>
      <w:r w:rsidRPr="009D69DC">
        <w:rPr>
          <w:rFonts w:asciiTheme="minorBidi" w:eastAsia="Arial" w:hAnsiTheme="minorBidi"/>
          <w:color w:val="000000" w:themeColor="text1"/>
          <w:lang w:val="en-US"/>
        </w:rPr>
        <w:t>noted that students were able to identify principles used, showing clear learning. This aligns with the professional standard ‘Enable learners to share responsibility for their own learning and assessment” as I led learners to review their own progress.</w:t>
      </w:r>
      <w:r w:rsidRPr="009D69DC">
        <w:rPr>
          <w:rFonts w:asciiTheme="minorBidi" w:hAnsiTheme="minorBidi"/>
          <w:color w:val="2C3E50"/>
          <w:shd w:val="clear" w:color="auto" w:fill="FFFFFF"/>
        </w:rPr>
        <w:t xml:space="preserve"> (Professional standards for further education teachers, work-based learning practitioners and adult learning practitioners in Wales, 2023.)</w:t>
      </w:r>
    </w:p>
    <w:p w14:paraId="6A1B7627" w14:textId="77777777" w:rsidR="007D6D2A" w:rsidRPr="009D69DC" w:rsidRDefault="007D6D2A" w:rsidP="007D6D2A">
      <w:pPr>
        <w:pStyle w:val="p1"/>
        <w:spacing w:line="480" w:lineRule="auto"/>
        <w:ind w:left="360"/>
        <w:rPr>
          <w:rFonts w:asciiTheme="minorBidi" w:hAnsiTheme="minorBidi" w:cstheme="minorBidi"/>
          <w:sz w:val="24"/>
          <w:szCs w:val="24"/>
        </w:rPr>
      </w:pPr>
      <w:r w:rsidRPr="009D69DC">
        <w:rPr>
          <w:rFonts w:asciiTheme="minorBidi" w:hAnsiTheme="minorBidi" w:cstheme="minorBidi"/>
          <w:color w:val="2C3E50"/>
          <w:sz w:val="24"/>
          <w:szCs w:val="24"/>
          <w:shd w:val="clear" w:color="auto" w:fill="FFFFFF"/>
        </w:rPr>
        <w:t>Finally, I wrapped up my lesson by recapping on what we had learned in the lesson, linking this to the objectives at the start.</w:t>
      </w:r>
      <w:r>
        <w:rPr>
          <w:rFonts w:asciiTheme="minorBidi" w:hAnsiTheme="minorBidi" w:cstheme="minorBidi"/>
          <w:color w:val="2C3E50"/>
          <w:sz w:val="24"/>
          <w:szCs w:val="24"/>
          <w:shd w:val="clear" w:color="auto" w:fill="FFFFFF"/>
        </w:rPr>
        <w:t xml:space="preserve"> My tutor f</w:t>
      </w:r>
      <w:r w:rsidRPr="009D69DC">
        <w:rPr>
          <w:rFonts w:asciiTheme="minorBidi" w:hAnsiTheme="minorBidi" w:cstheme="minorBidi"/>
          <w:color w:val="2C3E50"/>
          <w:sz w:val="24"/>
          <w:szCs w:val="24"/>
          <w:shd w:val="clear" w:color="auto" w:fill="FFFFFF"/>
        </w:rPr>
        <w:t xml:space="preserve">eedback noted that </w:t>
      </w:r>
      <w:r>
        <w:rPr>
          <w:rFonts w:asciiTheme="minorBidi" w:hAnsiTheme="minorBidi" w:cstheme="minorBidi"/>
          <w:color w:val="2C3E50"/>
          <w:sz w:val="24"/>
          <w:szCs w:val="24"/>
          <w:shd w:val="clear" w:color="auto" w:fill="FFFFFF"/>
        </w:rPr>
        <w:t xml:space="preserve">I </w:t>
      </w:r>
      <w:r w:rsidRPr="009D69DC">
        <w:rPr>
          <w:rFonts w:asciiTheme="minorBidi" w:hAnsiTheme="minorBidi" w:cstheme="minorBidi"/>
          <w:color w:val="2C3E50"/>
          <w:sz w:val="24"/>
          <w:szCs w:val="24"/>
          <w:shd w:val="clear" w:color="auto" w:fill="FFFFFF"/>
        </w:rPr>
        <w:t>should’ve considered asking the students what they learnt instead of telling them,</w:t>
      </w:r>
      <w:r>
        <w:rPr>
          <w:rFonts w:asciiTheme="minorBidi" w:hAnsiTheme="minorBidi" w:cstheme="minorBidi"/>
          <w:color w:val="2C3E50"/>
          <w:sz w:val="24"/>
          <w:szCs w:val="24"/>
          <w:shd w:val="clear" w:color="auto" w:fill="FFFFFF"/>
        </w:rPr>
        <w:t xml:space="preserve"> as</w:t>
      </w:r>
      <w:r w:rsidRPr="009D69DC">
        <w:rPr>
          <w:rFonts w:asciiTheme="minorBidi" w:hAnsiTheme="minorBidi" w:cstheme="minorBidi"/>
          <w:color w:val="2C3E50"/>
          <w:sz w:val="24"/>
          <w:szCs w:val="24"/>
          <w:shd w:val="clear" w:color="auto" w:fill="FFFFFF"/>
        </w:rPr>
        <w:t xml:space="preserve"> this would’ve promoted more active learning. This is something I will consider in the future. I finished with 3 minutes and 23 seconds </w:t>
      </w:r>
      <w:proofErr w:type="gramStart"/>
      <w:r w:rsidRPr="009D69DC">
        <w:rPr>
          <w:rFonts w:asciiTheme="minorBidi" w:hAnsiTheme="minorBidi" w:cstheme="minorBidi"/>
          <w:color w:val="2C3E50"/>
          <w:sz w:val="24"/>
          <w:szCs w:val="24"/>
          <w:shd w:val="clear" w:color="auto" w:fill="FFFFFF"/>
        </w:rPr>
        <w:t>left,</w:t>
      </w:r>
      <w:proofErr w:type="gramEnd"/>
      <w:r w:rsidRPr="009D69DC">
        <w:rPr>
          <w:rFonts w:asciiTheme="minorBidi" w:hAnsiTheme="minorBidi" w:cstheme="minorBidi"/>
          <w:color w:val="2C3E50"/>
          <w:sz w:val="24"/>
          <w:szCs w:val="24"/>
          <w:shd w:val="clear" w:color="auto" w:fill="FFFFFF"/>
        </w:rPr>
        <w:t xml:space="preserve"> another point I could improve on is ensuring I have better time management. It was also noted within </w:t>
      </w:r>
      <w:r w:rsidRPr="009D69DC">
        <w:rPr>
          <w:rFonts w:asciiTheme="minorBidi" w:hAnsiTheme="minorBidi" w:cstheme="minorBidi"/>
          <w:color w:val="2C3E50"/>
          <w:sz w:val="24"/>
          <w:szCs w:val="24"/>
          <w:shd w:val="clear" w:color="auto" w:fill="FFFFFF"/>
        </w:rPr>
        <w:lastRenderedPageBreak/>
        <w:t>my feedback how I didn’t include any Welsh examples or words. Doing so would’ve aligned with the professional standard ‘</w:t>
      </w:r>
      <w:r w:rsidRPr="009D69DC">
        <w:rPr>
          <w:rFonts w:asciiTheme="minorBidi" w:hAnsiTheme="minorBidi" w:cstheme="minorBidi"/>
          <w:sz w:val="24"/>
          <w:szCs w:val="24"/>
        </w:rPr>
        <w:t xml:space="preserve">Understand the importance of the Welsh culture and language as a bilingual nation’ which I will include next time. </w:t>
      </w:r>
    </w:p>
    <w:p w14:paraId="3A909DCB" w14:textId="77777777" w:rsidR="007D6D2A" w:rsidRPr="009D69DC" w:rsidRDefault="007D6D2A" w:rsidP="007D6D2A">
      <w:pPr>
        <w:pStyle w:val="p1"/>
        <w:spacing w:line="480" w:lineRule="auto"/>
        <w:ind w:left="360"/>
        <w:rPr>
          <w:rFonts w:asciiTheme="minorBidi" w:hAnsiTheme="minorBidi" w:cstheme="minorBidi"/>
          <w:sz w:val="24"/>
          <w:szCs w:val="24"/>
        </w:rPr>
      </w:pPr>
      <w:r w:rsidRPr="009D69DC">
        <w:rPr>
          <w:rFonts w:asciiTheme="minorBidi" w:hAnsiTheme="minorBidi" w:cstheme="minorBidi"/>
          <w:sz w:val="24"/>
          <w:szCs w:val="24"/>
        </w:rPr>
        <w:t>Another critical piece of feedback was that my handouts didn’t include any visual examples, which was an oversight</w:t>
      </w:r>
      <w:r>
        <w:rPr>
          <w:rFonts w:asciiTheme="minorBidi" w:hAnsiTheme="minorBidi" w:cstheme="minorBidi"/>
          <w:sz w:val="24"/>
          <w:szCs w:val="24"/>
        </w:rPr>
        <w:t xml:space="preserve"> from myself</w:t>
      </w:r>
      <w:r w:rsidRPr="009D69DC">
        <w:rPr>
          <w:rFonts w:asciiTheme="minorBidi" w:hAnsiTheme="minorBidi" w:cstheme="minorBidi"/>
          <w:sz w:val="24"/>
          <w:szCs w:val="24"/>
        </w:rPr>
        <w:t xml:space="preserve">. Reece and Walker (2007) stress the importance of </w:t>
      </w:r>
      <w:proofErr w:type="spellStart"/>
      <w:proofErr w:type="gramStart"/>
      <w:r w:rsidRPr="009D69DC">
        <w:rPr>
          <w:rFonts w:asciiTheme="minorBidi" w:hAnsiTheme="minorBidi" w:cstheme="minorBidi"/>
          <w:sz w:val="24"/>
          <w:szCs w:val="24"/>
        </w:rPr>
        <w:t>well designed</w:t>
      </w:r>
      <w:proofErr w:type="spellEnd"/>
      <w:proofErr w:type="gramEnd"/>
      <w:r w:rsidRPr="009D69DC">
        <w:rPr>
          <w:rFonts w:asciiTheme="minorBidi" w:hAnsiTheme="minorBidi" w:cstheme="minorBidi"/>
          <w:sz w:val="24"/>
          <w:szCs w:val="24"/>
        </w:rPr>
        <w:t xml:space="preserve"> resources to support learner understanding, so including visual and written examples would strengthen this in future.</w:t>
      </w:r>
    </w:p>
    <w:p w14:paraId="5902569A" w14:textId="77777777" w:rsidR="007D6D2A" w:rsidRPr="009D69DC" w:rsidRDefault="007D6D2A" w:rsidP="007D6D2A">
      <w:pPr>
        <w:pStyle w:val="p1"/>
        <w:spacing w:line="480" w:lineRule="auto"/>
        <w:rPr>
          <w:rFonts w:asciiTheme="minorBidi" w:hAnsiTheme="minorBidi" w:cstheme="minorBidi"/>
          <w:sz w:val="24"/>
          <w:szCs w:val="24"/>
        </w:rPr>
      </w:pPr>
    </w:p>
    <w:p w14:paraId="49C13453" w14:textId="77777777" w:rsidR="007D6D2A" w:rsidRPr="009D69DC" w:rsidRDefault="007D6D2A" w:rsidP="007D6D2A">
      <w:pPr>
        <w:pStyle w:val="p1"/>
        <w:spacing w:line="480" w:lineRule="auto"/>
        <w:ind w:left="360"/>
        <w:rPr>
          <w:rFonts w:asciiTheme="minorBidi" w:hAnsiTheme="minorBidi" w:cstheme="minorBidi"/>
          <w:sz w:val="24"/>
          <w:szCs w:val="24"/>
        </w:rPr>
      </w:pPr>
      <w:r w:rsidRPr="009D69DC">
        <w:rPr>
          <w:rFonts w:asciiTheme="minorBidi" w:hAnsiTheme="minorBidi" w:cstheme="minorBidi"/>
          <w:sz w:val="24"/>
          <w:szCs w:val="24"/>
        </w:rPr>
        <w:t xml:space="preserve">My key learning from this microteach is that while planning my lesson and creating supporting resources boosts my confidence, I should avoid relying heavily on my notes as it effects my delivery. I also recognise that my subject expertise helps me to engage the learners. Going forward, I plan to use less text, fewer notes, more Welsh, and improved timing. This feedback helps me to directly shape my next microteach and aligns with the professional standard “Critically reflect on own values, knowledge and skills to improve learning” as </w:t>
      </w:r>
      <w:proofErr w:type="spellStart"/>
      <w:r w:rsidRPr="009D69DC">
        <w:rPr>
          <w:rFonts w:asciiTheme="minorBidi" w:hAnsiTheme="minorBidi" w:cstheme="minorBidi"/>
          <w:sz w:val="24"/>
          <w:szCs w:val="24"/>
        </w:rPr>
        <w:t>im</w:t>
      </w:r>
      <w:proofErr w:type="spellEnd"/>
      <w:r w:rsidRPr="009D69DC">
        <w:rPr>
          <w:rFonts w:asciiTheme="minorBidi" w:hAnsiTheme="minorBidi" w:cstheme="minorBidi"/>
          <w:sz w:val="24"/>
          <w:szCs w:val="24"/>
        </w:rPr>
        <w:t xml:space="preserve"> “critically appraising my own practice and adapting it in the light of reflection and feedback, including feedback from learners.”</w:t>
      </w:r>
    </w:p>
    <w:bookmarkEnd w:id="0"/>
    <w:p w14:paraId="140140F4" w14:textId="77777777" w:rsidR="007D6D2A" w:rsidRPr="009D69DC" w:rsidRDefault="007D6D2A" w:rsidP="007D6D2A">
      <w:pPr>
        <w:spacing w:line="480" w:lineRule="auto"/>
        <w:rPr>
          <w:rFonts w:asciiTheme="minorBidi" w:eastAsia="Arial" w:hAnsiTheme="minorBidi"/>
          <w:color w:val="000000" w:themeColor="text1"/>
        </w:rPr>
      </w:pPr>
    </w:p>
    <w:p w14:paraId="0F257A3B" w14:textId="77777777" w:rsidR="007D6D2A" w:rsidRPr="009D69DC" w:rsidRDefault="007D6D2A" w:rsidP="007D6D2A">
      <w:pPr>
        <w:spacing w:line="480" w:lineRule="auto"/>
        <w:rPr>
          <w:rFonts w:asciiTheme="minorBidi" w:eastAsia="Arial" w:hAnsiTheme="minorBidi"/>
          <w:color w:val="000000" w:themeColor="text1"/>
        </w:rPr>
      </w:pPr>
    </w:p>
    <w:p w14:paraId="2BCED5A5" w14:textId="77777777" w:rsidR="007D6D2A" w:rsidRPr="000A02D0" w:rsidRDefault="007D6D2A" w:rsidP="007D6D2A">
      <w:pPr>
        <w:spacing w:line="480" w:lineRule="auto"/>
        <w:ind w:left="360"/>
        <w:rPr>
          <w:rFonts w:asciiTheme="minorBidi" w:eastAsia="Arial" w:hAnsiTheme="minorBidi"/>
          <w:color w:val="000000" w:themeColor="text1"/>
        </w:rPr>
      </w:pPr>
      <w:r w:rsidRPr="009D69DC">
        <w:rPr>
          <w:rFonts w:asciiTheme="minorBidi" w:eastAsia="Arial" w:hAnsiTheme="minorBidi"/>
          <w:color w:val="000000" w:themeColor="text1"/>
        </w:rPr>
        <w:br/>
      </w:r>
    </w:p>
    <w:p w14:paraId="165D0E79" w14:textId="77777777" w:rsidR="007D6D2A" w:rsidRDefault="007D6D2A" w:rsidP="007D6D2A">
      <w:pPr>
        <w:spacing w:before="100" w:beforeAutospacing="1" w:after="100" w:afterAutospacing="1" w:line="480" w:lineRule="auto"/>
        <w:ind w:left="360"/>
        <w:jc w:val="center"/>
        <w:rPr>
          <w:rFonts w:asciiTheme="minorBidi" w:eastAsia="Times New Roman" w:hAnsiTheme="minorBidi"/>
          <w:lang w:eastAsia="en-GB"/>
        </w:rPr>
      </w:pPr>
    </w:p>
    <w:p w14:paraId="3F9978DF" w14:textId="77777777" w:rsidR="007D6D2A" w:rsidRDefault="007D6D2A" w:rsidP="007D6D2A">
      <w:pPr>
        <w:spacing w:before="100" w:beforeAutospacing="1" w:after="100" w:afterAutospacing="1" w:line="480" w:lineRule="auto"/>
        <w:ind w:left="360"/>
        <w:jc w:val="center"/>
        <w:rPr>
          <w:rFonts w:asciiTheme="minorBidi" w:eastAsia="Times New Roman" w:hAnsiTheme="minorBidi"/>
          <w:lang w:eastAsia="en-GB"/>
        </w:rPr>
      </w:pPr>
    </w:p>
    <w:p w14:paraId="38E6D4DD" w14:textId="0B00FA92" w:rsidR="007D6D2A" w:rsidRDefault="007D6D2A" w:rsidP="007D6D2A">
      <w:pPr>
        <w:spacing w:before="100" w:beforeAutospacing="1" w:after="100" w:afterAutospacing="1" w:line="480" w:lineRule="auto"/>
        <w:ind w:left="360"/>
        <w:jc w:val="center"/>
        <w:rPr>
          <w:rFonts w:asciiTheme="minorBidi" w:eastAsia="Times New Roman" w:hAnsiTheme="minorBidi"/>
          <w:lang w:eastAsia="en-GB"/>
        </w:rPr>
      </w:pPr>
      <w:r>
        <w:rPr>
          <w:rFonts w:asciiTheme="minorBidi" w:eastAsia="Times New Roman" w:hAnsiTheme="minorBidi"/>
          <w:lang w:eastAsia="en-GB"/>
        </w:rPr>
        <w:lastRenderedPageBreak/>
        <w:t>Bibliography</w:t>
      </w:r>
    </w:p>
    <w:p w14:paraId="0A80E56D" w14:textId="77777777" w:rsidR="007D6D2A" w:rsidRPr="009D69DC" w:rsidRDefault="007D6D2A" w:rsidP="007D6D2A">
      <w:pPr>
        <w:spacing w:before="100" w:beforeAutospacing="1" w:after="100" w:afterAutospacing="1" w:line="480" w:lineRule="auto"/>
        <w:ind w:left="360"/>
        <w:rPr>
          <w:rFonts w:asciiTheme="minorBidi" w:eastAsia="Times New Roman" w:hAnsiTheme="minorBidi"/>
          <w:lang w:eastAsia="en-GB"/>
        </w:rPr>
      </w:pPr>
      <w:r w:rsidRPr="009D69DC">
        <w:rPr>
          <w:rFonts w:asciiTheme="minorBidi" w:eastAsia="Times New Roman" w:hAnsiTheme="minorBidi"/>
          <w:lang w:eastAsia="en-GB"/>
        </w:rPr>
        <w:t>Biggs, J. &amp; Tang, C. (2011) Teaching for Quality Learning at University. 4th ed. Maidenhead: Open University Press.</w:t>
      </w:r>
    </w:p>
    <w:p w14:paraId="0DEE307C" w14:textId="77777777" w:rsidR="007D6D2A" w:rsidRPr="009D69DC" w:rsidRDefault="007D6D2A" w:rsidP="007D6D2A">
      <w:pPr>
        <w:spacing w:before="100" w:beforeAutospacing="1" w:after="100" w:afterAutospacing="1" w:line="480" w:lineRule="auto"/>
        <w:ind w:left="360"/>
        <w:rPr>
          <w:rFonts w:asciiTheme="minorBidi" w:eastAsia="Times New Roman" w:hAnsiTheme="minorBidi"/>
          <w:lang w:eastAsia="en-GB"/>
        </w:rPr>
      </w:pPr>
      <w:r w:rsidRPr="009D69DC">
        <w:rPr>
          <w:rFonts w:asciiTheme="minorBidi" w:eastAsia="Times New Roman" w:hAnsiTheme="minorBidi"/>
          <w:lang w:eastAsia="en-GB"/>
        </w:rPr>
        <w:t>Bonwell, C. &amp; Eison, J. (1991) Active Learning: Creating Excitement in the Classroom. Washington, DC: ASHE-ERIC.</w:t>
      </w:r>
    </w:p>
    <w:p w14:paraId="05C6CD22" w14:textId="77777777" w:rsidR="007D6D2A" w:rsidRPr="009D69DC" w:rsidRDefault="007D6D2A" w:rsidP="007D6D2A">
      <w:pPr>
        <w:spacing w:before="100" w:beforeAutospacing="1" w:after="100" w:afterAutospacing="1" w:line="480" w:lineRule="auto"/>
        <w:ind w:left="360"/>
        <w:rPr>
          <w:rFonts w:asciiTheme="minorBidi" w:eastAsia="Times New Roman" w:hAnsiTheme="minorBidi"/>
          <w:lang w:eastAsia="en-GB"/>
        </w:rPr>
      </w:pPr>
      <w:proofErr w:type="spellStart"/>
      <w:r w:rsidRPr="009D69DC">
        <w:rPr>
          <w:rFonts w:asciiTheme="minorBidi" w:eastAsia="Times New Roman" w:hAnsiTheme="minorBidi"/>
          <w:lang w:eastAsia="en-GB"/>
        </w:rPr>
        <w:t>Leat</w:t>
      </w:r>
      <w:proofErr w:type="spellEnd"/>
      <w:r w:rsidRPr="009D69DC">
        <w:rPr>
          <w:rFonts w:asciiTheme="minorBidi" w:eastAsia="Times New Roman" w:hAnsiTheme="minorBidi"/>
          <w:lang w:eastAsia="en-GB"/>
        </w:rPr>
        <w:t>, D. (2012) Thinking Through Teaching and Learning. London: Routledge.</w:t>
      </w:r>
    </w:p>
    <w:p w14:paraId="36B83ACA" w14:textId="77777777" w:rsidR="007D6D2A" w:rsidRPr="009D69DC" w:rsidRDefault="007D6D2A" w:rsidP="007D6D2A">
      <w:pPr>
        <w:spacing w:before="100" w:beforeAutospacing="1" w:after="100" w:afterAutospacing="1" w:line="480" w:lineRule="auto"/>
        <w:ind w:left="360"/>
        <w:rPr>
          <w:rFonts w:asciiTheme="minorBidi" w:eastAsia="Times New Roman" w:hAnsiTheme="minorBidi"/>
          <w:lang w:eastAsia="en-GB"/>
        </w:rPr>
      </w:pPr>
      <w:r w:rsidRPr="009D69DC">
        <w:rPr>
          <w:rFonts w:asciiTheme="minorBidi" w:eastAsia="Times New Roman" w:hAnsiTheme="minorBidi"/>
          <w:lang w:eastAsia="en-GB"/>
        </w:rPr>
        <w:t>Race, P. (2014) The Lecturer’s Toolkit: A Practical Guide to Learning, Teaching and Assessment. 4th ed. London: Routledge.</w:t>
      </w:r>
    </w:p>
    <w:p w14:paraId="54B41C04" w14:textId="77777777" w:rsidR="007D6D2A" w:rsidRPr="009D69DC" w:rsidRDefault="007D6D2A" w:rsidP="007D6D2A">
      <w:pPr>
        <w:spacing w:before="100" w:beforeAutospacing="1" w:after="100" w:afterAutospacing="1" w:line="480" w:lineRule="auto"/>
        <w:ind w:left="360"/>
        <w:rPr>
          <w:rFonts w:asciiTheme="minorBidi" w:eastAsia="Times New Roman" w:hAnsiTheme="minorBidi"/>
          <w:lang w:eastAsia="en-GB"/>
        </w:rPr>
      </w:pPr>
      <w:r w:rsidRPr="009D69DC">
        <w:rPr>
          <w:rFonts w:asciiTheme="minorBidi" w:eastAsia="Times New Roman" w:hAnsiTheme="minorBidi"/>
          <w:lang w:eastAsia="en-GB"/>
        </w:rPr>
        <w:t>Reece, I. &amp; Walker, S. (2007) Teaching, Training and Learning: A Practical Guide. 6th ed. Sunderland: Business Education Publishers.</w:t>
      </w:r>
    </w:p>
    <w:p w14:paraId="1CA3ADFB" w14:textId="77777777" w:rsidR="007D6D2A" w:rsidRDefault="007D6D2A" w:rsidP="007D6D2A">
      <w:pPr>
        <w:spacing w:before="100" w:beforeAutospacing="1" w:after="100" w:afterAutospacing="1" w:line="480" w:lineRule="auto"/>
        <w:ind w:left="360"/>
        <w:rPr>
          <w:rFonts w:asciiTheme="minorBidi" w:eastAsia="Times New Roman" w:hAnsiTheme="minorBidi"/>
          <w:lang w:eastAsia="en-GB"/>
        </w:rPr>
      </w:pPr>
      <w:r w:rsidRPr="009D69DC">
        <w:rPr>
          <w:rFonts w:asciiTheme="minorBidi" w:eastAsia="Times New Roman" w:hAnsiTheme="minorBidi"/>
          <w:lang w:eastAsia="en-GB"/>
        </w:rPr>
        <w:t>Wallace, S., Avis, J. &amp; McMahon, A. (2012) Teaching in Lifelong Learning: A Guide to Theory and Practice. Exeter: Learning Matters.</w:t>
      </w:r>
    </w:p>
    <w:p w14:paraId="4E563892" w14:textId="77777777" w:rsidR="007D6D2A" w:rsidRPr="000A02D0" w:rsidRDefault="007D6D2A" w:rsidP="007D6D2A">
      <w:pPr>
        <w:spacing w:before="100" w:beforeAutospacing="1" w:after="100" w:afterAutospacing="1" w:line="480" w:lineRule="auto"/>
        <w:ind w:left="360"/>
        <w:rPr>
          <w:rFonts w:asciiTheme="minorBidi" w:eastAsia="Times New Roman" w:hAnsiTheme="minorBidi"/>
          <w:lang w:eastAsia="en-GB"/>
        </w:rPr>
      </w:pPr>
      <w:r w:rsidRPr="000A02D0">
        <w:rPr>
          <w:rFonts w:asciiTheme="minorBidi" w:eastAsia="Times New Roman" w:hAnsiTheme="minorBidi"/>
          <w:lang w:eastAsia="en-GB"/>
        </w:rPr>
        <w:t>Professional Standards for Further Education Teachers, Work-Based Learning Practitioners and Adult Learning Practitioners in Wales (2023). Welsh Government.</w:t>
      </w:r>
      <w:r>
        <w:rPr>
          <w:rFonts w:asciiTheme="minorBidi" w:eastAsia="Times New Roman" w:hAnsiTheme="minorBidi"/>
          <w:lang w:eastAsia="en-GB"/>
        </w:rPr>
        <w:t xml:space="preserve"> Available </w:t>
      </w:r>
      <w:proofErr w:type="gramStart"/>
      <w:r>
        <w:rPr>
          <w:rFonts w:asciiTheme="minorBidi" w:eastAsia="Times New Roman" w:hAnsiTheme="minorBidi"/>
          <w:lang w:eastAsia="en-GB"/>
        </w:rPr>
        <w:t>at :</w:t>
      </w:r>
      <w:proofErr w:type="gramEnd"/>
      <w:r>
        <w:rPr>
          <w:rFonts w:asciiTheme="minorBidi" w:eastAsia="Times New Roman" w:hAnsiTheme="minorBidi"/>
          <w:lang w:eastAsia="en-GB"/>
        </w:rPr>
        <w:t xml:space="preserve"> </w:t>
      </w:r>
      <w:r w:rsidRPr="000A02D0">
        <w:rPr>
          <w:rFonts w:asciiTheme="minorBidi" w:eastAsia="Times New Roman" w:hAnsiTheme="minorBidi"/>
          <w:lang w:eastAsia="en-GB"/>
        </w:rPr>
        <w:t>https://educators.wales/sites/default/files/2023-07/Professional%20standards%20for%20FE%20%20WBL%20and%20ACL%20Practitioners%20-%20June%202023.pdf</w:t>
      </w:r>
    </w:p>
    <w:p w14:paraId="5CC51054" w14:textId="77777777" w:rsidR="007D6D2A" w:rsidRPr="009D69DC" w:rsidRDefault="007D6D2A" w:rsidP="007D6D2A">
      <w:pPr>
        <w:spacing w:before="100" w:beforeAutospacing="1" w:after="100" w:afterAutospacing="1" w:line="480" w:lineRule="auto"/>
        <w:ind w:left="360"/>
        <w:rPr>
          <w:rFonts w:asciiTheme="minorBidi" w:eastAsia="Times New Roman" w:hAnsiTheme="minorBidi"/>
          <w:lang w:eastAsia="en-GB"/>
        </w:rPr>
      </w:pPr>
    </w:p>
    <w:p w14:paraId="0F1057CF" w14:textId="77777777" w:rsidR="007D6D2A" w:rsidRPr="009D69DC" w:rsidRDefault="007D6D2A" w:rsidP="007D6D2A">
      <w:pPr>
        <w:spacing w:line="480" w:lineRule="auto"/>
        <w:rPr>
          <w:rFonts w:asciiTheme="minorBidi" w:eastAsia="Arial" w:hAnsiTheme="minorBidi"/>
          <w:color w:val="000000" w:themeColor="text1"/>
        </w:rPr>
      </w:pPr>
    </w:p>
    <w:p w14:paraId="061710D3" w14:textId="77777777" w:rsidR="00E10797" w:rsidRDefault="00E10797" w:rsidP="00DD5969"/>
    <w:p w14:paraId="5C1162E5" w14:textId="20D100B4" w:rsidR="0053246E" w:rsidRDefault="0053246E" w:rsidP="00DD5969"/>
    <w:p w14:paraId="204C9F18" w14:textId="0C5C1D4D" w:rsidR="0053246E" w:rsidRDefault="0053246E" w:rsidP="00DD5969"/>
    <w:p w14:paraId="6D802E54" w14:textId="526CF9C8" w:rsidR="0053246E" w:rsidRDefault="0053246E" w:rsidP="00DD5969"/>
    <w:p w14:paraId="5B76040D" w14:textId="77777777" w:rsidR="0053246E" w:rsidRDefault="0053246E" w:rsidP="00DD5969"/>
    <w:p w14:paraId="469C05D1" w14:textId="77777777" w:rsidR="00724112" w:rsidRDefault="00724112" w:rsidP="00DD5969"/>
    <w:p w14:paraId="1113C735" w14:textId="77777777" w:rsidR="0053246E" w:rsidRDefault="0053246E" w:rsidP="00DD5969"/>
    <w:p w14:paraId="0ADC06E9" w14:textId="77777777" w:rsidR="00E10797" w:rsidRPr="00DD5969" w:rsidRDefault="00E10797"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9C930" w14:textId="77777777" w:rsidR="00284CCE" w:rsidRDefault="00284CCE" w:rsidP="00011AB6">
      <w:pPr>
        <w:spacing w:after="0" w:line="240" w:lineRule="auto"/>
      </w:pPr>
      <w:r>
        <w:separator/>
      </w:r>
    </w:p>
  </w:endnote>
  <w:endnote w:type="continuationSeparator" w:id="0">
    <w:p w14:paraId="7C300840" w14:textId="77777777" w:rsidR="00284CCE" w:rsidRDefault="00284CCE"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A739B" w14:textId="77777777" w:rsidR="00284CCE" w:rsidRDefault="00284CCE" w:rsidP="00011AB6">
      <w:pPr>
        <w:spacing w:after="0" w:line="240" w:lineRule="auto"/>
      </w:pPr>
      <w:r>
        <w:separator/>
      </w:r>
    </w:p>
  </w:footnote>
  <w:footnote w:type="continuationSeparator" w:id="0">
    <w:p w14:paraId="3CAE4329" w14:textId="77777777" w:rsidR="00284CCE" w:rsidRDefault="00284CCE" w:rsidP="00011A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51C6A"/>
    <w:rsid w:val="00061BBC"/>
    <w:rsid w:val="00063ADC"/>
    <w:rsid w:val="000A2E17"/>
    <w:rsid w:val="000A470F"/>
    <w:rsid w:val="000C144A"/>
    <w:rsid w:val="000C541C"/>
    <w:rsid w:val="000C68CB"/>
    <w:rsid w:val="000D5B34"/>
    <w:rsid w:val="0010406A"/>
    <w:rsid w:val="00110DEC"/>
    <w:rsid w:val="001118FB"/>
    <w:rsid w:val="00115538"/>
    <w:rsid w:val="00135DD1"/>
    <w:rsid w:val="00147924"/>
    <w:rsid w:val="00164156"/>
    <w:rsid w:val="001819DF"/>
    <w:rsid w:val="001A1AEA"/>
    <w:rsid w:val="001B086C"/>
    <w:rsid w:val="001C6E70"/>
    <w:rsid w:val="002424D0"/>
    <w:rsid w:val="00262DC1"/>
    <w:rsid w:val="00284CCE"/>
    <w:rsid w:val="002F243A"/>
    <w:rsid w:val="00301906"/>
    <w:rsid w:val="00302BB1"/>
    <w:rsid w:val="00307139"/>
    <w:rsid w:val="003341DF"/>
    <w:rsid w:val="00347EA1"/>
    <w:rsid w:val="00353860"/>
    <w:rsid w:val="00382546"/>
    <w:rsid w:val="003A4B66"/>
    <w:rsid w:val="003A709B"/>
    <w:rsid w:val="003D223A"/>
    <w:rsid w:val="00417AB6"/>
    <w:rsid w:val="004D474C"/>
    <w:rsid w:val="0053246E"/>
    <w:rsid w:val="00536CFB"/>
    <w:rsid w:val="00543F5E"/>
    <w:rsid w:val="00545AD7"/>
    <w:rsid w:val="00584970"/>
    <w:rsid w:val="005A71D9"/>
    <w:rsid w:val="005B4971"/>
    <w:rsid w:val="005B783A"/>
    <w:rsid w:val="005F42D0"/>
    <w:rsid w:val="005F7C42"/>
    <w:rsid w:val="0062310A"/>
    <w:rsid w:val="00664B16"/>
    <w:rsid w:val="0066657F"/>
    <w:rsid w:val="00673F55"/>
    <w:rsid w:val="006B52C3"/>
    <w:rsid w:val="007203C3"/>
    <w:rsid w:val="00724112"/>
    <w:rsid w:val="007352C0"/>
    <w:rsid w:val="00743752"/>
    <w:rsid w:val="007D3AE1"/>
    <w:rsid w:val="007D6D2A"/>
    <w:rsid w:val="007D777F"/>
    <w:rsid w:val="007E01E0"/>
    <w:rsid w:val="00803155"/>
    <w:rsid w:val="00814F92"/>
    <w:rsid w:val="00840BEE"/>
    <w:rsid w:val="00851EDB"/>
    <w:rsid w:val="00887A61"/>
    <w:rsid w:val="008D7180"/>
    <w:rsid w:val="008F1086"/>
    <w:rsid w:val="008F3574"/>
    <w:rsid w:val="009060A0"/>
    <w:rsid w:val="0091355A"/>
    <w:rsid w:val="00917008"/>
    <w:rsid w:val="00935B8D"/>
    <w:rsid w:val="009B02E5"/>
    <w:rsid w:val="009B164A"/>
    <w:rsid w:val="00A23D6E"/>
    <w:rsid w:val="00A476E3"/>
    <w:rsid w:val="00A6013A"/>
    <w:rsid w:val="00AD7313"/>
    <w:rsid w:val="00AE2AA9"/>
    <w:rsid w:val="00AE3307"/>
    <w:rsid w:val="00B028A8"/>
    <w:rsid w:val="00B053E6"/>
    <w:rsid w:val="00B103B9"/>
    <w:rsid w:val="00B42784"/>
    <w:rsid w:val="00B51B61"/>
    <w:rsid w:val="00B724BB"/>
    <w:rsid w:val="00BE2A35"/>
    <w:rsid w:val="00BE3554"/>
    <w:rsid w:val="00C129B8"/>
    <w:rsid w:val="00C24461"/>
    <w:rsid w:val="00C2550A"/>
    <w:rsid w:val="00C4699D"/>
    <w:rsid w:val="00CF32AC"/>
    <w:rsid w:val="00D0262E"/>
    <w:rsid w:val="00D24ADF"/>
    <w:rsid w:val="00D26517"/>
    <w:rsid w:val="00D33868"/>
    <w:rsid w:val="00DC55F3"/>
    <w:rsid w:val="00DD5969"/>
    <w:rsid w:val="00E10797"/>
    <w:rsid w:val="00E12EA7"/>
    <w:rsid w:val="00E243A8"/>
    <w:rsid w:val="00E6747C"/>
    <w:rsid w:val="00EA0B9A"/>
    <w:rsid w:val="00EA15D1"/>
    <w:rsid w:val="00EA6220"/>
    <w:rsid w:val="00EA7933"/>
    <w:rsid w:val="00EC1771"/>
    <w:rsid w:val="00EC3AD1"/>
    <w:rsid w:val="00F244F1"/>
    <w:rsid w:val="00F8089C"/>
    <w:rsid w:val="00F96C0B"/>
    <w:rsid w:val="00FC5EAB"/>
    <w:rsid w:val="00FD6F07"/>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paragraph" w:customStyle="1" w:styleId="p1">
    <w:name w:val="p1"/>
    <w:basedOn w:val="Normal"/>
    <w:rsid w:val="007D6D2A"/>
    <w:pPr>
      <w:spacing w:after="0" w:line="240" w:lineRule="auto"/>
    </w:pPr>
    <w:rPr>
      <w:rFonts w:ascii="Arial" w:eastAsia="Times New Roman" w:hAnsi="Arial" w:cs="Arial"/>
      <w:color w:val="000000"/>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1408</Words>
  <Characters>8028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Katie Rees (2005699)</cp:lastModifiedBy>
  <cp:revision>2</cp:revision>
  <dcterms:created xsi:type="dcterms:W3CDTF">2025-12-05T23:39:00Z</dcterms:created>
  <dcterms:modified xsi:type="dcterms:W3CDTF">2025-12-05T23:39:00Z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