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notes+xml" PartName="/word/footnot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0">
      <w:pPr>
        <w:contextualSpacing w:val="0"/>
        <w:jc w:val="center"/>
        <w:rPr>
          <w:b w:val="1"/>
          <w:sz w:val="24"/>
          <w:szCs w:val="24"/>
          <w:u w:val="single"/>
        </w:rPr>
      </w:pPr>
      <w:r w:rsidDel="00000000" w:rsidR="00000000" w:rsidRPr="00000000">
        <w:rPr>
          <w:b w:val="1"/>
          <w:sz w:val="24"/>
          <w:szCs w:val="24"/>
          <w:u w:val="single"/>
          <w:rtl w:val="0"/>
        </w:rPr>
        <w:t xml:space="preserve">How may one distinguish between a caused event and a coincidence?</w:t>
      </w:r>
    </w:p>
    <w:p w:rsidR="00000000" w:rsidDel="00000000" w:rsidP="00000000" w:rsidRDefault="00000000" w:rsidRPr="00000000" w14:paraId="00000001">
      <w:pPr>
        <w:contextualSpacing w:val="0"/>
        <w:rPr/>
      </w:pPr>
      <w:r w:rsidDel="00000000" w:rsidR="00000000" w:rsidRPr="00000000">
        <w:rPr>
          <w:rtl w:val="0"/>
        </w:rPr>
      </w:r>
    </w:p>
    <w:p w:rsidR="00000000" w:rsidDel="00000000" w:rsidP="00000000" w:rsidRDefault="00000000" w:rsidRPr="00000000" w14:paraId="00000002">
      <w:pPr>
        <w:contextualSpacing w:val="0"/>
        <w:rPr/>
      </w:pPr>
      <w:r w:rsidDel="00000000" w:rsidR="00000000" w:rsidRPr="00000000">
        <w:rPr>
          <w:rtl w:val="0"/>
        </w:rPr>
      </w:r>
    </w:p>
    <w:p w:rsidR="00000000" w:rsidDel="00000000" w:rsidP="00000000" w:rsidRDefault="00000000" w:rsidRPr="00000000" w14:paraId="00000003">
      <w:pPr>
        <w:contextualSpacing w:val="0"/>
        <w:rPr/>
      </w:pPr>
      <w:r w:rsidDel="00000000" w:rsidR="00000000" w:rsidRPr="00000000">
        <w:rPr>
          <w:rtl w:val="0"/>
        </w:rPr>
        <w:t xml:space="preserve">In day to day life we see many a thing where one variable affects another and many things which seem interlinked. Sometimes the link between the two variables is that of mere chance and the action of one variable did not cause that of the other, this is called a coincidence, for example a daughter dying the day after her mother has passed. A caused event is when one variable affects another, for example ice cream sales increasing when the weather is hot. However we do not know that the death of a mother did not affect her daughter and brought on health implications. We also do not know that the weather caused ice cream sales to increase, it could just be a coincidence. The issue stems from this, so how can we tell the difference between a caused event and coincidence? Some may argue evidence, but what constituted evidence? Also it is certainly impractical to look for evidence in every single account where one variable may or may not affect another. Extraneous variables are also a problem, there are variables that we cannot control and we do not know whether they had an effect or not. </w:t>
      </w:r>
    </w:p>
    <w:p w:rsidR="00000000" w:rsidDel="00000000" w:rsidP="00000000" w:rsidRDefault="00000000" w:rsidRPr="00000000" w14:paraId="00000004">
      <w:pPr>
        <w:contextualSpacing w:val="0"/>
        <w:rPr/>
      </w:pPr>
      <w:r w:rsidDel="00000000" w:rsidR="00000000" w:rsidRPr="00000000">
        <w:rPr>
          <w:rtl w:val="0"/>
        </w:rPr>
      </w:r>
    </w:p>
    <w:p w:rsidR="00000000" w:rsidDel="00000000" w:rsidP="00000000" w:rsidRDefault="00000000" w:rsidRPr="00000000" w14:paraId="00000005">
      <w:pPr>
        <w:contextualSpacing w:val="0"/>
        <w:rPr/>
      </w:pPr>
      <w:r w:rsidDel="00000000" w:rsidR="00000000" w:rsidRPr="00000000">
        <w:rPr>
          <w:rtl w:val="0"/>
        </w:rPr>
        <w:t xml:space="preserve">When looking at causality, a ‘c’ (cause) is regularly followed by an ‘e’ (event) that ‘c’ has caused. In this formula ‘c’ causes ‘e’ meaning you can not have ‘e’ without ‘c’. For example, striking a match causes fire. The striking of the match is the cause (‘c’) and the fire is the event (‘e’), it is the action of striking a match which makes the fire, if a match was not striked there would be no fire. Despite this, the striking of a match is not the only ‘c’ that creates fire; gas, electricity and lightning are other ‘c’s which can cause fire. Also fire is not caused every time a match is struck, does this mean the striking of a match does not cause fire and it is indeed another variable? Perhaps it is merely a coincidence? Furthermore if the stroke of the match caused the fire what makes it true? Is there an affirmative answer which sheds light on what makes is so that ‘c’ causes ‘e’ and which does not presuppose the idea of causation?</w:t>
      </w:r>
    </w:p>
    <w:p w:rsidR="00000000" w:rsidDel="00000000" w:rsidP="00000000" w:rsidRDefault="00000000" w:rsidRPr="00000000" w14:paraId="00000006">
      <w:pPr>
        <w:contextualSpacing w:val="0"/>
        <w:rPr/>
      </w:pPr>
      <w:r w:rsidDel="00000000" w:rsidR="00000000" w:rsidRPr="00000000">
        <w:rPr>
          <w:rtl w:val="0"/>
        </w:rPr>
      </w:r>
    </w:p>
    <w:p w:rsidR="00000000" w:rsidDel="00000000" w:rsidP="00000000" w:rsidRDefault="00000000" w:rsidRPr="00000000" w14:paraId="00000007">
      <w:pPr>
        <w:contextualSpacing w:val="0"/>
        <w:rPr/>
      </w:pPr>
      <w:r w:rsidDel="00000000" w:rsidR="00000000" w:rsidRPr="00000000">
        <w:rPr>
          <w:rtl w:val="0"/>
        </w:rPr>
        <w:t xml:space="preserve">David Lewis presented a theory on causation in an attempt to determine a coincidence from a caused event, as well as to try to make sense of cause and effect. He splits his theory in to four segments, he begins with his first where he claims “causation consists of a chain counterfactual dependence”</w:t>
      </w:r>
      <w:r w:rsidDel="00000000" w:rsidR="00000000" w:rsidRPr="00000000">
        <w:rPr>
          <w:vertAlign w:val="superscript"/>
        </w:rPr>
        <w:footnoteReference w:customMarkFollows="0" w:id="0"/>
      </w:r>
      <w:r w:rsidDel="00000000" w:rsidR="00000000" w:rsidRPr="00000000">
        <w:rPr>
          <w:rtl w:val="0"/>
        </w:rPr>
        <w:t xml:space="preserve">. This is similar to the butterfly effect, at the beginning of the chain there is ‘c’ then there is a numerous amounts of ‘x’ (other variables) until you get to ‘e’. By this theory causation is reducible, meaning you can not have ‘e’ without ‘c’, because if ‘c’ had not occurred then neither for x^1, x^5, x^10 e.t.c, hence ‘e’ would not have occurred as well.</w:t>
      </w:r>
      <w:r w:rsidDel="00000000" w:rsidR="00000000" w:rsidRPr="00000000">
        <w:rPr>
          <w:vertAlign w:val="superscript"/>
        </w:rPr>
        <w:footnoteReference w:customMarkFollows="0" w:id="1"/>
      </w:r>
      <w:r w:rsidDel="00000000" w:rsidR="00000000" w:rsidRPr="00000000">
        <w:rPr>
          <w:rtl w:val="0"/>
        </w:rPr>
      </w:r>
    </w:p>
    <w:p w:rsidR="00000000" w:rsidDel="00000000" w:rsidP="00000000" w:rsidRDefault="00000000" w:rsidRPr="00000000" w14:paraId="00000008">
      <w:pPr>
        <w:contextualSpacing w:val="0"/>
        <w:rPr/>
      </w:pPr>
      <w:r w:rsidDel="00000000" w:rsidR="00000000" w:rsidRPr="00000000">
        <w:rPr>
          <w:rtl w:val="0"/>
        </w:rPr>
      </w:r>
    </w:p>
    <w:p w:rsidR="00000000" w:rsidDel="00000000" w:rsidP="00000000" w:rsidRDefault="00000000" w:rsidRPr="00000000" w14:paraId="00000009">
      <w:pPr>
        <w:contextualSpacing w:val="0"/>
        <w:rPr/>
      </w:pPr>
      <w:r w:rsidDel="00000000" w:rsidR="00000000" w:rsidRPr="00000000">
        <w:rPr>
          <w:rtl w:val="0"/>
        </w:rPr>
        <w:t xml:space="preserve">The second stage of Lewis’ theory addresses the metaphysical world, stating that if ‘c’ were true then ‘e’ would also be true. However this would only be correct if in a potential world that is most similar to our own, it is more probable for ‘c’ to be true than false.</w:t>
      </w:r>
      <w:r w:rsidDel="00000000" w:rsidR="00000000" w:rsidRPr="00000000">
        <w:rPr>
          <w:vertAlign w:val="superscript"/>
        </w:rPr>
        <w:footnoteReference w:customMarkFollows="0" w:id="2"/>
      </w:r>
      <w:r w:rsidDel="00000000" w:rsidR="00000000" w:rsidRPr="00000000">
        <w:rPr>
          <w:rtl w:val="0"/>
        </w:rPr>
        <w:t xml:space="preserve"> To take this further, Lewis is stating for variables and events to be true they must be true in the metaphysical world too, and they must be true in the possible world which we can compare to ours the most. This is one way to distinguish between caused events and coincidence, because a caused event would be true both physically and metaphysically, where as a coincidence would not be true on both accounts and hence ‘c’ would not actually be true for ‘e’. However this is very problematic because how would we verify the variables in another world than our own? It is not a practical test because as of yet, it can not be achieved. </w:t>
      </w:r>
    </w:p>
    <w:p w:rsidR="00000000" w:rsidDel="00000000" w:rsidP="00000000" w:rsidRDefault="00000000" w:rsidRPr="00000000" w14:paraId="0000000A">
      <w:pPr>
        <w:contextualSpacing w:val="0"/>
        <w:rPr/>
      </w:pPr>
      <w:r w:rsidDel="00000000" w:rsidR="00000000" w:rsidRPr="00000000">
        <w:rPr>
          <w:rtl w:val="0"/>
        </w:rPr>
      </w:r>
    </w:p>
    <w:p w:rsidR="00000000" w:rsidDel="00000000" w:rsidP="00000000" w:rsidRDefault="00000000" w:rsidRPr="00000000" w14:paraId="0000000B">
      <w:pPr>
        <w:contextualSpacing w:val="0"/>
        <w:rPr/>
      </w:pPr>
      <w:r w:rsidDel="00000000" w:rsidR="00000000" w:rsidRPr="00000000">
        <w:rPr>
          <w:rtl w:val="0"/>
        </w:rPr>
        <w:t xml:space="preserve">Thirdly, Lewis expands on his second point by explaining his assumption on possible worlds. He states that the possible world(s) that are most similar to our own are the ones where the laws of nature are not infringed. As well as this moral accountability, space and time accountability will also have a part to play. The worlds which share our space and time sphere are more similar to ours, even if the laws have been violated because the similarity in space-time will counter that out. Lewis stresses the point of spacetime similarity because he did not want a time bias, to account for his he excludes temporal order from descriptions of similarity</w:t>
      </w:r>
      <w:r w:rsidDel="00000000" w:rsidR="00000000" w:rsidRPr="00000000">
        <w:rPr>
          <w:vertAlign w:val="superscript"/>
        </w:rPr>
        <w:footnoteReference w:customMarkFollows="0" w:id="3"/>
      </w:r>
      <w:r w:rsidDel="00000000" w:rsidR="00000000" w:rsidRPr="00000000">
        <w:rPr>
          <w:rtl w:val="0"/>
        </w:rPr>
        <w:t xml:space="preserve">. Although this helps us understand the concept of possible worlds and causation in both realms, it does not help distinguish between a caused event and coincidence. </w:t>
      </w:r>
    </w:p>
    <w:p w:rsidR="00000000" w:rsidDel="00000000" w:rsidP="00000000" w:rsidRDefault="00000000" w:rsidRPr="00000000" w14:paraId="0000000C">
      <w:pPr>
        <w:contextualSpacing w:val="0"/>
        <w:rPr/>
      </w:pPr>
      <w:r w:rsidDel="00000000" w:rsidR="00000000" w:rsidRPr="00000000">
        <w:rPr>
          <w:rtl w:val="0"/>
        </w:rPr>
      </w:r>
    </w:p>
    <w:p w:rsidR="00000000" w:rsidDel="00000000" w:rsidP="00000000" w:rsidRDefault="00000000" w:rsidRPr="00000000" w14:paraId="0000000D">
      <w:pPr>
        <w:contextualSpacing w:val="0"/>
        <w:rPr/>
      </w:pPr>
      <w:r w:rsidDel="00000000" w:rsidR="00000000" w:rsidRPr="00000000">
        <w:rPr>
          <w:rtl w:val="0"/>
        </w:rPr>
        <w:t xml:space="preserve">The final stage that Lewis has highlights that counterfactual situations within our world and the world of the metaphysical is reliant on directionality which produces causation.</w:t>
      </w:r>
      <w:r w:rsidDel="00000000" w:rsidR="00000000" w:rsidRPr="00000000">
        <w:rPr>
          <w:vertAlign w:val="superscript"/>
        </w:rPr>
        <w:footnoteReference w:customMarkFollows="0" w:id="4"/>
      </w:r>
      <w:r w:rsidDel="00000000" w:rsidR="00000000" w:rsidRPr="00000000">
        <w:rPr>
          <w:rtl w:val="0"/>
        </w:rPr>
        <w:t xml:space="preserve">Each event (e) that happens is more determined by the different states of the world, compared to that event’s history. As the history does not affect the event as much as subsequent worlds. The future of an event has a direct link and trace to its occurrence.</w:t>
      </w:r>
      <w:r w:rsidDel="00000000" w:rsidR="00000000" w:rsidRPr="00000000">
        <w:rPr>
          <w:vertAlign w:val="superscript"/>
        </w:rPr>
        <w:footnoteReference w:customMarkFollows="0" w:id="5"/>
      </w:r>
      <w:r w:rsidDel="00000000" w:rsidR="00000000" w:rsidRPr="00000000">
        <w:rPr>
          <w:rtl w:val="0"/>
        </w:rPr>
        <w:t xml:space="preserve"> However, we may not have known at the time, due to the fact there was no known indication a certain cause would come out of that event. </w:t>
      </w:r>
    </w:p>
    <w:p w:rsidR="00000000" w:rsidDel="00000000" w:rsidP="00000000" w:rsidRDefault="00000000" w:rsidRPr="00000000" w14:paraId="0000000E">
      <w:pPr>
        <w:contextualSpacing w:val="0"/>
        <w:rPr/>
      </w:pPr>
      <w:r w:rsidDel="00000000" w:rsidR="00000000" w:rsidRPr="00000000">
        <w:rPr>
          <w:rtl w:val="0"/>
        </w:rPr>
      </w:r>
    </w:p>
    <w:p w:rsidR="00000000" w:rsidDel="00000000" w:rsidP="00000000" w:rsidRDefault="00000000" w:rsidRPr="00000000" w14:paraId="0000000F">
      <w:pPr>
        <w:contextualSpacing w:val="0"/>
        <w:rPr/>
      </w:pPr>
      <w:r w:rsidDel="00000000" w:rsidR="00000000" w:rsidRPr="00000000">
        <w:rPr>
          <w:rtl w:val="0"/>
        </w:rPr>
        <w:t xml:space="preserve">These stages work together to conclude Lewis's theory on how causation can be determined from cause and effect. He presents up with a thought experiment to help us conceive the idea of causation better. He goes on to say that an event that did happen at time (t) did not occur at that time. It would be hard to piece together what happened after t, and/or to determine whether or not e did cause that. </w:t>
      </w:r>
      <w:r w:rsidDel="00000000" w:rsidR="00000000" w:rsidRPr="00000000">
        <w:rPr>
          <w:vertAlign w:val="superscript"/>
        </w:rPr>
        <w:footnoteReference w:customMarkFollows="0" w:id="6"/>
      </w:r>
      <w:r w:rsidDel="00000000" w:rsidR="00000000" w:rsidRPr="00000000">
        <w:rPr>
          <w:rtl w:val="0"/>
        </w:rPr>
        <w:t xml:space="preserve"> History may conclude that c did in fact occur, but Lewis claims that events are not determined by what came after them. So, by marginalising the laws of nature we can piece together the event for when it did not occur with the history before t, as the future holds more weight than the past. However it would cost us a lot more to reunite the event with the actual future of t, due to the fact that future is of greater importance.</w:t>
      </w:r>
      <w:r w:rsidDel="00000000" w:rsidR="00000000" w:rsidRPr="00000000">
        <w:rPr>
          <w:vertAlign w:val="superscript"/>
        </w:rPr>
        <w:footnoteReference w:customMarkFollows="0" w:id="7"/>
      </w:r>
      <w:r w:rsidDel="00000000" w:rsidR="00000000" w:rsidRPr="00000000">
        <w:rPr>
          <w:rtl w:val="0"/>
        </w:rPr>
      </w:r>
    </w:p>
    <w:p w:rsidR="00000000" w:rsidDel="00000000" w:rsidP="00000000" w:rsidRDefault="00000000" w:rsidRPr="00000000" w14:paraId="00000010">
      <w:pPr>
        <w:contextualSpacing w:val="0"/>
        <w:rPr/>
      </w:pPr>
      <w:r w:rsidDel="00000000" w:rsidR="00000000" w:rsidRPr="00000000">
        <w:rPr>
          <w:rtl w:val="0"/>
        </w:rPr>
      </w:r>
    </w:p>
    <w:p w:rsidR="00000000" w:rsidDel="00000000" w:rsidP="00000000" w:rsidRDefault="00000000" w:rsidRPr="00000000" w14:paraId="00000011">
      <w:pPr>
        <w:contextualSpacing w:val="0"/>
        <w:rPr/>
      </w:pPr>
      <w:r w:rsidDel="00000000" w:rsidR="00000000" w:rsidRPr="00000000">
        <w:rPr>
          <w:rtl w:val="0"/>
        </w:rPr>
        <w:t xml:space="preserve">When comparing to the possible worlds, they are the exact same to ours when excluding e, that is until t, it is here they become more similar to ours rather than those without t. Meaning, our world would be different at present if the future was different, and if the future was different then our world would be different. Time is a metaphysical occurrence which we affect and which affects us. Yet the past does not have as much of a hold on us as it can not be undone, where as the future is still developing, changing and accessible. Effects will never precede their cause, this is because you can not change the past, unlike the future. Also, you need an event to have a cause or else that cause would not have been caused.</w:t>
      </w:r>
      <w:r w:rsidDel="00000000" w:rsidR="00000000" w:rsidRPr="00000000">
        <w:rPr>
          <w:vertAlign w:val="superscript"/>
        </w:rPr>
        <w:footnoteReference w:customMarkFollows="0" w:id="8"/>
      </w:r>
      <w:r w:rsidDel="00000000" w:rsidR="00000000" w:rsidRPr="00000000">
        <w:rPr>
          <w:rtl w:val="0"/>
        </w:rPr>
      </w:r>
    </w:p>
    <w:p w:rsidR="00000000" w:rsidDel="00000000" w:rsidP="00000000" w:rsidRDefault="00000000" w:rsidRPr="00000000" w14:paraId="00000012">
      <w:pPr>
        <w:contextualSpacing w:val="0"/>
        <w:rPr/>
      </w:pPr>
      <w:r w:rsidDel="00000000" w:rsidR="00000000" w:rsidRPr="00000000">
        <w:rPr>
          <w:rtl w:val="0"/>
        </w:rPr>
      </w:r>
    </w:p>
    <w:p w:rsidR="00000000" w:rsidDel="00000000" w:rsidP="00000000" w:rsidRDefault="00000000" w:rsidRPr="00000000" w14:paraId="00000013">
      <w:pPr>
        <w:contextualSpacing w:val="0"/>
        <w:rPr/>
      </w:pPr>
      <w:r w:rsidDel="00000000" w:rsidR="00000000" w:rsidRPr="00000000">
        <w:rPr>
          <w:rtl w:val="0"/>
        </w:rPr>
        <w:t xml:space="preserve">To finish, to determine the difference between causation and coincidence you must look at time. Time is the common factor when looking at how events affect each other and the causes that follow, (as Lewis demonstrated previously). Yet, with a coincidence time is not a vital factor, it is more so an extraneous variable which may or may not have a play. For an event to have a cause time must occur and effect that very event in our world and in the metaphysical. However, this is not the case for coincidence as time is not a factor in every coincidence and coincidence does not affect time- unlike the cause of an effect. </w:t>
      </w:r>
    </w:p>
    <w:p w:rsidR="00000000" w:rsidDel="00000000" w:rsidP="00000000" w:rsidRDefault="00000000" w:rsidRPr="00000000" w14:paraId="00000014">
      <w:pPr>
        <w:contextualSpacing w:val="0"/>
        <w:rPr/>
      </w:pPr>
      <w:r w:rsidDel="00000000" w:rsidR="00000000" w:rsidRPr="00000000">
        <w:rPr>
          <w:rtl w:val="0"/>
        </w:rPr>
      </w:r>
    </w:p>
    <w:p w:rsidR="00000000" w:rsidDel="00000000" w:rsidP="00000000" w:rsidRDefault="00000000" w:rsidRPr="00000000" w14:paraId="00000015">
      <w:pPr>
        <w:contextualSpacing w:val="0"/>
        <w:rPr>
          <w:b w:val="1"/>
          <w:u w:val="single"/>
        </w:rPr>
      </w:pPr>
      <w:r w:rsidDel="00000000" w:rsidR="00000000" w:rsidRPr="00000000">
        <w:rPr>
          <w:b w:val="1"/>
          <w:u w:val="single"/>
          <w:rtl w:val="0"/>
        </w:rPr>
        <w:t xml:space="preserve">Bibliography</w:t>
      </w:r>
    </w:p>
    <w:p w:rsidR="00000000" w:rsidDel="00000000" w:rsidP="00000000" w:rsidRDefault="00000000" w:rsidRPr="00000000" w14:paraId="00000016">
      <w:pPr>
        <w:contextualSpacing w:val="0"/>
        <w:rPr>
          <w:b w:val="1"/>
          <w:u w:val="single"/>
        </w:rPr>
      </w:pPr>
      <w:r w:rsidDel="00000000" w:rsidR="00000000" w:rsidRPr="00000000">
        <w:rPr>
          <w:rtl w:val="0"/>
        </w:rPr>
      </w:r>
    </w:p>
    <w:p w:rsidR="00000000" w:rsidDel="00000000" w:rsidP="00000000" w:rsidRDefault="00000000" w:rsidRPr="00000000" w14:paraId="00000017">
      <w:pPr>
        <w:numPr>
          <w:ilvl w:val="0"/>
          <w:numId w:val="1"/>
        </w:numPr>
        <w:spacing w:line="240" w:lineRule="auto"/>
        <w:ind w:left="720" w:hanging="360"/>
        <w:rPr>
          <w:sz w:val="20"/>
          <w:szCs w:val="20"/>
          <w:u w:val="none"/>
        </w:rPr>
      </w:pPr>
      <w:r w:rsidDel="00000000" w:rsidR="00000000" w:rsidRPr="00000000">
        <w:rPr>
          <w:sz w:val="20"/>
          <w:szCs w:val="20"/>
          <w:rtl w:val="0"/>
        </w:rPr>
        <w:t xml:space="preserve">Paul Horwich, </w:t>
      </w:r>
      <w:r w:rsidDel="00000000" w:rsidR="00000000" w:rsidRPr="00000000">
        <w:rPr>
          <w:i w:val="1"/>
          <w:sz w:val="20"/>
          <w:szCs w:val="20"/>
          <w:rtl w:val="0"/>
        </w:rPr>
        <w:t xml:space="preserve">“Lewis Programme” </w:t>
      </w:r>
      <w:r w:rsidDel="00000000" w:rsidR="00000000" w:rsidRPr="00000000">
        <w:rPr>
          <w:sz w:val="20"/>
          <w:szCs w:val="20"/>
          <w:rtl w:val="0"/>
        </w:rPr>
        <w:t xml:space="preserve">Pages 1-25</w:t>
      </w:r>
    </w:p>
    <w:p w:rsidR="00000000" w:rsidDel="00000000" w:rsidP="00000000" w:rsidRDefault="00000000" w:rsidRPr="00000000" w14:paraId="00000018">
      <w:pPr>
        <w:numPr>
          <w:ilvl w:val="0"/>
          <w:numId w:val="1"/>
        </w:numPr>
        <w:spacing w:line="240" w:lineRule="auto"/>
        <w:ind w:left="720" w:hanging="360"/>
        <w:rPr>
          <w:sz w:val="20"/>
          <w:szCs w:val="20"/>
          <w:u w:val="none"/>
        </w:rPr>
      </w:pPr>
      <w:r w:rsidDel="00000000" w:rsidR="00000000" w:rsidRPr="00000000">
        <w:rPr>
          <w:sz w:val="20"/>
          <w:szCs w:val="20"/>
          <w:rtl w:val="0"/>
        </w:rPr>
        <w:t xml:space="preserve">Stanford Encyclopedia of Philosophy</w:t>
      </w:r>
    </w:p>
    <w:p w:rsidR="00000000" w:rsidDel="00000000" w:rsidP="00000000" w:rsidRDefault="00000000" w:rsidRPr="00000000" w14:paraId="00000019">
      <w:pPr>
        <w:numPr>
          <w:ilvl w:val="0"/>
          <w:numId w:val="1"/>
        </w:numPr>
        <w:spacing w:line="240" w:lineRule="auto"/>
        <w:ind w:left="720" w:hanging="360"/>
        <w:rPr>
          <w:sz w:val="20"/>
          <w:szCs w:val="20"/>
          <w:u w:val="none"/>
        </w:rPr>
      </w:pPr>
      <w:r w:rsidDel="00000000" w:rsidR="00000000" w:rsidRPr="00000000">
        <w:rPr>
          <w:sz w:val="20"/>
          <w:szCs w:val="20"/>
          <w:rtl w:val="0"/>
        </w:rPr>
        <w:t xml:space="preserve">Internet Encyclopedia of Philosophy</w:t>
      </w:r>
    </w:p>
    <w:p w:rsidR="00000000" w:rsidDel="00000000" w:rsidP="00000000" w:rsidRDefault="00000000" w:rsidRPr="00000000" w14:paraId="0000001A">
      <w:pPr>
        <w:numPr>
          <w:ilvl w:val="0"/>
          <w:numId w:val="1"/>
        </w:numPr>
        <w:spacing w:line="240" w:lineRule="auto"/>
        <w:ind w:left="720" w:hanging="360"/>
        <w:rPr>
          <w:sz w:val="20"/>
          <w:szCs w:val="20"/>
          <w:u w:val="none"/>
        </w:rPr>
      </w:pPr>
      <w:r w:rsidDel="00000000" w:rsidR="00000000" w:rsidRPr="00000000">
        <w:rPr>
          <w:sz w:val="20"/>
          <w:szCs w:val="20"/>
          <w:rtl w:val="0"/>
        </w:rPr>
        <w:t xml:space="preserve">Youtube- Crash Course Philosophy </w:t>
      </w:r>
      <w:r w:rsidDel="00000000" w:rsidR="00000000" w:rsidRPr="00000000">
        <w:rPr>
          <w:i w:val="1"/>
          <w:sz w:val="20"/>
          <w:szCs w:val="20"/>
          <w:rtl w:val="0"/>
        </w:rPr>
        <w:t xml:space="preserve">“metaphysics” </w:t>
      </w:r>
      <w:r w:rsidDel="00000000" w:rsidR="00000000" w:rsidRPr="00000000">
        <w:rPr>
          <w:rtl w:val="0"/>
        </w:rPr>
      </w:r>
    </w:p>
    <w:sectPr>
      <w:pgSz w:h="16834" w:w="11909"/>
      <w:pgMar w:bottom="1440" w:top="1440" w:left="1440" w:right="1440" w:header="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s>
</file>

<file path=word/footnotes.xml><?xml version="1.0" encoding="utf-8"?>
<w:footnot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otnote w:id="0">
    <w:p w:rsidR="00000000" w:rsidDel="00000000" w:rsidP="00000000" w:rsidRDefault="00000000" w:rsidRPr="00000000" w14:paraId="0000001B">
      <w:pPr>
        <w:spacing w:line="240" w:lineRule="auto"/>
        <w:contextualSpacing w:val="0"/>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Paul Horwich, </w:t>
      </w:r>
      <w:r w:rsidDel="00000000" w:rsidR="00000000" w:rsidRPr="00000000">
        <w:rPr>
          <w:i w:val="1"/>
          <w:sz w:val="20"/>
          <w:szCs w:val="20"/>
          <w:rtl w:val="0"/>
        </w:rPr>
        <w:t xml:space="preserve">“Lewis Programme” </w:t>
      </w:r>
      <w:r w:rsidDel="00000000" w:rsidR="00000000" w:rsidRPr="00000000">
        <w:rPr>
          <w:sz w:val="20"/>
          <w:szCs w:val="20"/>
          <w:rtl w:val="0"/>
        </w:rPr>
        <w:t xml:space="preserve">page 2</w:t>
      </w:r>
    </w:p>
  </w:footnote>
  <w:footnote w:id="1">
    <w:p w:rsidR="00000000" w:rsidDel="00000000" w:rsidP="00000000" w:rsidRDefault="00000000" w:rsidRPr="00000000" w14:paraId="0000001C">
      <w:pPr>
        <w:spacing w:line="240" w:lineRule="auto"/>
        <w:contextualSpacing w:val="0"/>
        <w:rPr>
          <w:i w:val="1"/>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w:t>
      </w:r>
      <w:r w:rsidDel="00000000" w:rsidR="00000000" w:rsidRPr="00000000">
        <w:rPr>
          <w:i w:val="1"/>
          <w:sz w:val="20"/>
          <w:szCs w:val="20"/>
          <w:rtl w:val="0"/>
        </w:rPr>
        <w:t xml:space="preserve">Ibid.</w:t>
      </w:r>
    </w:p>
  </w:footnote>
  <w:footnote w:id="2">
    <w:p w:rsidR="00000000" w:rsidDel="00000000" w:rsidP="00000000" w:rsidRDefault="00000000" w:rsidRPr="00000000" w14:paraId="0000001D">
      <w:pPr>
        <w:spacing w:line="240" w:lineRule="auto"/>
        <w:contextualSpacing w:val="0"/>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Paul Horwich, </w:t>
      </w:r>
      <w:r w:rsidDel="00000000" w:rsidR="00000000" w:rsidRPr="00000000">
        <w:rPr>
          <w:i w:val="1"/>
          <w:sz w:val="20"/>
          <w:szCs w:val="20"/>
          <w:rtl w:val="0"/>
        </w:rPr>
        <w:t xml:space="preserve">“Lewis Programme” </w:t>
      </w:r>
      <w:r w:rsidDel="00000000" w:rsidR="00000000" w:rsidRPr="00000000">
        <w:rPr>
          <w:sz w:val="20"/>
          <w:szCs w:val="20"/>
          <w:rtl w:val="0"/>
        </w:rPr>
        <w:t xml:space="preserve">page 2</w:t>
      </w:r>
    </w:p>
  </w:footnote>
  <w:footnote w:id="3">
    <w:p w:rsidR="00000000" w:rsidDel="00000000" w:rsidP="00000000" w:rsidRDefault="00000000" w:rsidRPr="00000000" w14:paraId="0000001E">
      <w:pPr>
        <w:spacing w:line="240" w:lineRule="auto"/>
        <w:contextualSpacing w:val="0"/>
        <w:rPr>
          <w:i w:val="1"/>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w:t>
      </w:r>
      <w:r w:rsidDel="00000000" w:rsidR="00000000" w:rsidRPr="00000000">
        <w:rPr>
          <w:i w:val="1"/>
          <w:sz w:val="20"/>
          <w:szCs w:val="20"/>
          <w:rtl w:val="0"/>
        </w:rPr>
        <w:t xml:space="preserve">Ibid</w:t>
      </w:r>
    </w:p>
  </w:footnote>
  <w:footnote w:id="4">
    <w:p w:rsidR="00000000" w:rsidDel="00000000" w:rsidP="00000000" w:rsidRDefault="00000000" w:rsidRPr="00000000" w14:paraId="0000001F">
      <w:pPr>
        <w:spacing w:line="240" w:lineRule="auto"/>
        <w:contextualSpacing w:val="0"/>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Paul Horwich, </w:t>
      </w:r>
      <w:r w:rsidDel="00000000" w:rsidR="00000000" w:rsidRPr="00000000">
        <w:rPr>
          <w:i w:val="1"/>
          <w:sz w:val="20"/>
          <w:szCs w:val="20"/>
          <w:rtl w:val="0"/>
        </w:rPr>
        <w:t xml:space="preserve">“Lewis Programme” </w:t>
      </w:r>
      <w:r w:rsidDel="00000000" w:rsidR="00000000" w:rsidRPr="00000000">
        <w:rPr>
          <w:sz w:val="20"/>
          <w:szCs w:val="20"/>
          <w:rtl w:val="0"/>
        </w:rPr>
        <w:t xml:space="preserve">page 3</w:t>
      </w:r>
    </w:p>
  </w:footnote>
  <w:footnote w:id="5">
    <w:p w:rsidR="00000000" w:rsidDel="00000000" w:rsidP="00000000" w:rsidRDefault="00000000" w:rsidRPr="00000000" w14:paraId="00000020">
      <w:pPr>
        <w:spacing w:line="240" w:lineRule="auto"/>
        <w:contextualSpacing w:val="0"/>
        <w:rPr>
          <w:i w:val="1"/>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w:t>
      </w:r>
      <w:r w:rsidDel="00000000" w:rsidR="00000000" w:rsidRPr="00000000">
        <w:rPr>
          <w:i w:val="1"/>
          <w:sz w:val="20"/>
          <w:szCs w:val="20"/>
          <w:rtl w:val="0"/>
        </w:rPr>
        <w:t xml:space="preserve">Ibid</w:t>
      </w:r>
    </w:p>
  </w:footnote>
  <w:footnote w:id="6">
    <w:p w:rsidR="00000000" w:rsidDel="00000000" w:rsidP="00000000" w:rsidRDefault="00000000" w:rsidRPr="00000000" w14:paraId="00000021">
      <w:pPr>
        <w:spacing w:line="240" w:lineRule="auto"/>
        <w:contextualSpacing w:val="0"/>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Paul Horwich, </w:t>
      </w:r>
      <w:r w:rsidDel="00000000" w:rsidR="00000000" w:rsidRPr="00000000">
        <w:rPr>
          <w:i w:val="1"/>
          <w:sz w:val="20"/>
          <w:szCs w:val="20"/>
          <w:rtl w:val="0"/>
        </w:rPr>
        <w:t xml:space="preserve">“Lewis Programme” </w:t>
      </w:r>
      <w:r w:rsidDel="00000000" w:rsidR="00000000" w:rsidRPr="00000000">
        <w:rPr>
          <w:sz w:val="20"/>
          <w:szCs w:val="20"/>
          <w:rtl w:val="0"/>
        </w:rPr>
        <w:t xml:space="preserve">page 3</w:t>
      </w:r>
    </w:p>
  </w:footnote>
  <w:footnote w:id="7">
    <w:p w:rsidR="00000000" w:rsidDel="00000000" w:rsidP="00000000" w:rsidRDefault="00000000" w:rsidRPr="00000000" w14:paraId="00000022">
      <w:pPr>
        <w:spacing w:line="240" w:lineRule="auto"/>
        <w:contextualSpacing w:val="0"/>
        <w:rPr>
          <w:i w:val="1"/>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w:t>
      </w:r>
      <w:r w:rsidDel="00000000" w:rsidR="00000000" w:rsidRPr="00000000">
        <w:rPr>
          <w:i w:val="1"/>
          <w:sz w:val="20"/>
          <w:szCs w:val="20"/>
          <w:rtl w:val="0"/>
        </w:rPr>
        <w:t xml:space="preserve">Ibid</w:t>
      </w:r>
    </w:p>
  </w:footnote>
  <w:footnote w:id="8">
    <w:p w:rsidR="00000000" w:rsidDel="00000000" w:rsidP="00000000" w:rsidRDefault="00000000" w:rsidRPr="00000000" w14:paraId="00000023">
      <w:pPr>
        <w:spacing w:line="240" w:lineRule="auto"/>
        <w:contextualSpacing w:val="0"/>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Paul Horwich, </w:t>
      </w:r>
      <w:r w:rsidDel="00000000" w:rsidR="00000000" w:rsidRPr="00000000">
        <w:rPr>
          <w:i w:val="1"/>
          <w:sz w:val="20"/>
          <w:szCs w:val="20"/>
          <w:rtl w:val="0"/>
        </w:rPr>
        <w:t xml:space="preserve">“Lewis Programme” </w:t>
      </w:r>
      <w:r w:rsidDel="00000000" w:rsidR="00000000" w:rsidRPr="00000000">
        <w:rPr>
          <w:sz w:val="20"/>
          <w:szCs w:val="20"/>
          <w:rtl w:val="0"/>
        </w:rPr>
        <w:t xml:space="preserve">page 3</w:t>
      </w:r>
    </w:p>
  </w:footnote>
</w:footnote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4"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_GB"/>
      </w:rPr>
    </w:rPrDefault>
    <w:pPrDefault>
      <w:pPr>
        <w:spacing w:line="276" w:lineRule="auto"/>
        <w:contextualSpacing w:val="1"/>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00" w:lineRule="auto"/>
    </w:pPr>
    <w:rPr>
      <w:sz w:val="40"/>
      <w:szCs w:val="40"/>
    </w:rPr>
  </w:style>
  <w:style w:type="paragraph" w:styleId="Heading2">
    <w:name w:val="heading 2"/>
    <w:basedOn w:val="Normal"/>
    <w:next w:val="Normal"/>
    <w:pPr>
      <w:keepNext w:val="1"/>
      <w:keepLines w:val="1"/>
      <w:spacing w:after="120" w:before="360" w:lineRule="auto"/>
    </w:pPr>
    <w:rPr>
      <w:b w:val="0"/>
      <w:sz w:val="32"/>
      <w:szCs w:val="32"/>
    </w:rPr>
  </w:style>
  <w:style w:type="paragraph" w:styleId="Heading3">
    <w:name w:val="heading 3"/>
    <w:basedOn w:val="Normal"/>
    <w:next w:val="Normal"/>
    <w:pPr>
      <w:keepNext w:val="1"/>
      <w:keepLines w:val="1"/>
      <w:spacing w:after="80" w:before="320" w:lineRule="auto"/>
    </w:pPr>
    <w:rPr>
      <w:b w:val="0"/>
      <w:color w:val="434343"/>
      <w:sz w:val="28"/>
      <w:szCs w:val="28"/>
    </w:rPr>
  </w:style>
  <w:style w:type="paragraph" w:styleId="Heading4">
    <w:name w:val="heading 4"/>
    <w:basedOn w:val="Normal"/>
    <w:next w:val="Normal"/>
    <w:pPr>
      <w:keepNext w:val="1"/>
      <w:keepLines w:val="1"/>
      <w:spacing w:after="80" w:before="280" w:lineRule="auto"/>
    </w:pPr>
    <w:rPr>
      <w:color w:val="666666"/>
      <w:sz w:val="24"/>
      <w:szCs w:val="24"/>
    </w:rPr>
  </w:style>
  <w:style w:type="paragraph" w:styleId="Heading5">
    <w:name w:val="heading 5"/>
    <w:basedOn w:val="Normal"/>
    <w:next w:val="Normal"/>
    <w:pPr>
      <w:keepNext w:val="1"/>
      <w:keepLines w:val="1"/>
      <w:spacing w:after="80" w:before="240" w:lineRule="auto"/>
    </w:pPr>
    <w:rPr>
      <w:color w:val="666666"/>
      <w:sz w:val="22"/>
      <w:szCs w:val="22"/>
    </w:rPr>
  </w:style>
  <w:style w:type="paragraph" w:styleId="Heading6">
    <w:name w:val="heading 6"/>
    <w:basedOn w:val="Normal"/>
    <w:next w:val="Normal"/>
    <w:pPr>
      <w:keepNext w:val="1"/>
      <w:keepLines w:val="1"/>
      <w:spacing w:after="80" w:before="240" w:lineRule="auto"/>
    </w:pPr>
    <w:rPr>
      <w:i w:val="1"/>
      <w:color w:val="666666"/>
      <w:sz w:val="22"/>
      <w:szCs w:val="22"/>
    </w:rPr>
  </w:style>
  <w:style w:type="paragraph" w:styleId="Title">
    <w:name w:val="Title"/>
    <w:basedOn w:val="Normal"/>
    <w:next w:val="Normal"/>
    <w:pPr>
      <w:keepNext w:val="1"/>
      <w:keepLines w:val="1"/>
      <w:spacing w:after="60" w:before="0" w:lineRule="auto"/>
    </w:pPr>
    <w:rPr>
      <w:sz w:val="52"/>
      <w:szCs w:val="52"/>
    </w:rPr>
  </w:style>
  <w:style w:type="paragraph" w:styleId="Subtitle">
    <w:name w:val="Subtitle"/>
    <w:basedOn w:val="Normal"/>
    <w:next w:val="Normal"/>
    <w:pPr>
      <w:keepNext w:val="1"/>
      <w:keepLines w:val="1"/>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footnotes" Target="footnotes.xml"/><Relationship Id="rId5" Type="http://schemas.openxmlformats.org/officeDocument/2006/relationships/numbering" Target="numbering.xml"/><Relationship Id="rId6"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