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B11BF0" w14:textId="5586C766" w:rsidR="008A6090" w:rsidRDefault="00777AEF" w:rsidP="00777AEF">
      <w:pPr>
        <w:spacing w:line="480" w:lineRule="auto"/>
        <w:rPr>
          <w:rFonts w:ascii="Times New Roman" w:hAnsi="Times New Roman" w:cs="Times New Roman"/>
          <w:b/>
          <w:bCs/>
          <w:sz w:val="24"/>
          <w:lang w:val="en-US"/>
        </w:rPr>
      </w:pPr>
      <w:r>
        <w:rPr>
          <w:rFonts w:ascii="Times New Roman" w:hAnsi="Times New Roman" w:cs="Times New Roman"/>
          <w:b/>
          <w:bCs/>
          <w:noProof/>
          <w:sz w:val="24"/>
          <w:lang w:val="en-US"/>
        </w:rPr>
        <w:drawing>
          <wp:inline distT="0" distB="0" distL="0" distR="0" wp14:anchorId="2E9C83ED" wp14:editId="457DD5D7">
            <wp:extent cx="2310765" cy="1152525"/>
            <wp:effectExtent l="0" t="0" r="0" b="9525"/>
            <wp:docPr id="27799036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10765" cy="1152525"/>
                    </a:xfrm>
                    <a:prstGeom prst="rect">
                      <a:avLst/>
                    </a:prstGeom>
                    <a:noFill/>
                  </pic:spPr>
                </pic:pic>
              </a:graphicData>
            </a:graphic>
          </wp:inline>
        </w:drawing>
      </w:r>
    </w:p>
    <w:p w14:paraId="09CF4746" w14:textId="77777777" w:rsidR="000E4453" w:rsidRDefault="000E4453" w:rsidP="00777AEF">
      <w:pPr>
        <w:spacing w:line="480" w:lineRule="auto"/>
        <w:rPr>
          <w:rFonts w:ascii="Times New Roman" w:hAnsi="Times New Roman" w:cs="Times New Roman"/>
          <w:b/>
          <w:bCs/>
          <w:sz w:val="24"/>
          <w:lang w:val="en-US"/>
        </w:rPr>
      </w:pPr>
    </w:p>
    <w:p w14:paraId="17674AA5" w14:textId="77777777" w:rsidR="000E4453" w:rsidRDefault="000E4453" w:rsidP="00777AEF">
      <w:pPr>
        <w:spacing w:line="480" w:lineRule="auto"/>
        <w:rPr>
          <w:rFonts w:ascii="Times New Roman" w:hAnsi="Times New Roman" w:cs="Times New Roman"/>
          <w:b/>
          <w:bCs/>
          <w:sz w:val="24"/>
          <w:lang w:val="en-US"/>
        </w:rPr>
      </w:pPr>
    </w:p>
    <w:p w14:paraId="61C05DF3" w14:textId="77777777" w:rsidR="000E4453" w:rsidRDefault="000E4453" w:rsidP="00777AEF">
      <w:pPr>
        <w:spacing w:line="480" w:lineRule="auto"/>
        <w:rPr>
          <w:rFonts w:ascii="Times New Roman" w:hAnsi="Times New Roman" w:cs="Times New Roman"/>
          <w:b/>
          <w:bCs/>
          <w:sz w:val="24"/>
          <w:lang w:val="en-US"/>
        </w:rPr>
      </w:pPr>
    </w:p>
    <w:p w14:paraId="76676B0C" w14:textId="77777777" w:rsidR="000E4453" w:rsidRDefault="000E4453" w:rsidP="00777AEF">
      <w:pPr>
        <w:spacing w:line="480" w:lineRule="auto"/>
        <w:rPr>
          <w:rFonts w:ascii="Times New Roman" w:hAnsi="Times New Roman" w:cs="Times New Roman"/>
          <w:b/>
          <w:bCs/>
          <w:sz w:val="24"/>
          <w:lang w:val="en-US"/>
        </w:rPr>
      </w:pPr>
    </w:p>
    <w:p w14:paraId="2BFE6FC0" w14:textId="77777777" w:rsidR="00822B7F" w:rsidRPr="00822B7F" w:rsidRDefault="00822B7F" w:rsidP="000E4453">
      <w:pPr>
        <w:widowControl/>
        <w:jc w:val="center"/>
        <w:rPr>
          <w:rFonts w:ascii="Times New Roman" w:hAnsi="Times New Roman" w:cs="Times New Roman"/>
          <w:b/>
          <w:bCs/>
          <w:sz w:val="52"/>
          <w:szCs w:val="52"/>
          <w:lang w:val="en-US"/>
        </w:rPr>
      </w:pPr>
      <w:r w:rsidRPr="00822B7F">
        <w:rPr>
          <w:rFonts w:ascii="Times New Roman" w:hAnsi="Times New Roman" w:cs="Times New Roman"/>
          <w:b/>
          <w:bCs/>
          <w:sz w:val="52"/>
          <w:szCs w:val="52"/>
          <w:lang w:val="en-US"/>
        </w:rPr>
        <w:t>Tesla Strategic Analysis Report</w:t>
      </w:r>
    </w:p>
    <w:p w14:paraId="5E2FD8DE" w14:textId="77777777" w:rsidR="000E4453" w:rsidRPr="00590021" w:rsidRDefault="000E4453" w:rsidP="000E4453">
      <w:pPr>
        <w:spacing w:line="480" w:lineRule="auto"/>
        <w:jc w:val="center"/>
        <w:rPr>
          <w:rFonts w:ascii="Times New Roman" w:hAnsi="Times New Roman" w:cs="Times New Roman"/>
          <w:b/>
          <w:bCs/>
          <w:sz w:val="24"/>
        </w:rPr>
      </w:pPr>
      <w:r w:rsidRPr="00590021">
        <w:rPr>
          <w:rFonts w:ascii="Times New Roman" w:hAnsi="Times New Roman" w:cs="Times New Roman"/>
          <w:b/>
          <w:bCs/>
          <w:sz w:val="24"/>
        </w:rPr>
        <w:t>Tianchun Han</w:t>
      </w:r>
    </w:p>
    <w:p w14:paraId="6C9FA82B" w14:textId="77777777" w:rsidR="000E4453" w:rsidRPr="00590021" w:rsidRDefault="000E4453" w:rsidP="000E4453">
      <w:pPr>
        <w:spacing w:line="480" w:lineRule="auto"/>
        <w:jc w:val="center"/>
        <w:rPr>
          <w:rFonts w:ascii="Times New Roman" w:hAnsi="Times New Roman" w:cs="Times New Roman"/>
          <w:b/>
          <w:bCs/>
          <w:sz w:val="24"/>
        </w:rPr>
      </w:pPr>
      <w:r w:rsidRPr="00590021">
        <w:rPr>
          <w:rFonts w:ascii="Times New Roman" w:hAnsi="Times New Roman" w:cs="Times New Roman"/>
          <w:b/>
          <w:bCs/>
          <w:sz w:val="24"/>
        </w:rPr>
        <w:t>2503556</w:t>
      </w:r>
    </w:p>
    <w:p w14:paraId="44036C90" w14:textId="77777777" w:rsidR="000E4453" w:rsidRPr="00590021" w:rsidRDefault="000E4453" w:rsidP="000E4453">
      <w:pPr>
        <w:spacing w:line="480" w:lineRule="auto"/>
        <w:jc w:val="center"/>
        <w:rPr>
          <w:rFonts w:ascii="Times New Roman" w:hAnsi="Times New Roman" w:cs="Times New Roman"/>
          <w:b/>
          <w:bCs/>
          <w:sz w:val="24"/>
        </w:rPr>
      </w:pPr>
      <w:r w:rsidRPr="00590021">
        <w:rPr>
          <w:rFonts w:ascii="Times New Roman" w:hAnsi="Times New Roman" w:cs="Times New Roman"/>
          <w:b/>
          <w:bCs/>
          <w:sz w:val="24"/>
        </w:rPr>
        <w:t>University of Wales Trinity Saint David</w:t>
      </w:r>
    </w:p>
    <w:p w14:paraId="16E8C8C2" w14:textId="52F25ABB" w:rsidR="00822B7F" w:rsidRPr="000E4453" w:rsidRDefault="00822B7F">
      <w:pPr>
        <w:widowControl/>
        <w:rPr>
          <w:rFonts w:ascii="Times New Roman" w:hAnsi="Times New Roman" w:cs="Times New Roman"/>
          <w:b/>
          <w:bCs/>
          <w:sz w:val="24"/>
        </w:rPr>
      </w:pPr>
    </w:p>
    <w:p w14:paraId="45E5DD1D" w14:textId="77777777" w:rsidR="000E4453" w:rsidRDefault="000E4453" w:rsidP="009F0EEA">
      <w:pPr>
        <w:spacing w:line="480" w:lineRule="auto"/>
        <w:jc w:val="center"/>
        <w:rPr>
          <w:rFonts w:ascii="Times New Roman" w:hAnsi="Times New Roman" w:cs="Times New Roman"/>
          <w:b/>
          <w:bCs/>
          <w:sz w:val="24"/>
          <w:lang w:val="en-US"/>
        </w:rPr>
      </w:pPr>
      <w:bookmarkStart w:id="0" w:name="OLE_LINK3"/>
    </w:p>
    <w:p w14:paraId="774A1975" w14:textId="77777777" w:rsidR="000E4453" w:rsidRDefault="000E4453" w:rsidP="009F0EEA">
      <w:pPr>
        <w:spacing w:line="480" w:lineRule="auto"/>
        <w:jc w:val="center"/>
        <w:rPr>
          <w:rFonts w:ascii="Times New Roman" w:hAnsi="Times New Roman" w:cs="Times New Roman"/>
          <w:b/>
          <w:bCs/>
          <w:sz w:val="24"/>
          <w:lang w:val="en-US"/>
        </w:rPr>
      </w:pPr>
    </w:p>
    <w:p w14:paraId="7FD3145D" w14:textId="77777777" w:rsidR="000E4453" w:rsidRDefault="000E4453" w:rsidP="009F0EEA">
      <w:pPr>
        <w:spacing w:line="480" w:lineRule="auto"/>
        <w:jc w:val="center"/>
        <w:rPr>
          <w:rFonts w:ascii="Times New Roman" w:hAnsi="Times New Roman" w:cs="Times New Roman"/>
          <w:b/>
          <w:bCs/>
          <w:sz w:val="24"/>
          <w:lang w:val="en-US"/>
        </w:rPr>
      </w:pPr>
    </w:p>
    <w:p w14:paraId="0FFA596C" w14:textId="77777777" w:rsidR="000E4453" w:rsidRDefault="000E4453" w:rsidP="009F0EEA">
      <w:pPr>
        <w:spacing w:line="480" w:lineRule="auto"/>
        <w:jc w:val="center"/>
        <w:rPr>
          <w:rFonts w:ascii="Times New Roman" w:hAnsi="Times New Roman" w:cs="Times New Roman"/>
          <w:b/>
          <w:bCs/>
          <w:sz w:val="24"/>
          <w:lang w:val="en-US"/>
        </w:rPr>
      </w:pPr>
    </w:p>
    <w:p w14:paraId="04E72DC0" w14:textId="77777777" w:rsidR="000E4453" w:rsidRDefault="000E4453" w:rsidP="009F0EEA">
      <w:pPr>
        <w:spacing w:line="480" w:lineRule="auto"/>
        <w:jc w:val="center"/>
        <w:rPr>
          <w:rFonts w:ascii="Times New Roman" w:hAnsi="Times New Roman" w:cs="Times New Roman"/>
          <w:b/>
          <w:bCs/>
          <w:sz w:val="24"/>
          <w:lang w:val="en-US"/>
        </w:rPr>
      </w:pPr>
    </w:p>
    <w:p w14:paraId="38AFBA10" w14:textId="77777777" w:rsidR="000E4453" w:rsidRDefault="000E4453" w:rsidP="009F0EEA">
      <w:pPr>
        <w:spacing w:line="480" w:lineRule="auto"/>
        <w:jc w:val="center"/>
        <w:rPr>
          <w:rFonts w:ascii="Times New Roman" w:hAnsi="Times New Roman" w:cs="Times New Roman"/>
          <w:b/>
          <w:bCs/>
          <w:sz w:val="24"/>
          <w:lang w:val="en-US"/>
        </w:rPr>
      </w:pPr>
    </w:p>
    <w:p w14:paraId="40A1E601" w14:textId="33D2CA82" w:rsidR="006F4A2D" w:rsidRPr="006F4A2D" w:rsidRDefault="006F4A2D" w:rsidP="009F0EEA">
      <w:pPr>
        <w:spacing w:line="480" w:lineRule="auto"/>
        <w:jc w:val="center"/>
        <w:rPr>
          <w:rFonts w:ascii="Times New Roman" w:hAnsi="Times New Roman" w:cs="Times New Roman"/>
          <w:b/>
          <w:bCs/>
          <w:sz w:val="24"/>
          <w:lang w:val="en-US"/>
        </w:rPr>
      </w:pPr>
      <w:r w:rsidRPr="006F4A2D">
        <w:rPr>
          <w:rFonts w:ascii="Times New Roman" w:hAnsi="Times New Roman" w:cs="Times New Roman"/>
          <w:b/>
          <w:bCs/>
          <w:sz w:val="24"/>
          <w:lang w:val="en-US"/>
        </w:rPr>
        <w:lastRenderedPageBreak/>
        <w:t>Executive Summary</w:t>
      </w:r>
    </w:p>
    <w:p w14:paraId="1E017F5E" w14:textId="77777777" w:rsidR="006F4A2D" w:rsidRPr="006F4A2D" w:rsidRDefault="006F4A2D" w:rsidP="006F4A2D">
      <w:pPr>
        <w:spacing w:line="480" w:lineRule="auto"/>
        <w:ind w:firstLineChars="200" w:firstLine="480"/>
        <w:jc w:val="both"/>
        <w:rPr>
          <w:rFonts w:ascii="Times New Roman" w:hAnsi="Times New Roman" w:cs="Times New Roman"/>
          <w:sz w:val="24"/>
          <w:lang w:val="en-US"/>
        </w:rPr>
      </w:pPr>
      <w:r w:rsidRPr="006F4A2D">
        <w:rPr>
          <w:rFonts w:ascii="Times New Roman" w:hAnsi="Times New Roman" w:cs="Times New Roman"/>
          <w:sz w:val="24"/>
          <w:lang w:val="en-US"/>
        </w:rPr>
        <w:t>This report evaluates Tesla’s strategic position in an electric vehicle market that has become more competitive, more policy-sensitive and more constrained by sustainability issues. It finds that Tesla still possesses important strengths in software capability, charging infrastructure and cross-business integration, but these strengths are under increasing pressure from stronger rivalry, battery supply concentration and consumer sensitivity to affordability and convenience. Tesla still most closely follows a differentiation strategy, although the basis of that differentiation is shifting from vehicle performance and early brand prestige towards software, ecosystem integration and energy-related capabilities. The report recommends that Tesla should strengthen charging partnerships in the UK and Europe, deepen battery resilience and circularity strategies, and integrate sustainability more fully into its wider business model.</w:t>
      </w:r>
    </w:p>
    <w:p w14:paraId="35C83B07" w14:textId="120F953E" w:rsidR="006F4A2D" w:rsidRPr="006F4A2D" w:rsidRDefault="006F4A2D" w:rsidP="006F4A2D">
      <w:pPr>
        <w:spacing w:line="480" w:lineRule="auto"/>
        <w:ind w:firstLineChars="200" w:firstLine="480"/>
        <w:jc w:val="both"/>
        <w:rPr>
          <w:rFonts w:ascii="Times New Roman" w:hAnsi="Times New Roman" w:cs="Times New Roman"/>
          <w:sz w:val="24"/>
          <w:lang w:val="en-US"/>
        </w:rPr>
      </w:pPr>
    </w:p>
    <w:p w14:paraId="385F16AE" w14:textId="77777777" w:rsidR="009F0EEA" w:rsidRDefault="009F0EEA" w:rsidP="006F4A2D">
      <w:pPr>
        <w:spacing w:line="480" w:lineRule="auto"/>
        <w:ind w:firstLineChars="200" w:firstLine="480"/>
        <w:jc w:val="both"/>
        <w:rPr>
          <w:rFonts w:ascii="Times New Roman" w:hAnsi="Times New Roman" w:cs="Times New Roman"/>
          <w:sz w:val="24"/>
        </w:rPr>
      </w:pPr>
    </w:p>
    <w:p w14:paraId="20977444" w14:textId="77777777" w:rsidR="009F0EEA" w:rsidRDefault="009F0EEA" w:rsidP="006F4A2D">
      <w:pPr>
        <w:spacing w:line="480" w:lineRule="auto"/>
        <w:ind w:firstLineChars="200" w:firstLine="480"/>
        <w:jc w:val="both"/>
        <w:rPr>
          <w:rFonts w:ascii="Times New Roman" w:hAnsi="Times New Roman" w:cs="Times New Roman"/>
          <w:sz w:val="24"/>
        </w:rPr>
      </w:pPr>
    </w:p>
    <w:p w14:paraId="4E34A294" w14:textId="77777777" w:rsidR="009F0EEA" w:rsidRDefault="009F0EEA" w:rsidP="006F4A2D">
      <w:pPr>
        <w:spacing w:line="480" w:lineRule="auto"/>
        <w:ind w:firstLineChars="200" w:firstLine="480"/>
        <w:jc w:val="both"/>
        <w:rPr>
          <w:rFonts w:ascii="Times New Roman" w:hAnsi="Times New Roman" w:cs="Times New Roman"/>
          <w:sz w:val="24"/>
        </w:rPr>
      </w:pPr>
    </w:p>
    <w:p w14:paraId="4A398FF7" w14:textId="77777777" w:rsidR="009F0EEA" w:rsidRDefault="009F0EEA" w:rsidP="006F4A2D">
      <w:pPr>
        <w:spacing w:line="480" w:lineRule="auto"/>
        <w:ind w:firstLineChars="200" w:firstLine="480"/>
        <w:jc w:val="both"/>
        <w:rPr>
          <w:rFonts w:ascii="Times New Roman" w:hAnsi="Times New Roman" w:cs="Times New Roman"/>
          <w:sz w:val="24"/>
        </w:rPr>
      </w:pPr>
    </w:p>
    <w:p w14:paraId="589BD0AD" w14:textId="77777777" w:rsidR="009F0EEA" w:rsidRDefault="009F0EEA" w:rsidP="006F4A2D">
      <w:pPr>
        <w:spacing w:line="480" w:lineRule="auto"/>
        <w:ind w:firstLineChars="200" w:firstLine="480"/>
        <w:jc w:val="both"/>
        <w:rPr>
          <w:rFonts w:ascii="Times New Roman" w:hAnsi="Times New Roman" w:cs="Times New Roman"/>
          <w:sz w:val="24"/>
        </w:rPr>
      </w:pPr>
    </w:p>
    <w:p w14:paraId="07EB888F" w14:textId="77777777" w:rsidR="009F0EEA" w:rsidRDefault="009F0EEA" w:rsidP="006F4A2D">
      <w:pPr>
        <w:spacing w:line="480" w:lineRule="auto"/>
        <w:ind w:firstLineChars="200" w:firstLine="480"/>
        <w:jc w:val="both"/>
        <w:rPr>
          <w:rFonts w:ascii="Times New Roman" w:hAnsi="Times New Roman" w:cs="Times New Roman"/>
          <w:sz w:val="24"/>
        </w:rPr>
      </w:pPr>
    </w:p>
    <w:sdt>
      <w:sdtPr>
        <w:rPr>
          <w:rFonts w:asciiTheme="minorHAnsi" w:eastAsiaTheme="minorEastAsia" w:hAnsiTheme="minorHAnsi" w:cstheme="minorBidi"/>
          <w:color w:val="auto"/>
          <w:kern w:val="2"/>
          <w:sz w:val="22"/>
          <w:szCs w:val="24"/>
          <w:lang w:val="zh-CN"/>
          <w14:ligatures w14:val="standardContextual"/>
        </w:rPr>
        <w:id w:val="193654282"/>
        <w:docPartObj>
          <w:docPartGallery w:val="Table of Contents"/>
          <w:docPartUnique/>
        </w:docPartObj>
      </w:sdtPr>
      <w:sdtEndPr>
        <w:rPr>
          <w:b/>
          <w:bCs/>
        </w:rPr>
      </w:sdtEndPr>
      <w:sdtContent>
        <w:bookmarkStart w:id="1" w:name="OLE_LINK4" w:displacedByCustomXml="prev"/>
        <w:p w14:paraId="070696E7" w14:textId="233D5DBB" w:rsidR="00675A7C" w:rsidRDefault="00A67430" w:rsidP="00A67430">
          <w:pPr>
            <w:pStyle w:val="TOC"/>
            <w:spacing w:line="480" w:lineRule="auto"/>
            <w:jc w:val="center"/>
          </w:pPr>
          <w:r w:rsidRPr="009D780F">
            <w:rPr>
              <w:rFonts w:ascii="Times New Roman" w:hAnsi="Times New Roman" w:cs="Times New Roman"/>
              <w:b/>
              <w:bCs/>
              <w:color w:val="auto"/>
              <w:sz w:val="24"/>
              <w:szCs w:val="24"/>
            </w:rPr>
            <w:t>Content</w:t>
          </w:r>
          <w:bookmarkEnd w:id="1"/>
        </w:p>
        <w:p w14:paraId="32512CAF" w14:textId="1F01C8FF" w:rsidR="00675A7C" w:rsidRDefault="00675A7C" w:rsidP="00A67430">
          <w:pPr>
            <w:pStyle w:val="TOC1"/>
            <w:tabs>
              <w:tab w:val="right" w:leader="dot" w:pos="8296"/>
            </w:tabs>
            <w:spacing w:line="480" w:lineRule="auto"/>
            <w:rPr>
              <w:noProof/>
            </w:rPr>
          </w:pPr>
          <w:r>
            <w:fldChar w:fldCharType="begin"/>
          </w:r>
          <w:r>
            <w:instrText xml:space="preserve"> TOC \o "1-3" \h \z \u </w:instrText>
          </w:r>
          <w:r>
            <w:fldChar w:fldCharType="separate"/>
          </w:r>
          <w:hyperlink w:anchor="_Toc225524248" w:history="1">
            <w:r w:rsidRPr="002918A7">
              <w:rPr>
                <w:rStyle w:val="af2"/>
                <w:rFonts w:ascii="Times New Roman" w:hAnsi="Times New Roman" w:cs="Times New Roman"/>
                <w:b/>
                <w:bCs/>
                <w:noProof/>
              </w:rPr>
              <w:t>1.Introduction</w:t>
            </w:r>
            <w:r>
              <w:rPr>
                <w:noProof/>
                <w:webHidden/>
              </w:rPr>
              <w:tab/>
            </w:r>
            <w:r>
              <w:rPr>
                <w:noProof/>
                <w:webHidden/>
              </w:rPr>
              <w:fldChar w:fldCharType="begin"/>
            </w:r>
            <w:r>
              <w:rPr>
                <w:noProof/>
                <w:webHidden/>
              </w:rPr>
              <w:instrText xml:space="preserve"> PAGEREF _Toc225524248 \h </w:instrText>
            </w:r>
            <w:r>
              <w:rPr>
                <w:noProof/>
                <w:webHidden/>
              </w:rPr>
            </w:r>
            <w:r>
              <w:rPr>
                <w:noProof/>
                <w:webHidden/>
              </w:rPr>
              <w:fldChar w:fldCharType="separate"/>
            </w:r>
            <w:r>
              <w:rPr>
                <w:noProof/>
                <w:webHidden/>
              </w:rPr>
              <w:t>1</w:t>
            </w:r>
            <w:r>
              <w:rPr>
                <w:noProof/>
                <w:webHidden/>
              </w:rPr>
              <w:fldChar w:fldCharType="end"/>
            </w:r>
          </w:hyperlink>
        </w:p>
        <w:p w14:paraId="6F2BFFE7" w14:textId="6C20B6CB" w:rsidR="00675A7C" w:rsidRDefault="00675A7C" w:rsidP="00A67430">
          <w:pPr>
            <w:pStyle w:val="TOC1"/>
            <w:tabs>
              <w:tab w:val="right" w:leader="dot" w:pos="8296"/>
            </w:tabs>
            <w:spacing w:line="480" w:lineRule="auto"/>
            <w:rPr>
              <w:noProof/>
            </w:rPr>
          </w:pPr>
          <w:hyperlink w:anchor="_Toc225524249" w:history="1">
            <w:r w:rsidRPr="002918A7">
              <w:rPr>
                <w:rStyle w:val="af2"/>
                <w:rFonts w:ascii="Times New Roman" w:hAnsi="Times New Roman" w:cs="Times New Roman"/>
                <w:b/>
                <w:bCs/>
                <w:noProof/>
              </w:rPr>
              <w:t>2.External Analysis</w:t>
            </w:r>
            <w:r>
              <w:rPr>
                <w:noProof/>
                <w:webHidden/>
              </w:rPr>
              <w:tab/>
            </w:r>
            <w:r>
              <w:rPr>
                <w:noProof/>
                <w:webHidden/>
              </w:rPr>
              <w:fldChar w:fldCharType="begin"/>
            </w:r>
            <w:r>
              <w:rPr>
                <w:noProof/>
                <w:webHidden/>
              </w:rPr>
              <w:instrText xml:space="preserve"> PAGEREF _Toc225524249 \h </w:instrText>
            </w:r>
            <w:r>
              <w:rPr>
                <w:noProof/>
                <w:webHidden/>
              </w:rPr>
            </w:r>
            <w:r>
              <w:rPr>
                <w:noProof/>
                <w:webHidden/>
              </w:rPr>
              <w:fldChar w:fldCharType="separate"/>
            </w:r>
            <w:r>
              <w:rPr>
                <w:noProof/>
                <w:webHidden/>
              </w:rPr>
              <w:t>2</w:t>
            </w:r>
            <w:r>
              <w:rPr>
                <w:noProof/>
                <w:webHidden/>
              </w:rPr>
              <w:fldChar w:fldCharType="end"/>
            </w:r>
          </w:hyperlink>
        </w:p>
        <w:p w14:paraId="060521F4" w14:textId="3CEF7A30" w:rsidR="00675A7C" w:rsidRDefault="00675A7C" w:rsidP="00A67430">
          <w:pPr>
            <w:pStyle w:val="TOC2"/>
            <w:tabs>
              <w:tab w:val="right" w:leader="dot" w:pos="8296"/>
            </w:tabs>
            <w:spacing w:line="480" w:lineRule="auto"/>
            <w:ind w:left="440"/>
            <w:rPr>
              <w:noProof/>
            </w:rPr>
          </w:pPr>
          <w:hyperlink w:anchor="_Toc225524250" w:history="1">
            <w:r w:rsidRPr="002918A7">
              <w:rPr>
                <w:rStyle w:val="af2"/>
                <w:rFonts w:ascii="Times New Roman" w:hAnsi="Times New Roman" w:cs="Times New Roman"/>
                <w:b/>
                <w:bCs/>
                <w:noProof/>
              </w:rPr>
              <w:t>2.1 PESTEL Analysis</w:t>
            </w:r>
            <w:r>
              <w:rPr>
                <w:noProof/>
                <w:webHidden/>
              </w:rPr>
              <w:tab/>
            </w:r>
            <w:r>
              <w:rPr>
                <w:noProof/>
                <w:webHidden/>
              </w:rPr>
              <w:fldChar w:fldCharType="begin"/>
            </w:r>
            <w:r>
              <w:rPr>
                <w:noProof/>
                <w:webHidden/>
              </w:rPr>
              <w:instrText xml:space="preserve"> PAGEREF _Toc225524250 \h </w:instrText>
            </w:r>
            <w:r>
              <w:rPr>
                <w:noProof/>
                <w:webHidden/>
              </w:rPr>
            </w:r>
            <w:r>
              <w:rPr>
                <w:noProof/>
                <w:webHidden/>
              </w:rPr>
              <w:fldChar w:fldCharType="separate"/>
            </w:r>
            <w:r>
              <w:rPr>
                <w:noProof/>
                <w:webHidden/>
              </w:rPr>
              <w:t>2</w:t>
            </w:r>
            <w:r>
              <w:rPr>
                <w:noProof/>
                <w:webHidden/>
              </w:rPr>
              <w:fldChar w:fldCharType="end"/>
            </w:r>
          </w:hyperlink>
        </w:p>
        <w:p w14:paraId="0DF449D0" w14:textId="1417B59E" w:rsidR="00675A7C" w:rsidRDefault="00675A7C" w:rsidP="00A67430">
          <w:pPr>
            <w:pStyle w:val="TOC2"/>
            <w:tabs>
              <w:tab w:val="right" w:leader="dot" w:pos="8296"/>
            </w:tabs>
            <w:spacing w:line="480" w:lineRule="auto"/>
            <w:ind w:left="440"/>
            <w:rPr>
              <w:noProof/>
            </w:rPr>
          </w:pPr>
          <w:hyperlink w:anchor="_Toc225524251" w:history="1">
            <w:r w:rsidRPr="002918A7">
              <w:rPr>
                <w:rStyle w:val="af2"/>
                <w:rFonts w:ascii="Times New Roman" w:hAnsi="Times New Roman" w:cs="Times New Roman"/>
                <w:b/>
                <w:bCs/>
                <w:noProof/>
              </w:rPr>
              <w:t>2.2 Porter’s Five Forces</w:t>
            </w:r>
            <w:r>
              <w:rPr>
                <w:noProof/>
                <w:webHidden/>
              </w:rPr>
              <w:tab/>
            </w:r>
            <w:r>
              <w:rPr>
                <w:noProof/>
                <w:webHidden/>
              </w:rPr>
              <w:fldChar w:fldCharType="begin"/>
            </w:r>
            <w:r>
              <w:rPr>
                <w:noProof/>
                <w:webHidden/>
              </w:rPr>
              <w:instrText xml:space="preserve"> PAGEREF _Toc225524251 \h </w:instrText>
            </w:r>
            <w:r>
              <w:rPr>
                <w:noProof/>
                <w:webHidden/>
              </w:rPr>
            </w:r>
            <w:r>
              <w:rPr>
                <w:noProof/>
                <w:webHidden/>
              </w:rPr>
              <w:fldChar w:fldCharType="separate"/>
            </w:r>
            <w:r>
              <w:rPr>
                <w:noProof/>
                <w:webHidden/>
              </w:rPr>
              <w:t>3</w:t>
            </w:r>
            <w:r>
              <w:rPr>
                <w:noProof/>
                <w:webHidden/>
              </w:rPr>
              <w:fldChar w:fldCharType="end"/>
            </w:r>
          </w:hyperlink>
        </w:p>
        <w:p w14:paraId="6FC05E91" w14:textId="312271B1" w:rsidR="00675A7C" w:rsidRDefault="00675A7C" w:rsidP="00A67430">
          <w:pPr>
            <w:pStyle w:val="TOC1"/>
            <w:tabs>
              <w:tab w:val="right" w:leader="dot" w:pos="8296"/>
            </w:tabs>
            <w:spacing w:line="480" w:lineRule="auto"/>
            <w:rPr>
              <w:noProof/>
            </w:rPr>
          </w:pPr>
          <w:hyperlink w:anchor="_Toc225524252" w:history="1">
            <w:r w:rsidRPr="002918A7">
              <w:rPr>
                <w:rStyle w:val="af2"/>
                <w:rFonts w:ascii="Times New Roman" w:hAnsi="Times New Roman" w:cs="Times New Roman"/>
                <w:b/>
                <w:bCs/>
                <w:noProof/>
              </w:rPr>
              <w:t>3.Internal Analysis</w:t>
            </w:r>
            <w:r>
              <w:rPr>
                <w:noProof/>
                <w:webHidden/>
              </w:rPr>
              <w:tab/>
            </w:r>
            <w:r>
              <w:rPr>
                <w:noProof/>
                <w:webHidden/>
              </w:rPr>
              <w:fldChar w:fldCharType="begin"/>
            </w:r>
            <w:r>
              <w:rPr>
                <w:noProof/>
                <w:webHidden/>
              </w:rPr>
              <w:instrText xml:space="preserve"> PAGEREF _Toc225524252 \h </w:instrText>
            </w:r>
            <w:r>
              <w:rPr>
                <w:noProof/>
                <w:webHidden/>
              </w:rPr>
            </w:r>
            <w:r>
              <w:rPr>
                <w:noProof/>
                <w:webHidden/>
              </w:rPr>
              <w:fldChar w:fldCharType="separate"/>
            </w:r>
            <w:r>
              <w:rPr>
                <w:noProof/>
                <w:webHidden/>
              </w:rPr>
              <w:t>4</w:t>
            </w:r>
            <w:r>
              <w:rPr>
                <w:noProof/>
                <w:webHidden/>
              </w:rPr>
              <w:fldChar w:fldCharType="end"/>
            </w:r>
          </w:hyperlink>
        </w:p>
        <w:p w14:paraId="41F8CEBF" w14:textId="21798B5B" w:rsidR="00675A7C" w:rsidRDefault="00675A7C" w:rsidP="00A67430">
          <w:pPr>
            <w:pStyle w:val="TOC2"/>
            <w:tabs>
              <w:tab w:val="right" w:leader="dot" w:pos="8296"/>
            </w:tabs>
            <w:spacing w:line="480" w:lineRule="auto"/>
            <w:ind w:left="440"/>
            <w:rPr>
              <w:noProof/>
            </w:rPr>
          </w:pPr>
          <w:hyperlink w:anchor="_Toc225524253" w:history="1">
            <w:r w:rsidRPr="002918A7">
              <w:rPr>
                <w:rStyle w:val="af2"/>
                <w:rFonts w:ascii="Times New Roman" w:hAnsi="Times New Roman" w:cs="Times New Roman"/>
                <w:b/>
                <w:bCs/>
                <w:noProof/>
              </w:rPr>
              <w:t>3.1 Resource-Based View and Value Chain</w:t>
            </w:r>
            <w:r>
              <w:rPr>
                <w:noProof/>
                <w:webHidden/>
              </w:rPr>
              <w:tab/>
            </w:r>
            <w:r>
              <w:rPr>
                <w:noProof/>
                <w:webHidden/>
              </w:rPr>
              <w:fldChar w:fldCharType="begin"/>
            </w:r>
            <w:r>
              <w:rPr>
                <w:noProof/>
                <w:webHidden/>
              </w:rPr>
              <w:instrText xml:space="preserve"> PAGEREF _Toc225524253 \h </w:instrText>
            </w:r>
            <w:r>
              <w:rPr>
                <w:noProof/>
                <w:webHidden/>
              </w:rPr>
            </w:r>
            <w:r>
              <w:rPr>
                <w:noProof/>
                <w:webHidden/>
              </w:rPr>
              <w:fldChar w:fldCharType="separate"/>
            </w:r>
            <w:r>
              <w:rPr>
                <w:noProof/>
                <w:webHidden/>
              </w:rPr>
              <w:t>4</w:t>
            </w:r>
            <w:r>
              <w:rPr>
                <w:noProof/>
                <w:webHidden/>
              </w:rPr>
              <w:fldChar w:fldCharType="end"/>
            </w:r>
          </w:hyperlink>
        </w:p>
        <w:p w14:paraId="012048C9" w14:textId="17722433" w:rsidR="00675A7C" w:rsidRDefault="00675A7C" w:rsidP="00A67430">
          <w:pPr>
            <w:pStyle w:val="TOC2"/>
            <w:tabs>
              <w:tab w:val="right" w:leader="dot" w:pos="8296"/>
            </w:tabs>
            <w:spacing w:line="480" w:lineRule="auto"/>
            <w:ind w:left="440"/>
            <w:rPr>
              <w:noProof/>
            </w:rPr>
          </w:pPr>
          <w:hyperlink w:anchor="_Toc225524254" w:history="1">
            <w:r w:rsidRPr="002918A7">
              <w:rPr>
                <w:rStyle w:val="af2"/>
                <w:rFonts w:ascii="Times New Roman" w:hAnsi="Times New Roman" w:cs="Times New Roman"/>
                <w:b/>
                <w:bCs/>
                <w:noProof/>
              </w:rPr>
              <w:t>3.2 SWOT/TOWS</w:t>
            </w:r>
            <w:r>
              <w:rPr>
                <w:noProof/>
                <w:webHidden/>
              </w:rPr>
              <w:tab/>
            </w:r>
            <w:r>
              <w:rPr>
                <w:noProof/>
                <w:webHidden/>
              </w:rPr>
              <w:fldChar w:fldCharType="begin"/>
            </w:r>
            <w:r>
              <w:rPr>
                <w:noProof/>
                <w:webHidden/>
              </w:rPr>
              <w:instrText xml:space="preserve"> PAGEREF _Toc225524254 \h </w:instrText>
            </w:r>
            <w:r>
              <w:rPr>
                <w:noProof/>
                <w:webHidden/>
              </w:rPr>
            </w:r>
            <w:r>
              <w:rPr>
                <w:noProof/>
                <w:webHidden/>
              </w:rPr>
              <w:fldChar w:fldCharType="separate"/>
            </w:r>
            <w:r>
              <w:rPr>
                <w:noProof/>
                <w:webHidden/>
              </w:rPr>
              <w:t>5</w:t>
            </w:r>
            <w:r>
              <w:rPr>
                <w:noProof/>
                <w:webHidden/>
              </w:rPr>
              <w:fldChar w:fldCharType="end"/>
            </w:r>
          </w:hyperlink>
        </w:p>
        <w:p w14:paraId="4E9500DD" w14:textId="02A45228" w:rsidR="00675A7C" w:rsidRDefault="00675A7C" w:rsidP="00A67430">
          <w:pPr>
            <w:pStyle w:val="TOC1"/>
            <w:tabs>
              <w:tab w:val="right" w:leader="dot" w:pos="8296"/>
            </w:tabs>
            <w:spacing w:line="480" w:lineRule="auto"/>
            <w:rPr>
              <w:noProof/>
            </w:rPr>
          </w:pPr>
          <w:hyperlink w:anchor="_Toc225524255" w:history="1">
            <w:r w:rsidRPr="002918A7">
              <w:rPr>
                <w:rStyle w:val="af2"/>
                <w:rFonts w:ascii="Times New Roman" w:hAnsi="Times New Roman" w:cs="Times New Roman"/>
                <w:b/>
                <w:bCs/>
                <w:noProof/>
              </w:rPr>
              <w:t>4.Strategy Formulation and Competitive Positioning</w:t>
            </w:r>
            <w:r>
              <w:rPr>
                <w:noProof/>
                <w:webHidden/>
              </w:rPr>
              <w:tab/>
            </w:r>
            <w:r>
              <w:rPr>
                <w:noProof/>
                <w:webHidden/>
              </w:rPr>
              <w:fldChar w:fldCharType="begin"/>
            </w:r>
            <w:r>
              <w:rPr>
                <w:noProof/>
                <w:webHidden/>
              </w:rPr>
              <w:instrText xml:space="preserve"> PAGEREF _Toc225524255 \h </w:instrText>
            </w:r>
            <w:r>
              <w:rPr>
                <w:noProof/>
                <w:webHidden/>
              </w:rPr>
            </w:r>
            <w:r>
              <w:rPr>
                <w:noProof/>
                <w:webHidden/>
              </w:rPr>
              <w:fldChar w:fldCharType="separate"/>
            </w:r>
            <w:r>
              <w:rPr>
                <w:noProof/>
                <w:webHidden/>
              </w:rPr>
              <w:t>6</w:t>
            </w:r>
            <w:r>
              <w:rPr>
                <w:noProof/>
                <w:webHidden/>
              </w:rPr>
              <w:fldChar w:fldCharType="end"/>
            </w:r>
          </w:hyperlink>
        </w:p>
        <w:p w14:paraId="454F00D1" w14:textId="47EC34BF" w:rsidR="00675A7C" w:rsidRDefault="00675A7C" w:rsidP="00A67430">
          <w:pPr>
            <w:pStyle w:val="TOC2"/>
            <w:tabs>
              <w:tab w:val="right" w:leader="dot" w:pos="8296"/>
            </w:tabs>
            <w:spacing w:line="480" w:lineRule="auto"/>
            <w:ind w:left="440"/>
            <w:rPr>
              <w:noProof/>
            </w:rPr>
          </w:pPr>
          <w:hyperlink w:anchor="_Toc225524256" w:history="1">
            <w:r w:rsidRPr="002918A7">
              <w:rPr>
                <w:rStyle w:val="af2"/>
                <w:rFonts w:ascii="Times New Roman" w:hAnsi="Times New Roman" w:cs="Times New Roman"/>
                <w:b/>
                <w:bCs/>
                <w:noProof/>
              </w:rPr>
              <w:t>4.1 Porter’s Generic Strategies</w:t>
            </w:r>
            <w:r>
              <w:rPr>
                <w:noProof/>
                <w:webHidden/>
              </w:rPr>
              <w:tab/>
            </w:r>
            <w:r>
              <w:rPr>
                <w:noProof/>
                <w:webHidden/>
              </w:rPr>
              <w:fldChar w:fldCharType="begin"/>
            </w:r>
            <w:r>
              <w:rPr>
                <w:noProof/>
                <w:webHidden/>
              </w:rPr>
              <w:instrText xml:space="preserve"> PAGEREF _Toc225524256 \h </w:instrText>
            </w:r>
            <w:r>
              <w:rPr>
                <w:noProof/>
                <w:webHidden/>
              </w:rPr>
            </w:r>
            <w:r>
              <w:rPr>
                <w:noProof/>
                <w:webHidden/>
              </w:rPr>
              <w:fldChar w:fldCharType="separate"/>
            </w:r>
            <w:r>
              <w:rPr>
                <w:noProof/>
                <w:webHidden/>
              </w:rPr>
              <w:t>6</w:t>
            </w:r>
            <w:r>
              <w:rPr>
                <w:noProof/>
                <w:webHidden/>
              </w:rPr>
              <w:fldChar w:fldCharType="end"/>
            </w:r>
          </w:hyperlink>
        </w:p>
        <w:p w14:paraId="02DF31C3" w14:textId="49037F96" w:rsidR="00675A7C" w:rsidRDefault="00675A7C" w:rsidP="00A67430">
          <w:pPr>
            <w:pStyle w:val="TOC2"/>
            <w:tabs>
              <w:tab w:val="right" w:leader="dot" w:pos="8296"/>
            </w:tabs>
            <w:spacing w:line="480" w:lineRule="auto"/>
            <w:ind w:left="440"/>
            <w:rPr>
              <w:noProof/>
            </w:rPr>
          </w:pPr>
          <w:hyperlink w:anchor="_Toc225524257" w:history="1">
            <w:r w:rsidRPr="002918A7">
              <w:rPr>
                <w:rStyle w:val="af2"/>
                <w:rFonts w:ascii="Times New Roman" w:hAnsi="Times New Roman" w:cs="Times New Roman"/>
                <w:b/>
                <w:bCs/>
                <w:noProof/>
              </w:rPr>
              <w:t>4.2 Ansoff’s Matrix</w:t>
            </w:r>
            <w:r>
              <w:rPr>
                <w:noProof/>
                <w:webHidden/>
              </w:rPr>
              <w:tab/>
            </w:r>
            <w:r>
              <w:rPr>
                <w:noProof/>
                <w:webHidden/>
              </w:rPr>
              <w:fldChar w:fldCharType="begin"/>
            </w:r>
            <w:r>
              <w:rPr>
                <w:noProof/>
                <w:webHidden/>
              </w:rPr>
              <w:instrText xml:space="preserve"> PAGEREF _Toc225524257 \h </w:instrText>
            </w:r>
            <w:r>
              <w:rPr>
                <w:noProof/>
                <w:webHidden/>
              </w:rPr>
            </w:r>
            <w:r>
              <w:rPr>
                <w:noProof/>
                <w:webHidden/>
              </w:rPr>
              <w:fldChar w:fldCharType="separate"/>
            </w:r>
            <w:r>
              <w:rPr>
                <w:noProof/>
                <w:webHidden/>
              </w:rPr>
              <w:t>8</w:t>
            </w:r>
            <w:r>
              <w:rPr>
                <w:noProof/>
                <w:webHidden/>
              </w:rPr>
              <w:fldChar w:fldCharType="end"/>
            </w:r>
          </w:hyperlink>
        </w:p>
        <w:p w14:paraId="4784C587" w14:textId="5E47D0CB" w:rsidR="00675A7C" w:rsidRDefault="00675A7C" w:rsidP="00A67430">
          <w:pPr>
            <w:pStyle w:val="TOC1"/>
            <w:tabs>
              <w:tab w:val="right" w:leader="dot" w:pos="8296"/>
            </w:tabs>
            <w:spacing w:line="480" w:lineRule="auto"/>
            <w:rPr>
              <w:noProof/>
            </w:rPr>
          </w:pPr>
          <w:hyperlink w:anchor="_Toc225524258" w:history="1">
            <w:r w:rsidRPr="002918A7">
              <w:rPr>
                <w:rStyle w:val="af2"/>
                <w:rFonts w:ascii="Times New Roman" w:hAnsi="Times New Roman" w:cs="Times New Roman"/>
                <w:b/>
                <w:bCs/>
                <w:noProof/>
              </w:rPr>
              <w:t>5.Sustainability and Strategic Recommendations</w:t>
            </w:r>
            <w:r>
              <w:rPr>
                <w:noProof/>
                <w:webHidden/>
              </w:rPr>
              <w:tab/>
            </w:r>
            <w:r>
              <w:rPr>
                <w:noProof/>
                <w:webHidden/>
              </w:rPr>
              <w:fldChar w:fldCharType="begin"/>
            </w:r>
            <w:r>
              <w:rPr>
                <w:noProof/>
                <w:webHidden/>
              </w:rPr>
              <w:instrText xml:space="preserve"> PAGEREF _Toc225524258 \h </w:instrText>
            </w:r>
            <w:r>
              <w:rPr>
                <w:noProof/>
                <w:webHidden/>
              </w:rPr>
            </w:r>
            <w:r>
              <w:rPr>
                <w:noProof/>
                <w:webHidden/>
              </w:rPr>
              <w:fldChar w:fldCharType="separate"/>
            </w:r>
            <w:r>
              <w:rPr>
                <w:noProof/>
                <w:webHidden/>
              </w:rPr>
              <w:t>8</w:t>
            </w:r>
            <w:r>
              <w:rPr>
                <w:noProof/>
                <w:webHidden/>
              </w:rPr>
              <w:fldChar w:fldCharType="end"/>
            </w:r>
          </w:hyperlink>
        </w:p>
        <w:p w14:paraId="4B9AB505" w14:textId="21116CE8" w:rsidR="00675A7C" w:rsidRDefault="00675A7C" w:rsidP="00A67430">
          <w:pPr>
            <w:pStyle w:val="TOC1"/>
            <w:tabs>
              <w:tab w:val="right" w:leader="dot" w:pos="8296"/>
            </w:tabs>
            <w:spacing w:line="480" w:lineRule="auto"/>
            <w:rPr>
              <w:noProof/>
            </w:rPr>
          </w:pPr>
          <w:hyperlink w:anchor="_Toc225524259" w:history="1">
            <w:r w:rsidRPr="002918A7">
              <w:rPr>
                <w:rStyle w:val="af2"/>
                <w:rFonts w:ascii="Times New Roman" w:hAnsi="Times New Roman" w:cs="Times New Roman"/>
                <w:b/>
                <w:bCs/>
                <w:noProof/>
              </w:rPr>
              <w:t>6.Conclusion</w:t>
            </w:r>
            <w:r>
              <w:rPr>
                <w:noProof/>
                <w:webHidden/>
              </w:rPr>
              <w:tab/>
            </w:r>
            <w:r>
              <w:rPr>
                <w:noProof/>
                <w:webHidden/>
              </w:rPr>
              <w:fldChar w:fldCharType="begin"/>
            </w:r>
            <w:r>
              <w:rPr>
                <w:noProof/>
                <w:webHidden/>
              </w:rPr>
              <w:instrText xml:space="preserve"> PAGEREF _Toc225524259 \h </w:instrText>
            </w:r>
            <w:r>
              <w:rPr>
                <w:noProof/>
                <w:webHidden/>
              </w:rPr>
            </w:r>
            <w:r>
              <w:rPr>
                <w:noProof/>
                <w:webHidden/>
              </w:rPr>
              <w:fldChar w:fldCharType="separate"/>
            </w:r>
            <w:r>
              <w:rPr>
                <w:noProof/>
                <w:webHidden/>
              </w:rPr>
              <w:t>10</w:t>
            </w:r>
            <w:r>
              <w:rPr>
                <w:noProof/>
                <w:webHidden/>
              </w:rPr>
              <w:fldChar w:fldCharType="end"/>
            </w:r>
          </w:hyperlink>
        </w:p>
        <w:p w14:paraId="091F5DA8" w14:textId="72EE37EF" w:rsidR="00675A7C" w:rsidRDefault="00675A7C" w:rsidP="00A67430">
          <w:pPr>
            <w:pStyle w:val="TOC1"/>
            <w:tabs>
              <w:tab w:val="right" w:leader="dot" w:pos="8296"/>
            </w:tabs>
            <w:spacing w:line="480" w:lineRule="auto"/>
            <w:rPr>
              <w:noProof/>
            </w:rPr>
          </w:pPr>
          <w:hyperlink w:anchor="_Toc225524260" w:history="1">
            <w:r w:rsidRPr="002918A7">
              <w:rPr>
                <w:rStyle w:val="af2"/>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_Toc225524260 \h </w:instrText>
            </w:r>
            <w:r>
              <w:rPr>
                <w:noProof/>
                <w:webHidden/>
              </w:rPr>
            </w:r>
            <w:r>
              <w:rPr>
                <w:noProof/>
                <w:webHidden/>
              </w:rPr>
              <w:fldChar w:fldCharType="separate"/>
            </w:r>
            <w:r>
              <w:rPr>
                <w:noProof/>
                <w:webHidden/>
              </w:rPr>
              <w:t>11</w:t>
            </w:r>
            <w:r>
              <w:rPr>
                <w:noProof/>
                <w:webHidden/>
              </w:rPr>
              <w:fldChar w:fldCharType="end"/>
            </w:r>
          </w:hyperlink>
        </w:p>
        <w:p w14:paraId="22D7BF83" w14:textId="37E4B6E6" w:rsidR="00675A7C" w:rsidRDefault="00675A7C" w:rsidP="00A67430">
          <w:pPr>
            <w:spacing w:line="480" w:lineRule="auto"/>
          </w:pPr>
          <w:r>
            <w:rPr>
              <w:b/>
              <w:bCs/>
              <w:lang w:val="zh-CN"/>
            </w:rPr>
            <w:fldChar w:fldCharType="end"/>
          </w:r>
        </w:p>
      </w:sdtContent>
    </w:sdt>
    <w:p w14:paraId="05ADF3E4" w14:textId="77777777" w:rsidR="009F0EEA" w:rsidRDefault="009F0EEA" w:rsidP="006F4A2D">
      <w:pPr>
        <w:spacing w:line="480" w:lineRule="auto"/>
        <w:ind w:firstLineChars="200" w:firstLine="480"/>
        <w:jc w:val="both"/>
        <w:rPr>
          <w:rFonts w:ascii="Times New Roman" w:hAnsi="Times New Roman" w:cs="Times New Roman"/>
          <w:sz w:val="24"/>
        </w:rPr>
      </w:pPr>
    </w:p>
    <w:p w14:paraId="5FC05981" w14:textId="77777777" w:rsidR="008A6090" w:rsidRDefault="008A6090" w:rsidP="009F0EEA">
      <w:pPr>
        <w:spacing w:line="480" w:lineRule="auto"/>
        <w:jc w:val="center"/>
        <w:rPr>
          <w:rFonts w:ascii="Times New Roman" w:hAnsi="Times New Roman" w:cs="Times New Roman"/>
          <w:b/>
          <w:bCs/>
          <w:sz w:val="24"/>
        </w:rPr>
      </w:pPr>
    </w:p>
    <w:p w14:paraId="5807ACC7" w14:textId="77777777" w:rsidR="008A6090" w:rsidRDefault="008A6090">
      <w:pPr>
        <w:widowControl/>
        <w:rPr>
          <w:rFonts w:ascii="Times New Roman" w:hAnsi="Times New Roman" w:cs="Times New Roman"/>
          <w:b/>
          <w:bCs/>
          <w:sz w:val="24"/>
        </w:rPr>
      </w:pPr>
      <w:r>
        <w:rPr>
          <w:rFonts w:ascii="Times New Roman" w:hAnsi="Times New Roman" w:cs="Times New Roman"/>
          <w:b/>
          <w:bCs/>
          <w:sz w:val="24"/>
        </w:rPr>
        <w:br w:type="page"/>
      </w:r>
    </w:p>
    <w:p w14:paraId="2479540A" w14:textId="77777777" w:rsidR="00156A38" w:rsidRDefault="00156A38" w:rsidP="009F0EEA">
      <w:pPr>
        <w:spacing w:line="480" w:lineRule="auto"/>
        <w:jc w:val="center"/>
        <w:rPr>
          <w:rFonts w:ascii="Times New Roman" w:hAnsi="Times New Roman" w:cs="Times New Roman"/>
          <w:b/>
          <w:bCs/>
          <w:sz w:val="24"/>
        </w:rPr>
        <w:sectPr w:rsidR="00156A38">
          <w:footerReference w:type="default" r:id="rId8"/>
          <w:pgSz w:w="11906" w:h="16838"/>
          <w:pgMar w:top="1440" w:right="1800" w:bottom="1440" w:left="1800" w:header="851" w:footer="992" w:gutter="0"/>
          <w:cols w:space="425"/>
          <w:docGrid w:type="lines" w:linePitch="312"/>
        </w:sectPr>
      </w:pPr>
    </w:p>
    <w:p w14:paraId="38F660E8" w14:textId="77777777" w:rsidR="0092112D" w:rsidRPr="0092112D" w:rsidRDefault="0092112D" w:rsidP="0092112D">
      <w:pPr>
        <w:spacing w:line="480" w:lineRule="auto"/>
        <w:jc w:val="center"/>
        <w:outlineLvl w:val="0"/>
        <w:rPr>
          <w:rFonts w:ascii="Times New Roman" w:hAnsi="Times New Roman" w:cs="Times New Roman"/>
          <w:b/>
          <w:bCs/>
          <w:sz w:val="24"/>
        </w:rPr>
      </w:pPr>
      <w:bookmarkStart w:id="2" w:name="_Toc225524248"/>
      <w:bookmarkStart w:id="3" w:name="OLE_LINK5"/>
      <w:bookmarkEnd w:id="0"/>
      <w:r w:rsidRPr="0092112D">
        <w:rPr>
          <w:rFonts w:ascii="Times New Roman" w:hAnsi="Times New Roman" w:cs="Times New Roman"/>
          <w:b/>
          <w:bCs/>
          <w:sz w:val="24"/>
        </w:rPr>
        <w:lastRenderedPageBreak/>
        <w:t>1.Introduction</w:t>
      </w:r>
      <w:bookmarkEnd w:id="2"/>
    </w:p>
    <w:p w14:paraId="5EF0670A" w14:textId="77777777" w:rsidR="0092112D" w:rsidRPr="0092112D" w:rsidRDefault="0092112D" w:rsidP="0092112D">
      <w:pPr>
        <w:spacing w:line="480" w:lineRule="auto"/>
        <w:ind w:firstLineChars="200" w:firstLine="480"/>
        <w:jc w:val="both"/>
        <w:rPr>
          <w:rFonts w:ascii="Times New Roman" w:hAnsi="Times New Roman" w:cs="Times New Roman"/>
          <w:sz w:val="24"/>
        </w:rPr>
      </w:pPr>
      <w:r w:rsidRPr="0092112D">
        <w:rPr>
          <w:rFonts w:ascii="Times New Roman" w:hAnsi="Times New Roman" w:cs="Times New Roman"/>
          <w:sz w:val="24"/>
        </w:rPr>
        <w:t>Tesla is a suitable subject for strategic analysis because it sits at the intersection of three major developments: the continued expansion of electric vehicles, changing competitive conditions in the automotive industry, and rising sustainability requirements. It played a major role in accelerating the commercialisation of electric vehicles, but it now operates in an environment where early technological leadership no longer guarantees strategic security.</w:t>
      </w:r>
    </w:p>
    <w:p w14:paraId="47ADE4C4" w14:textId="77777777" w:rsidR="0092112D" w:rsidRPr="0092112D" w:rsidRDefault="0092112D" w:rsidP="0092112D">
      <w:pPr>
        <w:spacing w:line="480" w:lineRule="auto"/>
        <w:ind w:firstLineChars="200" w:firstLine="480"/>
        <w:jc w:val="both"/>
        <w:rPr>
          <w:rFonts w:ascii="Times New Roman" w:hAnsi="Times New Roman" w:cs="Times New Roman"/>
          <w:sz w:val="24"/>
        </w:rPr>
      </w:pPr>
      <w:r w:rsidRPr="0092112D">
        <w:rPr>
          <w:rFonts w:ascii="Times New Roman" w:hAnsi="Times New Roman" w:cs="Times New Roman"/>
          <w:sz w:val="24"/>
        </w:rPr>
        <w:t>Tesla’s recent reporting suggests that the company is increasingly linking artificial intelligence, autonomous driving, robotics, energy storage and software-based services to its core business direction (Tesla, 2026a; Tesla, 2026b). This indicates that Tesla is seeking to compete through a broader vehicle-energy-software system.</w:t>
      </w:r>
    </w:p>
    <w:p w14:paraId="752E0FE3" w14:textId="77777777" w:rsidR="0092112D" w:rsidRPr="0092112D" w:rsidRDefault="0092112D" w:rsidP="0092112D">
      <w:pPr>
        <w:spacing w:line="480" w:lineRule="auto"/>
        <w:ind w:firstLineChars="200" w:firstLine="480"/>
        <w:jc w:val="both"/>
        <w:rPr>
          <w:rFonts w:ascii="Times New Roman" w:hAnsi="Times New Roman" w:cs="Times New Roman"/>
          <w:sz w:val="24"/>
        </w:rPr>
      </w:pPr>
      <w:r w:rsidRPr="0092112D">
        <w:rPr>
          <w:rFonts w:ascii="Times New Roman" w:hAnsi="Times New Roman" w:cs="Times New Roman"/>
          <w:sz w:val="24"/>
        </w:rPr>
        <w:t xml:space="preserve">However, this transition is taking place under greater pressure. In the UK and Europe, electric vehicle growth continues to be shaped by charging access, affordability, infrastructure provision and regulation, while the competitive field is now far more crowded than during Tesla’s earlier growth stage (Department for Transport, Office for Zero Emission Vehicles and Browne, 2024; </w:t>
      </w:r>
      <w:proofErr w:type="spellStart"/>
      <w:r w:rsidRPr="0092112D">
        <w:rPr>
          <w:rFonts w:ascii="Times New Roman" w:hAnsi="Times New Roman" w:cs="Times New Roman"/>
          <w:sz w:val="24"/>
        </w:rPr>
        <w:t>Budnitz</w:t>
      </w:r>
      <w:proofErr w:type="spellEnd"/>
      <w:r w:rsidRPr="0092112D">
        <w:rPr>
          <w:rFonts w:ascii="Times New Roman" w:hAnsi="Times New Roman" w:cs="Times New Roman"/>
          <w:sz w:val="24"/>
        </w:rPr>
        <w:t xml:space="preserve">, </w:t>
      </w:r>
      <w:proofErr w:type="spellStart"/>
      <w:r w:rsidRPr="0092112D">
        <w:rPr>
          <w:rFonts w:ascii="Times New Roman" w:hAnsi="Times New Roman" w:cs="Times New Roman"/>
          <w:sz w:val="24"/>
        </w:rPr>
        <w:t>Meelen</w:t>
      </w:r>
      <w:proofErr w:type="spellEnd"/>
      <w:r w:rsidRPr="0092112D">
        <w:rPr>
          <w:rFonts w:ascii="Times New Roman" w:hAnsi="Times New Roman" w:cs="Times New Roman"/>
          <w:sz w:val="24"/>
        </w:rPr>
        <w:t xml:space="preserve"> and Schwanen, 2026; Neves and Marques, 2025). The key strategic question is whether Tesla can convert its earlier technological and ecosystem advantages into a more durable and sustainable competitive position.</w:t>
      </w:r>
    </w:p>
    <w:p w14:paraId="03246BC2" w14:textId="77777777" w:rsidR="0092112D" w:rsidRPr="0092112D" w:rsidRDefault="0092112D" w:rsidP="0092112D">
      <w:pPr>
        <w:spacing w:line="480" w:lineRule="auto"/>
        <w:ind w:firstLineChars="200" w:firstLine="480"/>
        <w:jc w:val="both"/>
        <w:rPr>
          <w:rFonts w:ascii="Times New Roman" w:hAnsi="Times New Roman" w:cs="Times New Roman"/>
          <w:sz w:val="24"/>
        </w:rPr>
      </w:pPr>
      <w:r w:rsidRPr="0092112D">
        <w:rPr>
          <w:rFonts w:ascii="Times New Roman" w:hAnsi="Times New Roman" w:cs="Times New Roman"/>
          <w:sz w:val="24"/>
        </w:rPr>
        <w:t xml:space="preserve"> </w:t>
      </w:r>
    </w:p>
    <w:p w14:paraId="2746A15C" w14:textId="77777777" w:rsidR="0092112D" w:rsidRPr="0092112D" w:rsidRDefault="0092112D" w:rsidP="0092112D">
      <w:pPr>
        <w:spacing w:line="480" w:lineRule="auto"/>
        <w:jc w:val="center"/>
        <w:outlineLvl w:val="0"/>
        <w:rPr>
          <w:rFonts w:ascii="Times New Roman" w:hAnsi="Times New Roman" w:cs="Times New Roman"/>
          <w:b/>
          <w:bCs/>
          <w:sz w:val="24"/>
        </w:rPr>
      </w:pPr>
      <w:bookmarkStart w:id="4" w:name="_Toc225524249"/>
      <w:r w:rsidRPr="0092112D">
        <w:rPr>
          <w:rFonts w:ascii="Times New Roman" w:hAnsi="Times New Roman" w:cs="Times New Roman"/>
          <w:b/>
          <w:bCs/>
          <w:sz w:val="24"/>
        </w:rPr>
        <w:lastRenderedPageBreak/>
        <w:t>2.External Analysis</w:t>
      </w:r>
      <w:bookmarkEnd w:id="4"/>
    </w:p>
    <w:p w14:paraId="5BA8FC85" w14:textId="77777777" w:rsidR="0092112D" w:rsidRPr="0092112D" w:rsidRDefault="0092112D" w:rsidP="0092112D">
      <w:pPr>
        <w:spacing w:line="480" w:lineRule="auto"/>
        <w:jc w:val="both"/>
        <w:outlineLvl w:val="1"/>
        <w:rPr>
          <w:rFonts w:ascii="Times New Roman" w:hAnsi="Times New Roman" w:cs="Times New Roman"/>
          <w:b/>
          <w:bCs/>
          <w:sz w:val="24"/>
        </w:rPr>
      </w:pPr>
      <w:bookmarkStart w:id="5" w:name="_Toc225524250"/>
      <w:r w:rsidRPr="0092112D">
        <w:rPr>
          <w:rFonts w:ascii="Times New Roman" w:hAnsi="Times New Roman" w:cs="Times New Roman"/>
          <w:b/>
          <w:bCs/>
          <w:sz w:val="24"/>
        </w:rPr>
        <w:t>2.1 PESTEL Analysis</w:t>
      </w:r>
      <w:bookmarkEnd w:id="5"/>
      <w:r w:rsidRPr="0092112D">
        <w:rPr>
          <w:rFonts w:ascii="Times New Roman" w:hAnsi="Times New Roman" w:cs="Times New Roman"/>
          <w:b/>
          <w:bCs/>
          <w:sz w:val="24"/>
        </w:rPr>
        <w:t xml:space="preserve"> </w:t>
      </w:r>
    </w:p>
    <w:p w14:paraId="7CEC70B3" w14:textId="77777777" w:rsidR="0092112D" w:rsidRPr="0092112D" w:rsidRDefault="0092112D" w:rsidP="0092112D">
      <w:pPr>
        <w:spacing w:line="480" w:lineRule="auto"/>
        <w:ind w:firstLineChars="200" w:firstLine="480"/>
        <w:jc w:val="both"/>
        <w:rPr>
          <w:rFonts w:ascii="Times New Roman" w:hAnsi="Times New Roman" w:cs="Times New Roman"/>
          <w:sz w:val="24"/>
        </w:rPr>
      </w:pPr>
      <w:r w:rsidRPr="0092112D">
        <w:rPr>
          <w:rFonts w:ascii="Times New Roman" w:hAnsi="Times New Roman" w:cs="Times New Roman"/>
          <w:sz w:val="24"/>
        </w:rPr>
        <w:t xml:space="preserve">From a governmental perspective, Tesla operates in a market strongly influenced by state priorities. In both the UK and the European Union, electric vehicle transition is linked to wider goals of decarbonisation, industrial competitiveness and supply-chain resilience. Government action therefore matters because it shapes the broader direction of the sector (European Commission, 2025). </w:t>
      </w:r>
    </w:p>
    <w:p w14:paraId="15AC82EF" w14:textId="77777777" w:rsidR="0092112D" w:rsidRPr="0092112D" w:rsidRDefault="0092112D" w:rsidP="0092112D">
      <w:pPr>
        <w:spacing w:line="480" w:lineRule="auto"/>
        <w:ind w:firstLineChars="200" w:firstLine="480"/>
        <w:jc w:val="both"/>
        <w:rPr>
          <w:rFonts w:ascii="Times New Roman" w:hAnsi="Times New Roman" w:cs="Times New Roman"/>
          <w:sz w:val="24"/>
        </w:rPr>
      </w:pPr>
      <w:r w:rsidRPr="0092112D">
        <w:rPr>
          <w:rFonts w:ascii="Times New Roman" w:hAnsi="Times New Roman" w:cs="Times New Roman"/>
          <w:sz w:val="24"/>
        </w:rPr>
        <w:t>From a policy perspective, Tesla also faces a clearer transition pathway. In the UK, the move towards zero-emission vehicles has been translated into a clearer regulatory framework, which provides firms stronger signals about the pace and conditions of market change (Department for Transport, Office for Zero Emission Vehicles and Browne, 2024).</w:t>
      </w:r>
    </w:p>
    <w:p w14:paraId="1627C0B3" w14:textId="77777777" w:rsidR="0092112D" w:rsidRPr="0092112D" w:rsidRDefault="0092112D" w:rsidP="0092112D">
      <w:pPr>
        <w:spacing w:line="480" w:lineRule="auto"/>
        <w:ind w:firstLineChars="200" w:firstLine="480"/>
        <w:jc w:val="both"/>
        <w:rPr>
          <w:rFonts w:ascii="Times New Roman" w:hAnsi="Times New Roman" w:cs="Times New Roman"/>
          <w:sz w:val="24"/>
        </w:rPr>
      </w:pPr>
      <w:r w:rsidRPr="0092112D">
        <w:rPr>
          <w:rFonts w:ascii="Times New Roman" w:hAnsi="Times New Roman" w:cs="Times New Roman"/>
          <w:sz w:val="24"/>
        </w:rPr>
        <w:t xml:space="preserve">Economically, demand for electric vehicles is growing, but adoption remains uneven. Purchase incentives can stimulate uptake, yet affordability continues to limit adoption, especially when consumers remain sensitive to upfront costs and wider economic uncertainty (Haan, </w:t>
      </w:r>
      <w:proofErr w:type="spellStart"/>
      <w:r w:rsidRPr="0092112D">
        <w:rPr>
          <w:rFonts w:ascii="Times New Roman" w:hAnsi="Times New Roman" w:cs="Times New Roman"/>
          <w:sz w:val="24"/>
        </w:rPr>
        <w:t>Santonja</w:t>
      </w:r>
      <w:proofErr w:type="spellEnd"/>
      <w:r w:rsidRPr="0092112D">
        <w:rPr>
          <w:rFonts w:ascii="Times New Roman" w:hAnsi="Times New Roman" w:cs="Times New Roman"/>
          <w:sz w:val="24"/>
        </w:rPr>
        <w:t xml:space="preserve"> and </w:t>
      </w:r>
      <w:proofErr w:type="spellStart"/>
      <w:r w:rsidRPr="0092112D">
        <w:rPr>
          <w:rFonts w:ascii="Times New Roman" w:hAnsi="Times New Roman" w:cs="Times New Roman"/>
          <w:sz w:val="24"/>
        </w:rPr>
        <w:t>Zaklan</w:t>
      </w:r>
      <w:proofErr w:type="spellEnd"/>
      <w:r w:rsidRPr="0092112D">
        <w:rPr>
          <w:rFonts w:ascii="Times New Roman" w:hAnsi="Times New Roman" w:cs="Times New Roman"/>
          <w:sz w:val="24"/>
        </w:rPr>
        <w:t>, 2025; Neves and Marques, 2025).</w:t>
      </w:r>
    </w:p>
    <w:p w14:paraId="0E185D82" w14:textId="77777777" w:rsidR="0092112D" w:rsidRPr="0092112D" w:rsidRDefault="0092112D" w:rsidP="0092112D">
      <w:pPr>
        <w:spacing w:line="480" w:lineRule="auto"/>
        <w:ind w:firstLineChars="200" w:firstLine="480"/>
        <w:jc w:val="both"/>
        <w:rPr>
          <w:rFonts w:ascii="Times New Roman" w:hAnsi="Times New Roman" w:cs="Times New Roman"/>
          <w:sz w:val="24"/>
        </w:rPr>
      </w:pPr>
      <w:r w:rsidRPr="0092112D">
        <w:rPr>
          <w:rFonts w:ascii="Times New Roman" w:hAnsi="Times New Roman" w:cs="Times New Roman"/>
          <w:sz w:val="24"/>
        </w:rPr>
        <w:t>Socially, adoption depends increasingly on practical usability rather than environmental aspiration alone. Consumers who rely on shared or public parking still face charging barriers, which weakens purchase intention (</w:t>
      </w:r>
      <w:proofErr w:type="spellStart"/>
      <w:r w:rsidRPr="0092112D">
        <w:rPr>
          <w:rFonts w:ascii="Times New Roman" w:hAnsi="Times New Roman" w:cs="Times New Roman"/>
          <w:sz w:val="24"/>
        </w:rPr>
        <w:t>Budnitz</w:t>
      </w:r>
      <w:proofErr w:type="spellEnd"/>
      <w:r w:rsidRPr="0092112D">
        <w:rPr>
          <w:rFonts w:ascii="Times New Roman" w:hAnsi="Times New Roman" w:cs="Times New Roman"/>
          <w:sz w:val="24"/>
        </w:rPr>
        <w:t xml:space="preserve">, </w:t>
      </w:r>
      <w:proofErr w:type="spellStart"/>
      <w:r w:rsidRPr="0092112D">
        <w:rPr>
          <w:rFonts w:ascii="Times New Roman" w:hAnsi="Times New Roman" w:cs="Times New Roman"/>
          <w:sz w:val="24"/>
        </w:rPr>
        <w:t>Meelen</w:t>
      </w:r>
      <w:proofErr w:type="spellEnd"/>
      <w:r w:rsidRPr="0092112D">
        <w:rPr>
          <w:rFonts w:ascii="Times New Roman" w:hAnsi="Times New Roman" w:cs="Times New Roman"/>
          <w:sz w:val="24"/>
        </w:rPr>
        <w:t xml:space="preserve"> and Schwanen, 2026).</w:t>
      </w:r>
    </w:p>
    <w:p w14:paraId="57C80CD5" w14:textId="77777777" w:rsidR="0092112D" w:rsidRPr="0092112D" w:rsidRDefault="0092112D" w:rsidP="0092112D">
      <w:pPr>
        <w:spacing w:line="480" w:lineRule="auto"/>
        <w:ind w:firstLineChars="200" w:firstLine="480"/>
        <w:jc w:val="both"/>
        <w:rPr>
          <w:rFonts w:ascii="Times New Roman" w:hAnsi="Times New Roman" w:cs="Times New Roman"/>
          <w:sz w:val="24"/>
        </w:rPr>
      </w:pPr>
      <w:r w:rsidRPr="0092112D">
        <w:rPr>
          <w:rFonts w:ascii="Times New Roman" w:hAnsi="Times New Roman" w:cs="Times New Roman"/>
          <w:sz w:val="24"/>
        </w:rPr>
        <w:lastRenderedPageBreak/>
        <w:t xml:space="preserve">Technologically, competition now centres on software capability, charging systems, battery pathways and data integration rather than on vehicle performance alone (Sun et al., 2024; International Energy Agency, 2025c). </w:t>
      </w:r>
    </w:p>
    <w:p w14:paraId="30A12198" w14:textId="77777777" w:rsidR="0092112D" w:rsidRPr="0092112D" w:rsidRDefault="0092112D" w:rsidP="0092112D">
      <w:pPr>
        <w:spacing w:line="480" w:lineRule="auto"/>
        <w:ind w:firstLineChars="200" w:firstLine="480"/>
        <w:jc w:val="both"/>
        <w:rPr>
          <w:rFonts w:ascii="Times New Roman" w:hAnsi="Times New Roman" w:cs="Times New Roman"/>
          <w:sz w:val="24"/>
        </w:rPr>
      </w:pPr>
      <w:r w:rsidRPr="0092112D">
        <w:rPr>
          <w:rFonts w:ascii="Times New Roman" w:hAnsi="Times New Roman" w:cs="Times New Roman"/>
          <w:sz w:val="24"/>
        </w:rPr>
        <w:t>Environmentally, the sector remains heavily dependent on critical minerals, battery recycling and value-chain governance, meaning that sustainability affects resilience and cost as well as legitimacy (</w:t>
      </w:r>
      <w:proofErr w:type="spellStart"/>
      <w:r w:rsidRPr="0092112D">
        <w:rPr>
          <w:rFonts w:ascii="Times New Roman" w:hAnsi="Times New Roman" w:cs="Times New Roman"/>
          <w:sz w:val="24"/>
        </w:rPr>
        <w:t>Jannesar</w:t>
      </w:r>
      <w:proofErr w:type="spellEnd"/>
      <w:r w:rsidRPr="0092112D">
        <w:rPr>
          <w:rFonts w:ascii="Times New Roman" w:hAnsi="Times New Roman" w:cs="Times New Roman"/>
          <w:sz w:val="24"/>
        </w:rPr>
        <w:t xml:space="preserve"> Niri et al., 2024; Safari, 2025).</w:t>
      </w:r>
    </w:p>
    <w:p w14:paraId="3092925F" w14:textId="77777777" w:rsidR="0092112D" w:rsidRPr="0092112D" w:rsidRDefault="0092112D" w:rsidP="0092112D">
      <w:pPr>
        <w:spacing w:line="480" w:lineRule="auto"/>
        <w:jc w:val="both"/>
        <w:outlineLvl w:val="1"/>
        <w:rPr>
          <w:rFonts w:ascii="Times New Roman" w:hAnsi="Times New Roman" w:cs="Times New Roman"/>
          <w:b/>
          <w:bCs/>
          <w:sz w:val="24"/>
        </w:rPr>
      </w:pPr>
      <w:bookmarkStart w:id="6" w:name="_Toc225524251"/>
      <w:r w:rsidRPr="0092112D">
        <w:rPr>
          <w:rFonts w:ascii="Times New Roman" w:hAnsi="Times New Roman" w:cs="Times New Roman"/>
          <w:b/>
          <w:bCs/>
          <w:sz w:val="24"/>
        </w:rPr>
        <w:t>2.2 Porter’s Five Forces</w:t>
      </w:r>
      <w:bookmarkEnd w:id="6"/>
    </w:p>
    <w:p w14:paraId="02060B4D" w14:textId="77777777" w:rsidR="0092112D" w:rsidRPr="0092112D" w:rsidRDefault="0092112D" w:rsidP="0092112D">
      <w:pPr>
        <w:spacing w:line="480" w:lineRule="auto"/>
        <w:ind w:firstLineChars="200" w:firstLine="480"/>
        <w:jc w:val="both"/>
        <w:rPr>
          <w:rFonts w:ascii="Times New Roman" w:hAnsi="Times New Roman" w:cs="Times New Roman"/>
          <w:sz w:val="24"/>
        </w:rPr>
      </w:pPr>
      <w:r w:rsidRPr="0092112D">
        <w:rPr>
          <w:rFonts w:ascii="Times New Roman" w:hAnsi="Times New Roman" w:cs="Times New Roman"/>
          <w:sz w:val="24"/>
        </w:rPr>
        <w:t xml:space="preserve">Rivalry among existing competitors is high. Tesla now faces stronger competition from both established automakers and newer challengers, especially Chinese firms whose industrial and technological capabilities have improved rapidly (Whitfield and Wuttke, 2026). Supplier power is also strong because battery production, mineral extraction and refining remain concentrated upstream (International Energy Agency, 2025b). Buyer power is rising as consumers gain more choice and become less willing to pay a premium on brand image alone, especially in a market shaped by pricing and convenience (European Automobile Manufacturers’ Association, 2026; Large, 2026). The threat of new entrants remains moderate because barriers are substantial, yet recent Chinese catch-up shows that they can be overcome (Whitfield and Wuttke, 2026). Substitutes also remain relevant, including hybrids, plug-in hybrids and wider transport alternatives (Tilly et al., 2024). </w:t>
      </w:r>
    </w:p>
    <w:p w14:paraId="3CEC32B5" w14:textId="77777777" w:rsidR="0092112D" w:rsidRPr="0092112D" w:rsidRDefault="0092112D" w:rsidP="0092112D">
      <w:pPr>
        <w:spacing w:line="480" w:lineRule="auto"/>
        <w:ind w:firstLineChars="200" w:firstLine="480"/>
        <w:jc w:val="both"/>
        <w:rPr>
          <w:rFonts w:ascii="Times New Roman" w:hAnsi="Times New Roman" w:cs="Times New Roman"/>
          <w:sz w:val="24"/>
        </w:rPr>
      </w:pPr>
      <w:r w:rsidRPr="0092112D">
        <w:rPr>
          <w:rFonts w:ascii="Times New Roman" w:hAnsi="Times New Roman" w:cs="Times New Roman"/>
          <w:sz w:val="24"/>
        </w:rPr>
        <w:t>Overall, Tesla competes in an industry where rivalry, supplier concentration and buyer choice place sustained pressure on long-term advantages.</w:t>
      </w:r>
    </w:p>
    <w:p w14:paraId="4C622A43" w14:textId="77777777" w:rsidR="0092112D" w:rsidRPr="0092112D" w:rsidRDefault="0092112D" w:rsidP="0092112D">
      <w:pPr>
        <w:spacing w:line="480" w:lineRule="auto"/>
        <w:jc w:val="center"/>
        <w:outlineLvl w:val="0"/>
        <w:rPr>
          <w:rFonts w:ascii="Times New Roman" w:hAnsi="Times New Roman" w:cs="Times New Roman"/>
          <w:b/>
          <w:bCs/>
          <w:sz w:val="24"/>
        </w:rPr>
      </w:pPr>
      <w:bookmarkStart w:id="7" w:name="_Toc225524252"/>
      <w:r w:rsidRPr="0092112D">
        <w:rPr>
          <w:rFonts w:ascii="Times New Roman" w:hAnsi="Times New Roman" w:cs="Times New Roman"/>
          <w:b/>
          <w:bCs/>
          <w:sz w:val="24"/>
        </w:rPr>
        <w:lastRenderedPageBreak/>
        <w:t>3.Internal Analysis</w:t>
      </w:r>
      <w:bookmarkEnd w:id="7"/>
    </w:p>
    <w:p w14:paraId="6CFC3B62" w14:textId="77777777" w:rsidR="0092112D" w:rsidRPr="0092112D" w:rsidRDefault="0092112D" w:rsidP="0092112D">
      <w:pPr>
        <w:spacing w:line="480" w:lineRule="auto"/>
        <w:jc w:val="both"/>
        <w:outlineLvl w:val="1"/>
        <w:rPr>
          <w:rFonts w:ascii="Times New Roman" w:hAnsi="Times New Roman" w:cs="Times New Roman"/>
          <w:b/>
          <w:bCs/>
          <w:sz w:val="24"/>
        </w:rPr>
      </w:pPr>
      <w:bookmarkStart w:id="8" w:name="_Toc225524253"/>
      <w:r w:rsidRPr="0092112D">
        <w:rPr>
          <w:rFonts w:ascii="Times New Roman" w:hAnsi="Times New Roman" w:cs="Times New Roman"/>
          <w:b/>
          <w:bCs/>
          <w:sz w:val="24"/>
        </w:rPr>
        <w:t>3.1 Resource-Based View and Value Chain</w:t>
      </w:r>
      <w:bookmarkEnd w:id="8"/>
    </w:p>
    <w:p w14:paraId="237EFFC9" w14:textId="77777777" w:rsidR="0092112D" w:rsidRPr="0092112D" w:rsidRDefault="0092112D" w:rsidP="0092112D">
      <w:pPr>
        <w:spacing w:line="480" w:lineRule="auto"/>
        <w:ind w:firstLineChars="200" w:firstLine="480"/>
        <w:jc w:val="both"/>
        <w:rPr>
          <w:rFonts w:ascii="Times New Roman" w:hAnsi="Times New Roman" w:cs="Times New Roman"/>
          <w:sz w:val="24"/>
        </w:rPr>
      </w:pPr>
      <w:r w:rsidRPr="0092112D">
        <w:rPr>
          <w:rFonts w:ascii="Times New Roman" w:hAnsi="Times New Roman" w:cs="Times New Roman"/>
          <w:sz w:val="24"/>
        </w:rPr>
        <w:t>From a resource-based perspective, Tesla’s internal strength lies less in one isolated asset than in the way several assets reinforce one another. Three areas are especially important: software and artificial intelligence capability, charging infrastructure, and business integration.</w:t>
      </w:r>
    </w:p>
    <w:p w14:paraId="5A278C1F" w14:textId="77777777" w:rsidR="0092112D" w:rsidRPr="0092112D" w:rsidRDefault="0092112D" w:rsidP="0092112D">
      <w:pPr>
        <w:spacing w:line="480" w:lineRule="auto"/>
        <w:ind w:firstLineChars="200" w:firstLine="480"/>
        <w:jc w:val="both"/>
        <w:rPr>
          <w:rFonts w:ascii="Times New Roman" w:hAnsi="Times New Roman" w:cs="Times New Roman"/>
          <w:sz w:val="24"/>
        </w:rPr>
      </w:pPr>
      <w:r w:rsidRPr="0092112D">
        <w:rPr>
          <w:rFonts w:ascii="Times New Roman" w:hAnsi="Times New Roman" w:cs="Times New Roman"/>
          <w:sz w:val="24"/>
        </w:rPr>
        <w:t>The first is software and artificial intelligence capability. Tesla's recent reporting indicates that autonomous driving systems, AI chips, software-enabled services and data-intensive learning processes are becoming increasingly central to its strategy (Tesla, 2026a; Tesla, 2026b). These resources are valuable because they support differentiation, continuous improvements, and post-sale value creation. Software updates allow Tesla to alter the customer experience after purchase, which gives the company a different value logic from many automakers. Yet this capability does not automatically guarantee durable advantage. Its strategic value depends on whether Tesla can translate technological promise into commercially reliable outcomes, stable revenues and defensible user benefits.</w:t>
      </w:r>
    </w:p>
    <w:p w14:paraId="3A3773C1" w14:textId="77777777" w:rsidR="0092112D" w:rsidRPr="0092112D" w:rsidRDefault="0092112D" w:rsidP="0092112D">
      <w:pPr>
        <w:spacing w:line="480" w:lineRule="auto"/>
        <w:ind w:firstLineChars="200" w:firstLine="480"/>
        <w:jc w:val="both"/>
        <w:rPr>
          <w:rFonts w:ascii="Times New Roman" w:hAnsi="Times New Roman" w:cs="Times New Roman"/>
          <w:sz w:val="24"/>
        </w:rPr>
      </w:pPr>
      <w:r w:rsidRPr="0092112D">
        <w:rPr>
          <w:rFonts w:ascii="Times New Roman" w:hAnsi="Times New Roman" w:cs="Times New Roman"/>
          <w:sz w:val="24"/>
        </w:rPr>
        <w:t xml:space="preserve">The second is Tesla’s charging network. Its supercharged infrastructure continues to support convenience, customer confidence and ecosystem control, especially in markets where public charging access remains uneven (Tesla, 2026b). In RBV terms, this resource remains valuable because it reduces range anxiety and improves usability. However, its rarity is weaker than before. As charging infrastructure expands more </w:t>
      </w:r>
      <w:r w:rsidRPr="0092112D">
        <w:rPr>
          <w:rFonts w:ascii="Times New Roman" w:hAnsi="Times New Roman" w:cs="Times New Roman"/>
          <w:sz w:val="24"/>
        </w:rPr>
        <w:lastRenderedPageBreak/>
        <w:t>widely across the sector, Tesla cannot depend on exclusivity alone. The resource still matters, but its importance now rests more on reliability, interoperability and regional coverage.</w:t>
      </w:r>
    </w:p>
    <w:p w14:paraId="7C607B91" w14:textId="77777777" w:rsidR="0092112D" w:rsidRPr="0092112D" w:rsidRDefault="0092112D" w:rsidP="0092112D">
      <w:pPr>
        <w:spacing w:line="480" w:lineRule="auto"/>
        <w:ind w:firstLineChars="200" w:firstLine="480"/>
        <w:jc w:val="both"/>
        <w:rPr>
          <w:rFonts w:ascii="Times New Roman" w:hAnsi="Times New Roman" w:cs="Times New Roman"/>
          <w:sz w:val="24"/>
        </w:rPr>
      </w:pPr>
      <w:r w:rsidRPr="0092112D">
        <w:rPr>
          <w:rFonts w:ascii="Times New Roman" w:hAnsi="Times New Roman" w:cs="Times New Roman"/>
          <w:sz w:val="24"/>
        </w:rPr>
        <w:t>The third key resource is Tesla’s combination of vertical integration and cross-business synergy. The company links vehicles, software, manufacturing and energy-related activities more closely than many traditional automakers (Tesla, 2026a; Tesla, 2026b). This creates an ecosystem-level capability. Vehicles, charging, energy storage, software and data strengthen one another, which may support coordination, faster learning and tighter control across the value chain. It is also relatively difficult to replicate quickly because it requires alignment across several interdependent activities.</w:t>
      </w:r>
    </w:p>
    <w:p w14:paraId="1C715C52" w14:textId="77777777" w:rsidR="0092112D" w:rsidRPr="0092112D" w:rsidRDefault="0092112D" w:rsidP="0092112D">
      <w:pPr>
        <w:spacing w:line="480" w:lineRule="auto"/>
        <w:ind w:firstLineChars="200" w:firstLine="480"/>
        <w:jc w:val="both"/>
        <w:rPr>
          <w:rFonts w:ascii="Times New Roman" w:hAnsi="Times New Roman" w:cs="Times New Roman"/>
          <w:sz w:val="24"/>
        </w:rPr>
      </w:pPr>
      <w:r w:rsidRPr="0092112D">
        <w:rPr>
          <w:rFonts w:ascii="Times New Roman" w:hAnsi="Times New Roman" w:cs="Times New Roman"/>
          <w:sz w:val="24"/>
        </w:rPr>
        <w:t>From a value chain perspective, Tesla's advantage lies in the integration of design, manufacturing, software updates, charging access, direct sales and continuing service. The company captures value not only through the car as a product but also through the surrounding system of use, maintenance, data and energy connections. This provides Tesla a platform-like quality that remains distinctive within the automotive sector. However, the same integrated structure also creates vulnerability. Supply disruption, battery dependence and regulatory change can affect more than one part of the chain at once. Tesla’s internal position is therefore strong, but conditional.</w:t>
      </w:r>
    </w:p>
    <w:p w14:paraId="43EF65F8" w14:textId="77777777" w:rsidR="0092112D" w:rsidRPr="0092112D" w:rsidRDefault="0092112D" w:rsidP="0092112D">
      <w:pPr>
        <w:spacing w:line="480" w:lineRule="auto"/>
        <w:jc w:val="both"/>
        <w:outlineLvl w:val="1"/>
        <w:rPr>
          <w:rFonts w:ascii="Times New Roman" w:hAnsi="Times New Roman" w:cs="Times New Roman"/>
          <w:b/>
          <w:bCs/>
          <w:sz w:val="24"/>
        </w:rPr>
      </w:pPr>
      <w:bookmarkStart w:id="9" w:name="_Toc225524254"/>
      <w:r w:rsidRPr="0092112D">
        <w:rPr>
          <w:rFonts w:ascii="Times New Roman" w:hAnsi="Times New Roman" w:cs="Times New Roman"/>
          <w:b/>
          <w:bCs/>
          <w:sz w:val="24"/>
        </w:rPr>
        <w:t>3.2 SWOT/TOWS</w:t>
      </w:r>
      <w:bookmarkEnd w:id="9"/>
    </w:p>
    <w:p w14:paraId="5227AD11" w14:textId="77777777" w:rsidR="0092112D" w:rsidRPr="0092112D" w:rsidRDefault="0092112D" w:rsidP="0092112D">
      <w:pPr>
        <w:spacing w:line="480" w:lineRule="auto"/>
        <w:ind w:firstLineChars="200" w:firstLine="480"/>
        <w:jc w:val="both"/>
        <w:rPr>
          <w:rFonts w:ascii="Times New Roman" w:hAnsi="Times New Roman" w:cs="Times New Roman"/>
          <w:sz w:val="24"/>
        </w:rPr>
      </w:pPr>
      <w:r w:rsidRPr="0092112D">
        <w:rPr>
          <w:rFonts w:ascii="Times New Roman" w:hAnsi="Times New Roman" w:cs="Times New Roman"/>
          <w:sz w:val="24"/>
        </w:rPr>
        <w:t xml:space="preserve">Tesla's main strengths are software capability, charging infrastructure and system integration (Tesla, 2026a; Tesla, 2026b). These strengths give the company strategic </w:t>
      </w:r>
      <w:r w:rsidRPr="0092112D">
        <w:rPr>
          <w:rFonts w:ascii="Times New Roman" w:hAnsi="Times New Roman" w:cs="Times New Roman"/>
          <w:sz w:val="24"/>
        </w:rPr>
        <w:lastRenderedPageBreak/>
        <w:t>depth beyond vehicle assembly alone. Its main weaknesses are reduced distinctiveness in a more crowded market and a less stable brand position. Early brand prestige once amplified Tesla’s technological image, but in a more mature market symbolic advantage is harder to preserve without consistent operational delivery.</w:t>
      </w:r>
    </w:p>
    <w:p w14:paraId="57273413" w14:textId="77777777" w:rsidR="0092112D" w:rsidRPr="0092112D" w:rsidRDefault="0092112D" w:rsidP="0092112D">
      <w:pPr>
        <w:spacing w:line="480" w:lineRule="auto"/>
        <w:ind w:firstLineChars="200" w:firstLine="480"/>
        <w:jc w:val="both"/>
        <w:rPr>
          <w:rFonts w:ascii="Times New Roman" w:hAnsi="Times New Roman" w:cs="Times New Roman"/>
          <w:sz w:val="24"/>
        </w:rPr>
      </w:pPr>
      <w:r w:rsidRPr="0092112D">
        <w:rPr>
          <w:rFonts w:ascii="Times New Roman" w:hAnsi="Times New Roman" w:cs="Times New Roman"/>
          <w:sz w:val="24"/>
        </w:rPr>
        <w:t xml:space="preserve">Its opportunities lie in the continued zero-emission transition, infrastructure development, and the growing relevance of circular battery systems and energy services (European Commission, 2025; </w:t>
      </w:r>
      <w:proofErr w:type="spellStart"/>
      <w:r w:rsidRPr="0092112D">
        <w:rPr>
          <w:rFonts w:ascii="Times New Roman" w:hAnsi="Times New Roman" w:cs="Times New Roman"/>
          <w:sz w:val="24"/>
        </w:rPr>
        <w:t>Wesselkämper</w:t>
      </w:r>
      <w:proofErr w:type="spellEnd"/>
      <w:r w:rsidRPr="0092112D">
        <w:rPr>
          <w:rFonts w:ascii="Times New Roman" w:hAnsi="Times New Roman" w:cs="Times New Roman"/>
          <w:sz w:val="24"/>
        </w:rPr>
        <w:t xml:space="preserve"> et al., 2024). Its threats include Chinese competitive catch-up, mineral concentration, policy dependence and persistent consumer sensitivity to price and convenience (Whitfield and Wuttke, 2026; </w:t>
      </w:r>
      <w:proofErr w:type="spellStart"/>
      <w:r w:rsidRPr="0092112D">
        <w:rPr>
          <w:rFonts w:ascii="Times New Roman" w:hAnsi="Times New Roman" w:cs="Times New Roman"/>
          <w:sz w:val="24"/>
        </w:rPr>
        <w:t>Budnitz</w:t>
      </w:r>
      <w:proofErr w:type="spellEnd"/>
      <w:r w:rsidRPr="0092112D">
        <w:rPr>
          <w:rFonts w:ascii="Times New Roman" w:hAnsi="Times New Roman" w:cs="Times New Roman"/>
          <w:sz w:val="24"/>
        </w:rPr>
        <w:t xml:space="preserve">, </w:t>
      </w:r>
      <w:proofErr w:type="spellStart"/>
      <w:r w:rsidRPr="0092112D">
        <w:rPr>
          <w:rFonts w:ascii="Times New Roman" w:hAnsi="Times New Roman" w:cs="Times New Roman"/>
          <w:sz w:val="24"/>
        </w:rPr>
        <w:t>Meelen</w:t>
      </w:r>
      <w:proofErr w:type="spellEnd"/>
      <w:r w:rsidRPr="0092112D">
        <w:rPr>
          <w:rFonts w:ascii="Times New Roman" w:hAnsi="Times New Roman" w:cs="Times New Roman"/>
          <w:sz w:val="24"/>
        </w:rPr>
        <w:t xml:space="preserve"> and Schwanen, 2026; International Energy Agency, 2025b).</w:t>
      </w:r>
    </w:p>
    <w:p w14:paraId="1605A102" w14:textId="77777777" w:rsidR="0092112D" w:rsidRPr="0092112D" w:rsidRDefault="0092112D" w:rsidP="0092112D">
      <w:pPr>
        <w:spacing w:line="480" w:lineRule="auto"/>
        <w:ind w:firstLineChars="200" w:firstLine="480"/>
        <w:jc w:val="both"/>
        <w:rPr>
          <w:rFonts w:ascii="Times New Roman" w:hAnsi="Times New Roman" w:cs="Times New Roman"/>
          <w:sz w:val="24"/>
        </w:rPr>
      </w:pPr>
      <w:r w:rsidRPr="0092112D">
        <w:rPr>
          <w:rFonts w:ascii="Times New Roman" w:hAnsi="Times New Roman" w:cs="Times New Roman"/>
          <w:sz w:val="24"/>
        </w:rPr>
        <w:t>The SWOT analysis shows that Tesla’s strengths remain meaningful, but they do not automatically outweigh the pressures created by rivalry and upstream dependence. From a TOWS perspective, Tesla should use its strengths in integration and software to defend differentiation where convenience, ecosystem coordination and user experience matter most. At the same time, it should reduce exposure to battery and supply-chain risk through circularity, chemistry diversification and stronger regional partnerships.</w:t>
      </w:r>
    </w:p>
    <w:p w14:paraId="70FE96FA" w14:textId="77777777" w:rsidR="0092112D" w:rsidRPr="0092112D" w:rsidRDefault="0092112D" w:rsidP="0092112D">
      <w:pPr>
        <w:spacing w:line="480" w:lineRule="auto"/>
        <w:ind w:firstLineChars="200" w:firstLine="480"/>
        <w:jc w:val="both"/>
        <w:rPr>
          <w:rFonts w:ascii="Times New Roman" w:hAnsi="Times New Roman" w:cs="Times New Roman"/>
          <w:sz w:val="24"/>
        </w:rPr>
      </w:pPr>
    </w:p>
    <w:p w14:paraId="71F2D912" w14:textId="77777777" w:rsidR="0092112D" w:rsidRPr="0092112D" w:rsidRDefault="0092112D" w:rsidP="0092112D">
      <w:pPr>
        <w:spacing w:line="480" w:lineRule="auto"/>
        <w:jc w:val="center"/>
        <w:outlineLvl w:val="0"/>
        <w:rPr>
          <w:rFonts w:ascii="Times New Roman" w:hAnsi="Times New Roman" w:cs="Times New Roman"/>
          <w:b/>
          <w:bCs/>
          <w:sz w:val="24"/>
        </w:rPr>
      </w:pPr>
      <w:bookmarkStart w:id="10" w:name="_Toc225524255"/>
      <w:bookmarkStart w:id="11" w:name="OLE_LINK2"/>
      <w:r w:rsidRPr="0092112D">
        <w:rPr>
          <w:rFonts w:ascii="Times New Roman" w:hAnsi="Times New Roman" w:cs="Times New Roman"/>
          <w:b/>
          <w:bCs/>
          <w:sz w:val="24"/>
        </w:rPr>
        <w:t>4.Strategy Formulation and Competitive Positioning</w:t>
      </w:r>
      <w:bookmarkEnd w:id="10"/>
    </w:p>
    <w:p w14:paraId="0C7E893E" w14:textId="77777777" w:rsidR="0092112D" w:rsidRPr="0092112D" w:rsidRDefault="0092112D" w:rsidP="0092112D">
      <w:pPr>
        <w:spacing w:line="480" w:lineRule="auto"/>
        <w:jc w:val="both"/>
        <w:outlineLvl w:val="1"/>
        <w:rPr>
          <w:rFonts w:ascii="Times New Roman" w:hAnsi="Times New Roman" w:cs="Times New Roman"/>
          <w:b/>
          <w:bCs/>
          <w:sz w:val="24"/>
        </w:rPr>
      </w:pPr>
      <w:bookmarkStart w:id="12" w:name="_Toc225524256"/>
      <w:r w:rsidRPr="0092112D">
        <w:rPr>
          <w:rFonts w:ascii="Times New Roman" w:hAnsi="Times New Roman" w:cs="Times New Roman"/>
          <w:b/>
          <w:bCs/>
          <w:sz w:val="24"/>
        </w:rPr>
        <w:t>4.1 Porter’s Generic Strategies</w:t>
      </w:r>
      <w:bookmarkEnd w:id="12"/>
    </w:p>
    <w:bookmarkEnd w:id="11"/>
    <w:p w14:paraId="6D63D32E" w14:textId="77777777" w:rsidR="0092112D" w:rsidRPr="0092112D" w:rsidRDefault="0092112D" w:rsidP="0092112D">
      <w:pPr>
        <w:spacing w:line="480" w:lineRule="auto"/>
        <w:ind w:firstLineChars="200" w:firstLine="480"/>
        <w:jc w:val="both"/>
        <w:rPr>
          <w:rFonts w:ascii="Times New Roman" w:hAnsi="Times New Roman" w:cs="Times New Roman"/>
          <w:sz w:val="24"/>
        </w:rPr>
      </w:pPr>
      <w:r w:rsidRPr="0092112D">
        <w:rPr>
          <w:rFonts w:ascii="Times New Roman" w:hAnsi="Times New Roman" w:cs="Times New Roman"/>
          <w:sz w:val="24"/>
        </w:rPr>
        <w:t xml:space="preserve">Tesla still most closely fits Porter’s differentiation strategy. Its earlier </w:t>
      </w:r>
      <w:r w:rsidRPr="0092112D">
        <w:rPr>
          <w:rFonts w:ascii="Times New Roman" w:hAnsi="Times New Roman" w:cs="Times New Roman"/>
          <w:sz w:val="24"/>
        </w:rPr>
        <w:lastRenderedPageBreak/>
        <w:t>differentiation was built on range, performance, innovation, brand image and proprietary charging infrastructure. That position has not disappeared, but it has become less secure as the electric vehicle market has matured and competition has intensified. Global electric car sales exceeded 17 million in 2024, indicating continued expansion but also a market in which early novelty is less protective than before (International Energy Agency, 2025a).</w:t>
      </w:r>
    </w:p>
    <w:p w14:paraId="29A98CBD" w14:textId="77777777" w:rsidR="0092112D" w:rsidRPr="0092112D" w:rsidRDefault="0092112D" w:rsidP="0092112D">
      <w:pPr>
        <w:spacing w:line="480" w:lineRule="auto"/>
        <w:ind w:firstLineChars="200" w:firstLine="480"/>
        <w:jc w:val="both"/>
        <w:rPr>
          <w:rFonts w:ascii="Times New Roman" w:hAnsi="Times New Roman" w:cs="Times New Roman"/>
          <w:sz w:val="24"/>
        </w:rPr>
      </w:pPr>
      <w:r w:rsidRPr="0092112D">
        <w:rPr>
          <w:rFonts w:ascii="Times New Roman" w:hAnsi="Times New Roman" w:cs="Times New Roman"/>
          <w:sz w:val="24"/>
        </w:rPr>
        <w:t xml:space="preserve">Tesla’s current differentiation increasingly depends on software, artificial intelligence, charging integration and the connection between vehicles and wider energy systems (Tesla, 2026a; Tesla, 2026b). This suggests a shift from product-led differentiation towards platform-supported differentiation. Strategically, this matters because Tesla is not competing primarily as the lowest-cost producer. </w:t>
      </w:r>
    </w:p>
    <w:p w14:paraId="68890068" w14:textId="77777777" w:rsidR="0092112D" w:rsidRPr="0092112D" w:rsidRDefault="0092112D" w:rsidP="0092112D">
      <w:pPr>
        <w:spacing w:line="480" w:lineRule="auto"/>
        <w:ind w:firstLineChars="200" w:firstLine="480"/>
        <w:jc w:val="both"/>
        <w:rPr>
          <w:rFonts w:ascii="Times New Roman" w:hAnsi="Times New Roman" w:cs="Times New Roman"/>
          <w:sz w:val="24"/>
        </w:rPr>
      </w:pPr>
      <w:r w:rsidRPr="0092112D">
        <w:rPr>
          <w:rFonts w:ascii="Times New Roman" w:hAnsi="Times New Roman" w:cs="Times New Roman"/>
          <w:sz w:val="24"/>
        </w:rPr>
        <w:t>This system-based approach operates at three levels. First, Tesla seeks functional differentiation through software, charging convenience and continuous product updates. Second, it seeks ecosystem differentiation through links between vehicles, charging, energy storage and digital services. Third, it seeks strategic differentiation by positioning itself closer to a technology platform company than to a conventional car manufacturer.</w:t>
      </w:r>
    </w:p>
    <w:p w14:paraId="6AE17623" w14:textId="77777777" w:rsidR="0092112D" w:rsidRPr="0092112D" w:rsidRDefault="0092112D" w:rsidP="0092112D">
      <w:pPr>
        <w:spacing w:line="480" w:lineRule="auto"/>
        <w:ind w:firstLineChars="200" w:firstLine="480"/>
        <w:jc w:val="both"/>
        <w:rPr>
          <w:rFonts w:ascii="Times New Roman" w:hAnsi="Times New Roman" w:cs="Times New Roman"/>
          <w:sz w:val="24"/>
        </w:rPr>
      </w:pPr>
      <w:r w:rsidRPr="0092112D">
        <w:rPr>
          <w:rFonts w:ascii="Times New Roman" w:hAnsi="Times New Roman" w:cs="Times New Roman"/>
          <w:sz w:val="24"/>
        </w:rPr>
        <w:t xml:space="preserve">However, this form of differentiation is more demanding than Tesla’s earlier model. A platform-based strategy must create practical user value rather than rely on technological promise alone. EV adoption remains strongly shaped by upfront cost, charging availability and policy support, so ecosystem advantages only matter when </w:t>
      </w:r>
      <w:r w:rsidRPr="0092112D">
        <w:rPr>
          <w:rFonts w:ascii="Times New Roman" w:hAnsi="Times New Roman" w:cs="Times New Roman"/>
          <w:sz w:val="24"/>
        </w:rPr>
        <w:lastRenderedPageBreak/>
        <w:t>they are experienced by customers as greater convenience, affordability and reduced uncertainty in everyday use (Timilsina et al., 2025).</w:t>
      </w:r>
    </w:p>
    <w:p w14:paraId="667E0D2E" w14:textId="77777777" w:rsidR="0092112D" w:rsidRPr="0092112D" w:rsidRDefault="0092112D" w:rsidP="0092112D">
      <w:pPr>
        <w:spacing w:line="480" w:lineRule="auto"/>
        <w:jc w:val="both"/>
        <w:outlineLvl w:val="1"/>
        <w:rPr>
          <w:rFonts w:ascii="Times New Roman" w:hAnsi="Times New Roman" w:cs="Times New Roman"/>
          <w:b/>
          <w:bCs/>
          <w:sz w:val="24"/>
        </w:rPr>
      </w:pPr>
      <w:bookmarkStart w:id="13" w:name="_Toc225524257"/>
      <w:r w:rsidRPr="0092112D">
        <w:rPr>
          <w:rFonts w:ascii="Times New Roman" w:hAnsi="Times New Roman" w:cs="Times New Roman"/>
          <w:b/>
          <w:bCs/>
          <w:sz w:val="24"/>
        </w:rPr>
        <w:t>4.2 Ansoff’s Matrix</w:t>
      </w:r>
      <w:bookmarkEnd w:id="13"/>
    </w:p>
    <w:p w14:paraId="0CCC9048" w14:textId="77777777" w:rsidR="0092112D" w:rsidRPr="0092112D" w:rsidRDefault="0092112D" w:rsidP="0092112D">
      <w:pPr>
        <w:spacing w:line="480" w:lineRule="auto"/>
        <w:ind w:firstLineChars="200" w:firstLine="480"/>
        <w:jc w:val="both"/>
        <w:rPr>
          <w:rFonts w:ascii="Times New Roman" w:hAnsi="Times New Roman" w:cs="Times New Roman"/>
          <w:sz w:val="24"/>
        </w:rPr>
      </w:pPr>
      <w:r w:rsidRPr="0092112D">
        <w:rPr>
          <w:rFonts w:ascii="Times New Roman" w:hAnsi="Times New Roman" w:cs="Times New Roman"/>
          <w:sz w:val="24"/>
        </w:rPr>
        <w:t xml:space="preserve">Using Ansoff’s Matrix, Tesla’s most realistic growth options are market penetration, product development and related diversification. Market penetration through vehicle sales in the UK and Europe remains important, but it is also exposed to affordability pressure, subsidy design and intense rivalry. This is especially relevant in the UK, where electric car support remains an active policy issue, and in Europe, where purchase incentives appear to stimulate EV registrations more directly than recurring ownership incentives (Competition and Markets Authority, 2026; Correia </w:t>
      </w:r>
      <w:proofErr w:type="spellStart"/>
      <w:r w:rsidRPr="0092112D">
        <w:rPr>
          <w:rFonts w:ascii="Times New Roman" w:hAnsi="Times New Roman" w:cs="Times New Roman"/>
          <w:sz w:val="24"/>
        </w:rPr>
        <w:t>Sinézio</w:t>
      </w:r>
      <w:proofErr w:type="spellEnd"/>
      <w:r w:rsidRPr="0092112D">
        <w:rPr>
          <w:rFonts w:ascii="Times New Roman" w:hAnsi="Times New Roman" w:cs="Times New Roman"/>
          <w:sz w:val="24"/>
        </w:rPr>
        <w:t xml:space="preserve"> Martins et al., 2024). Product development is therefore a more attractive route because it allows Tesla to extract more value from its installed base through software functions, autonomous systems and connected services (Tesla, 2026a; Tesla, 2026b). Related diversification through energy storage and energy management is also strategically suitable because it reinforces the same ecosystem logic that underpins Tesla’s differentiation. Overall, Tesla’s future growth should deepen and extend its present system rather than move far beyond it.</w:t>
      </w:r>
    </w:p>
    <w:p w14:paraId="1EC7C338" w14:textId="77777777" w:rsidR="0092112D" w:rsidRPr="0092112D" w:rsidRDefault="0092112D" w:rsidP="0092112D">
      <w:pPr>
        <w:spacing w:line="480" w:lineRule="auto"/>
        <w:ind w:firstLineChars="200" w:firstLine="480"/>
        <w:jc w:val="both"/>
        <w:rPr>
          <w:rFonts w:ascii="Times New Roman" w:hAnsi="Times New Roman" w:cs="Times New Roman"/>
          <w:sz w:val="24"/>
        </w:rPr>
      </w:pPr>
    </w:p>
    <w:p w14:paraId="7099037F" w14:textId="77777777" w:rsidR="0092112D" w:rsidRPr="0092112D" w:rsidRDefault="0092112D" w:rsidP="0092112D">
      <w:pPr>
        <w:spacing w:line="480" w:lineRule="auto"/>
        <w:jc w:val="center"/>
        <w:outlineLvl w:val="0"/>
        <w:rPr>
          <w:rFonts w:ascii="Times New Roman" w:hAnsi="Times New Roman" w:cs="Times New Roman"/>
          <w:b/>
          <w:bCs/>
          <w:sz w:val="24"/>
        </w:rPr>
      </w:pPr>
      <w:bookmarkStart w:id="14" w:name="_Toc225524258"/>
      <w:r w:rsidRPr="0092112D">
        <w:rPr>
          <w:rFonts w:ascii="Times New Roman" w:hAnsi="Times New Roman" w:cs="Times New Roman"/>
          <w:b/>
          <w:bCs/>
          <w:sz w:val="24"/>
        </w:rPr>
        <w:t>5.Sustainability and Strategic Recommendations</w:t>
      </w:r>
      <w:bookmarkEnd w:id="14"/>
    </w:p>
    <w:p w14:paraId="39281C45" w14:textId="77777777" w:rsidR="0092112D" w:rsidRPr="0092112D" w:rsidRDefault="0092112D" w:rsidP="0092112D">
      <w:pPr>
        <w:spacing w:line="480" w:lineRule="auto"/>
        <w:ind w:firstLineChars="200" w:firstLine="480"/>
        <w:jc w:val="both"/>
        <w:rPr>
          <w:rFonts w:ascii="Times New Roman" w:hAnsi="Times New Roman" w:cs="Times New Roman"/>
          <w:sz w:val="24"/>
        </w:rPr>
      </w:pPr>
      <w:r w:rsidRPr="0092112D">
        <w:rPr>
          <w:rFonts w:ascii="Times New Roman" w:hAnsi="Times New Roman" w:cs="Times New Roman"/>
          <w:sz w:val="24"/>
        </w:rPr>
        <w:t xml:space="preserve">Sustainability is increasingly central to Tesla’s strategy because it is tied directly </w:t>
      </w:r>
      <w:r w:rsidRPr="0092112D">
        <w:rPr>
          <w:rFonts w:ascii="Times New Roman" w:hAnsi="Times New Roman" w:cs="Times New Roman"/>
          <w:sz w:val="24"/>
        </w:rPr>
        <w:lastRenderedPageBreak/>
        <w:t>to batteries, resource security, recycling and supply resilience. Research suggests that major electric vehicle producers, including Tesla, have developed clearer circular economy and battery recovery practices, making sustainability more commercially relevant than before (Cintra et al., 2025). Sustainability is therefore becoming part of operational performance and long-term competitiveness rather than remaining only a reputational issue.</w:t>
      </w:r>
    </w:p>
    <w:p w14:paraId="52D143BB" w14:textId="77777777" w:rsidR="0092112D" w:rsidRPr="0092112D" w:rsidRDefault="0092112D" w:rsidP="0092112D">
      <w:pPr>
        <w:spacing w:line="480" w:lineRule="auto"/>
        <w:ind w:firstLineChars="200" w:firstLine="480"/>
        <w:jc w:val="both"/>
        <w:rPr>
          <w:rFonts w:ascii="Times New Roman" w:hAnsi="Times New Roman" w:cs="Times New Roman"/>
          <w:sz w:val="24"/>
        </w:rPr>
      </w:pPr>
      <w:r w:rsidRPr="0092112D">
        <w:rPr>
          <w:rFonts w:ascii="Times New Roman" w:hAnsi="Times New Roman" w:cs="Times New Roman"/>
          <w:sz w:val="24"/>
        </w:rPr>
        <w:t>However, the earlier analysis shows that electric vehicle growth in Europe still depends on charging access and affordability, while the battery value chain remains exposed to critical materials and governance risks (</w:t>
      </w:r>
      <w:proofErr w:type="spellStart"/>
      <w:r w:rsidRPr="0092112D">
        <w:rPr>
          <w:rFonts w:ascii="Times New Roman" w:hAnsi="Times New Roman" w:cs="Times New Roman"/>
          <w:sz w:val="24"/>
        </w:rPr>
        <w:t>Budnitz</w:t>
      </w:r>
      <w:proofErr w:type="spellEnd"/>
      <w:r w:rsidRPr="0092112D">
        <w:rPr>
          <w:rFonts w:ascii="Times New Roman" w:hAnsi="Times New Roman" w:cs="Times New Roman"/>
          <w:sz w:val="24"/>
        </w:rPr>
        <w:t xml:space="preserve">, </w:t>
      </w:r>
      <w:proofErr w:type="spellStart"/>
      <w:r w:rsidRPr="0092112D">
        <w:rPr>
          <w:rFonts w:ascii="Times New Roman" w:hAnsi="Times New Roman" w:cs="Times New Roman"/>
          <w:sz w:val="24"/>
        </w:rPr>
        <w:t>Meelen</w:t>
      </w:r>
      <w:proofErr w:type="spellEnd"/>
      <w:r w:rsidRPr="0092112D">
        <w:rPr>
          <w:rFonts w:ascii="Times New Roman" w:hAnsi="Times New Roman" w:cs="Times New Roman"/>
          <w:sz w:val="24"/>
        </w:rPr>
        <w:t xml:space="preserve"> and Schwanen, 2026; </w:t>
      </w:r>
      <w:proofErr w:type="spellStart"/>
      <w:r w:rsidRPr="0092112D">
        <w:rPr>
          <w:rFonts w:ascii="Times New Roman" w:hAnsi="Times New Roman" w:cs="Times New Roman"/>
          <w:sz w:val="24"/>
        </w:rPr>
        <w:t>Jannesar</w:t>
      </w:r>
      <w:proofErr w:type="spellEnd"/>
      <w:r w:rsidRPr="0092112D">
        <w:rPr>
          <w:rFonts w:ascii="Times New Roman" w:hAnsi="Times New Roman" w:cs="Times New Roman"/>
          <w:sz w:val="24"/>
        </w:rPr>
        <w:t xml:space="preserve"> Niri et al., 2024). Tesla’s recommendations should therefore respond directly to these issues.</w:t>
      </w:r>
    </w:p>
    <w:p w14:paraId="41202D68" w14:textId="77777777" w:rsidR="0092112D" w:rsidRPr="0092112D" w:rsidRDefault="0092112D" w:rsidP="0092112D">
      <w:pPr>
        <w:spacing w:line="480" w:lineRule="auto"/>
        <w:ind w:firstLineChars="200" w:firstLine="480"/>
        <w:jc w:val="both"/>
        <w:rPr>
          <w:rFonts w:ascii="Times New Roman" w:hAnsi="Times New Roman" w:cs="Times New Roman"/>
          <w:sz w:val="24"/>
        </w:rPr>
      </w:pPr>
      <w:r w:rsidRPr="0092112D">
        <w:rPr>
          <w:rFonts w:ascii="Times New Roman" w:hAnsi="Times New Roman" w:cs="Times New Roman"/>
          <w:sz w:val="24"/>
        </w:rPr>
        <w:t>First, Tesla should strengthen charging partnerships and infrastructure presence in the UK and Europe. Since convenience remains a major adoption barrier, this is one of the company’s most realistic ways to reinforce its market position and turn an existing capability into a more regionally embedded advantage (</w:t>
      </w:r>
      <w:proofErr w:type="spellStart"/>
      <w:r w:rsidRPr="0092112D">
        <w:rPr>
          <w:rFonts w:ascii="Times New Roman" w:hAnsi="Times New Roman" w:cs="Times New Roman"/>
          <w:sz w:val="24"/>
        </w:rPr>
        <w:t>Budnitz</w:t>
      </w:r>
      <w:proofErr w:type="spellEnd"/>
      <w:r w:rsidRPr="0092112D">
        <w:rPr>
          <w:rFonts w:ascii="Times New Roman" w:hAnsi="Times New Roman" w:cs="Times New Roman"/>
          <w:sz w:val="24"/>
        </w:rPr>
        <w:t xml:space="preserve">, </w:t>
      </w:r>
      <w:proofErr w:type="spellStart"/>
      <w:r w:rsidRPr="0092112D">
        <w:rPr>
          <w:rFonts w:ascii="Times New Roman" w:hAnsi="Times New Roman" w:cs="Times New Roman"/>
          <w:sz w:val="24"/>
        </w:rPr>
        <w:t>Meelen</w:t>
      </w:r>
      <w:proofErr w:type="spellEnd"/>
      <w:r w:rsidRPr="0092112D">
        <w:rPr>
          <w:rFonts w:ascii="Times New Roman" w:hAnsi="Times New Roman" w:cs="Times New Roman"/>
          <w:sz w:val="24"/>
        </w:rPr>
        <w:t xml:space="preserve"> and Schwanen, 2026; Sun et al., 2024).</w:t>
      </w:r>
    </w:p>
    <w:p w14:paraId="0A7ACBC5" w14:textId="77777777" w:rsidR="0092112D" w:rsidRPr="0092112D" w:rsidRDefault="0092112D" w:rsidP="0092112D">
      <w:pPr>
        <w:spacing w:line="480" w:lineRule="auto"/>
        <w:ind w:firstLineChars="200" w:firstLine="480"/>
        <w:jc w:val="both"/>
        <w:rPr>
          <w:rFonts w:ascii="Times New Roman" w:hAnsi="Times New Roman" w:cs="Times New Roman"/>
          <w:sz w:val="24"/>
        </w:rPr>
      </w:pPr>
      <w:r w:rsidRPr="0092112D">
        <w:rPr>
          <w:rFonts w:ascii="Times New Roman" w:hAnsi="Times New Roman" w:cs="Times New Roman"/>
          <w:sz w:val="24"/>
        </w:rPr>
        <w:t xml:space="preserve">Second, Tesla should deepen battery resilience through greater use of lithium iron phosphate batteries, recycling and second-life systems. This would reduce material risk, improve supply-chain stability and support longer-term cost control (Safari, 2025; </w:t>
      </w:r>
      <w:proofErr w:type="spellStart"/>
      <w:r w:rsidRPr="0092112D">
        <w:rPr>
          <w:rFonts w:ascii="Times New Roman" w:hAnsi="Times New Roman" w:cs="Times New Roman"/>
          <w:sz w:val="24"/>
        </w:rPr>
        <w:t>Wesselkämper</w:t>
      </w:r>
      <w:proofErr w:type="spellEnd"/>
      <w:r w:rsidRPr="0092112D">
        <w:rPr>
          <w:rFonts w:ascii="Times New Roman" w:hAnsi="Times New Roman" w:cs="Times New Roman"/>
          <w:sz w:val="24"/>
        </w:rPr>
        <w:t xml:space="preserve"> et al., 2024).</w:t>
      </w:r>
    </w:p>
    <w:p w14:paraId="23E80801" w14:textId="77777777" w:rsidR="0092112D" w:rsidRPr="0092112D" w:rsidRDefault="0092112D" w:rsidP="0092112D">
      <w:pPr>
        <w:spacing w:line="480" w:lineRule="auto"/>
        <w:ind w:firstLineChars="200" w:firstLine="480"/>
        <w:jc w:val="both"/>
        <w:rPr>
          <w:rFonts w:ascii="Times New Roman" w:hAnsi="Times New Roman" w:cs="Times New Roman"/>
          <w:sz w:val="24"/>
        </w:rPr>
      </w:pPr>
      <w:r w:rsidRPr="0092112D">
        <w:rPr>
          <w:rFonts w:ascii="Times New Roman" w:hAnsi="Times New Roman" w:cs="Times New Roman"/>
          <w:sz w:val="24"/>
        </w:rPr>
        <w:t xml:space="preserve">Third, Tesla should integrate sustainability more fully into its wider business </w:t>
      </w:r>
      <w:r w:rsidRPr="0092112D">
        <w:rPr>
          <w:rFonts w:ascii="Times New Roman" w:hAnsi="Times New Roman" w:cs="Times New Roman"/>
          <w:sz w:val="24"/>
        </w:rPr>
        <w:lastRenderedPageBreak/>
        <w:t>model by connecting vehicles, energy storage, battery data and recycling systems closer. A stronger circular ecosystem would make sustainability part of operational capability rather than a reputational claim alone (Wellten, Angelis and Ribeiro Da Silva, 2025). This also matters ethically, since the legitimacy of electric vehicles depends on resource governance, transparency and practical accessibility (Tilly et al., 2024).</w:t>
      </w:r>
    </w:p>
    <w:p w14:paraId="1787D420" w14:textId="77777777" w:rsidR="0092112D" w:rsidRPr="0092112D" w:rsidRDefault="0092112D" w:rsidP="0092112D">
      <w:pPr>
        <w:spacing w:line="480" w:lineRule="auto"/>
        <w:ind w:firstLineChars="200" w:firstLine="480"/>
        <w:jc w:val="both"/>
        <w:rPr>
          <w:rFonts w:ascii="Times New Roman" w:hAnsi="Times New Roman" w:cs="Times New Roman"/>
          <w:sz w:val="24"/>
        </w:rPr>
      </w:pPr>
    </w:p>
    <w:p w14:paraId="50E18739" w14:textId="77777777" w:rsidR="0092112D" w:rsidRPr="0092112D" w:rsidRDefault="0092112D" w:rsidP="0092112D">
      <w:pPr>
        <w:spacing w:line="480" w:lineRule="auto"/>
        <w:jc w:val="center"/>
        <w:outlineLvl w:val="0"/>
        <w:rPr>
          <w:rFonts w:ascii="Times New Roman" w:hAnsi="Times New Roman" w:cs="Times New Roman"/>
          <w:b/>
          <w:bCs/>
          <w:sz w:val="24"/>
        </w:rPr>
      </w:pPr>
      <w:bookmarkStart w:id="15" w:name="_Toc225524259"/>
      <w:r w:rsidRPr="0092112D">
        <w:rPr>
          <w:rFonts w:ascii="Times New Roman" w:hAnsi="Times New Roman" w:cs="Times New Roman"/>
          <w:b/>
          <w:bCs/>
          <w:sz w:val="24"/>
        </w:rPr>
        <w:t>6.Conclusion</w:t>
      </w:r>
      <w:bookmarkEnd w:id="15"/>
    </w:p>
    <w:p w14:paraId="770D6700" w14:textId="77777777" w:rsidR="0092112D" w:rsidRPr="0092112D" w:rsidRDefault="0092112D" w:rsidP="0092112D">
      <w:pPr>
        <w:spacing w:line="480" w:lineRule="auto"/>
        <w:ind w:firstLineChars="200" w:firstLine="480"/>
        <w:jc w:val="both"/>
        <w:rPr>
          <w:rFonts w:ascii="Times New Roman" w:hAnsi="Times New Roman" w:cs="Times New Roman"/>
          <w:sz w:val="24"/>
        </w:rPr>
      </w:pPr>
      <w:r w:rsidRPr="0092112D">
        <w:rPr>
          <w:rFonts w:ascii="Times New Roman" w:hAnsi="Times New Roman" w:cs="Times New Roman"/>
          <w:sz w:val="24"/>
        </w:rPr>
        <w:t>Tesla remains one of the most important firms in the electric vehicle industry, but it now operates in a much more demanding strategic environment. Its strengths in software, charging infrastructure and cross-business integration still matter, yet they face increasing pressure from rivalry, supply concentration, and changing market conditions (Tesla, 2026a; Tesla, 2026b; Whitfield and Wuttke, 2026).</w:t>
      </w:r>
    </w:p>
    <w:p w14:paraId="58356E46" w14:textId="77777777" w:rsidR="0092112D" w:rsidRPr="0092112D" w:rsidRDefault="0092112D" w:rsidP="0092112D">
      <w:pPr>
        <w:spacing w:line="480" w:lineRule="auto"/>
        <w:ind w:firstLineChars="200" w:firstLine="480"/>
        <w:jc w:val="both"/>
        <w:rPr>
          <w:rFonts w:ascii="Times New Roman" w:hAnsi="Times New Roman" w:cs="Times New Roman"/>
          <w:sz w:val="24"/>
        </w:rPr>
      </w:pPr>
      <w:r w:rsidRPr="0092112D">
        <w:rPr>
          <w:rFonts w:ascii="Times New Roman" w:hAnsi="Times New Roman" w:cs="Times New Roman"/>
          <w:sz w:val="24"/>
        </w:rPr>
        <w:t>This report concludes that Tesla still follows a differentiation strategy, but the basis of that differentiation is changing. Future advantage will depend less on early product distinction alone and more on whether Tesla can build a durable platform-based and sustainability-linked business model. More broadly, the case shows that strategic management in a sustainable business environment requires firms to align competitiveness with resilience, resource responsibility and long-term adaptability.</w:t>
      </w:r>
    </w:p>
    <w:bookmarkEnd w:id="3"/>
    <w:p w14:paraId="68AC432E" w14:textId="6B18B594" w:rsidR="0021178E" w:rsidRPr="0092112D" w:rsidRDefault="0021178E" w:rsidP="006F4A2D">
      <w:pPr>
        <w:spacing w:line="480" w:lineRule="auto"/>
        <w:ind w:firstLineChars="200" w:firstLine="480"/>
        <w:jc w:val="both"/>
        <w:rPr>
          <w:rFonts w:ascii="Times New Roman" w:hAnsi="Times New Roman" w:cs="Times New Roman"/>
          <w:sz w:val="24"/>
        </w:rPr>
      </w:pPr>
    </w:p>
    <w:p w14:paraId="11302DB5" w14:textId="77777777" w:rsidR="000868BA" w:rsidRDefault="000868BA" w:rsidP="0055768F">
      <w:pPr>
        <w:spacing w:line="480" w:lineRule="auto"/>
        <w:jc w:val="both"/>
        <w:rPr>
          <w:rFonts w:ascii="Times New Roman" w:hAnsi="Times New Roman" w:cs="Times New Roman"/>
          <w:sz w:val="24"/>
          <w:lang w:val="en-US"/>
        </w:rPr>
      </w:pPr>
    </w:p>
    <w:p w14:paraId="5A4064A8" w14:textId="67D04A2B" w:rsidR="000868BA" w:rsidRPr="000868BA" w:rsidRDefault="000D5D59" w:rsidP="000D5D59">
      <w:pPr>
        <w:snapToGrid w:val="0"/>
        <w:spacing w:after="0" w:line="480" w:lineRule="auto"/>
        <w:jc w:val="center"/>
        <w:outlineLvl w:val="0"/>
        <w:rPr>
          <w:rFonts w:ascii="Times New Roman" w:hAnsi="Times New Roman" w:cs="Times New Roman"/>
          <w:sz w:val="24"/>
        </w:rPr>
      </w:pPr>
      <w:bookmarkStart w:id="16" w:name="_Toc225524260"/>
      <w:r w:rsidRPr="007A4510">
        <w:rPr>
          <w:rFonts w:ascii="Times New Roman" w:hAnsi="Times New Roman" w:cs="Times New Roman"/>
          <w:b/>
          <w:bCs/>
          <w:sz w:val="24"/>
        </w:rPr>
        <w:lastRenderedPageBreak/>
        <w:t>References</w:t>
      </w:r>
      <w:bookmarkEnd w:id="16"/>
    </w:p>
    <w:p w14:paraId="73626B5A" w14:textId="77777777" w:rsidR="000868BA" w:rsidRPr="000868BA" w:rsidRDefault="000868BA" w:rsidP="000868BA">
      <w:pPr>
        <w:spacing w:line="240" w:lineRule="auto"/>
        <w:ind w:left="480" w:hangingChars="200" w:hanging="480"/>
        <w:rPr>
          <w:rFonts w:ascii="Times New Roman" w:hAnsi="Times New Roman" w:cs="Times New Roman"/>
          <w:sz w:val="24"/>
          <w:lang w:val="en-US"/>
        </w:rPr>
      </w:pPr>
      <w:proofErr w:type="spellStart"/>
      <w:r w:rsidRPr="000868BA">
        <w:rPr>
          <w:rFonts w:ascii="Times New Roman" w:hAnsi="Times New Roman" w:cs="Times New Roman"/>
          <w:sz w:val="24"/>
          <w:lang w:val="en-US"/>
        </w:rPr>
        <w:t>Budnitz</w:t>
      </w:r>
      <w:proofErr w:type="spellEnd"/>
      <w:r w:rsidRPr="000868BA">
        <w:rPr>
          <w:rFonts w:ascii="Times New Roman" w:hAnsi="Times New Roman" w:cs="Times New Roman"/>
          <w:sz w:val="24"/>
          <w:lang w:val="en-US"/>
        </w:rPr>
        <w:t xml:space="preserve">, H., </w:t>
      </w:r>
      <w:proofErr w:type="spellStart"/>
      <w:r w:rsidRPr="000868BA">
        <w:rPr>
          <w:rFonts w:ascii="Times New Roman" w:hAnsi="Times New Roman" w:cs="Times New Roman"/>
          <w:sz w:val="24"/>
          <w:lang w:val="en-US"/>
        </w:rPr>
        <w:t>Meelen</w:t>
      </w:r>
      <w:proofErr w:type="spellEnd"/>
      <w:r w:rsidRPr="000868BA">
        <w:rPr>
          <w:rFonts w:ascii="Times New Roman" w:hAnsi="Times New Roman" w:cs="Times New Roman"/>
          <w:sz w:val="24"/>
          <w:lang w:val="en-US"/>
        </w:rPr>
        <w:t xml:space="preserve">, T. and Schwanen, T. (2026) ‘Electric vehicle adoption intentions among UK residents parking in shared and public spaces’, </w:t>
      </w:r>
      <w:r w:rsidRPr="000868BA">
        <w:rPr>
          <w:rFonts w:ascii="Times New Roman" w:hAnsi="Times New Roman" w:cs="Times New Roman"/>
          <w:i/>
          <w:iCs/>
          <w:sz w:val="24"/>
          <w:lang w:val="en-US"/>
        </w:rPr>
        <w:t>Transportation</w:t>
      </w:r>
      <w:r w:rsidRPr="000868BA">
        <w:rPr>
          <w:rFonts w:ascii="Times New Roman" w:hAnsi="Times New Roman" w:cs="Times New Roman"/>
          <w:sz w:val="24"/>
          <w:lang w:val="en-US"/>
        </w:rPr>
        <w:t xml:space="preserve">, 53(2), pp. 937–960. Available at: </w:t>
      </w:r>
      <w:hyperlink r:id="rId9" w:history="1">
        <w:r w:rsidRPr="000868BA">
          <w:rPr>
            <w:rStyle w:val="af2"/>
            <w:rFonts w:ascii="Times New Roman" w:hAnsi="Times New Roman" w:cs="Times New Roman"/>
            <w:sz w:val="24"/>
            <w:lang w:val="en-US"/>
          </w:rPr>
          <w:t>https://doi.org/10.1007/s11116-024-10518-0</w:t>
        </w:r>
      </w:hyperlink>
      <w:r w:rsidRPr="000868BA">
        <w:rPr>
          <w:rFonts w:ascii="Times New Roman" w:hAnsi="Times New Roman" w:cs="Times New Roman"/>
          <w:sz w:val="24"/>
          <w:lang w:val="en-US"/>
        </w:rPr>
        <w:t>.</w:t>
      </w:r>
    </w:p>
    <w:p w14:paraId="21BD523C" w14:textId="77777777" w:rsidR="000868BA" w:rsidRPr="000868BA" w:rsidRDefault="000868BA" w:rsidP="000868BA">
      <w:pPr>
        <w:spacing w:line="240" w:lineRule="auto"/>
        <w:ind w:left="480" w:hangingChars="200" w:hanging="480"/>
        <w:rPr>
          <w:rFonts w:ascii="Times New Roman" w:hAnsi="Times New Roman" w:cs="Times New Roman"/>
          <w:sz w:val="24"/>
          <w:lang w:val="en-US"/>
        </w:rPr>
      </w:pPr>
      <w:r w:rsidRPr="000868BA">
        <w:rPr>
          <w:rFonts w:ascii="Times New Roman" w:hAnsi="Times New Roman" w:cs="Times New Roman"/>
          <w:sz w:val="24"/>
          <w:lang w:val="en-US"/>
        </w:rPr>
        <w:t xml:space="preserve">Cintra, R.S. </w:t>
      </w:r>
      <w:r w:rsidRPr="000868BA">
        <w:rPr>
          <w:rFonts w:ascii="Times New Roman" w:hAnsi="Times New Roman" w:cs="Times New Roman"/>
          <w:i/>
          <w:iCs/>
          <w:sz w:val="24"/>
          <w:lang w:val="en-US"/>
        </w:rPr>
        <w:t>et al.</w:t>
      </w:r>
      <w:r w:rsidRPr="000868BA">
        <w:rPr>
          <w:rFonts w:ascii="Times New Roman" w:hAnsi="Times New Roman" w:cs="Times New Roman"/>
          <w:sz w:val="24"/>
          <w:lang w:val="en-US"/>
        </w:rPr>
        <w:t xml:space="preserve"> (</w:t>
      </w:r>
      <w:proofErr w:type="gramStart"/>
      <w:r w:rsidRPr="000868BA">
        <w:rPr>
          <w:rFonts w:ascii="Times New Roman" w:hAnsi="Times New Roman" w:cs="Times New Roman"/>
          <w:sz w:val="24"/>
          <w:lang w:val="en-US"/>
        </w:rPr>
        <w:t>2025) ‘</w:t>
      </w:r>
      <w:proofErr w:type="gramEnd"/>
      <w:r w:rsidRPr="000868BA">
        <w:rPr>
          <w:rFonts w:ascii="Times New Roman" w:hAnsi="Times New Roman" w:cs="Times New Roman"/>
          <w:sz w:val="24"/>
          <w:lang w:val="en-US"/>
        </w:rPr>
        <w:t xml:space="preserve">Analysis of the Life Cycle and Circular Economy Strategies for Batteries Adopted by the Main Electric Vehicle Manufacturers’, </w:t>
      </w:r>
      <w:r w:rsidRPr="000868BA">
        <w:rPr>
          <w:rFonts w:ascii="Times New Roman" w:hAnsi="Times New Roman" w:cs="Times New Roman"/>
          <w:i/>
          <w:iCs/>
          <w:sz w:val="24"/>
          <w:lang w:val="en-US"/>
        </w:rPr>
        <w:t>Sustainability</w:t>
      </w:r>
      <w:r w:rsidRPr="000868BA">
        <w:rPr>
          <w:rFonts w:ascii="Times New Roman" w:hAnsi="Times New Roman" w:cs="Times New Roman"/>
          <w:sz w:val="24"/>
          <w:lang w:val="en-US"/>
        </w:rPr>
        <w:t xml:space="preserve">, 17(8), p. 3428. Available at: </w:t>
      </w:r>
      <w:hyperlink r:id="rId10" w:history="1">
        <w:r w:rsidRPr="000868BA">
          <w:rPr>
            <w:rStyle w:val="af2"/>
            <w:rFonts w:ascii="Times New Roman" w:hAnsi="Times New Roman" w:cs="Times New Roman"/>
            <w:sz w:val="24"/>
            <w:lang w:val="en-US"/>
          </w:rPr>
          <w:t>https://doi.org/10.3390/su17083428</w:t>
        </w:r>
      </w:hyperlink>
      <w:r w:rsidRPr="000868BA">
        <w:rPr>
          <w:rFonts w:ascii="Times New Roman" w:hAnsi="Times New Roman" w:cs="Times New Roman"/>
          <w:sz w:val="24"/>
          <w:lang w:val="en-US"/>
        </w:rPr>
        <w:t>.</w:t>
      </w:r>
    </w:p>
    <w:p w14:paraId="7708890E" w14:textId="77777777" w:rsidR="000868BA" w:rsidRPr="000868BA" w:rsidRDefault="000868BA" w:rsidP="000868BA">
      <w:pPr>
        <w:spacing w:line="240" w:lineRule="auto"/>
        <w:ind w:left="480" w:hangingChars="200" w:hanging="480"/>
        <w:rPr>
          <w:rFonts w:ascii="Times New Roman" w:hAnsi="Times New Roman" w:cs="Times New Roman"/>
          <w:sz w:val="24"/>
          <w:lang w:val="en-US"/>
        </w:rPr>
      </w:pPr>
      <w:r w:rsidRPr="000868BA">
        <w:rPr>
          <w:rFonts w:ascii="Times New Roman" w:hAnsi="Times New Roman" w:cs="Times New Roman"/>
          <w:sz w:val="24"/>
          <w:lang w:val="en-US"/>
        </w:rPr>
        <w:t xml:space="preserve">Competition and Markets Authority (2026). </w:t>
      </w:r>
      <w:r w:rsidRPr="000868BA">
        <w:rPr>
          <w:rFonts w:ascii="Times New Roman" w:hAnsi="Times New Roman" w:cs="Times New Roman"/>
          <w:i/>
          <w:iCs/>
          <w:sz w:val="24"/>
          <w:lang w:val="en-US"/>
        </w:rPr>
        <w:t>Referral of the Proposed Electric Car Grant Subsidy Scheme by the Office for Zero Emission Vehicles</w:t>
      </w:r>
      <w:r w:rsidRPr="000868BA">
        <w:rPr>
          <w:rFonts w:ascii="Times New Roman" w:hAnsi="Times New Roman" w:cs="Times New Roman"/>
          <w:sz w:val="24"/>
          <w:lang w:val="en-US"/>
        </w:rPr>
        <w:t>. [online] GOV.UK. Available at: https://www.gov.uk/cma-cases/referral-of-the-proposed-electric-car-grant-subsidy-scheme-by-the-office-for-zero-emission-vehicles [Accessed 27 Mar. 2026].</w:t>
      </w:r>
    </w:p>
    <w:p w14:paraId="1D7EE64F" w14:textId="77777777" w:rsidR="000868BA" w:rsidRPr="000868BA" w:rsidRDefault="000868BA" w:rsidP="000868BA">
      <w:pPr>
        <w:spacing w:line="240" w:lineRule="auto"/>
        <w:ind w:left="480" w:hangingChars="200" w:hanging="480"/>
        <w:rPr>
          <w:rFonts w:ascii="Times New Roman" w:hAnsi="Times New Roman" w:cs="Times New Roman"/>
          <w:sz w:val="24"/>
          <w:lang w:val="en-US"/>
        </w:rPr>
      </w:pPr>
      <w:r w:rsidRPr="000868BA">
        <w:rPr>
          <w:rFonts w:ascii="Times New Roman" w:hAnsi="Times New Roman" w:cs="Times New Roman"/>
          <w:sz w:val="24"/>
          <w:lang w:val="en-US"/>
        </w:rPr>
        <w:t xml:space="preserve">Correia </w:t>
      </w:r>
      <w:proofErr w:type="spellStart"/>
      <w:r w:rsidRPr="000868BA">
        <w:rPr>
          <w:rFonts w:ascii="Times New Roman" w:hAnsi="Times New Roman" w:cs="Times New Roman"/>
          <w:sz w:val="24"/>
          <w:lang w:val="en-US"/>
        </w:rPr>
        <w:t>Sinézio</w:t>
      </w:r>
      <w:proofErr w:type="spellEnd"/>
      <w:r w:rsidRPr="000868BA">
        <w:rPr>
          <w:rFonts w:ascii="Times New Roman" w:hAnsi="Times New Roman" w:cs="Times New Roman"/>
          <w:sz w:val="24"/>
          <w:lang w:val="en-US"/>
        </w:rPr>
        <w:t xml:space="preserve"> Martins, E., Lépine, J. and Corbett, J. (</w:t>
      </w:r>
      <w:proofErr w:type="gramStart"/>
      <w:r w:rsidRPr="000868BA">
        <w:rPr>
          <w:rFonts w:ascii="Times New Roman" w:hAnsi="Times New Roman" w:cs="Times New Roman"/>
          <w:sz w:val="24"/>
          <w:lang w:val="en-US"/>
        </w:rPr>
        <w:t>2024) ‘</w:t>
      </w:r>
      <w:proofErr w:type="gramEnd"/>
      <w:r w:rsidRPr="000868BA">
        <w:rPr>
          <w:rFonts w:ascii="Times New Roman" w:hAnsi="Times New Roman" w:cs="Times New Roman"/>
          <w:sz w:val="24"/>
          <w:lang w:val="en-US"/>
        </w:rPr>
        <w:t xml:space="preserve">Assessing the effectiveness of financial incentives on electric vehicle adoption in Europe: Multi-period difference-in-difference approach’, </w:t>
      </w:r>
      <w:r w:rsidRPr="000868BA">
        <w:rPr>
          <w:rFonts w:ascii="Times New Roman" w:hAnsi="Times New Roman" w:cs="Times New Roman"/>
          <w:i/>
          <w:iCs/>
          <w:sz w:val="24"/>
          <w:lang w:val="en-US"/>
        </w:rPr>
        <w:t>Transportation Research Part A: Policy and Practice</w:t>
      </w:r>
      <w:r w:rsidRPr="000868BA">
        <w:rPr>
          <w:rFonts w:ascii="Times New Roman" w:hAnsi="Times New Roman" w:cs="Times New Roman"/>
          <w:sz w:val="24"/>
          <w:lang w:val="en-US"/>
        </w:rPr>
        <w:t xml:space="preserve">, 189, p. 104217. Available at: </w:t>
      </w:r>
      <w:hyperlink r:id="rId11" w:history="1">
        <w:r w:rsidRPr="000868BA">
          <w:rPr>
            <w:rStyle w:val="af2"/>
            <w:rFonts w:ascii="Times New Roman" w:hAnsi="Times New Roman" w:cs="Times New Roman"/>
            <w:sz w:val="24"/>
            <w:lang w:val="en-US"/>
          </w:rPr>
          <w:t>https://doi.org/10.1016/j.tra.2024.104217</w:t>
        </w:r>
      </w:hyperlink>
      <w:r w:rsidRPr="000868BA">
        <w:rPr>
          <w:rFonts w:ascii="Times New Roman" w:hAnsi="Times New Roman" w:cs="Times New Roman"/>
          <w:sz w:val="24"/>
          <w:lang w:val="en-US"/>
        </w:rPr>
        <w:t>.</w:t>
      </w:r>
    </w:p>
    <w:p w14:paraId="285620DE" w14:textId="77777777" w:rsidR="000868BA" w:rsidRPr="000868BA" w:rsidRDefault="000868BA" w:rsidP="000868BA">
      <w:pPr>
        <w:spacing w:line="240" w:lineRule="auto"/>
        <w:ind w:left="480" w:hangingChars="200" w:hanging="480"/>
        <w:rPr>
          <w:rFonts w:ascii="Times New Roman" w:hAnsi="Times New Roman" w:cs="Times New Roman"/>
          <w:sz w:val="24"/>
          <w:lang w:val="en-US"/>
        </w:rPr>
      </w:pPr>
      <w:r w:rsidRPr="000868BA">
        <w:rPr>
          <w:rFonts w:ascii="Times New Roman" w:hAnsi="Times New Roman" w:cs="Times New Roman"/>
          <w:sz w:val="24"/>
          <w:lang w:val="en-US"/>
        </w:rPr>
        <w:t xml:space="preserve">Department for Transport, Office for Zero Emission Vehicles and Browne, A. (2024). </w:t>
      </w:r>
      <w:r w:rsidRPr="000868BA">
        <w:rPr>
          <w:rFonts w:ascii="Times New Roman" w:hAnsi="Times New Roman" w:cs="Times New Roman"/>
          <w:i/>
          <w:iCs/>
          <w:sz w:val="24"/>
          <w:lang w:val="en-US"/>
        </w:rPr>
        <w:t>Pathway for Zero Emission Vehicle Transition by 2035 Becomes Law</w:t>
      </w:r>
      <w:r w:rsidRPr="000868BA">
        <w:rPr>
          <w:rFonts w:ascii="Times New Roman" w:hAnsi="Times New Roman" w:cs="Times New Roman"/>
          <w:sz w:val="24"/>
          <w:lang w:val="en-US"/>
        </w:rPr>
        <w:t>. [online] GOV.UK. Available at: https://www.gov.uk/government/news/pathway-for-zero-emission-vehicle-transition-by-2035-becomes-law.</w:t>
      </w:r>
    </w:p>
    <w:p w14:paraId="0B37B905" w14:textId="77777777" w:rsidR="000868BA" w:rsidRPr="000868BA" w:rsidRDefault="000868BA" w:rsidP="000868BA">
      <w:pPr>
        <w:spacing w:line="240" w:lineRule="auto"/>
        <w:ind w:left="480" w:hangingChars="200" w:hanging="480"/>
        <w:rPr>
          <w:rFonts w:ascii="Times New Roman" w:hAnsi="Times New Roman" w:cs="Times New Roman"/>
          <w:sz w:val="24"/>
          <w:lang w:val="en-US"/>
        </w:rPr>
      </w:pPr>
      <w:r w:rsidRPr="000868BA">
        <w:rPr>
          <w:rFonts w:ascii="Times New Roman" w:hAnsi="Times New Roman" w:cs="Times New Roman"/>
          <w:sz w:val="24"/>
          <w:lang w:val="en-US"/>
        </w:rPr>
        <w:t xml:space="preserve">European Automobile Manufacturers’ Association (2026). </w:t>
      </w:r>
      <w:r w:rsidRPr="000868BA">
        <w:rPr>
          <w:rFonts w:ascii="Times New Roman" w:hAnsi="Times New Roman" w:cs="Times New Roman"/>
          <w:i/>
          <w:iCs/>
          <w:sz w:val="24"/>
          <w:lang w:val="en-US"/>
        </w:rPr>
        <w:t>New Car registrations: +1.8% in 2025; battery-electric 17.4% Market Share</w:t>
      </w:r>
      <w:r w:rsidRPr="000868BA">
        <w:rPr>
          <w:rFonts w:ascii="Times New Roman" w:hAnsi="Times New Roman" w:cs="Times New Roman"/>
          <w:sz w:val="24"/>
          <w:lang w:val="en-US"/>
        </w:rPr>
        <w:t>. [online] ACEA - European Automobile Manufacturers’ Association. Available at: https://www.acea.auto/pc-registrations/new-car-registrations-1-8-in-2025-battery-electric-17-4-market-share/.</w:t>
      </w:r>
    </w:p>
    <w:p w14:paraId="73C1BC85" w14:textId="77777777" w:rsidR="000868BA" w:rsidRPr="000868BA" w:rsidRDefault="000868BA" w:rsidP="000868BA">
      <w:pPr>
        <w:spacing w:line="240" w:lineRule="auto"/>
        <w:ind w:left="480" w:hangingChars="200" w:hanging="480"/>
        <w:rPr>
          <w:rFonts w:ascii="Times New Roman" w:hAnsi="Times New Roman" w:cs="Times New Roman"/>
          <w:sz w:val="24"/>
          <w:lang w:val="en-US"/>
        </w:rPr>
      </w:pPr>
      <w:r w:rsidRPr="000868BA">
        <w:rPr>
          <w:rFonts w:ascii="Times New Roman" w:hAnsi="Times New Roman" w:cs="Times New Roman"/>
          <w:sz w:val="24"/>
          <w:lang w:val="en-US"/>
        </w:rPr>
        <w:t xml:space="preserve">European Commission (2025). </w:t>
      </w:r>
      <w:proofErr w:type="spellStart"/>
      <w:r w:rsidRPr="000868BA">
        <w:rPr>
          <w:rFonts w:ascii="Times New Roman" w:hAnsi="Times New Roman" w:cs="Times New Roman"/>
          <w:i/>
          <w:iCs/>
          <w:sz w:val="24"/>
          <w:lang w:val="en-US"/>
        </w:rPr>
        <w:t>Ndustrial</w:t>
      </w:r>
      <w:proofErr w:type="spellEnd"/>
      <w:r w:rsidRPr="000868BA">
        <w:rPr>
          <w:rFonts w:ascii="Times New Roman" w:hAnsi="Times New Roman" w:cs="Times New Roman"/>
          <w:i/>
          <w:iCs/>
          <w:sz w:val="24"/>
          <w:lang w:val="en-US"/>
        </w:rPr>
        <w:t xml:space="preserve"> Action Plan for the European Automotive </w:t>
      </w:r>
      <w:proofErr w:type="gramStart"/>
      <w:r w:rsidRPr="000868BA">
        <w:rPr>
          <w:rFonts w:ascii="Times New Roman" w:hAnsi="Times New Roman" w:cs="Times New Roman"/>
          <w:i/>
          <w:iCs/>
          <w:sz w:val="24"/>
          <w:lang w:val="en-US"/>
        </w:rPr>
        <w:t>sector.</w:t>
      </w:r>
      <w:r w:rsidRPr="000868BA">
        <w:rPr>
          <w:rFonts w:ascii="Times New Roman" w:hAnsi="Times New Roman" w:cs="Times New Roman"/>
          <w:sz w:val="24"/>
          <w:lang w:val="en-US"/>
        </w:rPr>
        <w:t>.</w:t>
      </w:r>
      <w:proofErr w:type="gramEnd"/>
    </w:p>
    <w:p w14:paraId="6A6A33FF" w14:textId="77777777" w:rsidR="000868BA" w:rsidRPr="000868BA" w:rsidRDefault="000868BA" w:rsidP="000868BA">
      <w:pPr>
        <w:spacing w:line="240" w:lineRule="auto"/>
        <w:ind w:left="480" w:hangingChars="200" w:hanging="480"/>
        <w:rPr>
          <w:rFonts w:ascii="Times New Roman" w:hAnsi="Times New Roman" w:cs="Times New Roman"/>
          <w:sz w:val="24"/>
          <w:lang w:val="en-US"/>
        </w:rPr>
      </w:pPr>
      <w:r w:rsidRPr="000868BA">
        <w:rPr>
          <w:rFonts w:ascii="Times New Roman" w:hAnsi="Times New Roman" w:cs="Times New Roman"/>
          <w:sz w:val="24"/>
          <w:lang w:val="en-US"/>
        </w:rPr>
        <w:t xml:space="preserve">Haan, P., </w:t>
      </w:r>
      <w:proofErr w:type="spellStart"/>
      <w:r w:rsidRPr="000868BA">
        <w:rPr>
          <w:rFonts w:ascii="Times New Roman" w:hAnsi="Times New Roman" w:cs="Times New Roman"/>
          <w:sz w:val="24"/>
          <w:lang w:val="en-US"/>
        </w:rPr>
        <w:t>Santonja</w:t>
      </w:r>
      <w:proofErr w:type="spellEnd"/>
      <w:r w:rsidRPr="000868BA">
        <w:rPr>
          <w:rFonts w:ascii="Times New Roman" w:hAnsi="Times New Roman" w:cs="Times New Roman"/>
          <w:sz w:val="24"/>
          <w:lang w:val="en-US"/>
        </w:rPr>
        <w:t xml:space="preserve">, A. and </w:t>
      </w:r>
      <w:proofErr w:type="spellStart"/>
      <w:r w:rsidRPr="000868BA">
        <w:rPr>
          <w:rFonts w:ascii="Times New Roman" w:hAnsi="Times New Roman" w:cs="Times New Roman"/>
          <w:sz w:val="24"/>
          <w:lang w:val="en-US"/>
        </w:rPr>
        <w:t>Zaklan</w:t>
      </w:r>
      <w:proofErr w:type="spellEnd"/>
      <w:r w:rsidRPr="000868BA">
        <w:rPr>
          <w:rFonts w:ascii="Times New Roman" w:hAnsi="Times New Roman" w:cs="Times New Roman"/>
          <w:sz w:val="24"/>
          <w:lang w:val="en-US"/>
        </w:rPr>
        <w:t xml:space="preserve">, A. (2025) ‘Effectiveness and Heterogeneous Effects of Purchase Grants for Electric Vehicles’, </w:t>
      </w:r>
      <w:r w:rsidRPr="000868BA">
        <w:rPr>
          <w:rFonts w:ascii="Times New Roman" w:hAnsi="Times New Roman" w:cs="Times New Roman"/>
          <w:i/>
          <w:iCs/>
          <w:sz w:val="24"/>
          <w:lang w:val="en-US"/>
        </w:rPr>
        <w:t>Environmental and Resource Economics</w:t>
      </w:r>
      <w:r w:rsidRPr="000868BA">
        <w:rPr>
          <w:rFonts w:ascii="Times New Roman" w:hAnsi="Times New Roman" w:cs="Times New Roman"/>
          <w:sz w:val="24"/>
          <w:lang w:val="en-US"/>
        </w:rPr>
        <w:t xml:space="preserve">, 88(1), pp. 185–223. Available at: </w:t>
      </w:r>
      <w:hyperlink r:id="rId12" w:history="1">
        <w:r w:rsidRPr="000868BA">
          <w:rPr>
            <w:rStyle w:val="af2"/>
            <w:rFonts w:ascii="Times New Roman" w:hAnsi="Times New Roman" w:cs="Times New Roman"/>
            <w:sz w:val="24"/>
            <w:lang w:val="en-US"/>
          </w:rPr>
          <w:t>https://doi.org/10.1007/s10640-024-00929-z</w:t>
        </w:r>
      </w:hyperlink>
      <w:r w:rsidRPr="000868BA">
        <w:rPr>
          <w:rFonts w:ascii="Times New Roman" w:hAnsi="Times New Roman" w:cs="Times New Roman"/>
          <w:sz w:val="24"/>
          <w:lang w:val="en-US"/>
        </w:rPr>
        <w:t>.</w:t>
      </w:r>
    </w:p>
    <w:p w14:paraId="0759BD3E" w14:textId="77777777" w:rsidR="000868BA" w:rsidRPr="000868BA" w:rsidRDefault="000868BA" w:rsidP="000868BA">
      <w:pPr>
        <w:spacing w:line="240" w:lineRule="auto"/>
        <w:ind w:left="480" w:hangingChars="200" w:hanging="480"/>
        <w:rPr>
          <w:rFonts w:ascii="Times New Roman" w:hAnsi="Times New Roman" w:cs="Times New Roman"/>
          <w:sz w:val="24"/>
          <w:lang w:val="en-US"/>
        </w:rPr>
      </w:pPr>
      <w:r w:rsidRPr="000868BA">
        <w:rPr>
          <w:rFonts w:ascii="Times New Roman" w:hAnsi="Times New Roman" w:cs="Times New Roman"/>
          <w:sz w:val="24"/>
          <w:lang w:val="en-US"/>
        </w:rPr>
        <w:t xml:space="preserve">International Energy Agency (2025a). </w:t>
      </w:r>
      <w:r w:rsidRPr="000868BA">
        <w:rPr>
          <w:rFonts w:ascii="Times New Roman" w:hAnsi="Times New Roman" w:cs="Times New Roman"/>
          <w:i/>
          <w:iCs/>
          <w:sz w:val="24"/>
          <w:lang w:val="en-US"/>
        </w:rPr>
        <w:t>Executive Summary – Global EV Outlook 2025 – Analysis - IEA</w:t>
      </w:r>
      <w:r w:rsidRPr="000868BA">
        <w:rPr>
          <w:rFonts w:ascii="Times New Roman" w:hAnsi="Times New Roman" w:cs="Times New Roman"/>
          <w:sz w:val="24"/>
          <w:lang w:val="en-US"/>
        </w:rPr>
        <w:t>. [online] IEA. Available at: https://www.iea.org/reports/global-ev-outlook-2025/executive-summary.</w:t>
      </w:r>
    </w:p>
    <w:p w14:paraId="18BDB3D1" w14:textId="77777777" w:rsidR="000868BA" w:rsidRPr="000868BA" w:rsidRDefault="000868BA" w:rsidP="000868BA">
      <w:pPr>
        <w:spacing w:line="240" w:lineRule="auto"/>
        <w:ind w:left="480" w:hangingChars="200" w:hanging="480"/>
        <w:rPr>
          <w:rFonts w:ascii="Times New Roman" w:hAnsi="Times New Roman" w:cs="Times New Roman"/>
          <w:sz w:val="24"/>
          <w:lang w:val="en-US"/>
        </w:rPr>
      </w:pPr>
      <w:r w:rsidRPr="000868BA">
        <w:rPr>
          <w:rFonts w:ascii="Times New Roman" w:hAnsi="Times New Roman" w:cs="Times New Roman"/>
          <w:sz w:val="24"/>
          <w:lang w:val="en-US"/>
        </w:rPr>
        <w:t xml:space="preserve">International Energy Agency (2025b). </w:t>
      </w:r>
      <w:r w:rsidRPr="000868BA">
        <w:rPr>
          <w:rFonts w:ascii="Times New Roman" w:hAnsi="Times New Roman" w:cs="Times New Roman"/>
          <w:i/>
          <w:iCs/>
          <w:sz w:val="24"/>
          <w:lang w:val="en-US"/>
        </w:rPr>
        <w:t>Overview of Outlook for Key Minerals – Global Critical Minerals Outlook 2025 – Analysis - IEA</w:t>
      </w:r>
      <w:r w:rsidRPr="000868BA">
        <w:rPr>
          <w:rFonts w:ascii="Times New Roman" w:hAnsi="Times New Roman" w:cs="Times New Roman"/>
          <w:sz w:val="24"/>
          <w:lang w:val="en-US"/>
        </w:rPr>
        <w:t>. [online] IEA. Available at: https://www.iea.org/reports/global-critical-minerals-outlook-2025/overview-</w:t>
      </w:r>
      <w:r w:rsidRPr="000868BA">
        <w:rPr>
          <w:rFonts w:ascii="Times New Roman" w:hAnsi="Times New Roman" w:cs="Times New Roman"/>
          <w:sz w:val="24"/>
          <w:lang w:val="en-US"/>
        </w:rPr>
        <w:lastRenderedPageBreak/>
        <w:t>of-outlook-for-key-minerals.</w:t>
      </w:r>
    </w:p>
    <w:p w14:paraId="40A8068F" w14:textId="77777777" w:rsidR="000868BA" w:rsidRPr="000868BA" w:rsidRDefault="000868BA" w:rsidP="000868BA">
      <w:pPr>
        <w:spacing w:line="240" w:lineRule="auto"/>
        <w:ind w:left="480" w:hangingChars="200" w:hanging="480"/>
        <w:rPr>
          <w:rFonts w:ascii="Times New Roman" w:hAnsi="Times New Roman" w:cs="Times New Roman"/>
          <w:sz w:val="24"/>
          <w:lang w:val="en-US"/>
        </w:rPr>
      </w:pPr>
      <w:r w:rsidRPr="000868BA">
        <w:rPr>
          <w:rFonts w:ascii="Times New Roman" w:hAnsi="Times New Roman" w:cs="Times New Roman"/>
          <w:sz w:val="24"/>
          <w:lang w:val="en-US"/>
        </w:rPr>
        <w:t xml:space="preserve">International Energy Agency (2025c). </w:t>
      </w:r>
      <w:r w:rsidRPr="000868BA">
        <w:rPr>
          <w:rFonts w:ascii="Times New Roman" w:hAnsi="Times New Roman" w:cs="Times New Roman"/>
          <w:i/>
          <w:iCs/>
          <w:sz w:val="24"/>
          <w:lang w:val="en-US"/>
        </w:rPr>
        <w:t>The Battery Industry Has Entered a New Phase – Analysis - IEA</w:t>
      </w:r>
      <w:r w:rsidRPr="000868BA">
        <w:rPr>
          <w:rFonts w:ascii="Times New Roman" w:hAnsi="Times New Roman" w:cs="Times New Roman"/>
          <w:sz w:val="24"/>
          <w:lang w:val="en-US"/>
        </w:rPr>
        <w:t>. [online] IEA. Available at: https://www.iea.org/commentaries/the-battery-industry-has-entered-a-new-phase.</w:t>
      </w:r>
    </w:p>
    <w:p w14:paraId="0910672E" w14:textId="77777777" w:rsidR="000868BA" w:rsidRPr="000868BA" w:rsidRDefault="000868BA" w:rsidP="000868BA">
      <w:pPr>
        <w:spacing w:line="240" w:lineRule="auto"/>
        <w:ind w:left="480" w:hangingChars="200" w:hanging="480"/>
        <w:rPr>
          <w:rFonts w:ascii="Times New Roman" w:hAnsi="Times New Roman" w:cs="Times New Roman"/>
          <w:sz w:val="24"/>
          <w:lang w:val="en-US"/>
        </w:rPr>
      </w:pPr>
      <w:proofErr w:type="spellStart"/>
      <w:r w:rsidRPr="000868BA">
        <w:rPr>
          <w:rFonts w:ascii="Times New Roman" w:hAnsi="Times New Roman" w:cs="Times New Roman"/>
          <w:sz w:val="24"/>
          <w:lang w:val="en-US"/>
        </w:rPr>
        <w:t>Jannesar</w:t>
      </w:r>
      <w:proofErr w:type="spellEnd"/>
      <w:r w:rsidRPr="000868BA">
        <w:rPr>
          <w:rFonts w:ascii="Times New Roman" w:hAnsi="Times New Roman" w:cs="Times New Roman"/>
          <w:sz w:val="24"/>
          <w:lang w:val="en-US"/>
        </w:rPr>
        <w:t xml:space="preserve"> Niri, A. </w:t>
      </w:r>
      <w:r w:rsidRPr="000868BA">
        <w:rPr>
          <w:rFonts w:ascii="Times New Roman" w:hAnsi="Times New Roman" w:cs="Times New Roman"/>
          <w:i/>
          <w:iCs/>
          <w:sz w:val="24"/>
          <w:lang w:val="en-US"/>
        </w:rPr>
        <w:t>et al.</w:t>
      </w:r>
      <w:r w:rsidRPr="000868BA">
        <w:rPr>
          <w:rFonts w:ascii="Times New Roman" w:hAnsi="Times New Roman" w:cs="Times New Roman"/>
          <w:sz w:val="24"/>
          <w:lang w:val="en-US"/>
        </w:rPr>
        <w:t xml:space="preserve"> (2024) ‘Sustainability challenges throughout the electric vehicle battery value chain’, </w:t>
      </w:r>
      <w:r w:rsidRPr="000868BA">
        <w:rPr>
          <w:rFonts w:ascii="Times New Roman" w:hAnsi="Times New Roman" w:cs="Times New Roman"/>
          <w:i/>
          <w:iCs/>
          <w:sz w:val="24"/>
          <w:lang w:val="en-US"/>
        </w:rPr>
        <w:t>Renewable and Sustainable Energy Reviews</w:t>
      </w:r>
      <w:r w:rsidRPr="000868BA">
        <w:rPr>
          <w:rFonts w:ascii="Times New Roman" w:hAnsi="Times New Roman" w:cs="Times New Roman"/>
          <w:sz w:val="24"/>
          <w:lang w:val="en-US"/>
        </w:rPr>
        <w:t xml:space="preserve">, 191, p. 114176. Available at: </w:t>
      </w:r>
      <w:hyperlink r:id="rId13" w:history="1">
        <w:r w:rsidRPr="000868BA">
          <w:rPr>
            <w:rStyle w:val="af2"/>
            <w:rFonts w:ascii="Times New Roman" w:hAnsi="Times New Roman" w:cs="Times New Roman"/>
            <w:sz w:val="24"/>
            <w:lang w:val="en-US"/>
          </w:rPr>
          <w:t>https://doi.org/10.1016/j.rser.2023.114176</w:t>
        </w:r>
      </w:hyperlink>
      <w:r w:rsidRPr="000868BA">
        <w:rPr>
          <w:rFonts w:ascii="Times New Roman" w:hAnsi="Times New Roman" w:cs="Times New Roman"/>
          <w:sz w:val="24"/>
          <w:lang w:val="en-US"/>
        </w:rPr>
        <w:t>.</w:t>
      </w:r>
    </w:p>
    <w:p w14:paraId="55531146" w14:textId="77777777" w:rsidR="000868BA" w:rsidRPr="000868BA" w:rsidRDefault="000868BA" w:rsidP="000868BA">
      <w:pPr>
        <w:spacing w:line="240" w:lineRule="auto"/>
        <w:ind w:left="480" w:hangingChars="200" w:hanging="480"/>
        <w:rPr>
          <w:rFonts w:ascii="Times New Roman" w:hAnsi="Times New Roman" w:cs="Times New Roman"/>
          <w:sz w:val="24"/>
          <w:lang w:val="en-US"/>
        </w:rPr>
      </w:pPr>
      <w:r w:rsidRPr="000868BA">
        <w:rPr>
          <w:rFonts w:ascii="Times New Roman" w:hAnsi="Times New Roman" w:cs="Times New Roman"/>
          <w:sz w:val="24"/>
          <w:lang w:val="en-US"/>
        </w:rPr>
        <w:t xml:space="preserve">Large, P. (2026). </w:t>
      </w:r>
      <w:r w:rsidRPr="000868BA">
        <w:rPr>
          <w:rFonts w:ascii="Times New Roman" w:hAnsi="Times New Roman" w:cs="Times New Roman"/>
          <w:i/>
          <w:iCs/>
          <w:sz w:val="24"/>
          <w:lang w:val="en-US"/>
        </w:rPr>
        <w:t>UK New Car Market Breaches Two Million as Almost One in Four Buyers Go Electric - SMMT</w:t>
      </w:r>
      <w:r w:rsidRPr="000868BA">
        <w:rPr>
          <w:rFonts w:ascii="Times New Roman" w:hAnsi="Times New Roman" w:cs="Times New Roman"/>
          <w:sz w:val="24"/>
          <w:lang w:val="en-US"/>
        </w:rPr>
        <w:t>. [online] SMMT. Available at: https://www.smmt.co.uk/uk-new-car-market-breaches-two-million-as-almost-one-in-four-buyers-go-electric/.</w:t>
      </w:r>
    </w:p>
    <w:p w14:paraId="6ECA81CB" w14:textId="77777777" w:rsidR="000868BA" w:rsidRPr="000868BA" w:rsidRDefault="000868BA" w:rsidP="000868BA">
      <w:pPr>
        <w:spacing w:line="240" w:lineRule="auto"/>
        <w:ind w:left="480" w:hangingChars="200" w:hanging="480"/>
        <w:rPr>
          <w:rFonts w:ascii="Times New Roman" w:hAnsi="Times New Roman" w:cs="Times New Roman"/>
          <w:sz w:val="24"/>
          <w:lang w:val="en-US"/>
        </w:rPr>
      </w:pPr>
      <w:r w:rsidRPr="000868BA">
        <w:rPr>
          <w:rFonts w:ascii="Times New Roman" w:hAnsi="Times New Roman" w:cs="Times New Roman"/>
          <w:sz w:val="24"/>
          <w:lang w:val="en-US"/>
        </w:rPr>
        <w:t xml:space="preserve">Neves, S.A. and Marques, A.C. (2025) ‘What has driven the adoption of BEV and PHEV in the EU?’, </w:t>
      </w:r>
      <w:r w:rsidRPr="000868BA">
        <w:rPr>
          <w:rFonts w:ascii="Times New Roman" w:hAnsi="Times New Roman" w:cs="Times New Roman"/>
          <w:i/>
          <w:iCs/>
          <w:sz w:val="24"/>
          <w:lang w:val="en-US"/>
        </w:rPr>
        <w:t>Research in Transportation Business &amp; Management</w:t>
      </w:r>
      <w:r w:rsidRPr="000868BA">
        <w:rPr>
          <w:rFonts w:ascii="Times New Roman" w:hAnsi="Times New Roman" w:cs="Times New Roman"/>
          <w:sz w:val="24"/>
          <w:lang w:val="en-US"/>
        </w:rPr>
        <w:t xml:space="preserve">, 60, p. 101331. Available at: </w:t>
      </w:r>
      <w:hyperlink r:id="rId14" w:history="1">
        <w:r w:rsidRPr="000868BA">
          <w:rPr>
            <w:rStyle w:val="af2"/>
            <w:rFonts w:ascii="Times New Roman" w:hAnsi="Times New Roman" w:cs="Times New Roman"/>
            <w:sz w:val="24"/>
            <w:lang w:val="en-US"/>
          </w:rPr>
          <w:t>https://doi.org/10.1016/j.rtbm.2025.101331</w:t>
        </w:r>
      </w:hyperlink>
      <w:r w:rsidRPr="000868BA">
        <w:rPr>
          <w:rFonts w:ascii="Times New Roman" w:hAnsi="Times New Roman" w:cs="Times New Roman"/>
          <w:sz w:val="24"/>
          <w:lang w:val="en-US"/>
        </w:rPr>
        <w:t>.</w:t>
      </w:r>
    </w:p>
    <w:p w14:paraId="69E24101" w14:textId="77777777" w:rsidR="000868BA" w:rsidRPr="000868BA" w:rsidRDefault="000868BA" w:rsidP="000868BA">
      <w:pPr>
        <w:spacing w:line="240" w:lineRule="auto"/>
        <w:ind w:left="480" w:hangingChars="200" w:hanging="480"/>
        <w:rPr>
          <w:rFonts w:ascii="Times New Roman" w:hAnsi="Times New Roman" w:cs="Times New Roman"/>
          <w:sz w:val="24"/>
          <w:lang w:val="en-US"/>
        </w:rPr>
      </w:pPr>
      <w:r w:rsidRPr="000868BA">
        <w:rPr>
          <w:rFonts w:ascii="Times New Roman" w:hAnsi="Times New Roman" w:cs="Times New Roman"/>
          <w:sz w:val="24"/>
          <w:lang w:val="en-US"/>
        </w:rPr>
        <w:t>Safari, M. (</w:t>
      </w:r>
      <w:proofErr w:type="gramStart"/>
      <w:r w:rsidRPr="000868BA">
        <w:rPr>
          <w:rFonts w:ascii="Times New Roman" w:hAnsi="Times New Roman" w:cs="Times New Roman"/>
          <w:sz w:val="24"/>
          <w:lang w:val="en-US"/>
        </w:rPr>
        <w:t>2025) ‘</w:t>
      </w:r>
      <w:proofErr w:type="gramEnd"/>
      <w:r w:rsidRPr="000868BA">
        <w:rPr>
          <w:rFonts w:ascii="Times New Roman" w:hAnsi="Times New Roman" w:cs="Times New Roman"/>
          <w:sz w:val="24"/>
          <w:lang w:val="en-US"/>
        </w:rPr>
        <w:t xml:space="preserve">A Perspective on the Battery Value Chain and the Future of Battery Electric Vehicles’, </w:t>
      </w:r>
      <w:r w:rsidRPr="000868BA">
        <w:rPr>
          <w:rFonts w:ascii="Times New Roman" w:hAnsi="Times New Roman" w:cs="Times New Roman"/>
          <w:i/>
          <w:iCs/>
          <w:sz w:val="24"/>
          <w:lang w:val="en-US"/>
        </w:rPr>
        <w:t>Battery Energy</w:t>
      </w:r>
      <w:r w:rsidRPr="000868BA">
        <w:rPr>
          <w:rFonts w:ascii="Times New Roman" w:hAnsi="Times New Roman" w:cs="Times New Roman"/>
          <w:sz w:val="24"/>
          <w:lang w:val="en-US"/>
        </w:rPr>
        <w:t xml:space="preserve">, 4(1), p. 20240016. Available at: </w:t>
      </w:r>
      <w:hyperlink r:id="rId15" w:history="1">
        <w:r w:rsidRPr="000868BA">
          <w:rPr>
            <w:rStyle w:val="af2"/>
            <w:rFonts w:ascii="Times New Roman" w:hAnsi="Times New Roman" w:cs="Times New Roman"/>
            <w:sz w:val="24"/>
            <w:lang w:val="en-US"/>
          </w:rPr>
          <w:t>https://doi.org/10.1002/bte2.20240016</w:t>
        </w:r>
      </w:hyperlink>
      <w:r w:rsidRPr="000868BA">
        <w:rPr>
          <w:rFonts w:ascii="Times New Roman" w:hAnsi="Times New Roman" w:cs="Times New Roman"/>
          <w:sz w:val="24"/>
          <w:lang w:val="en-US"/>
        </w:rPr>
        <w:t>.</w:t>
      </w:r>
    </w:p>
    <w:p w14:paraId="27E4B1BC" w14:textId="77777777" w:rsidR="000868BA" w:rsidRPr="000868BA" w:rsidRDefault="000868BA" w:rsidP="000868BA">
      <w:pPr>
        <w:spacing w:line="240" w:lineRule="auto"/>
        <w:ind w:left="480" w:hangingChars="200" w:hanging="480"/>
        <w:rPr>
          <w:rFonts w:ascii="Times New Roman" w:hAnsi="Times New Roman" w:cs="Times New Roman"/>
          <w:sz w:val="24"/>
          <w:lang w:val="en-US"/>
        </w:rPr>
      </w:pPr>
      <w:r w:rsidRPr="000868BA">
        <w:rPr>
          <w:rFonts w:ascii="Times New Roman" w:hAnsi="Times New Roman" w:cs="Times New Roman"/>
          <w:sz w:val="24"/>
          <w:lang w:val="en-US"/>
        </w:rPr>
        <w:t xml:space="preserve">Sun, J. </w:t>
      </w:r>
      <w:r w:rsidRPr="000868BA">
        <w:rPr>
          <w:rFonts w:ascii="Times New Roman" w:hAnsi="Times New Roman" w:cs="Times New Roman"/>
          <w:i/>
          <w:iCs/>
          <w:sz w:val="24"/>
          <w:lang w:val="en-US"/>
        </w:rPr>
        <w:t>et al.</w:t>
      </w:r>
      <w:r w:rsidRPr="000868BA">
        <w:rPr>
          <w:rFonts w:ascii="Times New Roman" w:hAnsi="Times New Roman" w:cs="Times New Roman"/>
          <w:sz w:val="24"/>
          <w:lang w:val="en-US"/>
        </w:rPr>
        <w:t xml:space="preserve"> (2024) ‘Charging change: </w:t>
      </w:r>
      <w:proofErr w:type="spellStart"/>
      <w:r w:rsidRPr="000868BA">
        <w:rPr>
          <w:rFonts w:ascii="Times New Roman" w:hAnsi="Times New Roman" w:cs="Times New Roman"/>
          <w:sz w:val="24"/>
          <w:lang w:val="en-US"/>
        </w:rPr>
        <w:t>Analysing</w:t>
      </w:r>
      <w:proofErr w:type="spellEnd"/>
      <w:r w:rsidRPr="000868BA">
        <w:rPr>
          <w:rFonts w:ascii="Times New Roman" w:hAnsi="Times New Roman" w:cs="Times New Roman"/>
          <w:sz w:val="24"/>
          <w:lang w:val="en-US"/>
        </w:rPr>
        <w:t xml:space="preserve"> the UK’s electric vehicle infrastructure policies and market dynamics’, </w:t>
      </w:r>
      <w:r w:rsidRPr="000868BA">
        <w:rPr>
          <w:rFonts w:ascii="Times New Roman" w:hAnsi="Times New Roman" w:cs="Times New Roman"/>
          <w:i/>
          <w:iCs/>
          <w:sz w:val="24"/>
          <w:lang w:val="en-US"/>
        </w:rPr>
        <w:t>Energy Policy</w:t>
      </w:r>
      <w:r w:rsidRPr="000868BA">
        <w:rPr>
          <w:rFonts w:ascii="Times New Roman" w:hAnsi="Times New Roman" w:cs="Times New Roman"/>
          <w:sz w:val="24"/>
          <w:lang w:val="en-US"/>
        </w:rPr>
        <w:t xml:space="preserve">, 191, p. 114178. Available at: </w:t>
      </w:r>
      <w:hyperlink r:id="rId16" w:history="1">
        <w:r w:rsidRPr="000868BA">
          <w:rPr>
            <w:rStyle w:val="af2"/>
            <w:rFonts w:ascii="Times New Roman" w:hAnsi="Times New Roman" w:cs="Times New Roman"/>
            <w:sz w:val="24"/>
            <w:lang w:val="en-US"/>
          </w:rPr>
          <w:t>https://doi.org/10.1016/j.enpol.2024.114178</w:t>
        </w:r>
      </w:hyperlink>
      <w:r w:rsidRPr="000868BA">
        <w:rPr>
          <w:rFonts w:ascii="Times New Roman" w:hAnsi="Times New Roman" w:cs="Times New Roman"/>
          <w:sz w:val="24"/>
          <w:lang w:val="en-US"/>
        </w:rPr>
        <w:t>.</w:t>
      </w:r>
    </w:p>
    <w:p w14:paraId="0B834221" w14:textId="77777777" w:rsidR="000868BA" w:rsidRPr="000868BA" w:rsidRDefault="000868BA" w:rsidP="000868BA">
      <w:pPr>
        <w:spacing w:line="240" w:lineRule="auto"/>
        <w:ind w:left="480" w:hangingChars="200" w:hanging="480"/>
        <w:rPr>
          <w:rFonts w:ascii="Times New Roman" w:hAnsi="Times New Roman" w:cs="Times New Roman"/>
          <w:sz w:val="24"/>
          <w:lang w:val="en-US"/>
        </w:rPr>
      </w:pPr>
      <w:r w:rsidRPr="000868BA">
        <w:rPr>
          <w:rFonts w:ascii="Times New Roman" w:hAnsi="Times New Roman" w:cs="Times New Roman"/>
          <w:sz w:val="24"/>
          <w:lang w:val="en-US"/>
        </w:rPr>
        <w:t xml:space="preserve">Tesla (2026a). </w:t>
      </w:r>
      <w:r w:rsidRPr="000868BA">
        <w:rPr>
          <w:rFonts w:ascii="Times New Roman" w:hAnsi="Times New Roman" w:cs="Times New Roman"/>
          <w:i/>
          <w:iCs/>
          <w:sz w:val="24"/>
          <w:lang w:val="en-US"/>
        </w:rPr>
        <w:t>Annual Report Pursuant to Section 13 or 15(d) of the Securities Exchange Act of 1934 for the Fiscal Year Ended December 31, 2025 (Form 10-K)</w:t>
      </w:r>
      <w:r w:rsidRPr="000868BA">
        <w:rPr>
          <w:rFonts w:ascii="Times New Roman" w:hAnsi="Times New Roman" w:cs="Times New Roman"/>
          <w:sz w:val="24"/>
          <w:lang w:val="en-US"/>
        </w:rPr>
        <w:t>.</w:t>
      </w:r>
    </w:p>
    <w:p w14:paraId="458CB4BE" w14:textId="77777777" w:rsidR="000868BA" w:rsidRPr="000868BA" w:rsidRDefault="000868BA" w:rsidP="000868BA">
      <w:pPr>
        <w:spacing w:line="240" w:lineRule="auto"/>
        <w:ind w:left="480" w:hangingChars="200" w:hanging="480"/>
        <w:rPr>
          <w:rFonts w:ascii="Times New Roman" w:hAnsi="Times New Roman" w:cs="Times New Roman"/>
          <w:sz w:val="24"/>
          <w:lang w:val="en-US"/>
        </w:rPr>
      </w:pPr>
      <w:r w:rsidRPr="000868BA">
        <w:rPr>
          <w:rFonts w:ascii="Times New Roman" w:hAnsi="Times New Roman" w:cs="Times New Roman"/>
          <w:sz w:val="24"/>
          <w:lang w:val="en-US"/>
        </w:rPr>
        <w:t xml:space="preserve">Tesla (2026b). </w:t>
      </w:r>
      <w:r w:rsidRPr="000868BA">
        <w:rPr>
          <w:rFonts w:ascii="Times New Roman" w:hAnsi="Times New Roman" w:cs="Times New Roman"/>
          <w:i/>
          <w:iCs/>
          <w:sz w:val="24"/>
          <w:lang w:val="en-US"/>
        </w:rPr>
        <w:t>Q4 and FY 2025 Update</w:t>
      </w:r>
      <w:r w:rsidRPr="000868BA">
        <w:rPr>
          <w:rFonts w:ascii="Times New Roman" w:hAnsi="Times New Roman" w:cs="Times New Roman"/>
          <w:sz w:val="24"/>
          <w:lang w:val="en-US"/>
        </w:rPr>
        <w:t>.</w:t>
      </w:r>
    </w:p>
    <w:p w14:paraId="41FEC52D" w14:textId="77777777" w:rsidR="000868BA" w:rsidRPr="000868BA" w:rsidRDefault="000868BA" w:rsidP="000868BA">
      <w:pPr>
        <w:spacing w:line="240" w:lineRule="auto"/>
        <w:ind w:left="480" w:hangingChars="200" w:hanging="480"/>
        <w:rPr>
          <w:rFonts w:ascii="Times New Roman" w:hAnsi="Times New Roman" w:cs="Times New Roman"/>
          <w:sz w:val="24"/>
          <w:lang w:val="en-US"/>
        </w:rPr>
      </w:pPr>
      <w:r w:rsidRPr="000868BA">
        <w:rPr>
          <w:rFonts w:ascii="Times New Roman" w:hAnsi="Times New Roman" w:cs="Times New Roman"/>
          <w:sz w:val="24"/>
          <w:lang w:val="en-US"/>
        </w:rPr>
        <w:t xml:space="preserve">Tilly, N. </w:t>
      </w:r>
      <w:r w:rsidRPr="000868BA">
        <w:rPr>
          <w:rFonts w:ascii="Times New Roman" w:hAnsi="Times New Roman" w:cs="Times New Roman"/>
          <w:i/>
          <w:iCs/>
          <w:sz w:val="24"/>
          <w:lang w:val="en-US"/>
        </w:rPr>
        <w:t>et al.</w:t>
      </w:r>
      <w:r w:rsidRPr="000868BA">
        <w:rPr>
          <w:rFonts w:ascii="Times New Roman" w:hAnsi="Times New Roman" w:cs="Times New Roman"/>
          <w:sz w:val="24"/>
          <w:lang w:val="en-US"/>
        </w:rPr>
        <w:t xml:space="preserve"> (</w:t>
      </w:r>
      <w:proofErr w:type="gramStart"/>
      <w:r w:rsidRPr="000868BA">
        <w:rPr>
          <w:rFonts w:ascii="Times New Roman" w:hAnsi="Times New Roman" w:cs="Times New Roman"/>
          <w:sz w:val="24"/>
          <w:lang w:val="en-US"/>
        </w:rPr>
        <w:t>2024) ‘</w:t>
      </w:r>
      <w:proofErr w:type="gramEnd"/>
      <w:r w:rsidRPr="000868BA">
        <w:rPr>
          <w:rFonts w:ascii="Times New Roman" w:hAnsi="Times New Roman" w:cs="Times New Roman"/>
          <w:sz w:val="24"/>
          <w:lang w:val="en-US"/>
        </w:rPr>
        <w:t xml:space="preserve">How sustainable is electric vehicle adoption? Insights from a PRISMA review’, </w:t>
      </w:r>
      <w:r w:rsidRPr="000868BA">
        <w:rPr>
          <w:rFonts w:ascii="Times New Roman" w:hAnsi="Times New Roman" w:cs="Times New Roman"/>
          <w:i/>
          <w:iCs/>
          <w:sz w:val="24"/>
          <w:lang w:val="en-US"/>
        </w:rPr>
        <w:t>Sustainable Cities and Society</w:t>
      </w:r>
      <w:r w:rsidRPr="000868BA">
        <w:rPr>
          <w:rFonts w:ascii="Times New Roman" w:hAnsi="Times New Roman" w:cs="Times New Roman"/>
          <w:sz w:val="24"/>
          <w:lang w:val="en-US"/>
        </w:rPr>
        <w:t xml:space="preserve">, 117, p. 105950. Available at: </w:t>
      </w:r>
      <w:hyperlink r:id="rId17" w:history="1">
        <w:r w:rsidRPr="000868BA">
          <w:rPr>
            <w:rStyle w:val="af2"/>
            <w:rFonts w:ascii="Times New Roman" w:hAnsi="Times New Roman" w:cs="Times New Roman"/>
            <w:sz w:val="24"/>
            <w:lang w:val="en-US"/>
          </w:rPr>
          <w:t>https://doi.org/10.1016/j.scs.2024.105950</w:t>
        </w:r>
      </w:hyperlink>
      <w:r w:rsidRPr="000868BA">
        <w:rPr>
          <w:rFonts w:ascii="Times New Roman" w:hAnsi="Times New Roman" w:cs="Times New Roman"/>
          <w:sz w:val="24"/>
          <w:lang w:val="en-US"/>
        </w:rPr>
        <w:t>.</w:t>
      </w:r>
    </w:p>
    <w:p w14:paraId="65DF1541" w14:textId="77777777" w:rsidR="000868BA" w:rsidRPr="000868BA" w:rsidRDefault="000868BA" w:rsidP="000868BA">
      <w:pPr>
        <w:spacing w:line="240" w:lineRule="auto"/>
        <w:ind w:left="480" w:hangingChars="200" w:hanging="480"/>
        <w:rPr>
          <w:rFonts w:ascii="Times New Roman" w:hAnsi="Times New Roman" w:cs="Times New Roman"/>
          <w:sz w:val="24"/>
          <w:lang w:val="en-US"/>
        </w:rPr>
      </w:pPr>
      <w:r w:rsidRPr="000868BA">
        <w:rPr>
          <w:rFonts w:ascii="Times New Roman" w:hAnsi="Times New Roman" w:cs="Times New Roman"/>
          <w:sz w:val="24"/>
          <w:lang w:val="en-US"/>
        </w:rPr>
        <w:t xml:space="preserve">Timilsina, R.R. </w:t>
      </w:r>
      <w:r w:rsidRPr="000868BA">
        <w:rPr>
          <w:rFonts w:ascii="Times New Roman" w:hAnsi="Times New Roman" w:cs="Times New Roman"/>
          <w:i/>
          <w:iCs/>
          <w:sz w:val="24"/>
          <w:lang w:val="en-US"/>
        </w:rPr>
        <w:t>et al.</w:t>
      </w:r>
      <w:r w:rsidRPr="000868BA">
        <w:rPr>
          <w:rFonts w:ascii="Times New Roman" w:hAnsi="Times New Roman" w:cs="Times New Roman"/>
          <w:sz w:val="24"/>
          <w:lang w:val="en-US"/>
        </w:rPr>
        <w:t xml:space="preserve"> (2025) ‘Global drive toward net-zero emissions and sustainability via electric vehicles: an integrative critical review’, </w:t>
      </w:r>
      <w:r w:rsidRPr="000868BA">
        <w:rPr>
          <w:rFonts w:ascii="Times New Roman" w:hAnsi="Times New Roman" w:cs="Times New Roman"/>
          <w:i/>
          <w:iCs/>
          <w:sz w:val="24"/>
          <w:lang w:val="en-US"/>
        </w:rPr>
        <w:t>Energy, Ecology and Environment</w:t>
      </w:r>
      <w:r w:rsidRPr="000868BA">
        <w:rPr>
          <w:rFonts w:ascii="Times New Roman" w:hAnsi="Times New Roman" w:cs="Times New Roman"/>
          <w:sz w:val="24"/>
          <w:lang w:val="en-US"/>
        </w:rPr>
        <w:t xml:space="preserve">, 10(2), pp. 125–144. Available at: </w:t>
      </w:r>
      <w:hyperlink r:id="rId18" w:history="1">
        <w:r w:rsidRPr="000868BA">
          <w:rPr>
            <w:rStyle w:val="af2"/>
            <w:rFonts w:ascii="Times New Roman" w:hAnsi="Times New Roman" w:cs="Times New Roman"/>
            <w:sz w:val="24"/>
            <w:lang w:val="en-US"/>
          </w:rPr>
          <w:t>https://doi.org/10.1007/s40974-024-00351-7</w:t>
        </w:r>
      </w:hyperlink>
      <w:r w:rsidRPr="000868BA">
        <w:rPr>
          <w:rFonts w:ascii="Times New Roman" w:hAnsi="Times New Roman" w:cs="Times New Roman"/>
          <w:sz w:val="24"/>
          <w:lang w:val="en-US"/>
        </w:rPr>
        <w:t>.</w:t>
      </w:r>
    </w:p>
    <w:p w14:paraId="3A3F4A83" w14:textId="77777777" w:rsidR="000868BA" w:rsidRPr="000868BA" w:rsidRDefault="000868BA" w:rsidP="000868BA">
      <w:pPr>
        <w:spacing w:line="240" w:lineRule="auto"/>
        <w:ind w:left="480" w:hangingChars="200" w:hanging="480"/>
        <w:rPr>
          <w:rFonts w:ascii="Times New Roman" w:hAnsi="Times New Roman" w:cs="Times New Roman"/>
          <w:sz w:val="24"/>
          <w:lang w:val="en-US"/>
        </w:rPr>
      </w:pPr>
      <w:r w:rsidRPr="000868BA">
        <w:rPr>
          <w:rFonts w:ascii="Times New Roman" w:hAnsi="Times New Roman" w:cs="Times New Roman"/>
          <w:sz w:val="24"/>
          <w:lang w:val="en-US"/>
        </w:rPr>
        <w:t>Wellten, J., Angelis, J. and Ribeiro Da Silva, E. (</w:t>
      </w:r>
      <w:proofErr w:type="gramStart"/>
      <w:r w:rsidRPr="000868BA">
        <w:rPr>
          <w:rFonts w:ascii="Times New Roman" w:hAnsi="Times New Roman" w:cs="Times New Roman"/>
          <w:sz w:val="24"/>
          <w:lang w:val="en-US"/>
        </w:rPr>
        <w:t>2025) ‘</w:t>
      </w:r>
      <w:proofErr w:type="gramEnd"/>
      <w:r w:rsidRPr="000868BA">
        <w:rPr>
          <w:rFonts w:ascii="Times New Roman" w:hAnsi="Times New Roman" w:cs="Times New Roman"/>
          <w:sz w:val="24"/>
          <w:lang w:val="en-US"/>
        </w:rPr>
        <w:t xml:space="preserve">Enabling a viable circular ecosystem for electric vehicle batteries’, </w:t>
      </w:r>
      <w:r w:rsidRPr="000868BA">
        <w:rPr>
          <w:rFonts w:ascii="Times New Roman" w:hAnsi="Times New Roman" w:cs="Times New Roman"/>
          <w:i/>
          <w:iCs/>
          <w:sz w:val="24"/>
          <w:lang w:val="en-US"/>
        </w:rPr>
        <w:t>Technological Forecasting and Social Change</w:t>
      </w:r>
      <w:r w:rsidRPr="000868BA">
        <w:rPr>
          <w:rFonts w:ascii="Times New Roman" w:hAnsi="Times New Roman" w:cs="Times New Roman"/>
          <w:sz w:val="24"/>
          <w:lang w:val="en-US"/>
        </w:rPr>
        <w:t xml:space="preserve">, 210, p. 123876. Available at: </w:t>
      </w:r>
      <w:hyperlink r:id="rId19" w:history="1">
        <w:r w:rsidRPr="000868BA">
          <w:rPr>
            <w:rStyle w:val="af2"/>
            <w:rFonts w:ascii="Times New Roman" w:hAnsi="Times New Roman" w:cs="Times New Roman"/>
            <w:sz w:val="24"/>
            <w:lang w:val="en-US"/>
          </w:rPr>
          <w:t>https://doi.org/10.1016/j.techfore.2024.123876</w:t>
        </w:r>
      </w:hyperlink>
      <w:r w:rsidRPr="000868BA">
        <w:rPr>
          <w:rFonts w:ascii="Times New Roman" w:hAnsi="Times New Roman" w:cs="Times New Roman"/>
          <w:sz w:val="24"/>
          <w:lang w:val="en-US"/>
        </w:rPr>
        <w:t>.</w:t>
      </w:r>
    </w:p>
    <w:p w14:paraId="291A4CA6" w14:textId="77777777" w:rsidR="000868BA" w:rsidRPr="000868BA" w:rsidRDefault="000868BA" w:rsidP="000868BA">
      <w:pPr>
        <w:spacing w:line="240" w:lineRule="auto"/>
        <w:ind w:left="480" w:hangingChars="200" w:hanging="480"/>
        <w:rPr>
          <w:rFonts w:ascii="Times New Roman" w:hAnsi="Times New Roman" w:cs="Times New Roman"/>
          <w:sz w:val="24"/>
          <w:lang w:val="en-US"/>
        </w:rPr>
      </w:pPr>
      <w:proofErr w:type="spellStart"/>
      <w:r w:rsidRPr="000868BA">
        <w:rPr>
          <w:rFonts w:ascii="Times New Roman" w:hAnsi="Times New Roman" w:cs="Times New Roman"/>
          <w:sz w:val="24"/>
          <w:lang w:val="en-US"/>
        </w:rPr>
        <w:t>Wesselkämper</w:t>
      </w:r>
      <w:proofErr w:type="spellEnd"/>
      <w:r w:rsidRPr="000868BA">
        <w:rPr>
          <w:rFonts w:ascii="Times New Roman" w:hAnsi="Times New Roman" w:cs="Times New Roman"/>
          <w:sz w:val="24"/>
          <w:lang w:val="en-US"/>
        </w:rPr>
        <w:t xml:space="preserve">, J. </w:t>
      </w:r>
      <w:r w:rsidRPr="000868BA">
        <w:rPr>
          <w:rFonts w:ascii="Times New Roman" w:hAnsi="Times New Roman" w:cs="Times New Roman"/>
          <w:i/>
          <w:iCs/>
          <w:sz w:val="24"/>
          <w:lang w:val="en-US"/>
        </w:rPr>
        <w:t>et al.</w:t>
      </w:r>
      <w:r w:rsidRPr="000868BA">
        <w:rPr>
          <w:rFonts w:ascii="Times New Roman" w:hAnsi="Times New Roman" w:cs="Times New Roman"/>
          <w:sz w:val="24"/>
          <w:lang w:val="en-US"/>
        </w:rPr>
        <w:t xml:space="preserve"> (2024) ‘Towards circular battery supply chains: Strategies to reduce material demand and the impact on mining and recycling’, </w:t>
      </w:r>
      <w:r w:rsidRPr="000868BA">
        <w:rPr>
          <w:rFonts w:ascii="Times New Roman" w:hAnsi="Times New Roman" w:cs="Times New Roman"/>
          <w:i/>
          <w:iCs/>
          <w:sz w:val="24"/>
          <w:lang w:val="en-US"/>
        </w:rPr>
        <w:t xml:space="preserve">Resources </w:t>
      </w:r>
      <w:r w:rsidRPr="000868BA">
        <w:rPr>
          <w:rFonts w:ascii="Times New Roman" w:hAnsi="Times New Roman" w:cs="Times New Roman"/>
          <w:i/>
          <w:iCs/>
          <w:sz w:val="24"/>
          <w:lang w:val="en-US"/>
        </w:rPr>
        <w:lastRenderedPageBreak/>
        <w:t>Policy</w:t>
      </w:r>
      <w:r w:rsidRPr="000868BA">
        <w:rPr>
          <w:rFonts w:ascii="Times New Roman" w:hAnsi="Times New Roman" w:cs="Times New Roman"/>
          <w:sz w:val="24"/>
          <w:lang w:val="en-US"/>
        </w:rPr>
        <w:t xml:space="preserve">, 95, p. 105160. Available at: </w:t>
      </w:r>
      <w:hyperlink r:id="rId20" w:history="1">
        <w:r w:rsidRPr="000868BA">
          <w:rPr>
            <w:rStyle w:val="af2"/>
            <w:rFonts w:ascii="Times New Roman" w:hAnsi="Times New Roman" w:cs="Times New Roman"/>
            <w:sz w:val="24"/>
            <w:lang w:val="en-US"/>
          </w:rPr>
          <w:t>https://doi.org/10.1016/j.resourpol.2024.105160</w:t>
        </w:r>
      </w:hyperlink>
      <w:r w:rsidRPr="000868BA">
        <w:rPr>
          <w:rFonts w:ascii="Times New Roman" w:hAnsi="Times New Roman" w:cs="Times New Roman"/>
          <w:sz w:val="24"/>
          <w:lang w:val="en-US"/>
        </w:rPr>
        <w:t>.</w:t>
      </w:r>
    </w:p>
    <w:p w14:paraId="70FB3399" w14:textId="77777777" w:rsidR="000868BA" w:rsidRPr="000868BA" w:rsidRDefault="000868BA" w:rsidP="000868BA">
      <w:pPr>
        <w:spacing w:line="240" w:lineRule="auto"/>
        <w:ind w:left="480" w:hangingChars="200" w:hanging="480"/>
        <w:rPr>
          <w:rFonts w:ascii="Times New Roman" w:hAnsi="Times New Roman" w:cs="Times New Roman"/>
          <w:sz w:val="24"/>
          <w:lang w:val="en-US"/>
        </w:rPr>
      </w:pPr>
      <w:r w:rsidRPr="000868BA">
        <w:rPr>
          <w:rFonts w:ascii="Times New Roman" w:hAnsi="Times New Roman" w:cs="Times New Roman"/>
          <w:sz w:val="24"/>
          <w:lang w:val="en-US"/>
        </w:rPr>
        <w:t xml:space="preserve">Whitfield, L. and Wuttke, T. (2026) ‘China’s technological catch-up and leapfrogging in electric vehicles: A firm-level study of BYD and CATL’, </w:t>
      </w:r>
      <w:r w:rsidRPr="000868BA">
        <w:rPr>
          <w:rFonts w:ascii="Times New Roman" w:hAnsi="Times New Roman" w:cs="Times New Roman"/>
          <w:i/>
          <w:iCs/>
          <w:sz w:val="24"/>
          <w:lang w:val="en-US"/>
        </w:rPr>
        <w:t>Progress in Economic Geography</w:t>
      </w:r>
      <w:r w:rsidRPr="000868BA">
        <w:rPr>
          <w:rFonts w:ascii="Times New Roman" w:hAnsi="Times New Roman" w:cs="Times New Roman"/>
          <w:sz w:val="24"/>
          <w:lang w:val="en-US"/>
        </w:rPr>
        <w:t xml:space="preserve">, 4(1), p. 100054. Available at: </w:t>
      </w:r>
      <w:hyperlink r:id="rId21" w:history="1">
        <w:r w:rsidRPr="000868BA">
          <w:rPr>
            <w:rStyle w:val="af2"/>
            <w:rFonts w:ascii="Times New Roman" w:hAnsi="Times New Roman" w:cs="Times New Roman"/>
            <w:sz w:val="24"/>
            <w:lang w:val="en-US"/>
          </w:rPr>
          <w:t>https://doi.org/10.1016/j.peg.2025.100054</w:t>
        </w:r>
      </w:hyperlink>
      <w:r w:rsidRPr="000868BA">
        <w:rPr>
          <w:rFonts w:ascii="Times New Roman" w:hAnsi="Times New Roman" w:cs="Times New Roman"/>
          <w:sz w:val="24"/>
          <w:lang w:val="en-US"/>
        </w:rPr>
        <w:t>.</w:t>
      </w:r>
    </w:p>
    <w:p w14:paraId="05F41936" w14:textId="77777777" w:rsidR="000868BA" w:rsidRPr="000868BA" w:rsidRDefault="000868BA" w:rsidP="000868BA">
      <w:pPr>
        <w:spacing w:line="240" w:lineRule="auto"/>
        <w:ind w:left="480" w:hangingChars="200" w:hanging="480"/>
        <w:rPr>
          <w:rFonts w:ascii="Times New Roman" w:hAnsi="Times New Roman" w:cs="Times New Roman"/>
          <w:sz w:val="24"/>
          <w:lang w:val="en-US"/>
        </w:rPr>
      </w:pPr>
    </w:p>
    <w:sectPr w:rsidR="000868BA" w:rsidRPr="000868BA" w:rsidSect="00156A38">
      <w:footerReference w:type="default" r:id="rId22"/>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43A230" w14:textId="77777777" w:rsidR="00D237AE" w:rsidRPr="006F4A2D" w:rsidRDefault="00D237AE" w:rsidP="00CB647D">
      <w:pPr>
        <w:spacing w:after="0" w:line="240" w:lineRule="auto"/>
      </w:pPr>
      <w:r w:rsidRPr="006F4A2D">
        <w:separator/>
      </w:r>
    </w:p>
  </w:endnote>
  <w:endnote w:type="continuationSeparator" w:id="0">
    <w:p w14:paraId="3EE4A975" w14:textId="77777777" w:rsidR="00D237AE" w:rsidRPr="006F4A2D" w:rsidRDefault="00D237AE" w:rsidP="00CB647D">
      <w:pPr>
        <w:spacing w:after="0" w:line="240" w:lineRule="auto"/>
      </w:pPr>
      <w:r w:rsidRPr="006F4A2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52AC07" w14:textId="5B398C24" w:rsidR="00156A38" w:rsidRDefault="00156A38">
    <w:pPr>
      <w:pStyle w:val="af0"/>
      <w:jc w:val="center"/>
    </w:pPr>
  </w:p>
  <w:p w14:paraId="7097122E" w14:textId="77777777" w:rsidR="00156A38" w:rsidRDefault="00156A38">
    <w:pPr>
      <w:pStyle w:val="af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91466600"/>
      <w:docPartObj>
        <w:docPartGallery w:val="Page Numbers (Bottom of Page)"/>
        <w:docPartUnique/>
      </w:docPartObj>
    </w:sdtPr>
    <w:sdtContent>
      <w:p w14:paraId="542F6C47" w14:textId="77777777" w:rsidR="00156A38" w:rsidRDefault="00156A38">
        <w:pPr>
          <w:pStyle w:val="af0"/>
          <w:jc w:val="center"/>
        </w:pPr>
        <w:r>
          <w:fldChar w:fldCharType="begin"/>
        </w:r>
        <w:r>
          <w:instrText>PAGE   \* MERGEFORMAT</w:instrText>
        </w:r>
        <w:r>
          <w:fldChar w:fldCharType="separate"/>
        </w:r>
        <w:r>
          <w:rPr>
            <w:lang w:val="zh-CN"/>
          </w:rPr>
          <w:t>2</w:t>
        </w:r>
        <w:r>
          <w:fldChar w:fldCharType="end"/>
        </w:r>
      </w:p>
    </w:sdtContent>
  </w:sdt>
  <w:p w14:paraId="3A59BC1B" w14:textId="77777777" w:rsidR="00156A38" w:rsidRDefault="00156A38">
    <w:pPr>
      <w:pStyle w:val="af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C0C4B2" w14:textId="77777777" w:rsidR="00D237AE" w:rsidRPr="006F4A2D" w:rsidRDefault="00D237AE" w:rsidP="00CB647D">
      <w:pPr>
        <w:spacing w:after="0" w:line="240" w:lineRule="auto"/>
      </w:pPr>
      <w:r w:rsidRPr="006F4A2D">
        <w:separator/>
      </w:r>
    </w:p>
  </w:footnote>
  <w:footnote w:type="continuationSeparator" w:id="0">
    <w:p w14:paraId="131D3C29" w14:textId="77777777" w:rsidR="00D237AE" w:rsidRPr="006F4A2D" w:rsidRDefault="00D237AE" w:rsidP="00CB647D">
      <w:pPr>
        <w:spacing w:after="0" w:line="240" w:lineRule="auto"/>
      </w:pPr>
      <w:r w:rsidRPr="006F4A2D">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178E"/>
    <w:rsid w:val="00051479"/>
    <w:rsid w:val="000868BA"/>
    <w:rsid w:val="000D5D59"/>
    <w:rsid w:val="000E4453"/>
    <w:rsid w:val="00145BBB"/>
    <w:rsid w:val="00156A38"/>
    <w:rsid w:val="001916CD"/>
    <w:rsid w:val="0021178E"/>
    <w:rsid w:val="00290DA6"/>
    <w:rsid w:val="00553F77"/>
    <w:rsid w:val="0055768F"/>
    <w:rsid w:val="00675A7C"/>
    <w:rsid w:val="006F4A2D"/>
    <w:rsid w:val="00777AEF"/>
    <w:rsid w:val="007E2784"/>
    <w:rsid w:val="00822B7F"/>
    <w:rsid w:val="00857271"/>
    <w:rsid w:val="008A6090"/>
    <w:rsid w:val="0092112D"/>
    <w:rsid w:val="0095096F"/>
    <w:rsid w:val="009F0EEA"/>
    <w:rsid w:val="00A67430"/>
    <w:rsid w:val="00A80D0D"/>
    <w:rsid w:val="00B94EB0"/>
    <w:rsid w:val="00C02A6F"/>
    <w:rsid w:val="00CB647D"/>
    <w:rsid w:val="00D237AE"/>
    <w:rsid w:val="00F14FE6"/>
    <w:rsid w:val="00F35175"/>
    <w:rsid w:val="00F50685"/>
    <w:rsid w:val="00FE2A2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A4C409"/>
  <w15:chartTrackingRefBased/>
  <w15:docId w15:val="{13FA53E1-BD5E-4757-8F40-F3D791FCC5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rPr>
      <w:lang w:val="en-GB"/>
    </w:rPr>
  </w:style>
  <w:style w:type="paragraph" w:styleId="1">
    <w:name w:val="heading 1"/>
    <w:basedOn w:val="a"/>
    <w:next w:val="a"/>
    <w:link w:val="10"/>
    <w:uiPriority w:val="9"/>
    <w:qFormat/>
    <w:rsid w:val="0021178E"/>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21178E"/>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21178E"/>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21178E"/>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21178E"/>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21178E"/>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21178E"/>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21178E"/>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21178E"/>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21178E"/>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21178E"/>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21178E"/>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21178E"/>
    <w:rPr>
      <w:rFonts w:cstheme="majorBidi"/>
      <w:color w:val="0F4761" w:themeColor="accent1" w:themeShade="BF"/>
      <w:sz w:val="28"/>
      <w:szCs w:val="28"/>
    </w:rPr>
  </w:style>
  <w:style w:type="character" w:customStyle="1" w:styleId="50">
    <w:name w:val="标题 5 字符"/>
    <w:basedOn w:val="a0"/>
    <w:link w:val="5"/>
    <w:uiPriority w:val="9"/>
    <w:semiHidden/>
    <w:rsid w:val="0021178E"/>
    <w:rPr>
      <w:rFonts w:cstheme="majorBidi"/>
      <w:color w:val="0F4761" w:themeColor="accent1" w:themeShade="BF"/>
      <w:sz w:val="24"/>
    </w:rPr>
  </w:style>
  <w:style w:type="character" w:customStyle="1" w:styleId="60">
    <w:name w:val="标题 6 字符"/>
    <w:basedOn w:val="a0"/>
    <w:link w:val="6"/>
    <w:uiPriority w:val="9"/>
    <w:semiHidden/>
    <w:rsid w:val="0021178E"/>
    <w:rPr>
      <w:rFonts w:cstheme="majorBidi"/>
      <w:b/>
      <w:bCs/>
      <w:color w:val="0F4761" w:themeColor="accent1" w:themeShade="BF"/>
    </w:rPr>
  </w:style>
  <w:style w:type="character" w:customStyle="1" w:styleId="70">
    <w:name w:val="标题 7 字符"/>
    <w:basedOn w:val="a0"/>
    <w:link w:val="7"/>
    <w:uiPriority w:val="9"/>
    <w:semiHidden/>
    <w:rsid w:val="0021178E"/>
    <w:rPr>
      <w:rFonts w:cstheme="majorBidi"/>
      <w:b/>
      <w:bCs/>
      <w:color w:val="595959" w:themeColor="text1" w:themeTint="A6"/>
    </w:rPr>
  </w:style>
  <w:style w:type="character" w:customStyle="1" w:styleId="80">
    <w:name w:val="标题 8 字符"/>
    <w:basedOn w:val="a0"/>
    <w:link w:val="8"/>
    <w:uiPriority w:val="9"/>
    <w:semiHidden/>
    <w:rsid w:val="0021178E"/>
    <w:rPr>
      <w:rFonts w:cstheme="majorBidi"/>
      <w:color w:val="595959" w:themeColor="text1" w:themeTint="A6"/>
    </w:rPr>
  </w:style>
  <w:style w:type="character" w:customStyle="1" w:styleId="90">
    <w:name w:val="标题 9 字符"/>
    <w:basedOn w:val="a0"/>
    <w:link w:val="9"/>
    <w:uiPriority w:val="9"/>
    <w:semiHidden/>
    <w:rsid w:val="0021178E"/>
    <w:rPr>
      <w:rFonts w:eastAsiaTheme="majorEastAsia" w:cstheme="majorBidi"/>
      <w:color w:val="595959" w:themeColor="text1" w:themeTint="A6"/>
    </w:rPr>
  </w:style>
  <w:style w:type="paragraph" w:styleId="a3">
    <w:name w:val="Title"/>
    <w:basedOn w:val="a"/>
    <w:next w:val="a"/>
    <w:link w:val="a4"/>
    <w:uiPriority w:val="10"/>
    <w:qFormat/>
    <w:rsid w:val="0021178E"/>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21178E"/>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21178E"/>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21178E"/>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21178E"/>
    <w:pPr>
      <w:spacing w:before="160"/>
      <w:jc w:val="center"/>
    </w:pPr>
    <w:rPr>
      <w:i/>
      <w:iCs/>
      <w:color w:val="404040" w:themeColor="text1" w:themeTint="BF"/>
    </w:rPr>
  </w:style>
  <w:style w:type="character" w:customStyle="1" w:styleId="a8">
    <w:name w:val="引用 字符"/>
    <w:basedOn w:val="a0"/>
    <w:link w:val="a7"/>
    <w:uiPriority w:val="29"/>
    <w:rsid w:val="0021178E"/>
    <w:rPr>
      <w:i/>
      <w:iCs/>
      <w:color w:val="404040" w:themeColor="text1" w:themeTint="BF"/>
    </w:rPr>
  </w:style>
  <w:style w:type="paragraph" w:styleId="a9">
    <w:name w:val="List Paragraph"/>
    <w:basedOn w:val="a"/>
    <w:uiPriority w:val="34"/>
    <w:qFormat/>
    <w:rsid w:val="0021178E"/>
    <w:pPr>
      <w:ind w:left="720"/>
      <w:contextualSpacing/>
    </w:pPr>
  </w:style>
  <w:style w:type="character" w:styleId="aa">
    <w:name w:val="Intense Emphasis"/>
    <w:basedOn w:val="a0"/>
    <w:uiPriority w:val="21"/>
    <w:qFormat/>
    <w:rsid w:val="0021178E"/>
    <w:rPr>
      <w:i/>
      <w:iCs/>
      <w:color w:val="0F4761" w:themeColor="accent1" w:themeShade="BF"/>
    </w:rPr>
  </w:style>
  <w:style w:type="paragraph" w:styleId="ab">
    <w:name w:val="Intense Quote"/>
    <w:basedOn w:val="a"/>
    <w:next w:val="a"/>
    <w:link w:val="ac"/>
    <w:uiPriority w:val="30"/>
    <w:qFormat/>
    <w:rsid w:val="002117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21178E"/>
    <w:rPr>
      <w:i/>
      <w:iCs/>
      <w:color w:val="0F4761" w:themeColor="accent1" w:themeShade="BF"/>
    </w:rPr>
  </w:style>
  <w:style w:type="character" w:styleId="ad">
    <w:name w:val="Intense Reference"/>
    <w:basedOn w:val="a0"/>
    <w:uiPriority w:val="32"/>
    <w:qFormat/>
    <w:rsid w:val="0021178E"/>
    <w:rPr>
      <w:b/>
      <w:bCs/>
      <w:smallCaps/>
      <w:color w:val="0F4761" w:themeColor="accent1" w:themeShade="BF"/>
      <w:spacing w:val="5"/>
    </w:rPr>
  </w:style>
  <w:style w:type="paragraph" w:styleId="ae">
    <w:name w:val="header"/>
    <w:basedOn w:val="a"/>
    <w:link w:val="af"/>
    <w:uiPriority w:val="99"/>
    <w:unhideWhenUsed/>
    <w:rsid w:val="00CB647D"/>
    <w:pPr>
      <w:tabs>
        <w:tab w:val="center" w:pos="4153"/>
        <w:tab w:val="right" w:pos="8306"/>
      </w:tabs>
      <w:snapToGrid w:val="0"/>
      <w:spacing w:line="240" w:lineRule="auto"/>
      <w:jc w:val="center"/>
    </w:pPr>
    <w:rPr>
      <w:sz w:val="18"/>
      <w:szCs w:val="18"/>
    </w:rPr>
  </w:style>
  <w:style w:type="character" w:customStyle="1" w:styleId="af">
    <w:name w:val="页眉 字符"/>
    <w:basedOn w:val="a0"/>
    <w:link w:val="ae"/>
    <w:uiPriority w:val="99"/>
    <w:rsid w:val="00CB647D"/>
    <w:rPr>
      <w:sz w:val="18"/>
      <w:szCs w:val="18"/>
    </w:rPr>
  </w:style>
  <w:style w:type="paragraph" w:styleId="af0">
    <w:name w:val="footer"/>
    <w:basedOn w:val="a"/>
    <w:link w:val="af1"/>
    <w:uiPriority w:val="99"/>
    <w:unhideWhenUsed/>
    <w:rsid w:val="00CB647D"/>
    <w:pPr>
      <w:tabs>
        <w:tab w:val="center" w:pos="4153"/>
        <w:tab w:val="right" w:pos="8306"/>
      </w:tabs>
      <w:snapToGrid w:val="0"/>
      <w:spacing w:line="240" w:lineRule="auto"/>
    </w:pPr>
    <w:rPr>
      <w:sz w:val="18"/>
      <w:szCs w:val="18"/>
    </w:rPr>
  </w:style>
  <w:style w:type="character" w:customStyle="1" w:styleId="af1">
    <w:name w:val="页脚 字符"/>
    <w:basedOn w:val="a0"/>
    <w:link w:val="af0"/>
    <w:uiPriority w:val="99"/>
    <w:rsid w:val="00CB647D"/>
    <w:rPr>
      <w:sz w:val="18"/>
      <w:szCs w:val="18"/>
    </w:rPr>
  </w:style>
  <w:style w:type="character" w:styleId="af2">
    <w:name w:val="Hyperlink"/>
    <w:basedOn w:val="a0"/>
    <w:uiPriority w:val="99"/>
    <w:unhideWhenUsed/>
    <w:rsid w:val="000868BA"/>
    <w:rPr>
      <w:color w:val="467886" w:themeColor="hyperlink"/>
      <w:u w:val="single"/>
    </w:rPr>
  </w:style>
  <w:style w:type="character" w:styleId="af3">
    <w:name w:val="Unresolved Mention"/>
    <w:basedOn w:val="a0"/>
    <w:uiPriority w:val="99"/>
    <w:semiHidden/>
    <w:unhideWhenUsed/>
    <w:rsid w:val="000868BA"/>
    <w:rPr>
      <w:color w:val="605E5C"/>
      <w:shd w:val="clear" w:color="auto" w:fill="E1DFDD"/>
    </w:rPr>
  </w:style>
  <w:style w:type="paragraph" w:styleId="TOC">
    <w:name w:val="TOC Heading"/>
    <w:basedOn w:val="1"/>
    <w:next w:val="a"/>
    <w:uiPriority w:val="39"/>
    <w:unhideWhenUsed/>
    <w:qFormat/>
    <w:rsid w:val="00675A7C"/>
    <w:pPr>
      <w:widowControl/>
      <w:spacing w:before="240" w:after="0" w:line="259" w:lineRule="auto"/>
      <w:outlineLvl w:val="9"/>
    </w:pPr>
    <w:rPr>
      <w:kern w:val="0"/>
      <w:sz w:val="32"/>
      <w:szCs w:val="32"/>
      <w:lang w:val="en-US"/>
      <w14:ligatures w14:val="none"/>
    </w:rPr>
  </w:style>
  <w:style w:type="paragraph" w:styleId="TOC1">
    <w:name w:val="toc 1"/>
    <w:basedOn w:val="a"/>
    <w:next w:val="a"/>
    <w:autoRedefine/>
    <w:uiPriority w:val="39"/>
    <w:unhideWhenUsed/>
    <w:rsid w:val="00675A7C"/>
  </w:style>
  <w:style w:type="paragraph" w:styleId="TOC2">
    <w:name w:val="toc 2"/>
    <w:basedOn w:val="a"/>
    <w:next w:val="a"/>
    <w:autoRedefine/>
    <w:uiPriority w:val="39"/>
    <w:unhideWhenUsed/>
    <w:rsid w:val="00675A7C"/>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doi.org/10.1016/j.rser.2023.114176" TargetMode="External"/><Relationship Id="rId18" Type="http://schemas.openxmlformats.org/officeDocument/2006/relationships/hyperlink" Target="https://doi.org/10.1007/s40974-024-00351-7" TargetMode="External"/><Relationship Id="rId3" Type="http://schemas.openxmlformats.org/officeDocument/2006/relationships/settings" Target="settings.xml"/><Relationship Id="rId21" Type="http://schemas.openxmlformats.org/officeDocument/2006/relationships/hyperlink" Target="https://doi.org/10.1016/j.peg.2025.100054" TargetMode="External"/><Relationship Id="rId7" Type="http://schemas.openxmlformats.org/officeDocument/2006/relationships/image" Target="media/image1.png"/><Relationship Id="rId12" Type="http://schemas.openxmlformats.org/officeDocument/2006/relationships/hyperlink" Target="https://doi.org/10.1007/s10640-024-00929-z" TargetMode="External"/><Relationship Id="rId17" Type="http://schemas.openxmlformats.org/officeDocument/2006/relationships/hyperlink" Target="https://doi.org/10.1016/j.scs.2024.105950" TargetMode="External"/><Relationship Id="rId2" Type="http://schemas.openxmlformats.org/officeDocument/2006/relationships/styles" Target="styles.xml"/><Relationship Id="rId16" Type="http://schemas.openxmlformats.org/officeDocument/2006/relationships/hyperlink" Target="https://doi.org/10.1016/j.enpol.2024.114178" TargetMode="External"/><Relationship Id="rId20" Type="http://schemas.openxmlformats.org/officeDocument/2006/relationships/hyperlink" Target="https://doi.org/10.1016/j.resourpol.2024.105160"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16/j.tra.2024.104217"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002/bte2.20240016" TargetMode="External"/><Relationship Id="rId23" Type="http://schemas.openxmlformats.org/officeDocument/2006/relationships/fontTable" Target="fontTable.xml"/><Relationship Id="rId10" Type="http://schemas.openxmlformats.org/officeDocument/2006/relationships/hyperlink" Target="https://doi.org/10.3390/su17083428" TargetMode="External"/><Relationship Id="rId19" Type="http://schemas.openxmlformats.org/officeDocument/2006/relationships/hyperlink" Target="https://doi.org/10.1016/j.techfore.2024.123876" TargetMode="External"/><Relationship Id="rId4" Type="http://schemas.openxmlformats.org/officeDocument/2006/relationships/webSettings" Target="webSettings.xml"/><Relationship Id="rId9" Type="http://schemas.openxmlformats.org/officeDocument/2006/relationships/hyperlink" Target="https://doi.org/10.1007/s11116-024-10518-0" TargetMode="External"/><Relationship Id="rId14" Type="http://schemas.openxmlformats.org/officeDocument/2006/relationships/hyperlink" Target="https://doi.org/10.1016/j.rtbm.2025.101331" TargetMode="External"/><Relationship Id="rId22" Type="http://schemas.openxmlformats.org/officeDocument/2006/relationships/footer" Target="footer2.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A608CE-AA45-4691-86E0-5417E28BA8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1403</TotalTime>
  <Pages>16</Pages>
  <Words>3112</Words>
  <Characters>20076</Characters>
  <Application>Microsoft Office Word</Application>
  <DocSecurity>0</DocSecurity>
  <Lines>323</Lines>
  <Paragraphs>72</Paragraphs>
  <ScaleCrop>false</ScaleCrop>
  <Company/>
  <LinksUpToDate>false</LinksUpToDate>
  <CharactersWithSpaces>23116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Tianchun Han (2503556)</dc:creator>
  <cp:keywords/>
  <dc:description/>
  <cp:lastModifiedBy>Tianchun Han (2503556)</cp:lastModifiedBy>
  <cp:revision>24</cp:revision>
  <dcterms:created xsi:type="dcterms:W3CDTF">2026-03-15T21:19:00Z</dcterms:created>
  <dcterms:modified xsi:type="dcterms:W3CDTF">2026-03-27T19:07:00Z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56a1a310-350a-4b9f-a88c-c7192fffa883</vt:lpwstr>
  </property>
</Properties>
</file>