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9D36E" w14:textId="77777777" w:rsidR="005C510D" w:rsidRDefault="002F23F1" w:rsidP="005C510D">
      <w:pPr>
        <w:pStyle w:val="NoSpacing"/>
        <w:spacing w:before="1540" w:after="240"/>
        <w:jc w:val="center"/>
      </w:pPr>
      <w:r>
        <w:t xml:space="preserve">         </w:t>
      </w:r>
    </w:p>
    <w:sdt>
      <w:sdtPr>
        <w:rPr>
          <w:rFonts w:ascii="Arial" w:eastAsiaTheme="minorHAnsi" w:hAnsi="Arial" w:cs="Arial"/>
          <w:color w:val="156082" w:themeColor="accent1"/>
          <w:lang w:val="en-GB"/>
        </w:rPr>
        <w:id w:val="-1522475554"/>
        <w:docPartObj>
          <w:docPartGallery w:val="Cover Pages"/>
          <w:docPartUnique/>
        </w:docPartObj>
      </w:sdtPr>
      <w:sdtEndPr>
        <w:rPr>
          <w:rFonts w:asciiTheme="minorHAnsi" w:hAnsiTheme="minorHAnsi" w:cstheme="minorBidi"/>
        </w:rPr>
      </w:sdtEndPr>
      <w:sdtContent>
        <w:p w14:paraId="4A314FD9" w14:textId="26CCA605" w:rsidR="005C510D" w:rsidRDefault="005C510D" w:rsidP="005C510D">
          <w:pPr>
            <w:pStyle w:val="NoSpacing"/>
            <w:spacing w:before="1540" w:after="240"/>
            <w:jc w:val="center"/>
            <w:rPr>
              <w:rFonts w:ascii="Arial" w:hAnsi="Arial" w:cs="Arial"/>
              <w:color w:val="156082" w:themeColor="accent1"/>
            </w:rPr>
          </w:pPr>
          <w:r>
            <w:rPr>
              <w:rFonts w:ascii="Arial" w:hAnsi="Arial" w:cs="Arial"/>
              <w:noProof/>
              <w:color w:val="156082" w:themeColor="accent1"/>
              <w:lang w:val="en-GB" w:eastAsia="en-GB"/>
            </w:rPr>
            <w:drawing>
              <wp:inline distT="0" distB="0" distL="0" distR="0" wp14:anchorId="13D24403" wp14:editId="0A58E65D">
                <wp:extent cx="1416050" cy="749300"/>
                <wp:effectExtent l="0" t="0" r="0" b="0"/>
                <wp:docPr id="143" name="Picture 2"/>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Arial" w:eastAsiaTheme="majorEastAsia" w:hAnsi="Arial" w:cs="Arial"/>
              <w:caps/>
              <w:color w:val="156082" w:themeColor="accent1"/>
              <w:sz w:val="48"/>
              <w:szCs w:val="48"/>
            </w:rPr>
            <w:alias w:val="Title"/>
            <w:id w:val="1735040861"/>
            <w:placeholder>
              <w:docPart w:val="ADF3C8659EDF41488BFCD5F700CC781C"/>
            </w:placeholder>
            <w:dataBinding w:prefixMappings="xmlns:ns0='http://purl.org/dc/elements/1.1/' xmlns:ns1='http://schemas.openxmlformats.org/package/2006/metadata/core-properties' " w:xpath="/ns1:coreProperties[1]/ns0:title[1]" w:storeItemID="{6C3C8BC8-F283-45AE-878A-BAB7291924A1}"/>
            <w:text/>
          </w:sdtPr>
          <w:sdtContent>
            <w:p w14:paraId="60D1168A" w14:textId="26F18F3E" w:rsidR="005C510D" w:rsidRDefault="005C510D" w:rsidP="005C510D">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8"/>
                  <w:szCs w:val="48"/>
                </w:rPr>
              </w:pPr>
              <w:r w:rsidRPr="005E4423">
                <w:rPr>
                  <w:rFonts w:ascii="Arial" w:eastAsiaTheme="majorEastAsia" w:hAnsi="Arial" w:cs="Arial"/>
                  <w:caps/>
                  <w:color w:val="156082" w:themeColor="accent1"/>
                  <w:sz w:val="48"/>
                  <w:szCs w:val="48"/>
                </w:rPr>
                <w:t>CONTEMPORARY ISSUES IN PERFORMANCE MANAGEMENT</w:t>
              </w:r>
            </w:p>
          </w:sdtContent>
        </w:sdt>
        <w:sdt>
          <w:sdtPr>
            <w:rPr>
              <w:rFonts w:ascii="Arial" w:hAnsi="Arial" w:cs="Arial"/>
              <w:color w:val="156082" w:themeColor="accent1"/>
              <w:sz w:val="36"/>
              <w:szCs w:val="36"/>
            </w:rPr>
            <w:alias w:val="Subtitle"/>
            <w:id w:val="328029620"/>
            <w:dataBinding w:prefixMappings="xmlns:ns0='http://purl.org/dc/elements/1.1/' xmlns:ns1='http://schemas.openxmlformats.org/package/2006/metadata/core-properties' " w:xpath="/ns1:coreProperties[1]/ns0:subject[1]" w:storeItemID="{6C3C8BC8-F283-45AE-878A-BAB7291924A1}"/>
            <w:text/>
          </w:sdtPr>
          <w:sdtContent>
            <w:p w14:paraId="505A9CC0" w14:textId="477838DE" w:rsidR="005C510D" w:rsidRDefault="005C510D" w:rsidP="005C510D">
              <w:pPr>
                <w:pStyle w:val="NoSpacing"/>
                <w:jc w:val="center"/>
                <w:rPr>
                  <w:rFonts w:ascii="Arial" w:hAnsi="Arial" w:cs="Arial"/>
                  <w:color w:val="156082" w:themeColor="accent1"/>
                  <w:sz w:val="36"/>
                  <w:szCs w:val="36"/>
                </w:rPr>
              </w:pPr>
              <w:r w:rsidRPr="005E4423">
                <w:rPr>
                  <w:rFonts w:ascii="Arial" w:hAnsi="Arial" w:cs="Arial"/>
                  <w:color w:val="156082" w:themeColor="accent1"/>
                  <w:sz w:val="36"/>
                  <w:szCs w:val="36"/>
                </w:rPr>
                <w:t xml:space="preserve">Mitcham Fabrication Plc and </w:t>
              </w:r>
              <w:proofErr w:type="spellStart"/>
              <w:r w:rsidRPr="005E4423">
                <w:rPr>
                  <w:rFonts w:ascii="Arial" w:hAnsi="Arial" w:cs="Arial"/>
                  <w:color w:val="156082" w:themeColor="accent1"/>
                  <w:sz w:val="36"/>
                  <w:szCs w:val="36"/>
                </w:rPr>
                <w:t>Indorex</w:t>
              </w:r>
              <w:proofErr w:type="spellEnd"/>
              <w:r w:rsidRPr="005E4423">
                <w:rPr>
                  <w:rFonts w:ascii="Arial" w:hAnsi="Arial" w:cs="Arial"/>
                  <w:color w:val="156082" w:themeColor="accent1"/>
                  <w:sz w:val="36"/>
                  <w:szCs w:val="36"/>
                </w:rPr>
                <w:t xml:space="preserve"> Brands</w:t>
              </w:r>
            </w:p>
          </w:sdtContent>
        </w:sdt>
        <w:p w14:paraId="4F5E892D" w14:textId="77777777" w:rsidR="003E478C" w:rsidRDefault="005C510D" w:rsidP="003E478C">
          <w:pPr>
            <w:pStyle w:val="NoSpacing"/>
            <w:spacing w:before="480"/>
            <w:jc w:val="center"/>
            <w:rPr>
              <w:rFonts w:ascii="Arial" w:hAnsi="Arial" w:cs="Arial"/>
              <w:color w:val="156082" w:themeColor="accent1"/>
              <w:sz w:val="22"/>
              <w:szCs w:val="22"/>
            </w:rPr>
          </w:pPr>
          <w:r>
            <w:rPr>
              <w:rFonts w:ascii="Arial" w:hAnsi="Arial" w:cs="Arial"/>
              <w:noProof/>
              <w:color w:val="156082" w:themeColor="accent1"/>
              <w:lang w:val="en-GB" w:eastAsia="en-GB"/>
            </w:rPr>
            <w:drawing>
              <wp:inline distT="0" distB="0" distL="0" distR="0" wp14:anchorId="0487E536" wp14:editId="7B912582">
                <wp:extent cx="755650" cy="482600"/>
                <wp:effectExtent l="0" t="0" r="6350" b="0"/>
                <wp:docPr id="144" name="Picture 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12780D21" w14:textId="7F603CC6" w:rsidR="003E478C" w:rsidRPr="003E478C" w:rsidRDefault="003E478C" w:rsidP="003E478C">
          <w:pPr>
            <w:pStyle w:val="NoSpacing"/>
            <w:spacing w:before="480"/>
            <w:rPr>
              <w:rFonts w:asciiTheme="minorHAnsi" w:hAnsiTheme="minorHAnsi" w:cs="Arial"/>
              <w:color w:val="156082" w:themeColor="accent1"/>
              <w:sz w:val="22"/>
              <w:szCs w:val="22"/>
            </w:rPr>
          </w:pPr>
          <w:r w:rsidRPr="003E478C">
            <w:rPr>
              <w:rFonts w:asciiTheme="minorHAnsi" w:hAnsiTheme="minorHAnsi" w:cs="Arial"/>
              <w:color w:val="156082" w:themeColor="accent1"/>
            </w:rPr>
            <w:t>Student Name: Md Josim Uddin</w:t>
          </w:r>
          <w:r>
            <w:rPr>
              <w:rFonts w:asciiTheme="minorHAnsi" w:hAnsiTheme="minorHAnsi" w:cs="Arial"/>
              <w:color w:val="156082" w:themeColor="accent1"/>
              <w:sz w:val="22"/>
              <w:szCs w:val="22"/>
            </w:rPr>
            <w:t xml:space="preserve">                                                                                                                          </w:t>
          </w:r>
          <w:r w:rsidRPr="003E478C">
            <w:rPr>
              <w:rFonts w:asciiTheme="minorHAnsi" w:hAnsiTheme="minorHAnsi" w:cs="Arial"/>
              <w:color w:val="156082" w:themeColor="accent1"/>
            </w:rPr>
            <w:t>Student ID:</w:t>
          </w:r>
          <w:r>
            <w:rPr>
              <w:rFonts w:asciiTheme="minorHAnsi" w:hAnsiTheme="minorHAnsi" w:cs="Arial"/>
              <w:color w:val="156082" w:themeColor="accent1"/>
            </w:rPr>
            <w:t xml:space="preserve"> 2516714</w:t>
          </w:r>
        </w:p>
        <w:p w14:paraId="23769F1B" w14:textId="77777777" w:rsidR="005C510D" w:rsidRDefault="005C510D" w:rsidP="005C510D">
          <w:pPr>
            <w:pStyle w:val="NoSpacing"/>
            <w:spacing w:before="480"/>
            <w:jc w:val="center"/>
            <w:rPr>
              <w:rFonts w:ascii="Arial" w:hAnsi="Arial" w:cs="Arial"/>
              <w:color w:val="156082" w:themeColor="accent1"/>
            </w:rPr>
          </w:pPr>
        </w:p>
        <w:p w14:paraId="18C29E29" w14:textId="77777777" w:rsidR="005C510D" w:rsidRDefault="005C510D" w:rsidP="005C510D">
          <w:pPr>
            <w:pStyle w:val="NoSpacing"/>
            <w:spacing w:before="480"/>
            <w:jc w:val="center"/>
            <w:rPr>
              <w:rFonts w:ascii="Arial" w:hAnsi="Arial" w:cs="Arial"/>
              <w:color w:val="156082" w:themeColor="accent1"/>
            </w:rPr>
          </w:pPr>
        </w:p>
        <w:p w14:paraId="7D3A4C14" w14:textId="6B93340C" w:rsidR="005C510D" w:rsidRDefault="005C510D" w:rsidP="005C510D">
          <w:pPr>
            <w:pStyle w:val="NoSpacing"/>
            <w:spacing w:before="480"/>
            <w:rPr>
              <w:rFonts w:ascii="Arial" w:hAnsi="Arial" w:cs="Arial"/>
              <w:color w:val="156082" w:themeColor="accent1"/>
            </w:rPr>
          </w:pPr>
          <w:r>
            <w:rPr>
              <w:rFonts w:asciiTheme="minorHAnsi" w:hAnsiTheme="minorHAnsi"/>
              <w:noProof/>
              <w:sz w:val="22"/>
              <w:szCs w:val="22"/>
            </w:rPr>
            <mc:AlternateContent>
              <mc:Choice Requires="wps">
                <w:drawing>
                  <wp:anchor distT="0" distB="0" distL="114300" distR="114300" simplePos="0" relativeHeight="251659264" behindDoc="0" locked="0" layoutInCell="1" allowOverlap="1" wp14:anchorId="3C7FF477" wp14:editId="47A89E80">
                    <wp:simplePos x="0" y="0"/>
                    <wp:positionH relativeFrom="margin">
                      <wp:align>right</wp:align>
                    </wp:positionH>
                    <wp:positionV relativeFrom="margin">
                      <wp:posOffset>8159750</wp:posOffset>
                    </wp:positionV>
                    <wp:extent cx="4874260" cy="695960"/>
                    <wp:effectExtent l="0" t="0" r="2540" b="8890"/>
                    <wp:wrapNone/>
                    <wp:docPr id="142" name="Text Box 3"/>
                    <wp:cNvGraphicFramePr/>
                    <a:graphic xmlns:a="http://schemas.openxmlformats.org/drawingml/2006/main">
                      <a:graphicData uri="http://schemas.microsoft.com/office/word/2010/wordprocessingShape">
                        <wps:wsp>
                          <wps:cNvSpPr txBox="1"/>
                          <wps:spPr>
                            <a:xfrm>
                              <a:off x="0" y="0"/>
                              <a:ext cx="4874260" cy="695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62DE6" w14:textId="18359F8E" w:rsidR="005C510D" w:rsidRPr="005C510D" w:rsidRDefault="005C510D" w:rsidP="005C510D">
                                <w:pPr>
                                  <w:pStyle w:val="NoSpacing"/>
                                  <w:rPr>
                                    <w:rFonts w:ascii="Calibri" w:hAnsi="Calibri" w:cs="Calibri"/>
                                    <w:color w:val="156082" w:themeColor="accent1"/>
                                    <w:sz w:val="28"/>
                                    <w:szCs w:val="28"/>
                                  </w:rPr>
                                </w:pPr>
                                <w:r>
                                  <w:rPr>
                                    <w:color w:val="156082" w:themeColor="accent1"/>
                                  </w:rPr>
                                  <w:t xml:space="preserve">                               </w:t>
                                </w:r>
                                <w:r w:rsidR="00565731">
                                  <w:rPr>
                                    <w:rFonts w:ascii="Calibri" w:hAnsi="Calibri" w:cs="Calibri"/>
                                    <w:color w:val="156082" w:themeColor="accent1"/>
                                    <w:sz w:val="28"/>
                                    <w:szCs w:val="28"/>
                                  </w:rPr>
                                  <w:t xml:space="preserve">       [DATE]</w:t>
                                </w:r>
                              </w:p>
                              <w:p w14:paraId="5C6BA67F" w14:textId="32B241C0" w:rsidR="005C510D" w:rsidRPr="00B73B60" w:rsidRDefault="00B73B60" w:rsidP="005C510D">
                                <w:pPr>
                                  <w:pStyle w:val="NoSpacing"/>
                                  <w:rPr>
                                    <w:rFonts w:ascii="Calibri" w:hAnsi="Calibri" w:cs="Calibri"/>
                                    <w:color w:val="156082" w:themeColor="accent1"/>
                                  </w:rPr>
                                </w:pPr>
                                <w:r>
                                  <w:rPr>
                                    <w:color w:val="156082" w:themeColor="accent1"/>
                                  </w:rPr>
                                  <w:t xml:space="preserve">                    </w:t>
                                </w:r>
                                <w:r>
                                  <w:rPr>
                                    <w:rFonts w:ascii="Calibri" w:hAnsi="Calibri" w:cs="Calibri"/>
                                    <w:color w:val="156082" w:themeColor="accent1"/>
                                  </w:rPr>
                                  <w:t>UNIVERSITY OF WALES TRINITY SAINT DAVID</w:t>
                                </w:r>
                              </w:p>
                              <w:p w14:paraId="556D454D" w14:textId="0C840A92" w:rsidR="005C510D" w:rsidRDefault="005C510D" w:rsidP="005C510D">
                                <w:pPr>
                                  <w:pStyle w:val="NoSpacing"/>
                                  <w:jc w:val="center"/>
                                  <w:rPr>
                                    <w:color w:val="156082" w:themeColor="accent1"/>
                                  </w:rP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C7FF477" id="_x0000_t202" coordsize="21600,21600" o:spt="202" path="m,l,21600r21600,l21600,xe">
                    <v:stroke joinstyle="miter"/>
                    <v:path gradientshapeok="t" o:connecttype="rect"/>
                  </v:shapetype>
                  <v:shape id="Text Box 3" o:spid="_x0000_s1026" type="#_x0000_t202" style="position:absolute;margin-left:332.6pt;margin-top:642.5pt;width:383.8pt;height:54.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" filled="f" stroked="f" strokeweight=".5pt">
                    <v:textbox inset="0,0,0,0">
                      <w:txbxContent>
                        <w:p w14:paraId="40962DE6" w14:textId="18359F8E" w:rsidR="005C510D" w:rsidRPr="005C510D" w:rsidRDefault="005C510D" w:rsidP="005C510D">
                          <w:pPr>
                            <w:pStyle w:val="NoSpacing"/>
                            <w:rPr>
                              <w:rFonts w:ascii="Calibri" w:hAnsi="Calibri" w:cs="Calibri"/>
                              <w:color w:val="156082" w:themeColor="accent1"/>
                              <w:sz w:val="28"/>
                              <w:szCs w:val="28"/>
                            </w:rPr>
                          </w:pPr>
                          <w:r>
                            <w:rPr>
                              <w:color w:val="156082" w:themeColor="accent1"/>
                            </w:rPr>
                            <w:t xml:space="preserve">                               </w:t>
                          </w:r>
                          <w:r w:rsidR="00565731">
                            <w:rPr>
                              <w:rFonts w:ascii="Calibri" w:hAnsi="Calibri" w:cs="Calibri"/>
                              <w:color w:val="156082" w:themeColor="accent1"/>
                              <w:sz w:val="28"/>
                              <w:szCs w:val="28"/>
                            </w:rPr>
                            <w:t xml:space="preserve">       [DATE]</w:t>
                          </w:r>
                        </w:p>
                        <w:p w14:paraId="5C6BA67F" w14:textId="32B241C0" w:rsidR="005C510D" w:rsidRPr="00B73B60" w:rsidRDefault="00B73B60" w:rsidP="005C510D">
                          <w:pPr>
                            <w:pStyle w:val="NoSpacing"/>
                            <w:rPr>
                              <w:rFonts w:ascii="Calibri" w:hAnsi="Calibri" w:cs="Calibri"/>
                              <w:color w:val="156082" w:themeColor="accent1"/>
                            </w:rPr>
                          </w:pPr>
                          <w:r>
                            <w:rPr>
                              <w:color w:val="156082" w:themeColor="accent1"/>
                            </w:rPr>
                            <w:t xml:space="preserve">                    </w:t>
                          </w:r>
                          <w:r>
                            <w:rPr>
                              <w:rFonts w:ascii="Calibri" w:hAnsi="Calibri" w:cs="Calibri"/>
                              <w:color w:val="156082" w:themeColor="accent1"/>
                            </w:rPr>
                            <w:t>UNIVERSITY OF WALES TRINITY SAINT DAVID</w:t>
                          </w:r>
                        </w:p>
                        <w:p w14:paraId="556D454D" w14:textId="0C840A92" w:rsidR="005C510D" w:rsidRDefault="005C510D" w:rsidP="005C510D">
                          <w:pPr>
                            <w:pStyle w:val="NoSpacing"/>
                            <w:jc w:val="center"/>
                            <w:rPr>
                              <w:color w:val="156082" w:themeColor="accent1"/>
                            </w:rPr>
                          </w:pPr>
                        </w:p>
                      </w:txbxContent>
                    </v:textbox>
                    <w10:wrap anchorx="margin" anchory="margin"/>
                  </v:shape>
                </w:pict>
              </mc:Fallback>
            </mc:AlternateContent>
          </w:r>
          <w:r w:rsidR="006B2327">
            <w:rPr>
              <w:color w:val="156082" w:themeColor="accent1"/>
              <w:sz w:val="22"/>
              <w:szCs w:val="22"/>
            </w:rPr>
            <w:t xml:space="preserve"> </w:t>
          </w:r>
          <w:r>
            <w:rPr>
              <w:color w:val="156082" w:themeColor="accent1"/>
              <w:sz w:val="22"/>
              <w:szCs w:val="22"/>
            </w:rPr>
            <w:br w:type="page"/>
          </w:r>
        </w:p>
        <w:p w14:paraId="40859C84" w14:textId="77777777" w:rsidR="005C510D" w:rsidRPr="00565731" w:rsidRDefault="005C510D" w:rsidP="005C510D">
          <w:pPr>
            <w:pStyle w:val="Heading1"/>
            <w:rPr>
              <w:rFonts w:asciiTheme="minorHAnsi" w:hAnsiTheme="minorHAnsi" w:cs="Arial"/>
            </w:rPr>
          </w:pPr>
          <w:bookmarkStart w:id="0" w:name="_Toc129339185"/>
          <w:bookmarkStart w:id="1" w:name="_Toc227000454"/>
          <w:r w:rsidRPr="00565731">
            <w:rPr>
              <w:rFonts w:asciiTheme="minorHAnsi" w:hAnsiTheme="minorHAnsi"/>
            </w:rPr>
            <w:lastRenderedPageBreak/>
            <w:t>Executive Summary</w:t>
          </w:r>
          <w:bookmarkEnd w:id="0"/>
          <w:bookmarkEnd w:id="1"/>
        </w:p>
        <w:p w14:paraId="60D25A87" w14:textId="77777777" w:rsidR="005C510D" w:rsidRDefault="005C510D" w:rsidP="005C510D">
          <w:r>
            <w:t xml:space="preserve">This report analyses the two case studies in Mitchum Fabrication plc and </w:t>
          </w:r>
          <w:proofErr w:type="spellStart"/>
          <w:r>
            <w:t>Indorex</w:t>
          </w:r>
          <w:proofErr w:type="spellEnd"/>
          <w:r>
            <w:t xml:space="preserve"> Footwear Limited in terms of some of the important concepts in performance management, strategic control, and business improvement. In the case of Mitchum, the report indicates that the performance of the division should not be measured using a single measure. ROI can be handy in comparison, but it may result in bad decisions when managers attempt to cushion their present percentage payback. The remaining income is a truer picture since it involves the cost of capital. EVA also assists in shareholder wealth, although it is more challenging to apply it in practice. It is also established in the report that the present system of transfer pricing between M/S and Service needs to be re-examined. An approach that is cost-based is more appropriate compared to a market-based approach since the external repair quote is way more expensive than the internal repair price. In the </w:t>
          </w:r>
          <w:proofErr w:type="spellStart"/>
          <w:r>
            <w:t>Indorex</w:t>
          </w:r>
          <w:proofErr w:type="spellEnd"/>
          <w:r>
            <w:t xml:space="preserve"> case, the report concludes that the company is in a growth crisis that is caused by external and internal factors. The threats are Brexit, Covid-19, currency fluctuations, and increased sourcing prices. The internal issues are a poor structure, over-centralisation of decisions, and a necessity to restructure business processes. The Balanced Scorecard analysis reveals that non-financial performance has been enhanced in certain aspects, although financial performance has been poor. The report therefore recommends business process reengineering as a means of efficiency, cost-cutting, tightening control, and enabling future growth.</w:t>
          </w:r>
        </w:p>
        <w:p w14:paraId="00E7E070" w14:textId="77777777" w:rsidR="005C510D" w:rsidRDefault="005C510D" w:rsidP="005C510D"/>
        <w:p w14:paraId="5A99D1AC" w14:textId="77777777" w:rsidR="005C510D" w:rsidRDefault="005C510D" w:rsidP="005C510D">
          <w:pPr>
            <w:spacing w:line="256" w:lineRule="auto"/>
          </w:pPr>
          <w:r>
            <w:rPr>
              <w:rFonts w:ascii="Times New Roman" w:hAnsi="Times New Roman" w:cs="Times New Roman"/>
              <w:lang w:eastAsia="en-GB"/>
            </w:rPr>
            <w:br w:type="page"/>
          </w:r>
        </w:p>
        <w:sdt>
          <w:sdtPr>
            <w:rPr>
              <w:rFonts w:asciiTheme="minorHAnsi" w:eastAsiaTheme="minorHAnsi" w:hAnsiTheme="minorHAnsi" w:cstheme="minorBidi"/>
              <w:b w:val="0"/>
              <w:bCs w:val="0"/>
              <w:color w:val="auto"/>
              <w:kern w:val="2"/>
              <w:sz w:val="24"/>
              <w:szCs w:val="24"/>
              <w:lang w:val="en-GB"/>
              <w14:ligatures w14:val="standardContextual"/>
            </w:rPr>
            <w:id w:val="1317686903"/>
            <w:docPartObj>
              <w:docPartGallery w:val="Table of Contents"/>
              <w:docPartUnique/>
            </w:docPartObj>
          </w:sdtPr>
          <w:sdtContent>
            <w:p w14:paraId="5A0D9B09" w14:textId="77777777" w:rsidR="005C510D" w:rsidRPr="00565731" w:rsidRDefault="005C510D" w:rsidP="005C510D">
              <w:pPr>
                <w:pStyle w:val="TOCHeading"/>
                <w:rPr>
                  <w:rFonts w:asciiTheme="minorHAnsi" w:hAnsiTheme="minorHAnsi"/>
                  <w:sz w:val="36"/>
                  <w:szCs w:val="36"/>
                </w:rPr>
              </w:pPr>
              <w:r w:rsidRPr="00565731">
                <w:rPr>
                  <w:rFonts w:asciiTheme="minorHAnsi" w:hAnsiTheme="minorHAnsi"/>
                  <w:sz w:val="36"/>
                  <w:szCs w:val="36"/>
                </w:rPr>
                <w:t>Table of Contents</w:t>
              </w:r>
            </w:p>
            <w:p w14:paraId="57018E9F"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r w:rsidRPr="00565731">
                <w:rPr>
                  <w:rFonts w:asciiTheme="minorHAnsi" w:hAnsiTheme="minorHAnsi"/>
                </w:rPr>
                <w:fldChar w:fldCharType="begin"/>
              </w:r>
              <w:r w:rsidRPr="00565731">
                <w:rPr>
                  <w:rFonts w:asciiTheme="minorHAnsi" w:hAnsiTheme="minorHAnsi"/>
                </w:rPr>
                <w:instrText xml:space="preserve"> TOC \o "1-3" \h \z \u </w:instrText>
              </w:r>
              <w:r w:rsidRPr="00565731">
                <w:rPr>
                  <w:rFonts w:asciiTheme="minorHAnsi" w:hAnsiTheme="minorHAnsi"/>
                </w:rPr>
                <w:fldChar w:fldCharType="separate"/>
              </w:r>
              <w:hyperlink r:id="rId10" w:anchor="_Toc227000454" w:history="1">
                <w:r w:rsidRPr="00565731">
                  <w:rPr>
                    <w:rStyle w:val="Hyperlink"/>
                    <w:rFonts w:asciiTheme="minorHAnsi" w:hAnsiTheme="minorHAnsi"/>
                    <w:noProof/>
                  </w:rPr>
                  <w:t>Executive Summary</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_Toc227000454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w:t>
                </w:r>
                <w:r w:rsidRPr="00565731">
                  <w:rPr>
                    <w:rStyle w:val="Hyperlink"/>
                    <w:rFonts w:asciiTheme="minorHAnsi" w:hAnsiTheme="minorHAnsi"/>
                    <w:noProof/>
                    <w:webHidden/>
                    <w:color w:val="auto"/>
                  </w:rPr>
                  <w:fldChar w:fldCharType="end"/>
                </w:r>
              </w:hyperlink>
            </w:p>
            <w:p w14:paraId="71C9483E"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hyperlink r:id="rId11" w:anchor="_Toc227000455" w:history="1">
                <w:r w:rsidRPr="00565731">
                  <w:rPr>
                    <w:rStyle w:val="Hyperlink"/>
                    <w:rFonts w:asciiTheme="minorHAnsi" w:hAnsiTheme="minorHAnsi"/>
                    <w:noProof/>
                  </w:rPr>
                  <w:t>Introduction</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_Toc227000455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3</w:t>
                </w:r>
                <w:r w:rsidRPr="00565731">
                  <w:rPr>
                    <w:rStyle w:val="Hyperlink"/>
                    <w:rFonts w:asciiTheme="minorHAnsi" w:hAnsiTheme="minorHAnsi"/>
                    <w:noProof/>
                    <w:webHidden/>
                    <w:color w:val="auto"/>
                  </w:rPr>
                  <w:fldChar w:fldCharType="end"/>
                </w:r>
              </w:hyperlink>
            </w:p>
            <w:p w14:paraId="51E57499"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hyperlink r:id="rId12" w:anchor="_Toc227000456" w:history="1">
                <w:r w:rsidRPr="00565731">
                  <w:rPr>
                    <w:rStyle w:val="Hyperlink"/>
                    <w:rFonts w:asciiTheme="minorHAnsi" w:hAnsiTheme="minorHAnsi"/>
                    <w:noProof/>
                  </w:rPr>
                  <w:t>Main Findings</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_Toc227000456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4</w:t>
                </w:r>
                <w:r w:rsidRPr="00565731">
                  <w:rPr>
                    <w:rStyle w:val="Hyperlink"/>
                    <w:rFonts w:asciiTheme="minorHAnsi" w:hAnsiTheme="minorHAnsi"/>
                    <w:noProof/>
                    <w:webHidden/>
                    <w:color w:val="auto"/>
                  </w:rPr>
                  <w:fldChar w:fldCharType="end"/>
                </w:r>
              </w:hyperlink>
            </w:p>
            <w:p w14:paraId="6AB6F802" w14:textId="77777777" w:rsidR="005C510D" w:rsidRPr="00565731" w:rsidRDefault="005C510D" w:rsidP="005C510D">
              <w:pPr>
                <w:pStyle w:val="TOC2"/>
                <w:tabs>
                  <w:tab w:val="right" w:leader="dot" w:pos="9016"/>
                </w:tabs>
                <w:rPr>
                  <w:rFonts w:asciiTheme="minorHAnsi" w:eastAsiaTheme="minorEastAsia" w:hAnsiTheme="minorHAnsi" w:cstheme="minorBidi"/>
                  <w:noProof/>
                  <w:kern w:val="2"/>
                  <w:lang w:eastAsia="en-GB"/>
                  <w14:ligatures w14:val="standardContextual"/>
                </w:rPr>
              </w:pPr>
              <w:hyperlink r:id="rId13" w:anchor="_Toc227000457" w:history="1">
                <w:r w:rsidRPr="00565731">
                  <w:rPr>
                    <w:rStyle w:val="Hyperlink"/>
                    <w:rFonts w:asciiTheme="minorHAnsi" w:hAnsiTheme="minorHAnsi"/>
                    <w:noProof/>
                  </w:rPr>
                  <w:t>Part 1 Mitchum Fabrication plc</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_Toc227000457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4</w:t>
                </w:r>
                <w:r w:rsidRPr="00565731">
                  <w:rPr>
                    <w:rStyle w:val="Hyperlink"/>
                    <w:rFonts w:asciiTheme="minorHAnsi" w:hAnsiTheme="minorHAnsi"/>
                    <w:noProof/>
                    <w:webHidden/>
                    <w:color w:val="auto"/>
                  </w:rPr>
                  <w:fldChar w:fldCharType="end"/>
                </w:r>
              </w:hyperlink>
            </w:p>
            <w:p w14:paraId="08554A2F" w14:textId="77777777" w:rsidR="005C510D" w:rsidRPr="00565731" w:rsidRDefault="005C510D" w:rsidP="005C510D">
              <w:pPr>
                <w:pStyle w:val="TOC3"/>
                <w:tabs>
                  <w:tab w:val="right" w:leader="dot" w:pos="9016"/>
                </w:tabs>
                <w:rPr>
                  <w:rFonts w:asciiTheme="minorHAnsi" w:hAnsiTheme="minorHAnsi"/>
                  <w:noProof/>
                </w:rPr>
              </w:pPr>
              <w:hyperlink r:id="rId14" w:anchor="_Toc227000458" w:history="1">
                <w:r w:rsidRPr="00565731">
                  <w:rPr>
                    <w:rStyle w:val="Hyperlink"/>
                    <w:rFonts w:asciiTheme="minorHAnsi" w:hAnsiTheme="minorHAnsi"/>
                    <w:noProof/>
                  </w:rPr>
                  <w:t>Evaluating divisional performance</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_Toc227000458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4</w:t>
                </w:r>
                <w:r w:rsidRPr="00565731">
                  <w:rPr>
                    <w:rStyle w:val="Hyperlink"/>
                    <w:rFonts w:asciiTheme="minorHAnsi" w:hAnsiTheme="minorHAnsi"/>
                    <w:noProof/>
                    <w:webHidden/>
                    <w:color w:val="auto"/>
                  </w:rPr>
                  <w:fldChar w:fldCharType="end"/>
                </w:r>
              </w:hyperlink>
            </w:p>
            <w:p w14:paraId="4B0B9E4D" w14:textId="77777777" w:rsidR="005C510D" w:rsidRPr="00565731" w:rsidRDefault="005C510D" w:rsidP="005C510D">
              <w:pPr>
                <w:pStyle w:val="TOC3"/>
                <w:tabs>
                  <w:tab w:val="right" w:leader="dot" w:pos="9016"/>
                </w:tabs>
                <w:rPr>
                  <w:rFonts w:asciiTheme="minorHAnsi" w:hAnsiTheme="minorHAnsi"/>
                  <w:noProof/>
                </w:rPr>
              </w:pPr>
              <w:hyperlink r:id="rId15" w:anchor="_Toc227000459" w:history="1">
                <w:r w:rsidRPr="00565731">
                  <w:rPr>
                    <w:rStyle w:val="Hyperlink"/>
                    <w:rFonts w:asciiTheme="minorHAnsi" w:hAnsiTheme="minorHAnsi"/>
                    <w:noProof/>
                  </w:rPr>
                  <w:t>Transfer pricing between M/S and Service</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_Toc227000459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6</w:t>
                </w:r>
                <w:r w:rsidRPr="00565731">
                  <w:rPr>
                    <w:rStyle w:val="Hyperlink"/>
                    <w:rFonts w:asciiTheme="minorHAnsi" w:hAnsiTheme="minorHAnsi"/>
                    <w:noProof/>
                    <w:webHidden/>
                    <w:color w:val="auto"/>
                  </w:rPr>
                  <w:fldChar w:fldCharType="end"/>
                </w:r>
              </w:hyperlink>
            </w:p>
            <w:p w14:paraId="17C4D6C7" w14:textId="77777777" w:rsidR="005C510D" w:rsidRPr="00565731" w:rsidRDefault="005C510D" w:rsidP="005C510D">
              <w:pPr>
                <w:pStyle w:val="TOC3"/>
                <w:tabs>
                  <w:tab w:val="right" w:leader="dot" w:pos="9016"/>
                </w:tabs>
                <w:rPr>
                  <w:rFonts w:asciiTheme="minorHAnsi" w:hAnsiTheme="minorHAnsi"/>
                  <w:noProof/>
                </w:rPr>
              </w:pPr>
              <w:hyperlink r:id="rId16" w:anchor="_Toc227000460" w:history="1">
                <w:r w:rsidRPr="00565731">
                  <w:rPr>
                    <w:rStyle w:val="Hyperlink"/>
                    <w:rFonts w:asciiTheme="minorHAnsi" w:hAnsiTheme="minorHAnsi"/>
                    <w:noProof/>
                  </w:rPr>
                  <w:t>Impact of the Executive Information System</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_Toc227000460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8</w:t>
                </w:r>
                <w:r w:rsidRPr="00565731">
                  <w:rPr>
                    <w:rStyle w:val="Hyperlink"/>
                    <w:rFonts w:asciiTheme="minorHAnsi" w:hAnsiTheme="minorHAnsi"/>
                    <w:noProof/>
                    <w:webHidden/>
                    <w:color w:val="auto"/>
                  </w:rPr>
                  <w:fldChar w:fldCharType="end"/>
                </w:r>
              </w:hyperlink>
            </w:p>
            <w:p w14:paraId="75704BDC" w14:textId="77777777" w:rsidR="005C510D" w:rsidRPr="00565731" w:rsidRDefault="005C510D" w:rsidP="005C510D">
              <w:pPr>
                <w:pStyle w:val="TOC2"/>
                <w:tabs>
                  <w:tab w:val="right" w:leader="dot" w:pos="9016"/>
                </w:tabs>
                <w:rPr>
                  <w:rFonts w:asciiTheme="minorHAnsi" w:eastAsiaTheme="minorEastAsia" w:hAnsiTheme="minorHAnsi" w:cstheme="minorBidi"/>
                  <w:noProof/>
                  <w:kern w:val="2"/>
                  <w:lang w:eastAsia="en-GB"/>
                  <w14:ligatures w14:val="standardContextual"/>
                </w:rPr>
              </w:pPr>
              <w:hyperlink r:id="rId17" w:anchor="_Toc227000461" w:history="1">
                <w:r w:rsidRPr="00565731">
                  <w:rPr>
                    <w:rStyle w:val="Hyperlink"/>
                    <w:rFonts w:asciiTheme="minorHAnsi" w:hAnsiTheme="minorHAnsi"/>
                    <w:noProof/>
                  </w:rPr>
                  <w:t>Indorex Footwear Limited</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_Toc227000461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9</w:t>
                </w:r>
                <w:r w:rsidRPr="00565731">
                  <w:rPr>
                    <w:rStyle w:val="Hyperlink"/>
                    <w:rFonts w:asciiTheme="minorHAnsi" w:hAnsiTheme="minorHAnsi"/>
                    <w:noProof/>
                    <w:webHidden/>
                    <w:color w:val="auto"/>
                  </w:rPr>
                  <w:fldChar w:fldCharType="end"/>
                </w:r>
              </w:hyperlink>
            </w:p>
            <w:p w14:paraId="701B2045" w14:textId="77777777" w:rsidR="005C510D" w:rsidRPr="00565731" w:rsidRDefault="005C510D" w:rsidP="005C510D">
              <w:pPr>
                <w:pStyle w:val="TOC3"/>
                <w:tabs>
                  <w:tab w:val="right" w:leader="dot" w:pos="9016"/>
                </w:tabs>
                <w:rPr>
                  <w:rFonts w:asciiTheme="minorHAnsi" w:hAnsiTheme="minorHAnsi"/>
                  <w:noProof/>
                </w:rPr>
              </w:pPr>
              <w:hyperlink r:id="rId18" w:anchor="_Toc227000462" w:history="1">
                <w:r w:rsidRPr="00565731">
                  <w:rPr>
                    <w:rStyle w:val="Hyperlink"/>
                    <w:rFonts w:asciiTheme="minorHAnsi" w:hAnsiTheme="minorHAnsi"/>
                    <w:noProof/>
                  </w:rPr>
                  <w:t>Growth crisis facing the brand and the company</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_Toc227000462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10</w:t>
                </w:r>
                <w:r w:rsidRPr="00565731">
                  <w:rPr>
                    <w:rStyle w:val="Hyperlink"/>
                    <w:rFonts w:asciiTheme="minorHAnsi" w:hAnsiTheme="minorHAnsi"/>
                    <w:noProof/>
                    <w:webHidden/>
                    <w:color w:val="auto"/>
                  </w:rPr>
                  <w:fldChar w:fldCharType="end"/>
                </w:r>
              </w:hyperlink>
            </w:p>
            <w:p w14:paraId="5BB1DFE4" w14:textId="77777777" w:rsidR="005C510D" w:rsidRPr="00565731" w:rsidRDefault="005C510D" w:rsidP="005C510D">
              <w:pPr>
                <w:pStyle w:val="TOC3"/>
                <w:tabs>
                  <w:tab w:val="right" w:leader="dot" w:pos="9016"/>
                </w:tabs>
                <w:rPr>
                  <w:rFonts w:asciiTheme="minorHAnsi" w:hAnsiTheme="minorHAnsi"/>
                  <w:noProof/>
                </w:rPr>
              </w:pPr>
              <w:hyperlink r:id="rId19" w:anchor="_Toc227000463" w:history="1">
                <w:r w:rsidRPr="00565731">
                  <w:rPr>
                    <w:rStyle w:val="Hyperlink"/>
                    <w:rFonts w:asciiTheme="minorHAnsi" w:hAnsiTheme="minorHAnsi"/>
                    <w:noProof/>
                  </w:rPr>
                  <w:t>Quantitative and Qualitative Performance Using the Balanced Scorecard</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_Toc227000463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12</w:t>
                </w:r>
                <w:r w:rsidRPr="00565731">
                  <w:rPr>
                    <w:rStyle w:val="Hyperlink"/>
                    <w:rFonts w:asciiTheme="minorHAnsi" w:hAnsiTheme="minorHAnsi"/>
                    <w:noProof/>
                    <w:webHidden/>
                    <w:color w:val="auto"/>
                  </w:rPr>
                  <w:fldChar w:fldCharType="end"/>
                </w:r>
              </w:hyperlink>
            </w:p>
            <w:p w14:paraId="51E70C29" w14:textId="77777777" w:rsidR="005C510D" w:rsidRPr="00565731" w:rsidRDefault="005C510D" w:rsidP="005C510D">
              <w:pPr>
                <w:pStyle w:val="TOC3"/>
                <w:tabs>
                  <w:tab w:val="right" w:leader="dot" w:pos="9016"/>
                </w:tabs>
                <w:rPr>
                  <w:rFonts w:asciiTheme="minorHAnsi" w:hAnsiTheme="minorHAnsi"/>
                  <w:noProof/>
                </w:rPr>
              </w:pPr>
              <w:hyperlink r:id="rId20" w:anchor="_Toc227000464" w:history="1">
                <w:r w:rsidRPr="00565731">
                  <w:rPr>
                    <w:rStyle w:val="Hyperlink"/>
                    <w:rFonts w:asciiTheme="minorHAnsi" w:hAnsiTheme="minorHAnsi"/>
                    <w:noProof/>
                  </w:rPr>
                  <w:t>The Need for Business Process Reengineering</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_Toc227000464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15</w:t>
                </w:r>
                <w:r w:rsidRPr="00565731">
                  <w:rPr>
                    <w:rStyle w:val="Hyperlink"/>
                    <w:rFonts w:asciiTheme="minorHAnsi" w:hAnsiTheme="minorHAnsi"/>
                    <w:noProof/>
                    <w:webHidden/>
                    <w:color w:val="auto"/>
                  </w:rPr>
                  <w:fldChar w:fldCharType="end"/>
                </w:r>
              </w:hyperlink>
            </w:p>
            <w:p w14:paraId="27CA7509"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hyperlink r:id="rId21" w:anchor="_Toc227000465" w:history="1">
                <w:r w:rsidRPr="00565731">
                  <w:rPr>
                    <w:rStyle w:val="Hyperlink"/>
                    <w:rFonts w:asciiTheme="minorHAnsi" w:hAnsiTheme="minorHAnsi"/>
                    <w:noProof/>
                  </w:rPr>
                  <w:t>Conclusion</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_Toc227000465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18</w:t>
                </w:r>
                <w:r w:rsidRPr="00565731">
                  <w:rPr>
                    <w:rStyle w:val="Hyperlink"/>
                    <w:rFonts w:asciiTheme="minorHAnsi" w:hAnsiTheme="minorHAnsi"/>
                    <w:noProof/>
                    <w:webHidden/>
                    <w:color w:val="auto"/>
                  </w:rPr>
                  <w:fldChar w:fldCharType="end"/>
                </w:r>
              </w:hyperlink>
            </w:p>
            <w:p w14:paraId="1CF8A294"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hyperlink r:id="rId22" w:anchor="_Toc227000466" w:history="1">
                <w:r w:rsidRPr="00565731">
                  <w:rPr>
                    <w:rStyle w:val="Hyperlink"/>
                    <w:rFonts w:asciiTheme="minorHAnsi" w:hAnsiTheme="minorHAnsi"/>
                    <w:noProof/>
                  </w:rPr>
                  <w:t>Bibliography</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_Toc227000466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19</w:t>
                </w:r>
                <w:r w:rsidRPr="00565731">
                  <w:rPr>
                    <w:rStyle w:val="Hyperlink"/>
                    <w:rFonts w:asciiTheme="minorHAnsi" w:hAnsiTheme="minorHAnsi"/>
                    <w:noProof/>
                    <w:webHidden/>
                    <w:color w:val="auto"/>
                  </w:rPr>
                  <w:fldChar w:fldCharType="end"/>
                </w:r>
              </w:hyperlink>
            </w:p>
            <w:p w14:paraId="0981C61C" w14:textId="77777777" w:rsidR="005C510D" w:rsidRPr="00565731" w:rsidRDefault="005C510D" w:rsidP="005C510D">
              <w:pPr>
                <w:pStyle w:val="TOC1"/>
                <w:tabs>
                  <w:tab w:val="right" w:leader="dot" w:pos="9016"/>
                </w:tabs>
                <w:rPr>
                  <w:rFonts w:asciiTheme="minorHAnsi" w:eastAsiaTheme="minorEastAsia" w:hAnsiTheme="minorHAnsi" w:cstheme="minorBidi"/>
                  <w:noProof/>
                  <w:kern w:val="2"/>
                  <w:lang w:eastAsia="en-GB"/>
                  <w14:ligatures w14:val="standardContextual"/>
                </w:rPr>
              </w:pPr>
              <w:hyperlink r:id="rId23" w:anchor="_Toc227000467" w:history="1">
                <w:r w:rsidRPr="00565731">
                  <w:rPr>
                    <w:rStyle w:val="Hyperlink"/>
                    <w:rFonts w:asciiTheme="minorHAnsi" w:hAnsiTheme="minorHAnsi"/>
                    <w:noProof/>
                  </w:rPr>
                  <w:t>Appendix</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_Toc227000467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20</w:t>
                </w:r>
                <w:r w:rsidRPr="00565731">
                  <w:rPr>
                    <w:rStyle w:val="Hyperlink"/>
                    <w:rFonts w:asciiTheme="minorHAnsi" w:hAnsiTheme="minorHAnsi"/>
                    <w:noProof/>
                    <w:webHidden/>
                    <w:color w:val="auto"/>
                  </w:rPr>
                  <w:fldChar w:fldCharType="end"/>
                </w:r>
              </w:hyperlink>
            </w:p>
            <w:p w14:paraId="5299D871" w14:textId="77777777" w:rsidR="005C510D" w:rsidRPr="00565731" w:rsidRDefault="005C510D" w:rsidP="005C510D">
              <w:pPr>
                <w:pStyle w:val="TOC2"/>
                <w:tabs>
                  <w:tab w:val="right" w:leader="dot" w:pos="9016"/>
                </w:tabs>
                <w:rPr>
                  <w:rFonts w:asciiTheme="minorHAnsi" w:eastAsiaTheme="minorEastAsia" w:hAnsiTheme="minorHAnsi" w:cstheme="minorBidi"/>
                  <w:noProof/>
                  <w:kern w:val="2"/>
                  <w:lang w:eastAsia="en-GB"/>
                  <w14:ligatures w14:val="standardContextual"/>
                </w:rPr>
              </w:pPr>
              <w:hyperlink r:id="rId24" w:anchor="_Toc227000468" w:history="1">
                <w:r w:rsidRPr="00565731">
                  <w:rPr>
                    <w:rStyle w:val="Hyperlink"/>
                    <w:rFonts w:asciiTheme="minorHAnsi" w:hAnsiTheme="minorHAnsi"/>
                    <w:noProof/>
                  </w:rPr>
                  <w:t>Appendix: A Part 1 Mitchum Fabrication plc</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_Toc227000468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20</w:t>
                </w:r>
                <w:r w:rsidRPr="00565731">
                  <w:rPr>
                    <w:rStyle w:val="Hyperlink"/>
                    <w:rFonts w:asciiTheme="minorHAnsi" w:hAnsiTheme="minorHAnsi"/>
                    <w:noProof/>
                    <w:webHidden/>
                    <w:color w:val="auto"/>
                  </w:rPr>
                  <w:fldChar w:fldCharType="end"/>
                </w:r>
              </w:hyperlink>
            </w:p>
            <w:p w14:paraId="731150B2" w14:textId="77777777" w:rsidR="005C510D" w:rsidRPr="00565731" w:rsidRDefault="005C510D" w:rsidP="005C510D">
              <w:pPr>
                <w:pStyle w:val="TOC2"/>
                <w:tabs>
                  <w:tab w:val="right" w:leader="dot" w:pos="9016"/>
                </w:tabs>
                <w:rPr>
                  <w:rFonts w:asciiTheme="minorHAnsi" w:eastAsiaTheme="minorEastAsia" w:hAnsiTheme="minorHAnsi" w:cstheme="minorBidi"/>
                  <w:noProof/>
                  <w:kern w:val="2"/>
                  <w:lang w:eastAsia="en-GB"/>
                  <w14:ligatures w14:val="standardContextual"/>
                </w:rPr>
              </w:pPr>
              <w:hyperlink r:id="rId25" w:anchor="_Toc227000469" w:history="1">
                <w:r w:rsidRPr="00565731">
                  <w:rPr>
                    <w:rStyle w:val="Hyperlink"/>
                    <w:rFonts w:asciiTheme="minorHAnsi" w:hAnsiTheme="minorHAnsi"/>
                    <w:noProof/>
                  </w:rPr>
                  <w:t>Appendix:  Part 2 Indorex Footwear Limited</w:t>
                </w:r>
                <w:r w:rsidRPr="00565731">
                  <w:rPr>
                    <w:rStyle w:val="Hyperlink"/>
                    <w:rFonts w:asciiTheme="minorHAnsi" w:hAnsiTheme="minorHAnsi"/>
                    <w:noProof/>
                    <w:webHidden/>
                    <w:color w:val="auto"/>
                  </w:rPr>
                  <w:tab/>
                </w:r>
                <w:r w:rsidRPr="00565731">
                  <w:rPr>
                    <w:rStyle w:val="Hyperlink"/>
                    <w:rFonts w:asciiTheme="minorHAnsi" w:hAnsiTheme="minorHAnsi"/>
                    <w:noProof/>
                    <w:webHidden/>
                    <w:color w:val="auto"/>
                  </w:rPr>
                  <w:fldChar w:fldCharType="begin"/>
                </w:r>
                <w:r w:rsidRPr="00565731">
                  <w:rPr>
                    <w:rStyle w:val="Hyperlink"/>
                    <w:rFonts w:asciiTheme="minorHAnsi" w:hAnsiTheme="minorHAnsi"/>
                    <w:noProof/>
                    <w:webHidden/>
                    <w:color w:val="auto"/>
                  </w:rPr>
                  <w:instrText xml:space="preserve"> PAGEREF _Toc227000469 \h </w:instrText>
                </w:r>
                <w:r w:rsidRPr="00565731">
                  <w:rPr>
                    <w:rStyle w:val="Hyperlink"/>
                    <w:rFonts w:asciiTheme="minorHAnsi" w:hAnsiTheme="minorHAnsi"/>
                    <w:noProof/>
                    <w:webHidden/>
                    <w:color w:val="auto"/>
                  </w:rPr>
                </w:r>
                <w:r w:rsidRPr="00565731">
                  <w:rPr>
                    <w:rStyle w:val="Hyperlink"/>
                    <w:rFonts w:asciiTheme="minorHAnsi" w:hAnsiTheme="minorHAnsi"/>
                    <w:noProof/>
                    <w:webHidden/>
                    <w:color w:val="auto"/>
                  </w:rPr>
                  <w:fldChar w:fldCharType="separate"/>
                </w:r>
                <w:r w:rsidRPr="00565731">
                  <w:rPr>
                    <w:rStyle w:val="Hyperlink"/>
                    <w:rFonts w:asciiTheme="minorHAnsi" w:hAnsiTheme="minorHAnsi"/>
                    <w:noProof/>
                    <w:webHidden/>
                    <w:color w:val="auto"/>
                  </w:rPr>
                  <w:t>20</w:t>
                </w:r>
                <w:r w:rsidRPr="00565731">
                  <w:rPr>
                    <w:rStyle w:val="Hyperlink"/>
                    <w:rFonts w:asciiTheme="minorHAnsi" w:hAnsiTheme="minorHAnsi"/>
                    <w:noProof/>
                    <w:webHidden/>
                    <w:color w:val="auto"/>
                  </w:rPr>
                  <w:fldChar w:fldCharType="end"/>
                </w:r>
              </w:hyperlink>
            </w:p>
            <w:p w14:paraId="7A51C135" w14:textId="77777777" w:rsidR="005C510D" w:rsidRPr="00565731" w:rsidRDefault="005C510D" w:rsidP="005C510D">
              <w:pPr>
                <w:rPr>
                  <w:rFonts w:cs="Arial"/>
                  <w:kern w:val="0"/>
                  <w14:ligatures w14:val="none"/>
                </w:rPr>
              </w:pPr>
              <w:r w:rsidRPr="00565731">
                <w:rPr>
                  <w:b/>
                  <w:bCs/>
                  <w:noProof/>
                </w:rPr>
                <w:fldChar w:fldCharType="end"/>
              </w:r>
            </w:p>
          </w:sdtContent>
        </w:sdt>
        <w:p w14:paraId="2D6E1AE5" w14:textId="77777777" w:rsidR="005C510D" w:rsidRPr="00565731" w:rsidRDefault="005C510D" w:rsidP="005C510D"/>
        <w:p w14:paraId="740A9AC8" w14:textId="77777777" w:rsidR="005C510D" w:rsidRPr="00565731" w:rsidRDefault="005C510D" w:rsidP="005C510D"/>
        <w:p w14:paraId="55E0D175" w14:textId="77777777" w:rsidR="005C510D" w:rsidRPr="00565731" w:rsidRDefault="005C510D" w:rsidP="005C510D"/>
        <w:p w14:paraId="2CD05770" w14:textId="77777777" w:rsidR="005C510D" w:rsidRDefault="005C510D" w:rsidP="005C510D"/>
        <w:p w14:paraId="4FB726AC" w14:textId="77777777" w:rsidR="005C510D" w:rsidRDefault="005C510D" w:rsidP="005C510D"/>
        <w:p w14:paraId="40537D29" w14:textId="77777777" w:rsidR="005C510D" w:rsidRDefault="005C510D" w:rsidP="005C510D"/>
        <w:p w14:paraId="5DF55E37" w14:textId="77777777" w:rsidR="005C510D" w:rsidRDefault="005C510D" w:rsidP="005C510D"/>
        <w:p w14:paraId="292C5965" w14:textId="77777777" w:rsidR="005C510D" w:rsidRDefault="005C510D" w:rsidP="005C510D">
          <w:pPr>
            <w:spacing w:line="256" w:lineRule="auto"/>
            <w:rPr>
              <w:rFonts w:eastAsiaTheme="majorEastAsia"/>
              <w:b/>
              <w:bCs/>
              <w:color w:val="0F4761" w:themeColor="accent1" w:themeShade="BF"/>
              <w:sz w:val="32"/>
              <w:szCs w:val="32"/>
            </w:rPr>
          </w:pPr>
          <w:r>
            <w:br w:type="page"/>
          </w:r>
          <w:bookmarkStart w:id="2" w:name="_Toc129339186"/>
        </w:p>
        <w:p w14:paraId="256E435F" w14:textId="77777777" w:rsidR="005C510D" w:rsidRPr="00565731" w:rsidRDefault="005C510D" w:rsidP="005C510D">
          <w:pPr>
            <w:pStyle w:val="Heading1"/>
            <w:rPr>
              <w:rFonts w:asciiTheme="minorHAnsi" w:hAnsiTheme="minorHAnsi"/>
              <w:b/>
              <w:bCs/>
              <w:sz w:val="32"/>
              <w:szCs w:val="32"/>
            </w:rPr>
          </w:pPr>
          <w:bookmarkStart w:id="3" w:name="_Toc227000455"/>
          <w:r w:rsidRPr="00565731">
            <w:rPr>
              <w:rFonts w:asciiTheme="minorHAnsi" w:hAnsiTheme="minorHAnsi"/>
            </w:rPr>
            <w:lastRenderedPageBreak/>
            <w:t>Introduction</w:t>
          </w:r>
          <w:bookmarkEnd w:id="2"/>
          <w:bookmarkEnd w:id="3"/>
          <w:r w:rsidRPr="00565731">
            <w:rPr>
              <w:rFonts w:asciiTheme="minorHAnsi" w:hAnsiTheme="minorHAnsi"/>
            </w:rPr>
            <w:t xml:space="preserve">  </w:t>
          </w:r>
        </w:p>
        <w:p w14:paraId="121B5886" w14:textId="77777777" w:rsidR="005C510D" w:rsidRDefault="005C510D" w:rsidP="005C510D">
          <w:r>
            <w:t xml:space="preserve">Performance management is a significant aspect of contemporary business (Cappelli and Tavis, 2016). It assists companies to gauge outcomes, regulate expenses, enhance choices, and ensure that managers strive for the broader objectives of the company. The end-of-year profits cannot be used by companies in the current competitive world. They are supposed to possess good planning, control, budgeting, performance review, and strategic review systems. Such systems are especially essential in cases where an organisation possesses </w:t>
          </w:r>
          <w:proofErr w:type="gramStart"/>
          <w:r>
            <w:t>a number of</w:t>
          </w:r>
          <w:proofErr w:type="gramEnd"/>
          <w:r>
            <w:t xml:space="preserve"> branches, unstable market conditions, or growth problems. This report is based on two business cases. The latter is the Mitchum Fabrication plc, which is a </w:t>
          </w:r>
          <w:proofErr w:type="spellStart"/>
          <w:r>
            <w:t>divisionalised</w:t>
          </w:r>
          <w:proofErr w:type="spellEnd"/>
          <w:r>
            <w:t xml:space="preserve"> manufacturing company, with a manufacturing/sales division and a service division. The other case is that of </w:t>
          </w:r>
          <w:proofErr w:type="spellStart"/>
          <w:r>
            <w:t>Indorex</w:t>
          </w:r>
          <w:proofErr w:type="spellEnd"/>
          <w:r>
            <w:t xml:space="preserve"> footwear limited, a medium-sized footwear firm whose performance is on a downward trend, due to external market pressure and uncertainty of future growth. Combined, the two cases indicate that performance management is not just a numbers game. It is also about leadership, </w:t>
          </w:r>
          <w:proofErr w:type="spellStart"/>
          <w:r>
            <w:t>behavior</w:t>
          </w:r>
          <w:proofErr w:type="spellEnd"/>
          <w:r>
            <w:t>, and coordination and responsiveness of a business to change in a well-organised and informed way.</w:t>
          </w:r>
        </w:p>
        <w:p w14:paraId="3E1FCB52" w14:textId="77777777" w:rsidR="005C510D" w:rsidRDefault="005C510D" w:rsidP="005C510D"/>
        <w:p w14:paraId="64C7DCEE" w14:textId="77777777" w:rsidR="005C510D" w:rsidRDefault="005C510D" w:rsidP="005C510D">
          <w:pPr>
            <w:rPr>
              <w:rFonts w:eastAsiaTheme="majorEastAsia"/>
              <w:color w:val="0F4761" w:themeColor="accent1" w:themeShade="BF"/>
              <w:sz w:val="32"/>
              <w:szCs w:val="32"/>
            </w:rPr>
          </w:pPr>
          <w:r>
            <w:br w:type="page"/>
          </w:r>
          <w:bookmarkStart w:id="4" w:name="_Toc129339187"/>
        </w:p>
        <w:p w14:paraId="627395FD" w14:textId="77777777" w:rsidR="005C510D" w:rsidRPr="00565731" w:rsidRDefault="005C510D" w:rsidP="005C510D">
          <w:pPr>
            <w:pStyle w:val="Heading1"/>
            <w:rPr>
              <w:rFonts w:asciiTheme="minorHAnsi" w:hAnsiTheme="minorHAnsi"/>
              <w:sz w:val="32"/>
              <w:szCs w:val="32"/>
            </w:rPr>
          </w:pPr>
          <w:bookmarkStart w:id="5" w:name="_Toc227000456"/>
          <w:r w:rsidRPr="00565731">
            <w:rPr>
              <w:rFonts w:asciiTheme="minorHAnsi" w:hAnsiTheme="minorHAnsi"/>
            </w:rPr>
            <w:lastRenderedPageBreak/>
            <w:t>Main Findings</w:t>
          </w:r>
          <w:bookmarkEnd w:id="4"/>
          <w:bookmarkEnd w:id="5"/>
        </w:p>
        <w:p w14:paraId="074DEA99" w14:textId="77777777" w:rsidR="005C510D" w:rsidRDefault="005C510D" w:rsidP="005C510D">
          <w:bookmarkStart w:id="6" w:name="_Toc129339188"/>
          <w:r>
            <w:t>Performance management is a process that is systematic and continuous, which is directed towards balancing the organisational goals and the work of the employees, goals, and behaviour (Cappelli and Tavis, 2016). It entails constant communication, setting and reviewing of goals, feedback, and development to enhance individual and organisational performance beyond annual reviews to regular check-ins and, in some instances, peer reviews.</w:t>
          </w:r>
        </w:p>
        <w:p w14:paraId="532DA155" w14:textId="77777777" w:rsidR="005C510D" w:rsidRDefault="005C510D" w:rsidP="005C510D">
          <w:pPr>
            <w:pStyle w:val="Heading2"/>
          </w:pPr>
        </w:p>
        <w:p w14:paraId="18932B19" w14:textId="77777777" w:rsidR="005C510D" w:rsidRPr="00565731" w:rsidRDefault="005C510D" w:rsidP="005C510D">
          <w:pPr>
            <w:pStyle w:val="Heading2"/>
            <w:rPr>
              <w:rFonts w:asciiTheme="minorHAnsi" w:hAnsiTheme="minorHAnsi"/>
            </w:rPr>
          </w:pPr>
          <w:bookmarkStart w:id="7" w:name="_Toc227000457"/>
          <w:r w:rsidRPr="00565731">
            <w:rPr>
              <w:rFonts w:asciiTheme="minorHAnsi" w:hAnsiTheme="minorHAnsi"/>
            </w:rPr>
            <w:t xml:space="preserve">Part 1 </w:t>
          </w:r>
          <w:bookmarkEnd w:id="6"/>
          <w:r w:rsidRPr="00565731">
            <w:rPr>
              <w:rFonts w:asciiTheme="minorHAnsi" w:hAnsiTheme="minorHAnsi"/>
            </w:rPr>
            <w:t>Mitchum Fabrication plc</w:t>
          </w:r>
          <w:bookmarkEnd w:id="7"/>
        </w:p>
        <w:p w14:paraId="60E9232A" w14:textId="77777777" w:rsidR="005C510D" w:rsidRDefault="005C510D" w:rsidP="005C510D">
          <w:r>
            <w:t xml:space="preserve">Mitchum Fabrication plc is a </w:t>
          </w:r>
          <w:proofErr w:type="spellStart"/>
          <w:r>
            <w:t>divisionalised</w:t>
          </w:r>
          <w:proofErr w:type="spellEnd"/>
          <w:r>
            <w:t xml:space="preserve"> company and has two major divisions, which are Manufacturing/Sales and Service. The board would like to have better coordination of these divisions and an improved way of gauging their performance. Mitchum is currently mainly using ROI; however, this is not deemed by the board to be a fair evaluation of the divisional managers. This renders Mitchum a viable case study to argue about the performance of divisions, equity in the control, and the interdependence of the performance measurements and shareholder wealth.</w:t>
          </w:r>
        </w:p>
        <w:p w14:paraId="6AF6EE3A" w14:textId="77777777" w:rsidR="005C510D" w:rsidRDefault="005C510D" w:rsidP="005C510D">
          <w:pPr>
            <w:pStyle w:val="Heading3"/>
          </w:pPr>
          <w:bookmarkStart w:id="8" w:name="_Toc227000458"/>
          <w:r>
            <w:t>Evaluating divisional performance</w:t>
          </w:r>
          <w:bookmarkEnd w:id="8"/>
        </w:p>
        <w:p w14:paraId="1E1E1D76" w14:textId="77777777" w:rsidR="005C510D" w:rsidRDefault="005C510D" w:rsidP="005C510D">
          <w:pPr>
            <w:rPr>
              <w:b/>
              <w:bCs/>
            </w:rPr>
          </w:pPr>
          <w:r>
            <w:rPr>
              <w:b/>
              <w:bCs/>
            </w:rPr>
            <w:t>Managerial performance and economic performance</w:t>
          </w:r>
        </w:p>
        <w:p w14:paraId="045CEB0C" w14:textId="77777777" w:rsidR="005C510D" w:rsidRDefault="005C510D" w:rsidP="005C510D">
          <w:r>
            <w:t xml:space="preserve">The first one is that Mitchum should not compare the performance of management and the performance of a division </w:t>
          </w:r>
          <w:proofErr w:type="gramStart"/>
          <w:r>
            <w:t>with regard to</w:t>
          </w:r>
          <w:proofErr w:type="gramEnd"/>
          <w:r>
            <w:t xml:space="preserve"> the economy (Cho and Lee, 2017). This is important because a manager can be perceived as weak whenever one has any costs, which one includes, yet one has no control on. In Mitchum, the head office expenses apportioned are £85m M/S and £1m Service. They are costs that are significant to the company, yet they might not be the most suitable to assess the manager (Drury and </w:t>
          </w:r>
          <w:proofErr w:type="spellStart"/>
          <w:r>
            <w:t>Tayles</w:t>
          </w:r>
          <w:proofErr w:type="spellEnd"/>
          <w:r>
            <w:t>, 2022). M/S is the biggest revenue collection department with sales revenue amounting to £800m and operating profit amounting to £361m. Service is much smaller with a revenue of £15m and an operating profit of £4m. But the warranty promise, a part of Mitchum's reputation for quality and customer care, is also backed up by the Service division. So, service must not be rated by its minor accounting earnings. It also elicits strategic value to the whole company.</w:t>
          </w:r>
        </w:p>
        <w:p w14:paraId="7BB1E128" w14:textId="77777777" w:rsidR="005C510D" w:rsidRDefault="005C510D" w:rsidP="005C510D"/>
        <w:p w14:paraId="7217A567" w14:textId="77777777" w:rsidR="005C510D" w:rsidRDefault="005C510D" w:rsidP="005C510D">
          <w:pPr>
            <w:rPr>
              <w:b/>
              <w:bCs/>
            </w:rPr>
          </w:pPr>
          <w:r>
            <w:rPr>
              <w:b/>
              <w:bCs/>
            </w:rPr>
            <w:t>ROI and residual income</w:t>
          </w:r>
        </w:p>
        <w:p w14:paraId="10315396" w14:textId="77777777" w:rsidR="005C510D" w:rsidRDefault="005C510D" w:rsidP="005C510D">
          <w:r>
            <w:t xml:space="preserve">The current leading relative measure by the board is ROI. It can be used because it gets profit and matches it with the amount of capital employed and can be applied to compare divisions. According to the statistics of the case, M/S has an ROI of 27.94%, </w:t>
          </w:r>
          <w:r>
            <w:lastRenderedPageBreak/>
            <w:t xml:space="preserve">and Service has an ROI of 10.81% </w:t>
          </w:r>
          <w:r>
            <w:rPr>
              <w:i/>
              <w:iCs/>
            </w:rPr>
            <w:t>(See Appendix A1).</w:t>
          </w:r>
          <w:r>
            <w:t xml:space="preserve"> This renders M/S seeming to be much stronger than Service on the surface. This is right in the sense in which M/S certainly makes a higher profit on the invested capital in it. ROI has a weakness, however. It can result in poor decision-making as managers strive to cushion their present average pay-off instead of taking all projects that give a higher pay-off to the company. </w:t>
          </w:r>
        </w:p>
        <w:p w14:paraId="4F605C03" w14:textId="77777777" w:rsidR="005C510D" w:rsidRDefault="005C510D" w:rsidP="005C510D">
          <w:r>
            <w:t xml:space="preserve">A manager will view a good project as a rejectable one as it will decrease the divisional ROI, yet it will raise shareholder wealth (Drury and </w:t>
          </w:r>
          <w:proofErr w:type="spellStart"/>
          <w:r>
            <w:t>Tayles</w:t>
          </w:r>
          <w:proofErr w:type="spellEnd"/>
          <w:r>
            <w:t xml:space="preserve">, 2022). This does not imply that ROI is not helpful, and it must not be the sole measure. The rest of the income will be a more well-balanced picture. RI minimizes a portion of the dysfunctional </w:t>
          </w:r>
          <w:proofErr w:type="spellStart"/>
          <w:r>
            <w:t>behavior</w:t>
          </w:r>
          <w:proofErr w:type="spellEnd"/>
          <w:r>
            <w:t xml:space="preserve"> produced by ROI since it subtracts a charge on capital from profit. M/S has RI of £257.64m and has a cost of capital of 8% and Service has RI of £1.04m and has a cost of capital of 8% </w:t>
          </w:r>
          <w:r>
            <w:rPr>
              <w:i/>
              <w:iCs/>
            </w:rPr>
            <w:t>(See Appendix A1</w:t>
          </w:r>
          <w:r>
            <w:t xml:space="preserve">). This is important in that it shows that the two divisions still achieve a higher surplus than their capital charge. So even though Service appears weak </w:t>
          </w:r>
          <w:proofErr w:type="gramStart"/>
          <w:r>
            <w:t>in regard to</w:t>
          </w:r>
          <w:proofErr w:type="gramEnd"/>
          <w:r>
            <w:t xml:space="preserve"> direct profit and ROI, it creates a positive surplus </w:t>
          </w:r>
          <w:proofErr w:type="gramStart"/>
          <w:r>
            <w:t>on the basis of</w:t>
          </w:r>
          <w:proofErr w:type="gramEnd"/>
          <w:r>
            <w:t xml:space="preserve"> residual income. </w:t>
          </w:r>
        </w:p>
        <w:p w14:paraId="3EB6B39C" w14:textId="77777777" w:rsidR="005C510D" w:rsidRDefault="005C510D" w:rsidP="005C510D"/>
        <w:p w14:paraId="02153D52" w14:textId="77777777" w:rsidR="005C510D" w:rsidRDefault="005C510D" w:rsidP="005C510D">
          <w:pPr>
            <w:rPr>
              <w:b/>
              <w:bCs/>
            </w:rPr>
          </w:pPr>
          <w:r>
            <w:rPr>
              <w:b/>
              <w:bCs/>
            </w:rPr>
            <w:t>End of judgment of Economic value added.</w:t>
          </w:r>
        </w:p>
        <w:p w14:paraId="03DE1782" w14:textId="77777777" w:rsidR="005C510D" w:rsidRDefault="005C510D" w:rsidP="005C510D">
          <w:r>
            <w:t xml:space="preserve">Economic value added is a more shareholder-friendly measure (Sabol and </w:t>
          </w:r>
          <w:proofErr w:type="spellStart"/>
          <w:r>
            <w:t>Sverer</w:t>
          </w:r>
          <w:proofErr w:type="spellEnd"/>
          <w:r>
            <w:t xml:space="preserve">, 2017). EVA adjusted to divisional profit, including or excluding accounting changes and including less the capital charge on divisional assets (Drury and </w:t>
          </w:r>
          <w:proofErr w:type="spellStart"/>
          <w:r>
            <w:t>Tayles</w:t>
          </w:r>
          <w:proofErr w:type="spellEnd"/>
          <w:r>
            <w:t xml:space="preserve">, 2025). They also write that EVA is associated with RI, except that it has a greater focus on shareholder value. Using a plain variant, which is based on operating profit after tax, M/S yields EVA of about £149.34m as compared to Service of about negative £0.16m. This means that M/S enjoys a vivid economic value creation as compared to Service, which is close to </w:t>
          </w:r>
          <w:proofErr w:type="gramStart"/>
          <w:r>
            <w:t>break-even</w:t>
          </w:r>
          <w:proofErr w:type="gramEnd"/>
          <w:r>
            <w:t xml:space="preserve"> after tax and capital expenditure (Merchant and Van Der Stede, 2007). Nevertheless, EVA is to be applied with caution. Mitchum offers depreciation and other non-cash </w:t>
          </w:r>
          <w:proofErr w:type="gramStart"/>
          <w:r>
            <w:t>expenses, but</w:t>
          </w:r>
          <w:proofErr w:type="gramEnd"/>
          <w:r>
            <w:t xml:space="preserve"> lacks the detail necessary to create a complete adjusted EVA model (Sabol and </w:t>
          </w:r>
          <w:proofErr w:type="spellStart"/>
          <w:r>
            <w:t>Sverer</w:t>
          </w:r>
          <w:proofErr w:type="spellEnd"/>
          <w:r>
            <w:t xml:space="preserve">, 2017). Therefore, EVA outcome can be used as a </w:t>
          </w:r>
          <w:proofErr w:type="gramStart"/>
          <w:r>
            <w:t>guideline</w:t>
          </w:r>
          <w:proofErr w:type="gramEnd"/>
          <w:r>
            <w:t xml:space="preserve"> but it is not a perfect solution.</w:t>
          </w:r>
        </w:p>
        <w:p w14:paraId="7A3889DA" w14:textId="77777777" w:rsidR="005C510D" w:rsidRDefault="005C510D" w:rsidP="005C510D"/>
        <w:p w14:paraId="660D66CC" w14:textId="77777777" w:rsidR="005C510D" w:rsidRDefault="005C510D" w:rsidP="005C510D">
          <w:pPr>
            <w:pStyle w:val="Heading3"/>
          </w:pPr>
          <w:bookmarkStart w:id="9" w:name="_Toc227000459"/>
          <w:r>
            <w:t>Transfer pricing between M/S and Service</w:t>
          </w:r>
          <w:bookmarkEnd w:id="9"/>
        </w:p>
        <w:p w14:paraId="2B2D7F58" w14:textId="77777777" w:rsidR="005C510D" w:rsidRDefault="005C510D" w:rsidP="005C510D">
          <w:r>
            <w:t xml:space="preserve">At Mitchum, transfer pricing is significant as the two divisions are interconnected (Bhimani et al., 2019). The machines are sold under the M/S division, and the warranty promise is given to customers. The repairs are carried out by the Service division. Presently, warranty repair yields an internal recharge of £11M/S of Service/per annum. The board is considering this in case the same is being carried on or a new transfer pricing technique is adopted. The primary choices include market price and cost-plus. </w:t>
          </w:r>
          <w:r>
            <w:lastRenderedPageBreak/>
            <w:t xml:space="preserve">A good transfer pricing system should be capable of assisting the company. It must also be equitable to the two divisions (Merchant and Van Der Stede, 2007). The divisional systems should help in goal congruence. This means that managers will make decisions that will not only be profitable to their division but also to the whole business. </w:t>
          </w:r>
        </w:p>
        <w:p w14:paraId="0B7B27A4" w14:textId="77777777" w:rsidR="005C510D" w:rsidRDefault="005C510D" w:rsidP="005C510D"/>
        <w:tbl>
          <w:tblPr>
            <w:tblStyle w:val="PlainTable1"/>
            <w:tblW w:w="0" w:type="auto"/>
            <w:tblInd w:w="0" w:type="dxa"/>
            <w:tblLook w:val="04A0" w:firstRow="1" w:lastRow="0" w:firstColumn="1" w:lastColumn="0" w:noHBand="0" w:noVBand="1"/>
          </w:tblPr>
          <w:tblGrid>
            <w:gridCol w:w="3741"/>
            <w:gridCol w:w="2257"/>
            <w:gridCol w:w="1406"/>
          </w:tblGrid>
          <w:tr w:rsidR="005C510D" w14:paraId="2EF1203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AC7BCC" w14:textId="77777777" w:rsidR="005C510D" w:rsidRDefault="005C510D">
                <w:r>
                  <w:t>Item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1603F3" w14:textId="77777777" w:rsidR="005C510D" w:rsidRDefault="005C510D">
                <w:pPr>
                  <w:cnfStyle w:val="100000000000" w:firstRow="1" w:lastRow="0" w:firstColumn="0" w:lastColumn="0" w:oddVBand="0" w:evenVBand="0" w:oddHBand="0" w:evenHBand="0" w:firstRowFirstColumn="0" w:firstRowLastColumn="0" w:lastRowFirstColumn="0" w:lastRowLastColumn="0"/>
                </w:pPr>
                <w:r>
                  <w:t>Calculation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A235A8" w14:textId="77777777" w:rsidR="005C510D" w:rsidRDefault="005C510D">
                <w:pPr>
                  <w:cnfStyle w:val="100000000000" w:firstRow="1" w:lastRow="0" w:firstColumn="0" w:lastColumn="0" w:oddVBand="0" w:evenVBand="0" w:oddHBand="0" w:evenHBand="0" w:firstRowFirstColumn="0" w:firstRowLastColumn="0" w:lastRowFirstColumn="0" w:lastRowLastColumn="0"/>
                </w:pPr>
                <w:r>
                  <w:t>Result</w:t>
                </w:r>
              </w:p>
            </w:tc>
          </w:tr>
          <w:tr w:rsidR="005C510D" w14:paraId="283DAAA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6E6C18" w14:textId="77777777" w:rsidR="005C510D" w:rsidRDefault="005C510D">
                <w:r>
                  <w:t>Units sold per year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35CDCD" w14:textId="77777777" w:rsidR="005C510D" w:rsidRDefault="005C510D">
                <w:pPr>
                  <w:cnfStyle w:val="000000100000" w:firstRow="0" w:lastRow="0" w:firstColumn="0" w:lastColumn="0" w:oddVBand="0" w:evenVBand="0" w:oddHBand="1"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251FB2" w14:textId="77777777" w:rsidR="005C510D" w:rsidRDefault="005C510D">
                <w:pPr>
                  <w:cnfStyle w:val="000000100000" w:firstRow="0" w:lastRow="0" w:firstColumn="0" w:lastColumn="0" w:oddVBand="0" w:evenVBand="0" w:oddHBand="1" w:evenHBand="0" w:firstRowFirstColumn="0" w:firstRowLastColumn="0" w:lastRowFirstColumn="0" w:lastRowLastColumn="0"/>
                </w:pPr>
                <w:r>
                  <w:t>680,000</w:t>
                </w:r>
              </w:p>
            </w:tc>
          </w:tr>
          <w:tr w:rsidR="005C510D" w14:paraId="349E1BFD"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C7E0D1" w14:textId="77777777" w:rsidR="005C510D" w:rsidRDefault="005C510D">
                <w:r>
                  <w:t>% needing warranty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089534"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50DF95" w14:textId="77777777" w:rsidR="005C510D" w:rsidRDefault="005C510D">
                <w:pPr>
                  <w:cnfStyle w:val="000000000000" w:firstRow="0" w:lastRow="0" w:firstColumn="0" w:lastColumn="0" w:oddVBand="0" w:evenVBand="0" w:oddHBand="0" w:evenHBand="0" w:firstRowFirstColumn="0" w:firstRowLastColumn="0" w:lastRowFirstColumn="0" w:lastRowLastColumn="0"/>
                </w:pPr>
                <w:r>
                  <w:t>7%</w:t>
                </w:r>
              </w:p>
            </w:tc>
          </w:tr>
          <w:tr w:rsidR="005C510D" w14:paraId="564281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A48FFA" w14:textId="77777777" w:rsidR="005C510D" w:rsidRDefault="005C510D">
                <w:r>
                  <w:t>Number of warranty repairs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344635" w14:textId="77777777" w:rsidR="005C510D" w:rsidRDefault="005C510D">
                <w:pPr>
                  <w:cnfStyle w:val="000000100000" w:firstRow="0" w:lastRow="0" w:firstColumn="0" w:lastColumn="0" w:oddVBand="0" w:evenVBand="0" w:oddHBand="1" w:evenHBand="0" w:firstRowFirstColumn="0" w:firstRowLastColumn="0" w:lastRowFirstColumn="0" w:lastRowLastColumn="0"/>
                </w:pPr>
                <w:r>
                  <w:t>680,000 × 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7637AB" w14:textId="77777777" w:rsidR="005C510D" w:rsidRDefault="005C510D">
                <w:pPr>
                  <w:cnfStyle w:val="000000100000" w:firstRow="0" w:lastRow="0" w:firstColumn="0" w:lastColumn="0" w:oddVBand="0" w:evenVBand="0" w:oddHBand="1" w:evenHBand="0" w:firstRowFirstColumn="0" w:firstRowLastColumn="0" w:lastRowFirstColumn="0" w:lastRowLastColumn="0"/>
                </w:pPr>
                <w:r>
                  <w:t>47,600</w:t>
                </w:r>
              </w:p>
            </w:tc>
          </w:tr>
          <w:tr w:rsidR="005C510D" w14:paraId="67757900"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7C3CCB" w14:textId="77777777" w:rsidR="005C510D" w:rsidRDefault="005C510D">
                <w:r>
                  <w:t>Labour cost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352537" w14:textId="77777777" w:rsidR="005C510D" w:rsidRDefault="005C510D">
                <w:pPr>
                  <w:cnfStyle w:val="000000000000" w:firstRow="0" w:lastRow="0" w:firstColumn="0" w:lastColumn="0" w:oddVBand="0" w:evenVBand="0" w:oddHBand="0" w:evenHBand="0" w:firstRowFirstColumn="0" w:firstRowLastColumn="0" w:lastRowFirstColumn="0" w:lastRowLastColumn="0"/>
                </w:pPr>
                <w:r>
                  <w:t>4 × £21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E19749" w14:textId="77777777" w:rsidR="005C510D" w:rsidRDefault="005C510D">
                <w:pPr>
                  <w:cnfStyle w:val="000000000000" w:firstRow="0" w:lastRow="0" w:firstColumn="0" w:lastColumn="0" w:oddVBand="0" w:evenVBand="0" w:oddHBand="0" w:evenHBand="0" w:firstRowFirstColumn="0" w:firstRowLastColumn="0" w:lastRowFirstColumn="0" w:lastRowLastColumn="0"/>
                </w:pPr>
                <w:r>
                  <w:t>£84</w:t>
                </w:r>
              </w:p>
            </w:tc>
          </w:tr>
          <w:tr w:rsidR="005C510D" w14:paraId="127648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AFD8A8" w14:textId="77777777" w:rsidR="005C510D" w:rsidRDefault="005C510D">
                <w:r>
                  <w:t>Variable overhead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176ED7" w14:textId="77777777" w:rsidR="005C510D" w:rsidRDefault="005C510D">
                <w:pPr>
                  <w:cnfStyle w:val="000000100000" w:firstRow="0" w:lastRow="0" w:firstColumn="0" w:lastColumn="0" w:oddVBand="0" w:evenVBand="0" w:oddHBand="1" w:evenHBand="0" w:firstRowFirstColumn="0" w:firstRowLastColumn="0" w:lastRowFirstColumn="0" w:lastRowLastColumn="0"/>
                </w:pPr>
                <w:r>
                  <w:t>4 × £11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03DE5C" w14:textId="77777777" w:rsidR="005C510D" w:rsidRDefault="005C510D">
                <w:pPr>
                  <w:cnfStyle w:val="000000100000" w:firstRow="0" w:lastRow="0" w:firstColumn="0" w:lastColumn="0" w:oddVBand="0" w:evenVBand="0" w:oddHBand="1" w:evenHBand="0" w:firstRowFirstColumn="0" w:firstRowLastColumn="0" w:lastRowFirstColumn="0" w:lastRowLastColumn="0"/>
                </w:pPr>
                <w:r>
                  <w:t>£44</w:t>
                </w:r>
              </w:p>
            </w:tc>
          </w:tr>
          <w:tr w:rsidR="005C510D" w14:paraId="0CB5FAF9"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C2E290" w14:textId="77777777" w:rsidR="005C510D" w:rsidRDefault="005C510D">
                <w:r>
                  <w:t>Fixed overhead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7A92CA" w14:textId="77777777" w:rsidR="005C510D" w:rsidRDefault="005C510D">
                <w:pPr>
                  <w:cnfStyle w:val="000000000000" w:firstRow="0" w:lastRow="0" w:firstColumn="0" w:lastColumn="0" w:oddVBand="0" w:evenVBand="0" w:oddHBand="0" w:evenHBand="0" w:firstRowFirstColumn="0" w:firstRowLastColumn="0" w:lastRowFirstColumn="0" w:lastRowLastColumn="0"/>
                </w:pPr>
                <w:r>
                  <w:t>4 × £23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5E3F79" w14:textId="77777777" w:rsidR="005C510D" w:rsidRDefault="005C510D">
                <w:pPr>
                  <w:cnfStyle w:val="000000000000" w:firstRow="0" w:lastRow="0" w:firstColumn="0" w:lastColumn="0" w:oddVBand="0" w:evenVBand="0" w:oddHBand="0" w:evenHBand="0" w:firstRowFirstColumn="0" w:firstRowLastColumn="0" w:lastRowFirstColumn="0" w:lastRowLastColumn="0"/>
                </w:pPr>
                <w:r>
                  <w:t>£92</w:t>
                </w:r>
              </w:p>
            </w:tc>
          </w:tr>
          <w:tr w:rsidR="005C510D" w14:paraId="4C7BEA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69D93B" w14:textId="77777777" w:rsidR="005C510D" w:rsidRDefault="005C510D">
                <w:r>
                  <w:t>Parts cost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BF7DCE" w14:textId="77777777" w:rsidR="005C510D" w:rsidRDefault="005C510D">
                <w:pPr>
                  <w:cnfStyle w:val="000000100000" w:firstRow="0" w:lastRow="0" w:firstColumn="0" w:lastColumn="0" w:oddVBand="0" w:evenVBand="0" w:oddHBand="1"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4A2BB8" w14:textId="77777777" w:rsidR="005C510D" w:rsidRDefault="005C510D">
                <w:pPr>
                  <w:cnfStyle w:val="000000100000" w:firstRow="0" w:lastRow="0" w:firstColumn="0" w:lastColumn="0" w:oddVBand="0" w:evenVBand="0" w:oddHBand="1" w:evenHBand="0" w:firstRowFirstColumn="0" w:firstRowLastColumn="0" w:lastRowFirstColumn="0" w:lastRowLastColumn="0"/>
                </w:pPr>
                <w:r>
                  <w:t>£98</w:t>
                </w:r>
              </w:p>
            </w:tc>
          </w:tr>
          <w:tr w:rsidR="005C510D" w14:paraId="1CD533A1"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D4240E" w14:textId="77777777" w:rsidR="005C510D" w:rsidRDefault="005C510D">
                <w:r>
                  <w:t>Total internal cost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780727" w14:textId="77777777" w:rsidR="005C510D" w:rsidRDefault="005C510D">
                <w:pPr>
                  <w:cnfStyle w:val="000000000000" w:firstRow="0" w:lastRow="0" w:firstColumn="0" w:lastColumn="0" w:oddVBand="0" w:evenVBand="0" w:oddHBand="0" w:evenHBand="0" w:firstRowFirstColumn="0" w:firstRowLastColumn="0" w:lastRowFirstColumn="0" w:lastRowLastColumn="0"/>
                </w:pPr>
                <w:r>
                  <w:t>£84 + £44 + £92 + £98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B72361" w14:textId="77777777" w:rsidR="005C510D" w:rsidRDefault="005C510D">
                <w:pPr>
                  <w:cnfStyle w:val="000000000000" w:firstRow="0" w:lastRow="0" w:firstColumn="0" w:lastColumn="0" w:oddVBand="0" w:evenVBand="0" w:oddHBand="0" w:evenHBand="0" w:firstRowFirstColumn="0" w:firstRowLastColumn="0" w:lastRowFirstColumn="0" w:lastRowLastColumn="0"/>
                </w:pPr>
                <w:r>
                  <w:rPr>
                    <w:b/>
                    <w:bCs/>
                  </w:rPr>
                  <w:t>£318</w:t>
                </w:r>
              </w:p>
            </w:tc>
          </w:tr>
          <w:tr w:rsidR="005C510D" w14:paraId="688B85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2A76D7" w14:textId="77777777" w:rsidR="005C510D" w:rsidRDefault="005C510D">
                <w:r>
                  <w:t>Total internal cost of warranty work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1DD74C" w14:textId="77777777" w:rsidR="005C510D" w:rsidRDefault="005C510D">
                <w:pPr>
                  <w:cnfStyle w:val="000000100000" w:firstRow="0" w:lastRow="0" w:firstColumn="0" w:lastColumn="0" w:oddVBand="0" w:evenVBand="0" w:oddHBand="1" w:evenHBand="0" w:firstRowFirstColumn="0" w:firstRowLastColumn="0" w:lastRowFirstColumn="0" w:lastRowLastColumn="0"/>
                </w:pPr>
                <w:r>
                  <w:t>47,600 × £318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D93323" w14:textId="77777777" w:rsidR="005C510D" w:rsidRDefault="005C510D">
                <w:pPr>
                  <w:cnfStyle w:val="000000100000" w:firstRow="0" w:lastRow="0" w:firstColumn="0" w:lastColumn="0" w:oddVBand="0" w:evenVBand="0" w:oddHBand="1" w:evenHBand="0" w:firstRowFirstColumn="0" w:firstRowLastColumn="0" w:lastRowFirstColumn="0" w:lastRowLastColumn="0"/>
                </w:pPr>
                <w:r>
                  <w:rPr>
                    <w:b/>
                    <w:bCs/>
                  </w:rPr>
                  <w:t>£15,136,800</w:t>
                </w:r>
              </w:p>
            </w:tc>
          </w:tr>
          <w:tr w:rsidR="005C510D" w14:paraId="4EC32410"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9AE89E" w14:textId="77777777" w:rsidR="005C510D" w:rsidRDefault="005C510D">
                <w:r>
                  <w:t>Current internal recharge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DAC8DF"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58D3D3" w14:textId="77777777" w:rsidR="005C510D" w:rsidRDefault="005C510D">
                <w:pPr>
                  <w:cnfStyle w:val="000000000000" w:firstRow="0" w:lastRow="0" w:firstColumn="0" w:lastColumn="0" w:oddVBand="0" w:evenVBand="0" w:oddHBand="0" w:evenHBand="0" w:firstRowFirstColumn="0" w:firstRowLastColumn="0" w:lastRowFirstColumn="0" w:lastRowLastColumn="0"/>
                </w:pPr>
                <w:r>
                  <w:t>£11,000,000</w:t>
                </w:r>
              </w:p>
            </w:tc>
          </w:tr>
          <w:tr w:rsidR="005C510D" w14:paraId="026008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4B4E8F" w14:textId="77777777" w:rsidR="005C510D" w:rsidRDefault="005C510D">
                <w:r>
                  <w:t>Current recharge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18822" w14:textId="77777777" w:rsidR="005C510D" w:rsidRDefault="005C510D">
                <w:pPr>
                  <w:cnfStyle w:val="000000100000" w:firstRow="0" w:lastRow="0" w:firstColumn="0" w:lastColumn="0" w:oddVBand="0" w:evenVBand="0" w:oddHBand="1" w:evenHBand="0" w:firstRowFirstColumn="0" w:firstRowLastColumn="0" w:lastRowFirstColumn="0" w:lastRowLastColumn="0"/>
                </w:pPr>
                <w:r>
                  <w:t>£11,000,000 ÷ 47,600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A0656D" w14:textId="77777777" w:rsidR="005C510D" w:rsidRDefault="005C510D">
                <w:pPr>
                  <w:cnfStyle w:val="000000100000" w:firstRow="0" w:lastRow="0" w:firstColumn="0" w:lastColumn="0" w:oddVBand="0" w:evenVBand="0" w:oddHBand="1" w:evenHBand="0" w:firstRowFirstColumn="0" w:firstRowLastColumn="0" w:lastRowFirstColumn="0" w:lastRowLastColumn="0"/>
                </w:pPr>
                <w:r>
                  <w:t>£231.09</w:t>
                </w:r>
              </w:p>
            </w:tc>
          </w:tr>
          <w:tr w:rsidR="005C510D" w14:paraId="29A4445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2575E4" w14:textId="77777777" w:rsidR="005C510D" w:rsidRDefault="005C510D">
                <w:r>
                  <w:t>External market price per repair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288EBC"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F8AA26" w14:textId="77777777" w:rsidR="005C510D" w:rsidRDefault="005C510D">
                <w:pPr>
                  <w:cnfStyle w:val="000000000000" w:firstRow="0" w:lastRow="0" w:firstColumn="0" w:lastColumn="0" w:oddVBand="0" w:evenVBand="0" w:oddHBand="0" w:evenHBand="0" w:firstRowFirstColumn="0" w:firstRowLastColumn="0" w:lastRowFirstColumn="0" w:lastRowLastColumn="0"/>
                </w:pPr>
                <w:r>
                  <w:t>£1,900</w:t>
                </w:r>
              </w:p>
            </w:tc>
          </w:tr>
          <w:tr w:rsidR="005C510D" w14:paraId="03ECC3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DF14A7" w14:textId="77777777" w:rsidR="005C510D" w:rsidRDefault="005C510D">
                <w:r>
                  <w:t>Total outsourcing cost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2809FC" w14:textId="77777777" w:rsidR="005C510D" w:rsidRDefault="005C510D">
                <w:pPr>
                  <w:cnfStyle w:val="000000100000" w:firstRow="0" w:lastRow="0" w:firstColumn="0" w:lastColumn="0" w:oddVBand="0" w:evenVBand="0" w:oddHBand="1" w:evenHBand="0" w:firstRowFirstColumn="0" w:firstRowLastColumn="0" w:lastRowFirstColumn="0" w:lastRowLastColumn="0"/>
                </w:pPr>
                <w:r>
                  <w:t>47,600 × £1,900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13CEAF" w14:textId="77777777" w:rsidR="005C510D" w:rsidRDefault="005C510D">
                <w:pPr>
                  <w:cnfStyle w:val="000000100000" w:firstRow="0" w:lastRow="0" w:firstColumn="0" w:lastColumn="0" w:oddVBand="0" w:evenVBand="0" w:oddHBand="1" w:evenHBand="0" w:firstRowFirstColumn="0" w:firstRowLastColumn="0" w:lastRowFirstColumn="0" w:lastRowLastColumn="0"/>
                </w:pPr>
                <w:r>
                  <w:rPr>
                    <w:b/>
                    <w:bCs/>
                  </w:rPr>
                  <w:t>£90,440,000</w:t>
                </w:r>
              </w:p>
            </w:tc>
          </w:tr>
        </w:tbl>
        <w:p w14:paraId="2D1A9A5D" w14:textId="77777777" w:rsidR="005C510D" w:rsidRDefault="005C510D" w:rsidP="005C510D">
          <w:pPr>
            <w:rPr>
              <w:rFonts w:ascii="Arial" w:hAnsi="Arial" w:cs="Arial"/>
            </w:rPr>
          </w:pPr>
        </w:p>
        <w:p w14:paraId="70A09A34" w14:textId="77777777" w:rsidR="005C510D" w:rsidRDefault="005C510D" w:rsidP="005C510D">
          <w:r>
            <w:t xml:space="preserve">The market price approach determines the warranty repair transfer price to be at a high rate of £1,900 per repair, which is far higher than the cost-plus calculated transfer price of £381.60 per repair. This can cause inefficiency in the Service division since it may not be motivated to improve its efficiency internally when the price at which it is operating is excessively high (Bhimani et al., 2019). It also minimises internal coordination as the divisions would be externalizing their purchasing and repair at an external </w:t>
          </w:r>
          <w:proofErr w:type="gramStart"/>
          <w:r>
            <w:t>cost, and</w:t>
          </w:r>
          <w:proofErr w:type="gramEnd"/>
          <w:r>
            <w:t xml:space="preserve"> may not encourage the Service division to make full use of its own repair capability (Drozd et al., 2026). The cost-plus approach is more suitable for Mitchum because it involves its internal costs and the need to have equitable prices within departments. The cost-plus transfer price calculated is going to be £381.60 per repair, an actual internal cost of offering warranty repairs with a healthy profit margin to the M/S division. The impact of this system will probably be increased collaboration among divisions and an incentive for the Service division to work towards lowering internal expenditures (Bouwens and Steens, 2016).</w:t>
          </w:r>
        </w:p>
        <w:p w14:paraId="5C48B47A" w14:textId="77777777" w:rsidR="005C510D" w:rsidRDefault="005C510D" w:rsidP="005C510D">
          <w:r>
            <w:t xml:space="preserve">Mitchum ought to apply a cost-plus transfer price instead of a market price. The current recharge of £11 million seems to be undercharged when the actual cost is considered, and hence, the board ought to consider it. The transfer price would be fairer with a revised cost-based price, would enhance better performance assessment of the divisions, and would serve the overall goals of the company better (Horngren et al/, 2006). The cost-plus method is the best option since it captures the actual cost in the internal operations, is easy to implement, and stimulates collaboration and cost </w:t>
          </w:r>
          <w:r>
            <w:lastRenderedPageBreak/>
            <w:t>containment among the divisions (Heinrich, 2014). Only in the case where the external price of repairs is more competitive than the internal cost, the market price method would be adopted. But in case Mitchum still wants to keep the internal ability to do warranty repairs, it would be preferable to use the cost-plus model to ensure both equity and efficiency throughout the divisions.</w:t>
          </w:r>
        </w:p>
        <w:p w14:paraId="6C408243" w14:textId="77777777" w:rsidR="005C510D" w:rsidRDefault="005C510D" w:rsidP="005C510D"/>
        <w:p w14:paraId="01D22B4C" w14:textId="77777777" w:rsidR="005C510D" w:rsidRDefault="005C510D" w:rsidP="005C510D">
          <w:pPr>
            <w:pStyle w:val="Heading3"/>
          </w:pPr>
          <w:bookmarkStart w:id="10" w:name="_Toc227000460"/>
          <w:bookmarkStart w:id="11" w:name="_Toc129339190"/>
          <w:r>
            <w:t>Impact of the Executive Information System</w:t>
          </w:r>
          <w:bookmarkEnd w:id="10"/>
        </w:p>
        <w:p w14:paraId="76D3A5E6" w14:textId="77777777" w:rsidR="005C510D" w:rsidRDefault="005C510D" w:rsidP="005C510D">
          <w:r>
            <w:t>Mitchum has been considering adopting a new Executive Information System (EIS) that will be developed on a built-in database that will be accessible to the five sites of the company (Yin, 2015). Such a system will improve performance management, coordination, and decision-making in the company. At this stage, Mitchum has a different system in all the divisions, and as such, there is inefficiency and delay in the exchange of information in the system (</w:t>
          </w:r>
          <w:proofErr w:type="spellStart"/>
          <w:r>
            <w:t>Soegoto</w:t>
          </w:r>
          <w:proofErr w:type="spellEnd"/>
          <w:r>
            <w:t xml:space="preserve"> and </w:t>
          </w:r>
          <w:proofErr w:type="spellStart"/>
          <w:r>
            <w:t>Luckyardi</w:t>
          </w:r>
          <w:proofErr w:type="spellEnd"/>
          <w:r>
            <w:t>, 2018).</w:t>
          </w:r>
        </w:p>
        <w:p w14:paraId="3090579A" w14:textId="77777777" w:rsidR="005C510D" w:rsidRDefault="005C510D" w:rsidP="005C510D"/>
        <w:p w14:paraId="2C7D80D8" w14:textId="77777777" w:rsidR="005C510D" w:rsidRDefault="005C510D" w:rsidP="005C510D">
          <w:pPr>
            <w:rPr>
              <w:b/>
              <w:bCs/>
            </w:rPr>
          </w:pPr>
          <w:r>
            <w:rPr>
              <w:b/>
              <w:bCs/>
            </w:rPr>
            <w:t>Benefits of the Executive Information System</w:t>
          </w:r>
        </w:p>
        <w:p w14:paraId="65C4A666" w14:textId="77777777" w:rsidR="005C510D" w:rsidRDefault="005C510D" w:rsidP="005C510D">
          <w:r>
            <w:t>Enhanced decision-making is one of the benefits of an EIS (Chang et al., 2023). Real-time data would give the managers in different departments up-to-date and accurate information and enable them to make better decisions. To illustrate, in case of delay in production or a change in the customer demand, the managers would have the required information to make changes to operations in a very short time needed to prevent bigger problems (Hadid and Al-Sayed, 2021). The EIS would also come in handy in improving the level of coordination between the M/S and Service divisions. At this stage, the two divisions use different systems that can result in delays and miscommunication (Kareem et al., 2021). The benefit of having it integrated is that the two divisions would access the same information, and this would mean that there would be minimal communication and more alignment of goals. This would minimize the possibility of errors and maximize efficiency in operations. Furthermore, the EIS would allow allocating resources better (</w:t>
          </w:r>
          <w:proofErr w:type="spellStart"/>
          <w:r>
            <w:t>Ţole</w:t>
          </w:r>
          <w:proofErr w:type="spellEnd"/>
          <w:r>
            <w:t xml:space="preserve">, 2016). Through the tracking of inventory, staff, and other resources, Mitchum can make sure that resources are utilized well and unnecessary costs are minimised. </w:t>
          </w:r>
        </w:p>
        <w:p w14:paraId="44307F48" w14:textId="77777777" w:rsidR="005C510D" w:rsidRDefault="005C510D" w:rsidP="005C510D"/>
        <w:p w14:paraId="138FBA09" w14:textId="77777777" w:rsidR="005C510D" w:rsidRDefault="005C510D" w:rsidP="005C510D">
          <w:pPr>
            <w:rPr>
              <w:b/>
              <w:bCs/>
            </w:rPr>
          </w:pPr>
          <w:r>
            <w:rPr>
              <w:b/>
              <w:bCs/>
            </w:rPr>
            <w:t>Risks and Limitations of the Executive Information System</w:t>
          </w:r>
        </w:p>
        <w:p w14:paraId="0BE0ACAF" w14:textId="77777777" w:rsidR="005C510D" w:rsidRDefault="005C510D" w:rsidP="005C510D">
          <w:r>
            <w:t xml:space="preserve">Although the EIS has </w:t>
          </w:r>
          <w:proofErr w:type="gramStart"/>
          <w:r>
            <w:t>a number of</w:t>
          </w:r>
          <w:proofErr w:type="gramEnd"/>
          <w:r>
            <w:t xml:space="preserve"> potential benefits, it has certain risks attached to its implementation (</w:t>
          </w:r>
          <w:proofErr w:type="spellStart"/>
          <w:r>
            <w:t>Soegoto</w:t>
          </w:r>
          <w:proofErr w:type="spellEnd"/>
          <w:r>
            <w:t xml:space="preserve"> and </w:t>
          </w:r>
          <w:proofErr w:type="spellStart"/>
          <w:r>
            <w:t>Luckyardi</w:t>
          </w:r>
          <w:proofErr w:type="spellEnd"/>
          <w:r>
            <w:t xml:space="preserve">, 2018). One of the major risks is the cost. The development and maintenance process of the new system might be costly. Mitchum would need to consider the cost of equipment, software, and training of employees so that they can use the new system (Safwan et al., 2016). These costs should be </w:t>
          </w:r>
          <w:r>
            <w:lastRenderedPageBreak/>
            <w:t>compared to the possible advantages of the increased efficiency and decision-making (Cosa and Torelli, 2024). Resistance to change is also another threat. The already used employees may be averse to the new EIS, especially when they are not trained on how to make use of it. Information overload is also a possibility. A real-time system will provide the managers with large quantities of data (Chong et al., 2018). This can easily lead to information overload, where the managers will be bombarded with information and fail to focus on the most appropriate information without a well-designed system. Mitchum should make sure that the system is customized to the needs of each division and offers only the data that is relevant (</w:t>
          </w:r>
          <w:proofErr w:type="spellStart"/>
          <w:r>
            <w:t>Ţole</w:t>
          </w:r>
          <w:proofErr w:type="spellEnd"/>
          <w:r>
            <w:t>, 2016). Finally, data quality is a concern. An EIS depends on the quality and reliability of data that is keyed into the system.</w:t>
          </w:r>
        </w:p>
        <w:p w14:paraId="454D7F01" w14:textId="77777777" w:rsidR="005C510D" w:rsidRDefault="005C510D" w:rsidP="005C510D"/>
        <w:p w14:paraId="490E2380" w14:textId="77777777" w:rsidR="005C510D" w:rsidRDefault="005C510D" w:rsidP="005C510D">
          <w:r>
            <w:t>Although it has its risks, the advantages of the EIS are more than the disadvantages. It will improve decision-making, coordination, and resource allocation, which will help the organization in its strategic goals. Mitchum ought to ensure that the system is planned well in advance and that the system has good training, data governance, and system design that will assist in mitigating the risks. When properly managed, the EIS would greatly improve the performance management and overall functioning of Mitchum.</w:t>
          </w:r>
        </w:p>
        <w:p w14:paraId="3E74D30C" w14:textId="77777777" w:rsidR="005C510D" w:rsidRDefault="005C510D" w:rsidP="005C510D">
          <w:pPr>
            <w:spacing w:line="256" w:lineRule="auto"/>
          </w:pPr>
        </w:p>
        <w:p w14:paraId="22D13C44" w14:textId="77777777" w:rsidR="005C510D" w:rsidRPr="00565731" w:rsidRDefault="005C510D" w:rsidP="005C510D">
          <w:pPr>
            <w:pStyle w:val="Heading2"/>
            <w:rPr>
              <w:rFonts w:asciiTheme="minorHAnsi" w:hAnsiTheme="minorHAnsi"/>
            </w:rPr>
          </w:pPr>
          <w:bookmarkStart w:id="12" w:name="_Toc227000461"/>
          <w:proofErr w:type="spellStart"/>
          <w:r w:rsidRPr="00565731">
            <w:rPr>
              <w:rFonts w:asciiTheme="minorHAnsi" w:hAnsiTheme="minorHAnsi"/>
            </w:rPr>
            <w:t>Indorex</w:t>
          </w:r>
          <w:proofErr w:type="spellEnd"/>
          <w:r w:rsidRPr="00565731">
            <w:rPr>
              <w:rFonts w:asciiTheme="minorHAnsi" w:hAnsiTheme="minorHAnsi"/>
            </w:rPr>
            <w:t xml:space="preserve"> Footwear Limited</w:t>
          </w:r>
          <w:bookmarkEnd w:id="12"/>
        </w:p>
        <w:p w14:paraId="5001CC6D" w14:textId="77777777" w:rsidR="005C510D" w:rsidRDefault="005C510D" w:rsidP="005C510D">
          <w:proofErr w:type="spellStart"/>
          <w:r>
            <w:t>Indorex</w:t>
          </w:r>
          <w:proofErr w:type="spellEnd"/>
          <w:r>
            <w:t xml:space="preserve"> Footwear Limited is a medium-sized shoe designer and retailer based in London, which was started by Ms. Jill Joyce in 2010. The business started as a sole proprietorship and became a limited liability company in 2014. It offers high-end quality shoes, sandals, boots, and accessories to the middle and upper-end consumers. The only employee who has a direct report is Jill Joyce. By 2025, the organization will have grown to 25 employees but faces problems regarding cost management, performance in the market, and growth strategies.</w:t>
          </w:r>
        </w:p>
        <w:p w14:paraId="700C55A0" w14:textId="77777777" w:rsidR="005C510D" w:rsidRDefault="005C510D" w:rsidP="005C510D">
          <w:pPr>
            <w:spacing w:line="256" w:lineRule="auto"/>
          </w:pPr>
        </w:p>
        <w:p w14:paraId="243DC7C6" w14:textId="77777777" w:rsidR="005C510D" w:rsidRDefault="005C510D" w:rsidP="005C510D">
          <w:pPr>
            <w:pStyle w:val="Heading3"/>
          </w:pPr>
          <w:bookmarkStart w:id="13" w:name="_Toc227000462"/>
          <w:r>
            <w:t>Growth crisis facing the brand and the company</w:t>
          </w:r>
          <w:bookmarkEnd w:id="13"/>
          <w:r>
            <w:t xml:space="preserve"> </w:t>
          </w:r>
        </w:p>
        <w:p w14:paraId="7125B917" w14:textId="77777777" w:rsidR="005C510D" w:rsidRDefault="005C510D" w:rsidP="005C510D">
          <w:r>
            <w:t xml:space="preserve">A mix of external and internal factors has been causing </w:t>
          </w:r>
          <w:proofErr w:type="spellStart"/>
          <w:r>
            <w:t>Indorex</w:t>
          </w:r>
          <w:proofErr w:type="spellEnd"/>
          <w:r>
            <w:t xml:space="preserve"> Footwear to experience a growth crisis. The company turnover has been on an upward trend until 2022, when in 2023 and 2024, it worsened. The trends in the income statement of the company are the following:</w:t>
          </w:r>
        </w:p>
        <w:p w14:paraId="4F3A901B" w14:textId="77777777" w:rsidR="005C510D" w:rsidRDefault="005C510D" w:rsidP="005C510D">
          <w:pPr>
            <w:pStyle w:val="ListParagraph"/>
            <w:numPr>
              <w:ilvl w:val="0"/>
              <w:numId w:val="1"/>
            </w:numPr>
            <w:spacing w:line="360" w:lineRule="auto"/>
            <w:jc w:val="both"/>
          </w:pPr>
          <w:r>
            <w:rPr>
              <w:b/>
              <w:bCs/>
            </w:rPr>
            <w:t>Turnover</w:t>
          </w:r>
          <w:r>
            <w:t>: £1,400,000 in 2021, £1,750,000 in 2022, and a sharp drop to £600,000 in 2024.</w:t>
          </w:r>
        </w:p>
        <w:p w14:paraId="14B73341" w14:textId="77777777" w:rsidR="005C510D" w:rsidRDefault="005C510D" w:rsidP="005C510D">
          <w:pPr>
            <w:pStyle w:val="ListParagraph"/>
            <w:numPr>
              <w:ilvl w:val="0"/>
              <w:numId w:val="1"/>
            </w:numPr>
            <w:spacing w:line="360" w:lineRule="auto"/>
            <w:jc w:val="both"/>
          </w:pPr>
          <w:r>
            <w:rPr>
              <w:b/>
              <w:bCs/>
            </w:rPr>
            <w:lastRenderedPageBreak/>
            <w:t>Gross Profit</w:t>
          </w:r>
          <w:r>
            <w:t>: £700,000 in 2021, £820,000 in 2022, but declining to £320,000 in 2024.</w:t>
          </w:r>
        </w:p>
        <w:p w14:paraId="5335F71D" w14:textId="77777777" w:rsidR="005C510D" w:rsidRDefault="005C510D" w:rsidP="005C510D">
          <w:r>
            <w:t xml:space="preserve">Such a decrease in the turnover signifies a variety of challenges, mostly external. The subsequent (Christopher, 2016) Brexit vote and the Covid-19 pandemic resulted in a decrease in the number of European customers, which impacted sales greatly, particularly in countries such as Belgium, the Netherlands, and France. The loss of the pound sterling to the euro has also deteriorated the sales of the company in Europe, which has lowered its total income (Coller et al., 2018). In 2015, as well, Uzbek cotton imports were prohibited due to human rights violations, which made </w:t>
          </w:r>
          <w:proofErr w:type="spellStart"/>
          <w:r>
            <w:t>Indorex</w:t>
          </w:r>
          <w:proofErr w:type="spellEnd"/>
          <w:r>
            <w:t xml:space="preserve"> import more expensive raw materials. This has greatly lowered the gross profit margin of the company. New suppliers of the company had to be discovered in such countries as Vietnam, Thailand, and Benin, which led to the rise of material costs. But the benefit of lower prices in Uzbekistan has been lost. </w:t>
          </w:r>
        </w:p>
        <w:p w14:paraId="5855FDB5" w14:textId="77777777" w:rsidR="005C510D" w:rsidRDefault="005C510D" w:rsidP="005C510D"/>
        <w:p w14:paraId="75F2F15A" w14:textId="77777777" w:rsidR="005C510D" w:rsidRDefault="005C510D" w:rsidP="005C510D">
          <w:pPr>
            <w:rPr>
              <w:color w:val="002060"/>
            </w:rPr>
          </w:pPr>
          <w:r>
            <w:rPr>
              <w:b/>
              <w:bCs/>
              <w:color w:val="002060"/>
              <w:u w:val="single"/>
            </w:rPr>
            <w:t>Profitability and Decreased Profit Margins</w:t>
          </w:r>
          <w:r>
            <w:rPr>
              <w:color w:val="002060"/>
            </w:rPr>
            <w:t>.</w:t>
          </w:r>
        </w:p>
        <w:p w14:paraId="0421F96B" w14:textId="77777777" w:rsidR="005C510D" w:rsidRDefault="005C510D" w:rsidP="005C510D">
          <w:r>
            <w:t xml:space="preserve">Profit before tax, </w:t>
          </w:r>
          <w:proofErr w:type="spellStart"/>
          <w:r>
            <w:t>Indorex</w:t>
          </w:r>
          <w:proofErr w:type="spellEnd"/>
          <w:r>
            <w:t xml:space="preserve"> also has a worrying trend in the profit before tax. In 2021, the company made £300,000 in profit before tax, which increased to £372,000 in 2022. However, by 2024, it had fallen to a loss of £175,000. The operating expenses of the company have also been high, and in 2024, operating expenses were 495,000, further reducing the profitability. In 2022, the cost of sales was higher, with £930,000 against £700,000 in 2021, and this reflects the high cost of raw materials. In the balance sheet of the company, the net assets of the company have decreased to £825,000 in 2024 from 2022, which, in turn, </w:t>
          </w:r>
          <w:proofErr w:type="spellStart"/>
          <w:r>
            <w:t>favors</w:t>
          </w:r>
          <w:proofErr w:type="spellEnd"/>
          <w:r>
            <w:t xml:space="preserve"> the financial pressure. The working capital also declined in 2023 to the lowest possible minimum of £45,000 in 2024, which shows that the company is experiencing problems when it comes to liquidity, which could be affecting the short-term financial obligations of the company (van den Berg et all, 2018). This loss of working capital and net assets is an indication of a possible financial crisis.</w:t>
          </w:r>
        </w:p>
        <w:p w14:paraId="266A2AC1" w14:textId="77777777" w:rsidR="005C510D" w:rsidRDefault="005C510D" w:rsidP="005C510D"/>
        <w:p w14:paraId="51F70062" w14:textId="77777777" w:rsidR="005C510D" w:rsidRDefault="005C510D" w:rsidP="005C510D">
          <w:pPr>
            <w:rPr>
              <w:b/>
              <w:bCs/>
              <w:color w:val="002060"/>
              <w:u w:val="single"/>
            </w:rPr>
          </w:pPr>
          <w:r>
            <w:rPr>
              <w:b/>
              <w:bCs/>
              <w:color w:val="002060"/>
              <w:u w:val="single"/>
            </w:rPr>
            <w:t>Structural and Strategic Problems in the interior.</w:t>
          </w:r>
        </w:p>
        <w:p w14:paraId="0BD69A61" w14:textId="77777777" w:rsidR="005C510D" w:rsidRDefault="005C510D" w:rsidP="005C510D">
          <w:r>
            <w:t xml:space="preserve">The other crucial issue is the flat span of control at </w:t>
          </w:r>
          <w:proofErr w:type="spellStart"/>
          <w:r>
            <w:t>Indorex</w:t>
          </w:r>
          <w:proofErr w:type="spellEnd"/>
          <w:r>
            <w:t xml:space="preserve">. It is a centralized company, and all decisions are made by Ms. Jill Joyce, who is the only owner of the company. This may result in bottlenecks in decision-making as the business expands, particularly when the business </w:t>
          </w:r>
          <w:proofErr w:type="gramStart"/>
          <w:r>
            <w:t>has to</w:t>
          </w:r>
          <w:proofErr w:type="gramEnd"/>
          <w:r>
            <w:t xml:space="preserve"> respond promptly to fluctuating market conditions (</w:t>
          </w:r>
          <w:proofErr w:type="spellStart"/>
          <w:r>
            <w:t>Adamova</w:t>
          </w:r>
          <w:proofErr w:type="spellEnd"/>
          <w:r>
            <w:t xml:space="preserve"> et al., 2020). There is also a lack of delegation, and that could hinder scaling and coping with the challenges in the firm. As the business expands, it is more necessary to have a more powerful management and delegation. Also, </w:t>
          </w:r>
          <w:proofErr w:type="spellStart"/>
          <w:r>
            <w:t>Indorex</w:t>
          </w:r>
          <w:proofErr w:type="spellEnd"/>
          <w:r>
            <w:t xml:space="preserve"> has been left at a crossroads. The company will have to </w:t>
          </w:r>
          <w:proofErr w:type="gramStart"/>
          <w:r>
            <w:t>make a decision</w:t>
          </w:r>
          <w:proofErr w:type="gramEnd"/>
          <w:r>
            <w:t xml:space="preserve"> on whether it is worth retaining its luxury </w:t>
          </w:r>
          <w:r>
            <w:lastRenderedPageBreak/>
            <w:t xml:space="preserve">brand strategy or changing to penetration pricing </w:t>
          </w:r>
          <w:proofErr w:type="gramStart"/>
          <w:r>
            <w:t>in an attempt to</w:t>
          </w:r>
          <w:proofErr w:type="gramEnd"/>
          <w:r>
            <w:t xml:space="preserve"> gain more customers and market share (McMillan and Overall, 2016). The fact that competition in the footwear sector is even more vigorous and the need to introduce new product lines.</w:t>
          </w:r>
        </w:p>
        <w:p w14:paraId="42ED287F" w14:textId="77777777" w:rsidR="005C510D" w:rsidRDefault="005C510D" w:rsidP="005C510D"/>
        <w:p w14:paraId="1F375EE4" w14:textId="77777777" w:rsidR="005C510D" w:rsidRDefault="005C510D" w:rsidP="005C510D">
          <w:pPr>
            <w:rPr>
              <w:b/>
              <w:bCs/>
              <w:color w:val="002060"/>
              <w:u w:val="single"/>
            </w:rPr>
          </w:pPr>
          <w:r>
            <w:rPr>
              <w:b/>
              <w:bCs/>
              <w:color w:val="002060"/>
              <w:u w:val="single"/>
            </w:rPr>
            <w:t>New Market and Diversification.</w:t>
          </w:r>
        </w:p>
        <w:p w14:paraId="2A4000A2" w14:textId="77777777" w:rsidR="005C510D" w:rsidRDefault="005C510D" w:rsidP="005C510D">
          <w:r>
            <w:t xml:space="preserve">The company has been looking into the prospective growth opportunities as well as venturing into new markets such as luxury footwear and handbags. A joint venture with Routledge Holdings Ltd is one of the options whereby it would source exotic materials such as </w:t>
          </w:r>
          <w:proofErr w:type="gramStart"/>
          <w:r>
            <w:t>snake skin</w:t>
          </w:r>
          <w:proofErr w:type="gramEnd"/>
          <w:r>
            <w:t xml:space="preserve"> to make footwear (Miller and Yang, 2016). This may lead to new markets in China, the USA, and the Middle East, but needs to be well managed and business process reengineered to have a seamless integration with the existing operation (Lysek, 2019). These expansion plans, however, have their problems. The existing operational design used by </w:t>
          </w:r>
          <w:proofErr w:type="spellStart"/>
          <w:r>
            <w:t>Indorex</w:t>
          </w:r>
          <w:proofErr w:type="spellEnd"/>
          <w:r>
            <w:t xml:space="preserve"> might not be flexible enough to cope with the extra complexity of the new product lines and markets. The company should have a business process reengineering (BPR) initiative to make operations lean, minimize inefficiencies, and be ready to grow in the future.</w:t>
          </w:r>
        </w:p>
        <w:p w14:paraId="74651C58" w14:textId="77777777" w:rsidR="005C510D" w:rsidRDefault="005C510D" w:rsidP="005C510D"/>
        <w:p w14:paraId="65FD3F79" w14:textId="77777777" w:rsidR="005C510D" w:rsidRDefault="005C510D" w:rsidP="005C510D">
          <w:r>
            <w:t xml:space="preserve">The external forces, like Brexit, pandemic, and Uzbek cotton ban, and internal structural issues and strategic uncertainty, are the primary causes of the crisis of growth of </w:t>
          </w:r>
          <w:proofErr w:type="spellStart"/>
          <w:r>
            <w:t>Indorex</w:t>
          </w:r>
          <w:proofErr w:type="spellEnd"/>
          <w:r>
            <w:t xml:space="preserve">. The company is also grappling with increasing costs and falling profitability. To resolve this crisis, </w:t>
          </w:r>
          <w:proofErr w:type="spellStart"/>
          <w:r>
            <w:t>Indorex</w:t>
          </w:r>
          <w:proofErr w:type="spellEnd"/>
          <w:r>
            <w:t xml:space="preserve"> needs to think critically about its pricing strategy, organisational structure change, and other strategic moves regarding diversification and expansion. </w:t>
          </w:r>
        </w:p>
        <w:p w14:paraId="3F78E730" w14:textId="77777777" w:rsidR="005C510D" w:rsidRDefault="005C510D" w:rsidP="005C510D"/>
        <w:p w14:paraId="1C49FB4D" w14:textId="77777777" w:rsidR="005C510D" w:rsidRDefault="005C510D" w:rsidP="005C510D">
          <w:pPr>
            <w:pStyle w:val="Heading3"/>
          </w:pPr>
          <w:bookmarkStart w:id="14" w:name="_Toc227000463"/>
          <w:r>
            <w:t>Quantitative and Qualitative Performance Using the Balanced Scorecard</w:t>
          </w:r>
          <w:bookmarkEnd w:id="14"/>
        </w:p>
        <w:p w14:paraId="5D3A6ACC" w14:textId="77777777" w:rsidR="005C510D" w:rsidRDefault="005C510D" w:rsidP="005C510D">
          <w:r>
            <w:t xml:space="preserve">Balanced Scorecard (BSC) is a strategic management tool that helps a business </w:t>
          </w:r>
          <w:proofErr w:type="spellStart"/>
          <w:r>
            <w:t>analyze</w:t>
          </w:r>
          <w:proofErr w:type="spellEnd"/>
          <w:r>
            <w:t xml:space="preserve"> its performance in four perspectives: financial, customer, internal business processes, and learning and growth (</w:t>
          </w:r>
          <w:proofErr w:type="spellStart"/>
          <w:r>
            <w:t>Norreklit</w:t>
          </w:r>
          <w:proofErr w:type="spellEnd"/>
          <w:r>
            <w:t xml:space="preserve">, 2000). </w:t>
          </w:r>
          <w:proofErr w:type="spellStart"/>
          <w:r>
            <w:t>Indorex</w:t>
          </w:r>
          <w:proofErr w:type="spellEnd"/>
          <w:r>
            <w:t xml:space="preserve"> Footwear Limited is grappling with profitability and growth, and it is thus imperative to consider its performance in these four perspectives. </w:t>
          </w:r>
        </w:p>
        <w:p w14:paraId="25200C4C" w14:textId="77777777" w:rsidR="005C510D" w:rsidRDefault="005C510D" w:rsidP="005C510D">
          <w:pPr>
            <w:rPr>
              <w:b/>
              <w:bCs/>
              <w:color w:val="002060"/>
              <w:u w:val="single"/>
            </w:rPr>
          </w:pPr>
          <w:r>
            <w:rPr>
              <w:b/>
              <w:bCs/>
              <w:color w:val="002060"/>
              <w:u w:val="single"/>
            </w:rPr>
            <w:t>Financial Perspective</w:t>
          </w:r>
        </w:p>
        <w:p w14:paraId="59848092" w14:textId="77777777" w:rsidR="005C510D" w:rsidRDefault="005C510D" w:rsidP="005C510D">
          <w:r>
            <w:t xml:space="preserve">The financial perspective is applied to ascertain the level of performance that the company is performing well financially and whether it is meeting its financial objectives, such as profitability, increased revenue, and cost reduction (Heizer et al., 2023). According to the Income Statement of </w:t>
          </w:r>
          <w:proofErr w:type="spellStart"/>
          <w:r>
            <w:t>Indorex</w:t>
          </w:r>
          <w:proofErr w:type="spellEnd"/>
          <w:r>
            <w:t xml:space="preserve">, it will be able to </w:t>
          </w:r>
          <w:proofErr w:type="spellStart"/>
          <w:r>
            <w:t>analyze</w:t>
          </w:r>
          <w:proofErr w:type="spellEnd"/>
          <w:r>
            <w:t xml:space="preserve"> the most </w:t>
          </w:r>
          <w:r>
            <w:lastRenderedPageBreak/>
            <w:t xml:space="preserve">important metrics. The turnover and gross profit of </w:t>
          </w:r>
          <w:proofErr w:type="spellStart"/>
          <w:r>
            <w:t>Indorex</w:t>
          </w:r>
          <w:proofErr w:type="spellEnd"/>
          <w:r>
            <w:t xml:space="preserve"> have been varying within the last couple of years.</w:t>
          </w:r>
        </w:p>
        <w:p w14:paraId="4B454D63" w14:textId="77777777" w:rsidR="005C510D" w:rsidRDefault="005C510D" w:rsidP="005C510D"/>
        <w:p w14:paraId="3CB69B78" w14:textId="77777777" w:rsidR="005C510D" w:rsidRDefault="005C510D" w:rsidP="005C510D">
          <w:pPr>
            <w:ind w:firstLine="720"/>
            <w:rPr>
              <w:b/>
              <w:bCs/>
              <w:i/>
              <w:iCs/>
            </w:rPr>
          </w:pPr>
          <w:r>
            <w:rPr>
              <w:b/>
              <w:bCs/>
              <w:i/>
              <w:iCs/>
            </w:rPr>
            <w:t>Turnover and Profitability</w:t>
          </w:r>
        </w:p>
        <w:p w14:paraId="44770F87" w14:textId="77777777" w:rsidR="005C510D" w:rsidRDefault="005C510D" w:rsidP="005C510D">
          <w:pPr>
            <w:pStyle w:val="ListParagraph"/>
            <w:numPr>
              <w:ilvl w:val="0"/>
              <w:numId w:val="2"/>
            </w:numPr>
            <w:spacing w:line="360" w:lineRule="auto"/>
            <w:jc w:val="both"/>
          </w:pPr>
          <w:r>
            <w:rPr>
              <w:b/>
              <w:bCs/>
            </w:rPr>
            <w:t>Turnover:</w:t>
          </w:r>
          <w:r>
            <w:t xml:space="preserve"> £1,400,000 in 2021, £1,750,000 in 2022, £1,455,000 in 2023, and £600,000 in 2024.</w:t>
          </w:r>
        </w:p>
        <w:p w14:paraId="269B8C14" w14:textId="77777777" w:rsidR="005C510D" w:rsidRDefault="005C510D" w:rsidP="005C510D">
          <w:pPr>
            <w:pStyle w:val="ListParagraph"/>
            <w:numPr>
              <w:ilvl w:val="0"/>
              <w:numId w:val="2"/>
            </w:numPr>
            <w:spacing w:line="360" w:lineRule="auto"/>
            <w:jc w:val="both"/>
          </w:pPr>
          <w:r>
            <w:rPr>
              <w:b/>
              <w:bCs/>
            </w:rPr>
            <w:t>Gross Profit:</w:t>
          </w:r>
          <w:r>
            <w:t xml:space="preserve"> £700,000 in 2021, £820,000 in 2022, £600,000 in 2023, and £320,000 in 2024.</w:t>
          </w:r>
        </w:p>
        <w:p w14:paraId="3859B388" w14:textId="77777777" w:rsidR="005C510D" w:rsidRDefault="005C510D" w:rsidP="005C510D">
          <w:r>
            <w:t xml:space="preserve">The gross profit and turnover decline in 2024 are significant, and they show the effect of external events like the Covid-19 pandemic, Brexit, and the decline of the pound against the euro (Fosso, 2020). These have influenced the sales in Europe and particularly in the Rest of Europe region, which has been the biggest source of revenue to </w:t>
          </w:r>
          <w:proofErr w:type="spellStart"/>
          <w:r>
            <w:t>Indorex</w:t>
          </w:r>
          <w:proofErr w:type="spellEnd"/>
          <w:r>
            <w:t>.</w:t>
          </w:r>
        </w:p>
        <w:p w14:paraId="64494132" w14:textId="77777777" w:rsidR="005C510D" w:rsidRDefault="005C510D" w:rsidP="005C510D"/>
        <w:p w14:paraId="6956FE5E" w14:textId="77777777" w:rsidR="005C510D" w:rsidRDefault="005C510D" w:rsidP="005C510D">
          <w:pPr>
            <w:ind w:firstLine="720"/>
            <w:rPr>
              <w:b/>
              <w:bCs/>
              <w:i/>
              <w:iCs/>
            </w:rPr>
          </w:pPr>
          <w:r>
            <w:rPr>
              <w:b/>
              <w:bCs/>
              <w:i/>
              <w:iCs/>
            </w:rPr>
            <w:t>Profit Before Tax (PBT) and Profit After Tax (PAT).</w:t>
          </w:r>
        </w:p>
        <w:p w14:paraId="496948DE" w14:textId="77777777" w:rsidR="005C510D" w:rsidRDefault="005C510D" w:rsidP="005C510D">
          <w:proofErr w:type="spellStart"/>
          <w:r>
            <w:t>Indorex</w:t>
          </w:r>
          <w:proofErr w:type="spellEnd"/>
          <w:r>
            <w:t xml:space="preserve"> has been experiencing low profitability:</w:t>
          </w:r>
        </w:p>
        <w:p w14:paraId="671D5BFD" w14:textId="77777777" w:rsidR="005C510D" w:rsidRDefault="005C510D" w:rsidP="005C510D">
          <w:pPr>
            <w:pStyle w:val="ListParagraph"/>
            <w:numPr>
              <w:ilvl w:val="0"/>
              <w:numId w:val="3"/>
            </w:numPr>
            <w:spacing w:line="360" w:lineRule="auto"/>
            <w:jc w:val="both"/>
          </w:pPr>
          <w:r>
            <w:rPr>
              <w:b/>
              <w:bCs/>
            </w:rPr>
            <w:t>Profit Before</w:t>
          </w:r>
          <w:r>
            <w:t xml:space="preserve"> Tax: £300,000 in 2021, £372,000 in 2022, £105,000 in 2023, and a loss of £175,000 in 2024.</w:t>
          </w:r>
        </w:p>
        <w:p w14:paraId="6C5EF5F7" w14:textId="77777777" w:rsidR="005C510D" w:rsidRDefault="005C510D" w:rsidP="005C510D">
          <w:pPr>
            <w:pStyle w:val="ListParagraph"/>
            <w:numPr>
              <w:ilvl w:val="0"/>
              <w:numId w:val="3"/>
            </w:numPr>
            <w:spacing w:line="360" w:lineRule="auto"/>
            <w:jc w:val="both"/>
          </w:pPr>
          <w:r>
            <w:rPr>
              <w:b/>
              <w:bCs/>
            </w:rPr>
            <w:t>Profit After Tax:</w:t>
          </w:r>
          <w:r>
            <w:t xml:space="preserve"> £243,000 in 2021, £301,000 in 2022, £86,000 in 2023, and a loss of £160,000 in 2024.</w:t>
          </w:r>
        </w:p>
        <w:p w14:paraId="120EE4A4" w14:textId="77777777" w:rsidR="005C510D" w:rsidRDefault="005C510D" w:rsidP="005C510D">
          <w:r>
            <w:t>The negative profit in 2024 indicates a severe financial issue in the company. The decline in profitability is an immediate result of the decline in sales, rise in the cost of sourcing raw materials, and high operating expenses.</w:t>
          </w:r>
        </w:p>
        <w:p w14:paraId="60662E3C" w14:textId="77777777" w:rsidR="005C510D" w:rsidRDefault="005C510D" w:rsidP="005C510D"/>
        <w:p w14:paraId="4B0898A6" w14:textId="77777777" w:rsidR="005C510D" w:rsidRDefault="005C510D" w:rsidP="005C510D">
          <w:pPr>
            <w:ind w:firstLine="720"/>
            <w:rPr>
              <w:b/>
              <w:bCs/>
              <w:i/>
              <w:iCs/>
            </w:rPr>
          </w:pPr>
          <w:r>
            <w:rPr>
              <w:b/>
              <w:bCs/>
              <w:i/>
              <w:iCs/>
            </w:rPr>
            <w:t>Working and Liquidity.</w:t>
          </w:r>
        </w:p>
        <w:p w14:paraId="23D504E1" w14:textId="77777777" w:rsidR="005C510D" w:rsidRDefault="005C510D" w:rsidP="005C510D">
          <w:r>
            <w:t xml:space="preserve">The </w:t>
          </w:r>
          <w:proofErr w:type="spellStart"/>
          <w:r>
            <w:t>Indorex</w:t>
          </w:r>
          <w:proofErr w:type="spellEnd"/>
          <w:r>
            <w:t xml:space="preserve"> working capital has been put to the test:</w:t>
          </w:r>
        </w:p>
        <w:p w14:paraId="3E28E6C8" w14:textId="77777777" w:rsidR="005C510D" w:rsidRDefault="005C510D" w:rsidP="005C510D">
          <w:pPr>
            <w:pStyle w:val="ListParagraph"/>
            <w:numPr>
              <w:ilvl w:val="0"/>
              <w:numId w:val="4"/>
            </w:numPr>
            <w:spacing w:line="360" w:lineRule="auto"/>
            <w:jc w:val="both"/>
          </w:pPr>
          <w:r>
            <w:rPr>
              <w:b/>
              <w:bCs/>
            </w:rPr>
            <w:t>Working Capital</w:t>
          </w:r>
          <w:r>
            <w:t>: £145,000 in 2021, £195,000 in 2022, £206,000 in 2023, and £82,000 in 2024 (projected).</w:t>
          </w:r>
        </w:p>
        <w:p w14:paraId="422A6597" w14:textId="77777777" w:rsidR="005C510D" w:rsidRDefault="005C510D" w:rsidP="005C510D">
          <w:r>
            <w:t xml:space="preserve">The decline in the working capital in 2024 would imply that </w:t>
          </w:r>
          <w:proofErr w:type="spellStart"/>
          <w:r>
            <w:t>Indorex</w:t>
          </w:r>
          <w:proofErr w:type="spellEnd"/>
          <w:r>
            <w:t xml:space="preserve"> might be facing liquidity problems and, hence, it might find it hard to meet the short-term financial obligations (Epstein et al., 2018). This implies that the firm may need to improve its cash </w:t>
          </w:r>
          <w:r>
            <w:lastRenderedPageBreak/>
            <w:t>flow management and inventory management to the extent that it becomes efficient enough to operate without being stressed financially.</w:t>
          </w:r>
        </w:p>
        <w:p w14:paraId="6F883103" w14:textId="77777777" w:rsidR="005C510D" w:rsidRDefault="005C510D" w:rsidP="005C510D">
          <w:pPr>
            <w:rPr>
              <w:color w:val="002060"/>
            </w:rPr>
          </w:pPr>
        </w:p>
        <w:p w14:paraId="56CD3427" w14:textId="77777777" w:rsidR="005C510D" w:rsidRDefault="005C510D" w:rsidP="005C510D">
          <w:pPr>
            <w:rPr>
              <w:b/>
              <w:bCs/>
              <w:color w:val="002060"/>
              <w:u w:val="single"/>
            </w:rPr>
          </w:pPr>
          <w:r>
            <w:rPr>
              <w:b/>
              <w:bCs/>
              <w:color w:val="002060"/>
              <w:u w:val="single"/>
            </w:rPr>
            <w:t>Customer Perspective</w:t>
          </w:r>
        </w:p>
        <w:p w14:paraId="1956A3F2" w14:textId="77777777" w:rsidR="005C510D" w:rsidRDefault="005C510D" w:rsidP="005C510D">
          <w:r>
            <w:t xml:space="preserve">The customer perspective is focused on customer satisfaction, customer loyalty, and market share (Kaplan and Norton, 2020). </w:t>
          </w:r>
          <w:proofErr w:type="spellStart"/>
          <w:r>
            <w:t>Indorex</w:t>
          </w:r>
          <w:proofErr w:type="spellEnd"/>
          <w:r>
            <w:t xml:space="preserve"> uses customer satisfaction, traffic on its website, and its sales conversion rates to measure its customer performance. The customer satisfaction survey conducted by </w:t>
          </w:r>
          <w:proofErr w:type="spellStart"/>
          <w:r>
            <w:t>Indorex</w:t>
          </w:r>
          <w:proofErr w:type="spellEnd"/>
          <w:r>
            <w:t xml:space="preserve"> reveals that, over the years, the levels have improved:</w:t>
          </w:r>
        </w:p>
        <w:p w14:paraId="2BDC4458" w14:textId="77777777" w:rsidR="005C510D" w:rsidRDefault="005C510D" w:rsidP="005C510D">
          <w:pPr>
            <w:pStyle w:val="ListParagraph"/>
            <w:numPr>
              <w:ilvl w:val="0"/>
              <w:numId w:val="4"/>
            </w:numPr>
            <w:spacing w:line="360" w:lineRule="auto"/>
            <w:jc w:val="both"/>
          </w:pPr>
          <w:r>
            <w:rPr>
              <w:b/>
              <w:bCs/>
            </w:rPr>
            <w:t>Customer Satisfaction:</w:t>
          </w:r>
          <w:r>
            <w:t xml:space="preserve"> 69% in 2021, 72% in 2022, and 82% in 2023.</w:t>
          </w:r>
        </w:p>
        <w:p w14:paraId="3C36BE1C" w14:textId="77777777" w:rsidR="005C510D" w:rsidRDefault="005C510D" w:rsidP="005C510D">
          <w:r>
            <w:t xml:space="preserve">This improvement indicates that customers are increasingly happy with </w:t>
          </w:r>
          <w:proofErr w:type="spellStart"/>
          <w:r>
            <w:t>Indorex's</w:t>
          </w:r>
          <w:proofErr w:type="spellEnd"/>
          <w:r>
            <w:t xml:space="preserve"> products and services (Hill and Brierley, 2017). This growth in customer satisfaction is an encouraging factor as it demonstrates that the company is coping with its customer relationships despite the market challenges. The hits and conversion rates of the </w:t>
          </w:r>
          <w:proofErr w:type="spellStart"/>
          <w:r>
            <w:t>Indorex</w:t>
          </w:r>
          <w:proofErr w:type="spellEnd"/>
          <w:r>
            <w:t xml:space="preserve"> website are also important indicators of customer engagement:</w:t>
          </w:r>
        </w:p>
        <w:p w14:paraId="1B27FF5B" w14:textId="77777777" w:rsidR="005C510D" w:rsidRDefault="005C510D" w:rsidP="005C510D">
          <w:pPr>
            <w:pStyle w:val="ListParagraph"/>
            <w:numPr>
              <w:ilvl w:val="0"/>
              <w:numId w:val="4"/>
            </w:numPr>
            <w:spacing w:line="360" w:lineRule="auto"/>
            <w:jc w:val="both"/>
          </w:pPr>
          <w:r>
            <w:rPr>
              <w:b/>
              <w:bCs/>
            </w:rPr>
            <w:t>Website Hits</w:t>
          </w:r>
          <w:r>
            <w:t>: 5,000 in 2021, 6,000 in 2022, and 7,000 in 2023.</w:t>
          </w:r>
        </w:p>
        <w:p w14:paraId="687C0EF6" w14:textId="77777777" w:rsidR="005C510D" w:rsidRDefault="005C510D" w:rsidP="005C510D">
          <w:pPr>
            <w:pStyle w:val="ListParagraph"/>
            <w:numPr>
              <w:ilvl w:val="0"/>
              <w:numId w:val="4"/>
            </w:numPr>
            <w:spacing w:line="360" w:lineRule="auto"/>
            <w:jc w:val="both"/>
          </w:pPr>
          <w:r>
            <w:rPr>
              <w:b/>
              <w:bCs/>
            </w:rPr>
            <w:t>Conversion Rate:</w:t>
          </w:r>
          <w:r>
            <w:t xml:space="preserve"> 10% in 2021, 15% in 2022, and 18% in 2023.</w:t>
          </w:r>
        </w:p>
        <w:p w14:paraId="7A56E973" w14:textId="77777777" w:rsidR="005C510D" w:rsidRDefault="005C510D" w:rsidP="005C510D">
          <w:r>
            <w:t xml:space="preserve">Increased traffic and the rate of conversion of the websites mean that the customers are learning </w:t>
          </w:r>
          <w:proofErr w:type="gramStart"/>
          <w:r>
            <w:t>more and more</w:t>
          </w:r>
          <w:proofErr w:type="gramEnd"/>
          <w:r>
            <w:t xml:space="preserve"> about </w:t>
          </w:r>
          <w:proofErr w:type="spellStart"/>
          <w:r>
            <w:t>Indorex</w:t>
          </w:r>
          <w:proofErr w:type="spellEnd"/>
          <w:r>
            <w:t xml:space="preserve"> online and placing orders (Drury and </w:t>
          </w:r>
          <w:proofErr w:type="spellStart"/>
          <w:r>
            <w:t>Tayles</w:t>
          </w:r>
          <w:proofErr w:type="spellEnd"/>
          <w:r>
            <w:t>, 2022). It implies that digital marketing is already fruitful, and e-commerce is proving to be a strong sales channel for the company.</w:t>
          </w:r>
        </w:p>
        <w:p w14:paraId="7346EB2B" w14:textId="77777777" w:rsidR="005C510D" w:rsidRDefault="005C510D" w:rsidP="005C510D"/>
        <w:p w14:paraId="02B8BD59" w14:textId="77777777" w:rsidR="005C510D" w:rsidRDefault="005C510D" w:rsidP="005C510D">
          <w:pPr>
            <w:rPr>
              <w:b/>
              <w:bCs/>
              <w:color w:val="002060"/>
              <w:u w:val="single"/>
            </w:rPr>
          </w:pPr>
          <w:r>
            <w:rPr>
              <w:b/>
              <w:bCs/>
              <w:color w:val="002060"/>
              <w:u w:val="single"/>
            </w:rPr>
            <w:t>Internal Business Process Perspective</w:t>
          </w:r>
        </w:p>
        <w:p w14:paraId="0444A207" w14:textId="77777777" w:rsidR="005C510D" w:rsidRDefault="005C510D" w:rsidP="005C510D">
          <w:r>
            <w:t xml:space="preserve">Internal business process is about how effective the internal operations of the company (Hasan and Chyi, 2017). It examines major processes, efficiency, and quality control. </w:t>
          </w:r>
          <w:proofErr w:type="spellStart"/>
          <w:r>
            <w:t>Indorex</w:t>
          </w:r>
          <w:proofErr w:type="spellEnd"/>
          <w:r>
            <w:t xml:space="preserve"> has enhanced its internal processes:</w:t>
          </w:r>
        </w:p>
        <w:p w14:paraId="58089DD7" w14:textId="77777777" w:rsidR="005C510D" w:rsidRDefault="005C510D" w:rsidP="005C510D">
          <w:pPr>
            <w:pStyle w:val="ListParagraph"/>
            <w:numPr>
              <w:ilvl w:val="0"/>
              <w:numId w:val="5"/>
            </w:numPr>
            <w:spacing w:line="360" w:lineRule="auto"/>
            <w:jc w:val="both"/>
          </w:pPr>
          <w:r>
            <w:rPr>
              <w:b/>
              <w:bCs/>
            </w:rPr>
            <w:t>Error Rate:</w:t>
          </w:r>
          <w:r>
            <w:t xml:space="preserve"> 111% in 2021, 9% in 2022, and 4% in 2023.</w:t>
          </w:r>
        </w:p>
        <w:p w14:paraId="5D9C33E2" w14:textId="77777777" w:rsidR="005C510D" w:rsidRDefault="005C510D" w:rsidP="005C510D">
          <w:pPr>
            <w:pStyle w:val="ListParagraph"/>
            <w:numPr>
              <w:ilvl w:val="0"/>
              <w:numId w:val="5"/>
            </w:numPr>
            <w:spacing w:line="360" w:lineRule="auto"/>
            <w:jc w:val="both"/>
          </w:pPr>
          <w:r>
            <w:rPr>
              <w:b/>
              <w:bCs/>
            </w:rPr>
            <w:t>Job Completion Time: 1</w:t>
          </w:r>
          <w:r>
            <w:t>4 days in 2021, 10 days in 2022, and 7 days in 2023.</w:t>
          </w:r>
        </w:p>
        <w:p w14:paraId="4C7F6082" w14:textId="77777777" w:rsidR="005C510D" w:rsidRDefault="005C510D" w:rsidP="005C510D">
          <w:r>
            <w:t xml:space="preserve">The fact that the number of errors and time taken to complete a job is reduced is an indication that the company has been striving towards efficient operations (Khalid and Nawab, 2018). More efficient production processes and the improvement of the quality control are likely to be the reasons for this improvement. Employee retention at </w:t>
          </w:r>
          <w:proofErr w:type="spellStart"/>
          <w:r>
            <w:t>Indorex</w:t>
          </w:r>
          <w:proofErr w:type="spellEnd"/>
          <w:r>
            <w:t xml:space="preserve"> is also a good indicator of its internal processes:</w:t>
          </w:r>
        </w:p>
        <w:p w14:paraId="4DA63B49" w14:textId="77777777" w:rsidR="005C510D" w:rsidRDefault="005C510D" w:rsidP="005C510D">
          <w:pPr>
            <w:pStyle w:val="ListParagraph"/>
            <w:numPr>
              <w:ilvl w:val="0"/>
              <w:numId w:val="6"/>
            </w:numPr>
            <w:spacing w:line="360" w:lineRule="auto"/>
            <w:jc w:val="both"/>
          </w:pPr>
          <w:r>
            <w:rPr>
              <w:b/>
              <w:bCs/>
            </w:rPr>
            <w:lastRenderedPageBreak/>
            <w:t>Employee Retention:</w:t>
          </w:r>
          <w:r>
            <w:t xml:space="preserve"> 82% in 2021, 85% in 2022, and 89% in 2023.</w:t>
          </w:r>
        </w:p>
        <w:p w14:paraId="7D3D341C" w14:textId="77777777" w:rsidR="005C510D" w:rsidRDefault="005C510D" w:rsidP="005C510D">
          <w:r>
            <w:t>High retention rates show that the workers are satisfied with the work, and it can lead to productivity and reduce turnover costs (Rakhra, 2018). The retention growth is a pointer that the company has enhanced its internal culture and is making investments in its workforce.</w:t>
          </w:r>
        </w:p>
        <w:p w14:paraId="30051926" w14:textId="77777777" w:rsidR="005C510D" w:rsidRDefault="005C510D" w:rsidP="005C510D"/>
        <w:p w14:paraId="4EA28DC3" w14:textId="77777777" w:rsidR="005C510D" w:rsidRDefault="005C510D" w:rsidP="005C510D">
          <w:pPr>
            <w:rPr>
              <w:b/>
              <w:bCs/>
              <w:color w:val="002060"/>
              <w:u w:val="single"/>
            </w:rPr>
          </w:pPr>
          <w:r>
            <w:rPr>
              <w:b/>
              <w:bCs/>
              <w:color w:val="002060"/>
              <w:u w:val="single"/>
            </w:rPr>
            <w:t>Learning and Growth Perspective</w:t>
          </w:r>
        </w:p>
        <w:p w14:paraId="4D254C34" w14:textId="77777777" w:rsidR="005C510D" w:rsidRDefault="005C510D" w:rsidP="005C510D">
          <w:r>
            <w:t xml:space="preserve">The learning and growth perspective is concerned with the development of employees, innovation, and improvement of skills (Kumar et al., 2023). </w:t>
          </w:r>
          <w:proofErr w:type="spellStart"/>
          <w:r>
            <w:t>Indorex</w:t>
          </w:r>
          <w:proofErr w:type="spellEnd"/>
          <w:r>
            <w:t xml:space="preserve"> has been making advancements in training its employees:</w:t>
          </w:r>
        </w:p>
        <w:p w14:paraId="2AE942FB" w14:textId="77777777" w:rsidR="005C510D" w:rsidRDefault="005C510D" w:rsidP="005C510D">
          <w:pPr>
            <w:pStyle w:val="ListParagraph"/>
            <w:numPr>
              <w:ilvl w:val="0"/>
              <w:numId w:val="6"/>
            </w:numPr>
            <w:spacing w:line="360" w:lineRule="auto"/>
            <w:jc w:val="both"/>
          </w:pPr>
          <w:r>
            <w:rPr>
              <w:b/>
              <w:bCs/>
            </w:rPr>
            <w:t>CPDs per Employee:</w:t>
          </w:r>
          <w:r>
            <w:t xml:space="preserve"> 5 in 2021, 9 in 2022, and 12 in 2023.</w:t>
          </w:r>
        </w:p>
        <w:p w14:paraId="51BB53BA" w14:textId="77777777" w:rsidR="005C510D" w:rsidRDefault="005C510D" w:rsidP="005C510D">
          <w:pPr>
            <w:pStyle w:val="ListParagraph"/>
            <w:numPr>
              <w:ilvl w:val="0"/>
              <w:numId w:val="6"/>
            </w:numPr>
            <w:spacing w:line="360" w:lineRule="auto"/>
            <w:jc w:val="both"/>
          </w:pPr>
          <w:r>
            <w:rPr>
              <w:b/>
              <w:bCs/>
            </w:rPr>
            <w:t>Number of Employees:</w:t>
          </w:r>
          <w:r>
            <w:t xml:space="preserve"> 14 in 2021, 16 in 2022, and 23 in 2023.</w:t>
          </w:r>
        </w:p>
        <w:p w14:paraId="1A87D76C" w14:textId="77777777" w:rsidR="005C510D" w:rsidRDefault="005C510D" w:rsidP="005C510D">
          <w:r>
            <w:t xml:space="preserve">When CPD increases, it indicates that </w:t>
          </w:r>
          <w:proofErr w:type="spellStart"/>
          <w:r>
            <w:t>Indorex</w:t>
          </w:r>
          <w:proofErr w:type="spellEnd"/>
          <w:r>
            <w:t xml:space="preserve"> is investing in employee training, which may result in an increase in employee performance and innovation in processes and products. Employee development is an indicator of the potential of the company to grow and develop its employees (Mikula et al., 2020). The increase in the </w:t>
          </w:r>
          <w:proofErr w:type="spellStart"/>
          <w:r>
            <w:t>labor</w:t>
          </w:r>
          <w:proofErr w:type="spellEnd"/>
          <w:r>
            <w:t xml:space="preserve"> force shows that </w:t>
          </w:r>
          <w:proofErr w:type="spellStart"/>
          <w:r>
            <w:t>Indorex</w:t>
          </w:r>
          <w:proofErr w:type="spellEnd"/>
          <w:r>
            <w:t xml:space="preserve"> is increasing its operations and investing in the skills required to sustain the growth.</w:t>
          </w:r>
        </w:p>
        <w:p w14:paraId="685FFD55" w14:textId="77777777" w:rsidR="005C510D" w:rsidRDefault="005C510D" w:rsidP="005C510D">
          <w:r>
            <w:t xml:space="preserve">The Balanced Scorecard gives a broad perspective of the performance of </w:t>
          </w:r>
          <w:proofErr w:type="spellStart"/>
          <w:r>
            <w:t>Indorex</w:t>
          </w:r>
          <w:proofErr w:type="spellEnd"/>
          <w:r>
            <w:t xml:space="preserve"> in four aspects (Dogan, 2017). Despite the massive financial issues that the company is facing, as observed by declining profitability and working capital issues, it is improving in customer satisfaction and internal operation areas. Employee development and operational effectiveness are the two areas that are assisting the company to stay competitive even in the wake of external market forces (Islam et al., 2019). </w:t>
          </w:r>
          <w:proofErr w:type="spellStart"/>
          <w:r>
            <w:t>Indorex</w:t>
          </w:r>
          <w:proofErr w:type="spellEnd"/>
          <w:r>
            <w:t xml:space="preserve"> needs to continue investing in enhancing its financial performance and capitalize on its strong performance in customer relationships and internal process change.</w:t>
          </w:r>
        </w:p>
        <w:p w14:paraId="4586A170" w14:textId="77777777" w:rsidR="005C510D" w:rsidRDefault="005C510D" w:rsidP="005C510D"/>
        <w:p w14:paraId="58EC0D51" w14:textId="77777777" w:rsidR="005C510D" w:rsidRDefault="005C510D" w:rsidP="005C510D">
          <w:pPr>
            <w:pStyle w:val="Heading3"/>
          </w:pPr>
          <w:bookmarkStart w:id="15" w:name="_Toc227000464"/>
          <w:r>
            <w:t>The Need for Business Process Reengineering</w:t>
          </w:r>
          <w:bookmarkEnd w:id="15"/>
        </w:p>
        <w:p w14:paraId="72C7CF23" w14:textId="77777777" w:rsidR="005C510D" w:rsidRDefault="005C510D" w:rsidP="005C510D">
          <w:proofErr w:type="spellStart"/>
          <w:r>
            <w:t>Indorex</w:t>
          </w:r>
          <w:proofErr w:type="spellEnd"/>
          <w:r>
            <w:t xml:space="preserve"> Footwear Limited is experiencing major threats that jeopardize its growth. Business process reengineering (BPR) is needed to overcome these problems (</w:t>
          </w:r>
          <w:proofErr w:type="spellStart"/>
          <w:r>
            <w:t>Hnylianska</w:t>
          </w:r>
          <w:proofErr w:type="spellEnd"/>
          <w:r>
            <w:t xml:space="preserve">, 2022). BPR is the re-engineering of the core business processes to improve productivity, quality, and customer satisfaction. </w:t>
          </w:r>
        </w:p>
        <w:p w14:paraId="76627570" w14:textId="77777777" w:rsidR="005C510D" w:rsidRDefault="005C510D" w:rsidP="005C510D"/>
        <w:p w14:paraId="3A40301D" w14:textId="77777777" w:rsidR="005C510D" w:rsidRDefault="005C510D" w:rsidP="005C510D">
          <w:pPr>
            <w:rPr>
              <w:b/>
              <w:bCs/>
              <w:color w:val="002060"/>
              <w:u w:val="single"/>
            </w:rPr>
          </w:pPr>
          <w:r>
            <w:rPr>
              <w:b/>
              <w:bCs/>
              <w:color w:val="002060"/>
              <w:u w:val="single"/>
            </w:rPr>
            <w:t>Financial Struggles and Cost Management</w:t>
          </w:r>
        </w:p>
        <w:p w14:paraId="4B82AE10" w14:textId="77777777" w:rsidR="005C510D" w:rsidRDefault="005C510D" w:rsidP="005C510D">
          <w:proofErr w:type="spellStart"/>
          <w:r>
            <w:lastRenderedPageBreak/>
            <w:t>Indorex</w:t>
          </w:r>
          <w:proofErr w:type="spellEnd"/>
          <w:r>
            <w:t xml:space="preserve"> is facing deteriorating financial performance as the costs and sales are on the rise. Its turnover decreased from £1.75 million in 2022 to only £600,000 in 2024, and the gross profits also decreased a lot. One of the largest causes of this decrease is the higher price of raw materials. In 2015, the EU banned its Uzbek suppliers and compelled </w:t>
          </w:r>
          <w:proofErr w:type="spellStart"/>
          <w:r>
            <w:t>Indorex</w:t>
          </w:r>
          <w:proofErr w:type="spellEnd"/>
          <w:r>
            <w:t xml:space="preserve"> to find alternative suppliers in Vietnam, Thailand, and Benin whose prices were higher (Anton and </w:t>
          </w:r>
          <w:proofErr w:type="spellStart"/>
          <w:r>
            <w:t>Nucu</w:t>
          </w:r>
          <w:proofErr w:type="spellEnd"/>
          <w:r>
            <w:t xml:space="preserve">, 2020). This has increased the cost of materials; thus, the profit margins have been tight. The working capital of the company has been pulled down, declining as of 2024 to 2022, which is £195,000 to £45,000. This means that </w:t>
          </w:r>
          <w:proofErr w:type="spellStart"/>
          <w:r>
            <w:t>Indorex</w:t>
          </w:r>
          <w:proofErr w:type="spellEnd"/>
          <w:r>
            <w:t xml:space="preserve"> will not be able to settle its short-term financial commitments, which will impact its liquidity. To address this, the company needs to simplify its cost management, particularly in its supply chain and inventory management. </w:t>
          </w:r>
        </w:p>
        <w:p w14:paraId="6F5C7A5F" w14:textId="77777777" w:rsidR="005C510D" w:rsidRDefault="005C510D" w:rsidP="005C510D"/>
        <w:p w14:paraId="49CF7131" w14:textId="77777777" w:rsidR="005C510D" w:rsidRDefault="005C510D" w:rsidP="005C510D">
          <w:pPr>
            <w:rPr>
              <w:b/>
              <w:bCs/>
              <w:color w:val="002060"/>
              <w:u w:val="single"/>
            </w:rPr>
          </w:pPr>
          <w:r>
            <w:rPr>
              <w:b/>
              <w:bCs/>
              <w:color w:val="002060"/>
              <w:u w:val="single"/>
            </w:rPr>
            <w:t>Inefficient Supply Chain and Inventory Management</w:t>
          </w:r>
        </w:p>
        <w:p w14:paraId="3636472F" w14:textId="77777777" w:rsidR="005C510D" w:rsidRDefault="005C510D" w:rsidP="005C510D">
          <w:r>
            <w:t xml:space="preserve">The supply chain and inventory management at </w:t>
          </w:r>
          <w:proofErr w:type="spellStart"/>
          <w:r>
            <w:t>Indorex</w:t>
          </w:r>
          <w:proofErr w:type="spellEnd"/>
          <w:r>
            <w:t xml:space="preserve"> are two areas that are in dire need of reengineering. </w:t>
          </w:r>
          <w:proofErr w:type="gramStart"/>
          <w:r>
            <w:t>At the moment</w:t>
          </w:r>
          <w:proofErr w:type="gramEnd"/>
          <w:r>
            <w:t xml:space="preserve">, the company is taking raw materials in Japan, which has a 30-day credit with long lead times (60 days) (Mohamed, 2024). This slowness in the speed at which the goods reach the company effects the effectiveness of the company to respond quickly to the demand of its customers and increases the Cost of carrying Inventory. Also, the company has a disjointed inventory management system, and the company continues to control stock manually (Damini, 2023). This results in stockouts or overstocking, and this impacts cash flow and customer satisfaction. Through BPR, </w:t>
          </w:r>
          <w:proofErr w:type="spellStart"/>
          <w:r>
            <w:t>Indorex</w:t>
          </w:r>
          <w:proofErr w:type="spellEnd"/>
          <w:r>
            <w:t xml:space="preserve"> will be able to reduce the lead times, decrease the material costs, and optimize inventory (Guo et al., 2024). To give an example, it can reduce the material cost by half and deliver faster if it switches to other suppliers, like Thailand or Vietnam. This would help </w:t>
          </w:r>
          <w:proofErr w:type="spellStart"/>
          <w:r>
            <w:t>Indorex</w:t>
          </w:r>
          <w:proofErr w:type="spellEnd"/>
          <w:r>
            <w:t xml:space="preserve"> become more effective in the supply chain, reduce costs, and satisfy consumer needs in a more efficient manner.</w:t>
          </w:r>
        </w:p>
        <w:p w14:paraId="5B559C81" w14:textId="77777777" w:rsidR="005C510D" w:rsidRDefault="005C510D" w:rsidP="005C510D"/>
        <w:p w14:paraId="7E61F72C" w14:textId="77777777" w:rsidR="005C510D" w:rsidRDefault="005C510D" w:rsidP="005C510D">
          <w:pPr>
            <w:rPr>
              <w:b/>
              <w:bCs/>
              <w:color w:val="002060"/>
              <w:u w:val="single"/>
            </w:rPr>
          </w:pPr>
          <w:r>
            <w:rPr>
              <w:b/>
              <w:bCs/>
              <w:color w:val="002060"/>
              <w:u w:val="single"/>
            </w:rPr>
            <w:t>Pricing Strategy and Market Competitiveness</w:t>
          </w:r>
        </w:p>
        <w:p w14:paraId="0F544BEC" w14:textId="77777777" w:rsidR="005C510D" w:rsidRDefault="005C510D" w:rsidP="005C510D">
          <w:proofErr w:type="spellStart"/>
          <w:r>
            <w:t>Indorex</w:t>
          </w:r>
          <w:proofErr w:type="spellEnd"/>
          <w:r>
            <w:t xml:space="preserve"> is at a crossroads and needs to </w:t>
          </w:r>
          <w:proofErr w:type="gramStart"/>
          <w:r>
            <w:t>make a decision</w:t>
          </w:r>
          <w:proofErr w:type="gramEnd"/>
          <w:r>
            <w:t xml:space="preserve"> on whether to maintain the luxury pricing strategy or change to a penetration pricing strategy (Toni et al., 2017). The luxury pricing strategy has resulted in a low market share, particularly with an increase in competition. In the meantime, a penetration pricing strategy may assist the company in gaining more customers and retaining market share (</w:t>
          </w:r>
          <w:proofErr w:type="spellStart"/>
          <w:r>
            <w:t>Miahkykh</w:t>
          </w:r>
          <w:proofErr w:type="spellEnd"/>
          <w:r>
            <w:t xml:space="preserve"> et al., 2019). In support of this change in pricing, </w:t>
          </w:r>
          <w:proofErr w:type="spellStart"/>
          <w:r>
            <w:t>Indorex</w:t>
          </w:r>
          <w:proofErr w:type="spellEnd"/>
          <w:r>
            <w:t xml:space="preserve"> will need to reengineer its cost structures. Cutting down on prices without affecting the profit margins will entail significant improvements in operational efficiency. By simplifying processes and reducing costs, </w:t>
          </w:r>
          <w:proofErr w:type="spellStart"/>
          <w:r>
            <w:t>Indorex</w:t>
          </w:r>
          <w:proofErr w:type="spellEnd"/>
          <w:r>
            <w:t xml:space="preserve"> can reduce the overall cost base and therefore will be able to accommodate penetration pricing (</w:t>
          </w:r>
          <w:proofErr w:type="spellStart"/>
          <w:r>
            <w:t>Tahat</w:t>
          </w:r>
          <w:proofErr w:type="spellEnd"/>
          <w:r>
            <w:t xml:space="preserve">, 2023). In this process, BPR will play a pivotal role since it will </w:t>
          </w:r>
          <w:r>
            <w:lastRenderedPageBreak/>
            <w:t xml:space="preserve">enable </w:t>
          </w:r>
          <w:proofErr w:type="spellStart"/>
          <w:r>
            <w:t>Indorex</w:t>
          </w:r>
          <w:proofErr w:type="spellEnd"/>
          <w:r>
            <w:t xml:space="preserve"> to cut its production costs, enhance its internal operations, and stay competitive in the market.</w:t>
          </w:r>
        </w:p>
        <w:p w14:paraId="2FF156CE" w14:textId="77777777" w:rsidR="005C510D" w:rsidRDefault="005C510D" w:rsidP="005C510D"/>
        <w:p w14:paraId="589BEDE8" w14:textId="77777777" w:rsidR="005C510D" w:rsidRDefault="005C510D" w:rsidP="005C510D">
          <w:pPr>
            <w:rPr>
              <w:b/>
              <w:bCs/>
              <w:color w:val="002060"/>
              <w:u w:val="single"/>
            </w:rPr>
          </w:pPr>
          <w:r>
            <w:rPr>
              <w:b/>
              <w:bCs/>
              <w:color w:val="002060"/>
              <w:u w:val="single"/>
            </w:rPr>
            <w:t>Organizational Structure and Decision-Making</w:t>
          </w:r>
        </w:p>
        <w:p w14:paraId="7102CBA6" w14:textId="77777777" w:rsidR="005C510D" w:rsidRDefault="005C510D" w:rsidP="005C510D">
          <w:r>
            <w:t xml:space="preserve">The current flat organization structure in </w:t>
          </w:r>
          <w:proofErr w:type="spellStart"/>
          <w:r>
            <w:t>Indorex</w:t>
          </w:r>
          <w:proofErr w:type="spellEnd"/>
          <w:r>
            <w:t xml:space="preserve">, whereby all employees report to Ms. Jill Joyce, cannot sustain in a growing organization. This has enabled the company to directly operate with just 25 </w:t>
          </w:r>
          <w:proofErr w:type="gramStart"/>
          <w:r>
            <w:t>employees, but</w:t>
          </w:r>
          <w:proofErr w:type="gramEnd"/>
          <w:r>
            <w:t xml:space="preserve"> has led to bottlenecks in the decision-making process as the business is still expanding. Ms. Jill Joyce, as the sole decision-maker, is overwhelmed with the need to take care of all aspects of the business (Joseph and Gaba, 2020). To tackle this, </w:t>
          </w:r>
          <w:proofErr w:type="spellStart"/>
          <w:r>
            <w:t>Indorex</w:t>
          </w:r>
          <w:proofErr w:type="spellEnd"/>
          <w:r>
            <w:t xml:space="preserve"> should outsource functions and enhance the effectiveness of decision-making. BPR may assist in the redesign process of the organization's structure to decentralize decision-making power to middle managers and have more specialized roles (Grant, 2021). A more hierarchical/matrix organization would allow the corporation to respond to the market changes in a much quicker way, improve the leadership, and ensure that all the departments are working towards attaining the same goals. </w:t>
          </w:r>
        </w:p>
        <w:p w14:paraId="134B8E80" w14:textId="77777777" w:rsidR="005C510D" w:rsidRDefault="005C510D" w:rsidP="005C510D"/>
        <w:p w14:paraId="54A68D41" w14:textId="77777777" w:rsidR="005C510D" w:rsidRDefault="005C510D" w:rsidP="005C510D">
          <w:r>
            <w:t xml:space="preserve">To assist </w:t>
          </w:r>
          <w:proofErr w:type="spellStart"/>
          <w:r>
            <w:t>Indorex</w:t>
          </w:r>
          <w:proofErr w:type="spellEnd"/>
          <w:r>
            <w:t xml:space="preserve"> to come out of the current crisis of growth, Business process reengineering is necessary. It can be used to improve customer satisfaction, streamline operations, and reduce costs. By reengineering its processes, </w:t>
          </w:r>
          <w:proofErr w:type="spellStart"/>
          <w:r>
            <w:t>Indorex</w:t>
          </w:r>
          <w:proofErr w:type="spellEnd"/>
          <w:r>
            <w:t xml:space="preserve"> will be able to create a more efficient, agile, and competitive business model, which will ensure long-term success.</w:t>
          </w:r>
          <w:r>
            <w:br w:type="page"/>
          </w:r>
        </w:p>
        <w:p w14:paraId="1485DEC4" w14:textId="77777777" w:rsidR="005C510D" w:rsidRPr="00565731" w:rsidRDefault="005C510D" w:rsidP="005C510D">
          <w:pPr>
            <w:pStyle w:val="Heading1"/>
            <w:rPr>
              <w:rFonts w:asciiTheme="minorHAnsi" w:hAnsiTheme="minorHAnsi"/>
            </w:rPr>
          </w:pPr>
          <w:bookmarkStart w:id="16" w:name="_Toc227000465"/>
          <w:r w:rsidRPr="00565731">
            <w:rPr>
              <w:rFonts w:asciiTheme="minorHAnsi" w:hAnsiTheme="minorHAnsi"/>
            </w:rPr>
            <w:lastRenderedPageBreak/>
            <w:t>Conclusion</w:t>
          </w:r>
          <w:bookmarkEnd w:id="11"/>
          <w:bookmarkEnd w:id="16"/>
        </w:p>
        <w:p w14:paraId="6EBFCB1C" w14:textId="77777777" w:rsidR="005C510D" w:rsidRDefault="005C510D" w:rsidP="005C510D">
          <w:bookmarkStart w:id="17" w:name="_Toc129339191"/>
          <w:r>
            <w:t xml:space="preserve">The challenges facing </w:t>
          </w:r>
          <w:proofErr w:type="spellStart"/>
          <w:r>
            <w:t>Indorex</w:t>
          </w:r>
          <w:proofErr w:type="spellEnd"/>
          <w:r>
            <w:t xml:space="preserve"> Footwear Limited and Mitchum Fabrication are different, but the two companies must strive to enhance their operations internally, alter their strategies, and adopt performance management systems to ensure sustainability in their respective industries. Mitchum Fabrication is facing issues relating to divisional performance management, and the existing performance measures of ROI and Residual Income (RI) are not exactly in line with the company's objective. The company needs to shift to more holistic methods, such as Economic Value Added (EVA), </w:t>
          </w:r>
          <w:proofErr w:type="gramStart"/>
          <w:r>
            <w:t>in order to</w:t>
          </w:r>
          <w:proofErr w:type="gramEnd"/>
          <w:r>
            <w:t xml:space="preserve"> be </w:t>
          </w:r>
          <w:proofErr w:type="gramStart"/>
          <w:r>
            <w:t>in a position</w:t>
          </w:r>
          <w:proofErr w:type="gramEnd"/>
          <w:r>
            <w:t xml:space="preserve"> to assess divisions' contributions. Also, the transfer pricing practices used by Mitchum should be re-evaluated to be fair and in line with the company's goals. Additionally, an implementation of an Executive Information System (EIS) would help in interdivisional decision-making and coordination, leading to a more efficient performance.</w:t>
          </w:r>
        </w:p>
        <w:p w14:paraId="4EDFDD11" w14:textId="77777777" w:rsidR="005C510D" w:rsidRDefault="005C510D" w:rsidP="005C510D">
          <w:r>
            <w:t xml:space="preserve">On the other hand, </w:t>
          </w:r>
          <w:proofErr w:type="spellStart"/>
          <w:r>
            <w:t>Indorex</w:t>
          </w:r>
          <w:proofErr w:type="spellEnd"/>
          <w:r>
            <w:t xml:space="preserve"> Footwear is in a growth crisis because of declining sales, rising costs, inefficiency in the supply chain, and price strategy. The company needs a penetration pricing strategy to remain competitive, but it needs to re-engineer its business processes to streamline its business, reduce costs, and increase profitability. The </w:t>
          </w:r>
          <w:proofErr w:type="spellStart"/>
          <w:r>
            <w:t>Indorex</w:t>
          </w:r>
          <w:proofErr w:type="spellEnd"/>
          <w:r>
            <w:t xml:space="preserve"> organizational structure needs to be adjusted as well to allow it to delegate decision-making and promote growth in leadership. In addition, training of employees, customer satisfaction, and e-commerce enhancements should also be given attention, which will help </w:t>
          </w:r>
          <w:proofErr w:type="spellStart"/>
          <w:r>
            <w:t>Indorex</w:t>
          </w:r>
          <w:proofErr w:type="spellEnd"/>
          <w:r>
            <w:t xml:space="preserve"> to regain market share. The two companies need to use business process reengineering (BPR) to deal with internal inefficiencies and align their strategies with their objectives. By improving the operational efficiencies, pricing strategies, and reengineering of core business processes, Mitchum and </w:t>
          </w:r>
          <w:proofErr w:type="spellStart"/>
          <w:r>
            <w:t>Indorex</w:t>
          </w:r>
          <w:proofErr w:type="spellEnd"/>
          <w:r>
            <w:t xml:space="preserve"> can rise out of their present predicament and be assured of success in the future.</w:t>
          </w:r>
        </w:p>
        <w:p w14:paraId="7D30C497" w14:textId="77777777" w:rsidR="005C510D" w:rsidRDefault="005C510D" w:rsidP="005C510D">
          <w:pPr>
            <w:spacing w:line="256" w:lineRule="auto"/>
            <w:rPr>
              <w:rFonts w:eastAsiaTheme="majorEastAsia"/>
              <w:b/>
              <w:bCs/>
              <w:color w:val="0F4761" w:themeColor="accent1" w:themeShade="BF"/>
              <w:sz w:val="32"/>
              <w:szCs w:val="32"/>
            </w:rPr>
          </w:pPr>
          <w:r>
            <w:br w:type="page"/>
          </w:r>
        </w:p>
        <w:p w14:paraId="52F2D8E1" w14:textId="77777777" w:rsidR="005C510D" w:rsidRPr="00565731" w:rsidRDefault="005C510D" w:rsidP="005C510D">
          <w:pPr>
            <w:pStyle w:val="Heading1"/>
            <w:rPr>
              <w:rFonts w:asciiTheme="minorHAnsi" w:hAnsiTheme="minorHAnsi"/>
              <w:b/>
              <w:bCs/>
              <w:sz w:val="32"/>
              <w:szCs w:val="32"/>
            </w:rPr>
          </w:pPr>
          <w:bookmarkStart w:id="18" w:name="_Toc227000466"/>
          <w:r w:rsidRPr="00565731">
            <w:rPr>
              <w:rFonts w:asciiTheme="minorHAnsi" w:hAnsiTheme="minorHAnsi"/>
            </w:rPr>
            <w:lastRenderedPageBreak/>
            <w:t>Bibliography</w:t>
          </w:r>
          <w:bookmarkEnd w:id="17"/>
          <w:bookmarkEnd w:id="18"/>
        </w:p>
        <w:p w14:paraId="49770BAD" w14:textId="77777777" w:rsidR="005C510D" w:rsidRDefault="005C510D" w:rsidP="005C510D">
          <w:r>
            <w:t xml:space="preserve">Adamova, G.A., Khabib, M.D. and </w:t>
          </w:r>
          <w:proofErr w:type="spellStart"/>
          <w:r>
            <w:t>Teplyakova</w:t>
          </w:r>
          <w:proofErr w:type="spellEnd"/>
          <w:r>
            <w:t xml:space="preserve">, M.A. (2020). The Problems with Information Support of Strategic Management. </w:t>
          </w:r>
          <w:r>
            <w:rPr>
              <w:i/>
              <w:iCs/>
            </w:rPr>
            <w:t>Springer</w:t>
          </w:r>
          <w:r>
            <w:t xml:space="preserve">, pp.33–41. </w:t>
          </w:r>
          <w:proofErr w:type="spellStart"/>
          <w:proofErr w:type="gramStart"/>
          <w:r>
            <w:t>doi:https</w:t>
          </w:r>
          <w:proofErr w:type="spellEnd"/>
          <w:r>
            <w:t>://doi.org/10.1007/978-3-030-44703-8_5</w:t>
          </w:r>
          <w:proofErr w:type="gramEnd"/>
          <w:r>
            <w:t>.</w:t>
          </w:r>
        </w:p>
        <w:p w14:paraId="7707C0D0" w14:textId="77777777" w:rsidR="005C510D" w:rsidRDefault="005C510D" w:rsidP="005C510D">
          <w:r>
            <w:t xml:space="preserve">Anton, S.G. and </w:t>
          </w:r>
          <w:proofErr w:type="spellStart"/>
          <w:r>
            <w:t>Nucu</w:t>
          </w:r>
          <w:proofErr w:type="spellEnd"/>
          <w:r>
            <w:t xml:space="preserve">, A.E.A. (2020). The Impact of Working Capital Management on Firm Profitability: Empirical Evidence from the Polish Listed Firms. </w:t>
          </w:r>
          <w:r>
            <w:rPr>
              <w:i/>
              <w:iCs/>
            </w:rPr>
            <w:t>Journal of Risk and Financial Management</w:t>
          </w:r>
          <w:r>
            <w:t xml:space="preserve">, [online] 14(1), p.9. </w:t>
          </w:r>
          <w:proofErr w:type="spellStart"/>
          <w:proofErr w:type="gramStart"/>
          <w:r>
            <w:t>doi:https</w:t>
          </w:r>
          <w:proofErr w:type="spellEnd"/>
          <w:r>
            <w:t>://doi.org/10.3390/jrfm14010009</w:t>
          </w:r>
          <w:proofErr w:type="gramEnd"/>
          <w:r>
            <w:t>.</w:t>
          </w:r>
        </w:p>
        <w:p w14:paraId="7F7CEB03" w14:textId="77777777" w:rsidR="005C510D" w:rsidRDefault="005C510D" w:rsidP="005C510D">
          <w:r>
            <w:t xml:space="preserve">Bhimani, A., Datar, S.M., Horngren, C.T. and Rajan, M.V. (2019). </w:t>
          </w:r>
          <w:r>
            <w:rPr>
              <w:i/>
              <w:iCs/>
            </w:rPr>
            <w:t>Management and cost accounting</w:t>
          </w:r>
          <w:r>
            <w:t>. Harlow, United Kingdom: Pearson.</w:t>
          </w:r>
        </w:p>
        <w:p w14:paraId="7650D13D" w14:textId="77777777" w:rsidR="005C510D" w:rsidRDefault="005C510D" w:rsidP="005C510D">
          <w:r>
            <w:t xml:space="preserve">Bouwens, J. and Steens, B. (2016). Full-Cost Transfer Pricing and Cost Management. </w:t>
          </w:r>
          <w:r>
            <w:rPr>
              <w:i/>
              <w:iCs/>
            </w:rPr>
            <w:t>Journal of Management Accounting Research</w:t>
          </w:r>
          <w:r>
            <w:t xml:space="preserve">, 28(3), pp.63–81. </w:t>
          </w:r>
          <w:proofErr w:type="spellStart"/>
          <w:proofErr w:type="gramStart"/>
          <w:r>
            <w:t>doi:https</w:t>
          </w:r>
          <w:proofErr w:type="spellEnd"/>
          <w:r>
            <w:t>://doi.org/10.2308/jmar-51390</w:t>
          </w:r>
          <w:proofErr w:type="gramEnd"/>
          <w:r>
            <w:t>.</w:t>
          </w:r>
        </w:p>
        <w:p w14:paraId="15781ACE" w14:textId="77777777" w:rsidR="005C510D" w:rsidRDefault="005C510D" w:rsidP="005C510D">
          <w:r>
            <w:t xml:space="preserve">Cappelli, P. and Tavis, A. (2016). </w:t>
          </w:r>
          <w:r>
            <w:rPr>
              <w:i/>
              <w:iCs/>
            </w:rPr>
            <w:t>The focus is shifting from accountability to learning</w:t>
          </w:r>
          <w:r>
            <w:t>. [online] Harvard Business Review. Available at: https://prod-edxapp.edx-cdn.org/assets/courseware/v1/0d740b595eaebef7a8cdd812f86f6760/asset-v1:WhartonOnlineProfessionalEd+MGMT1x+4T2017+type@asset+block/Performance-Appraisal-HBR.pdf.</w:t>
          </w:r>
        </w:p>
        <w:p w14:paraId="3BA91E3D" w14:textId="77777777" w:rsidR="005C510D" w:rsidRDefault="005C510D" w:rsidP="005C510D">
          <w:r>
            <w:t xml:space="preserve">Chang, K., </w:t>
          </w:r>
          <w:proofErr w:type="spellStart"/>
          <w:r>
            <w:t>Lasyoud</w:t>
          </w:r>
          <w:proofErr w:type="spellEnd"/>
          <w:r>
            <w:t xml:space="preserve">, A.A. and Osman, D. (2023). Management accounting system: Insights from the </w:t>
          </w:r>
          <w:proofErr w:type="gramStart"/>
          <w:r>
            <w:t>decision making</w:t>
          </w:r>
          <w:proofErr w:type="gramEnd"/>
          <w:r>
            <w:t xml:space="preserve"> theories. </w:t>
          </w:r>
          <w:r>
            <w:rPr>
              <w:i/>
              <w:iCs/>
            </w:rPr>
            <w:t>Social Sciences &amp; Humanities Open</w:t>
          </w:r>
          <w:r>
            <w:t xml:space="preserve">, [online] 8(1), p.100529. </w:t>
          </w:r>
          <w:proofErr w:type="spellStart"/>
          <w:proofErr w:type="gramStart"/>
          <w:r>
            <w:t>doi:https</w:t>
          </w:r>
          <w:proofErr w:type="spellEnd"/>
          <w:r>
            <w:t>://doi.org/10.1016/j.ssaho.2023.100529</w:t>
          </w:r>
          <w:proofErr w:type="gramEnd"/>
          <w:r>
            <w:t>.</w:t>
          </w:r>
        </w:p>
        <w:p w14:paraId="61F9D5FC" w14:textId="77777777" w:rsidR="005C510D" w:rsidRDefault="005C510D" w:rsidP="005C510D">
          <w:r>
            <w:t xml:space="preserve">Cho, S.Y. and Lee, C. (2017). Managerial Efficiency, Corporate Social Performance, and Corporate Financial Performance. </w:t>
          </w:r>
          <w:r>
            <w:rPr>
              <w:i/>
              <w:iCs/>
            </w:rPr>
            <w:t>Journal of Business Ethics</w:t>
          </w:r>
          <w:r>
            <w:t xml:space="preserve">, 158(2). </w:t>
          </w:r>
          <w:proofErr w:type="spellStart"/>
          <w:proofErr w:type="gramStart"/>
          <w:r>
            <w:t>doi:https</w:t>
          </w:r>
          <w:proofErr w:type="spellEnd"/>
          <w:r>
            <w:t>://doi.org/10.1007/s10551-017-3760-7</w:t>
          </w:r>
          <w:proofErr w:type="gramEnd"/>
          <w:r>
            <w:t>.</w:t>
          </w:r>
        </w:p>
        <w:p w14:paraId="48931DDB" w14:textId="77777777" w:rsidR="005C510D" w:rsidRDefault="005C510D" w:rsidP="005C510D">
          <w:r>
            <w:t xml:space="preserve">Chong, V.K., Loy, C.Y., </w:t>
          </w:r>
          <w:proofErr w:type="spellStart"/>
          <w:r>
            <w:t>Masschelein</w:t>
          </w:r>
          <w:proofErr w:type="spellEnd"/>
          <w:r>
            <w:t xml:space="preserve">, S. and Woodliff, D.R. (2018). The effect of performance evaluation schemes on predicted transfer prices: Do leadership tone and perceived fairness concerns matter? </w:t>
          </w:r>
          <w:r>
            <w:rPr>
              <w:i/>
              <w:iCs/>
            </w:rPr>
            <w:t>Management Accounting Research</w:t>
          </w:r>
          <w:r>
            <w:t xml:space="preserve">, 41, pp.11–19. </w:t>
          </w:r>
          <w:proofErr w:type="spellStart"/>
          <w:proofErr w:type="gramStart"/>
          <w:r>
            <w:t>doi:https</w:t>
          </w:r>
          <w:proofErr w:type="spellEnd"/>
          <w:r>
            <w:t>://doi.org/10.1016/j.mar.2018.02.003</w:t>
          </w:r>
          <w:proofErr w:type="gramEnd"/>
          <w:r>
            <w:t>.</w:t>
          </w:r>
        </w:p>
        <w:p w14:paraId="4EED3752" w14:textId="77777777" w:rsidR="005C510D" w:rsidRDefault="005C510D" w:rsidP="005C510D">
          <w:r>
            <w:t xml:space="preserve">Christopher, M. (2016). </w:t>
          </w:r>
          <w:r>
            <w:rPr>
              <w:i/>
              <w:iCs/>
            </w:rPr>
            <w:t>Logistics &amp; supply chain management</w:t>
          </w:r>
          <w:r>
            <w:t>. 5th ed. Harlow: Pearson Education.</w:t>
          </w:r>
        </w:p>
        <w:p w14:paraId="7D7019AE" w14:textId="77777777" w:rsidR="005C510D" w:rsidRDefault="005C510D" w:rsidP="005C510D">
          <w:r>
            <w:t xml:space="preserve">Coller, G., Frigotto, M.L. and Costa, E. (2018). Management control system and strategy: the transforming role of implementation. </w:t>
          </w:r>
          <w:r>
            <w:rPr>
              <w:i/>
              <w:iCs/>
            </w:rPr>
            <w:t>Journal of Applied Accounting Research</w:t>
          </w:r>
          <w:r>
            <w:t xml:space="preserve">, 19(1), pp.141–160. </w:t>
          </w:r>
          <w:proofErr w:type="spellStart"/>
          <w:proofErr w:type="gramStart"/>
          <w:r>
            <w:t>doi:https</w:t>
          </w:r>
          <w:proofErr w:type="spellEnd"/>
          <w:r>
            <w:t>://doi.org/10.1108/jaar-01-2016-0002</w:t>
          </w:r>
          <w:proofErr w:type="gramEnd"/>
          <w:r>
            <w:t>.</w:t>
          </w:r>
        </w:p>
        <w:p w14:paraId="509620B2" w14:textId="77777777" w:rsidR="005C510D" w:rsidRDefault="005C510D" w:rsidP="005C510D">
          <w:r>
            <w:t xml:space="preserve">Cosa, M. and Torelli, R. (2024). Digital Transformation and Flexible Performance Management: </w:t>
          </w:r>
          <w:proofErr w:type="gramStart"/>
          <w:r>
            <w:t>a</w:t>
          </w:r>
          <w:proofErr w:type="gramEnd"/>
          <w:r>
            <w:t xml:space="preserve"> Systematic Literature Review of the Evolution of Performance </w:t>
          </w:r>
          <w:r>
            <w:lastRenderedPageBreak/>
            <w:t xml:space="preserve">Measurement Systems. </w:t>
          </w:r>
          <w:r>
            <w:rPr>
              <w:i/>
              <w:iCs/>
            </w:rPr>
            <w:t>Global Journal of Flexible Systems Management</w:t>
          </w:r>
          <w:r>
            <w:t xml:space="preserve">, 25(3), pp.445–466. </w:t>
          </w:r>
          <w:proofErr w:type="spellStart"/>
          <w:proofErr w:type="gramStart"/>
          <w:r>
            <w:t>doi:https</w:t>
          </w:r>
          <w:proofErr w:type="spellEnd"/>
          <w:r>
            <w:t>://doi.org/10.1007/s40171-024-00409-9</w:t>
          </w:r>
          <w:proofErr w:type="gramEnd"/>
          <w:r>
            <w:t>.</w:t>
          </w:r>
        </w:p>
        <w:p w14:paraId="2A712980" w14:textId="77777777" w:rsidR="005C510D" w:rsidRDefault="005C510D" w:rsidP="005C510D">
          <w:r>
            <w:t xml:space="preserve">Damini (2023). </w:t>
          </w:r>
          <w:r>
            <w:rPr>
              <w:i/>
              <w:iCs/>
            </w:rPr>
            <w:t xml:space="preserve">Minimizing Supply Chain Disruptions </w:t>
          </w:r>
          <w:proofErr w:type="gramStart"/>
          <w:r>
            <w:rPr>
              <w:i/>
              <w:iCs/>
            </w:rPr>
            <w:t>With</w:t>
          </w:r>
          <w:proofErr w:type="gramEnd"/>
          <w:r>
            <w:rPr>
              <w:i/>
              <w:iCs/>
            </w:rPr>
            <w:t xml:space="preserve"> Better Inventory Management</w:t>
          </w:r>
          <w:r>
            <w:t xml:space="preserve">. [online] </w:t>
          </w:r>
          <w:proofErr w:type="spellStart"/>
          <w:r>
            <w:t>Deskera</w:t>
          </w:r>
          <w:proofErr w:type="spellEnd"/>
          <w:r>
            <w:t xml:space="preserve"> Blog. Available at: https://www.deskera.com/blog/minimizing-supply-chain-disruptions-with-better-inventory-management/ [Accessed 13 Apr. 2026].</w:t>
          </w:r>
        </w:p>
        <w:p w14:paraId="5251EF5C" w14:textId="77777777" w:rsidR="005C510D" w:rsidRDefault="005C510D" w:rsidP="005C510D">
          <w:r>
            <w:t xml:space="preserve">Dogan, E. (2017). A strategic approach to innovation. </w:t>
          </w:r>
          <w:proofErr w:type="spellStart"/>
          <w:r>
            <w:rPr>
              <w:i/>
              <w:iCs/>
            </w:rPr>
            <w:t>Pressacademia</w:t>
          </w:r>
          <w:proofErr w:type="spellEnd"/>
          <w:r>
            <w:t xml:space="preserve">, 4(3), pp.290–300. </w:t>
          </w:r>
          <w:proofErr w:type="spellStart"/>
          <w:proofErr w:type="gramStart"/>
          <w:r>
            <w:t>doi:https</w:t>
          </w:r>
          <w:proofErr w:type="spellEnd"/>
          <w:r>
            <w:t>://doi.org/10.17261/pressacademia.2017.491</w:t>
          </w:r>
          <w:proofErr w:type="gramEnd"/>
          <w:r>
            <w:t>.</w:t>
          </w:r>
        </w:p>
        <w:p w14:paraId="2C5890C9" w14:textId="77777777" w:rsidR="005C510D" w:rsidRDefault="005C510D" w:rsidP="005C510D">
          <w:r>
            <w:t xml:space="preserve">Drozd, L.A., Kolasa, M. and Nosal, J.B. (2026). Pricing-to-market in business cycle models. </w:t>
          </w:r>
          <w:r>
            <w:rPr>
              <w:i/>
              <w:iCs/>
            </w:rPr>
            <w:t>Review of Economic Dynamics</w:t>
          </w:r>
          <w:r>
            <w:t xml:space="preserve">, [online] 60, p.101333. </w:t>
          </w:r>
          <w:proofErr w:type="spellStart"/>
          <w:proofErr w:type="gramStart"/>
          <w:r>
            <w:t>doi:https</w:t>
          </w:r>
          <w:proofErr w:type="spellEnd"/>
          <w:r>
            <w:t>://doi.org/10.1016/j.red.2026.101333</w:t>
          </w:r>
          <w:proofErr w:type="gramEnd"/>
          <w:r>
            <w:t>.</w:t>
          </w:r>
        </w:p>
        <w:p w14:paraId="5CB74C3B" w14:textId="77777777" w:rsidR="005C510D" w:rsidRDefault="005C510D" w:rsidP="005C510D">
          <w:r>
            <w:t xml:space="preserve">Drury, C. and </w:t>
          </w:r>
          <w:proofErr w:type="spellStart"/>
          <w:r>
            <w:t>Tayles</w:t>
          </w:r>
          <w:proofErr w:type="spellEnd"/>
          <w:r>
            <w:t xml:space="preserve">, M. (2022). </w:t>
          </w:r>
          <w:r>
            <w:rPr>
              <w:i/>
              <w:iCs/>
            </w:rPr>
            <w:t>Management and Cost Accounting</w:t>
          </w:r>
          <w:r>
            <w:t>. 8th ed. Andover: Cengage Learning.</w:t>
          </w:r>
        </w:p>
        <w:p w14:paraId="7EF44BC5" w14:textId="77777777" w:rsidR="005C510D" w:rsidRDefault="005C510D" w:rsidP="005C510D">
          <w:r>
            <w:t xml:space="preserve">Drury, C. and </w:t>
          </w:r>
          <w:proofErr w:type="spellStart"/>
          <w:r>
            <w:t>Tayles</w:t>
          </w:r>
          <w:proofErr w:type="spellEnd"/>
          <w:r>
            <w:t xml:space="preserve">, M. (2025). </w:t>
          </w:r>
          <w:r>
            <w:rPr>
              <w:i/>
              <w:iCs/>
            </w:rPr>
            <w:t>Management accounting for business.</w:t>
          </w:r>
          <w:r>
            <w:t xml:space="preserve"> 9th ed. Andover: Cengage Learning.</w:t>
          </w:r>
        </w:p>
        <w:p w14:paraId="7D0BCAAF" w14:textId="77777777" w:rsidR="005C510D" w:rsidRDefault="005C510D" w:rsidP="005C510D">
          <w:r>
            <w:t xml:space="preserve">Epstein, M.J., </w:t>
          </w:r>
          <w:proofErr w:type="spellStart"/>
          <w:r>
            <w:t>Verbeeten</w:t>
          </w:r>
          <w:proofErr w:type="spellEnd"/>
          <w:r>
            <w:t xml:space="preserve">, F. and Widener, S.K. (2018). </w:t>
          </w:r>
          <w:r>
            <w:rPr>
              <w:i/>
              <w:iCs/>
            </w:rPr>
            <w:t xml:space="preserve">Performance Measurement and Management </w:t>
          </w:r>
          <w:proofErr w:type="gramStart"/>
          <w:r>
            <w:rPr>
              <w:i/>
              <w:iCs/>
            </w:rPr>
            <w:t>Control :</w:t>
          </w:r>
          <w:proofErr w:type="gramEnd"/>
          <w:r>
            <w:rPr>
              <w:i/>
              <w:iCs/>
            </w:rPr>
            <w:t xml:space="preserve"> the Relevance of Performance Measurement and Management Control Research</w:t>
          </w:r>
          <w:r>
            <w:t>. Bingley: Emerald Publishing Limited.</w:t>
          </w:r>
        </w:p>
        <w:p w14:paraId="486BA12C" w14:textId="77777777" w:rsidR="005C510D" w:rsidRDefault="005C510D" w:rsidP="005C510D">
          <w:r>
            <w:t xml:space="preserve">Fosso, S. (2020). The performance effects of big data analytics and supply chain ambidexterity: The moderating effect of environmental dynamism. </w:t>
          </w:r>
          <w:r>
            <w:rPr>
              <w:i/>
              <w:iCs/>
            </w:rPr>
            <w:t>International Journal of Production Economics</w:t>
          </w:r>
          <w:r>
            <w:t>, [online] 222(C). Available at: https://ideas.repec.org/a/eee/proeco/v222y2020ics0925527319303184.html.</w:t>
          </w:r>
        </w:p>
        <w:p w14:paraId="6412E9BA" w14:textId="77777777" w:rsidR="005C510D" w:rsidRDefault="005C510D" w:rsidP="005C510D">
          <w:r>
            <w:t xml:space="preserve">Grant, R.M. (2021). </w:t>
          </w:r>
          <w:r>
            <w:rPr>
              <w:i/>
              <w:iCs/>
            </w:rPr>
            <w:t>Contemporary Strategy Analysis.</w:t>
          </w:r>
          <w:r>
            <w:t xml:space="preserve"> 11th ed. S.L.: John Wiley.</w:t>
          </w:r>
        </w:p>
        <w:p w14:paraId="449D6F1E" w14:textId="77777777" w:rsidR="005C510D" w:rsidRDefault="005C510D" w:rsidP="005C510D">
          <w:r>
            <w:t xml:space="preserve">Guo, Y., Liu, F., Song, J.-S. and Wang, S. (2024). Supply Chain Resilience: </w:t>
          </w:r>
          <w:proofErr w:type="gramStart"/>
          <w:r>
            <w:t>a</w:t>
          </w:r>
          <w:proofErr w:type="gramEnd"/>
          <w:r>
            <w:t xml:space="preserve"> Review from the Inventory Management Perspective. </w:t>
          </w:r>
          <w:r>
            <w:rPr>
              <w:i/>
              <w:iCs/>
            </w:rPr>
            <w:t>Fundamental Research</w:t>
          </w:r>
          <w:r>
            <w:t xml:space="preserve">, [online] 5(2), pp.1–14. </w:t>
          </w:r>
          <w:proofErr w:type="spellStart"/>
          <w:proofErr w:type="gramStart"/>
          <w:r>
            <w:t>doi:https</w:t>
          </w:r>
          <w:proofErr w:type="spellEnd"/>
          <w:r>
            <w:t>://doi.org/10.1016/j.fmre.2024.08.002</w:t>
          </w:r>
          <w:proofErr w:type="gramEnd"/>
          <w:r>
            <w:t>.</w:t>
          </w:r>
        </w:p>
        <w:p w14:paraId="66BCB6FA" w14:textId="77777777" w:rsidR="005C510D" w:rsidRDefault="005C510D" w:rsidP="005C510D">
          <w:r>
            <w:t xml:space="preserve">Hadid, W. and Al-Sayed, M. (2021). Management Accountants and Strategic Management Accounting: The Role of Organizational Culture and Information Systems. </w:t>
          </w:r>
          <w:r>
            <w:rPr>
              <w:i/>
              <w:iCs/>
            </w:rPr>
            <w:t>Management Accounting Research</w:t>
          </w:r>
          <w:r>
            <w:t xml:space="preserve">, 50(1), p.100725. </w:t>
          </w:r>
          <w:proofErr w:type="spellStart"/>
          <w:proofErr w:type="gramStart"/>
          <w:r>
            <w:t>doi:https</w:t>
          </w:r>
          <w:proofErr w:type="spellEnd"/>
          <w:r>
            <w:t>://doi.org/10.1016/j.mar.2020.100725</w:t>
          </w:r>
          <w:proofErr w:type="gramEnd"/>
          <w:r>
            <w:t>.</w:t>
          </w:r>
        </w:p>
        <w:p w14:paraId="70C46FEE" w14:textId="77777777" w:rsidR="005C510D" w:rsidRDefault="005C510D" w:rsidP="005C510D">
          <w:r>
            <w:t xml:space="preserve">Hasan, R. and Chyi, T. (2017). Practical application of Balanced Scorecard -A literature review. </w:t>
          </w:r>
          <w:r>
            <w:rPr>
              <w:i/>
              <w:iCs/>
            </w:rPr>
            <w:t>Journal of Strategy and Performance Management</w:t>
          </w:r>
          <w:r>
            <w:t>, [online] 5(3), pp.87–103. Available at: https://www.researchgate.net/profile/Rashedul-Hasan/publication/319930803_PRACTICAL_APPLICATION_OF_BALANCED_SCORECARD-A_LITERATURE_REVIEW/links/59c2159c0f7e9b21a82a4b36/PRACTICAL-APPLICATION-OF-BALANCED-SCORECARD-A-LITERATURE-REVIEW.pdf?_sg%5B0%5D=started_experiment_milestone&amp;origin=journalDetail.</w:t>
          </w:r>
        </w:p>
        <w:p w14:paraId="3B06F8DE" w14:textId="77777777" w:rsidR="005C510D" w:rsidRDefault="005C510D" w:rsidP="005C510D">
          <w:r>
            <w:lastRenderedPageBreak/>
            <w:t xml:space="preserve">Heinrich, R. (2014). </w:t>
          </w:r>
          <w:r>
            <w:rPr>
              <w:i/>
              <w:iCs/>
            </w:rPr>
            <w:t>Aligning Business Processes and Information Systems New Approaches to Continuous Quality Engineering</w:t>
          </w:r>
          <w:r>
            <w:t xml:space="preserve">. </w:t>
          </w:r>
          <w:proofErr w:type="spellStart"/>
          <w:r>
            <w:t>Éditeur</w:t>
          </w:r>
          <w:proofErr w:type="spellEnd"/>
          <w:r>
            <w:t xml:space="preserve">: Wiesbaden Springer </w:t>
          </w:r>
          <w:proofErr w:type="spellStart"/>
          <w:r>
            <w:t>Fachmedien</w:t>
          </w:r>
          <w:proofErr w:type="spellEnd"/>
          <w:r>
            <w:t xml:space="preserve"> Wiesbaden, Imprint: Springer Vieweg.</w:t>
          </w:r>
        </w:p>
        <w:p w14:paraId="15863CC9" w14:textId="77777777" w:rsidR="005C510D" w:rsidRDefault="005C510D" w:rsidP="005C510D">
          <w:r>
            <w:t xml:space="preserve">Heizer, J., Render, B. and Munson, C. (2023). </w:t>
          </w:r>
          <w:r>
            <w:rPr>
              <w:i/>
              <w:iCs/>
            </w:rPr>
            <w:t>Operations management: Sustainability and supply chain management</w:t>
          </w:r>
          <w:r>
            <w:t>. 14th ed. Hoboken, Nj: Pearson.</w:t>
          </w:r>
        </w:p>
        <w:p w14:paraId="59D6A038" w14:textId="77777777" w:rsidR="005C510D" w:rsidRDefault="005C510D" w:rsidP="005C510D">
          <w:r>
            <w:t xml:space="preserve">Hill, N. and Brierley, J. (2017). </w:t>
          </w:r>
          <w:r>
            <w:rPr>
              <w:i/>
              <w:iCs/>
            </w:rPr>
            <w:t>How to Measure Customer Satisfaction</w:t>
          </w:r>
          <w:r>
            <w:t xml:space="preserve">. Routledge. </w:t>
          </w:r>
          <w:proofErr w:type="spellStart"/>
          <w:proofErr w:type="gramStart"/>
          <w:r>
            <w:t>doi:https</w:t>
          </w:r>
          <w:proofErr w:type="spellEnd"/>
          <w:r>
            <w:t>://doi.org/10.4324/9781315253107</w:t>
          </w:r>
          <w:proofErr w:type="gramEnd"/>
          <w:r>
            <w:t>.</w:t>
          </w:r>
        </w:p>
        <w:p w14:paraId="19CD5CD6" w14:textId="77777777" w:rsidR="005C510D" w:rsidRDefault="005C510D" w:rsidP="005C510D">
          <w:proofErr w:type="spellStart"/>
          <w:r>
            <w:t>Hnylianska</w:t>
          </w:r>
          <w:proofErr w:type="spellEnd"/>
          <w:r>
            <w:t xml:space="preserve">, O. (2022). Rethinking the business process through reengineering. </w:t>
          </w:r>
          <w:proofErr w:type="spellStart"/>
          <w:r>
            <w:rPr>
              <w:i/>
              <w:iCs/>
            </w:rPr>
            <w:t>Vìsnik</w:t>
          </w:r>
          <w:proofErr w:type="spellEnd"/>
          <w:r>
            <w:rPr>
              <w:i/>
              <w:iCs/>
            </w:rPr>
            <w:t xml:space="preserve"> </w:t>
          </w:r>
          <w:proofErr w:type="spellStart"/>
          <w:r>
            <w:rPr>
              <w:i/>
              <w:iCs/>
            </w:rPr>
            <w:t>Harkìvs</w:t>
          </w:r>
          <w:r>
            <w:rPr>
              <w:rFonts w:ascii="Arial" w:hAnsi="Arial" w:cs="Arial"/>
              <w:i/>
              <w:iCs/>
            </w:rPr>
            <w:t>ʹ</w:t>
          </w:r>
          <w:r>
            <w:rPr>
              <w:i/>
              <w:iCs/>
            </w:rPr>
            <w:t>kogo</w:t>
          </w:r>
          <w:proofErr w:type="spellEnd"/>
          <w:r>
            <w:rPr>
              <w:i/>
              <w:iCs/>
            </w:rPr>
            <w:t xml:space="preserve"> </w:t>
          </w:r>
          <w:proofErr w:type="spellStart"/>
          <w:r>
            <w:rPr>
              <w:i/>
              <w:iCs/>
            </w:rPr>
            <w:t>nac</w:t>
          </w:r>
          <w:r>
            <w:rPr>
              <w:rFonts w:ascii="Aptos" w:hAnsi="Aptos" w:cs="Aptos"/>
              <w:i/>
              <w:iCs/>
            </w:rPr>
            <w:t>ì</w:t>
          </w:r>
          <w:r>
            <w:rPr>
              <w:i/>
              <w:iCs/>
            </w:rPr>
            <w:t>onal</w:t>
          </w:r>
          <w:r>
            <w:rPr>
              <w:rFonts w:ascii="Arial" w:hAnsi="Arial" w:cs="Arial"/>
              <w:i/>
              <w:iCs/>
            </w:rPr>
            <w:t>ʹ</w:t>
          </w:r>
          <w:r>
            <w:rPr>
              <w:i/>
              <w:iCs/>
            </w:rPr>
            <w:t>nogo</w:t>
          </w:r>
          <w:proofErr w:type="spellEnd"/>
          <w:r>
            <w:rPr>
              <w:i/>
              <w:iCs/>
            </w:rPr>
            <w:t xml:space="preserve"> </w:t>
          </w:r>
          <w:proofErr w:type="spellStart"/>
          <w:r>
            <w:rPr>
              <w:i/>
              <w:iCs/>
            </w:rPr>
            <w:t>un</w:t>
          </w:r>
          <w:r>
            <w:rPr>
              <w:rFonts w:ascii="Aptos" w:hAnsi="Aptos" w:cs="Aptos"/>
              <w:i/>
              <w:iCs/>
            </w:rPr>
            <w:t>ì</w:t>
          </w:r>
          <w:r>
            <w:rPr>
              <w:i/>
              <w:iCs/>
            </w:rPr>
            <w:t>versitetu</w:t>
          </w:r>
          <w:proofErr w:type="spellEnd"/>
          <w:r>
            <w:rPr>
              <w:i/>
              <w:iCs/>
            </w:rPr>
            <w:t xml:space="preserve"> </w:t>
          </w:r>
          <w:proofErr w:type="spellStart"/>
          <w:r>
            <w:rPr>
              <w:rFonts w:ascii="Aptos" w:hAnsi="Aptos" w:cs="Aptos"/>
              <w:i/>
              <w:iCs/>
            </w:rPr>
            <w:t>ì</w:t>
          </w:r>
          <w:r>
            <w:rPr>
              <w:i/>
              <w:iCs/>
            </w:rPr>
            <w:t>men</w:t>
          </w:r>
          <w:r>
            <w:rPr>
              <w:rFonts w:ascii="Aptos" w:hAnsi="Aptos" w:cs="Aptos"/>
              <w:i/>
              <w:iCs/>
            </w:rPr>
            <w:t>ì</w:t>
          </w:r>
          <w:proofErr w:type="spellEnd"/>
          <w:r>
            <w:rPr>
              <w:i/>
              <w:iCs/>
            </w:rPr>
            <w:t xml:space="preserve"> V.N. Karaz</w:t>
          </w:r>
          <w:r>
            <w:rPr>
              <w:rFonts w:ascii="Aptos" w:hAnsi="Aptos" w:cs="Aptos"/>
              <w:i/>
              <w:iCs/>
            </w:rPr>
            <w:t>ì</w:t>
          </w:r>
          <w:r>
            <w:rPr>
              <w:i/>
              <w:iCs/>
            </w:rPr>
            <w:t>na</w:t>
          </w:r>
          <w:r>
            <w:t xml:space="preserve">, (103), pp.84–90. </w:t>
          </w:r>
          <w:proofErr w:type="spellStart"/>
          <w:proofErr w:type="gramStart"/>
          <w:r>
            <w:t>doi:https</w:t>
          </w:r>
          <w:proofErr w:type="spellEnd"/>
          <w:r>
            <w:t>://doi.org/10.26565/2311-2379-2022-103-10</w:t>
          </w:r>
          <w:proofErr w:type="gramEnd"/>
          <w:r>
            <w:t>.</w:t>
          </w:r>
        </w:p>
        <w:p w14:paraId="766F4512" w14:textId="77777777" w:rsidR="005C510D" w:rsidRDefault="005C510D" w:rsidP="005C510D">
          <w:r>
            <w:t xml:space="preserve">Horngren, C.T., Datar, S.M. and Foster, G. (2006). </w:t>
          </w:r>
          <w:r>
            <w:rPr>
              <w:i/>
              <w:iCs/>
            </w:rPr>
            <w:t>Cost Accounting</w:t>
          </w:r>
          <w:r>
            <w:t>. Prentice Hall.</w:t>
          </w:r>
        </w:p>
        <w:p w14:paraId="25B9C0BF" w14:textId="77777777" w:rsidR="005C510D" w:rsidRDefault="005C510D" w:rsidP="005C510D">
          <w:r>
            <w:t xml:space="preserve">Islam, S.S., </w:t>
          </w:r>
          <w:proofErr w:type="spellStart"/>
          <w:r>
            <w:t>Pulungan</w:t>
          </w:r>
          <w:proofErr w:type="spellEnd"/>
          <w:r>
            <w:t xml:space="preserve">, A.H. and Rochim, A. (2019). Inventory management efficiency analysis: A case study of an SME company. </w:t>
          </w:r>
          <w:r>
            <w:rPr>
              <w:i/>
              <w:iCs/>
            </w:rPr>
            <w:t>Journal of Physics: Conference Series</w:t>
          </w:r>
          <w:r>
            <w:t xml:space="preserve">, [online] 1402(2), p.022040. </w:t>
          </w:r>
          <w:proofErr w:type="spellStart"/>
          <w:proofErr w:type="gramStart"/>
          <w:r>
            <w:t>doi:https</w:t>
          </w:r>
          <w:proofErr w:type="spellEnd"/>
          <w:r>
            <w:t>://doi.org/10.1088/1742-6596/1402/2/022040</w:t>
          </w:r>
          <w:proofErr w:type="gramEnd"/>
          <w:r>
            <w:t>.</w:t>
          </w:r>
        </w:p>
        <w:p w14:paraId="622426F1" w14:textId="77777777" w:rsidR="005C510D" w:rsidRDefault="005C510D" w:rsidP="005C510D">
          <w:r>
            <w:t xml:space="preserve">Joseph, J. and Gaba, V. (2020). Organizational Structure, Information Processing, and Decision-Making: a Retrospective and Road Map for Research. </w:t>
          </w:r>
          <w:r>
            <w:rPr>
              <w:i/>
              <w:iCs/>
            </w:rPr>
            <w:t>Academy of Management Annals</w:t>
          </w:r>
          <w:r>
            <w:t>, 14(1), pp.267–302.</w:t>
          </w:r>
        </w:p>
        <w:p w14:paraId="1FF6D74D" w14:textId="77777777" w:rsidR="005C510D" w:rsidRDefault="005C510D" w:rsidP="005C510D">
          <w:r>
            <w:t xml:space="preserve">Kaplan, R.S. and Norton, D.P. (2020). </w:t>
          </w:r>
          <w:r>
            <w:rPr>
              <w:i/>
              <w:iCs/>
            </w:rPr>
            <w:t>The balanced scorecard—measures that drive performance</w:t>
          </w:r>
          <w:r>
            <w:t>. [online] Harvard Business Review. Available at: https://hbr.org/1992/01/the-balanced-scorecard-measures-that-drive-performance-2 [Accessed 13 Apr. 2026].</w:t>
          </w:r>
        </w:p>
        <w:p w14:paraId="5BAE6017" w14:textId="77777777" w:rsidR="005C510D" w:rsidRDefault="005C510D" w:rsidP="005C510D">
          <w:r>
            <w:t xml:space="preserve">Kareem, H.M., Aziz, K.A., Maelah, R., Yunus, Y.M., Alsheikh, A. and Alsheikh, W. (2021). The Influence of Accounting Information Systems, Knowledge Management Capabilities, and Innovation on Organizational </w:t>
          </w:r>
          <w:proofErr w:type="gramStart"/>
          <w:r>
            <w:t>Performance .</w:t>
          </w:r>
          <w:proofErr w:type="gramEnd"/>
          <w:r>
            <w:t xml:space="preserve"> </w:t>
          </w:r>
          <w:r>
            <w:rPr>
              <w:i/>
              <w:iCs/>
            </w:rPr>
            <w:t>International Journal of Knowledge Management</w:t>
          </w:r>
          <w:r>
            <w:t xml:space="preserve">, 17(2), pp.72–103. </w:t>
          </w:r>
          <w:proofErr w:type="spellStart"/>
          <w:proofErr w:type="gramStart"/>
          <w:r>
            <w:t>doi:https</w:t>
          </w:r>
          <w:proofErr w:type="spellEnd"/>
          <w:r>
            <w:t>://doi.org/10.4018/ijkm.2021040104</w:t>
          </w:r>
          <w:proofErr w:type="gramEnd"/>
          <w:r>
            <w:t>.</w:t>
          </w:r>
        </w:p>
        <w:p w14:paraId="4BA93842" w14:textId="77777777" w:rsidR="005C510D" w:rsidRDefault="005C510D" w:rsidP="005C510D">
          <w:r>
            <w:t xml:space="preserve">Khalid, K. and Nawab, S. (2018). Employee Participation and Employee Retention in View of Compensation. </w:t>
          </w:r>
          <w:r>
            <w:rPr>
              <w:i/>
              <w:iCs/>
            </w:rPr>
            <w:t>SAGE Open</w:t>
          </w:r>
          <w:r>
            <w:t xml:space="preserve">, [online] 8(4), pp.1–17. </w:t>
          </w:r>
          <w:proofErr w:type="spellStart"/>
          <w:proofErr w:type="gramStart"/>
          <w:r>
            <w:t>doi:https</w:t>
          </w:r>
          <w:proofErr w:type="spellEnd"/>
          <w:r>
            <w:t>://doi.org/10.1177/2158244018810067</w:t>
          </w:r>
          <w:proofErr w:type="gramEnd"/>
          <w:r>
            <w:t>.</w:t>
          </w:r>
        </w:p>
        <w:p w14:paraId="35E01704" w14:textId="77777777" w:rsidR="005C510D" w:rsidRDefault="005C510D" w:rsidP="005C510D">
          <w:r>
            <w:t xml:space="preserve">Kumar, S., Lim, W.M., Sureka, R., Chiappetta, J. and </w:t>
          </w:r>
          <w:proofErr w:type="spellStart"/>
          <w:r>
            <w:t>Bamel</w:t>
          </w:r>
          <w:proofErr w:type="spellEnd"/>
          <w:r>
            <w:t xml:space="preserve">, U. (2023). Balanced scorecard: trends, developments, and future directions. </w:t>
          </w:r>
          <w:r>
            <w:rPr>
              <w:i/>
              <w:iCs/>
            </w:rPr>
            <w:t>Review of Managerial Science</w:t>
          </w:r>
          <w:r>
            <w:t xml:space="preserve">, 18(1), pp.2397–2439. </w:t>
          </w:r>
          <w:proofErr w:type="spellStart"/>
          <w:proofErr w:type="gramStart"/>
          <w:r>
            <w:t>doi:https</w:t>
          </w:r>
          <w:proofErr w:type="spellEnd"/>
          <w:r>
            <w:t>://doi.org/10.1007/s11846-023-00700-6</w:t>
          </w:r>
          <w:proofErr w:type="gramEnd"/>
          <w:r>
            <w:t>.</w:t>
          </w:r>
        </w:p>
        <w:p w14:paraId="70DFC287" w14:textId="77777777" w:rsidR="005C510D" w:rsidRDefault="005C510D" w:rsidP="005C510D">
          <w:r>
            <w:t xml:space="preserve">Lysek, M. (2019). Disguising diversification for innovation. </w:t>
          </w:r>
          <w:r>
            <w:rPr>
              <w:i/>
              <w:iCs/>
            </w:rPr>
            <w:t>International Journal of Innovation Science</w:t>
          </w:r>
          <w:r>
            <w:t xml:space="preserve">, 11(1), pp.119–138. </w:t>
          </w:r>
          <w:proofErr w:type="spellStart"/>
          <w:proofErr w:type="gramStart"/>
          <w:r>
            <w:t>doi:https</w:t>
          </w:r>
          <w:proofErr w:type="spellEnd"/>
          <w:r>
            <w:t>://doi.org/10.1108/ijis-05-2018-0051</w:t>
          </w:r>
          <w:proofErr w:type="gramEnd"/>
          <w:r>
            <w:t>.</w:t>
          </w:r>
        </w:p>
        <w:p w14:paraId="53369939" w14:textId="77777777" w:rsidR="005C510D" w:rsidRDefault="005C510D" w:rsidP="005C510D">
          <w:r>
            <w:lastRenderedPageBreak/>
            <w:t xml:space="preserve">McMillan, C. and Overall, J. (2016). Wicked problems: turning strategic management upside down. </w:t>
          </w:r>
          <w:r>
            <w:rPr>
              <w:i/>
              <w:iCs/>
            </w:rPr>
            <w:t>Journal of Business Strategy</w:t>
          </w:r>
          <w:r>
            <w:t xml:space="preserve">, 37(1), pp.34–43. </w:t>
          </w:r>
          <w:proofErr w:type="spellStart"/>
          <w:proofErr w:type="gramStart"/>
          <w:r>
            <w:t>doi:https</w:t>
          </w:r>
          <w:proofErr w:type="spellEnd"/>
          <w:r>
            <w:t>://doi.org/10.1108/jbs-11-2014-0129</w:t>
          </w:r>
          <w:proofErr w:type="gramEnd"/>
          <w:r>
            <w:t>.</w:t>
          </w:r>
        </w:p>
        <w:p w14:paraId="70A0F400" w14:textId="77777777" w:rsidR="005C510D" w:rsidRDefault="005C510D" w:rsidP="005C510D">
          <w:r>
            <w:t xml:space="preserve">Merchant, K.A. and Van Der Stede, W.A. (2007). </w:t>
          </w:r>
          <w:r>
            <w:rPr>
              <w:i/>
              <w:iCs/>
            </w:rPr>
            <w:t xml:space="preserve">Management control </w:t>
          </w:r>
          <w:proofErr w:type="gramStart"/>
          <w:r>
            <w:rPr>
              <w:i/>
              <w:iCs/>
            </w:rPr>
            <w:t>systems :</w:t>
          </w:r>
          <w:proofErr w:type="gramEnd"/>
          <w:r>
            <w:rPr>
              <w:i/>
              <w:iCs/>
            </w:rPr>
            <w:t xml:space="preserve"> performance measurement, evaluation and incentives</w:t>
          </w:r>
          <w:r>
            <w:t>. Harlow Financial Times Prentice Hall [20]10.</w:t>
          </w:r>
        </w:p>
        <w:p w14:paraId="69BD8B19" w14:textId="77777777" w:rsidR="005C510D" w:rsidRDefault="005C510D" w:rsidP="005C510D">
          <w:proofErr w:type="spellStart"/>
          <w:r>
            <w:t>Miahkykh</w:t>
          </w:r>
          <w:proofErr w:type="spellEnd"/>
          <w:r>
            <w:t xml:space="preserve">, I.M., </w:t>
          </w:r>
          <w:proofErr w:type="spellStart"/>
          <w:r>
            <w:t>Shkoda</w:t>
          </w:r>
          <w:proofErr w:type="spellEnd"/>
          <w:r>
            <w:t xml:space="preserve">, M.S. and </w:t>
          </w:r>
          <w:proofErr w:type="spellStart"/>
          <w:r>
            <w:t>Peresypko</w:t>
          </w:r>
          <w:proofErr w:type="spellEnd"/>
          <w:r>
            <w:t xml:space="preserve">, O.М. (2019). ENHANCING THE ENTERPRISE PRICING STRATEGY MANAGEMENT. </w:t>
          </w:r>
          <w:r>
            <w:rPr>
              <w:i/>
              <w:iCs/>
            </w:rPr>
            <w:t>Bulletin of the Kyiv National University of Technologies and Design. Series: Economic sciences</w:t>
          </w:r>
          <w:r>
            <w:t xml:space="preserve">, 137(4), pp.95–103. </w:t>
          </w:r>
          <w:proofErr w:type="spellStart"/>
          <w:proofErr w:type="gramStart"/>
          <w:r>
            <w:t>doi:https</w:t>
          </w:r>
          <w:proofErr w:type="spellEnd"/>
          <w:r>
            <w:t>://doi.org/10.30857/2413-0117.2019.4.9</w:t>
          </w:r>
          <w:proofErr w:type="gramEnd"/>
          <w:r>
            <w:t>.</w:t>
          </w:r>
        </w:p>
        <w:p w14:paraId="278E3BE3" w14:textId="77777777" w:rsidR="005C510D" w:rsidRDefault="005C510D" w:rsidP="005C510D">
          <w:r>
            <w:t xml:space="preserve">Mikula, B., Vajdová, I., </w:t>
          </w:r>
          <w:proofErr w:type="spellStart"/>
          <w:r>
            <w:t>Koščák</w:t>
          </w:r>
          <w:proofErr w:type="spellEnd"/>
          <w:r>
            <w:t xml:space="preserve">, P. and Jenčová, E. (2020). </w:t>
          </w:r>
          <w:r>
            <w:rPr>
              <w:i/>
              <w:iCs/>
            </w:rPr>
            <w:t>Learning and Growth Perspective in Balanced Scorecard</w:t>
          </w:r>
          <w:r>
            <w:t xml:space="preserve">. [online] IEEE Xplore. </w:t>
          </w:r>
          <w:proofErr w:type="spellStart"/>
          <w:proofErr w:type="gramStart"/>
          <w:r>
            <w:t>doi:https</w:t>
          </w:r>
          <w:proofErr w:type="spellEnd"/>
          <w:r>
            <w:t>://doi.org/10.1109/NTAD51447.2020.9379091</w:t>
          </w:r>
          <w:proofErr w:type="gramEnd"/>
          <w:r>
            <w:t>.</w:t>
          </w:r>
        </w:p>
        <w:p w14:paraId="169C4C55" w14:textId="77777777" w:rsidR="005C510D" w:rsidRDefault="005C510D" w:rsidP="005C510D">
          <w:r>
            <w:t xml:space="preserve">Miller, D.J. and Yang, H.-S. (2016). The dynamics of diversification: Market entry and exit by public and private firms. </w:t>
          </w:r>
          <w:r>
            <w:rPr>
              <w:i/>
              <w:iCs/>
            </w:rPr>
            <w:t>Strategic Management Journal</w:t>
          </w:r>
          <w:r>
            <w:t xml:space="preserve">, 37(11), pp.2323–2345. </w:t>
          </w:r>
          <w:proofErr w:type="spellStart"/>
          <w:proofErr w:type="gramStart"/>
          <w:r>
            <w:t>doi:https</w:t>
          </w:r>
          <w:proofErr w:type="spellEnd"/>
          <w:r>
            <w:t>://doi.org/10.1002/smj.2568</w:t>
          </w:r>
          <w:proofErr w:type="gramEnd"/>
          <w:r>
            <w:t>.</w:t>
          </w:r>
        </w:p>
        <w:p w14:paraId="05291CB1" w14:textId="77777777" w:rsidR="005C510D" w:rsidRDefault="005C510D" w:rsidP="005C510D">
          <w:r>
            <w:t xml:space="preserve">Mohamed, A.E. (2024). </w:t>
          </w:r>
          <w:r>
            <w:rPr>
              <w:i/>
              <w:iCs/>
            </w:rPr>
            <w:t>Inventory Management</w:t>
          </w:r>
          <w:r>
            <w:t>. [online] www.intechopen.com. Available at: https://www.intechopen.com/chapters/88430 [Accessed 13 Apr. 2026].</w:t>
          </w:r>
        </w:p>
        <w:p w14:paraId="153E748A" w14:textId="77777777" w:rsidR="005C510D" w:rsidRDefault="005C510D" w:rsidP="005C510D">
          <w:proofErr w:type="spellStart"/>
          <w:r>
            <w:t>Norreklit</w:t>
          </w:r>
          <w:proofErr w:type="spellEnd"/>
          <w:r>
            <w:t xml:space="preserve">, H. (2000). The balance on the balanced scorecard a critical analysis of some of its assumptions. </w:t>
          </w:r>
          <w:r>
            <w:rPr>
              <w:i/>
              <w:iCs/>
            </w:rPr>
            <w:t>Management Accounting Research</w:t>
          </w:r>
          <w:r>
            <w:t>, 11(1), pp.65–88.</w:t>
          </w:r>
        </w:p>
        <w:p w14:paraId="18099B7E" w14:textId="77777777" w:rsidR="005C510D" w:rsidRDefault="005C510D" w:rsidP="005C510D">
          <w:r>
            <w:t xml:space="preserve">Rakhra, H.K. (2018). Study on factors influencing employee retention in companies. </w:t>
          </w:r>
          <w:r>
            <w:rPr>
              <w:i/>
              <w:iCs/>
            </w:rPr>
            <w:t>International Journal of Public Sector Performance Management</w:t>
          </w:r>
          <w:r>
            <w:t xml:space="preserve">, 4(1), p.57. </w:t>
          </w:r>
          <w:proofErr w:type="spellStart"/>
          <w:proofErr w:type="gramStart"/>
          <w:r>
            <w:t>doi:https</w:t>
          </w:r>
          <w:proofErr w:type="spellEnd"/>
          <w:r>
            <w:t>://doi.org/10.1504/ijpspm.2018.088695</w:t>
          </w:r>
          <w:proofErr w:type="gramEnd"/>
          <w:r>
            <w:t>.</w:t>
          </w:r>
        </w:p>
        <w:p w14:paraId="439EDD95" w14:textId="77777777" w:rsidR="005C510D" w:rsidRDefault="005C510D" w:rsidP="005C510D">
          <w:r>
            <w:t xml:space="preserve">Sabol, A. and </w:t>
          </w:r>
          <w:proofErr w:type="spellStart"/>
          <w:r>
            <w:t>Sverer</w:t>
          </w:r>
          <w:proofErr w:type="spellEnd"/>
          <w:r>
            <w:t xml:space="preserve">, F. (2017). A review of the economic </w:t>
          </w:r>
          <w:proofErr w:type="gramStart"/>
          <w:r>
            <w:t>value added</w:t>
          </w:r>
          <w:proofErr w:type="gramEnd"/>
          <w:r>
            <w:t xml:space="preserve"> literature and application. </w:t>
          </w:r>
          <w:r>
            <w:rPr>
              <w:i/>
              <w:iCs/>
            </w:rPr>
            <w:t>UTMS Journal of Economics</w:t>
          </w:r>
          <w:r>
            <w:t>, [online] 8(1), pp.19–27. Available at: https://www.econstor.eu/handle/10419/174163.</w:t>
          </w:r>
        </w:p>
        <w:p w14:paraId="40A7686F" w14:textId="77777777" w:rsidR="005C510D" w:rsidRDefault="005C510D" w:rsidP="005C510D">
          <w:r>
            <w:t xml:space="preserve">Safwan, E.R., Meredith, R. and Burstein, F. (2016). </w:t>
          </w:r>
          <w:r>
            <w:rPr>
              <w:i/>
              <w:iCs/>
            </w:rPr>
            <w:t>Towards a Business Intelligence Systems Development Methodology: Drawing on Decision Support and Executive Information Systems</w:t>
          </w:r>
          <w:r>
            <w:t>. [online] AIS Electronic Library (</w:t>
          </w:r>
          <w:proofErr w:type="spellStart"/>
          <w:r>
            <w:t>AISeL</w:t>
          </w:r>
          <w:proofErr w:type="spellEnd"/>
          <w:r>
            <w:t>). Available at: https://aisel.aisnet.org/pacis2016/136/ [Accessed 13 Apr. 2026].</w:t>
          </w:r>
        </w:p>
        <w:p w14:paraId="715E32DA" w14:textId="77777777" w:rsidR="005C510D" w:rsidRDefault="005C510D" w:rsidP="005C510D">
          <w:proofErr w:type="spellStart"/>
          <w:r>
            <w:t>Soegoto</w:t>
          </w:r>
          <w:proofErr w:type="spellEnd"/>
          <w:r>
            <w:t xml:space="preserve">, E.S. and Luckyardi, S. (2018). Going paperless: executive information system toward digitalized universities management. </w:t>
          </w:r>
          <w:r>
            <w:rPr>
              <w:i/>
              <w:iCs/>
            </w:rPr>
            <w:t>IOP Conference Series: Materials Science and Engineering</w:t>
          </w:r>
          <w:r>
            <w:t xml:space="preserve">, 434, p.012165. </w:t>
          </w:r>
          <w:proofErr w:type="spellStart"/>
          <w:proofErr w:type="gramStart"/>
          <w:r>
            <w:t>doi:https</w:t>
          </w:r>
          <w:proofErr w:type="spellEnd"/>
          <w:r>
            <w:t>://doi.org/10.1088/1757-899x/434/1/012165</w:t>
          </w:r>
          <w:proofErr w:type="gramEnd"/>
          <w:r>
            <w:t>.</w:t>
          </w:r>
        </w:p>
        <w:p w14:paraId="45D1CECE" w14:textId="77777777" w:rsidR="005C510D" w:rsidRDefault="005C510D" w:rsidP="005C510D">
          <w:proofErr w:type="spellStart"/>
          <w:r>
            <w:t>Tahat</w:t>
          </w:r>
          <w:proofErr w:type="spellEnd"/>
          <w:r>
            <w:t xml:space="preserve">, I. (2023). Pricing strategy and </w:t>
          </w:r>
          <w:proofErr w:type="gramStart"/>
          <w:r>
            <w:t>firms</w:t>
          </w:r>
          <w:proofErr w:type="gramEnd"/>
          <w:r>
            <w:t xml:space="preserve"> profitability. </w:t>
          </w:r>
          <w:proofErr w:type="spellStart"/>
          <w:r>
            <w:rPr>
              <w:i/>
              <w:iCs/>
            </w:rPr>
            <w:t>SocioEconomic</w:t>
          </w:r>
          <w:proofErr w:type="spellEnd"/>
          <w:r>
            <w:rPr>
              <w:i/>
              <w:iCs/>
            </w:rPr>
            <w:t xml:space="preserve"> Challenges</w:t>
          </w:r>
          <w:r>
            <w:t xml:space="preserve">, [online] 7(4), pp.124–132. </w:t>
          </w:r>
          <w:proofErr w:type="spellStart"/>
          <w:proofErr w:type="gramStart"/>
          <w:r>
            <w:t>doi:https</w:t>
          </w:r>
          <w:proofErr w:type="spellEnd"/>
          <w:r>
            <w:t>://doi.org/10.21272/sec.7(4).124-132.2023</w:t>
          </w:r>
          <w:proofErr w:type="gramEnd"/>
          <w:r>
            <w:t>.</w:t>
          </w:r>
        </w:p>
        <w:p w14:paraId="1CF7872F" w14:textId="77777777" w:rsidR="005C510D" w:rsidRDefault="005C510D" w:rsidP="005C510D">
          <w:proofErr w:type="spellStart"/>
          <w:r>
            <w:lastRenderedPageBreak/>
            <w:t>Ţole</w:t>
          </w:r>
          <w:proofErr w:type="spellEnd"/>
          <w:r>
            <w:t xml:space="preserve">, A. (2016). Executive Information Systems’ (Eis) Structure </w:t>
          </w:r>
          <w:proofErr w:type="gramStart"/>
          <w:r>
            <w:t>And</w:t>
          </w:r>
          <w:proofErr w:type="gramEnd"/>
          <w:r>
            <w:t xml:space="preserve"> Their Importance </w:t>
          </w:r>
          <w:proofErr w:type="gramStart"/>
          <w:r>
            <w:t>In</w:t>
          </w:r>
          <w:proofErr w:type="gramEnd"/>
          <w:r>
            <w:t xml:space="preserve"> Decision-Making. A Comparison Between Decision Support Computer Systems. </w:t>
          </w:r>
          <w:r>
            <w:rPr>
              <w:i/>
              <w:iCs/>
            </w:rPr>
            <w:t>Journal of Information Systems &amp; Operations Management</w:t>
          </w:r>
          <w:r>
            <w:t>, [online] 10(1), pp.194–207. Available at: https://ideas.repec.org/a/rau/jisomg/v10y2016i1p194-207.html [Accessed 13 Apr. 2026].</w:t>
          </w:r>
        </w:p>
        <w:p w14:paraId="5F09E173" w14:textId="77777777" w:rsidR="005C510D" w:rsidRDefault="005C510D" w:rsidP="005C510D">
          <w:r>
            <w:t xml:space="preserve">Toni, D.D., Milan, G.S., </w:t>
          </w:r>
          <w:proofErr w:type="spellStart"/>
          <w:r>
            <w:t>Saciloto</w:t>
          </w:r>
          <w:proofErr w:type="spellEnd"/>
          <w:r>
            <w:t xml:space="preserve">, E.B. and </w:t>
          </w:r>
          <w:proofErr w:type="spellStart"/>
          <w:r>
            <w:t>Larentis</w:t>
          </w:r>
          <w:proofErr w:type="spellEnd"/>
          <w:r>
            <w:t xml:space="preserve">, F. (2017). Pricing Strategies and Levels and Their Impact on Corporate Profitability. </w:t>
          </w:r>
          <w:r>
            <w:rPr>
              <w:i/>
              <w:iCs/>
            </w:rPr>
            <w:t xml:space="preserve">Revista de </w:t>
          </w:r>
          <w:proofErr w:type="spellStart"/>
          <w:r>
            <w:rPr>
              <w:i/>
              <w:iCs/>
            </w:rPr>
            <w:t>Administração</w:t>
          </w:r>
          <w:proofErr w:type="spellEnd"/>
          <w:r>
            <w:t xml:space="preserve">, [online] 52(2), pp.120–133. </w:t>
          </w:r>
          <w:proofErr w:type="spellStart"/>
          <w:proofErr w:type="gramStart"/>
          <w:r>
            <w:t>doi:https</w:t>
          </w:r>
          <w:proofErr w:type="spellEnd"/>
          <w:r>
            <w:t>://doi.org/10.1016/j.rausp.2016.12.004</w:t>
          </w:r>
          <w:proofErr w:type="gramEnd"/>
          <w:r>
            <w:t>.</w:t>
          </w:r>
        </w:p>
        <w:p w14:paraId="191AEEA4" w14:textId="77777777" w:rsidR="005C510D" w:rsidRDefault="005C510D" w:rsidP="005C510D">
          <w:r>
            <w:t xml:space="preserve">van den Berg, M., van </w:t>
          </w:r>
          <w:proofErr w:type="spellStart"/>
          <w:r>
            <w:t>Marrewijk</w:t>
          </w:r>
          <w:proofErr w:type="spellEnd"/>
          <w:r>
            <w:t xml:space="preserve">, C. and Tamminen, S. (2018). Trade, productivity and profitability: On profit levels and profit margins. </w:t>
          </w:r>
          <w:r>
            <w:rPr>
              <w:i/>
              <w:iCs/>
            </w:rPr>
            <w:t>The World Economy</w:t>
          </w:r>
          <w:r>
            <w:t xml:space="preserve">, 41(8), pp.2149–2174. </w:t>
          </w:r>
          <w:proofErr w:type="spellStart"/>
          <w:proofErr w:type="gramStart"/>
          <w:r>
            <w:t>doi:https</w:t>
          </w:r>
          <w:proofErr w:type="spellEnd"/>
          <w:r>
            <w:t>://doi.org/10.1111/twec.12630</w:t>
          </w:r>
          <w:proofErr w:type="gramEnd"/>
          <w:r>
            <w:t>.</w:t>
          </w:r>
        </w:p>
        <w:p w14:paraId="3941D8B4" w14:textId="77777777" w:rsidR="005C510D" w:rsidRDefault="005C510D" w:rsidP="005C510D">
          <w:r>
            <w:t xml:space="preserve">Yin, C.-Y. (2015). Measuring organizational impacts by integrating competitive intelligence into executive information system. </w:t>
          </w:r>
          <w:r>
            <w:rPr>
              <w:i/>
              <w:iCs/>
            </w:rPr>
            <w:t>Journal of Intelligent Manufacturing</w:t>
          </w:r>
          <w:r>
            <w:t xml:space="preserve">, 29(3), pp.533–547. </w:t>
          </w:r>
          <w:proofErr w:type="spellStart"/>
          <w:proofErr w:type="gramStart"/>
          <w:r>
            <w:t>doi:https</w:t>
          </w:r>
          <w:proofErr w:type="spellEnd"/>
          <w:r>
            <w:t>://doi.org/10.1007/s10845-015-1135-4</w:t>
          </w:r>
          <w:proofErr w:type="gramEnd"/>
          <w:r>
            <w:t>.</w:t>
          </w:r>
        </w:p>
        <w:p w14:paraId="2E23440A" w14:textId="77777777" w:rsidR="005C510D" w:rsidRDefault="00000000" w:rsidP="005C510D"/>
      </w:sdtContent>
    </w:sdt>
    <w:p w14:paraId="19F5F486" w14:textId="77777777" w:rsidR="005C510D" w:rsidRDefault="005C510D" w:rsidP="005C510D"/>
    <w:p w14:paraId="0BB277B3" w14:textId="77777777" w:rsidR="005C510D" w:rsidRDefault="005C510D" w:rsidP="005C510D">
      <w:pPr>
        <w:spacing w:line="256" w:lineRule="auto"/>
        <w:rPr>
          <w:rFonts w:eastAsiaTheme="majorEastAsia"/>
          <w:b/>
          <w:bCs/>
          <w:color w:val="0F4761" w:themeColor="accent1" w:themeShade="BF"/>
          <w:sz w:val="32"/>
          <w:szCs w:val="32"/>
        </w:rPr>
      </w:pPr>
      <w:r>
        <w:br w:type="page"/>
      </w:r>
      <w:bookmarkStart w:id="19" w:name="_Toc129339192"/>
    </w:p>
    <w:p w14:paraId="58A6B849" w14:textId="77777777" w:rsidR="005C510D" w:rsidRPr="00565731" w:rsidRDefault="005C510D" w:rsidP="005C510D">
      <w:pPr>
        <w:pStyle w:val="Heading1"/>
        <w:rPr>
          <w:rFonts w:asciiTheme="minorHAnsi" w:hAnsiTheme="minorHAnsi"/>
          <w:b/>
          <w:bCs/>
          <w:sz w:val="32"/>
          <w:szCs w:val="32"/>
        </w:rPr>
      </w:pPr>
      <w:bookmarkStart w:id="20" w:name="_Toc227000467"/>
      <w:r w:rsidRPr="00565731">
        <w:rPr>
          <w:rFonts w:asciiTheme="minorHAnsi" w:hAnsiTheme="minorHAnsi"/>
        </w:rPr>
        <w:lastRenderedPageBreak/>
        <w:t>Appendix</w:t>
      </w:r>
      <w:bookmarkEnd w:id="19"/>
      <w:bookmarkEnd w:id="20"/>
    </w:p>
    <w:p w14:paraId="0EF8B372" w14:textId="77777777" w:rsidR="005C510D" w:rsidRDefault="005C510D" w:rsidP="005C510D">
      <w:pPr>
        <w:pStyle w:val="Heading2"/>
      </w:pPr>
      <w:bookmarkStart w:id="21" w:name="_Toc227000468"/>
      <w:r>
        <w:t>Appendix: A Part 1 Mitchum Fabrication plc</w:t>
      </w:r>
      <w:bookmarkEnd w:id="21"/>
    </w:p>
    <w:tbl>
      <w:tblPr>
        <w:tblStyle w:val="PlainTable1"/>
        <w:tblW w:w="0" w:type="auto"/>
        <w:tblInd w:w="0" w:type="dxa"/>
        <w:tblLook w:val="04A0" w:firstRow="1" w:lastRow="0" w:firstColumn="1" w:lastColumn="0" w:noHBand="0" w:noVBand="1"/>
      </w:tblPr>
      <w:tblGrid>
        <w:gridCol w:w="1995"/>
        <w:gridCol w:w="3346"/>
        <w:gridCol w:w="1709"/>
        <w:gridCol w:w="1966"/>
      </w:tblGrid>
      <w:tr w:rsidR="005C510D" w14:paraId="70A7D4B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08D79B" w14:textId="77777777" w:rsidR="005C510D" w:rsidRDefault="005C510D">
            <w:r>
              <w:t>Measure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44422E" w14:textId="77777777" w:rsidR="005C510D" w:rsidRDefault="005C510D">
            <w:pPr>
              <w:cnfStyle w:val="100000000000" w:firstRow="1" w:lastRow="0" w:firstColumn="0" w:lastColumn="0" w:oddVBand="0" w:evenVBand="0" w:oddHBand="0" w:evenHBand="0" w:firstRowFirstColumn="0" w:firstRowLastColumn="0" w:lastRowFirstColumn="0" w:lastRowLastColumn="0"/>
            </w:pPr>
            <w:r>
              <w:t>Formula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ABB5B3" w14:textId="77777777" w:rsidR="005C510D" w:rsidRDefault="005C510D">
            <w:pPr>
              <w:cnfStyle w:val="100000000000" w:firstRow="1" w:lastRow="0" w:firstColumn="0" w:lastColumn="0" w:oddVBand="0" w:evenVBand="0" w:oddHBand="0" w:evenHBand="0" w:firstRowFirstColumn="0" w:firstRowLastColumn="0" w:lastRowFirstColumn="0" w:lastRowLastColumn="0"/>
            </w:pPr>
            <w:r>
              <w:t>M/S Division (£m)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668FCF" w14:textId="77777777" w:rsidR="005C510D" w:rsidRDefault="005C510D">
            <w:pPr>
              <w:cnfStyle w:val="100000000000" w:firstRow="1" w:lastRow="0" w:firstColumn="0" w:lastColumn="0" w:oddVBand="0" w:evenVBand="0" w:oddHBand="0" w:evenHBand="0" w:firstRowFirstColumn="0" w:firstRowLastColumn="0" w:lastRowFirstColumn="0" w:lastRowLastColumn="0"/>
            </w:pPr>
            <w:r>
              <w:t>Service Division (£m)</w:t>
            </w:r>
          </w:p>
        </w:tc>
      </w:tr>
      <w:tr w:rsidR="005C510D" w14:paraId="5705333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9916A5" w14:textId="77777777" w:rsidR="005C510D" w:rsidRDefault="005C510D">
            <w:r>
              <w:t>Operating Profit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06BCF1" w14:textId="77777777" w:rsidR="005C510D" w:rsidRDefault="005C510D">
            <w:pPr>
              <w:cnfStyle w:val="000000100000" w:firstRow="0" w:lastRow="0" w:firstColumn="0" w:lastColumn="0" w:oddVBand="0" w:evenVBand="0" w:oddHBand="1"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8B2CEA" w14:textId="77777777" w:rsidR="005C510D" w:rsidRDefault="005C510D">
            <w:pPr>
              <w:cnfStyle w:val="000000100000" w:firstRow="0" w:lastRow="0" w:firstColumn="0" w:lastColumn="0" w:oddVBand="0" w:evenVBand="0" w:oddHBand="1" w:evenHBand="0" w:firstRowFirstColumn="0" w:firstRowLastColumn="0" w:lastRowFirstColumn="0" w:lastRowLastColumn="0"/>
            </w:pPr>
            <w:r>
              <w:t>361.00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46CBCD" w14:textId="77777777" w:rsidR="005C510D" w:rsidRDefault="005C510D">
            <w:pPr>
              <w:cnfStyle w:val="000000100000" w:firstRow="0" w:lastRow="0" w:firstColumn="0" w:lastColumn="0" w:oddVBand="0" w:evenVBand="0" w:oddHBand="1" w:evenHBand="0" w:firstRowFirstColumn="0" w:firstRowLastColumn="0" w:lastRowFirstColumn="0" w:lastRowLastColumn="0"/>
            </w:pPr>
            <w:r>
              <w:t>4.00</w:t>
            </w:r>
          </w:p>
        </w:tc>
      </w:tr>
      <w:tr w:rsidR="005C510D" w14:paraId="27105592"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89AFB8" w14:textId="77777777" w:rsidR="005C510D" w:rsidRDefault="005C510D">
            <w:r>
              <w:t>Capital Employed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272CA4"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E860BA" w14:textId="77777777" w:rsidR="005C510D" w:rsidRDefault="005C510D">
            <w:pPr>
              <w:cnfStyle w:val="000000000000" w:firstRow="0" w:lastRow="0" w:firstColumn="0" w:lastColumn="0" w:oddVBand="0" w:evenVBand="0" w:oddHBand="0" w:evenHBand="0" w:firstRowFirstColumn="0" w:firstRowLastColumn="0" w:lastRowFirstColumn="0" w:lastRowLastColumn="0"/>
            </w:pPr>
            <w:r>
              <w:t>1292.00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D38E8C" w14:textId="77777777" w:rsidR="005C510D" w:rsidRDefault="005C510D">
            <w:pPr>
              <w:cnfStyle w:val="000000000000" w:firstRow="0" w:lastRow="0" w:firstColumn="0" w:lastColumn="0" w:oddVBand="0" w:evenVBand="0" w:oddHBand="0" w:evenHBand="0" w:firstRowFirstColumn="0" w:firstRowLastColumn="0" w:lastRowFirstColumn="0" w:lastRowLastColumn="0"/>
            </w:pPr>
            <w:r>
              <w:t>37.00</w:t>
            </w:r>
          </w:p>
        </w:tc>
      </w:tr>
      <w:tr w:rsidR="005C510D" w14:paraId="4DEE7D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AF8B2B" w14:textId="77777777" w:rsidR="005C510D" w:rsidRDefault="005C510D">
            <w:r>
              <w:t>Cost of Capital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7AD540" w14:textId="77777777" w:rsidR="005C510D" w:rsidRDefault="005C510D">
            <w:pPr>
              <w:cnfStyle w:val="000000100000" w:firstRow="0" w:lastRow="0" w:firstColumn="0" w:lastColumn="0" w:oddVBand="0" w:evenVBand="0" w:oddHBand="1"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53CFEB" w14:textId="77777777" w:rsidR="005C510D" w:rsidRDefault="005C510D">
            <w:pPr>
              <w:cnfStyle w:val="000000100000" w:firstRow="0" w:lastRow="0" w:firstColumn="0" w:lastColumn="0" w:oddVBand="0" w:evenVBand="0" w:oddHBand="1" w:evenHBand="0" w:firstRowFirstColumn="0" w:firstRowLastColumn="0" w:lastRowFirstColumn="0" w:lastRowLastColumn="0"/>
            </w:pPr>
            <w:r>
              <w:t>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5C31C7" w14:textId="77777777" w:rsidR="005C510D" w:rsidRDefault="005C510D">
            <w:pPr>
              <w:cnfStyle w:val="000000100000" w:firstRow="0" w:lastRow="0" w:firstColumn="0" w:lastColumn="0" w:oddVBand="0" w:evenVBand="0" w:oddHBand="1" w:evenHBand="0" w:firstRowFirstColumn="0" w:firstRowLastColumn="0" w:lastRowFirstColumn="0" w:lastRowLastColumn="0"/>
            </w:pPr>
            <w:r>
              <w:t>8%</w:t>
            </w:r>
          </w:p>
        </w:tc>
      </w:tr>
      <w:tr w:rsidR="005C510D" w14:paraId="1861CB65"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42382B" w14:textId="77777777" w:rsidR="005C510D" w:rsidRDefault="005C510D">
            <w:r>
              <w:t>Tax 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71AEC5"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4AC403" w14:textId="77777777" w:rsidR="005C510D" w:rsidRDefault="005C510D">
            <w:pPr>
              <w:cnfStyle w:val="000000000000" w:firstRow="0" w:lastRow="0" w:firstColumn="0" w:lastColumn="0" w:oddVBand="0" w:evenVBand="0" w:oddHBand="0" w:evenHBand="0" w:firstRowFirstColumn="0" w:firstRowLastColumn="0" w:lastRowFirstColumn="0" w:lastRowLastColumn="0"/>
            </w:pPr>
            <w:r>
              <w:t>30%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4E7816" w14:textId="77777777" w:rsidR="005C510D" w:rsidRDefault="005C510D">
            <w:pPr>
              <w:cnfStyle w:val="000000000000" w:firstRow="0" w:lastRow="0" w:firstColumn="0" w:lastColumn="0" w:oddVBand="0" w:evenVBand="0" w:oddHBand="0" w:evenHBand="0" w:firstRowFirstColumn="0" w:firstRowLastColumn="0" w:lastRowFirstColumn="0" w:lastRowLastColumn="0"/>
            </w:pPr>
            <w:r>
              <w:t>30%</w:t>
            </w:r>
          </w:p>
        </w:tc>
      </w:tr>
      <w:tr w:rsidR="005C510D" w14:paraId="5FE141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C4AEA4" w14:textId="77777777" w:rsidR="005C510D" w:rsidRDefault="005C510D">
            <w:r>
              <w:t>ROI</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6CB852" w14:textId="77777777" w:rsidR="005C510D" w:rsidRDefault="005C510D">
            <w:pPr>
              <w:cnfStyle w:val="000000100000" w:firstRow="0" w:lastRow="0" w:firstColumn="0" w:lastColumn="0" w:oddVBand="0" w:evenVBand="0" w:oddHBand="1" w:evenHBand="0" w:firstRowFirstColumn="0" w:firstRowLastColumn="0" w:lastRowFirstColumn="0" w:lastRowLastColumn="0"/>
            </w:pPr>
            <w:r>
              <w:t>Operating Profit / Capital Employed × 100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E80D9C" w14:textId="77777777" w:rsidR="005C510D" w:rsidRDefault="005C510D">
            <w:pPr>
              <w:cnfStyle w:val="000000100000" w:firstRow="0" w:lastRow="0" w:firstColumn="0" w:lastColumn="0" w:oddVBand="0" w:evenVBand="0" w:oddHBand="1" w:evenHBand="0" w:firstRowFirstColumn="0" w:firstRowLastColumn="0" w:lastRowFirstColumn="0" w:lastRowLastColumn="0"/>
            </w:pPr>
            <w:r>
              <w:t>27.94%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5F0220" w14:textId="77777777" w:rsidR="005C510D" w:rsidRDefault="005C510D">
            <w:pPr>
              <w:cnfStyle w:val="000000100000" w:firstRow="0" w:lastRow="0" w:firstColumn="0" w:lastColumn="0" w:oddVBand="0" w:evenVBand="0" w:oddHBand="1" w:evenHBand="0" w:firstRowFirstColumn="0" w:firstRowLastColumn="0" w:lastRowFirstColumn="0" w:lastRowLastColumn="0"/>
            </w:pPr>
            <w:r>
              <w:t>10.81%</w:t>
            </w:r>
          </w:p>
        </w:tc>
      </w:tr>
      <w:tr w:rsidR="005C510D" w14:paraId="7B9D23F8"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8EDE26" w14:textId="77777777" w:rsidR="005C510D" w:rsidRDefault="005C510D">
            <w:r>
              <w:t>Capital Charge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ED407C" w14:textId="77777777" w:rsidR="005C510D" w:rsidRDefault="005C510D">
            <w:pPr>
              <w:cnfStyle w:val="000000000000" w:firstRow="0" w:lastRow="0" w:firstColumn="0" w:lastColumn="0" w:oddVBand="0" w:evenVBand="0" w:oddHBand="0" w:evenHBand="0" w:firstRowFirstColumn="0" w:firstRowLastColumn="0" w:lastRowFirstColumn="0" w:lastRowLastColumn="0"/>
            </w:pPr>
            <w:r>
              <w:t>Capital Employed × 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CF7F01" w14:textId="77777777" w:rsidR="005C510D" w:rsidRDefault="005C510D">
            <w:pPr>
              <w:cnfStyle w:val="000000000000" w:firstRow="0" w:lastRow="0" w:firstColumn="0" w:lastColumn="0" w:oddVBand="0" w:evenVBand="0" w:oddHBand="0" w:evenHBand="0" w:firstRowFirstColumn="0" w:firstRowLastColumn="0" w:lastRowFirstColumn="0" w:lastRowLastColumn="0"/>
            </w:pPr>
            <w:r>
              <w:t>103.36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483EC6" w14:textId="77777777" w:rsidR="005C510D" w:rsidRDefault="005C510D">
            <w:pPr>
              <w:cnfStyle w:val="000000000000" w:firstRow="0" w:lastRow="0" w:firstColumn="0" w:lastColumn="0" w:oddVBand="0" w:evenVBand="0" w:oddHBand="0" w:evenHBand="0" w:firstRowFirstColumn="0" w:firstRowLastColumn="0" w:lastRowFirstColumn="0" w:lastRowLastColumn="0"/>
            </w:pPr>
            <w:r>
              <w:t>2.96</w:t>
            </w:r>
          </w:p>
        </w:tc>
      </w:tr>
      <w:tr w:rsidR="005C510D" w14:paraId="10DEF0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79CC9D" w14:textId="77777777" w:rsidR="005C510D" w:rsidRDefault="005C510D">
            <w:r>
              <w:t>Residual Income (RI)</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AB960E" w14:textId="77777777" w:rsidR="005C510D" w:rsidRDefault="005C510D">
            <w:pPr>
              <w:cnfStyle w:val="000000100000" w:firstRow="0" w:lastRow="0" w:firstColumn="0" w:lastColumn="0" w:oddVBand="0" w:evenVBand="0" w:oddHBand="1" w:evenHBand="0" w:firstRowFirstColumn="0" w:firstRowLastColumn="0" w:lastRowFirstColumn="0" w:lastRowLastColumn="0"/>
            </w:pPr>
            <w:r>
              <w:t>Operating Profit - Capital Charge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A84397" w14:textId="77777777" w:rsidR="005C510D" w:rsidRDefault="005C510D">
            <w:pPr>
              <w:cnfStyle w:val="000000100000" w:firstRow="0" w:lastRow="0" w:firstColumn="0" w:lastColumn="0" w:oddVBand="0" w:evenVBand="0" w:oddHBand="1" w:evenHBand="0" w:firstRowFirstColumn="0" w:firstRowLastColumn="0" w:lastRowFirstColumn="0" w:lastRowLastColumn="0"/>
            </w:pPr>
            <w:r>
              <w:t>257.64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35F403" w14:textId="77777777" w:rsidR="005C510D" w:rsidRDefault="005C510D">
            <w:pPr>
              <w:cnfStyle w:val="000000100000" w:firstRow="0" w:lastRow="0" w:firstColumn="0" w:lastColumn="0" w:oddVBand="0" w:evenVBand="0" w:oddHBand="1" w:evenHBand="0" w:firstRowFirstColumn="0" w:firstRowLastColumn="0" w:lastRowFirstColumn="0" w:lastRowLastColumn="0"/>
            </w:pPr>
            <w:r>
              <w:t>1.04</w:t>
            </w:r>
          </w:p>
        </w:tc>
      </w:tr>
      <w:tr w:rsidR="005C510D" w14:paraId="480EE95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AE0D8E" w14:textId="77777777" w:rsidR="005C510D" w:rsidRDefault="005C510D">
            <w:r>
              <w:t>NOPAT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4AE0F1" w14:textId="77777777" w:rsidR="005C510D" w:rsidRDefault="005C510D">
            <w:pPr>
              <w:cnfStyle w:val="000000000000" w:firstRow="0" w:lastRow="0" w:firstColumn="0" w:lastColumn="0" w:oddVBand="0" w:evenVBand="0" w:oddHBand="0" w:evenHBand="0" w:firstRowFirstColumn="0" w:firstRowLastColumn="0" w:lastRowFirstColumn="0" w:lastRowLastColumn="0"/>
            </w:pPr>
            <w:r>
              <w:t>Operating Profit × (1 - Tax 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A46E04" w14:textId="77777777" w:rsidR="005C510D" w:rsidRDefault="005C510D">
            <w:pPr>
              <w:cnfStyle w:val="000000000000" w:firstRow="0" w:lastRow="0" w:firstColumn="0" w:lastColumn="0" w:oddVBand="0" w:evenVBand="0" w:oddHBand="0" w:evenHBand="0" w:firstRowFirstColumn="0" w:firstRowLastColumn="0" w:lastRowFirstColumn="0" w:lastRowLastColumn="0"/>
            </w:pPr>
            <w:r>
              <w:t>252.70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1D81F2" w14:textId="77777777" w:rsidR="005C510D" w:rsidRDefault="005C510D">
            <w:pPr>
              <w:cnfStyle w:val="000000000000" w:firstRow="0" w:lastRow="0" w:firstColumn="0" w:lastColumn="0" w:oddVBand="0" w:evenVBand="0" w:oddHBand="0" w:evenHBand="0" w:firstRowFirstColumn="0" w:firstRowLastColumn="0" w:lastRowFirstColumn="0" w:lastRowLastColumn="0"/>
            </w:pPr>
            <w:r>
              <w:t>2.80</w:t>
            </w:r>
          </w:p>
        </w:tc>
      </w:tr>
      <w:tr w:rsidR="005C510D" w14:paraId="55279D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1BADC9" w14:textId="77777777" w:rsidR="005C510D" w:rsidRDefault="005C510D">
            <w:r>
              <w:t>Basic EVA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E6F4C6" w14:textId="77777777" w:rsidR="005C510D" w:rsidRDefault="005C510D">
            <w:pPr>
              <w:cnfStyle w:val="000000100000" w:firstRow="0" w:lastRow="0" w:firstColumn="0" w:lastColumn="0" w:oddVBand="0" w:evenVBand="0" w:oddHBand="1" w:evenHBand="0" w:firstRowFirstColumn="0" w:firstRowLastColumn="0" w:lastRowFirstColumn="0" w:lastRowLastColumn="0"/>
            </w:pPr>
            <w:r>
              <w:t>NOPAT - Capital Charge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493A67" w14:textId="77777777" w:rsidR="005C510D" w:rsidRDefault="005C510D">
            <w:pPr>
              <w:cnfStyle w:val="000000100000" w:firstRow="0" w:lastRow="0" w:firstColumn="0" w:lastColumn="0" w:oddVBand="0" w:evenVBand="0" w:oddHBand="1" w:evenHBand="0" w:firstRowFirstColumn="0" w:firstRowLastColumn="0" w:lastRowFirstColumn="0" w:lastRowLastColumn="0"/>
            </w:pPr>
            <w:r>
              <w:t>149.34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525F87" w14:textId="77777777" w:rsidR="005C510D" w:rsidRDefault="005C510D">
            <w:pPr>
              <w:cnfStyle w:val="000000100000" w:firstRow="0" w:lastRow="0" w:firstColumn="0" w:lastColumn="0" w:oddVBand="0" w:evenVBand="0" w:oddHBand="1" w:evenHBand="0" w:firstRowFirstColumn="0" w:firstRowLastColumn="0" w:lastRowFirstColumn="0" w:lastRowLastColumn="0"/>
            </w:pPr>
            <w:r>
              <w:t>-0.16</w:t>
            </w:r>
          </w:p>
        </w:tc>
      </w:tr>
      <w:tr w:rsidR="005C510D" w14:paraId="2F32C463"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BC98176" w14:textId="77777777" w:rsidR="005C510D" w:rsidRDefault="005C510D">
            <w:r>
              <w:t>Head Office Costs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786F73" w14:textId="77777777" w:rsidR="005C510D" w:rsidRDefault="005C510D">
            <w:pPr>
              <w:cnfStyle w:val="000000000000" w:firstRow="0" w:lastRow="0" w:firstColumn="0" w:lastColumn="0" w:oddVBand="0" w:evenVBand="0" w:oddHBand="0"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5851B1" w14:textId="77777777" w:rsidR="005C510D" w:rsidRDefault="005C510D">
            <w:pPr>
              <w:cnfStyle w:val="000000000000" w:firstRow="0" w:lastRow="0" w:firstColumn="0" w:lastColumn="0" w:oddVBand="0" w:evenVBand="0" w:oddHBand="0" w:evenHBand="0" w:firstRowFirstColumn="0" w:firstRowLastColumn="0" w:lastRowFirstColumn="0" w:lastRowLastColumn="0"/>
            </w:pPr>
            <w:r>
              <w:t>85.00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42AEA6" w14:textId="77777777" w:rsidR="005C510D" w:rsidRDefault="005C510D">
            <w:pPr>
              <w:cnfStyle w:val="000000000000" w:firstRow="0" w:lastRow="0" w:firstColumn="0" w:lastColumn="0" w:oddVBand="0" w:evenVBand="0" w:oddHBand="0" w:evenHBand="0" w:firstRowFirstColumn="0" w:firstRowLastColumn="0" w:lastRowFirstColumn="0" w:lastRowLastColumn="0"/>
            </w:pPr>
            <w:r>
              <w:t>1.00</w:t>
            </w:r>
          </w:p>
        </w:tc>
      </w:tr>
      <w:tr w:rsidR="005C510D" w14:paraId="6CBCD1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A4D8A4" w14:textId="77777777" w:rsidR="005C510D" w:rsidRDefault="005C510D">
            <w:r>
              <w:t>Profit Before Tax</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17DAC7" w14:textId="77777777" w:rsidR="005C510D" w:rsidRDefault="005C510D">
            <w:pPr>
              <w:cnfStyle w:val="000000100000" w:firstRow="0" w:lastRow="0" w:firstColumn="0" w:lastColumn="0" w:oddVBand="0" w:evenVBand="0" w:oddHBand="1" w:evenHBand="0" w:firstRowFirstColumn="0" w:firstRowLastColumn="0" w:lastRowFirstColumn="0" w:lastRowLastColumn="0"/>
            </w:pPr>
            <w:r>
              <w:t>Given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30DDE9" w14:textId="77777777" w:rsidR="005C510D" w:rsidRDefault="005C510D">
            <w:pPr>
              <w:cnfStyle w:val="000000100000" w:firstRow="0" w:lastRow="0" w:firstColumn="0" w:lastColumn="0" w:oddVBand="0" w:evenVBand="0" w:oddHBand="1" w:evenHBand="0" w:firstRowFirstColumn="0" w:firstRowLastColumn="0" w:lastRowFirstColumn="0" w:lastRowLastColumn="0"/>
            </w:pPr>
            <w:r>
              <w:t>276.00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BDF06A" w14:textId="77777777" w:rsidR="005C510D" w:rsidRDefault="005C510D">
            <w:pPr>
              <w:cnfStyle w:val="000000100000" w:firstRow="0" w:lastRow="0" w:firstColumn="0" w:lastColumn="0" w:oddVBand="0" w:evenVBand="0" w:oddHBand="1" w:evenHBand="0" w:firstRowFirstColumn="0" w:firstRowLastColumn="0" w:lastRowFirstColumn="0" w:lastRowLastColumn="0"/>
            </w:pPr>
            <w:r>
              <w:t>3.00</w:t>
            </w:r>
          </w:p>
        </w:tc>
      </w:tr>
    </w:tbl>
    <w:p w14:paraId="22CD31A8" w14:textId="77777777" w:rsidR="005C510D" w:rsidRDefault="005C510D" w:rsidP="005C510D">
      <w:pPr>
        <w:rPr>
          <w:rFonts w:ascii="Arial" w:hAnsi="Arial" w:cs="Arial"/>
        </w:rPr>
      </w:pPr>
    </w:p>
    <w:p w14:paraId="34F6D06D" w14:textId="77777777" w:rsidR="005C510D" w:rsidRDefault="005C510D" w:rsidP="005C510D">
      <w:pPr>
        <w:pStyle w:val="Heading2"/>
      </w:pPr>
      <w:bookmarkStart w:id="22" w:name="_Toc227000469"/>
      <w:r>
        <w:t>Appendix:  Part 2</w:t>
      </w:r>
      <w:r>
        <w:rPr>
          <w:rFonts w:eastAsiaTheme="minorHAnsi"/>
          <w:b/>
          <w:bCs/>
          <w:color w:val="auto"/>
          <w:sz w:val="24"/>
          <w:szCs w:val="24"/>
        </w:rPr>
        <w:t xml:space="preserve"> </w:t>
      </w:r>
      <w:proofErr w:type="spellStart"/>
      <w:r>
        <w:t>Indorex</w:t>
      </w:r>
      <w:proofErr w:type="spellEnd"/>
      <w:r>
        <w:t xml:space="preserve"> Footwear Limited</w:t>
      </w:r>
      <w:bookmarkEnd w:id="22"/>
    </w:p>
    <w:p w14:paraId="7BA6A9A1" w14:textId="77777777" w:rsidR="005C510D" w:rsidRDefault="005C510D" w:rsidP="005C510D"/>
    <w:tbl>
      <w:tblPr>
        <w:tblStyle w:val="PlainTable1"/>
        <w:tblW w:w="0" w:type="auto"/>
        <w:tblInd w:w="0" w:type="dxa"/>
        <w:tblLook w:val="04A0" w:firstRow="1" w:lastRow="0" w:firstColumn="1" w:lastColumn="0" w:noHBand="0" w:noVBand="1"/>
      </w:tblPr>
      <w:tblGrid>
        <w:gridCol w:w="2960"/>
        <w:gridCol w:w="749"/>
        <w:gridCol w:w="749"/>
        <w:gridCol w:w="749"/>
        <w:gridCol w:w="1828"/>
      </w:tblGrid>
      <w:tr w:rsidR="005C510D" w14:paraId="0DE1249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C682FE" w14:textId="77777777" w:rsidR="005C510D" w:rsidRDefault="005C510D">
            <w:r>
              <w:t>Measure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9C2DB4" w14:textId="77777777" w:rsidR="005C510D" w:rsidRDefault="005C510D">
            <w:pPr>
              <w:cnfStyle w:val="100000000000" w:firstRow="1" w:lastRow="0" w:firstColumn="0" w:lastColumn="0" w:oddVBand="0" w:evenVBand="0" w:oddHBand="0" w:evenHBand="0" w:firstRowFirstColumn="0" w:firstRowLastColumn="0" w:lastRowFirstColumn="0" w:lastRowLastColumn="0"/>
            </w:pPr>
            <w:r>
              <w:t>2021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922DA7" w14:textId="77777777" w:rsidR="005C510D" w:rsidRDefault="005C510D">
            <w:pPr>
              <w:cnfStyle w:val="100000000000" w:firstRow="1" w:lastRow="0" w:firstColumn="0" w:lastColumn="0" w:oddVBand="0" w:evenVBand="0" w:oddHBand="0" w:evenHBand="0" w:firstRowFirstColumn="0" w:firstRowLastColumn="0" w:lastRowFirstColumn="0" w:lastRowLastColumn="0"/>
            </w:pPr>
            <w:r>
              <w:t>2022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EE42A6" w14:textId="77777777" w:rsidR="005C510D" w:rsidRDefault="005C510D">
            <w:pPr>
              <w:cnfStyle w:val="100000000000" w:firstRow="1" w:lastRow="0" w:firstColumn="0" w:lastColumn="0" w:oddVBand="0" w:evenVBand="0" w:oddHBand="0" w:evenHBand="0" w:firstRowFirstColumn="0" w:firstRowLastColumn="0" w:lastRowFirstColumn="0" w:lastRowLastColumn="0"/>
            </w:pPr>
            <w:r>
              <w:t>2023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7FB220" w14:textId="77777777" w:rsidR="005C510D" w:rsidRDefault="005C510D">
            <w:pPr>
              <w:cnfStyle w:val="100000000000" w:firstRow="1" w:lastRow="0" w:firstColumn="0" w:lastColumn="0" w:oddVBand="0" w:evenVBand="0" w:oddHBand="0" w:evenHBand="0" w:firstRowFirstColumn="0" w:firstRowLastColumn="0" w:lastRowFirstColumn="0" w:lastRowLastColumn="0"/>
            </w:pPr>
            <w:r>
              <w:t>2024 (projected)</w:t>
            </w:r>
          </w:p>
        </w:tc>
      </w:tr>
      <w:tr w:rsidR="005C510D" w14:paraId="31DA228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4623E1" w14:textId="77777777" w:rsidR="005C510D" w:rsidRDefault="005C510D">
            <w:r>
              <w:t>Turnover (£000)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DB32D9" w14:textId="77777777" w:rsidR="005C510D" w:rsidRDefault="005C510D">
            <w:pPr>
              <w:cnfStyle w:val="000000100000" w:firstRow="0" w:lastRow="0" w:firstColumn="0" w:lastColumn="0" w:oddVBand="0" w:evenVBand="0" w:oddHBand="1" w:evenHBand="0" w:firstRowFirstColumn="0" w:firstRowLastColumn="0" w:lastRowFirstColumn="0" w:lastRowLastColumn="0"/>
            </w:pPr>
            <w:r>
              <w:t>1,400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3A8CF1" w14:textId="77777777" w:rsidR="005C510D" w:rsidRDefault="005C510D">
            <w:pPr>
              <w:cnfStyle w:val="000000100000" w:firstRow="0" w:lastRow="0" w:firstColumn="0" w:lastColumn="0" w:oddVBand="0" w:evenVBand="0" w:oddHBand="1" w:evenHBand="0" w:firstRowFirstColumn="0" w:firstRowLastColumn="0" w:lastRowFirstColumn="0" w:lastRowLastColumn="0"/>
            </w:pPr>
            <w:r>
              <w:t>1,750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3DD8C9" w14:textId="77777777" w:rsidR="005C510D" w:rsidRDefault="005C510D">
            <w:pPr>
              <w:cnfStyle w:val="000000100000" w:firstRow="0" w:lastRow="0" w:firstColumn="0" w:lastColumn="0" w:oddVBand="0" w:evenVBand="0" w:oddHBand="1" w:evenHBand="0" w:firstRowFirstColumn="0" w:firstRowLastColumn="0" w:lastRowFirstColumn="0" w:lastRowLastColumn="0"/>
            </w:pPr>
            <w:r>
              <w:t>1,455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B26BB1" w14:textId="77777777" w:rsidR="005C510D" w:rsidRDefault="005C510D">
            <w:pPr>
              <w:cnfStyle w:val="000000100000" w:firstRow="0" w:lastRow="0" w:firstColumn="0" w:lastColumn="0" w:oddVBand="0" w:evenVBand="0" w:oddHBand="1" w:evenHBand="0" w:firstRowFirstColumn="0" w:firstRowLastColumn="0" w:lastRowFirstColumn="0" w:lastRowLastColumn="0"/>
            </w:pPr>
            <w:r>
              <w:t>600</w:t>
            </w:r>
          </w:p>
        </w:tc>
      </w:tr>
      <w:tr w:rsidR="005C510D" w14:paraId="322DB7C2"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6B0B28" w14:textId="77777777" w:rsidR="005C510D" w:rsidRDefault="005C510D">
            <w:r>
              <w:t>Gross Profit (£000)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97B1E8" w14:textId="77777777" w:rsidR="005C510D" w:rsidRDefault="005C510D">
            <w:pPr>
              <w:cnfStyle w:val="000000000000" w:firstRow="0" w:lastRow="0" w:firstColumn="0" w:lastColumn="0" w:oddVBand="0" w:evenVBand="0" w:oddHBand="0" w:evenHBand="0" w:firstRowFirstColumn="0" w:firstRowLastColumn="0" w:lastRowFirstColumn="0" w:lastRowLastColumn="0"/>
            </w:pPr>
            <w:r>
              <w:t>700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90E9D9" w14:textId="77777777" w:rsidR="005C510D" w:rsidRDefault="005C510D">
            <w:pPr>
              <w:cnfStyle w:val="000000000000" w:firstRow="0" w:lastRow="0" w:firstColumn="0" w:lastColumn="0" w:oddVBand="0" w:evenVBand="0" w:oddHBand="0" w:evenHBand="0" w:firstRowFirstColumn="0" w:firstRowLastColumn="0" w:lastRowFirstColumn="0" w:lastRowLastColumn="0"/>
            </w:pPr>
            <w:r>
              <w:t>820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67F823" w14:textId="77777777" w:rsidR="005C510D" w:rsidRDefault="005C510D">
            <w:pPr>
              <w:cnfStyle w:val="000000000000" w:firstRow="0" w:lastRow="0" w:firstColumn="0" w:lastColumn="0" w:oddVBand="0" w:evenVBand="0" w:oddHBand="0" w:evenHBand="0" w:firstRowFirstColumn="0" w:firstRowLastColumn="0" w:lastRowFirstColumn="0" w:lastRowLastColumn="0"/>
            </w:pPr>
            <w:r>
              <w:t>600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A70312" w14:textId="77777777" w:rsidR="005C510D" w:rsidRDefault="005C510D">
            <w:pPr>
              <w:cnfStyle w:val="000000000000" w:firstRow="0" w:lastRow="0" w:firstColumn="0" w:lastColumn="0" w:oddVBand="0" w:evenVBand="0" w:oddHBand="0" w:evenHBand="0" w:firstRowFirstColumn="0" w:firstRowLastColumn="0" w:lastRowFirstColumn="0" w:lastRowLastColumn="0"/>
            </w:pPr>
            <w:r>
              <w:t>320</w:t>
            </w:r>
          </w:p>
        </w:tc>
      </w:tr>
      <w:tr w:rsidR="005C510D" w14:paraId="1A77F6B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EF6EBC" w14:textId="77777777" w:rsidR="005C510D" w:rsidRDefault="005C510D">
            <w:r>
              <w:t>Profit Before Tax (£000)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77F34B" w14:textId="77777777" w:rsidR="005C510D" w:rsidRDefault="005C510D">
            <w:pPr>
              <w:cnfStyle w:val="000000100000" w:firstRow="0" w:lastRow="0" w:firstColumn="0" w:lastColumn="0" w:oddVBand="0" w:evenVBand="0" w:oddHBand="1" w:evenHBand="0" w:firstRowFirstColumn="0" w:firstRowLastColumn="0" w:lastRowFirstColumn="0" w:lastRowLastColumn="0"/>
            </w:pPr>
            <w:r>
              <w:t>300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BD6BA6" w14:textId="77777777" w:rsidR="005C510D" w:rsidRDefault="005C510D">
            <w:pPr>
              <w:cnfStyle w:val="000000100000" w:firstRow="0" w:lastRow="0" w:firstColumn="0" w:lastColumn="0" w:oddVBand="0" w:evenVBand="0" w:oddHBand="1" w:evenHBand="0" w:firstRowFirstColumn="0" w:firstRowLastColumn="0" w:lastRowFirstColumn="0" w:lastRowLastColumn="0"/>
            </w:pPr>
            <w:r>
              <w:t>372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D78C42" w14:textId="77777777" w:rsidR="005C510D" w:rsidRDefault="005C510D">
            <w:pPr>
              <w:cnfStyle w:val="000000100000" w:firstRow="0" w:lastRow="0" w:firstColumn="0" w:lastColumn="0" w:oddVBand="0" w:evenVBand="0" w:oddHBand="1" w:evenHBand="0" w:firstRowFirstColumn="0" w:firstRowLastColumn="0" w:lastRowFirstColumn="0" w:lastRowLastColumn="0"/>
            </w:pPr>
            <w:r>
              <w:t>105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2C885B" w14:textId="77777777" w:rsidR="005C510D" w:rsidRDefault="005C510D">
            <w:pPr>
              <w:cnfStyle w:val="000000100000" w:firstRow="0" w:lastRow="0" w:firstColumn="0" w:lastColumn="0" w:oddVBand="0" w:evenVBand="0" w:oddHBand="1" w:evenHBand="0" w:firstRowFirstColumn="0" w:firstRowLastColumn="0" w:lastRowFirstColumn="0" w:lastRowLastColumn="0"/>
            </w:pPr>
            <w:r>
              <w:t>-175</w:t>
            </w:r>
          </w:p>
        </w:tc>
      </w:tr>
      <w:tr w:rsidR="005C510D" w14:paraId="02FB7424"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413E87" w14:textId="77777777" w:rsidR="005C510D" w:rsidRDefault="005C510D">
            <w:r>
              <w:t>Customer Satisfaction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08654E" w14:textId="77777777" w:rsidR="005C510D" w:rsidRDefault="005C510D">
            <w:pPr>
              <w:cnfStyle w:val="000000000000" w:firstRow="0" w:lastRow="0" w:firstColumn="0" w:lastColumn="0" w:oddVBand="0" w:evenVBand="0" w:oddHBand="0" w:evenHBand="0" w:firstRowFirstColumn="0" w:firstRowLastColumn="0" w:lastRowFirstColumn="0" w:lastRowLastColumn="0"/>
            </w:pPr>
            <w:r>
              <w:t>69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235E3D" w14:textId="77777777" w:rsidR="005C510D" w:rsidRDefault="005C510D">
            <w:pPr>
              <w:cnfStyle w:val="000000000000" w:firstRow="0" w:lastRow="0" w:firstColumn="0" w:lastColumn="0" w:oddVBand="0" w:evenVBand="0" w:oddHBand="0" w:evenHBand="0" w:firstRowFirstColumn="0" w:firstRowLastColumn="0" w:lastRowFirstColumn="0" w:lastRowLastColumn="0"/>
            </w:pPr>
            <w:r>
              <w:t>72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E34292" w14:textId="77777777" w:rsidR="005C510D" w:rsidRDefault="005C510D">
            <w:pPr>
              <w:cnfStyle w:val="000000000000" w:firstRow="0" w:lastRow="0" w:firstColumn="0" w:lastColumn="0" w:oddVBand="0" w:evenVBand="0" w:oddHBand="0" w:evenHBand="0" w:firstRowFirstColumn="0" w:firstRowLastColumn="0" w:lastRowFirstColumn="0" w:lastRowLastColumn="0"/>
            </w:pPr>
            <w:r>
              <w:t>82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7DB0FC" w14:textId="77777777" w:rsidR="005C510D" w:rsidRDefault="005C510D">
            <w:pPr>
              <w:cnfStyle w:val="000000000000" w:firstRow="0" w:lastRow="0" w:firstColumn="0" w:lastColumn="0" w:oddVBand="0" w:evenVBand="0" w:oddHBand="0" w:evenHBand="0" w:firstRowFirstColumn="0" w:firstRowLastColumn="0" w:lastRowFirstColumn="0" w:lastRowLastColumn="0"/>
            </w:pPr>
            <w:r>
              <w:t>N/A</w:t>
            </w:r>
          </w:p>
        </w:tc>
      </w:tr>
      <w:tr w:rsidR="005C510D" w14:paraId="5D4454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A32C39" w14:textId="77777777" w:rsidR="005C510D" w:rsidRDefault="005C510D">
            <w:r>
              <w:t>Website Hits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E44174" w14:textId="77777777" w:rsidR="005C510D" w:rsidRDefault="005C510D">
            <w:pPr>
              <w:cnfStyle w:val="000000100000" w:firstRow="0" w:lastRow="0" w:firstColumn="0" w:lastColumn="0" w:oddVBand="0" w:evenVBand="0" w:oddHBand="1" w:evenHBand="0" w:firstRowFirstColumn="0" w:firstRowLastColumn="0" w:lastRowFirstColumn="0" w:lastRowLastColumn="0"/>
            </w:pPr>
            <w:r>
              <w:t>5,000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AFD932" w14:textId="77777777" w:rsidR="005C510D" w:rsidRDefault="005C510D">
            <w:pPr>
              <w:cnfStyle w:val="000000100000" w:firstRow="0" w:lastRow="0" w:firstColumn="0" w:lastColumn="0" w:oddVBand="0" w:evenVBand="0" w:oddHBand="1" w:evenHBand="0" w:firstRowFirstColumn="0" w:firstRowLastColumn="0" w:lastRowFirstColumn="0" w:lastRowLastColumn="0"/>
            </w:pPr>
            <w:r>
              <w:t>6,000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2C2A7E" w14:textId="77777777" w:rsidR="005C510D" w:rsidRDefault="005C510D">
            <w:pPr>
              <w:cnfStyle w:val="000000100000" w:firstRow="0" w:lastRow="0" w:firstColumn="0" w:lastColumn="0" w:oddVBand="0" w:evenVBand="0" w:oddHBand="1" w:evenHBand="0" w:firstRowFirstColumn="0" w:firstRowLastColumn="0" w:lastRowFirstColumn="0" w:lastRowLastColumn="0"/>
            </w:pPr>
            <w:r>
              <w:t>7,000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670554" w14:textId="77777777" w:rsidR="005C510D" w:rsidRDefault="005C510D">
            <w:pPr>
              <w:cnfStyle w:val="000000100000" w:firstRow="0" w:lastRow="0" w:firstColumn="0" w:lastColumn="0" w:oddVBand="0" w:evenVBand="0" w:oddHBand="1" w:evenHBand="0" w:firstRowFirstColumn="0" w:firstRowLastColumn="0" w:lastRowFirstColumn="0" w:lastRowLastColumn="0"/>
            </w:pPr>
            <w:r>
              <w:t>N/A</w:t>
            </w:r>
          </w:p>
        </w:tc>
      </w:tr>
      <w:tr w:rsidR="005C510D" w14:paraId="1BDB444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6630F5" w14:textId="77777777" w:rsidR="005C510D" w:rsidRDefault="005C510D">
            <w:r>
              <w:t>Conversion Rate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70FC6C" w14:textId="77777777" w:rsidR="005C510D" w:rsidRDefault="005C510D">
            <w:pPr>
              <w:cnfStyle w:val="000000000000" w:firstRow="0" w:lastRow="0" w:firstColumn="0" w:lastColumn="0" w:oddVBand="0" w:evenVBand="0" w:oddHBand="0" w:evenHBand="0" w:firstRowFirstColumn="0" w:firstRowLastColumn="0" w:lastRowFirstColumn="0" w:lastRowLastColumn="0"/>
            </w:pPr>
            <w:r>
              <w:t>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9097C5" w14:textId="77777777" w:rsidR="005C510D" w:rsidRDefault="005C510D">
            <w:pPr>
              <w:cnfStyle w:val="000000000000" w:firstRow="0" w:lastRow="0" w:firstColumn="0" w:lastColumn="0" w:oddVBand="0" w:evenVBand="0" w:oddHBand="0" w:evenHBand="0" w:firstRowFirstColumn="0" w:firstRowLastColumn="0" w:lastRowFirstColumn="0" w:lastRowLastColumn="0"/>
            </w:pPr>
            <w:r>
              <w:t>15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1B46EB" w14:textId="77777777" w:rsidR="005C510D" w:rsidRDefault="005C510D">
            <w:pPr>
              <w:cnfStyle w:val="000000000000" w:firstRow="0" w:lastRow="0" w:firstColumn="0" w:lastColumn="0" w:oddVBand="0" w:evenVBand="0" w:oddHBand="0" w:evenHBand="0" w:firstRowFirstColumn="0" w:firstRowLastColumn="0" w:lastRowFirstColumn="0" w:lastRowLastColumn="0"/>
            </w:pPr>
            <w:r>
              <w:t>18</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7C83DB" w14:textId="77777777" w:rsidR="005C510D" w:rsidRDefault="005C510D">
            <w:pPr>
              <w:cnfStyle w:val="000000000000" w:firstRow="0" w:lastRow="0" w:firstColumn="0" w:lastColumn="0" w:oddVBand="0" w:evenVBand="0" w:oddHBand="0" w:evenHBand="0" w:firstRowFirstColumn="0" w:firstRowLastColumn="0" w:lastRowFirstColumn="0" w:lastRowLastColumn="0"/>
            </w:pPr>
            <w:r>
              <w:t>N/A</w:t>
            </w:r>
          </w:p>
        </w:tc>
      </w:tr>
      <w:tr w:rsidR="005C510D" w14:paraId="56343F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D6F17E" w14:textId="77777777" w:rsidR="005C510D" w:rsidRDefault="005C510D">
            <w:r>
              <w:t>Error Rate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FB5439" w14:textId="77777777" w:rsidR="005C510D" w:rsidRDefault="005C510D">
            <w:pPr>
              <w:cnfStyle w:val="000000100000" w:firstRow="0" w:lastRow="0" w:firstColumn="0" w:lastColumn="0" w:oddVBand="0" w:evenVBand="0" w:oddHBand="1" w:evenHBand="0" w:firstRowFirstColumn="0" w:firstRowLastColumn="0" w:lastRowFirstColumn="0" w:lastRowLastColumn="0"/>
            </w:pPr>
            <w:r>
              <w:t>111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DB0CAA" w14:textId="77777777" w:rsidR="005C510D" w:rsidRDefault="005C510D">
            <w:pPr>
              <w:cnfStyle w:val="000000100000" w:firstRow="0" w:lastRow="0" w:firstColumn="0" w:lastColumn="0" w:oddVBand="0" w:evenVBand="0" w:oddHBand="1" w:evenHBand="0" w:firstRowFirstColumn="0" w:firstRowLastColumn="0" w:lastRowFirstColumn="0" w:lastRowLastColumn="0"/>
            </w:pPr>
            <w:r>
              <w:t>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819632" w14:textId="77777777" w:rsidR="005C510D" w:rsidRDefault="005C510D">
            <w:pPr>
              <w:cnfStyle w:val="000000100000" w:firstRow="0" w:lastRow="0" w:firstColumn="0" w:lastColumn="0" w:oddVBand="0" w:evenVBand="0" w:oddHBand="1" w:evenHBand="0" w:firstRowFirstColumn="0" w:firstRowLastColumn="0" w:lastRowFirstColumn="0" w:lastRowLastColumn="0"/>
            </w:pPr>
            <w:r>
              <w:t>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6BDE19" w14:textId="77777777" w:rsidR="005C510D" w:rsidRDefault="005C510D">
            <w:pPr>
              <w:cnfStyle w:val="000000100000" w:firstRow="0" w:lastRow="0" w:firstColumn="0" w:lastColumn="0" w:oddVBand="0" w:evenVBand="0" w:oddHBand="1" w:evenHBand="0" w:firstRowFirstColumn="0" w:firstRowLastColumn="0" w:lastRowFirstColumn="0" w:lastRowLastColumn="0"/>
            </w:pPr>
            <w:r>
              <w:t>N/A</w:t>
            </w:r>
          </w:p>
        </w:tc>
      </w:tr>
      <w:tr w:rsidR="005C510D" w14:paraId="4444E5E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647526" w14:textId="77777777" w:rsidR="005C510D" w:rsidRDefault="005C510D">
            <w:r>
              <w:t>Job Completion Time (days)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EF03F5" w14:textId="77777777" w:rsidR="005C510D" w:rsidRDefault="005C510D">
            <w:pPr>
              <w:cnfStyle w:val="000000000000" w:firstRow="0" w:lastRow="0" w:firstColumn="0" w:lastColumn="0" w:oddVBand="0" w:evenVBand="0" w:oddHBand="0" w:evenHBand="0" w:firstRowFirstColumn="0" w:firstRowLastColumn="0" w:lastRowFirstColumn="0" w:lastRowLastColumn="0"/>
            </w:pPr>
            <w:r>
              <w:t>14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77769D" w14:textId="77777777" w:rsidR="005C510D" w:rsidRDefault="005C510D">
            <w:pPr>
              <w:cnfStyle w:val="000000000000" w:firstRow="0" w:lastRow="0" w:firstColumn="0" w:lastColumn="0" w:oddVBand="0" w:evenVBand="0" w:oddHBand="0" w:evenHBand="0" w:firstRowFirstColumn="0" w:firstRowLastColumn="0" w:lastRowFirstColumn="0" w:lastRowLastColumn="0"/>
            </w:pPr>
            <w:r>
              <w:t>10</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0E501D" w14:textId="77777777" w:rsidR="005C510D" w:rsidRDefault="005C510D">
            <w:pPr>
              <w:cnfStyle w:val="000000000000" w:firstRow="0" w:lastRow="0" w:firstColumn="0" w:lastColumn="0" w:oddVBand="0" w:evenVBand="0" w:oddHBand="0" w:evenHBand="0" w:firstRowFirstColumn="0" w:firstRowLastColumn="0" w:lastRowFirstColumn="0" w:lastRowLastColumn="0"/>
            </w:pPr>
            <w:r>
              <w:t>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24224E" w14:textId="77777777" w:rsidR="005C510D" w:rsidRDefault="005C510D">
            <w:pPr>
              <w:cnfStyle w:val="000000000000" w:firstRow="0" w:lastRow="0" w:firstColumn="0" w:lastColumn="0" w:oddVBand="0" w:evenVBand="0" w:oddHBand="0" w:evenHBand="0" w:firstRowFirstColumn="0" w:firstRowLastColumn="0" w:lastRowFirstColumn="0" w:lastRowLastColumn="0"/>
            </w:pPr>
            <w:r>
              <w:t>N/A</w:t>
            </w:r>
          </w:p>
        </w:tc>
      </w:tr>
      <w:tr w:rsidR="005C510D" w14:paraId="4635E3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34810C" w14:textId="77777777" w:rsidR="005C510D" w:rsidRDefault="005C510D">
            <w:r>
              <w:t>Employee Retention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4770B1" w14:textId="77777777" w:rsidR="005C510D" w:rsidRDefault="005C510D">
            <w:pPr>
              <w:cnfStyle w:val="000000100000" w:firstRow="0" w:lastRow="0" w:firstColumn="0" w:lastColumn="0" w:oddVBand="0" w:evenVBand="0" w:oddHBand="1" w:evenHBand="0" w:firstRowFirstColumn="0" w:firstRowLastColumn="0" w:lastRowFirstColumn="0" w:lastRowLastColumn="0"/>
            </w:pPr>
            <w:r>
              <w:t>82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BB0D24" w14:textId="77777777" w:rsidR="005C510D" w:rsidRDefault="005C510D">
            <w:pPr>
              <w:cnfStyle w:val="000000100000" w:firstRow="0" w:lastRow="0" w:firstColumn="0" w:lastColumn="0" w:oddVBand="0" w:evenVBand="0" w:oddHBand="1" w:evenHBand="0" w:firstRowFirstColumn="0" w:firstRowLastColumn="0" w:lastRowFirstColumn="0" w:lastRowLastColumn="0"/>
            </w:pPr>
            <w:r>
              <w:t>85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F40BED" w14:textId="77777777" w:rsidR="005C510D" w:rsidRDefault="005C510D">
            <w:pPr>
              <w:cnfStyle w:val="000000100000" w:firstRow="0" w:lastRow="0" w:firstColumn="0" w:lastColumn="0" w:oddVBand="0" w:evenVBand="0" w:oddHBand="1" w:evenHBand="0" w:firstRowFirstColumn="0" w:firstRowLastColumn="0" w:lastRowFirstColumn="0" w:lastRowLastColumn="0"/>
            </w:pPr>
            <w:r>
              <w:t>89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7A41AA" w14:textId="77777777" w:rsidR="005C510D" w:rsidRDefault="005C510D">
            <w:pPr>
              <w:cnfStyle w:val="000000100000" w:firstRow="0" w:lastRow="0" w:firstColumn="0" w:lastColumn="0" w:oddVBand="0" w:evenVBand="0" w:oddHBand="1" w:evenHBand="0" w:firstRowFirstColumn="0" w:firstRowLastColumn="0" w:lastRowFirstColumn="0" w:lastRowLastColumn="0"/>
            </w:pPr>
            <w:r>
              <w:t>N/A</w:t>
            </w:r>
          </w:p>
        </w:tc>
      </w:tr>
      <w:tr w:rsidR="005C510D" w14:paraId="6045F0F2"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76309D" w14:textId="77777777" w:rsidR="005C510D" w:rsidRDefault="005C510D">
            <w:r>
              <w:t>CPDs per Employee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33BEAA" w14:textId="77777777" w:rsidR="005C510D" w:rsidRDefault="005C510D">
            <w:pPr>
              <w:cnfStyle w:val="000000000000" w:firstRow="0" w:lastRow="0" w:firstColumn="0" w:lastColumn="0" w:oddVBand="0" w:evenVBand="0" w:oddHBand="0" w:evenHBand="0" w:firstRowFirstColumn="0" w:firstRowLastColumn="0" w:lastRowFirstColumn="0" w:lastRowLastColumn="0"/>
            </w:pPr>
            <w:r>
              <w:t>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267279" w14:textId="77777777" w:rsidR="005C510D" w:rsidRDefault="005C510D">
            <w:pPr>
              <w:cnfStyle w:val="000000000000" w:firstRow="0" w:lastRow="0" w:firstColumn="0" w:lastColumn="0" w:oddVBand="0" w:evenVBand="0" w:oddHBand="0" w:evenHBand="0" w:firstRowFirstColumn="0" w:firstRowLastColumn="0" w:lastRowFirstColumn="0" w:lastRowLastColumn="0"/>
            </w:pPr>
            <w:r>
              <w:t>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026964" w14:textId="77777777" w:rsidR="005C510D" w:rsidRDefault="005C510D">
            <w:pPr>
              <w:cnfStyle w:val="000000000000" w:firstRow="0" w:lastRow="0" w:firstColumn="0" w:lastColumn="0" w:oddVBand="0" w:evenVBand="0" w:oddHBand="0" w:evenHBand="0" w:firstRowFirstColumn="0" w:firstRowLastColumn="0" w:lastRowFirstColumn="0" w:lastRowLastColumn="0"/>
            </w:pPr>
            <w:r>
              <w:t>12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920E93" w14:textId="77777777" w:rsidR="005C510D" w:rsidRDefault="005C510D">
            <w:pPr>
              <w:cnfStyle w:val="000000000000" w:firstRow="0" w:lastRow="0" w:firstColumn="0" w:lastColumn="0" w:oddVBand="0" w:evenVBand="0" w:oddHBand="0" w:evenHBand="0" w:firstRowFirstColumn="0" w:firstRowLastColumn="0" w:lastRowFirstColumn="0" w:lastRowLastColumn="0"/>
            </w:pPr>
            <w:r>
              <w:t>N/A</w:t>
            </w:r>
          </w:p>
        </w:tc>
      </w:tr>
      <w:tr w:rsidR="005C510D" w14:paraId="673DD0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39620E" w14:textId="77777777" w:rsidR="005C510D" w:rsidRDefault="005C510D">
            <w:r>
              <w:t>Employees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73B3BE" w14:textId="77777777" w:rsidR="005C510D" w:rsidRDefault="005C510D">
            <w:pPr>
              <w:cnfStyle w:val="000000100000" w:firstRow="0" w:lastRow="0" w:firstColumn="0" w:lastColumn="0" w:oddVBand="0" w:evenVBand="0" w:oddHBand="1" w:evenHBand="0" w:firstRowFirstColumn="0" w:firstRowLastColumn="0" w:lastRowFirstColumn="0" w:lastRowLastColumn="0"/>
            </w:pPr>
            <w:r>
              <w:t>14</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C32EDA" w14:textId="77777777" w:rsidR="005C510D" w:rsidRDefault="005C510D">
            <w:pPr>
              <w:cnfStyle w:val="000000100000" w:firstRow="0" w:lastRow="0" w:firstColumn="0" w:lastColumn="0" w:oddVBand="0" w:evenVBand="0" w:oddHBand="1" w:evenHBand="0" w:firstRowFirstColumn="0" w:firstRowLastColumn="0" w:lastRowFirstColumn="0" w:lastRowLastColumn="0"/>
            </w:pPr>
            <w:r>
              <w:t>16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E94F32" w14:textId="77777777" w:rsidR="005C510D" w:rsidRDefault="005C510D">
            <w:pPr>
              <w:cnfStyle w:val="000000100000" w:firstRow="0" w:lastRow="0" w:firstColumn="0" w:lastColumn="0" w:oddVBand="0" w:evenVBand="0" w:oddHBand="1" w:evenHBand="0" w:firstRowFirstColumn="0" w:firstRowLastColumn="0" w:lastRowFirstColumn="0" w:lastRowLastColumn="0"/>
            </w:pPr>
            <w:r>
              <w:t>23</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8FD727" w14:textId="77777777" w:rsidR="005C510D" w:rsidRDefault="005C510D">
            <w:pPr>
              <w:cnfStyle w:val="000000100000" w:firstRow="0" w:lastRow="0" w:firstColumn="0" w:lastColumn="0" w:oddVBand="0" w:evenVBand="0" w:oddHBand="1" w:evenHBand="0" w:firstRowFirstColumn="0" w:firstRowLastColumn="0" w:lastRowFirstColumn="0" w:lastRowLastColumn="0"/>
            </w:pPr>
            <w:r>
              <w:t>N/A</w:t>
            </w:r>
          </w:p>
        </w:tc>
      </w:tr>
    </w:tbl>
    <w:p w14:paraId="4975B152" w14:textId="77777777" w:rsidR="005C510D" w:rsidRDefault="005C510D" w:rsidP="005C510D">
      <w:pPr>
        <w:rPr>
          <w:rFonts w:ascii="Arial" w:hAnsi="Arial" w:cs="Arial"/>
        </w:rPr>
      </w:pPr>
    </w:p>
    <w:p w14:paraId="7161527C" w14:textId="43206E4E" w:rsidR="002F23F1" w:rsidRDefault="002F23F1"/>
    <w:p w14:paraId="2F65113E" w14:textId="77777777" w:rsidR="002F23F1" w:rsidRDefault="002F23F1"/>
    <w:p w14:paraId="3F034758" w14:textId="3E5BE5C2" w:rsidR="002F23F1" w:rsidRDefault="002F23F1"/>
    <w:p w14:paraId="2F6AB592" w14:textId="1E8062D2" w:rsidR="002F23F1" w:rsidRDefault="002F23F1"/>
    <w:p w14:paraId="4352D40F" w14:textId="5DFC3A8C" w:rsidR="002F23F1" w:rsidRPr="005C510D" w:rsidRDefault="002F23F1" w:rsidP="005C510D">
      <w:pPr>
        <w:rPr>
          <w:rFonts w:ascii="Times New Roman" w:hAnsi="Times New Roman" w:cs="Times New Roman"/>
          <w:b/>
          <w:bCs/>
          <w:sz w:val="40"/>
          <w:szCs w:val="40"/>
        </w:rPr>
      </w:pPr>
      <w:r>
        <w:t xml:space="preserve">                    </w:t>
      </w:r>
      <w:r>
        <w:rPr>
          <w:rFonts w:ascii="Times New Roman" w:hAnsi="Times New Roman" w:cs="Times New Roman"/>
          <w:sz w:val="40"/>
          <w:szCs w:val="40"/>
        </w:rPr>
        <w:tab/>
      </w:r>
    </w:p>
    <w:sectPr w:rsidR="002F23F1" w:rsidRPr="005C510D" w:rsidSect="002F23F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DE81C" w14:textId="77777777" w:rsidR="003341C0" w:rsidRDefault="003341C0" w:rsidP="009B37C8">
      <w:pPr>
        <w:spacing w:after="0" w:line="240" w:lineRule="auto"/>
      </w:pPr>
      <w:r>
        <w:separator/>
      </w:r>
    </w:p>
  </w:endnote>
  <w:endnote w:type="continuationSeparator" w:id="0">
    <w:p w14:paraId="5FC2624C" w14:textId="77777777" w:rsidR="003341C0" w:rsidRDefault="003341C0" w:rsidP="009B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CA9BB" w14:textId="77777777" w:rsidR="003341C0" w:rsidRDefault="003341C0" w:rsidP="009B37C8">
      <w:pPr>
        <w:spacing w:after="0" w:line="240" w:lineRule="auto"/>
      </w:pPr>
      <w:r>
        <w:separator/>
      </w:r>
    </w:p>
  </w:footnote>
  <w:footnote w:type="continuationSeparator" w:id="0">
    <w:p w14:paraId="0BA8C196" w14:textId="77777777" w:rsidR="003341C0" w:rsidRDefault="003341C0" w:rsidP="009B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7DD"/>
    <w:multiLevelType w:val="hybridMultilevel"/>
    <w:tmpl w:val="5B8A2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8C76B1"/>
    <w:multiLevelType w:val="hybridMultilevel"/>
    <w:tmpl w:val="57887E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2B25B5"/>
    <w:multiLevelType w:val="hybridMultilevel"/>
    <w:tmpl w:val="45E03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3215EDC"/>
    <w:multiLevelType w:val="hybridMultilevel"/>
    <w:tmpl w:val="BC7C8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AFC5C55"/>
    <w:multiLevelType w:val="hybridMultilevel"/>
    <w:tmpl w:val="F3CEA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C354DE4"/>
    <w:multiLevelType w:val="hybridMultilevel"/>
    <w:tmpl w:val="DD602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78366828">
    <w:abstractNumId w:val="0"/>
  </w:num>
  <w:num w:numId="2" w16cid:durableId="974872425">
    <w:abstractNumId w:val="3"/>
  </w:num>
  <w:num w:numId="3" w16cid:durableId="1838157024">
    <w:abstractNumId w:val="5"/>
  </w:num>
  <w:num w:numId="4" w16cid:durableId="391127048">
    <w:abstractNumId w:val="2"/>
  </w:num>
  <w:num w:numId="5" w16cid:durableId="686442421">
    <w:abstractNumId w:val="1"/>
  </w:num>
  <w:num w:numId="6" w16cid:durableId="15964759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F1"/>
    <w:rsid w:val="00002A65"/>
    <w:rsid w:val="000950F4"/>
    <w:rsid w:val="001A09A5"/>
    <w:rsid w:val="002F23F1"/>
    <w:rsid w:val="003341C0"/>
    <w:rsid w:val="00373A38"/>
    <w:rsid w:val="00384F6F"/>
    <w:rsid w:val="003E478C"/>
    <w:rsid w:val="003F3439"/>
    <w:rsid w:val="004307C3"/>
    <w:rsid w:val="004443BF"/>
    <w:rsid w:val="00471DB7"/>
    <w:rsid w:val="00504004"/>
    <w:rsid w:val="00565731"/>
    <w:rsid w:val="005C510D"/>
    <w:rsid w:val="0062288F"/>
    <w:rsid w:val="006271C1"/>
    <w:rsid w:val="00680993"/>
    <w:rsid w:val="006A40F0"/>
    <w:rsid w:val="006B2327"/>
    <w:rsid w:val="006E7AF5"/>
    <w:rsid w:val="0075467A"/>
    <w:rsid w:val="007871E2"/>
    <w:rsid w:val="007C5AA1"/>
    <w:rsid w:val="008F294C"/>
    <w:rsid w:val="009B37C8"/>
    <w:rsid w:val="009C2FFC"/>
    <w:rsid w:val="00A62999"/>
    <w:rsid w:val="00A7101C"/>
    <w:rsid w:val="00A75D08"/>
    <w:rsid w:val="00A87C3B"/>
    <w:rsid w:val="00AE6E5C"/>
    <w:rsid w:val="00B73B60"/>
    <w:rsid w:val="00C323AA"/>
    <w:rsid w:val="00CD184E"/>
    <w:rsid w:val="00CF6C2D"/>
    <w:rsid w:val="00D62E68"/>
    <w:rsid w:val="00DF6903"/>
    <w:rsid w:val="00FF4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B890"/>
  <w15:chartTrackingRefBased/>
  <w15:docId w15:val="{81329A41-6A96-4A28-BFAC-F4AE0F5D1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3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3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3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3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3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3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3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3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3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3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3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3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3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3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3F1"/>
    <w:rPr>
      <w:rFonts w:eastAsiaTheme="majorEastAsia" w:cstheme="majorBidi"/>
      <w:color w:val="272727" w:themeColor="text1" w:themeTint="D8"/>
    </w:rPr>
  </w:style>
  <w:style w:type="paragraph" w:styleId="Title">
    <w:name w:val="Title"/>
    <w:basedOn w:val="Normal"/>
    <w:next w:val="Normal"/>
    <w:link w:val="TitleChar"/>
    <w:uiPriority w:val="10"/>
    <w:qFormat/>
    <w:rsid w:val="002F2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3F1"/>
    <w:pPr>
      <w:spacing w:before="160"/>
      <w:jc w:val="center"/>
    </w:pPr>
    <w:rPr>
      <w:i/>
      <w:iCs/>
      <w:color w:val="404040" w:themeColor="text1" w:themeTint="BF"/>
    </w:rPr>
  </w:style>
  <w:style w:type="character" w:customStyle="1" w:styleId="QuoteChar">
    <w:name w:val="Quote Char"/>
    <w:basedOn w:val="DefaultParagraphFont"/>
    <w:link w:val="Quote"/>
    <w:uiPriority w:val="29"/>
    <w:rsid w:val="002F23F1"/>
    <w:rPr>
      <w:i/>
      <w:iCs/>
      <w:color w:val="404040" w:themeColor="text1" w:themeTint="BF"/>
    </w:rPr>
  </w:style>
  <w:style w:type="paragraph" w:styleId="ListParagraph">
    <w:name w:val="List Paragraph"/>
    <w:basedOn w:val="Normal"/>
    <w:uiPriority w:val="34"/>
    <w:qFormat/>
    <w:rsid w:val="002F23F1"/>
    <w:pPr>
      <w:ind w:left="720"/>
      <w:contextualSpacing/>
    </w:pPr>
  </w:style>
  <w:style w:type="character" w:styleId="IntenseEmphasis">
    <w:name w:val="Intense Emphasis"/>
    <w:basedOn w:val="DefaultParagraphFont"/>
    <w:uiPriority w:val="21"/>
    <w:qFormat/>
    <w:rsid w:val="002F23F1"/>
    <w:rPr>
      <w:i/>
      <w:iCs/>
      <w:color w:val="0F4761" w:themeColor="accent1" w:themeShade="BF"/>
    </w:rPr>
  </w:style>
  <w:style w:type="paragraph" w:styleId="IntenseQuote">
    <w:name w:val="Intense Quote"/>
    <w:basedOn w:val="Normal"/>
    <w:next w:val="Normal"/>
    <w:link w:val="IntenseQuoteChar"/>
    <w:uiPriority w:val="30"/>
    <w:qFormat/>
    <w:rsid w:val="002F2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3F1"/>
    <w:rPr>
      <w:i/>
      <w:iCs/>
      <w:color w:val="0F4761" w:themeColor="accent1" w:themeShade="BF"/>
    </w:rPr>
  </w:style>
  <w:style w:type="character" w:styleId="IntenseReference">
    <w:name w:val="Intense Reference"/>
    <w:basedOn w:val="DefaultParagraphFont"/>
    <w:uiPriority w:val="32"/>
    <w:qFormat/>
    <w:rsid w:val="002F23F1"/>
    <w:rPr>
      <w:b/>
      <w:bCs/>
      <w:smallCaps/>
      <w:color w:val="0F4761" w:themeColor="accent1" w:themeShade="BF"/>
      <w:spacing w:val="5"/>
    </w:rPr>
  </w:style>
  <w:style w:type="character" w:styleId="Hyperlink">
    <w:name w:val="Hyperlink"/>
    <w:basedOn w:val="DefaultParagraphFont"/>
    <w:uiPriority w:val="99"/>
    <w:semiHidden/>
    <w:unhideWhenUsed/>
    <w:rsid w:val="005C510D"/>
    <w:rPr>
      <w:color w:val="467886" w:themeColor="hyperlink"/>
      <w:u w:val="single"/>
    </w:rPr>
  </w:style>
  <w:style w:type="paragraph" w:styleId="TOC1">
    <w:name w:val="toc 1"/>
    <w:basedOn w:val="Normal"/>
    <w:next w:val="Normal"/>
    <w:autoRedefine/>
    <w:uiPriority w:val="39"/>
    <w:semiHidden/>
    <w:unhideWhenUsed/>
    <w:rsid w:val="005C510D"/>
    <w:pPr>
      <w:spacing w:after="100" w:line="360" w:lineRule="auto"/>
      <w:jc w:val="both"/>
    </w:pPr>
    <w:rPr>
      <w:rFonts w:ascii="Arial" w:hAnsi="Arial" w:cs="Arial"/>
      <w:kern w:val="0"/>
      <w14:ligatures w14:val="none"/>
    </w:rPr>
  </w:style>
  <w:style w:type="paragraph" w:styleId="TOC2">
    <w:name w:val="toc 2"/>
    <w:basedOn w:val="Normal"/>
    <w:next w:val="Normal"/>
    <w:autoRedefine/>
    <w:uiPriority w:val="39"/>
    <w:semiHidden/>
    <w:unhideWhenUsed/>
    <w:rsid w:val="005C510D"/>
    <w:pPr>
      <w:spacing w:after="100" w:line="360" w:lineRule="auto"/>
      <w:ind w:left="220"/>
      <w:jc w:val="both"/>
    </w:pPr>
    <w:rPr>
      <w:rFonts w:ascii="Arial" w:hAnsi="Arial" w:cs="Arial"/>
      <w:kern w:val="0"/>
      <w14:ligatures w14:val="none"/>
    </w:rPr>
  </w:style>
  <w:style w:type="paragraph" w:styleId="TOC3">
    <w:name w:val="toc 3"/>
    <w:basedOn w:val="Normal"/>
    <w:next w:val="Normal"/>
    <w:autoRedefine/>
    <w:uiPriority w:val="39"/>
    <w:semiHidden/>
    <w:unhideWhenUsed/>
    <w:rsid w:val="005C510D"/>
    <w:pPr>
      <w:spacing w:after="100" w:line="360" w:lineRule="auto"/>
      <w:ind w:left="480"/>
      <w:jc w:val="both"/>
    </w:pPr>
    <w:rPr>
      <w:rFonts w:ascii="Arial" w:hAnsi="Arial" w:cs="Arial"/>
      <w:kern w:val="0"/>
      <w14:ligatures w14:val="none"/>
    </w:rPr>
  </w:style>
  <w:style w:type="character" w:customStyle="1" w:styleId="NoSpacingChar">
    <w:name w:val="No Spacing Char"/>
    <w:basedOn w:val="DefaultParagraphFont"/>
    <w:link w:val="NoSpacing"/>
    <w:uiPriority w:val="1"/>
    <w:locked/>
    <w:rsid w:val="005C510D"/>
    <w:rPr>
      <w:rFonts w:ascii="SimSun" w:eastAsiaTheme="minorEastAsia" w:hAnsi="SimSun"/>
      <w:lang w:val="en-US"/>
    </w:rPr>
  </w:style>
  <w:style w:type="paragraph" w:styleId="NoSpacing">
    <w:name w:val="No Spacing"/>
    <w:link w:val="NoSpacingChar"/>
    <w:uiPriority w:val="1"/>
    <w:qFormat/>
    <w:rsid w:val="005C510D"/>
    <w:pPr>
      <w:spacing w:after="0" w:line="240" w:lineRule="auto"/>
    </w:pPr>
    <w:rPr>
      <w:rFonts w:ascii="SimSun" w:eastAsiaTheme="minorEastAsia" w:hAnsi="SimSun"/>
      <w:lang w:val="en-US"/>
    </w:rPr>
  </w:style>
  <w:style w:type="paragraph" w:styleId="TOCHeading">
    <w:name w:val="TOC Heading"/>
    <w:basedOn w:val="Heading1"/>
    <w:next w:val="Normal"/>
    <w:uiPriority w:val="39"/>
    <w:semiHidden/>
    <w:unhideWhenUsed/>
    <w:qFormat/>
    <w:rsid w:val="005C510D"/>
    <w:pPr>
      <w:shd w:val="clear" w:color="auto" w:fill="C1E4F5" w:themeFill="accent1" w:themeFillTint="33"/>
      <w:spacing w:before="240" w:after="0" w:line="360" w:lineRule="auto"/>
      <w:jc w:val="both"/>
      <w:outlineLvl w:val="9"/>
    </w:pPr>
    <w:rPr>
      <w:rFonts w:ascii="Arial" w:hAnsi="Arial" w:cs="Arial"/>
      <w:b/>
      <w:bCs/>
      <w:kern w:val="0"/>
      <w:sz w:val="32"/>
      <w:szCs w:val="32"/>
      <w:lang w:val="en-US"/>
      <w14:ligatures w14:val="none"/>
    </w:rPr>
  </w:style>
  <w:style w:type="table" w:styleId="PlainTable1">
    <w:name w:val="Plain Table 1"/>
    <w:basedOn w:val="TableNormal"/>
    <w:uiPriority w:val="41"/>
    <w:rsid w:val="005C510D"/>
    <w:pPr>
      <w:spacing w:after="0" w:line="240" w:lineRule="auto"/>
    </w:pPr>
    <w:rPr>
      <w:kern w:val="0"/>
      <w:sz w:val="22"/>
      <w:szCs w:val="22"/>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9B3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7C8"/>
  </w:style>
  <w:style w:type="paragraph" w:styleId="Footer">
    <w:name w:val="footer"/>
    <w:basedOn w:val="Normal"/>
    <w:link w:val="FooterChar"/>
    <w:uiPriority w:val="99"/>
    <w:unhideWhenUsed/>
    <w:rsid w:val="009B3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Contemporary%20Issues%20In%20performance%20managemant\Josim%20Contemporary%20Issues%20in%20Performance%20Management.docx" TargetMode="External"/><Relationship Id="rId18" Type="http://schemas.openxmlformats.org/officeDocument/2006/relationships/hyperlink" Target="file:///C:\Contemporary%20Issues%20In%20performance%20managemant\Josim%20Contemporary%20Issues%20in%20Performance%20Management.doc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Contemporary%20Issues%20In%20performance%20managemant\Josim%20Contemporary%20Issues%20in%20Performance%20Management.docx" TargetMode="External"/><Relationship Id="rId7" Type="http://schemas.openxmlformats.org/officeDocument/2006/relationships/endnotes" Target="endnotes.xml"/><Relationship Id="rId12" Type="http://schemas.openxmlformats.org/officeDocument/2006/relationships/hyperlink" Target="file:///C:\Contemporary%20Issues%20In%20performance%20managemant\Josim%20Contemporary%20Issues%20in%20Performance%20Management.docx" TargetMode="External"/><Relationship Id="rId17" Type="http://schemas.openxmlformats.org/officeDocument/2006/relationships/hyperlink" Target="file:///C:\Contemporary%20Issues%20In%20performance%20managemant\Josim%20Contemporary%20Issues%20in%20Performance%20Management.docx" TargetMode="External"/><Relationship Id="rId25" Type="http://schemas.openxmlformats.org/officeDocument/2006/relationships/hyperlink" Target="file:///C:\Contemporary%20Issues%20In%20performance%20managemant\Josim%20Contemporary%20Issues%20in%20Performance%20Management.docx" TargetMode="External"/><Relationship Id="rId2" Type="http://schemas.openxmlformats.org/officeDocument/2006/relationships/numbering" Target="numbering.xml"/><Relationship Id="rId16" Type="http://schemas.openxmlformats.org/officeDocument/2006/relationships/hyperlink" Target="file:///C:\Contemporary%20Issues%20In%20performance%20managemant\Josim%20Contemporary%20Issues%20in%20Performance%20Management.docx" TargetMode="External"/><Relationship Id="rId20" Type="http://schemas.openxmlformats.org/officeDocument/2006/relationships/hyperlink" Target="file:///C:\Contemporary%20Issues%20In%20performance%20managemant\Josim%20Contemporary%20Issues%20in%20Performance%20Management.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ontemporary%20Issues%20In%20performance%20managemant\Josim%20Contemporary%20Issues%20in%20Performance%20Management.docx" TargetMode="External"/><Relationship Id="rId24" Type="http://schemas.openxmlformats.org/officeDocument/2006/relationships/hyperlink" Target="file:///C:\Contemporary%20Issues%20In%20performance%20managemant\Josim%20Contemporary%20Issues%20in%20Performance%20Management.docx" TargetMode="External"/><Relationship Id="rId5" Type="http://schemas.openxmlformats.org/officeDocument/2006/relationships/webSettings" Target="webSettings.xml"/><Relationship Id="rId15" Type="http://schemas.openxmlformats.org/officeDocument/2006/relationships/hyperlink" Target="file:///C:\Contemporary%20Issues%20In%20performance%20managemant\Josim%20Contemporary%20Issues%20in%20Performance%20Management.docx" TargetMode="External"/><Relationship Id="rId23" Type="http://schemas.openxmlformats.org/officeDocument/2006/relationships/hyperlink" Target="file:///C:\Contemporary%20Issues%20In%20performance%20managemant\Josim%20Contemporary%20Issues%20in%20Performance%20Management.docx" TargetMode="External"/><Relationship Id="rId28" Type="http://schemas.openxmlformats.org/officeDocument/2006/relationships/theme" Target="theme/theme1.xml"/><Relationship Id="rId10" Type="http://schemas.openxmlformats.org/officeDocument/2006/relationships/hyperlink" Target="file:///C:\Contemporary%20Issues%20In%20performance%20managemant\Josim%20Contemporary%20Issues%20in%20Performance%20Management.docx" TargetMode="External"/><Relationship Id="rId19" Type="http://schemas.openxmlformats.org/officeDocument/2006/relationships/hyperlink" Target="file:///C:\Contemporary%20Issues%20In%20performance%20managemant\Josim%20Contemporary%20Issues%20in%20Performance%20Management.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Contemporary%20Issues%20In%20performance%20managemant\Josim%20Contemporary%20Issues%20in%20Performance%20Management.docx" TargetMode="External"/><Relationship Id="rId22" Type="http://schemas.openxmlformats.org/officeDocument/2006/relationships/hyperlink" Target="file:///C:\Contemporary%20Issues%20In%20performance%20managemant\Josim%20Contemporary%20Issues%20in%20Performance%20Management.docx"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F3C8659EDF41488BFCD5F700CC781C"/>
        <w:category>
          <w:name w:val="General"/>
          <w:gallery w:val="placeholder"/>
        </w:category>
        <w:types>
          <w:type w:val="bbPlcHdr"/>
        </w:types>
        <w:behaviors>
          <w:behavior w:val="content"/>
        </w:behaviors>
        <w:guid w:val="{99266BED-7E91-4ED6-8067-CC8D5ECB6F24}"/>
      </w:docPartPr>
      <w:docPartBody>
        <w:p w:rsidR="00292198" w:rsidRDefault="00860CD1" w:rsidP="00860CD1">
          <w:pPr>
            <w:pStyle w:val="ADF3C8659EDF41488BFCD5F700CC781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CD1"/>
    <w:rsid w:val="0012428F"/>
    <w:rsid w:val="00281B79"/>
    <w:rsid w:val="00292198"/>
    <w:rsid w:val="00384F6F"/>
    <w:rsid w:val="006E7AF5"/>
    <w:rsid w:val="0075467A"/>
    <w:rsid w:val="0076198B"/>
    <w:rsid w:val="00860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F3C8659EDF41488BFCD5F700CC781C">
    <w:name w:val="ADF3C8659EDF41488BFCD5F700CC781C"/>
    <w:rsid w:val="00860C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2260</TotalTime>
  <Pages>23</Pages>
  <Words>7354</Words>
  <Characters>41923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PERFORMANCE MANAGEMENT</dc:title>
  <dc:subject>Mitcham Fabrication Plc and Indorex Brands</dc:subject>
  <dc:creator>Md Josim Uddin (2516714)</dc:creator>
  <cp:keywords/>
  <dc:description/>
  <cp:lastModifiedBy>Md Josim Uddin (2516714)</cp:lastModifiedBy>
  <cp:revision>19</cp:revision>
  <dcterms:created xsi:type="dcterms:W3CDTF">2026-03-27T01:01:00Z</dcterms:created>
  <dcterms:modified xsi:type="dcterms:W3CDTF">2026-04-15T22:46:00Z</dcterms:modified>
</cp:coreProperties>
</file>