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FBEB7" w14:textId="23814CF5" w:rsidR="00B80A9D" w:rsidRDefault="00EE0028">
      <w:pPr>
        <w:spacing w:line="240" w:lineRule="auto"/>
        <w:jc w:val="center"/>
        <w:rPr>
          <w:b/>
          <w:bCs/>
          <w:sz w:val="96"/>
          <w:szCs w:val="96"/>
        </w:rPr>
      </w:pPr>
      <w:r>
        <w:rPr>
          <w:b/>
          <w:bCs/>
          <w:noProof/>
          <w:sz w:val="96"/>
          <w:szCs w:val="96"/>
          <w14:ligatures w14:val="none"/>
        </w:rPr>
        <w:drawing>
          <wp:inline distT="0" distB="0" distL="0" distR="0" wp14:anchorId="32720C2D" wp14:editId="565779A9">
            <wp:extent cx="3939540" cy="1775460"/>
            <wp:effectExtent l="0" t="0" r="3810" b="0"/>
            <wp:docPr id="1684492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492022" name="Picture 168449202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939540" cy="1775460"/>
                    </a:xfrm>
                    <a:prstGeom prst="rect">
                      <a:avLst/>
                    </a:prstGeom>
                  </pic:spPr>
                </pic:pic>
              </a:graphicData>
            </a:graphic>
          </wp:inline>
        </w:drawing>
      </w:r>
    </w:p>
    <w:p w14:paraId="1CA45636" w14:textId="77777777" w:rsidR="00B80A9D" w:rsidRDefault="00B80A9D">
      <w:pPr>
        <w:spacing w:line="240" w:lineRule="auto"/>
        <w:jc w:val="center"/>
        <w:rPr>
          <w:b/>
          <w:bCs/>
          <w:sz w:val="96"/>
          <w:szCs w:val="96"/>
        </w:rPr>
      </w:pPr>
    </w:p>
    <w:p w14:paraId="678C2663" w14:textId="77777777" w:rsidR="00B80A9D" w:rsidRDefault="004D575A">
      <w:pPr>
        <w:spacing w:line="240" w:lineRule="auto"/>
        <w:jc w:val="center"/>
        <w:rPr>
          <w:b/>
          <w:bCs/>
          <w:sz w:val="72"/>
          <w:szCs w:val="72"/>
        </w:rPr>
      </w:pPr>
      <w:r w:rsidRPr="00EE0028">
        <w:rPr>
          <w:b/>
          <w:bCs/>
          <w:sz w:val="72"/>
          <w:szCs w:val="72"/>
        </w:rPr>
        <w:t>Accounting for Managers</w:t>
      </w:r>
    </w:p>
    <w:p w14:paraId="5DA367AE" w14:textId="77777777" w:rsidR="00EE0028" w:rsidRDefault="00EE0028">
      <w:pPr>
        <w:spacing w:line="240" w:lineRule="auto"/>
        <w:jc w:val="center"/>
        <w:rPr>
          <w:b/>
          <w:bCs/>
          <w:sz w:val="72"/>
          <w:szCs w:val="72"/>
        </w:rPr>
      </w:pPr>
    </w:p>
    <w:p w14:paraId="19B3404D" w14:textId="0CB67848" w:rsidR="00EE0028" w:rsidRPr="00EE0028" w:rsidRDefault="00EE0028">
      <w:pPr>
        <w:spacing w:line="240" w:lineRule="auto"/>
        <w:jc w:val="center"/>
        <w:rPr>
          <w:b/>
          <w:bCs/>
          <w:sz w:val="72"/>
          <w:szCs w:val="72"/>
        </w:rPr>
      </w:pPr>
      <w:r>
        <w:rPr>
          <w:b/>
          <w:bCs/>
          <w:sz w:val="72"/>
          <w:szCs w:val="72"/>
        </w:rPr>
        <w:t xml:space="preserve"> </w:t>
      </w:r>
    </w:p>
    <w:p w14:paraId="0EF359DD" w14:textId="77777777" w:rsidR="00EE0028" w:rsidRDefault="00EE0028">
      <w:pPr>
        <w:spacing w:after="160" w:line="278" w:lineRule="auto"/>
        <w:jc w:val="left"/>
        <w:rPr>
          <w:sz w:val="52"/>
          <w:szCs w:val="52"/>
        </w:rPr>
      </w:pPr>
      <w:r w:rsidRPr="00EE0028">
        <w:rPr>
          <w:sz w:val="52"/>
          <w:szCs w:val="52"/>
        </w:rPr>
        <w:t>Module Code: LCBB5010</w:t>
      </w:r>
    </w:p>
    <w:p w14:paraId="0C0565D1" w14:textId="77777777" w:rsidR="00EE0028" w:rsidRDefault="00EE0028">
      <w:pPr>
        <w:spacing w:after="160" w:line="278" w:lineRule="auto"/>
        <w:jc w:val="left"/>
        <w:rPr>
          <w:sz w:val="52"/>
          <w:szCs w:val="52"/>
        </w:rPr>
      </w:pPr>
      <w:r>
        <w:rPr>
          <w:sz w:val="52"/>
          <w:szCs w:val="52"/>
        </w:rPr>
        <w:t>Student Name: Adrian Mocanu</w:t>
      </w:r>
    </w:p>
    <w:p w14:paraId="2DE7CB6B" w14:textId="77777777" w:rsidR="00EE0028" w:rsidRDefault="00EE0028">
      <w:pPr>
        <w:spacing w:after="160" w:line="278" w:lineRule="auto"/>
        <w:jc w:val="left"/>
        <w:rPr>
          <w:sz w:val="52"/>
          <w:szCs w:val="52"/>
        </w:rPr>
      </w:pPr>
      <w:r>
        <w:rPr>
          <w:sz w:val="52"/>
          <w:szCs w:val="52"/>
        </w:rPr>
        <w:t>Student ID: 2243469</w:t>
      </w:r>
    </w:p>
    <w:p w14:paraId="06A99CD4" w14:textId="040A4412" w:rsidR="00B80A9D" w:rsidRPr="00EE0028" w:rsidRDefault="00EE0028">
      <w:pPr>
        <w:spacing w:after="160" w:line="278" w:lineRule="auto"/>
        <w:jc w:val="left"/>
        <w:rPr>
          <w:sz w:val="52"/>
          <w:szCs w:val="52"/>
        </w:rPr>
      </w:pPr>
      <w:r>
        <w:rPr>
          <w:sz w:val="52"/>
          <w:szCs w:val="52"/>
        </w:rPr>
        <w:t>Lecturer Name: Zainab Atta</w:t>
      </w:r>
      <w:r w:rsidR="004D575A" w:rsidRPr="00EE0028">
        <w:rPr>
          <w:sz w:val="52"/>
          <w:szCs w:val="52"/>
        </w:rPr>
        <w:br w:type="page"/>
      </w:r>
    </w:p>
    <w:sdt>
      <w:sdtPr>
        <w:rPr>
          <w:b w:val="0"/>
          <w:bCs w:val="0"/>
          <w:kern w:val="2"/>
          <w:sz w:val="24"/>
          <w:szCs w:val="24"/>
          <w14:ligatures w14:val="standardContextual"/>
        </w:rPr>
        <w:id w:val="179480149"/>
        <w:docPartObj>
          <w:docPartGallery w:val="Table of Contents"/>
          <w:docPartUnique/>
        </w:docPartObj>
      </w:sdtPr>
      <w:sdtContent>
        <w:p w14:paraId="33F223F8" w14:textId="77777777" w:rsidR="00B80A9D" w:rsidRDefault="004D575A">
          <w:pPr>
            <w:pStyle w:val="TOCHeading1"/>
          </w:pPr>
          <w:r>
            <w:t>Contents</w:t>
          </w:r>
        </w:p>
        <w:p w14:paraId="6B5AA859" w14:textId="77777777" w:rsidR="00B80A9D" w:rsidRDefault="004D575A">
          <w:pPr>
            <w:pStyle w:val="TOC1"/>
            <w:tabs>
              <w:tab w:val="right" w:leader="dot" w:pos="9016"/>
            </w:tabs>
            <w:rPr>
              <w:rFonts w:asciiTheme="minorHAnsi" w:eastAsiaTheme="minorEastAsia" w:hAnsiTheme="minorHAnsi" w:cstheme="minorBidi"/>
              <w:lang w:val="en-US"/>
            </w:rPr>
          </w:pPr>
          <w:r>
            <w:fldChar w:fldCharType="begin"/>
          </w:r>
          <w:r>
            <w:instrText xml:space="preserve"> TOC \o "1-3" \h \z \u </w:instrText>
          </w:r>
          <w:r>
            <w:fldChar w:fldCharType="separate"/>
          </w:r>
          <w:hyperlink w:anchor="_Toc224225299" w:history="1">
            <w:r>
              <w:rPr>
                <w:rStyle w:val="Hyperlink"/>
              </w:rPr>
              <w:t>1. Introduction</w:t>
            </w:r>
            <w:r>
              <w:tab/>
            </w:r>
            <w:r>
              <w:fldChar w:fldCharType="begin"/>
            </w:r>
            <w:r>
              <w:instrText xml:space="preserve"> PAGEREF _Toc224225299 \h </w:instrText>
            </w:r>
            <w:r>
              <w:fldChar w:fldCharType="separate"/>
            </w:r>
            <w:r>
              <w:t>3</w:t>
            </w:r>
            <w:r>
              <w:fldChar w:fldCharType="end"/>
            </w:r>
          </w:hyperlink>
        </w:p>
        <w:p w14:paraId="0FF95492" w14:textId="77777777" w:rsidR="00B80A9D" w:rsidRDefault="004D575A">
          <w:pPr>
            <w:pStyle w:val="TOC1"/>
            <w:tabs>
              <w:tab w:val="right" w:leader="dot" w:pos="9016"/>
            </w:tabs>
            <w:rPr>
              <w:rFonts w:asciiTheme="minorHAnsi" w:eastAsiaTheme="minorEastAsia" w:hAnsiTheme="minorHAnsi" w:cstheme="minorBidi"/>
              <w:lang w:val="en-US"/>
            </w:rPr>
          </w:pPr>
          <w:hyperlink w:anchor="_Toc224225300" w:history="1">
            <w:r>
              <w:rPr>
                <w:rStyle w:val="Hyperlink"/>
              </w:rPr>
              <w:t>2. Cost Analysis and Business Model</w:t>
            </w:r>
            <w:r>
              <w:tab/>
            </w:r>
            <w:r>
              <w:fldChar w:fldCharType="begin"/>
            </w:r>
            <w:r>
              <w:instrText xml:space="preserve"> PAGEREF _Toc224225300 \h </w:instrText>
            </w:r>
            <w:r>
              <w:fldChar w:fldCharType="separate"/>
            </w:r>
            <w:r>
              <w:t>3</w:t>
            </w:r>
            <w:r>
              <w:fldChar w:fldCharType="end"/>
            </w:r>
          </w:hyperlink>
        </w:p>
        <w:p w14:paraId="6B2E30A4"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01" w:history="1">
            <w:r>
              <w:rPr>
                <w:rStyle w:val="Hyperlink"/>
              </w:rPr>
              <w:t>Revenue Model</w:t>
            </w:r>
            <w:r>
              <w:tab/>
            </w:r>
            <w:r>
              <w:fldChar w:fldCharType="begin"/>
            </w:r>
            <w:r>
              <w:instrText xml:space="preserve"> PAGEREF _Toc224225301 \h </w:instrText>
            </w:r>
            <w:r>
              <w:fldChar w:fldCharType="separate"/>
            </w:r>
            <w:r>
              <w:t>3</w:t>
            </w:r>
            <w:r>
              <w:fldChar w:fldCharType="end"/>
            </w:r>
          </w:hyperlink>
        </w:p>
        <w:p w14:paraId="660CE7FB"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02" w:history="1">
            <w:r>
              <w:rPr>
                <w:rStyle w:val="Hyperlink"/>
              </w:rPr>
              <w:t>Cost Structures</w:t>
            </w:r>
            <w:r>
              <w:tab/>
            </w:r>
            <w:r>
              <w:fldChar w:fldCharType="begin"/>
            </w:r>
            <w:r>
              <w:instrText xml:space="preserve"> PAGEREF _Toc224225302 \h </w:instrText>
            </w:r>
            <w:r>
              <w:fldChar w:fldCharType="separate"/>
            </w:r>
            <w:r>
              <w:t>4</w:t>
            </w:r>
            <w:r>
              <w:fldChar w:fldCharType="end"/>
            </w:r>
          </w:hyperlink>
        </w:p>
        <w:p w14:paraId="182C7150" w14:textId="77777777" w:rsidR="00B80A9D" w:rsidRDefault="004D575A">
          <w:pPr>
            <w:pStyle w:val="TOC1"/>
            <w:tabs>
              <w:tab w:val="right" w:leader="dot" w:pos="9016"/>
            </w:tabs>
            <w:rPr>
              <w:rFonts w:asciiTheme="minorHAnsi" w:eastAsiaTheme="minorEastAsia" w:hAnsiTheme="minorHAnsi" w:cstheme="minorBidi"/>
              <w:lang w:val="en-US"/>
            </w:rPr>
          </w:pPr>
          <w:hyperlink w:anchor="_Toc224225303" w:history="1">
            <w:r>
              <w:rPr>
                <w:rStyle w:val="Hyperlink"/>
              </w:rPr>
              <w:t>3. Budgeting and Financial Planning</w:t>
            </w:r>
            <w:r>
              <w:tab/>
            </w:r>
            <w:r>
              <w:fldChar w:fldCharType="begin"/>
            </w:r>
            <w:r>
              <w:instrText xml:space="preserve"> PAGEREF _Toc224225303 \h </w:instrText>
            </w:r>
            <w:r>
              <w:fldChar w:fldCharType="separate"/>
            </w:r>
            <w:r>
              <w:t>4</w:t>
            </w:r>
            <w:r>
              <w:fldChar w:fldCharType="end"/>
            </w:r>
          </w:hyperlink>
        </w:p>
        <w:p w14:paraId="7C03B777"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04" w:history="1">
            <w:r>
              <w:rPr>
                <w:rStyle w:val="Hyperlink"/>
              </w:rPr>
              <w:t>Budgeting and its role in Netflix</w:t>
            </w:r>
            <w:r>
              <w:tab/>
            </w:r>
            <w:r>
              <w:fldChar w:fldCharType="begin"/>
            </w:r>
            <w:r>
              <w:instrText xml:space="preserve"> PAGEREF _Toc224225304 \h </w:instrText>
            </w:r>
            <w:r>
              <w:fldChar w:fldCharType="separate"/>
            </w:r>
            <w:r>
              <w:t>4</w:t>
            </w:r>
            <w:r>
              <w:fldChar w:fldCharType="end"/>
            </w:r>
          </w:hyperlink>
        </w:p>
        <w:p w14:paraId="35A25348"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05" w:history="1">
            <w:r>
              <w:rPr>
                <w:rStyle w:val="Hyperlink"/>
              </w:rPr>
              <w:t>Internal Decisions affecting Expense Growth</w:t>
            </w:r>
            <w:r>
              <w:tab/>
            </w:r>
            <w:r>
              <w:fldChar w:fldCharType="begin"/>
            </w:r>
            <w:r>
              <w:instrText xml:space="preserve"> PAGEREF _Toc224225305 \h </w:instrText>
            </w:r>
            <w:r>
              <w:fldChar w:fldCharType="separate"/>
            </w:r>
            <w:r>
              <w:t>5</w:t>
            </w:r>
            <w:r>
              <w:fldChar w:fldCharType="end"/>
            </w:r>
          </w:hyperlink>
        </w:p>
        <w:p w14:paraId="2F61BF28"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06" w:history="1">
            <w:r>
              <w:rPr>
                <w:rStyle w:val="Hyperlink"/>
              </w:rPr>
              <w:t>Macroeconomic Factors influencing expenses</w:t>
            </w:r>
            <w:r>
              <w:tab/>
            </w:r>
            <w:r>
              <w:fldChar w:fldCharType="begin"/>
            </w:r>
            <w:r>
              <w:instrText xml:space="preserve"> PAGEREF _Toc224225306 \h </w:instrText>
            </w:r>
            <w:r>
              <w:fldChar w:fldCharType="separate"/>
            </w:r>
            <w:r>
              <w:t>7</w:t>
            </w:r>
            <w:r>
              <w:fldChar w:fldCharType="end"/>
            </w:r>
          </w:hyperlink>
        </w:p>
        <w:p w14:paraId="53EF3EBE" w14:textId="77777777" w:rsidR="00B80A9D" w:rsidRDefault="004D575A">
          <w:pPr>
            <w:pStyle w:val="TOC1"/>
            <w:tabs>
              <w:tab w:val="right" w:leader="dot" w:pos="9016"/>
            </w:tabs>
            <w:rPr>
              <w:rFonts w:asciiTheme="minorHAnsi" w:eastAsiaTheme="minorEastAsia" w:hAnsiTheme="minorHAnsi" w:cstheme="minorBidi"/>
              <w:lang w:val="en-US"/>
            </w:rPr>
          </w:pPr>
          <w:hyperlink w:anchor="_Toc224225307" w:history="1">
            <w:r>
              <w:rPr>
                <w:rStyle w:val="Hyperlink"/>
              </w:rPr>
              <w:t>4. Performance Measurement and Decision-Making</w:t>
            </w:r>
            <w:r>
              <w:tab/>
            </w:r>
            <w:r>
              <w:fldChar w:fldCharType="begin"/>
            </w:r>
            <w:r>
              <w:instrText xml:space="preserve"> PAGEREF _Toc224225307 \h </w:instrText>
            </w:r>
            <w:r>
              <w:fldChar w:fldCharType="separate"/>
            </w:r>
            <w:r>
              <w:t>7</w:t>
            </w:r>
            <w:r>
              <w:fldChar w:fldCharType="end"/>
            </w:r>
          </w:hyperlink>
        </w:p>
        <w:p w14:paraId="1C46D75E"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08" w:history="1">
            <w:r>
              <w:rPr>
                <w:rStyle w:val="Hyperlink"/>
              </w:rPr>
              <w:t>Key Performance Indicators (KPIs)</w:t>
            </w:r>
            <w:r>
              <w:tab/>
            </w:r>
            <w:r>
              <w:fldChar w:fldCharType="begin"/>
            </w:r>
            <w:r>
              <w:instrText xml:space="preserve"> PAGEREF _Toc224225308 \h </w:instrText>
            </w:r>
            <w:r>
              <w:fldChar w:fldCharType="separate"/>
            </w:r>
            <w:r>
              <w:t>7</w:t>
            </w:r>
            <w:r>
              <w:fldChar w:fldCharType="end"/>
            </w:r>
          </w:hyperlink>
        </w:p>
        <w:p w14:paraId="64C0EA8B"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09" w:history="1">
            <w:r>
              <w:rPr>
                <w:rStyle w:val="Hyperlink"/>
              </w:rPr>
              <w:t>KPIs-Based Strategic Decisions</w:t>
            </w:r>
            <w:r>
              <w:tab/>
            </w:r>
            <w:r>
              <w:fldChar w:fldCharType="begin"/>
            </w:r>
            <w:r>
              <w:instrText xml:space="preserve"> PAGEREF _Toc224225309 \h </w:instrText>
            </w:r>
            <w:r>
              <w:fldChar w:fldCharType="separate"/>
            </w:r>
            <w:r>
              <w:t>8</w:t>
            </w:r>
            <w:r>
              <w:fldChar w:fldCharType="end"/>
            </w:r>
          </w:hyperlink>
        </w:p>
        <w:p w14:paraId="57F2B594" w14:textId="77777777" w:rsidR="00B80A9D" w:rsidRDefault="004D575A">
          <w:pPr>
            <w:pStyle w:val="TOC1"/>
            <w:tabs>
              <w:tab w:val="right" w:leader="dot" w:pos="9016"/>
            </w:tabs>
            <w:rPr>
              <w:rFonts w:asciiTheme="minorHAnsi" w:eastAsiaTheme="minorEastAsia" w:hAnsiTheme="minorHAnsi" w:cstheme="minorBidi"/>
              <w:lang w:val="en-US"/>
            </w:rPr>
          </w:pPr>
          <w:hyperlink w:anchor="_Toc224225310" w:history="1">
            <w:r>
              <w:rPr>
                <w:rStyle w:val="Hyperlink"/>
              </w:rPr>
              <w:t>5. Sustainability and Ethical Considerations</w:t>
            </w:r>
            <w:r>
              <w:tab/>
            </w:r>
            <w:r>
              <w:fldChar w:fldCharType="begin"/>
            </w:r>
            <w:r>
              <w:instrText xml:space="preserve"> PAGEREF _Toc224225310 \h </w:instrText>
            </w:r>
            <w:r>
              <w:fldChar w:fldCharType="separate"/>
            </w:r>
            <w:r>
              <w:t>8</w:t>
            </w:r>
            <w:r>
              <w:fldChar w:fldCharType="end"/>
            </w:r>
          </w:hyperlink>
        </w:p>
        <w:p w14:paraId="152CDBDD"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11" w:history="1">
            <w:r>
              <w:rPr>
                <w:rStyle w:val="Hyperlink"/>
              </w:rPr>
              <w:t>Sustainability in Financial Decision Making</w:t>
            </w:r>
            <w:r>
              <w:tab/>
            </w:r>
            <w:r>
              <w:fldChar w:fldCharType="begin"/>
            </w:r>
            <w:r>
              <w:instrText xml:space="preserve"> PAGEREF _Toc224225311 \h </w:instrText>
            </w:r>
            <w:r>
              <w:fldChar w:fldCharType="separate"/>
            </w:r>
            <w:r>
              <w:t>8</w:t>
            </w:r>
            <w:r>
              <w:fldChar w:fldCharType="end"/>
            </w:r>
          </w:hyperlink>
        </w:p>
        <w:p w14:paraId="74FB72BE"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12" w:history="1">
            <w:r>
              <w:rPr>
                <w:rStyle w:val="Hyperlink"/>
              </w:rPr>
              <w:t>Ethics of Cost Management and Pricing</w:t>
            </w:r>
            <w:r>
              <w:tab/>
            </w:r>
            <w:r>
              <w:fldChar w:fldCharType="begin"/>
            </w:r>
            <w:r>
              <w:instrText xml:space="preserve"> PAGEREF _Toc224225312 \h </w:instrText>
            </w:r>
            <w:r>
              <w:fldChar w:fldCharType="separate"/>
            </w:r>
            <w:r>
              <w:t>9</w:t>
            </w:r>
            <w:r>
              <w:fldChar w:fldCharType="end"/>
            </w:r>
          </w:hyperlink>
        </w:p>
        <w:p w14:paraId="6D6DCB79" w14:textId="77777777" w:rsidR="00B80A9D" w:rsidRDefault="004D575A">
          <w:pPr>
            <w:pStyle w:val="TOC1"/>
            <w:tabs>
              <w:tab w:val="right" w:leader="dot" w:pos="9016"/>
            </w:tabs>
            <w:rPr>
              <w:rFonts w:asciiTheme="minorHAnsi" w:eastAsiaTheme="minorEastAsia" w:hAnsiTheme="minorHAnsi" w:cstheme="minorBidi"/>
              <w:lang w:val="en-US"/>
            </w:rPr>
          </w:pPr>
          <w:hyperlink w:anchor="_Toc224225313" w:history="1">
            <w:r>
              <w:rPr>
                <w:rStyle w:val="Hyperlink"/>
              </w:rPr>
              <w:t>6. Conclusion and Recommendations</w:t>
            </w:r>
            <w:r>
              <w:tab/>
            </w:r>
            <w:r>
              <w:fldChar w:fldCharType="begin"/>
            </w:r>
            <w:r>
              <w:instrText xml:space="preserve"> PAGEREF _Toc224225313 \h </w:instrText>
            </w:r>
            <w:r>
              <w:fldChar w:fldCharType="separate"/>
            </w:r>
            <w:r>
              <w:t>9</w:t>
            </w:r>
            <w:r>
              <w:fldChar w:fldCharType="end"/>
            </w:r>
          </w:hyperlink>
        </w:p>
        <w:p w14:paraId="2823C2BE"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14" w:history="1">
            <w:r>
              <w:rPr>
                <w:rStyle w:val="Hyperlink"/>
              </w:rPr>
              <w:t>Conclusion</w:t>
            </w:r>
            <w:r>
              <w:tab/>
            </w:r>
            <w:r>
              <w:fldChar w:fldCharType="begin"/>
            </w:r>
            <w:r>
              <w:instrText xml:space="preserve"> PAGEREF _Toc224225314 \h </w:instrText>
            </w:r>
            <w:r>
              <w:fldChar w:fldCharType="separate"/>
            </w:r>
            <w:r>
              <w:t>9</w:t>
            </w:r>
            <w:r>
              <w:fldChar w:fldCharType="end"/>
            </w:r>
          </w:hyperlink>
        </w:p>
        <w:p w14:paraId="7EF2A825" w14:textId="77777777" w:rsidR="00B80A9D" w:rsidRDefault="004D575A">
          <w:pPr>
            <w:pStyle w:val="TOC2"/>
            <w:tabs>
              <w:tab w:val="right" w:leader="dot" w:pos="9016"/>
            </w:tabs>
            <w:rPr>
              <w:rFonts w:asciiTheme="minorHAnsi" w:eastAsiaTheme="minorEastAsia" w:hAnsiTheme="minorHAnsi" w:cstheme="minorBidi"/>
              <w:lang w:val="en-US"/>
            </w:rPr>
          </w:pPr>
          <w:hyperlink w:anchor="_Toc224225315" w:history="1">
            <w:r>
              <w:rPr>
                <w:rStyle w:val="Hyperlink"/>
              </w:rPr>
              <w:t>Recommendations</w:t>
            </w:r>
            <w:r>
              <w:tab/>
            </w:r>
            <w:r>
              <w:fldChar w:fldCharType="begin"/>
            </w:r>
            <w:r>
              <w:instrText xml:space="preserve"> PAGEREF _Toc224225315 \h </w:instrText>
            </w:r>
            <w:r>
              <w:fldChar w:fldCharType="separate"/>
            </w:r>
            <w:r>
              <w:t>10</w:t>
            </w:r>
            <w:r>
              <w:fldChar w:fldCharType="end"/>
            </w:r>
          </w:hyperlink>
        </w:p>
        <w:p w14:paraId="3E298B54" w14:textId="77777777" w:rsidR="00B80A9D" w:rsidRDefault="004D575A">
          <w:pPr>
            <w:pStyle w:val="TOC1"/>
            <w:tabs>
              <w:tab w:val="right" w:leader="dot" w:pos="9016"/>
            </w:tabs>
            <w:rPr>
              <w:rFonts w:asciiTheme="minorHAnsi" w:eastAsiaTheme="minorEastAsia" w:hAnsiTheme="minorHAnsi" w:cstheme="minorBidi"/>
              <w:lang w:val="en-US"/>
            </w:rPr>
          </w:pPr>
          <w:hyperlink w:anchor="_Toc224225316" w:history="1">
            <w:r>
              <w:rPr>
                <w:rStyle w:val="Hyperlink"/>
              </w:rPr>
              <w:t>References</w:t>
            </w:r>
            <w:r>
              <w:tab/>
            </w:r>
            <w:r>
              <w:fldChar w:fldCharType="begin"/>
            </w:r>
            <w:r>
              <w:instrText xml:space="preserve"> PAGEREF _Toc224225316 \h </w:instrText>
            </w:r>
            <w:r>
              <w:fldChar w:fldCharType="separate"/>
            </w:r>
            <w:r>
              <w:t>11</w:t>
            </w:r>
            <w:r>
              <w:fldChar w:fldCharType="end"/>
            </w:r>
          </w:hyperlink>
        </w:p>
        <w:p w14:paraId="5AD2E0F8" w14:textId="77777777" w:rsidR="00B80A9D" w:rsidRDefault="004D575A">
          <w:r>
            <w:rPr>
              <w:b/>
              <w:bCs/>
            </w:rPr>
            <w:fldChar w:fldCharType="end"/>
          </w:r>
        </w:p>
      </w:sdtContent>
    </w:sdt>
    <w:p w14:paraId="670D608F" w14:textId="77777777" w:rsidR="00B80A9D" w:rsidRDefault="004D575A">
      <w:pPr>
        <w:spacing w:after="160" w:line="278" w:lineRule="auto"/>
        <w:jc w:val="left"/>
      </w:pPr>
      <w:r>
        <w:br w:type="page"/>
      </w:r>
    </w:p>
    <w:p w14:paraId="073E3F52" w14:textId="77777777" w:rsidR="00B80A9D" w:rsidRDefault="004D575A">
      <w:pPr>
        <w:spacing w:after="160" w:line="278" w:lineRule="auto"/>
        <w:jc w:val="left"/>
        <w:rPr>
          <w:b/>
          <w:bCs/>
        </w:rPr>
      </w:pPr>
      <w:r>
        <w:rPr>
          <w:b/>
          <w:bCs/>
        </w:rPr>
        <w:lastRenderedPageBreak/>
        <w:t>List of tables</w:t>
      </w:r>
    </w:p>
    <w:p w14:paraId="7A0FD971" w14:textId="77777777" w:rsidR="00B80A9D" w:rsidRDefault="004D575A">
      <w:pPr>
        <w:pStyle w:val="TableofFigures"/>
        <w:tabs>
          <w:tab w:val="right" w:leader="dot" w:pos="9016"/>
        </w:tabs>
      </w:pPr>
      <w:r>
        <w:fldChar w:fldCharType="begin"/>
      </w:r>
      <w:r>
        <w:instrText xml:space="preserve"> TOC \h \z \c "Table" </w:instrText>
      </w:r>
      <w:r>
        <w:fldChar w:fldCharType="separate"/>
      </w:r>
      <w:hyperlink w:anchor="_Toc224225317" w:history="1">
        <w:r>
          <w:rPr>
            <w:rStyle w:val="Hyperlink"/>
            <w:b/>
            <w:bCs/>
          </w:rPr>
          <w:t>Table 1</w:t>
        </w:r>
        <w:r>
          <w:rPr>
            <w:rStyle w:val="Hyperlink"/>
          </w:rPr>
          <w:t>: Change in Operating Expenses</w:t>
        </w:r>
        <w:r>
          <w:tab/>
        </w:r>
        <w:r>
          <w:fldChar w:fldCharType="begin"/>
        </w:r>
        <w:r>
          <w:instrText xml:space="preserve"> PAGEREF _Toc224225317 \h </w:instrText>
        </w:r>
        <w:r>
          <w:fldChar w:fldCharType="separate"/>
        </w:r>
        <w:r>
          <w:t>6</w:t>
        </w:r>
        <w:r>
          <w:fldChar w:fldCharType="end"/>
        </w:r>
      </w:hyperlink>
    </w:p>
    <w:p w14:paraId="4D15CE25" w14:textId="77777777" w:rsidR="00B80A9D" w:rsidRDefault="004D575A">
      <w:pPr>
        <w:spacing w:after="160" w:line="278" w:lineRule="auto"/>
        <w:jc w:val="left"/>
      </w:pPr>
      <w:r>
        <w:fldChar w:fldCharType="end"/>
      </w:r>
    </w:p>
    <w:p w14:paraId="5892324A" w14:textId="77777777" w:rsidR="00B80A9D" w:rsidRDefault="004D575A">
      <w:pPr>
        <w:spacing w:after="160" w:line="278" w:lineRule="auto"/>
        <w:jc w:val="left"/>
        <w:rPr>
          <w:b/>
          <w:bCs/>
        </w:rPr>
      </w:pPr>
      <w:r>
        <w:rPr>
          <w:b/>
          <w:bCs/>
        </w:rPr>
        <w:t>List of figures</w:t>
      </w:r>
    </w:p>
    <w:p w14:paraId="7BA01A58" w14:textId="77777777" w:rsidR="00B80A9D" w:rsidRDefault="004D575A">
      <w:pPr>
        <w:pStyle w:val="TableofFigures"/>
        <w:tabs>
          <w:tab w:val="right" w:leader="dot" w:pos="9016"/>
        </w:tabs>
        <w:rPr>
          <w:rFonts w:asciiTheme="minorHAnsi" w:eastAsiaTheme="minorEastAsia" w:hAnsiTheme="minorHAnsi" w:cstheme="minorBidi"/>
          <w:lang w:val="en-US"/>
        </w:rPr>
      </w:pPr>
      <w:r>
        <w:fldChar w:fldCharType="begin"/>
      </w:r>
      <w:r>
        <w:instrText xml:space="preserve"> TOC \h \z \c "Figure" </w:instrText>
      </w:r>
      <w:r>
        <w:fldChar w:fldCharType="separate"/>
      </w:r>
      <w:hyperlink w:anchor="_Toc224225322" w:history="1">
        <w:r>
          <w:rPr>
            <w:rStyle w:val="Hyperlink"/>
            <w:b/>
            <w:bCs/>
          </w:rPr>
          <w:t>Figure 1:</w:t>
        </w:r>
        <w:r>
          <w:rPr>
            <w:rStyle w:val="Hyperlink"/>
          </w:rPr>
          <w:t xml:space="preserve"> Netflix Inc.</w:t>
        </w:r>
        <w:r>
          <w:tab/>
        </w:r>
        <w:r>
          <w:fldChar w:fldCharType="begin"/>
        </w:r>
        <w:r>
          <w:instrText xml:space="preserve"> PAGEREF _Toc224225322 \h </w:instrText>
        </w:r>
        <w:r>
          <w:fldChar w:fldCharType="separate"/>
        </w:r>
        <w:r>
          <w:t>4</w:t>
        </w:r>
        <w:r>
          <w:fldChar w:fldCharType="end"/>
        </w:r>
      </w:hyperlink>
    </w:p>
    <w:p w14:paraId="481F9D86" w14:textId="77777777" w:rsidR="00B80A9D" w:rsidRDefault="004D575A">
      <w:pPr>
        <w:spacing w:after="160" w:line="278" w:lineRule="auto"/>
        <w:jc w:val="left"/>
      </w:pPr>
      <w:r>
        <w:fldChar w:fldCharType="end"/>
      </w:r>
      <w:r>
        <w:br w:type="page"/>
      </w:r>
    </w:p>
    <w:p w14:paraId="7FEB0BBF" w14:textId="77777777" w:rsidR="00B80A9D" w:rsidRDefault="004D575A">
      <w:pPr>
        <w:pStyle w:val="Heading1"/>
      </w:pPr>
      <w:bookmarkStart w:id="0" w:name="_Toc224225299"/>
      <w:r>
        <w:lastRenderedPageBreak/>
        <w:t>1. Introduction</w:t>
      </w:r>
      <w:bookmarkEnd w:id="0"/>
    </w:p>
    <w:p w14:paraId="772E9811" w14:textId="77777777" w:rsidR="00B80A9D" w:rsidRDefault="004D575A">
      <w:r>
        <w:t xml:space="preserve">Netflix, Inc. is a leading streaming entertainment service in the world with a subscription base of more than 325 million subscribers in more than 190 countries (Sugandh, 2026). Netflix was established in </w:t>
      </w:r>
      <w:proofErr w:type="gramStart"/>
      <w:r>
        <w:t>1997</w:t>
      </w:r>
      <w:proofErr w:type="gramEnd"/>
      <w:r>
        <w:t xml:space="preserve"> and it would have reinvented the entertainment sector by transforming the business into a streaming platform in 2007. The revenue model by the firm is more of a subscription one with different pricing plans tailored to suit the consumer needs. In 2025, Netflix remained a global player, still being a major player in the SVOD (Subscription Video on Demand) market.</w:t>
      </w:r>
    </w:p>
    <w:p w14:paraId="518CC3C7" w14:textId="77777777" w:rsidR="00B80A9D" w:rsidRDefault="004D575A">
      <w:r>
        <w:t xml:space="preserve">The use of management accounting is critical to modern companies such as Netflix since it can offer the analytical tools that companies require when making decisions internally. It helps managers to plan their budgets, manage costs, measure their performance financially, and predict future trends in a business world that is becoming </w:t>
      </w:r>
      <w:proofErr w:type="gramStart"/>
      <w:r>
        <w:t>more and more</w:t>
      </w:r>
      <w:proofErr w:type="gramEnd"/>
      <w:r>
        <w:t xml:space="preserve"> data-driven hence effective resource allocation, profitability measurement and strategies are assured.</w:t>
      </w:r>
    </w:p>
    <w:p w14:paraId="203F9006" w14:textId="77777777" w:rsidR="00B80A9D" w:rsidRDefault="004D575A">
      <w:pPr>
        <w:keepNext/>
        <w:jc w:val="center"/>
      </w:pPr>
      <w:r>
        <w:rPr>
          <w:noProof/>
        </w:rPr>
        <w:drawing>
          <wp:inline distT="0" distB="0" distL="0" distR="0" wp14:anchorId="0942215B" wp14:editId="49066478">
            <wp:extent cx="4219575" cy="1771015"/>
            <wp:effectExtent l="0" t="0" r="0" b="0"/>
            <wp:docPr id="1974595747" name="Picture 1" descr="Netflix - Watch TV Shows Online, Watch Movi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95747" name="Picture 1" descr="Netflix - Watch TV Shows Online, Watch Movies Onl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4221943" cy="1772318"/>
                    </a:xfrm>
                    <a:prstGeom prst="rect">
                      <a:avLst/>
                    </a:prstGeom>
                    <a:noFill/>
                    <a:ln>
                      <a:noFill/>
                    </a:ln>
                  </pic:spPr>
                </pic:pic>
              </a:graphicData>
            </a:graphic>
          </wp:inline>
        </w:drawing>
      </w:r>
    </w:p>
    <w:p w14:paraId="4184EAC8" w14:textId="77777777" w:rsidR="00B80A9D" w:rsidRDefault="004D575A">
      <w:pPr>
        <w:pStyle w:val="Caption"/>
        <w:jc w:val="center"/>
        <w:rPr>
          <w:color w:val="auto"/>
          <w:sz w:val="24"/>
          <w:szCs w:val="24"/>
        </w:rPr>
      </w:pPr>
      <w:bookmarkStart w:id="1" w:name="_Toc224225322"/>
      <w:r>
        <w:rPr>
          <w:b/>
          <w:bCs/>
          <w:color w:val="auto"/>
          <w:sz w:val="24"/>
          <w:szCs w:val="24"/>
        </w:rPr>
        <w:t xml:space="preserve">Figure </w:t>
      </w:r>
      <w:r>
        <w:rPr>
          <w:b/>
          <w:bCs/>
          <w:color w:val="auto"/>
          <w:sz w:val="24"/>
          <w:szCs w:val="24"/>
        </w:rPr>
        <w:fldChar w:fldCharType="begin"/>
      </w:r>
      <w:r>
        <w:rPr>
          <w:b/>
          <w:bCs/>
          <w:color w:val="auto"/>
          <w:sz w:val="24"/>
          <w:szCs w:val="24"/>
        </w:rPr>
        <w:instrText xml:space="preserve"> SEQ Figure \* ARABIC </w:instrText>
      </w:r>
      <w:r>
        <w:rPr>
          <w:b/>
          <w:bCs/>
          <w:color w:val="auto"/>
          <w:sz w:val="24"/>
          <w:szCs w:val="24"/>
        </w:rPr>
        <w:fldChar w:fldCharType="separate"/>
      </w:r>
      <w:r>
        <w:rPr>
          <w:b/>
          <w:bCs/>
          <w:color w:val="auto"/>
          <w:sz w:val="24"/>
          <w:szCs w:val="24"/>
        </w:rPr>
        <w:t>1</w:t>
      </w:r>
      <w:r>
        <w:rPr>
          <w:b/>
          <w:bCs/>
          <w:color w:val="auto"/>
          <w:sz w:val="24"/>
          <w:szCs w:val="24"/>
        </w:rPr>
        <w:fldChar w:fldCharType="end"/>
      </w:r>
      <w:r>
        <w:rPr>
          <w:b/>
          <w:bCs/>
          <w:color w:val="auto"/>
          <w:sz w:val="24"/>
          <w:szCs w:val="24"/>
        </w:rPr>
        <w:t>:</w:t>
      </w:r>
      <w:r>
        <w:rPr>
          <w:color w:val="auto"/>
          <w:sz w:val="24"/>
          <w:szCs w:val="24"/>
        </w:rPr>
        <w:t xml:space="preserve"> Netflix Inc.</w:t>
      </w:r>
      <w:bookmarkEnd w:id="1"/>
    </w:p>
    <w:p w14:paraId="232FC1C4" w14:textId="77777777" w:rsidR="00B80A9D" w:rsidRDefault="004D575A">
      <w:pPr>
        <w:spacing w:line="240" w:lineRule="auto"/>
        <w:jc w:val="center"/>
      </w:pPr>
      <w:r>
        <w:rPr>
          <w:b/>
          <w:bCs/>
        </w:rPr>
        <w:t xml:space="preserve">Source: </w:t>
      </w:r>
      <w:r>
        <w:t>Netflix (2025)</w:t>
      </w:r>
    </w:p>
    <w:p w14:paraId="7A293E23" w14:textId="77777777" w:rsidR="00B80A9D" w:rsidRDefault="00B80A9D">
      <w:pPr>
        <w:jc w:val="center"/>
      </w:pPr>
    </w:p>
    <w:p w14:paraId="1B41BEED" w14:textId="77777777" w:rsidR="00B80A9D" w:rsidRDefault="004D575A">
      <w:pPr>
        <w:pStyle w:val="Heading1"/>
      </w:pPr>
      <w:bookmarkStart w:id="2" w:name="_Toc224225300"/>
      <w:r>
        <w:t>2. Cost Analysis and Business Model</w:t>
      </w:r>
      <w:bookmarkEnd w:id="2"/>
    </w:p>
    <w:p w14:paraId="44464777" w14:textId="77777777" w:rsidR="00B80A9D" w:rsidRDefault="004D575A">
      <w:pPr>
        <w:pStyle w:val="Heading2"/>
      </w:pPr>
      <w:bookmarkStart w:id="3" w:name="_Toc224225301"/>
      <w:r>
        <w:t>Revenue Model</w:t>
      </w:r>
      <w:bookmarkEnd w:id="3"/>
    </w:p>
    <w:p w14:paraId="57307101" w14:textId="77777777" w:rsidR="00B80A9D" w:rsidRDefault="004D575A">
      <w:r>
        <w:t xml:space="preserve">The income that Netflix gathers is based on the subscription model, which is the main source of its revenue as people are charged monthly to access a huge repository of TV shows, movies, and original content. In 2025, Netflix expounded a total of 45.18 billion revenue as compared to the previous year (2024) i.e. 39.00 billion which is 16% higher in total because of growth in membership and implementation of higher tier pricing programs (Netflix, 2025). Another new source of revenue, which Netflix started to bring in is ad-supported where Netflix starts earning substantial advertising income. The subscription income is still dominant, as it generates the </w:t>
      </w:r>
      <w:r>
        <w:lastRenderedPageBreak/>
        <w:t>largest portion of earnings, but the ad-based approach of Netflix is the first step in the direction of diversified revenues.</w:t>
      </w:r>
    </w:p>
    <w:p w14:paraId="786C05DB" w14:textId="77777777" w:rsidR="00B80A9D" w:rsidRDefault="004D575A">
      <w:r>
        <w:t>By 2025, the number of global members had increased to more than 325 million subscribers. This growth was fuelled by key markets such as North America and Europe, although there was competition. The addition of an ad-supported tier was also able to draw in more price-elastic users to subsequently raise ARPU (average revenue per user) and grow the total revenue.</w:t>
      </w:r>
    </w:p>
    <w:p w14:paraId="6329A23C" w14:textId="77777777" w:rsidR="00B80A9D" w:rsidRDefault="00B80A9D"/>
    <w:p w14:paraId="4F41C56B" w14:textId="77777777" w:rsidR="00B80A9D" w:rsidRDefault="004D575A">
      <w:pPr>
        <w:pStyle w:val="Heading2"/>
      </w:pPr>
      <w:bookmarkStart w:id="4" w:name="_Toc224225302"/>
      <w:r>
        <w:t>Cost Structures</w:t>
      </w:r>
      <w:bookmarkEnd w:id="4"/>
    </w:p>
    <w:p w14:paraId="293F69BF" w14:textId="77777777" w:rsidR="00B80A9D" w:rsidRDefault="004D575A">
      <w:r>
        <w:t>The cost structure of Netflix consists of both a fixed and a variable cost as per the business model of Netflix, which is based on content.</w:t>
      </w:r>
    </w:p>
    <w:p w14:paraId="00C88FFE" w14:textId="77777777" w:rsidR="00B80A9D" w:rsidRDefault="004D575A">
      <w:pPr>
        <w:rPr>
          <w:b/>
          <w:bCs/>
        </w:rPr>
      </w:pPr>
      <w:r>
        <w:rPr>
          <w:b/>
          <w:bCs/>
        </w:rPr>
        <w:t>Fixed Costs:</w:t>
      </w:r>
    </w:p>
    <w:p w14:paraId="2948C151" w14:textId="77777777" w:rsidR="00B80A9D" w:rsidRDefault="004D575A">
      <w:r>
        <w:t>The largest fixed costs are the content amortization where Netflix bears the high initial costs of obtaining and creating content and amortizing it over the useful life of the content. By 2025, Netflix had expanded its original content and the investment on content increased even further. Also fixed expenses like technology infrastructure like data storage and streaming technology are in place, that will assist in delivery of global services irrespective of short-term variations in viewership.</w:t>
      </w:r>
    </w:p>
    <w:p w14:paraId="672D0330" w14:textId="77777777" w:rsidR="00B80A9D" w:rsidRDefault="004D575A">
      <w:pPr>
        <w:rPr>
          <w:b/>
          <w:bCs/>
        </w:rPr>
      </w:pPr>
      <w:r>
        <w:rPr>
          <w:b/>
          <w:bCs/>
        </w:rPr>
        <w:t>Variable Costs:</w:t>
      </w:r>
    </w:p>
    <w:p w14:paraId="44E027B5" w14:textId="77777777" w:rsidR="00B80A9D" w:rsidRDefault="004D575A">
      <w:r>
        <w:t>One of its key variable costs is content production because Netflix invests in original content constantly. The level of production depends on the strategic priorities every year. On the same note, marketing costs vary depending on the content release and expansion in new regions. The costs involved by Netflix in the delivery of the content such as bandwidth and content delivery are also variable and increase with the amount of content being streamed.</w:t>
      </w:r>
    </w:p>
    <w:p w14:paraId="66603620" w14:textId="77777777" w:rsidR="00B80A9D" w:rsidRDefault="004D575A">
      <w:r>
        <w:t>To sum up, the revenue of Netflix is mainly subscription-based, and advertising is increasingly contributing to it. Its expenses are mainly caused by fixed expenses on content and technology infrastructure, and variable expenses on content production, marketing and streaming (Hansen, Mowen and Heitger, 2021).</w:t>
      </w:r>
    </w:p>
    <w:p w14:paraId="14094EA2" w14:textId="77777777" w:rsidR="00B80A9D" w:rsidRDefault="00B80A9D"/>
    <w:p w14:paraId="441A4AA2" w14:textId="77777777" w:rsidR="00B80A9D" w:rsidRDefault="004D575A">
      <w:pPr>
        <w:pStyle w:val="Heading1"/>
      </w:pPr>
      <w:bookmarkStart w:id="5" w:name="_Toc224225303"/>
      <w:r>
        <w:t>3. Budgeting and Financial Planning</w:t>
      </w:r>
      <w:bookmarkEnd w:id="5"/>
    </w:p>
    <w:p w14:paraId="3FAE0204" w14:textId="77777777" w:rsidR="00B80A9D" w:rsidRDefault="004D575A">
      <w:pPr>
        <w:pStyle w:val="Heading2"/>
      </w:pPr>
      <w:bookmarkStart w:id="6" w:name="_Toc224225304"/>
      <w:r>
        <w:t>Budgeting and its role in Netflix</w:t>
      </w:r>
      <w:bookmarkEnd w:id="6"/>
    </w:p>
    <w:p w14:paraId="11903324" w14:textId="77777777" w:rsidR="00B80A9D" w:rsidRDefault="004D575A">
      <w:r>
        <w:t xml:space="preserve">Budgeting is a very important activity in terms of directing the financial strategy of Netflix, making sure that its resources are well distributed to facilitate its growth and run efficiency in the long term. Netflix being a global streaming platform having extensive investments on </w:t>
      </w:r>
      <w:r>
        <w:lastRenderedPageBreak/>
        <w:t>content production, marketing and technology utilizes budgeting as the means of predicting revenue, regulating costs, and balancing on the strategic investments.</w:t>
      </w:r>
    </w:p>
    <w:p w14:paraId="64069DD4" w14:textId="77777777" w:rsidR="00B80A9D" w:rsidRDefault="004D575A">
      <w:r>
        <w:t>Budgeting process assists Netflix to assess possible payback of investment in original content and platform upgrades as well as overseas growth. Indicatively, the company alters its marketing and infrastructure budgets when it wishes to venture into new territories to facilitate the ease of service delivery. Budgeting is also able to assist Netflix in tracking performance against targets hence any variances in costs or revenues planned would be dealt with in due time (Bacia, 2024). Netflix will be able to achieve its operating margin goals and remain profitable despite heavy content expenditure and competition with the help of a thorough financial planning.</w:t>
      </w:r>
    </w:p>
    <w:p w14:paraId="6CE1BF3B" w14:textId="77777777" w:rsidR="00B80A9D" w:rsidRDefault="00B80A9D"/>
    <w:p w14:paraId="2B7225E2" w14:textId="77777777" w:rsidR="00B80A9D" w:rsidRDefault="004D575A">
      <w:pPr>
        <w:rPr>
          <w:b/>
          <w:bCs/>
        </w:rPr>
      </w:pPr>
      <w:r>
        <w:rPr>
          <w:b/>
          <w:bCs/>
        </w:rPr>
        <w:t>Change in Operating Expenses (Year by Year)</w:t>
      </w:r>
    </w:p>
    <w:p w14:paraId="552414B5" w14:textId="77777777" w:rsidR="00B80A9D" w:rsidRDefault="004D575A">
      <w:r>
        <w:t>According to the Google Finance data, the operating expenses of Netflix have steadily increased throughout the years:</w:t>
      </w:r>
    </w:p>
    <w:p w14:paraId="643B5A24" w14:textId="77777777" w:rsidR="00B80A9D" w:rsidRDefault="004D575A">
      <w:pPr>
        <w:pStyle w:val="Caption"/>
        <w:jc w:val="center"/>
        <w:rPr>
          <w:color w:val="auto"/>
          <w:sz w:val="24"/>
          <w:szCs w:val="24"/>
        </w:rPr>
      </w:pPr>
      <w:bookmarkStart w:id="7" w:name="_Toc224225317"/>
      <w:r>
        <w:rPr>
          <w:b/>
          <w:bCs/>
          <w:color w:val="auto"/>
          <w:sz w:val="24"/>
          <w:szCs w:val="24"/>
        </w:rPr>
        <w:t xml:space="preserve">Table </w:t>
      </w:r>
      <w:r>
        <w:rPr>
          <w:b/>
          <w:bCs/>
          <w:color w:val="auto"/>
          <w:sz w:val="24"/>
          <w:szCs w:val="24"/>
        </w:rPr>
        <w:fldChar w:fldCharType="begin"/>
      </w:r>
      <w:r>
        <w:rPr>
          <w:b/>
          <w:bCs/>
          <w:color w:val="auto"/>
          <w:sz w:val="24"/>
          <w:szCs w:val="24"/>
        </w:rPr>
        <w:instrText xml:space="preserve"> SEQ Table \* ARABIC </w:instrText>
      </w:r>
      <w:r>
        <w:rPr>
          <w:b/>
          <w:bCs/>
          <w:color w:val="auto"/>
          <w:sz w:val="24"/>
          <w:szCs w:val="24"/>
        </w:rPr>
        <w:fldChar w:fldCharType="separate"/>
      </w:r>
      <w:r>
        <w:rPr>
          <w:b/>
          <w:bCs/>
          <w:color w:val="auto"/>
          <w:sz w:val="24"/>
          <w:szCs w:val="24"/>
        </w:rPr>
        <w:t>1</w:t>
      </w:r>
      <w:r>
        <w:rPr>
          <w:b/>
          <w:bCs/>
          <w:color w:val="auto"/>
          <w:sz w:val="24"/>
          <w:szCs w:val="24"/>
        </w:rPr>
        <w:fldChar w:fldCharType="end"/>
      </w:r>
      <w:r>
        <w:rPr>
          <w:color w:val="auto"/>
          <w:sz w:val="24"/>
          <w:szCs w:val="24"/>
        </w:rPr>
        <w:t>: Change in Operating Expenses</w:t>
      </w:r>
      <w:bookmarkEnd w:id="7"/>
    </w:p>
    <w:tbl>
      <w:tblPr>
        <w:tblStyle w:val="TableGrid"/>
        <w:tblW w:w="0" w:type="auto"/>
        <w:jc w:val="center"/>
        <w:tblLook w:val="04A0" w:firstRow="1" w:lastRow="0" w:firstColumn="1" w:lastColumn="0" w:noHBand="0" w:noVBand="1"/>
      </w:tblPr>
      <w:tblGrid>
        <w:gridCol w:w="696"/>
        <w:gridCol w:w="2989"/>
        <w:gridCol w:w="1964"/>
      </w:tblGrid>
      <w:tr w:rsidR="00B80A9D" w14:paraId="5004B98F" w14:textId="77777777">
        <w:trPr>
          <w:trHeight w:val="300"/>
          <w:jc w:val="center"/>
        </w:trPr>
        <w:tc>
          <w:tcPr>
            <w:tcW w:w="0" w:type="auto"/>
            <w:gridSpan w:val="3"/>
            <w:noWrap/>
          </w:tcPr>
          <w:p w14:paraId="53FDF09E" w14:textId="77777777" w:rsidR="00B80A9D" w:rsidRDefault="004D575A">
            <w:pPr>
              <w:jc w:val="center"/>
              <w:rPr>
                <w:b/>
                <w:bCs/>
                <w:lang w:val="en-US"/>
              </w:rPr>
            </w:pPr>
            <w:r>
              <w:rPr>
                <w:b/>
                <w:bCs/>
              </w:rPr>
              <w:t>Operating expense and growth</w:t>
            </w:r>
          </w:p>
        </w:tc>
      </w:tr>
      <w:tr w:rsidR="00B80A9D" w14:paraId="658186EF" w14:textId="77777777">
        <w:trPr>
          <w:trHeight w:val="900"/>
          <w:jc w:val="center"/>
        </w:trPr>
        <w:tc>
          <w:tcPr>
            <w:tcW w:w="0" w:type="auto"/>
            <w:noWrap/>
          </w:tcPr>
          <w:p w14:paraId="604F8CD2" w14:textId="77777777" w:rsidR="00B80A9D" w:rsidRDefault="004D575A">
            <w:pPr>
              <w:jc w:val="center"/>
              <w:rPr>
                <w:b/>
                <w:bCs/>
              </w:rPr>
            </w:pPr>
            <w:r>
              <w:rPr>
                <w:b/>
                <w:bCs/>
              </w:rPr>
              <w:t>Year</w:t>
            </w:r>
          </w:p>
        </w:tc>
        <w:tc>
          <w:tcPr>
            <w:tcW w:w="2989" w:type="dxa"/>
          </w:tcPr>
          <w:p w14:paraId="66DA4760" w14:textId="77777777" w:rsidR="00B80A9D" w:rsidRDefault="004D575A">
            <w:pPr>
              <w:jc w:val="center"/>
              <w:rPr>
                <w:b/>
                <w:bCs/>
              </w:rPr>
            </w:pPr>
            <w:r>
              <w:rPr>
                <w:b/>
                <w:bCs/>
              </w:rPr>
              <w:t>Total Operating expenses (in billion)</w:t>
            </w:r>
          </w:p>
        </w:tc>
        <w:tc>
          <w:tcPr>
            <w:tcW w:w="1964" w:type="dxa"/>
            <w:noWrap/>
          </w:tcPr>
          <w:p w14:paraId="5EF12E13" w14:textId="77777777" w:rsidR="00B80A9D" w:rsidRDefault="004D575A">
            <w:pPr>
              <w:jc w:val="center"/>
              <w:rPr>
                <w:b/>
                <w:bCs/>
              </w:rPr>
            </w:pPr>
            <w:r>
              <w:rPr>
                <w:b/>
                <w:bCs/>
              </w:rPr>
              <w:t>Growth</w:t>
            </w:r>
          </w:p>
        </w:tc>
      </w:tr>
      <w:tr w:rsidR="00B80A9D" w14:paraId="46124D85" w14:textId="77777777">
        <w:trPr>
          <w:trHeight w:val="300"/>
          <w:jc w:val="center"/>
        </w:trPr>
        <w:tc>
          <w:tcPr>
            <w:tcW w:w="0" w:type="auto"/>
            <w:noWrap/>
          </w:tcPr>
          <w:p w14:paraId="35227E94" w14:textId="77777777" w:rsidR="00B80A9D" w:rsidRDefault="004D575A">
            <w:pPr>
              <w:jc w:val="center"/>
            </w:pPr>
            <w:r>
              <w:t>2021</w:t>
            </w:r>
          </w:p>
        </w:tc>
        <w:tc>
          <w:tcPr>
            <w:tcW w:w="2989" w:type="dxa"/>
            <w:noWrap/>
          </w:tcPr>
          <w:p w14:paraId="075EC1FF" w14:textId="77777777" w:rsidR="00B80A9D" w:rsidRDefault="004D575A">
            <w:pPr>
              <w:jc w:val="center"/>
            </w:pPr>
            <w:r>
              <w:t>23.5</w:t>
            </w:r>
          </w:p>
        </w:tc>
        <w:tc>
          <w:tcPr>
            <w:tcW w:w="1964" w:type="dxa"/>
            <w:noWrap/>
          </w:tcPr>
          <w:p w14:paraId="5944F906" w14:textId="77777777" w:rsidR="00B80A9D" w:rsidRDefault="004D575A">
            <w:pPr>
              <w:jc w:val="center"/>
            </w:pPr>
            <w:r>
              <w:t>-</w:t>
            </w:r>
          </w:p>
        </w:tc>
      </w:tr>
      <w:tr w:rsidR="00B80A9D" w14:paraId="3B19B471" w14:textId="77777777">
        <w:trPr>
          <w:trHeight w:val="300"/>
          <w:jc w:val="center"/>
        </w:trPr>
        <w:tc>
          <w:tcPr>
            <w:tcW w:w="0" w:type="auto"/>
            <w:noWrap/>
          </w:tcPr>
          <w:p w14:paraId="4734C833" w14:textId="77777777" w:rsidR="00B80A9D" w:rsidRDefault="004D575A">
            <w:pPr>
              <w:jc w:val="center"/>
            </w:pPr>
            <w:r>
              <w:t>2022</w:t>
            </w:r>
          </w:p>
        </w:tc>
        <w:tc>
          <w:tcPr>
            <w:tcW w:w="2989" w:type="dxa"/>
            <w:noWrap/>
          </w:tcPr>
          <w:p w14:paraId="4EF1210C" w14:textId="77777777" w:rsidR="00B80A9D" w:rsidRDefault="004D575A">
            <w:pPr>
              <w:jc w:val="center"/>
            </w:pPr>
            <w:r>
              <w:t>25.98</w:t>
            </w:r>
          </w:p>
        </w:tc>
        <w:tc>
          <w:tcPr>
            <w:tcW w:w="1964" w:type="dxa"/>
            <w:noWrap/>
          </w:tcPr>
          <w:p w14:paraId="138D9F01" w14:textId="77777777" w:rsidR="00B80A9D" w:rsidRDefault="004D575A">
            <w:pPr>
              <w:jc w:val="center"/>
            </w:pPr>
            <w:r>
              <w:t>10.55%</w:t>
            </w:r>
          </w:p>
        </w:tc>
      </w:tr>
      <w:tr w:rsidR="00B80A9D" w14:paraId="04A0DC76" w14:textId="77777777">
        <w:trPr>
          <w:trHeight w:val="300"/>
          <w:jc w:val="center"/>
        </w:trPr>
        <w:tc>
          <w:tcPr>
            <w:tcW w:w="0" w:type="auto"/>
            <w:noWrap/>
          </w:tcPr>
          <w:p w14:paraId="642C2D0A" w14:textId="77777777" w:rsidR="00B80A9D" w:rsidRDefault="004D575A">
            <w:pPr>
              <w:jc w:val="center"/>
            </w:pPr>
            <w:r>
              <w:t>2023</w:t>
            </w:r>
          </w:p>
        </w:tc>
        <w:tc>
          <w:tcPr>
            <w:tcW w:w="2989" w:type="dxa"/>
            <w:noWrap/>
          </w:tcPr>
          <w:p w14:paraId="0DC8B83F" w14:textId="77777777" w:rsidR="00B80A9D" w:rsidRDefault="004D575A">
            <w:pPr>
              <w:jc w:val="center"/>
            </w:pPr>
            <w:r>
              <w:t>26.77</w:t>
            </w:r>
          </w:p>
        </w:tc>
        <w:tc>
          <w:tcPr>
            <w:tcW w:w="1964" w:type="dxa"/>
            <w:noWrap/>
          </w:tcPr>
          <w:p w14:paraId="6850F3AB" w14:textId="77777777" w:rsidR="00B80A9D" w:rsidRDefault="004D575A">
            <w:pPr>
              <w:jc w:val="center"/>
            </w:pPr>
            <w:r>
              <w:t>3.04%</w:t>
            </w:r>
          </w:p>
        </w:tc>
      </w:tr>
      <w:tr w:rsidR="00B80A9D" w14:paraId="3F8991F5" w14:textId="77777777">
        <w:trPr>
          <w:trHeight w:val="300"/>
          <w:jc w:val="center"/>
        </w:trPr>
        <w:tc>
          <w:tcPr>
            <w:tcW w:w="0" w:type="auto"/>
            <w:noWrap/>
          </w:tcPr>
          <w:p w14:paraId="2A365F94" w14:textId="77777777" w:rsidR="00B80A9D" w:rsidRDefault="004D575A">
            <w:pPr>
              <w:jc w:val="center"/>
            </w:pPr>
            <w:r>
              <w:t>2024</w:t>
            </w:r>
          </w:p>
        </w:tc>
        <w:tc>
          <w:tcPr>
            <w:tcW w:w="2989" w:type="dxa"/>
            <w:noWrap/>
          </w:tcPr>
          <w:p w14:paraId="02FD79E6" w14:textId="77777777" w:rsidR="00B80A9D" w:rsidRDefault="004D575A">
            <w:pPr>
              <w:jc w:val="center"/>
            </w:pPr>
            <w:r>
              <w:t>28.58</w:t>
            </w:r>
          </w:p>
        </w:tc>
        <w:tc>
          <w:tcPr>
            <w:tcW w:w="1964" w:type="dxa"/>
            <w:noWrap/>
          </w:tcPr>
          <w:p w14:paraId="513A2AD2" w14:textId="77777777" w:rsidR="00B80A9D" w:rsidRDefault="004D575A">
            <w:pPr>
              <w:jc w:val="center"/>
            </w:pPr>
            <w:r>
              <w:t>6.76%</w:t>
            </w:r>
          </w:p>
        </w:tc>
      </w:tr>
      <w:tr w:rsidR="00B80A9D" w14:paraId="3B2B4D30" w14:textId="77777777">
        <w:trPr>
          <w:trHeight w:val="300"/>
          <w:jc w:val="center"/>
        </w:trPr>
        <w:tc>
          <w:tcPr>
            <w:tcW w:w="0" w:type="auto"/>
            <w:noWrap/>
          </w:tcPr>
          <w:p w14:paraId="1BB1426B" w14:textId="77777777" w:rsidR="00B80A9D" w:rsidRDefault="004D575A">
            <w:pPr>
              <w:jc w:val="center"/>
            </w:pPr>
            <w:r>
              <w:t>2025</w:t>
            </w:r>
          </w:p>
        </w:tc>
        <w:tc>
          <w:tcPr>
            <w:tcW w:w="2989" w:type="dxa"/>
            <w:noWrap/>
          </w:tcPr>
          <w:p w14:paraId="7A4DB140" w14:textId="77777777" w:rsidR="00B80A9D" w:rsidRDefault="004D575A">
            <w:pPr>
              <w:jc w:val="center"/>
            </w:pPr>
            <w:r>
              <w:t>31.86</w:t>
            </w:r>
          </w:p>
        </w:tc>
        <w:tc>
          <w:tcPr>
            <w:tcW w:w="1964" w:type="dxa"/>
            <w:noWrap/>
          </w:tcPr>
          <w:p w14:paraId="1195CECD" w14:textId="77777777" w:rsidR="00B80A9D" w:rsidRDefault="004D575A">
            <w:pPr>
              <w:jc w:val="center"/>
            </w:pPr>
            <w:r>
              <w:t>11.48%</w:t>
            </w:r>
          </w:p>
        </w:tc>
      </w:tr>
    </w:tbl>
    <w:p w14:paraId="073D058E" w14:textId="77777777" w:rsidR="00B80A9D" w:rsidRDefault="00B80A9D"/>
    <w:p w14:paraId="4B0AC744" w14:textId="77777777" w:rsidR="00B80A9D" w:rsidRDefault="004D575A">
      <w:r>
        <w:t xml:space="preserve">This data indicates that the overall trend in the operating expenses is upwards with the highest growth rate of </w:t>
      </w:r>
      <w:r>
        <w:rPr>
          <w:b/>
          <w:bCs/>
        </w:rPr>
        <w:t>11.48%</w:t>
      </w:r>
      <w:r>
        <w:t xml:space="preserve"> in the years 2024-2025 (Google finance, 2025).</w:t>
      </w:r>
    </w:p>
    <w:p w14:paraId="778B5BC2" w14:textId="77777777" w:rsidR="00B80A9D" w:rsidRDefault="00B80A9D"/>
    <w:p w14:paraId="384C1C6F" w14:textId="77777777" w:rsidR="00B80A9D" w:rsidRDefault="004D575A">
      <w:pPr>
        <w:pStyle w:val="Heading2"/>
      </w:pPr>
      <w:bookmarkStart w:id="8" w:name="_Toc224225305"/>
      <w:r>
        <w:t>Internal Decisions affecting Expense Growth</w:t>
      </w:r>
      <w:bookmarkEnd w:id="8"/>
    </w:p>
    <w:p w14:paraId="5AEBAB02" w14:textId="77777777" w:rsidR="00B80A9D" w:rsidRDefault="004D575A">
      <w:pPr>
        <w:pStyle w:val="ListParagraph"/>
        <w:numPr>
          <w:ilvl w:val="0"/>
          <w:numId w:val="1"/>
        </w:numPr>
        <w:ind w:left="180" w:hanging="180"/>
      </w:pPr>
      <w:r>
        <w:rPr>
          <w:b/>
          <w:bCs/>
        </w:rPr>
        <w:t xml:space="preserve">Production and acquisition of content: </w:t>
      </w:r>
      <w:r>
        <w:t xml:space="preserve">Netflix has been spending a lot of money on the production of original content to ensure that they capture and keep subscribers, especially in the major markets. This expansion in operating costs in 2025 was partially explained by the fact that more resources were directed to high-budget original series, films, and international programming. Other investments by the company were also massive in the form of licensing </w:t>
      </w:r>
      <w:r>
        <w:lastRenderedPageBreak/>
        <w:t>agreements with other third-party content providers to broaden its portfolio and distinguish itself with rivals such as Disney+ and Amazon Prime.</w:t>
      </w:r>
    </w:p>
    <w:p w14:paraId="1E0C6005" w14:textId="77777777" w:rsidR="00B80A9D" w:rsidRDefault="004D575A">
      <w:pPr>
        <w:pStyle w:val="ListParagraph"/>
        <w:numPr>
          <w:ilvl w:val="0"/>
          <w:numId w:val="1"/>
        </w:numPr>
        <w:ind w:left="180" w:hanging="180"/>
      </w:pPr>
      <w:r>
        <w:rPr>
          <w:b/>
          <w:bCs/>
        </w:rPr>
        <w:t xml:space="preserve">Marketing &amp; Subscriber Acquisition: </w:t>
      </w:r>
      <w:r>
        <w:t>With the growth in competition within the streaming industry, Netflix started spending more on marketing, specifically to attract subscribers, especially to its ad-supported plan, which will be released in 2025 (</w:t>
      </w:r>
      <w:proofErr w:type="spellStart"/>
      <w:r>
        <w:t>Baranidharan</w:t>
      </w:r>
      <w:proofErr w:type="spellEnd"/>
      <w:r>
        <w:t xml:space="preserve"> and Kulkarni, 2025). The increase in marketing cost indicates the approach of Netflix to attract additional users both in the established and new markets.</w:t>
      </w:r>
    </w:p>
    <w:p w14:paraId="5BCC4FB2" w14:textId="77777777" w:rsidR="00B80A9D" w:rsidRDefault="004D575A">
      <w:pPr>
        <w:pStyle w:val="ListParagraph"/>
        <w:numPr>
          <w:ilvl w:val="0"/>
          <w:numId w:val="1"/>
        </w:numPr>
        <w:ind w:left="180" w:hanging="180"/>
      </w:pPr>
      <w:r>
        <w:rPr>
          <w:b/>
          <w:bCs/>
        </w:rPr>
        <w:t xml:space="preserve">Technological Investments: </w:t>
      </w:r>
      <w:r>
        <w:t>Netflix still invested in the development of its technology infrastructure, including the quality of its streaming, recommendation algorithms, and backend technologies to support the increase in demand.</w:t>
      </w:r>
    </w:p>
    <w:p w14:paraId="481A3C20" w14:textId="77777777" w:rsidR="00B80A9D" w:rsidRDefault="004D575A">
      <w:pPr>
        <w:spacing w:after="160" w:line="278" w:lineRule="auto"/>
        <w:jc w:val="left"/>
      </w:pPr>
      <w:r>
        <w:br w:type="page"/>
      </w:r>
    </w:p>
    <w:p w14:paraId="31817703" w14:textId="77777777" w:rsidR="00B80A9D" w:rsidRDefault="004D575A">
      <w:pPr>
        <w:pStyle w:val="Heading2"/>
      </w:pPr>
      <w:bookmarkStart w:id="9" w:name="_Toc224225306"/>
      <w:r>
        <w:lastRenderedPageBreak/>
        <w:t>Macroeconomic Factors influencing expenses</w:t>
      </w:r>
      <w:bookmarkEnd w:id="9"/>
    </w:p>
    <w:p w14:paraId="4EBF6A55" w14:textId="77777777" w:rsidR="00B80A9D" w:rsidRDefault="004D575A">
      <w:pPr>
        <w:pStyle w:val="ListParagraph"/>
        <w:numPr>
          <w:ilvl w:val="0"/>
          <w:numId w:val="2"/>
        </w:numPr>
        <w:ind w:left="180" w:hanging="180"/>
      </w:pPr>
      <w:r>
        <w:rPr>
          <w:b/>
          <w:bCs/>
        </w:rPr>
        <w:t xml:space="preserve">Inflation: </w:t>
      </w:r>
      <w:r>
        <w:t xml:space="preserve">Inflationary forces around the world in the year 2025 also helped in increasing the cost of production and operations (Ibrahimov, </w:t>
      </w:r>
      <w:proofErr w:type="spellStart"/>
      <w:r>
        <w:t>Vancsura</w:t>
      </w:r>
      <w:proofErr w:type="spellEnd"/>
      <w:r>
        <w:t xml:space="preserve"> and Parádi-Dolgos, 2025). Materials, labour and licensing fees also </w:t>
      </w:r>
      <w:proofErr w:type="gramStart"/>
      <w:r>
        <w:t>rose</w:t>
      </w:r>
      <w:proofErr w:type="gramEnd"/>
      <w:r>
        <w:t xml:space="preserve"> and this directly affected the operating costs at Netflix.</w:t>
      </w:r>
    </w:p>
    <w:p w14:paraId="205F1A38" w14:textId="77777777" w:rsidR="00B80A9D" w:rsidRDefault="004D575A">
      <w:pPr>
        <w:pStyle w:val="ListParagraph"/>
        <w:numPr>
          <w:ilvl w:val="0"/>
          <w:numId w:val="2"/>
        </w:numPr>
        <w:ind w:left="180" w:hanging="180"/>
      </w:pPr>
      <w:r>
        <w:rPr>
          <w:b/>
          <w:bCs/>
        </w:rPr>
        <w:t xml:space="preserve">Currency Fluctuations: </w:t>
      </w:r>
      <w:r>
        <w:t>Netflix as a multinational company is sensitive to the movements of the currency exchange rates in the determination of its revenue and expenses. Indicatively, fluctuation in the foreign exchange in areas such as Europe and Latin America created uncertainty to the costs and this will push the total cost high in 2025.</w:t>
      </w:r>
    </w:p>
    <w:p w14:paraId="7B7D99ED" w14:textId="77777777" w:rsidR="00B80A9D" w:rsidRDefault="004D575A">
      <w:pPr>
        <w:rPr>
          <w:b/>
          <w:bCs/>
        </w:rPr>
      </w:pPr>
      <w:r>
        <w:rPr>
          <w:b/>
          <w:bCs/>
        </w:rPr>
        <w:t>Conclusion</w:t>
      </w:r>
    </w:p>
    <w:p w14:paraId="1C871329" w14:textId="77777777" w:rsidR="00B80A9D" w:rsidRDefault="004D575A">
      <w:r>
        <w:t>With strategic budgeting, Netflix was able to control its increasing costs even as it prioritized on content production, marketing and technological improvements. The macroeconomic factors, together with the internal decisions of the company, have led to the high increase in the operating expenses seen in the year 2025.</w:t>
      </w:r>
    </w:p>
    <w:p w14:paraId="04F6BB54" w14:textId="77777777" w:rsidR="00B80A9D" w:rsidRDefault="00B80A9D"/>
    <w:p w14:paraId="087D382C" w14:textId="77777777" w:rsidR="00B80A9D" w:rsidRDefault="004D575A">
      <w:pPr>
        <w:pStyle w:val="Heading1"/>
      </w:pPr>
      <w:bookmarkStart w:id="10" w:name="_Toc224225307"/>
      <w:r>
        <w:t>4. Performance Measurement and Decision-Making</w:t>
      </w:r>
      <w:bookmarkEnd w:id="10"/>
    </w:p>
    <w:p w14:paraId="46E09B5E" w14:textId="77777777" w:rsidR="00B80A9D" w:rsidRDefault="004D575A">
      <w:pPr>
        <w:pStyle w:val="Heading2"/>
      </w:pPr>
      <w:bookmarkStart w:id="11" w:name="_Toc224225308"/>
      <w:r>
        <w:t>Key Performance Indicators (KPIs)</w:t>
      </w:r>
      <w:bookmarkEnd w:id="11"/>
    </w:p>
    <w:p w14:paraId="31B54582" w14:textId="77777777" w:rsidR="00B80A9D" w:rsidRDefault="004D575A">
      <w:r>
        <w:t>Netflix relies on non-financial and financial KPIs to evaluate performance and help in strategic decision-making. According to the 2025 outcomes of the company and its latest financial reports, the following five are especially important:</w:t>
      </w:r>
    </w:p>
    <w:p w14:paraId="12385655" w14:textId="77777777" w:rsidR="00B80A9D" w:rsidRDefault="004D575A">
      <w:pPr>
        <w:pStyle w:val="ListParagraph"/>
        <w:numPr>
          <w:ilvl w:val="0"/>
          <w:numId w:val="3"/>
        </w:numPr>
        <w:ind w:left="180" w:hanging="180"/>
      </w:pPr>
      <w:r>
        <w:rPr>
          <w:b/>
          <w:bCs/>
        </w:rPr>
        <w:t>Revenue Growth:</w:t>
      </w:r>
      <w:r>
        <w:t xml:space="preserve"> Netflix tracked 45.18 billion revenue of 2025 indicating the growth of 16 percent year on year and indicates strong performance by the top line in comparison to the previous year (Netflix, 2024). This expansion shows the growth in subscription prices as well as the growth in its ad-supported platform.</w:t>
      </w:r>
    </w:p>
    <w:p w14:paraId="1654C702" w14:textId="77777777" w:rsidR="00B80A9D" w:rsidRDefault="004D575A">
      <w:pPr>
        <w:pStyle w:val="ListParagraph"/>
        <w:numPr>
          <w:ilvl w:val="0"/>
          <w:numId w:val="3"/>
        </w:numPr>
        <w:ind w:left="180" w:hanging="180"/>
      </w:pPr>
      <w:r>
        <w:rPr>
          <w:b/>
          <w:bCs/>
        </w:rPr>
        <w:t>Operating Margin:</w:t>
      </w:r>
      <w:r>
        <w:t xml:space="preserve"> In 2025, the operating margin grew to 29.5%, which is an improvement in the efficiency of changing revenue into operating profit.</w:t>
      </w:r>
    </w:p>
    <w:p w14:paraId="4D63602F" w14:textId="77777777" w:rsidR="00B80A9D" w:rsidRDefault="004D575A">
      <w:pPr>
        <w:pStyle w:val="ListParagraph"/>
        <w:numPr>
          <w:ilvl w:val="0"/>
          <w:numId w:val="3"/>
        </w:numPr>
        <w:ind w:left="180" w:hanging="180"/>
      </w:pPr>
      <w:r>
        <w:rPr>
          <w:b/>
          <w:bCs/>
        </w:rPr>
        <w:t>Paid Memberships:</w:t>
      </w:r>
      <w:r>
        <w:t xml:space="preserve"> By the year-end 2025, Netflix had more than 325 M paid subscribers, a significant non-financial performance measure of market penetration and size of customer base.</w:t>
      </w:r>
    </w:p>
    <w:p w14:paraId="786DB759" w14:textId="77777777" w:rsidR="00B80A9D" w:rsidRDefault="004D575A">
      <w:pPr>
        <w:pStyle w:val="ListParagraph"/>
        <w:numPr>
          <w:ilvl w:val="0"/>
          <w:numId w:val="3"/>
        </w:numPr>
        <w:ind w:left="180" w:hanging="180"/>
      </w:pPr>
      <w:r>
        <w:rPr>
          <w:b/>
          <w:bCs/>
        </w:rPr>
        <w:t>Advertising Revenue Growth:</w:t>
      </w:r>
      <w:r>
        <w:t xml:space="preserve"> More than 2.5× growth in advertising revenue was more than $1.5 bn in 2025, which indicates that Netflix is no longer just a conventional subscription-based company (Stock Titan, 2026).</w:t>
      </w:r>
    </w:p>
    <w:p w14:paraId="241FCE17" w14:textId="77777777" w:rsidR="00B80A9D" w:rsidRDefault="00B80A9D">
      <w:pPr>
        <w:ind w:left="180" w:hanging="180"/>
      </w:pPr>
    </w:p>
    <w:p w14:paraId="73320C76" w14:textId="77777777" w:rsidR="00B80A9D" w:rsidRDefault="004D575A">
      <w:pPr>
        <w:pStyle w:val="ListParagraph"/>
        <w:numPr>
          <w:ilvl w:val="0"/>
          <w:numId w:val="3"/>
        </w:numPr>
        <w:ind w:left="180" w:hanging="180"/>
      </w:pPr>
      <w:r>
        <w:rPr>
          <w:b/>
          <w:bCs/>
        </w:rPr>
        <w:lastRenderedPageBreak/>
        <w:t>Free Cash Flow:</w:t>
      </w:r>
      <w:r>
        <w:t xml:space="preserve"> Netflix will have a free cash flow amounting to around 9.46 billion dollars in 2025 which increases at a rate of about 36.7% per annum which is an indication that Netflix has a high cash generating potential (S&amp;P Global, 2026).</w:t>
      </w:r>
    </w:p>
    <w:p w14:paraId="62150F57" w14:textId="77777777" w:rsidR="00B80A9D" w:rsidRDefault="004D575A">
      <w:r>
        <w:t>These KPIs will give a fair picture of the financial wellbeing of Netflix (revenue, margin, cash flow) and market standing (subscriptions, ad revenue).</w:t>
      </w:r>
    </w:p>
    <w:p w14:paraId="5CFA5BD6" w14:textId="77777777" w:rsidR="00B80A9D" w:rsidRDefault="00B80A9D"/>
    <w:p w14:paraId="0BA21BC7" w14:textId="77777777" w:rsidR="00B80A9D" w:rsidRDefault="004D575A">
      <w:pPr>
        <w:pStyle w:val="Heading2"/>
      </w:pPr>
      <w:bookmarkStart w:id="12" w:name="_Toc224225309"/>
      <w:r>
        <w:t>KPIs-Based Strategic Decisions</w:t>
      </w:r>
      <w:bookmarkEnd w:id="12"/>
    </w:p>
    <w:p w14:paraId="65105E82" w14:textId="77777777" w:rsidR="00B80A9D" w:rsidRDefault="004D575A">
      <w:pPr>
        <w:pStyle w:val="ListParagraph"/>
        <w:numPr>
          <w:ilvl w:val="0"/>
          <w:numId w:val="4"/>
        </w:numPr>
        <w:ind w:left="180" w:hanging="180"/>
      </w:pPr>
      <w:r>
        <w:rPr>
          <w:b/>
          <w:bCs/>
        </w:rPr>
        <w:t>Pricing and Tier Changes:</w:t>
      </w:r>
      <w:r>
        <w:t xml:space="preserve"> According to the increase in revenues and ARPU (Average Revenue Per User), Netflix raised the charges in subscriptions according to the area. The introduction of an ad-supported level brought in additional users and diversified the sources of revenue, which are helping to achieve the 16% increase in revenue in 2025.</w:t>
      </w:r>
    </w:p>
    <w:p w14:paraId="40068A6D" w14:textId="77777777" w:rsidR="00B80A9D" w:rsidRDefault="004D575A">
      <w:pPr>
        <w:pStyle w:val="ListParagraph"/>
        <w:numPr>
          <w:ilvl w:val="0"/>
          <w:numId w:val="4"/>
        </w:numPr>
        <w:ind w:left="180" w:hanging="180"/>
      </w:pPr>
      <w:r>
        <w:rPr>
          <w:b/>
          <w:bCs/>
        </w:rPr>
        <w:t>Growth in Advertising:</w:t>
      </w:r>
      <w:r>
        <w:t xml:space="preserve"> More ad revenue resulted in Netflix spending more in its ad-technology platform and advertising </w:t>
      </w:r>
      <w:proofErr w:type="gramStart"/>
      <w:r>
        <w:t>sales team, and</w:t>
      </w:r>
      <w:proofErr w:type="gramEnd"/>
      <w:r>
        <w:t xml:space="preserve"> pushing to generate more ad revenue in 2026.</w:t>
      </w:r>
    </w:p>
    <w:p w14:paraId="55F95256" w14:textId="77777777" w:rsidR="00B80A9D" w:rsidRDefault="004D575A">
      <w:pPr>
        <w:pStyle w:val="ListParagraph"/>
        <w:numPr>
          <w:ilvl w:val="0"/>
          <w:numId w:val="4"/>
        </w:numPr>
        <w:ind w:left="180" w:hanging="180"/>
      </w:pPr>
      <w:r>
        <w:rPr>
          <w:b/>
          <w:bCs/>
        </w:rPr>
        <w:t>Content Investment:</w:t>
      </w:r>
      <w:r>
        <w:t xml:space="preserve"> The increase in the operating margin and free cash flow enabled Netflix to keep investing in original content that focused on high-budget ones to keep and attract subscribers, particularly in Europe and Asia.</w:t>
      </w:r>
    </w:p>
    <w:p w14:paraId="58D885CE" w14:textId="77777777" w:rsidR="00B80A9D" w:rsidRDefault="004D575A">
      <w:pPr>
        <w:pStyle w:val="ListParagraph"/>
        <w:numPr>
          <w:ilvl w:val="0"/>
          <w:numId w:val="4"/>
        </w:numPr>
        <w:ind w:left="180" w:hanging="180"/>
        <w:rPr>
          <w:b/>
          <w:bCs/>
        </w:rPr>
      </w:pPr>
      <w:r>
        <w:rPr>
          <w:b/>
          <w:bCs/>
        </w:rPr>
        <w:t>Cost Control:</w:t>
      </w:r>
      <w:r>
        <w:t xml:space="preserve"> Netflix worked towards reducing costs within marketing and better content with high returns, which led to the increase in margins (Gao, 2025).</w:t>
      </w:r>
    </w:p>
    <w:p w14:paraId="05922481" w14:textId="77777777" w:rsidR="00B80A9D" w:rsidRDefault="004D575A">
      <w:pPr>
        <w:pStyle w:val="ListParagraph"/>
        <w:numPr>
          <w:ilvl w:val="0"/>
          <w:numId w:val="4"/>
        </w:numPr>
        <w:ind w:left="180" w:hanging="180"/>
      </w:pPr>
      <w:r>
        <w:rPr>
          <w:b/>
          <w:bCs/>
        </w:rPr>
        <w:t>Global Expansion:</w:t>
      </w:r>
      <w:r>
        <w:t xml:space="preserve"> </w:t>
      </w:r>
      <w:proofErr w:type="gramStart"/>
      <w:r>
        <w:t>On the basis of</w:t>
      </w:r>
      <w:proofErr w:type="gramEnd"/>
      <w:r>
        <w:t xml:space="preserve"> paid membership growth, Netflix also moved to further into the emerging markets and adjusted content and strategies to local tastes.</w:t>
      </w:r>
    </w:p>
    <w:p w14:paraId="528F1538" w14:textId="77777777" w:rsidR="00B80A9D" w:rsidRDefault="004D575A">
      <w:r>
        <w:t>KPIs informed these decisions and Netflix could make changes to its strategies based on market needs, competition, and financial objectives.</w:t>
      </w:r>
    </w:p>
    <w:p w14:paraId="562DF390" w14:textId="77777777" w:rsidR="00B80A9D" w:rsidRDefault="00B80A9D"/>
    <w:p w14:paraId="3BE5BC92" w14:textId="77777777" w:rsidR="00B80A9D" w:rsidRDefault="004D575A">
      <w:pPr>
        <w:pStyle w:val="Heading1"/>
      </w:pPr>
      <w:bookmarkStart w:id="13" w:name="_Toc224225310"/>
      <w:r>
        <w:t>5. Sustainability and Ethical Considerations</w:t>
      </w:r>
      <w:bookmarkEnd w:id="13"/>
    </w:p>
    <w:p w14:paraId="777FFE09" w14:textId="77777777" w:rsidR="00B80A9D" w:rsidRDefault="004D575A">
      <w:pPr>
        <w:pStyle w:val="Heading2"/>
      </w:pPr>
      <w:bookmarkStart w:id="14" w:name="_Toc224225311"/>
      <w:r>
        <w:t>Sustainability in Financial Decision Making</w:t>
      </w:r>
      <w:bookmarkEnd w:id="14"/>
    </w:p>
    <w:p w14:paraId="044186AD" w14:textId="77777777" w:rsidR="00B80A9D" w:rsidRDefault="004D575A">
      <w:r>
        <w:t>Netflix has implemented sustainability in its financial decision-making process through the net commitments to cut emissions by 50 percent by the year 2030. In 2024, the company had a huge stride attaining a 46 percent decrease in its Scope 1 and 2 emissions (Netflix, 2024). To reinforce its climate ambitions, Netflix remained covering 100% of its electricity use with renewable electricity credits, an indication of its obvious decarbonization attempt.</w:t>
      </w:r>
    </w:p>
    <w:p w14:paraId="60D8416F" w14:textId="77777777" w:rsidR="00B80A9D" w:rsidRDefault="00B80A9D"/>
    <w:p w14:paraId="63532E11" w14:textId="77777777" w:rsidR="00B80A9D" w:rsidRDefault="004D575A">
      <w:r>
        <w:lastRenderedPageBreak/>
        <w:t xml:space="preserve">Besides, Netflix is committed to reducing its carbon footprint by investing in clean mobile power and adoption of electric vehicles. In 2024, 50 percent of the production was based on clean technologies, and the consumption of diesel generators decreased by over 20 percent in </w:t>
      </w:r>
      <w:proofErr w:type="gramStart"/>
      <w:r>
        <w:t>a number of</w:t>
      </w:r>
      <w:proofErr w:type="gramEnd"/>
      <w:r>
        <w:t xml:space="preserve"> productions. Also, the company took steps in adopting sustainable aviation fuel (SAF) and electric vehicle fleet to help further reduce operational emissions.</w:t>
      </w:r>
    </w:p>
    <w:p w14:paraId="091B2DDA" w14:textId="77777777" w:rsidR="00B80A9D" w:rsidRDefault="00B80A9D"/>
    <w:p w14:paraId="72BAB858" w14:textId="77777777" w:rsidR="00B80A9D" w:rsidRDefault="004D575A">
      <w:pPr>
        <w:pStyle w:val="Heading2"/>
      </w:pPr>
      <w:bookmarkStart w:id="15" w:name="_Toc224225312"/>
      <w:r>
        <w:t>Ethics of Cost Management and Pricing</w:t>
      </w:r>
      <w:bookmarkEnd w:id="15"/>
    </w:p>
    <w:p w14:paraId="003EF1FF" w14:textId="77777777" w:rsidR="00B80A9D" w:rsidRDefault="004D575A">
      <w:r>
        <w:t>The cost management of Netflix displays the aspect of sustainability by focusing on the environmentally friendly production practices. Through its partnership with other suppliers who are eco-friendly and the use of clean technologies, Netflix is making sure that its productions have minimal environmental impacts despite the high upfront costs. The measures of electrification of vehicles and using renewable energy sources used in the company contribute to reducing the risks of climate change in the long term.</w:t>
      </w:r>
    </w:p>
    <w:p w14:paraId="09D67804" w14:textId="77777777" w:rsidR="00B80A9D" w:rsidRDefault="004D575A">
      <w:r>
        <w:t>Regarding pricing strategy, Netflix launched its ad-based plan in 2025, which is a cheaper plan of subscription (Rizzo, 2026). Such an ethical pricing choice increases the access to Netflix content even as it brings in revenue in the form of advertisements. Such a step strikes the right balance between the affordability and sustainability priorities of the company, allowing the company to ensure that its financial expansion does not go out of proportion in comparison with its environmental and ethical obligations.</w:t>
      </w:r>
    </w:p>
    <w:p w14:paraId="03C6E3A9" w14:textId="77777777" w:rsidR="00B80A9D" w:rsidRDefault="00B80A9D"/>
    <w:p w14:paraId="001880B6" w14:textId="77777777" w:rsidR="00B80A9D" w:rsidRDefault="004D575A">
      <w:pPr>
        <w:pStyle w:val="Heading1"/>
      </w:pPr>
      <w:bookmarkStart w:id="16" w:name="_Toc224225313"/>
      <w:r>
        <w:t>6. Conclusion and Recommendations</w:t>
      </w:r>
      <w:bookmarkEnd w:id="16"/>
    </w:p>
    <w:p w14:paraId="470E84C9" w14:textId="77777777" w:rsidR="00B80A9D" w:rsidRDefault="004D575A">
      <w:pPr>
        <w:pStyle w:val="Heading2"/>
      </w:pPr>
      <w:bookmarkStart w:id="17" w:name="_Toc224225314"/>
      <w:r>
        <w:t>Conclusion</w:t>
      </w:r>
      <w:bookmarkEnd w:id="17"/>
    </w:p>
    <w:p w14:paraId="1308EE94" w14:textId="77777777" w:rsidR="00B80A9D" w:rsidRDefault="004D575A">
      <w:r>
        <w:t>The company has a flexible and revenue diversification strategy, as demonstrated by its good performance in 2025 with a 16 percent growth in revenues and a successful launch of an advertisement-based level of service. The increase in the operating margin and the free cash flow of the company indicate the increasing efficiency of the company. The focus on sustainability, including the readiness to reduce its emissions by half by 2030, and spending on clean technologies, are useful to Netflix to increase the balance between financial expansion and environmental responsibility.</w:t>
      </w:r>
    </w:p>
    <w:p w14:paraId="58B55451" w14:textId="77777777" w:rsidR="00B80A9D" w:rsidRDefault="00B80A9D">
      <w:pPr>
        <w:pStyle w:val="Heading2"/>
      </w:pPr>
      <w:bookmarkStart w:id="18" w:name="_Toc224225315"/>
    </w:p>
    <w:p w14:paraId="3F709C3D" w14:textId="77777777" w:rsidR="00B80A9D" w:rsidRDefault="00B80A9D">
      <w:pPr>
        <w:pStyle w:val="Heading2"/>
      </w:pPr>
    </w:p>
    <w:p w14:paraId="5E26B0D1" w14:textId="77777777" w:rsidR="00B80A9D" w:rsidRDefault="00B80A9D">
      <w:pPr>
        <w:pStyle w:val="Heading2"/>
      </w:pPr>
    </w:p>
    <w:p w14:paraId="0D5A27E8" w14:textId="77777777" w:rsidR="00B80A9D" w:rsidRDefault="00B80A9D">
      <w:pPr>
        <w:pStyle w:val="Heading2"/>
      </w:pPr>
    </w:p>
    <w:p w14:paraId="56B9AAEC" w14:textId="77777777" w:rsidR="00B80A9D" w:rsidRDefault="00B80A9D">
      <w:pPr>
        <w:pStyle w:val="Heading2"/>
      </w:pPr>
    </w:p>
    <w:p w14:paraId="2BDF100E" w14:textId="77777777" w:rsidR="00B80A9D" w:rsidRDefault="00B80A9D">
      <w:pPr>
        <w:pStyle w:val="Heading2"/>
      </w:pPr>
    </w:p>
    <w:p w14:paraId="2777A747" w14:textId="77777777" w:rsidR="00B80A9D" w:rsidRDefault="00B80A9D">
      <w:pPr>
        <w:pStyle w:val="Heading2"/>
      </w:pPr>
    </w:p>
    <w:p w14:paraId="34591F7E" w14:textId="77777777" w:rsidR="00B80A9D" w:rsidRDefault="004D575A">
      <w:pPr>
        <w:pStyle w:val="Heading2"/>
      </w:pPr>
      <w:r>
        <w:t>Recommendations</w:t>
      </w:r>
      <w:bookmarkEnd w:id="18"/>
    </w:p>
    <w:p w14:paraId="5A19F04D" w14:textId="77777777" w:rsidR="00B80A9D" w:rsidRDefault="004D575A">
      <w:pPr>
        <w:numPr>
          <w:ilvl w:val="0"/>
          <w:numId w:val="5"/>
        </w:numPr>
      </w:pPr>
      <w:r>
        <w:rPr>
          <w:b/>
          <w:bCs/>
        </w:rPr>
        <w:t xml:space="preserve">Expand Ad-Supported Tier: </w:t>
      </w:r>
      <w:r>
        <w:t>This is going to keep expanding investment in ad-tech functionality and partnerships to diversify revenue.</w:t>
      </w:r>
    </w:p>
    <w:p w14:paraId="30249769" w14:textId="77777777" w:rsidR="00B80A9D" w:rsidRDefault="004D575A">
      <w:pPr>
        <w:numPr>
          <w:ilvl w:val="0"/>
          <w:numId w:val="5"/>
        </w:numPr>
      </w:pPr>
      <w:r>
        <w:rPr>
          <w:b/>
          <w:bCs/>
        </w:rPr>
        <w:t>Sustainable Content Production:</w:t>
      </w:r>
      <w:r>
        <w:t xml:space="preserve"> It will focus on carbon-neutral productions and investments in clean technologies as the environmental goals will be aligned.</w:t>
      </w:r>
    </w:p>
    <w:p w14:paraId="06D15E08" w14:textId="77777777" w:rsidR="00B80A9D" w:rsidRDefault="004D575A">
      <w:pPr>
        <w:numPr>
          <w:ilvl w:val="0"/>
          <w:numId w:val="5"/>
        </w:numPr>
      </w:pPr>
      <w:r>
        <w:rPr>
          <w:b/>
          <w:bCs/>
        </w:rPr>
        <w:t>Data-driven investment</w:t>
      </w:r>
      <w:r>
        <w:rPr>
          <w:b/>
          <w:bCs/>
          <w:lang w:val="en-US"/>
        </w:rPr>
        <w:t xml:space="preserve">: </w:t>
      </w:r>
      <w:r>
        <w:rPr>
          <w:b/>
          <w:bCs/>
        </w:rPr>
        <w:t xml:space="preserve"> </w:t>
      </w:r>
      <w:r>
        <w:t xml:space="preserve">The company has the ability of realizing superior returns and performances </w:t>
      </w:r>
      <w:proofErr w:type="gramStart"/>
      <w:r>
        <w:t>on the basis of</w:t>
      </w:r>
      <w:proofErr w:type="gramEnd"/>
      <w:r>
        <w:t xml:space="preserve"> genres and geography that are high performing.</w:t>
      </w:r>
    </w:p>
    <w:p w14:paraId="291105F1" w14:textId="77777777" w:rsidR="00B80A9D" w:rsidRDefault="00B80A9D"/>
    <w:p w14:paraId="0D1DA866" w14:textId="77777777" w:rsidR="00B80A9D" w:rsidRDefault="00B80A9D"/>
    <w:p w14:paraId="45D20D39" w14:textId="77777777" w:rsidR="00B80A9D" w:rsidRDefault="004D575A">
      <w:pPr>
        <w:spacing w:after="160" w:line="278" w:lineRule="auto"/>
        <w:jc w:val="left"/>
      </w:pPr>
      <w:r>
        <w:br w:type="page"/>
      </w:r>
    </w:p>
    <w:p w14:paraId="26521814" w14:textId="77777777" w:rsidR="00B80A9D" w:rsidRDefault="004D575A">
      <w:pPr>
        <w:pStyle w:val="Heading1"/>
      </w:pPr>
      <w:bookmarkStart w:id="19" w:name="_Toc224225316"/>
      <w:r>
        <w:lastRenderedPageBreak/>
        <w:t>References</w:t>
      </w:r>
      <w:bookmarkEnd w:id="19"/>
    </w:p>
    <w:p w14:paraId="36727EF9" w14:textId="77777777" w:rsidR="00B80A9D" w:rsidRDefault="004D575A">
      <w:pPr>
        <w:spacing w:line="240" w:lineRule="auto"/>
        <w:ind w:left="720" w:hanging="720"/>
        <w:rPr>
          <w:lang w:val="en-US"/>
        </w:rPr>
      </w:pPr>
      <w:r>
        <w:rPr>
          <w:lang w:val="en-US"/>
        </w:rPr>
        <w:t xml:space="preserve">Bacia, A. (2024). </w:t>
      </w:r>
      <w:r>
        <w:rPr>
          <w:i/>
          <w:iCs/>
          <w:lang w:val="en-US"/>
        </w:rPr>
        <w:t>Developing Effective Budgeting and Forecasting Techniques</w:t>
      </w:r>
      <w:r>
        <w:rPr>
          <w:lang w:val="en-US"/>
        </w:rPr>
        <w:t>. [online] Available at: https://kiu.ac.ug/assets/publications/1845_developing-effective-budgeting-and-forecasting-techniques.pdf.</w:t>
      </w:r>
    </w:p>
    <w:p w14:paraId="617DE9C7" w14:textId="77777777" w:rsidR="00B80A9D" w:rsidRDefault="004D575A">
      <w:pPr>
        <w:spacing w:line="240" w:lineRule="auto"/>
        <w:ind w:left="720" w:hanging="720"/>
        <w:rPr>
          <w:lang w:val="en-US"/>
        </w:rPr>
      </w:pPr>
      <w:proofErr w:type="spellStart"/>
      <w:r>
        <w:rPr>
          <w:lang w:val="en-US"/>
        </w:rPr>
        <w:t>Baranidharan</w:t>
      </w:r>
      <w:proofErr w:type="spellEnd"/>
      <w:r>
        <w:rPr>
          <w:lang w:val="en-US"/>
        </w:rPr>
        <w:t xml:space="preserve">, S. and Kulkarni, S. (2025). Beyond Binge-Watching: How Netflix Can Adapt Its Digital Marketing Strategy for Long-Term Success. </w:t>
      </w:r>
      <w:r>
        <w:rPr>
          <w:i/>
          <w:iCs/>
          <w:lang w:val="en-US"/>
        </w:rPr>
        <w:t>Advances in marketing, customer relationship management, and e-services book series</w:t>
      </w:r>
      <w:r>
        <w:rPr>
          <w:lang w:val="en-US"/>
        </w:rPr>
        <w:t xml:space="preserve">, [online] pp.43–90. </w:t>
      </w:r>
      <w:proofErr w:type="spellStart"/>
      <w:proofErr w:type="gramStart"/>
      <w:r>
        <w:rPr>
          <w:lang w:val="en-US"/>
        </w:rPr>
        <w:t>doi:https</w:t>
      </w:r>
      <w:proofErr w:type="spellEnd"/>
      <w:r>
        <w:rPr>
          <w:lang w:val="en-US"/>
        </w:rPr>
        <w:t>://doi.org/10.4018/979-8-3693-5395-0.ch002</w:t>
      </w:r>
      <w:proofErr w:type="gramEnd"/>
      <w:r>
        <w:rPr>
          <w:lang w:val="en-US"/>
        </w:rPr>
        <w:t>.</w:t>
      </w:r>
    </w:p>
    <w:p w14:paraId="367E5089" w14:textId="77777777" w:rsidR="00B80A9D" w:rsidRDefault="004D575A">
      <w:pPr>
        <w:spacing w:line="240" w:lineRule="auto"/>
        <w:ind w:left="720" w:hanging="720"/>
        <w:rPr>
          <w:lang w:val="en-US"/>
        </w:rPr>
      </w:pPr>
      <w:r>
        <w:rPr>
          <w:lang w:val="en-US"/>
        </w:rPr>
        <w:t xml:space="preserve">Gao, D. (2025). Navigating the Streaming Wars: A Financial and Risk Assessment of </w:t>
      </w:r>
      <w:proofErr w:type="spellStart"/>
      <w:r>
        <w:rPr>
          <w:lang w:val="en-US"/>
        </w:rPr>
        <w:t>Netflixs</w:t>
      </w:r>
      <w:proofErr w:type="spellEnd"/>
      <w:r>
        <w:rPr>
          <w:lang w:val="en-US"/>
        </w:rPr>
        <w:t xml:space="preserve"> Position and Prospects. </w:t>
      </w:r>
      <w:r>
        <w:rPr>
          <w:i/>
          <w:iCs/>
          <w:lang w:val="en-US"/>
        </w:rPr>
        <w:t>Advances in Economics Management and Political Sciences</w:t>
      </w:r>
      <w:r>
        <w:rPr>
          <w:lang w:val="en-US"/>
        </w:rPr>
        <w:t xml:space="preserve">, [online] 146(1), pp.44–50. </w:t>
      </w:r>
      <w:proofErr w:type="spellStart"/>
      <w:proofErr w:type="gramStart"/>
      <w:r>
        <w:rPr>
          <w:lang w:val="en-US"/>
        </w:rPr>
        <w:t>doi:https</w:t>
      </w:r>
      <w:proofErr w:type="spellEnd"/>
      <w:r>
        <w:rPr>
          <w:lang w:val="en-US"/>
        </w:rPr>
        <w:t>://doi.org/10.54254/2754-1169/2024.LD19055</w:t>
      </w:r>
      <w:proofErr w:type="gramEnd"/>
      <w:r>
        <w:rPr>
          <w:lang w:val="en-US"/>
        </w:rPr>
        <w:t>.</w:t>
      </w:r>
    </w:p>
    <w:p w14:paraId="26E4580F" w14:textId="77777777" w:rsidR="00B80A9D" w:rsidRDefault="004D575A">
      <w:pPr>
        <w:spacing w:line="240" w:lineRule="auto"/>
        <w:ind w:left="720" w:hanging="720"/>
        <w:rPr>
          <w:lang w:val="en-US"/>
        </w:rPr>
      </w:pPr>
      <w:r>
        <w:rPr>
          <w:lang w:val="en-US"/>
        </w:rPr>
        <w:t xml:space="preserve">Google finance (2025). </w:t>
      </w:r>
      <w:r>
        <w:rPr>
          <w:i/>
          <w:iCs/>
          <w:lang w:val="en-US"/>
        </w:rPr>
        <w:t>Financials- Operating expenses (Netflix Inc.)</w:t>
      </w:r>
      <w:r>
        <w:rPr>
          <w:lang w:val="en-US"/>
        </w:rPr>
        <w:t xml:space="preserve">. [online] Google.com. Available at: </w:t>
      </w:r>
      <w:hyperlink r:id="rId11" w:history="1">
        <w:r>
          <w:rPr>
            <w:rStyle w:val="Hyperlink"/>
            <w:lang w:val="en-US"/>
          </w:rPr>
          <w:t>https://www.google.com/finance/beta/quote/NFLX:NASDAQ?hl=en&amp;tab=financials</w:t>
        </w:r>
      </w:hyperlink>
      <w:r>
        <w:rPr>
          <w:lang w:val="en-US"/>
        </w:rPr>
        <w:t>.</w:t>
      </w:r>
    </w:p>
    <w:p w14:paraId="21130B72" w14:textId="77777777" w:rsidR="00B80A9D" w:rsidRDefault="004D575A">
      <w:pPr>
        <w:spacing w:line="240" w:lineRule="auto"/>
        <w:ind w:left="720" w:hanging="720"/>
        <w:rPr>
          <w:lang w:val="en-US"/>
        </w:rPr>
      </w:pPr>
      <w:r>
        <w:rPr>
          <w:lang w:val="en-US"/>
        </w:rPr>
        <w:t xml:space="preserve">Hansen, D.R., Mowen, M.M. and Heitger, D.L. (2021). </w:t>
      </w:r>
      <w:r>
        <w:rPr>
          <w:i/>
          <w:iCs/>
          <w:lang w:val="en-US"/>
        </w:rPr>
        <w:t>Cost management.</w:t>
      </w:r>
      <w:r>
        <w:rPr>
          <w:lang w:val="en-US"/>
        </w:rPr>
        <w:t xml:space="preserve"> Mason: South-Western.</w:t>
      </w:r>
    </w:p>
    <w:p w14:paraId="72AADFA4" w14:textId="77777777" w:rsidR="00B80A9D" w:rsidRDefault="004D575A">
      <w:pPr>
        <w:spacing w:line="240" w:lineRule="auto"/>
        <w:ind w:left="720" w:hanging="720"/>
        <w:rPr>
          <w:lang w:val="en-US"/>
        </w:rPr>
      </w:pPr>
      <w:r>
        <w:rPr>
          <w:lang w:val="en-US"/>
        </w:rPr>
        <w:t xml:space="preserve">Ibrahimov, O., </w:t>
      </w:r>
      <w:proofErr w:type="spellStart"/>
      <w:r>
        <w:rPr>
          <w:lang w:val="en-US"/>
        </w:rPr>
        <w:t>Vancsura</w:t>
      </w:r>
      <w:proofErr w:type="spellEnd"/>
      <w:r>
        <w:rPr>
          <w:lang w:val="en-US"/>
        </w:rPr>
        <w:t xml:space="preserve">, L. and Parádi-Dolgos, A. (2025). The Impact of Macroeconomic Factors on the Firm’s Performance—Empirical Analysis from Türkiye. </w:t>
      </w:r>
      <w:r>
        <w:rPr>
          <w:i/>
          <w:iCs/>
          <w:lang w:val="en-US"/>
        </w:rPr>
        <w:t>Economies</w:t>
      </w:r>
      <w:r>
        <w:rPr>
          <w:lang w:val="en-US"/>
        </w:rPr>
        <w:t xml:space="preserve">, [online] 13(4), p.111. </w:t>
      </w:r>
      <w:proofErr w:type="spellStart"/>
      <w:proofErr w:type="gramStart"/>
      <w:r>
        <w:rPr>
          <w:lang w:val="en-US"/>
        </w:rPr>
        <w:t>doi:https</w:t>
      </w:r>
      <w:proofErr w:type="spellEnd"/>
      <w:r>
        <w:rPr>
          <w:lang w:val="en-US"/>
        </w:rPr>
        <w:t>://doi.org/10.3390/economies13040111</w:t>
      </w:r>
      <w:proofErr w:type="gramEnd"/>
      <w:r>
        <w:rPr>
          <w:lang w:val="en-US"/>
        </w:rPr>
        <w:t>.</w:t>
      </w:r>
    </w:p>
    <w:p w14:paraId="20527E82" w14:textId="77777777" w:rsidR="00B80A9D" w:rsidRDefault="004D575A">
      <w:pPr>
        <w:spacing w:line="240" w:lineRule="auto"/>
        <w:ind w:left="720" w:hanging="720"/>
        <w:rPr>
          <w:lang w:val="en-US"/>
        </w:rPr>
      </w:pPr>
      <w:r>
        <w:rPr>
          <w:lang w:val="en-US"/>
        </w:rPr>
        <w:t xml:space="preserve">Netflix (2024). </w:t>
      </w:r>
      <w:r>
        <w:rPr>
          <w:i/>
          <w:iCs/>
          <w:lang w:val="en-US"/>
        </w:rPr>
        <w:t>About Netflix - Sustainability</w:t>
      </w:r>
      <w:r>
        <w:rPr>
          <w:lang w:val="en-US"/>
        </w:rPr>
        <w:t>. [online] Netflix. Available at: https://about.netflix.com/en/sustainability.</w:t>
      </w:r>
    </w:p>
    <w:p w14:paraId="17CBF24F" w14:textId="77777777" w:rsidR="00B80A9D" w:rsidRDefault="004D575A">
      <w:pPr>
        <w:spacing w:line="240" w:lineRule="auto"/>
        <w:ind w:left="720" w:hanging="720"/>
        <w:rPr>
          <w:lang w:val="en-US"/>
        </w:rPr>
      </w:pPr>
      <w:bookmarkStart w:id="20" w:name="_Hlk224225230"/>
      <w:r>
        <w:rPr>
          <w:lang w:val="en-US"/>
        </w:rPr>
        <w:t>Netflix (2025)</w:t>
      </w:r>
      <w:bookmarkEnd w:id="20"/>
      <w:r>
        <w:rPr>
          <w:lang w:val="en-US"/>
        </w:rPr>
        <w:t xml:space="preserve">. </w:t>
      </w:r>
      <w:r>
        <w:rPr>
          <w:i/>
          <w:iCs/>
          <w:lang w:val="en-US"/>
        </w:rPr>
        <w:t>Netflix - Financials - Annual Reports &amp; Proxies</w:t>
      </w:r>
      <w:r>
        <w:rPr>
          <w:lang w:val="en-US"/>
        </w:rPr>
        <w:t>. [online] ir.netflix.net. Available at: https://ir.netflix.net/financials/annual-reports-and-proxies/default.aspx.</w:t>
      </w:r>
    </w:p>
    <w:p w14:paraId="061B7334" w14:textId="77777777" w:rsidR="00B80A9D" w:rsidRDefault="004D575A">
      <w:pPr>
        <w:spacing w:line="240" w:lineRule="auto"/>
        <w:ind w:left="720" w:hanging="720"/>
        <w:rPr>
          <w:lang w:val="en-US"/>
        </w:rPr>
      </w:pPr>
      <w:r>
        <w:rPr>
          <w:lang w:val="en-US"/>
        </w:rPr>
        <w:t xml:space="preserve">Rizzo, L. (2026). </w:t>
      </w:r>
      <w:r>
        <w:rPr>
          <w:i/>
          <w:iCs/>
          <w:lang w:val="en-US"/>
        </w:rPr>
        <w:t>Netflix’s advertising strategy shift is starting to pay off</w:t>
      </w:r>
      <w:r>
        <w:rPr>
          <w:lang w:val="en-US"/>
        </w:rPr>
        <w:t>. [online] CNBC. Available at: https://www.cnbc.com/2026/01/21/netflix-advertising-revenue-strategy-paying-off.html.</w:t>
      </w:r>
    </w:p>
    <w:p w14:paraId="661F55B3" w14:textId="77777777" w:rsidR="00B80A9D" w:rsidRDefault="004D575A">
      <w:pPr>
        <w:spacing w:line="240" w:lineRule="auto"/>
        <w:ind w:left="720" w:hanging="720"/>
        <w:rPr>
          <w:lang w:val="en-US"/>
        </w:rPr>
      </w:pPr>
      <w:r>
        <w:rPr>
          <w:lang w:val="en-US"/>
        </w:rPr>
        <w:t xml:space="preserve">S&amp;P Global (2026). </w:t>
      </w:r>
      <w:r>
        <w:rPr>
          <w:i/>
          <w:iCs/>
          <w:lang w:val="en-US"/>
        </w:rPr>
        <w:t>Media Quick Take: Netflix closes out 2025 on a strong note</w:t>
      </w:r>
      <w:r>
        <w:rPr>
          <w:lang w:val="en-US"/>
        </w:rPr>
        <w:t>. [online] S&amp;P Global Market Intelligence. Available at: https://www.spglobal.com/market-intelligence/en/news-insights/research/2026/01/media-quick-take-netflix-closes-out-2025-on-a-strong-note.</w:t>
      </w:r>
    </w:p>
    <w:p w14:paraId="5B279CA0" w14:textId="77777777" w:rsidR="00B80A9D" w:rsidRDefault="004D575A">
      <w:pPr>
        <w:spacing w:line="240" w:lineRule="auto"/>
        <w:ind w:left="720" w:hanging="720"/>
        <w:rPr>
          <w:lang w:val="en-US"/>
        </w:rPr>
      </w:pPr>
      <w:r>
        <w:rPr>
          <w:lang w:val="en-US"/>
        </w:rPr>
        <w:t xml:space="preserve">Stock Titan (2026). </w:t>
      </w:r>
      <w:r>
        <w:rPr>
          <w:i/>
          <w:iCs/>
          <w:lang w:val="en-US"/>
        </w:rPr>
        <w:t>Netflix Q4 2025 Earnings: Revenue Hits $12.05B, 325M Subscribers, Warner Bros. Acquisition</w:t>
      </w:r>
      <w:r>
        <w:rPr>
          <w:lang w:val="en-US"/>
        </w:rPr>
        <w:t>. [online] Stocktitan.net. Available at: https://www.stocktitan.net/articles/netflix-q4-2025-earnings-results-analysis.</w:t>
      </w:r>
    </w:p>
    <w:p w14:paraId="19B095D9" w14:textId="77777777" w:rsidR="00B80A9D" w:rsidRDefault="004D575A">
      <w:pPr>
        <w:spacing w:line="240" w:lineRule="auto"/>
        <w:ind w:left="720" w:hanging="720"/>
        <w:rPr>
          <w:lang w:val="en-US"/>
        </w:rPr>
      </w:pPr>
      <w:r>
        <w:rPr>
          <w:lang w:val="en-US"/>
        </w:rPr>
        <w:t xml:space="preserve">Sugandh, A. (2026). </w:t>
      </w:r>
      <w:r>
        <w:rPr>
          <w:i/>
          <w:iCs/>
          <w:lang w:val="en-US"/>
        </w:rPr>
        <w:t xml:space="preserve">325 </w:t>
      </w:r>
      <w:proofErr w:type="gramStart"/>
      <w:r>
        <w:rPr>
          <w:i/>
          <w:iCs/>
          <w:lang w:val="en-US"/>
        </w:rPr>
        <w:t>Million</w:t>
      </w:r>
      <w:proofErr w:type="gramEnd"/>
      <w:r>
        <w:rPr>
          <w:i/>
          <w:iCs/>
          <w:lang w:val="en-US"/>
        </w:rPr>
        <w:t xml:space="preserve"> Reasons to Buy Netflix Stock Today</w:t>
      </w:r>
      <w:r>
        <w:rPr>
          <w:lang w:val="en-US"/>
        </w:rPr>
        <w:t xml:space="preserve">. [online] Yahoo Finance. Available at: </w:t>
      </w:r>
      <w:hyperlink r:id="rId12" w:history="1">
        <w:r>
          <w:rPr>
            <w:rStyle w:val="Hyperlink"/>
            <w:lang w:val="en-US"/>
          </w:rPr>
          <w:t>https://finance.yahoo.com/news/325-million-reasons-buy-netflix-221809807.html</w:t>
        </w:r>
      </w:hyperlink>
      <w:r>
        <w:rPr>
          <w:lang w:val="en-US"/>
        </w:rPr>
        <w:t>.</w:t>
      </w:r>
    </w:p>
    <w:p w14:paraId="267152A4" w14:textId="77777777" w:rsidR="00B80A9D" w:rsidRDefault="00B80A9D">
      <w:pPr>
        <w:spacing w:line="240" w:lineRule="auto"/>
        <w:ind w:left="720" w:hanging="720"/>
        <w:rPr>
          <w:lang w:val="en-US"/>
        </w:rPr>
      </w:pPr>
    </w:p>
    <w:p w14:paraId="647C28E1" w14:textId="77777777" w:rsidR="00B80A9D" w:rsidRDefault="00B80A9D">
      <w:pPr>
        <w:spacing w:line="240" w:lineRule="auto"/>
        <w:ind w:left="720" w:hanging="720"/>
        <w:rPr>
          <w:lang w:val="en-US"/>
        </w:rPr>
      </w:pPr>
    </w:p>
    <w:p w14:paraId="0A392EA3" w14:textId="77777777" w:rsidR="00B80A9D" w:rsidRDefault="00B80A9D">
      <w:pPr>
        <w:rPr>
          <w:lang w:val="en-US"/>
        </w:rPr>
      </w:pPr>
    </w:p>
    <w:p w14:paraId="4EBED019" w14:textId="77777777" w:rsidR="00B80A9D" w:rsidRDefault="00B80A9D"/>
    <w:sectPr w:rsidR="00B80A9D">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BC80F" w14:textId="77777777" w:rsidR="00D13566" w:rsidRDefault="00D13566">
      <w:pPr>
        <w:spacing w:line="240" w:lineRule="auto"/>
      </w:pPr>
      <w:r>
        <w:separator/>
      </w:r>
    </w:p>
  </w:endnote>
  <w:endnote w:type="continuationSeparator" w:id="0">
    <w:p w14:paraId="74F8DF29" w14:textId="77777777" w:rsidR="00D13566" w:rsidRDefault="00D135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altName w:val="宋体-简"/>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
      <w:docPartObj>
        <w:docPartGallery w:val="AutoText"/>
      </w:docPartObj>
    </w:sdtPr>
    <w:sdtContent>
      <w:p w14:paraId="473BCAEE" w14:textId="77777777" w:rsidR="00B80A9D" w:rsidRDefault="004D575A">
        <w:pPr>
          <w:pStyle w:val="Footer"/>
          <w:jc w:val="center"/>
        </w:pPr>
        <w:r>
          <w:fldChar w:fldCharType="begin"/>
        </w:r>
        <w:r>
          <w:instrText xml:space="preserve"> PAGE   \* MERGEFORMAT </w:instrText>
        </w:r>
        <w:r>
          <w:fldChar w:fldCharType="separate"/>
        </w:r>
        <w:r>
          <w:t>2</w:t>
        </w:r>
        <w:r>
          <w:fldChar w:fldCharType="end"/>
        </w:r>
      </w:p>
    </w:sdtContent>
  </w:sdt>
  <w:p w14:paraId="5BE4E001" w14:textId="77777777" w:rsidR="00B80A9D" w:rsidRDefault="00B80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E3396" w14:textId="77777777" w:rsidR="00D13566" w:rsidRDefault="00D13566">
      <w:r>
        <w:separator/>
      </w:r>
    </w:p>
  </w:footnote>
  <w:footnote w:type="continuationSeparator" w:id="0">
    <w:p w14:paraId="47B78A5B" w14:textId="77777777" w:rsidR="00D13566" w:rsidRDefault="00D135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309CE"/>
    <w:multiLevelType w:val="multilevel"/>
    <w:tmpl w:val="08F309C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27A51FE"/>
    <w:multiLevelType w:val="multilevel"/>
    <w:tmpl w:val="227A51F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0E62D53"/>
    <w:multiLevelType w:val="multilevel"/>
    <w:tmpl w:val="30E62D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0150187"/>
    <w:multiLevelType w:val="multilevel"/>
    <w:tmpl w:val="5015018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7F7C5364"/>
    <w:multiLevelType w:val="singleLevel"/>
    <w:tmpl w:val="7F7C5364"/>
    <w:lvl w:ilvl="0">
      <w:start w:val="1"/>
      <w:numFmt w:val="bullet"/>
      <w:lvlText w:val=""/>
      <w:lvlJc w:val="left"/>
      <w:pPr>
        <w:tabs>
          <w:tab w:val="left" w:pos="420"/>
        </w:tabs>
        <w:ind w:left="420" w:hanging="420"/>
      </w:pPr>
      <w:rPr>
        <w:rFonts w:ascii="Wingdings" w:hAnsi="Wingdings" w:hint="default"/>
      </w:rPr>
    </w:lvl>
  </w:abstractNum>
  <w:num w:numId="1" w16cid:durableId="13849966">
    <w:abstractNumId w:val="2"/>
  </w:num>
  <w:num w:numId="2" w16cid:durableId="547381281">
    <w:abstractNumId w:val="1"/>
  </w:num>
  <w:num w:numId="3" w16cid:durableId="1126508233">
    <w:abstractNumId w:val="0"/>
  </w:num>
  <w:num w:numId="4" w16cid:durableId="1901356970">
    <w:abstractNumId w:val="3"/>
  </w:num>
  <w:num w:numId="5" w16cid:durableId="73168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5EF"/>
    <w:rsid w:val="00006C26"/>
    <w:rsid w:val="00023718"/>
    <w:rsid w:val="00072118"/>
    <w:rsid w:val="000C3755"/>
    <w:rsid w:val="0013192F"/>
    <w:rsid w:val="0016588F"/>
    <w:rsid w:val="001B69FB"/>
    <w:rsid w:val="001B70D4"/>
    <w:rsid w:val="00206E87"/>
    <w:rsid w:val="002864FA"/>
    <w:rsid w:val="002E101D"/>
    <w:rsid w:val="002E1113"/>
    <w:rsid w:val="002E39E1"/>
    <w:rsid w:val="00301DFA"/>
    <w:rsid w:val="00313565"/>
    <w:rsid w:val="00335C08"/>
    <w:rsid w:val="00356A6C"/>
    <w:rsid w:val="003816C9"/>
    <w:rsid w:val="0038445F"/>
    <w:rsid w:val="003973DB"/>
    <w:rsid w:val="003B74C7"/>
    <w:rsid w:val="003C071A"/>
    <w:rsid w:val="00436039"/>
    <w:rsid w:val="00457659"/>
    <w:rsid w:val="004631AD"/>
    <w:rsid w:val="00496863"/>
    <w:rsid w:val="004A03A0"/>
    <w:rsid w:val="004D0E92"/>
    <w:rsid w:val="004D575A"/>
    <w:rsid w:val="00511E59"/>
    <w:rsid w:val="00517753"/>
    <w:rsid w:val="005330FF"/>
    <w:rsid w:val="00555633"/>
    <w:rsid w:val="00555978"/>
    <w:rsid w:val="00572C88"/>
    <w:rsid w:val="005A1BE8"/>
    <w:rsid w:val="005D6975"/>
    <w:rsid w:val="005E352A"/>
    <w:rsid w:val="00601526"/>
    <w:rsid w:val="00605271"/>
    <w:rsid w:val="0066693E"/>
    <w:rsid w:val="00675965"/>
    <w:rsid w:val="00681DB2"/>
    <w:rsid w:val="00684195"/>
    <w:rsid w:val="006A229B"/>
    <w:rsid w:val="00712846"/>
    <w:rsid w:val="007267C4"/>
    <w:rsid w:val="007458AF"/>
    <w:rsid w:val="007525D4"/>
    <w:rsid w:val="0076589D"/>
    <w:rsid w:val="00773B8B"/>
    <w:rsid w:val="007D00D0"/>
    <w:rsid w:val="007D08AE"/>
    <w:rsid w:val="007D4381"/>
    <w:rsid w:val="007D7F67"/>
    <w:rsid w:val="007E5D96"/>
    <w:rsid w:val="007F14E2"/>
    <w:rsid w:val="007F3012"/>
    <w:rsid w:val="008009F3"/>
    <w:rsid w:val="00807118"/>
    <w:rsid w:val="00833E4A"/>
    <w:rsid w:val="0084603D"/>
    <w:rsid w:val="0088212A"/>
    <w:rsid w:val="0088251C"/>
    <w:rsid w:val="008A03DA"/>
    <w:rsid w:val="008C37B6"/>
    <w:rsid w:val="008F1105"/>
    <w:rsid w:val="008F44B0"/>
    <w:rsid w:val="009125EF"/>
    <w:rsid w:val="009353ED"/>
    <w:rsid w:val="0096668F"/>
    <w:rsid w:val="0098111E"/>
    <w:rsid w:val="009E7167"/>
    <w:rsid w:val="00A27D29"/>
    <w:rsid w:val="00A33E25"/>
    <w:rsid w:val="00A4534E"/>
    <w:rsid w:val="00A87CE5"/>
    <w:rsid w:val="00AB4E76"/>
    <w:rsid w:val="00B11AFE"/>
    <w:rsid w:val="00B1466F"/>
    <w:rsid w:val="00B316E1"/>
    <w:rsid w:val="00B80A9D"/>
    <w:rsid w:val="00BD0992"/>
    <w:rsid w:val="00BD64C7"/>
    <w:rsid w:val="00C0693D"/>
    <w:rsid w:val="00C54522"/>
    <w:rsid w:val="00C8786E"/>
    <w:rsid w:val="00CA1CCC"/>
    <w:rsid w:val="00CF3781"/>
    <w:rsid w:val="00CF7C79"/>
    <w:rsid w:val="00D10B20"/>
    <w:rsid w:val="00D13566"/>
    <w:rsid w:val="00D36267"/>
    <w:rsid w:val="00D439C8"/>
    <w:rsid w:val="00D54E29"/>
    <w:rsid w:val="00D679B3"/>
    <w:rsid w:val="00DA3B2E"/>
    <w:rsid w:val="00DF4E89"/>
    <w:rsid w:val="00E20630"/>
    <w:rsid w:val="00E9619E"/>
    <w:rsid w:val="00EA7BAD"/>
    <w:rsid w:val="00EE0028"/>
    <w:rsid w:val="00F35252"/>
    <w:rsid w:val="00F4365C"/>
    <w:rsid w:val="00F43CD6"/>
    <w:rsid w:val="00F80DC0"/>
    <w:rsid w:val="00F94438"/>
    <w:rsid w:val="00FA4997"/>
    <w:rsid w:val="00FC44AA"/>
    <w:rsid w:val="00FF50E4"/>
    <w:rsid w:val="DF54B4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A58FE"/>
  <w15:docId w15:val="{88C184D9-8047-C14D-AECB-91D56718F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cs="Times New Roman"/>
      <w:kern w:val="2"/>
      <w:sz w:val="24"/>
      <w:szCs w:val="24"/>
      <w14:ligatures w14:val="standardContextual"/>
    </w:rPr>
  </w:style>
  <w:style w:type="paragraph" w:styleId="Heading1">
    <w:name w:val="heading 1"/>
    <w:basedOn w:val="Normal"/>
    <w:next w:val="Normal"/>
    <w:link w:val="Heading1Char"/>
    <w:uiPriority w:val="9"/>
    <w:qFormat/>
    <w:pPr>
      <w:outlineLvl w:val="0"/>
    </w:pPr>
    <w:rPr>
      <w:b/>
      <w:bCs/>
      <w:sz w:val="28"/>
      <w:szCs w:val="28"/>
    </w:rPr>
  </w:style>
  <w:style w:type="paragraph" w:styleId="Heading2">
    <w:name w:val="heading 2"/>
    <w:basedOn w:val="Normal"/>
    <w:next w:val="Normal"/>
    <w:link w:val="Heading2Char"/>
    <w:uiPriority w:val="9"/>
    <w:unhideWhenUsed/>
    <w:qFormat/>
    <w:pPr>
      <w:outlineLvl w:val="1"/>
    </w:pPr>
    <w:rPr>
      <w:b/>
      <w:bCs/>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character" w:customStyle="1" w:styleId="Heading1Char">
    <w:name w:val="Heading 1 Char"/>
    <w:basedOn w:val="DefaultParagraphFont"/>
    <w:link w:val="Heading1"/>
    <w:uiPriority w:val="9"/>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Pr>
      <w:rFonts w:ascii="Times New Roman" w:hAnsi="Times New Roman" w:cs="Times New Roman"/>
      <w:b/>
      <w:bCs/>
      <w:lang w:val="en-GB"/>
    </w:rPr>
  </w:style>
  <w:style w:type="character" w:customStyle="1" w:styleId="Heading3Char">
    <w:name w:val="Heading 3 Char"/>
    <w:basedOn w:val="DefaultParagraphFont"/>
    <w:link w:val="Heading3"/>
    <w:uiPriority w:val="9"/>
    <w:semiHidden/>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TOCHeading1">
    <w:name w:val="TOC Heading1"/>
    <w:basedOn w:val="Heading1"/>
    <w:next w:val="Normal"/>
    <w:uiPriority w:val="39"/>
    <w:unhideWhenUsed/>
    <w:qFormat/>
    <w:pPr>
      <w:spacing w:before="240" w:line="259" w:lineRule="auto"/>
      <w:outlineLvl w:val="9"/>
    </w:pPr>
    <w:rPr>
      <w:kern w:val="0"/>
      <w:sz w:val="32"/>
      <w:szCs w:val="32"/>
      <w14:ligatures w14:val="none"/>
    </w:rPr>
  </w:style>
  <w:style w:type="character" w:customStyle="1" w:styleId="HeaderChar">
    <w:name w:val="Header Char"/>
    <w:basedOn w:val="DefaultParagraphFont"/>
    <w:link w:val="Header"/>
    <w:uiPriority w:val="99"/>
    <w:rPr>
      <w:rFonts w:ascii="Times New Roman" w:hAnsi="Times New Roman" w:cs="Times New Roman"/>
      <w:lang w:val="en-GB"/>
    </w:rPr>
  </w:style>
  <w:style w:type="character" w:customStyle="1" w:styleId="FooterChar">
    <w:name w:val="Footer Char"/>
    <w:basedOn w:val="DefaultParagraphFont"/>
    <w:link w:val="Footer"/>
    <w:uiPriority w:val="99"/>
    <w:rPr>
      <w:rFonts w:ascii="Times New Roman" w:hAnsi="Times New Roman" w:cs="Times New Roman"/>
      <w:lang w:val="en-GB"/>
    </w:rPr>
  </w:style>
  <w:style w:type="character" w:customStyle="1" w:styleId="UnresolvedMention1">
    <w:name w:val="Unresolved Mention1"/>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nance.yahoo.com/news/325-million-reasons-buy-netflix-221809807.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finance/beta/quote/NFLX:NASDAQ?hl=en&amp;tab=financia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C6E48-615B-4E7F-9E99-BF2BE4D75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2778</Words>
  <Characters>15835</Characters>
  <Application>Microsoft Office Word</Application>
  <DocSecurity>0</DocSecurity>
  <Lines>131</Lines>
  <Paragraphs>37</Paragraphs>
  <ScaleCrop>false</ScaleCrop>
  <Company/>
  <LinksUpToDate>false</LinksUpToDate>
  <CharactersWithSpaces>18576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 MOCANU</cp:lastModifiedBy>
  <cp:revision>2</cp:revision>
  <dcterms:created xsi:type="dcterms:W3CDTF">2026-03-23T13:22:00Z</dcterms:created>
  <dcterms:modified xsi:type="dcterms:W3CDTF">2026-03-23T13:22:00Z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1033-12.1.21937.21937</vt:lpwstr>
  </property>
  <property fmtid="{D5CDD505-2E9C-101B-9397-08002B2CF9AE}" pid="3" name="ICV">
    <vt:lpwstr>B9FB76F07016DC16DFF8B2695F2BED5A_42</vt:lpwstr>
  </property>
</Properties>
</file>