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2060927746"/>
        <w:docPartObj>
          <w:docPartGallery w:val="Cover Pages"/>
          <w:docPartUnique/>
        </w:docPartObj>
      </w:sdtPr>
      <w:sdtEndPr>
        <w:rPr>
          <w:color w:val="auto"/>
          <w:u w:val="single"/>
        </w:rPr>
      </w:sdtEndPr>
      <w:sdtContent>
        <w:p w14:paraId="4B0013BD" w14:textId="50F0D7D4" w:rsidR="0053395C" w:rsidRPr="00436BC4" w:rsidRDefault="0053395C" w:rsidP="00752BE8">
          <w:pPr>
            <w:pStyle w:val="NoSpacing"/>
            <w:spacing w:before="1540" w:after="240" w:line="480" w:lineRule="auto"/>
            <w:jc w:val="center"/>
            <w:rPr>
              <w:lang w:val="en-GB"/>
            </w:rPr>
          </w:pPr>
          <w:r w:rsidRPr="00436BC4">
            <w:rPr>
              <w:noProof/>
              <w:lang w:val="en-GB"/>
            </w:rPr>
            <w:drawing>
              <wp:inline distT="0" distB="0" distL="0" distR="0" wp14:anchorId="263A7A3F" wp14:editId="2C707CE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D020C88" w14:textId="5137C6E3" w:rsidR="0053395C" w:rsidRPr="00436BC4" w:rsidRDefault="00000000" w:rsidP="00752BE8">
          <w:pPr>
            <w:pStyle w:val="NoSpacing"/>
            <w:pBdr>
              <w:top w:val="single" w:sz="6" w:space="6" w:color="4472C4" w:themeColor="accent1"/>
              <w:bottom w:val="single" w:sz="6" w:space="6" w:color="4472C4" w:themeColor="accent1"/>
            </w:pBdr>
            <w:spacing w:after="240" w:line="480" w:lineRule="auto"/>
            <w:jc w:val="center"/>
            <w:rPr>
              <w:rFonts w:asciiTheme="majorHAnsi" w:eastAsiaTheme="majorEastAsia" w:hAnsiTheme="majorHAnsi" w:cstheme="majorBidi"/>
              <w:caps/>
              <w:sz w:val="80"/>
              <w:szCs w:val="80"/>
              <w:lang w:val="en-GB"/>
            </w:rPr>
          </w:pPr>
          <w:sdt>
            <w:sdtPr>
              <w:rPr>
                <w:rFonts w:asciiTheme="majorHAnsi" w:eastAsiaTheme="majorEastAsia" w:hAnsiTheme="majorHAnsi" w:cstheme="majorBidi"/>
                <w:caps/>
                <w:sz w:val="36"/>
                <w:szCs w:val="36"/>
                <w:lang w:val="en-GB"/>
              </w:rPr>
              <w:alias w:val="Title"/>
              <w:tag w:val=""/>
              <w:id w:val="1735040861"/>
              <w:placeholder>
                <w:docPart w:val="9DDA31F211434785B60DEC4AD8716CB6"/>
              </w:placeholder>
              <w:dataBinding w:prefixMappings="xmlns:ns0='http://purl.org/dc/elements/1.1/' xmlns:ns1='http://schemas.openxmlformats.org/package/2006/metadata/core-properties' " w:xpath="/ns1:coreProperties[1]/ns0:title[1]" w:storeItemID="{6C3C8BC8-F283-45AE-878A-BAB7291924A1}"/>
              <w:text/>
            </w:sdtPr>
            <w:sdtContent>
              <w:r w:rsidR="00CB0C99" w:rsidRPr="00436BC4">
                <w:rPr>
                  <w:rFonts w:asciiTheme="majorHAnsi" w:eastAsiaTheme="majorEastAsia" w:hAnsiTheme="majorHAnsi" w:cstheme="majorBidi"/>
                  <w:caps/>
                  <w:sz w:val="36"/>
                  <w:szCs w:val="36"/>
                  <w:lang w:val="en-GB"/>
                </w:rPr>
                <w:t>‘Q</w:t>
              </w:r>
              <w:r w:rsidR="003F27FC">
                <w:rPr>
                  <w:rFonts w:asciiTheme="majorHAnsi" w:eastAsiaTheme="majorEastAsia" w:hAnsiTheme="majorHAnsi" w:cstheme="majorBidi"/>
                  <w:caps/>
                  <w:sz w:val="36"/>
                  <w:szCs w:val="36"/>
                  <w:lang w:val="en-GB"/>
                </w:rPr>
                <w:t>ueeriNG</w:t>
              </w:r>
              <w:r w:rsidR="00CB0C99" w:rsidRPr="00436BC4">
                <w:rPr>
                  <w:rFonts w:asciiTheme="majorHAnsi" w:eastAsiaTheme="majorEastAsia" w:hAnsiTheme="majorHAnsi" w:cstheme="majorBidi"/>
                  <w:caps/>
                  <w:sz w:val="36"/>
                  <w:szCs w:val="36"/>
                  <w:lang w:val="en-GB"/>
                </w:rPr>
                <w:t>’ THE FOURTH BRANCH: AN APPROACH TO ANALYSING THE FOURTH BRANCH OF THE MABINOGI USING QUEER Theory</w:t>
              </w:r>
            </w:sdtContent>
          </w:sdt>
        </w:p>
        <w:sdt>
          <w:sdtPr>
            <w:rPr>
              <w:sz w:val="28"/>
              <w:szCs w:val="28"/>
              <w:lang w:val="en-GB"/>
            </w:rPr>
            <w:alias w:val="Subtitle"/>
            <w:tag w:val=""/>
            <w:id w:val="328029620"/>
            <w:placeholder>
              <w:docPart w:val="FB625C96178D4550894CC8D6DF450CB3"/>
            </w:placeholder>
            <w:dataBinding w:prefixMappings="xmlns:ns0='http://purl.org/dc/elements/1.1/' xmlns:ns1='http://schemas.openxmlformats.org/package/2006/metadata/core-properties' " w:xpath="/ns1:coreProperties[1]/ns0:subject[1]" w:storeItemID="{6C3C8BC8-F283-45AE-878A-BAB7291924A1}"/>
            <w:text/>
          </w:sdtPr>
          <w:sdtContent>
            <w:p w14:paraId="32A79333" w14:textId="580EFE46" w:rsidR="0053395C" w:rsidRPr="00436BC4" w:rsidRDefault="0053395C" w:rsidP="00752BE8">
              <w:pPr>
                <w:pStyle w:val="NoSpacing"/>
                <w:spacing w:line="480" w:lineRule="auto"/>
                <w:jc w:val="center"/>
                <w:rPr>
                  <w:sz w:val="28"/>
                  <w:szCs w:val="28"/>
                  <w:lang w:val="en-GB"/>
                </w:rPr>
              </w:pPr>
              <w:r w:rsidRPr="00436BC4">
                <w:rPr>
                  <w:sz w:val="28"/>
                  <w:szCs w:val="28"/>
                  <w:lang w:val="en-GB"/>
                </w:rPr>
                <w:t>Colin Audigé-Soutter 1903773</w:t>
              </w:r>
            </w:p>
          </w:sdtContent>
        </w:sdt>
        <w:p w14:paraId="61C6E48A" w14:textId="4C7DC1F3" w:rsidR="0053395C" w:rsidRPr="00436BC4" w:rsidRDefault="0053395C" w:rsidP="00752BE8">
          <w:pPr>
            <w:pStyle w:val="NoSpacing"/>
            <w:spacing w:before="480" w:line="480" w:lineRule="auto"/>
            <w:jc w:val="center"/>
            <w:rPr>
              <w:color w:val="4472C4" w:themeColor="accent1"/>
              <w:lang w:val="en-GB"/>
            </w:rPr>
          </w:pPr>
          <w:r w:rsidRPr="00436BC4">
            <w:rPr>
              <w:noProof/>
              <w:lang w:val="en-GB"/>
            </w:rPr>
            <w:drawing>
              <wp:inline distT="0" distB="0" distL="0" distR="0" wp14:anchorId="1A6E750F" wp14:editId="058FD19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3BEBCA" w14:textId="77777777" w:rsidR="006F2216" w:rsidRDefault="00835406" w:rsidP="00752BE8">
          <w:pPr>
            <w:spacing w:line="480" w:lineRule="auto"/>
            <w:rPr>
              <w:u w:val="single"/>
            </w:rPr>
          </w:pPr>
          <w:r w:rsidRPr="00436BC4">
            <w:rPr>
              <w:noProof/>
              <w:color w:val="4472C4" w:themeColor="accent1"/>
            </w:rPr>
            <mc:AlternateContent>
              <mc:Choice Requires="wps">
                <w:drawing>
                  <wp:anchor distT="0" distB="0" distL="114300" distR="114300" simplePos="0" relativeHeight="251659264" behindDoc="0" locked="0" layoutInCell="1" allowOverlap="1" wp14:anchorId="7273B434" wp14:editId="285CFF90">
                    <wp:simplePos x="0" y="0"/>
                    <wp:positionH relativeFrom="margin">
                      <wp:align>right</wp:align>
                    </wp:positionH>
                    <wp:positionV relativeFrom="page">
                      <wp:posOffset>8285864</wp:posOffset>
                    </wp:positionV>
                    <wp:extent cx="6553200" cy="1181819"/>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11818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857980" w14:textId="145BB61D" w:rsidR="0053395C" w:rsidRPr="00436BC4" w:rsidRDefault="0053395C">
                                <w:pPr>
                                  <w:pStyle w:val="NoSpacing"/>
                                  <w:spacing w:after="40"/>
                                  <w:jc w:val="center"/>
                                  <w:rPr>
                                    <w:caps/>
                                    <w:color w:val="4472C4" w:themeColor="accent1"/>
                                    <w:sz w:val="28"/>
                                    <w:szCs w:val="28"/>
                                    <w:lang w:val="en-GB"/>
                                  </w:rPr>
                                </w:pPr>
                              </w:p>
                              <w:p w14:paraId="6DC6B527" w14:textId="40FE7A43" w:rsidR="0053395C" w:rsidRPr="00436BC4" w:rsidRDefault="0053395C" w:rsidP="00F16EAA">
                                <w:pPr>
                                  <w:pStyle w:val="NoSpacing"/>
                                  <w:jc w:val="center"/>
                                  <w:rPr>
                                    <w:lang w:val="en-GB"/>
                                  </w:rPr>
                                </w:pPr>
                                <w:bookmarkStart w:id="0" w:name="_Toc174268506"/>
                              </w:p>
                              <w:p w14:paraId="7B209073" w14:textId="77777777" w:rsidR="0053395C" w:rsidRPr="00436BC4" w:rsidRDefault="0053395C"/>
                              <w:bookmarkStart w:id="1" w:name="_Toc175087219"/>
                              <w:bookmarkStart w:id="2" w:name="_Toc175087417"/>
                              <w:bookmarkStart w:id="3" w:name="_Toc175312177"/>
                              <w:p w14:paraId="6774BD17" w14:textId="12C50252" w:rsidR="0053395C" w:rsidRPr="00436BC4" w:rsidRDefault="00000000" w:rsidP="00F16EAA">
                                <w:pPr>
                                  <w:pStyle w:val="NoSpacing"/>
                                  <w:jc w:val="center"/>
                                  <w:rPr>
                                    <w:lang w:val="en-GB"/>
                                  </w:rPr>
                                </w:pPr>
                                <w:sdt>
                                  <w:sdtPr>
                                    <w:rPr>
                                      <w:rStyle w:val="Heading2Char"/>
                                      <w:color w:val="auto"/>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F16EAA" w:rsidRPr="00436BC4">
                                      <w:rPr>
                                        <w:rStyle w:val="Heading2Char"/>
                                        <w:color w:val="auto"/>
                                        <w:lang w:val="en-GB"/>
                                      </w:rPr>
                                      <w:t>A dissertation submitted to the University of Wales Trinity St David in partial fulfilment of the requirements for the degree of MA Celtic Studies</w:t>
                                    </w:r>
                                    <w:r w:rsidR="006F2216">
                                      <w:rPr>
                                        <w:rStyle w:val="Heading2Char"/>
                                        <w:color w:val="auto"/>
                                        <w:lang w:val="en-GB"/>
                                      </w:rPr>
                                      <w:t>,</w:t>
                                    </w:r>
                                    <w:r w:rsidR="00F16EAA" w:rsidRPr="00436BC4">
                                      <w:rPr>
                                        <w:rStyle w:val="Heading2Char"/>
                                        <w:color w:val="auto"/>
                                        <w:lang w:val="en-GB"/>
                                      </w:rPr>
                                      <w:t xml:space="preserve"> 2024</w:t>
                                    </w:r>
                                  </w:sdtContent>
                                </w:sdt>
                                <w:bookmarkEnd w:id="0"/>
                                <w:bookmarkEnd w:id="1"/>
                                <w:bookmarkEnd w:id="2"/>
                                <w:bookmarkEnd w:id="3"/>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273B434" id="_x0000_t202" coordsize="21600,21600" o:spt="202" path="m,l,21600r21600,l21600,xe">
                    <v:stroke joinstyle="miter"/>
                    <v:path gradientshapeok="t" o:connecttype="rect"/>
                  </v:shapetype>
                  <v:shape id="Text Box 44" o:spid="_x0000_s1026" type="#_x0000_t202" style="position:absolute;margin-left:464.8pt;margin-top:652.45pt;width:516pt;height:93.0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9rLXQIAAC4FAAAOAAAAZHJzL2Uyb0RvYy54bWysVN9v2jAQfp+0/8Hy+wi0ouoQoWJUTJNQ&#10;W5VOfTaODdEcn3c2JOyv39lJoGJ76TQhmYvvu1/f3Xl611SGHRT6EmzOR4MhZ8pKKEq7zfn3l+Wn&#10;W858ELYQBqzK+VF5fjf7+GFau4m6gh2YQiEjJ9ZPapfzXQhukmVe7lQl/ACcsqTUgJUI9InbrEBR&#10;k/fKZFfD4U1WAxYOQSrv6fa+VfJZ8q+1kuFRa68CMzmn3EI6MZ2beGazqZhsUbhdKbs0xD9kUYnS&#10;UtCTq3sRBNtj+YerqpQIHnQYSKgy0LqUKtVA1YyGF9Wsd8KpVAuR492JJv//3MqHw9o9IQvNF2io&#10;gZGQ2vmJp8tYT6Oxiv+UKSM9UXg80aaawCRd3ozH19QLziTpRqNb+n2OfrKzuUMfviqoWBRyjtSX&#10;RJc4rHxooT0kRrOwLI1JvTGW1RTiejxMBicNOTc2YlXqcufmnHqSwtGoiDH2WWlWFqmCeJHmSy0M&#10;soOgyRBSKhtS8ckvoSNKUxLvMezw56zeY9zW0UcGG07GVWkBU/UXaRc/+pR1iyfO39QdxdBsmq6l&#10;GyiO1GmEdgm8k8uSurESPjwJpKmnDtImh0c6tAFiHTqJsx3gr7/dRzwNI2k5q2mLcu5/7gUqzsw3&#10;S2MaV64XsBc2vWD31QKI/hG9EU4mkQwwmF7UCNUrLfg8RiGVsJJi5XzTi4vQ7jI9EFLN5wlEi+VE&#10;WNm1k9F17EacrZfmVaDrBjDQ7D5Av19icjGHLTZaWpjvA+gyDWkktGWxI5qWMo1594DErX/7nVDn&#10;Z272GwAA//8DAFBLAwQUAAYACAAAACEAkuKVQ9wAAAALAQAADwAAAGRycy9kb3ducmV2LnhtbEyP&#10;QU/DMAyF70j8h8hIXBBzthXEStOJgTijFbhnjWkrGqdqsq3s1+Od4Ga/Zz1/r1hPvlcHGmMX2MB8&#10;pkER18F13Bj4eH+9fQAVk2Vn+8Bk4IcirMvLi8LmLhx5S4cqNUpCOObWQJvSkCPGuiVv4ywMxOJ9&#10;hdHbJOvYoBvtUcJ9jwut79HbjuVDawd6bqn+rvbewM3p9HI3YPY5esTqLeNNF3BjzPXV9PQIKtGU&#10;/o7hjC/oUArTLuzZRdUbkCJJ1KXOVqDOvl4uRNvJlK3mGrAs8H+H8hcAAP//AwBQSwECLQAUAAYA&#10;CAAAACEAtoM4kv4AAADhAQAAEwAAAAAAAAAAAAAAAAAAAAAAW0NvbnRlbnRfVHlwZXNdLnhtbFBL&#10;AQItABQABgAIAAAAIQA4/SH/1gAAAJQBAAALAAAAAAAAAAAAAAAAAC8BAABfcmVscy8ucmVsc1BL&#10;AQItABQABgAIAAAAIQBo09rLXQIAAC4FAAAOAAAAAAAAAAAAAAAAAC4CAABkcnMvZTJvRG9jLnht&#10;bFBLAQItABQABgAIAAAAIQCS4pVD3AAAAAsBAAAPAAAAAAAAAAAAAAAAALcEAABkcnMvZG93bnJl&#10;di54bWxQSwUGAAAAAAQABADzAAAAwAUAAAAA&#10;" filled="f" stroked="f" strokeweight=".5pt">
                    <v:textbox inset="0,0,0,0">
                      <w:txbxContent>
                        <w:p w14:paraId="5B857980" w14:textId="145BB61D" w:rsidR="0053395C" w:rsidRPr="00436BC4" w:rsidRDefault="0053395C">
                          <w:pPr>
                            <w:pStyle w:val="NoSpacing"/>
                            <w:spacing w:after="40"/>
                            <w:jc w:val="center"/>
                            <w:rPr>
                              <w:caps/>
                              <w:color w:val="4472C4" w:themeColor="accent1"/>
                              <w:sz w:val="28"/>
                              <w:szCs w:val="28"/>
                              <w:lang w:val="en-GB"/>
                            </w:rPr>
                          </w:pPr>
                        </w:p>
                        <w:p w14:paraId="6DC6B527" w14:textId="40FE7A43" w:rsidR="0053395C" w:rsidRPr="00436BC4" w:rsidRDefault="0053395C" w:rsidP="00F16EAA">
                          <w:pPr>
                            <w:pStyle w:val="NoSpacing"/>
                            <w:jc w:val="center"/>
                            <w:rPr>
                              <w:lang w:val="en-GB"/>
                            </w:rPr>
                          </w:pPr>
                          <w:bookmarkStart w:id="4" w:name="_Toc174268506"/>
                        </w:p>
                        <w:p w14:paraId="7B209073" w14:textId="77777777" w:rsidR="0053395C" w:rsidRPr="00436BC4" w:rsidRDefault="0053395C"/>
                        <w:bookmarkStart w:id="5" w:name="_Toc175087219"/>
                        <w:bookmarkStart w:id="6" w:name="_Toc175087417"/>
                        <w:bookmarkStart w:id="7" w:name="_Toc175312177"/>
                        <w:p w14:paraId="6774BD17" w14:textId="12C50252" w:rsidR="0053395C" w:rsidRPr="00436BC4" w:rsidRDefault="00000000" w:rsidP="00F16EAA">
                          <w:pPr>
                            <w:pStyle w:val="NoSpacing"/>
                            <w:jc w:val="center"/>
                            <w:rPr>
                              <w:lang w:val="en-GB"/>
                            </w:rPr>
                          </w:pPr>
                          <w:sdt>
                            <w:sdtPr>
                              <w:rPr>
                                <w:rStyle w:val="Heading2Char"/>
                                <w:color w:val="auto"/>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F16EAA" w:rsidRPr="00436BC4">
                                <w:rPr>
                                  <w:rStyle w:val="Heading2Char"/>
                                  <w:color w:val="auto"/>
                                  <w:lang w:val="en-GB"/>
                                </w:rPr>
                                <w:t>A dissertation submitted to the University of Wales Trinity St David in partial fulfilment of the requirements for the degree of MA Celtic Studies</w:t>
                              </w:r>
                              <w:r w:rsidR="006F2216">
                                <w:rPr>
                                  <w:rStyle w:val="Heading2Char"/>
                                  <w:color w:val="auto"/>
                                  <w:lang w:val="en-GB"/>
                                </w:rPr>
                                <w:t>,</w:t>
                              </w:r>
                              <w:r w:rsidR="00F16EAA" w:rsidRPr="00436BC4">
                                <w:rPr>
                                  <w:rStyle w:val="Heading2Char"/>
                                  <w:color w:val="auto"/>
                                  <w:lang w:val="en-GB"/>
                                </w:rPr>
                                <w:t xml:space="preserve"> 2024</w:t>
                              </w:r>
                            </w:sdtContent>
                          </w:sdt>
                          <w:bookmarkEnd w:id="4"/>
                          <w:bookmarkEnd w:id="5"/>
                          <w:bookmarkEnd w:id="6"/>
                          <w:bookmarkEnd w:id="7"/>
                        </w:p>
                      </w:txbxContent>
                    </v:textbox>
                    <w10:wrap anchorx="margin" anchory="page"/>
                  </v:shape>
                </w:pict>
              </mc:Fallback>
            </mc:AlternateContent>
          </w:r>
          <w:r w:rsidR="0053395C" w:rsidRPr="00436BC4">
            <w:rPr>
              <w:u w:val="single"/>
            </w:rPr>
            <w:br w:type="page"/>
          </w:r>
        </w:p>
        <w:p w14:paraId="297D0DB8" w14:textId="53BCE9DA" w:rsidR="006F2216" w:rsidRPr="00951BBF" w:rsidRDefault="006F2216" w:rsidP="006F2216">
          <w:pPr>
            <w:spacing w:after="120"/>
            <w:rPr>
              <w:rFonts w:ascii="Arial" w:hAnsi="Arial" w:cs="Arial"/>
            </w:rPr>
          </w:pPr>
          <w:r>
            <w:rPr>
              <w:rFonts w:ascii="Arial" w:hAnsi="Arial" w:cs="Arial"/>
              <w:noProof/>
            </w:rPr>
            <w:lastRenderedPageBreak/>
            <w:drawing>
              <wp:inline distT="0" distB="0" distL="0" distR="0" wp14:anchorId="1E9EB07E" wp14:editId="48E5A5EB">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D8420F6"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0F16466"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17A5472B"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3AA7F33F"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Colin C. Audigé-Soutter</w:t>
          </w:r>
          <w:r w:rsidRPr="00951BBF">
            <w:rPr>
              <w:rFonts w:ascii="Arial" w:hAnsi="Arial" w:cs="Arial"/>
            </w:rPr>
            <w:t>……………………………...</w:t>
          </w:r>
        </w:p>
        <w:p w14:paraId="582B7B52"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23</w:t>
          </w:r>
          <w:r w:rsidRPr="00F51D8D">
            <w:rPr>
              <w:rFonts w:ascii="Arial" w:hAnsi="Arial" w:cs="Arial"/>
              <w:vertAlign w:val="superscript"/>
            </w:rPr>
            <w:t>rd</w:t>
          </w:r>
          <w:r>
            <w:rPr>
              <w:rFonts w:ascii="Arial" w:hAnsi="Arial" w:cs="Arial"/>
            </w:rPr>
            <w:t xml:space="preserve"> of August 2024</w:t>
          </w:r>
          <w:r w:rsidRPr="00951BBF">
            <w:rPr>
              <w:rFonts w:ascii="Arial" w:hAnsi="Arial" w:cs="Arial"/>
            </w:rPr>
            <w:t>……………………………………………………...</w:t>
          </w:r>
        </w:p>
        <w:p w14:paraId="1726E4EA"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A289C9B"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Pr>
              <w:rFonts w:ascii="Arial" w:hAnsi="Arial" w:cs="Arial"/>
            </w:rPr>
            <w:t>Master of Arts in Celtic Studies</w:t>
          </w:r>
          <w:r w:rsidRPr="00951BBF">
            <w:rPr>
              <w:rFonts w:ascii="Arial" w:hAnsi="Arial" w:cs="Arial"/>
            </w:rPr>
            <w:t>……..................................</w:t>
          </w:r>
        </w:p>
        <w:p w14:paraId="130CB79C"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r w:rsidRPr="00F51D8D">
            <w:rPr>
              <w:rFonts w:ascii="Arial" w:hAnsi="Arial" w:cs="Arial"/>
            </w:rPr>
            <w:t xml:space="preserve"> </w:t>
          </w:r>
          <w:r>
            <w:rPr>
              <w:rFonts w:ascii="Arial" w:hAnsi="Arial" w:cs="Arial"/>
            </w:rPr>
            <w:t>Colin C. Audigé-Soutter</w:t>
          </w:r>
          <w:r w:rsidRPr="00951BBF">
            <w:rPr>
              <w:rFonts w:ascii="Arial" w:hAnsi="Arial" w:cs="Arial"/>
            </w:rPr>
            <w:t xml:space="preserve"> …………………………………….</w:t>
          </w:r>
        </w:p>
        <w:p w14:paraId="69EC9238"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23</w:t>
          </w:r>
          <w:r w:rsidRPr="00F51D8D">
            <w:rPr>
              <w:rFonts w:ascii="Arial" w:hAnsi="Arial" w:cs="Arial"/>
              <w:vertAlign w:val="superscript"/>
            </w:rPr>
            <w:t>rd</w:t>
          </w:r>
          <w:r>
            <w:rPr>
              <w:rFonts w:ascii="Arial" w:hAnsi="Arial" w:cs="Arial"/>
            </w:rPr>
            <w:t xml:space="preserve"> of August 2024</w:t>
          </w:r>
          <w:r w:rsidRPr="00951BBF">
            <w:rPr>
              <w:rFonts w:ascii="Arial" w:hAnsi="Arial" w:cs="Arial"/>
            </w:rPr>
            <w:t>………………….…………..…………...</w:t>
          </w:r>
        </w:p>
        <w:p w14:paraId="33B2512D"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AE0F53A"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32C8FA9"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5F8FF4D9"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30B11A5A"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Pr="00F51D8D">
            <w:rPr>
              <w:rFonts w:ascii="Arial" w:hAnsi="Arial" w:cs="Arial"/>
            </w:rPr>
            <w:t xml:space="preserve"> Colin C. Audigé-Soutter </w:t>
          </w:r>
          <w:r w:rsidRPr="00951BBF">
            <w:rPr>
              <w:rFonts w:ascii="Arial" w:hAnsi="Arial" w:cs="Arial"/>
            </w:rPr>
            <w:t>……………………….……………….</w:t>
          </w:r>
        </w:p>
        <w:p w14:paraId="154CC04C"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Pr="00F51D8D">
            <w:rPr>
              <w:rFonts w:ascii="Arial" w:hAnsi="Arial" w:cs="Arial"/>
            </w:rPr>
            <w:t>23</w:t>
          </w:r>
          <w:r w:rsidRPr="00F51D8D">
            <w:rPr>
              <w:rFonts w:ascii="Arial" w:hAnsi="Arial" w:cs="Arial"/>
              <w:vertAlign w:val="superscript"/>
            </w:rPr>
            <w:t>rd</w:t>
          </w:r>
          <w:r w:rsidRPr="00F51D8D">
            <w:rPr>
              <w:rFonts w:ascii="Arial" w:hAnsi="Arial" w:cs="Arial"/>
            </w:rPr>
            <w:t xml:space="preserve"> of August 2024</w:t>
          </w:r>
          <w:r w:rsidRPr="00951BBF">
            <w:rPr>
              <w:rFonts w:ascii="Arial" w:hAnsi="Arial" w:cs="Arial"/>
            </w:rPr>
            <w:t>………………...……………………….</w:t>
          </w:r>
        </w:p>
        <w:p w14:paraId="3C79CFAB"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2820A578"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778B7FA"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Pr="00F51D8D">
            <w:rPr>
              <w:rFonts w:ascii="Arial" w:hAnsi="Arial" w:cs="Arial"/>
            </w:rPr>
            <w:t xml:space="preserve"> Colin C. Audigé-Soutter </w:t>
          </w:r>
          <w:r w:rsidRPr="00951BBF">
            <w:rPr>
              <w:rFonts w:ascii="Arial" w:hAnsi="Arial" w:cs="Arial"/>
            </w:rPr>
            <w:t>……………………………….</w:t>
          </w:r>
        </w:p>
        <w:p w14:paraId="3D369AF5"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23</w:t>
          </w:r>
          <w:r w:rsidRPr="00F51D8D">
            <w:rPr>
              <w:rFonts w:ascii="Arial" w:hAnsi="Arial" w:cs="Arial"/>
              <w:vertAlign w:val="superscript"/>
            </w:rPr>
            <w:t>rd</w:t>
          </w:r>
          <w:r>
            <w:rPr>
              <w:rFonts w:ascii="Arial" w:hAnsi="Arial" w:cs="Arial"/>
            </w:rPr>
            <w:t xml:space="preserve"> of August 2024</w:t>
          </w:r>
          <w:r w:rsidRPr="00951BBF">
            <w:rPr>
              <w:rFonts w:ascii="Arial" w:hAnsi="Arial" w:cs="Arial"/>
            </w:rPr>
            <w:t>……………….……………………………..</w:t>
          </w:r>
        </w:p>
        <w:p w14:paraId="72E37820"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1B845CA3"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FE29A2E" w14:textId="77777777" w:rsidR="006F2216" w:rsidRPr="00951BBF" w:rsidRDefault="006F2216" w:rsidP="006F221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73419CB1" w14:textId="77777777" w:rsidR="006F2216" w:rsidRDefault="006F2216" w:rsidP="006F2216">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3725252B" w14:textId="77777777" w:rsidR="006F2216" w:rsidRDefault="006F2216" w:rsidP="006F2216"/>
        <w:p w14:paraId="1EEBEEED" w14:textId="4DD165A5" w:rsidR="00C04CF4" w:rsidRDefault="00000000" w:rsidP="00752BE8">
          <w:pPr>
            <w:spacing w:line="480" w:lineRule="auto"/>
            <w:rPr>
              <w:u w:val="single"/>
            </w:rPr>
          </w:pPr>
        </w:p>
      </w:sdtContent>
    </w:sdt>
    <w:sdt>
      <w:sdtPr>
        <w:rPr>
          <w:rFonts w:asciiTheme="minorHAnsi" w:eastAsiaTheme="minorHAnsi" w:hAnsiTheme="minorHAnsi" w:cstheme="minorBidi"/>
          <w:color w:val="auto"/>
          <w:kern w:val="2"/>
          <w:sz w:val="22"/>
          <w:szCs w:val="22"/>
          <w:lang w:val="en-GB"/>
          <w14:ligatures w14:val="standardContextual"/>
        </w:rPr>
        <w:id w:val="1088508968"/>
        <w:docPartObj>
          <w:docPartGallery w:val="Table of Contents"/>
          <w:docPartUnique/>
        </w:docPartObj>
      </w:sdtPr>
      <w:sdtEndPr>
        <w:rPr>
          <w:b/>
          <w:bCs/>
        </w:rPr>
      </w:sdtEndPr>
      <w:sdtContent>
        <w:p w14:paraId="154DF36C" w14:textId="77777777" w:rsidR="006915EA" w:rsidRDefault="006915EA" w:rsidP="006915EA">
          <w:pPr>
            <w:pStyle w:val="TOCHeading"/>
            <w:rPr>
              <w:lang w:val="en-GB"/>
            </w:rPr>
          </w:pPr>
          <w:r w:rsidRPr="00436BC4">
            <w:rPr>
              <w:lang w:val="en-GB"/>
            </w:rPr>
            <w:t>Contents</w:t>
          </w:r>
        </w:p>
        <w:p w14:paraId="57FB8874" w14:textId="77777777" w:rsidR="004A0F50" w:rsidRPr="004A0F50" w:rsidRDefault="004A0F50" w:rsidP="004A0F50"/>
        <w:p w14:paraId="1A40502F" w14:textId="745D1CAA" w:rsidR="006F2216" w:rsidRPr="006F2216" w:rsidRDefault="006915EA" w:rsidP="006F2216">
          <w:pPr>
            <w:pStyle w:val="TOC2"/>
            <w:tabs>
              <w:tab w:val="right" w:leader="dot" w:pos="9016"/>
            </w:tabs>
            <w:rPr>
              <w:noProof/>
            </w:rPr>
          </w:pPr>
          <w:r w:rsidRPr="00436BC4">
            <w:fldChar w:fldCharType="begin"/>
          </w:r>
          <w:r w:rsidRPr="00436BC4">
            <w:instrText xml:space="preserve"> TOC \o "1-3" \h \z \u </w:instrText>
          </w:r>
          <w:r w:rsidRPr="00436BC4">
            <w:fldChar w:fldCharType="separate"/>
          </w:r>
          <w:hyperlink w:anchor="_Toc175312177" w:history="1">
            <w:r w:rsidR="006F2216" w:rsidRPr="002272B6">
              <w:rPr>
                <w:rStyle w:val="Hyperlink"/>
                <w:noProof/>
                <w:kern w:val="0"/>
                <w14:ligatures w14:val="none"/>
              </w:rPr>
              <w:t>A dissertation submitted to the University of Wales Trinity St David in partial fulfilment of the requirements for the degree of MA (Celtic Studies), 2024</w:t>
            </w:r>
            <w:r w:rsidR="006F2216">
              <w:rPr>
                <w:noProof/>
                <w:webHidden/>
              </w:rPr>
              <w:tab/>
            </w:r>
            <w:r w:rsidR="006F2216">
              <w:rPr>
                <w:noProof/>
                <w:webHidden/>
              </w:rPr>
              <w:fldChar w:fldCharType="begin"/>
            </w:r>
            <w:r w:rsidR="006F2216">
              <w:rPr>
                <w:noProof/>
                <w:webHidden/>
              </w:rPr>
              <w:instrText xml:space="preserve"> PAGEREF _Toc175312177 \h </w:instrText>
            </w:r>
            <w:r w:rsidR="006F2216">
              <w:rPr>
                <w:noProof/>
                <w:webHidden/>
              </w:rPr>
            </w:r>
            <w:r w:rsidR="006F2216">
              <w:rPr>
                <w:noProof/>
                <w:webHidden/>
              </w:rPr>
              <w:fldChar w:fldCharType="separate"/>
            </w:r>
            <w:r w:rsidR="006F2216">
              <w:rPr>
                <w:noProof/>
                <w:webHidden/>
              </w:rPr>
              <w:t>0</w:t>
            </w:r>
            <w:r w:rsidR="006F2216">
              <w:rPr>
                <w:noProof/>
                <w:webHidden/>
              </w:rPr>
              <w:fldChar w:fldCharType="end"/>
            </w:r>
          </w:hyperlink>
        </w:p>
        <w:p w14:paraId="3050E362" w14:textId="4BACE58F" w:rsidR="006F2216" w:rsidRDefault="00000000">
          <w:pPr>
            <w:pStyle w:val="TOC2"/>
            <w:tabs>
              <w:tab w:val="right" w:leader="dot" w:pos="9016"/>
            </w:tabs>
            <w:rPr>
              <w:rFonts w:eastAsiaTheme="minorEastAsia"/>
              <w:noProof/>
              <w:sz w:val="24"/>
              <w:szCs w:val="24"/>
              <w:lang w:eastAsia="en-GB"/>
            </w:rPr>
          </w:pPr>
          <w:hyperlink w:anchor="_Toc175312178" w:history="1">
            <w:r w:rsidR="006F2216" w:rsidRPr="002272B6">
              <w:rPr>
                <w:rStyle w:val="Hyperlink"/>
                <w:noProof/>
              </w:rPr>
              <w:t>Acknowledgements</w:t>
            </w:r>
            <w:r w:rsidR="006F2216">
              <w:rPr>
                <w:noProof/>
                <w:webHidden/>
              </w:rPr>
              <w:tab/>
            </w:r>
            <w:r w:rsidR="006F2216">
              <w:rPr>
                <w:noProof/>
                <w:webHidden/>
              </w:rPr>
              <w:fldChar w:fldCharType="begin"/>
            </w:r>
            <w:r w:rsidR="006F2216">
              <w:rPr>
                <w:noProof/>
                <w:webHidden/>
              </w:rPr>
              <w:instrText xml:space="preserve"> PAGEREF _Toc175312178 \h </w:instrText>
            </w:r>
            <w:r w:rsidR="006F2216">
              <w:rPr>
                <w:noProof/>
                <w:webHidden/>
              </w:rPr>
            </w:r>
            <w:r w:rsidR="006F2216">
              <w:rPr>
                <w:noProof/>
                <w:webHidden/>
              </w:rPr>
              <w:fldChar w:fldCharType="separate"/>
            </w:r>
            <w:r w:rsidR="006F2216">
              <w:rPr>
                <w:noProof/>
                <w:webHidden/>
              </w:rPr>
              <w:t>3</w:t>
            </w:r>
            <w:r w:rsidR="006F2216">
              <w:rPr>
                <w:noProof/>
                <w:webHidden/>
              </w:rPr>
              <w:fldChar w:fldCharType="end"/>
            </w:r>
          </w:hyperlink>
        </w:p>
        <w:p w14:paraId="2A2FE4F2" w14:textId="6A239819" w:rsidR="006F2216" w:rsidRDefault="00000000">
          <w:pPr>
            <w:pStyle w:val="TOC2"/>
            <w:tabs>
              <w:tab w:val="right" w:leader="dot" w:pos="9016"/>
            </w:tabs>
            <w:rPr>
              <w:rFonts w:eastAsiaTheme="minorEastAsia"/>
              <w:noProof/>
              <w:sz w:val="24"/>
              <w:szCs w:val="24"/>
              <w:lang w:eastAsia="en-GB"/>
            </w:rPr>
          </w:pPr>
          <w:hyperlink w:anchor="_Toc175312179" w:history="1">
            <w:r w:rsidR="006F2216" w:rsidRPr="002272B6">
              <w:rPr>
                <w:rStyle w:val="Hyperlink"/>
                <w:noProof/>
              </w:rPr>
              <w:t>Abstract</w:t>
            </w:r>
            <w:r w:rsidR="006F2216">
              <w:rPr>
                <w:noProof/>
                <w:webHidden/>
              </w:rPr>
              <w:tab/>
            </w:r>
            <w:r w:rsidR="006F2216">
              <w:rPr>
                <w:noProof/>
                <w:webHidden/>
              </w:rPr>
              <w:fldChar w:fldCharType="begin"/>
            </w:r>
            <w:r w:rsidR="006F2216">
              <w:rPr>
                <w:noProof/>
                <w:webHidden/>
              </w:rPr>
              <w:instrText xml:space="preserve"> PAGEREF _Toc175312179 \h </w:instrText>
            </w:r>
            <w:r w:rsidR="006F2216">
              <w:rPr>
                <w:noProof/>
                <w:webHidden/>
              </w:rPr>
            </w:r>
            <w:r w:rsidR="006F2216">
              <w:rPr>
                <w:noProof/>
                <w:webHidden/>
              </w:rPr>
              <w:fldChar w:fldCharType="separate"/>
            </w:r>
            <w:r w:rsidR="006F2216">
              <w:rPr>
                <w:noProof/>
                <w:webHidden/>
              </w:rPr>
              <w:t>4</w:t>
            </w:r>
            <w:r w:rsidR="006F2216">
              <w:rPr>
                <w:noProof/>
                <w:webHidden/>
              </w:rPr>
              <w:fldChar w:fldCharType="end"/>
            </w:r>
          </w:hyperlink>
        </w:p>
        <w:p w14:paraId="0A6ED030" w14:textId="39BF4426" w:rsidR="006F2216" w:rsidRDefault="00000000">
          <w:pPr>
            <w:pStyle w:val="TOC2"/>
            <w:tabs>
              <w:tab w:val="right" w:leader="dot" w:pos="9016"/>
            </w:tabs>
            <w:rPr>
              <w:rFonts w:eastAsiaTheme="minorEastAsia"/>
              <w:noProof/>
              <w:sz w:val="24"/>
              <w:szCs w:val="24"/>
              <w:lang w:eastAsia="en-GB"/>
            </w:rPr>
          </w:pPr>
          <w:hyperlink w:anchor="_Toc175312180" w:history="1">
            <w:r w:rsidR="006F2216" w:rsidRPr="002272B6">
              <w:rPr>
                <w:rStyle w:val="Hyperlink"/>
                <w:noProof/>
              </w:rPr>
              <w:t>Introduction</w:t>
            </w:r>
            <w:r w:rsidR="006F2216">
              <w:rPr>
                <w:noProof/>
                <w:webHidden/>
              </w:rPr>
              <w:tab/>
            </w:r>
            <w:r w:rsidR="006F2216">
              <w:rPr>
                <w:noProof/>
                <w:webHidden/>
              </w:rPr>
              <w:fldChar w:fldCharType="begin"/>
            </w:r>
            <w:r w:rsidR="006F2216">
              <w:rPr>
                <w:noProof/>
                <w:webHidden/>
              </w:rPr>
              <w:instrText xml:space="preserve"> PAGEREF _Toc175312180 \h </w:instrText>
            </w:r>
            <w:r w:rsidR="006F2216">
              <w:rPr>
                <w:noProof/>
                <w:webHidden/>
              </w:rPr>
            </w:r>
            <w:r w:rsidR="006F2216">
              <w:rPr>
                <w:noProof/>
                <w:webHidden/>
              </w:rPr>
              <w:fldChar w:fldCharType="separate"/>
            </w:r>
            <w:r w:rsidR="006F2216">
              <w:rPr>
                <w:noProof/>
                <w:webHidden/>
              </w:rPr>
              <w:t>5</w:t>
            </w:r>
            <w:r w:rsidR="006F2216">
              <w:rPr>
                <w:noProof/>
                <w:webHidden/>
              </w:rPr>
              <w:fldChar w:fldCharType="end"/>
            </w:r>
          </w:hyperlink>
        </w:p>
        <w:p w14:paraId="583584B9" w14:textId="76C14D42" w:rsidR="006F2216" w:rsidRDefault="00000000">
          <w:pPr>
            <w:pStyle w:val="TOC2"/>
            <w:tabs>
              <w:tab w:val="right" w:leader="dot" w:pos="9016"/>
            </w:tabs>
            <w:rPr>
              <w:rFonts w:eastAsiaTheme="minorEastAsia"/>
              <w:noProof/>
              <w:sz w:val="24"/>
              <w:szCs w:val="24"/>
              <w:lang w:eastAsia="en-GB"/>
            </w:rPr>
          </w:pPr>
          <w:hyperlink w:anchor="_Toc175312181" w:history="1">
            <w:r w:rsidR="006F2216" w:rsidRPr="002272B6">
              <w:rPr>
                <w:rStyle w:val="Hyperlink"/>
                <w:noProof/>
              </w:rPr>
              <w:t>What is ‘Queer Theory’?</w:t>
            </w:r>
            <w:r w:rsidR="006F2216">
              <w:rPr>
                <w:noProof/>
                <w:webHidden/>
              </w:rPr>
              <w:tab/>
            </w:r>
            <w:r w:rsidR="006F2216">
              <w:rPr>
                <w:noProof/>
                <w:webHidden/>
              </w:rPr>
              <w:fldChar w:fldCharType="begin"/>
            </w:r>
            <w:r w:rsidR="006F2216">
              <w:rPr>
                <w:noProof/>
                <w:webHidden/>
              </w:rPr>
              <w:instrText xml:space="preserve"> PAGEREF _Toc175312181 \h </w:instrText>
            </w:r>
            <w:r w:rsidR="006F2216">
              <w:rPr>
                <w:noProof/>
                <w:webHidden/>
              </w:rPr>
            </w:r>
            <w:r w:rsidR="006F2216">
              <w:rPr>
                <w:noProof/>
                <w:webHidden/>
              </w:rPr>
              <w:fldChar w:fldCharType="separate"/>
            </w:r>
            <w:r w:rsidR="006F2216">
              <w:rPr>
                <w:noProof/>
                <w:webHidden/>
              </w:rPr>
              <w:t>12</w:t>
            </w:r>
            <w:r w:rsidR="006F2216">
              <w:rPr>
                <w:noProof/>
                <w:webHidden/>
              </w:rPr>
              <w:fldChar w:fldCharType="end"/>
            </w:r>
          </w:hyperlink>
        </w:p>
        <w:p w14:paraId="18318B65" w14:textId="13D519E1" w:rsidR="006F2216" w:rsidRDefault="00000000">
          <w:pPr>
            <w:pStyle w:val="TOC3"/>
            <w:tabs>
              <w:tab w:val="left" w:pos="960"/>
              <w:tab w:val="right" w:leader="dot" w:pos="9016"/>
            </w:tabs>
            <w:rPr>
              <w:rFonts w:eastAsiaTheme="minorEastAsia"/>
              <w:noProof/>
              <w:sz w:val="24"/>
              <w:szCs w:val="24"/>
              <w:lang w:eastAsia="en-GB"/>
            </w:rPr>
          </w:pPr>
          <w:hyperlink w:anchor="_Toc175312182" w:history="1">
            <w:r w:rsidR="006F2216" w:rsidRPr="002272B6">
              <w:rPr>
                <w:rStyle w:val="Hyperlink"/>
                <w:noProof/>
              </w:rPr>
              <w:t>1.</w:t>
            </w:r>
            <w:r w:rsidR="006F2216">
              <w:rPr>
                <w:rFonts w:eastAsiaTheme="minorEastAsia"/>
                <w:noProof/>
                <w:sz w:val="24"/>
                <w:szCs w:val="24"/>
                <w:lang w:eastAsia="en-GB"/>
              </w:rPr>
              <w:tab/>
            </w:r>
            <w:r w:rsidR="006F2216" w:rsidRPr="002272B6">
              <w:rPr>
                <w:rStyle w:val="Hyperlink"/>
                <w:noProof/>
              </w:rPr>
              <w:t>Definition and Background</w:t>
            </w:r>
            <w:r w:rsidR="006F2216">
              <w:rPr>
                <w:noProof/>
                <w:webHidden/>
              </w:rPr>
              <w:tab/>
            </w:r>
            <w:r w:rsidR="006F2216">
              <w:rPr>
                <w:noProof/>
                <w:webHidden/>
              </w:rPr>
              <w:fldChar w:fldCharType="begin"/>
            </w:r>
            <w:r w:rsidR="006F2216">
              <w:rPr>
                <w:noProof/>
                <w:webHidden/>
              </w:rPr>
              <w:instrText xml:space="preserve"> PAGEREF _Toc175312182 \h </w:instrText>
            </w:r>
            <w:r w:rsidR="006F2216">
              <w:rPr>
                <w:noProof/>
                <w:webHidden/>
              </w:rPr>
            </w:r>
            <w:r w:rsidR="006F2216">
              <w:rPr>
                <w:noProof/>
                <w:webHidden/>
              </w:rPr>
              <w:fldChar w:fldCharType="separate"/>
            </w:r>
            <w:r w:rsidR="006F2216">
              <w:rPr>
                <w:noProof/>
                <w:webHidden/>
              </w:rPr>
              <w:t>12</w:t>
            </w:r>
            <w:r w:rsidR="006F2216">
              <w:rPr>
                <w:noProof/>
                <w:webHidden/>
              </w:rPr>
              <w:fldChar w:fldCharType="end"/>
            </w:r>
          </w:hyperlink>
        </w:p>
        <w:p w14:paraId="3FBD6188" w14:textId="3D80B3A1" w:rsidR="006F2216" w:rsidRDefault="00000000">
          <w:pPr>
            <w:pStyle w:val="TOC3"/>
            <w:tabs>
              <w:tab w:val="left" w:pos="960"/>
              <w:tab w:val="right" w:leader="dot" w:pos="9016"/>
            </w:tabs>
            <w:rPr>
              <w:rFonts w:eastAsiaTheme="minorEastAsia"/>
              <w:noProof/>
              <w:sz w:val="24"/>
              <w:szCs w:val="24"/>
              <w:lang w:eastAsia="en-GB"/>
            </w:rPr>
          </w:pPr>
          <w:hyperlink w:anchor="_Toc175312183" w:history="1">
            <w:r w:rsidR="006F2216" w:rsidRPr="002272B6">
              <w:rPr>
                <w:rStyle w:val="Hyperlink"/>
                <w:noProof/>
              </w:rPr>
              <w:t>2.</w:t>
            </w:r>
            <w:r w:rsidR="006F2216">
              <w:rPr>
                <w:rFonts w:eastAsiaTheme="minorEastAsia"/>
                <w:noProof/>
                <w:sz w:val="24"/>
                <w:szCs w:val="24"/>
                <w:lang w:eastAsia="en-GB"/>
              </w:rPr>
              <w:tab/>
            </w:r>
            <w:r w:rsidR="006F2216" w:rsidRPr="002272B6">
              <w:rPr>
                <w:rStyle w:val="Hyperlink"/>
                <w:noProof/>
              </w:rPr>
              <w:t>Gender, Normativity, and Heteronormativity</w:t>
            </w:r>
            <w:r w:rsidR="006F2216">
              <w:rPr>
                <w:noProof/>
                <w:webHidden/>
              </w:rPr>
              <w:tab/>
            </w:r>
            <w:r w:rsidR="006F2216">
              <w:rPr>
                <w:noProof/>
                <w:webHidden/>
              </w:rPr>
              <w:fldChar w:fldCharType="begin"/>
            </w:r>
            <w:r w:rsidR="006F2216">
              <w:rPr>
                <w:noProof/>
                <w:webHidden/>
              </w:rPr>
              <w:instrText xml:space="preserve"> PAGEREF _Toc175312183 \h </w:instrText>
            </w:r>
            <w:r w:rsidR="006F2216">
              <w:rPr>
                <w:noProof/>
                <w:webHidden/>
              </w:rPr>
            </w:r>
            <w:r w:rsidR="006F2216">
              <w:rPr>
                <w:noProof/>
                <w:webHidden/>
              </w:rPr>
              <w:fldChar w:fldCharType="separate"/>
            </w:r>
            <w:r w:rsidR="006F2216">
              <w:rPr>
                <w:noProof/>
                <w:webHidden/>
              </w:rPr>
              <w:t>13</w:t>
            </w:r>
            <w:r w:rsidR="006F2216">
              <w:rPr>
                <w:noProof/>
                <w:webHidden/>
              </w:rPr>
              <w:fldChar w:fldCharType="end"/>
            </w:r>
          </w:hyperlink>
        </w:p>
        <w:p w14:paraId="5F536EF4" w14:textId="78296AEC" w:rsidR="006F2216" w:rsidRDefault="00000000">
          <w:pPr>
            <w:pStyle w:val="TOC3"/>
            <w:tabs>
              <w:tab w:val="left" w:pos="960"/>
              <w:tab w:val="right" w:leader="dot" w:pos="9016"/>
            </w:tabs>
            <w:rPr>
              <w:rFonts w:eastAsiaTheme="minorEastAsia"/>
              <w:noProof/>
              <w:sz w:val="24"/>
              <w:szCs w:val="24"/>
              <w:lang w:eastAsia="en-GB"/>
            </w:rPr>
          </w:pPr>
          <w:hyperlink w:anchor="_Toc175312184" w:history="1">
            <w:r w:rsidR="006F2216" w:rsidRPr="002272B6">
              <w:rPr>
                <w:rStyle w:val="Hyperlink"/>
                <w:noProof/>
              </w:rPr>
              <w:t>3.</w:t>
            </w:r>
            <w:r w:rsidR="006F2216">
              <w:rPr>
                <w:rFonts w:eastAsiaTheme="minorEastAsia"/>
                <w:noProof/>
                <w:sz w:val="24"/>
                <w:szCs w:val="24"/>
                <w:lang w:eastAsia="en-GB"/>
              </w:rPr>
              <w:tab/>
            </w:r>
            <w:r w:rsidR="006F2216" w:rsidRPr="002272B6">
              <w:rPr>
                <w:rStyle w:val="Hyperlink"/>
                <w:noProof/>
              </w:rPr>
              <w:t>Queer Temporality</w:t>
            </w:r>
            <w:r w:rsidR="006F2216">
              <w:rPr>
                <w:noProof/>
                <w:webHidden/>
              </w:rPr>
              <w:tab/>
            </w:r>
            <w:r w:rsidR="006F2216">
              <w:rPr>
                <w:noProof/>
                <w:webHidden/>
              </w:rPr>
              <w:fldChar w:fldCharType="begin"/>
            </w:r>
            <w:r w:rsidR="006F2216">
              <w:rPr>
                <w:noProof/>
                <w:webHidden/>
              </w:rPr>
              <w:instrText xml:space="preserve"> PAGEREF _Toc175312184 \h </w:instrText>
            </w:r>
            <w:r w:rsidR="006F2216">
              <w:rPr>
                <w:noProof/>
                <w:webHidden/>
              </w:rPr>
            </w:r>
            <w:r w:rsidR="006F2216">
              <w:rPr>
                <w:noProof/>
                <w:webHidden/>
              </w:rPr>
              <w:fldChar w:fldCharType="separate"/>
            </w:r>
            <w:r w:rsidR="006F2216">
              <w:rPr>
                <w:noProof/>
                <w:webHidden/>
              </w:rPr>
              <w:t>15</w:t>
            </w:r>
            <w:r w:rsidR="006F2216">
              <w:rPr>
                <w:noProof/>
                <w:webHidden/>
              </w:rPr>
              <w:fldChar w:fldCharType="end"/>
            </w:r>
          </w:hyperlink>
        </w:p>
        <w:p w14:paraId="1ED46A99" w14:textId="10AF767A" w:rsidR="006F2216" w:rsidRDefault="00000000">
          <w:pPr>
            <w:pStyle w:val="TOC3"/>
            <w:tabs>
              <w:tab w:val="left" w:pos="960"/>
              <w:tab w:val="right" w:leader="dot" w:pos="9016"/>
            </w:tabs>
            <w:rPr>
              <w:rFonts w:eastAsiaTheme="minorEastAsia"/>
              <w:noProof/>
              <w:sz w:val="24"/>
              <w:szCs w:val="24"/>
              <w:lang w:eastAsia="en-GB"/>
            </w:rPr>
          </w:pPr>
          <w:hyperlink w:anchor="_Toc175312185" w:history="1">
            <w:r w:rsidR="006F2216" w:rsidRPr="002272B6">
              <w:rPr>
                <w:rStyle w:val="Hyperlink"/>
                <w:noProof/>
              </w:rPr>
              <w:t>4.</w:t>
            </w:r>
            <w:r w:rsidR="006F2216">
              <w:rPr>
                <w:rFonts w:eastAsiaTheme="minorEastAsia"/>
                <w:noProof/>
                <w:sz w:val="24"/>
                <w:szCs w:val="24"/>
                <w:lang w:eastAsia="en-GB"/>
              </w:rPr>
              <w:tab/>
            </w:r>
            <w:r w:rsidR="006F2216" w:rsidRPr="002272B6">
              <w:rPr>
                <w:rStyle w:val="Hyperlink"/>
                <w:noProof/>
              </w:rPr>
              <w:t>The Anti-Social Thesis, No Future, and the Figure of ‘The Child’</w:t>
            </w:r>
            <w:r w:rsidR="006F2216">
              <w:rPr>
                <w:noProof/>
                <w:webHidden/>
              </w:rPr>
              <w:tab/>
            </w:r>
            <w:r w:rsidR="006F2216">
              <w:rPr>
                <w:noProof/>
                <w:webHidden/>
              </w:rPr>
              <w:fldChar w:fldCharType="begin"/>
            </w:r>
            <w:r w:rsidR="006F2216">
              <w:rPr>
                <w:noProof/>
                <w:webHidden/>
              </w:rPr>
              <w:instrText xml:space="preserve"> PAGEREF _Toc175312185 \h </w:instrText>
            </w:r>
            <w:r w:rsidR="006F2216">
              <w:rPr>
                <w:noProof/>
                <w:webHidden/>
              </w:rPr>
            </w:r>
            <w:r w:rsidR="006F2216">
              <w:rPr>
                <w:noProof/>
                <w:webHidden/>
              </w:rPr>
              <w:fldChar w:fldCharType="separate"/>
            </w:r>
            <w:r w:rsidR="006F2216">
              <w:rPr>
                <w:noProof/>
                <w:webHidden/>
              </w:rPr>
              <w:t>18</w:t>
            </w:r>
            <w:r w:rsidR="006F2216">
              <w:rPr>
                <w:noProof/>
                <w:webHidden/>
              </w:rPr>
              <w:fldChar w:fldCharType="end"/>
            </w:r>
          </w:hyperlink>
        </w:p>
        <w:p w14:paraId="560A2EE5" w14:textId="11EA1523" w:rsidR="006F2216" w:rsidRDefault="00000000">
          <w:pPr>
            <w:pStyle w:val="TOC3"/>
            <w:tabs>
              <w:tab w:val="left" w:pos="960"/>
              <w:tab w:val="right" w:leader="dot" w:pos="9016"/>
            </w:tabs>
            <w:rPr>
              <w:rFonts w:eastAsiaTheme="minorEastAsia"/>
              <w:noProof/>
              <w:sz w:val="24"/>
              <w:szCs w:val="24"/>
              <w:lang w:eastAsia="en-GB"/>
            </w:rPr>
          </w:pPr>
          <w:hyperlink w:anchor="_Toc175312186" w:history="1">
            <w:r w:rsidR="006F2216" w:rsidRPr="002272B6">
              <w:rPr>
                <w:rStyle w:val="Hyperlink"/>
                <w:noProof/>
              </w:rPr>
              <w:t>5.</w:t>
            </w:r>
            <w:r w:rsidR="006F2216">
              <w:rPr>
                <w:rFonts w:eastAsiaTheme="minorEastAsia"/>
                <w:noProof/>
                <w:sz w:val="24"/>
                <w:szCs w:val="24"/>
                <w:lang w:eastAsia="en-GB"/>
              </w:rPr>
              <w:tab/>
            </w:r>
            <w:r w:rsidR="006F2216" w:rsidRPr="002272B6">
              <w:rPr>
                <w:rStyle w:val="Hyperlink"/>
                <w:noProof/>
              </w:rPr>
              <w:t>Critical Present-ness and Queer Childhoods</w:t>
            </w:r>
            <w:r w:rsidR="006F2216">
              <w:rPr>
                <w:noProof/>
                <w:webHidden/>
              </w:rPr>
              <w:tab/>
            </w:r>
            <w:r w:rsidR="006F2216">
              <w:rPr>
                <w:noProof/>
                <w:webHidden/>
              </w:rPr>
              <w:fldChar w:fldCharType="begin"/>
            </w:r>
            <w:r w:rsidR="006F2216">
              <w:rPr>
                <w:noProof/>
                <w:webHidden/>
              </w:rPr>
              <w:instrText xml:space="preserve"> PAGEREF _Toc175312186 \h </w:instrText>
            </w:r>
            <w:r w:rsidR="006F2216">
              <w:rPr>
                <w:noProof/>
                <w:webHidden/>
              </w:rPr>
            </w:r>
            <w:r w:rsidR="006F2216">
              <w:rPr>
                <w:noProof/>
                <w:webHidden/>
              </w:rPr>
              <w:fldChar w:fldCharType="separate"/>
            </w:r>
            <w:r w:rsidR="006F2216">
              <w:rPr>
                <w:noProof/>
                <w:webHidden/>
              </w:rPr>
              <w:t>20</w:t>
            </w:r>
            <w:r w:rsidR="006F2216">
              <w:rPr>
                <w:noProof/>
                <w:webHidden/>
              </w:rPr>
              <w:fldChar w:fldCharType="end"/>
            </w:r>
          </w:hyperlink>
        </w:p>
        <w:p w14:paraId="5FB5F3B0" w14:textId="227F55C7" w:rsidR="006F2216" w:rsidRDefault="00000000">
          <w:pPr>
            <w:pStyle w:val="TOC2"/>
            <w:tabs>
              <w:tab w:val="right" w:leader="dot" w:pos="9016"/>
            </w:tabs>
            <w:rPr>
              <w:rFonts w:eastAsiaTheme="minorEastAsia"/>
              <w:noProof/>
              <w:sz w:val="24"/>
              <w:szCs w:val="24"/>
              <w:lang w:eastAsia="en-GB"/>
            </w:rPr>
          </w:pPr>
          <w:hyperlink w:anchor="_Toc175312187" w:history="1">
            <w:r w:rsidR="006F2216" w:rsidRPr="002272B6">
              <w:rPr>
                <w:rStyle w:val="Hyperlink"/>
                <w:noProof/>
              </w:rPr>
              <w:t>The Middle Ages as a ‘Queer Utopia’: How to read- Medieval texts Queerly – Two case studies.</w:t>
            </w:r>
            <w:r w:rsidR="006F2216">
              <w:rPr>
                <w:noProof/>
                <w:webHidden/>
              </w:rPr>
              <w:tab/>
            </w:r>
            <w:r w:rsidR="006F2216">
              <w:rPr>
                <w:noProof/>
                <w:webHidden/>
              </w:rPr>
              <w:fldChar w:fldCharType="begin"/>
            </w:r>
            <w:r w:rsidR="006F2216">
              <w:rPr>
                <w:noProof/>
                <w:webHidden/>
              </w:rPr>
              <w:instrText xml:space="preserve"> PAGEREF _Toc175312187 \h </w:instrText>
            </w:r>
            <w:r w:rsidR="006F2216">
              <w:rPr>
                <w:noProof/>
                <w:webHidden/>
              </w:rPr>
            </w:r>
            <w:r w:rsidR="006F2216">
              <w:rPr>
                <w:noProof/>
                <w:webHidden/>
              </w:rPr>
              <w:fldChar w:fldCharType="separate"/>
            </w:r>
            <w:r w:rsidR="006F2216">
              <w:rPr>
                <w:noProof/>
                <w:webHidden/>
              </w:rPr>
              <w:t>22</w:t>
            </w:r>
            <w:r w:rsidR="006F2216">
              <w:rPr>
                <w:noProof/>
                <w:webHidden/>
              </w:rPr>
              <w:fldChar w:fldCharType="end"/>
            </w:r>
          </w:hyperlink>
        </w:p>
        <w:p w14:paraId="62528160" w14:textId="228FFD9F" w:rsidR="006F2216" w:rsidRDefault="00000000">
          <w:pPr>
            <w:pStyle w:val="TOC2"/>
            <w:tabs>
              <w:tab w:val="right" w:leader="dot" w:pos="9016"/>
            </w:tabs>
            <w:rPr>
              <w:rFonts w:eastAsiaTheme="minorEastAsia"/>
              <w:noProof/>
              <w:sz w:val="24"/>
              <w:szCs w:val="24"/>
              <w:lang w:eastAsia="en-GB"/>
            </w:rPr>
          </w:pPr>
          <w:hyperlink w:anchor="_Toc175312188" w:history="1">
            <w:r w:rsidR="006F2216" w:rsidRPr="002272B6">
              <w:rPr>
                <w:rStyle w:val="Hyperlink"/>
                <w:noProof/>
              </w:rPr>
              <w:t>Queering the Narrative</w:t>
            </w:r>
            <w:r w:rsidR="006F2216">
              <w:rPr>
                <w:noProof/>
                <w:webHidden/>
              </w:rPr>
              <w:tab/>
            </w:r>
            <w:r w:rsidR="006F2216">
              <w:rPr>
                <w:noProof/>
                <w:webHidden/>
              </w:rPr>
              <w:fldChar w:fldCharType="begin"/>
            </w:r>
            <w:r w:rsidR="006F2216">
              <w:rPr>
                <w:noProof/>
                <w:webHidden/>
              </w:rPr>
              <w:instrText xml:space="preserve"> PAGEREF _Toc175312188 \h </w:instrText>
            </w:r>
            <w:r w:rsidR="006F2216">
              <w:rPr>
                <w:noProof/>
                <w:webHidden/>
              </w:rPr>
            </w:r>
            <w:r w:rsidR="006F2216">
              <w:rPr>
                <w:noProof/>
                <w:webHidden/>
              </w:rPr>
              <w:fldChar w:fldCharType="separate"/>
            </w:r>
            <w:r w:rsidR="006F2216">
              <w:rPr>
                <w:noProof/>
                <w:webHidden/>
              </w:rPr>
              <w:t>26</w:t>
            </w:r>
            <w:r w:rsidR="006F2216">
              <w:rPr>
                <w:noProof/>
                <w:webHidden/>
              </w:rPr>
              <w:fldChar w:fldCharType="end"/>
            </w:r>
          </w:hyperlink>
        </w:p>
        <w:p w14:paraId="123A22EF" w14:textId="266F5C0E" w:rsidR="006F2216" w:rsidRDefault="00000000">
          <w:pPr>
            <w:pStyle w:val="TOC3"/>
            <w:tabs>
              <w:tab w:val="left" w:pos="960"/>
              <w:tab w:val="right" w:leader="dot" w:pos="9016"/>
            </w:tabs>
            <w:rPr>
              <w:rFonts w:eastAsiaTheme="minorEastAsia"/>
              <w:noProof/>
              <w:sz w:val="24"/>
              <w:szCs w:val="24"/>
              <w:lang w:eastAsia="en-GB"/>
            </w:rPr>
          </w:pPr>
          <w:hyperlink w:anchor="_Toc175312189" w:history="1">
            <w:r w:rsidR="006F2216" w:rsidRPr="002272B6">
              <w:rPr>
                <w:rStyle w:val="Hyperlink"/>
                <w:noProof/>
              </w:rPr>
              <w:t>1.</w:t>
            </w:r>
            <w:r w:rsidR="006F2216">
              <w:rPr>
                <w:rFonts w:eastAsiaTheme="minorEastAsia"/>
                <w:noProof/>
                <w:sz w:val="24"/>
                <w:szCs w:val="24"/>
                <w:lang w:eastAsia="en-GB"/>
              </w:rPr>
              <w:tab/>
            </w:r>
            <w:r w:rsidR="006F2216" w:rsidRPr="002272B6">
              <w:rPr>
                <w:rStyle w:val="Hyperlink"/>
                <w:noProof/>
              </w:rPr>
              <w:t>Aranrhod; Gender, Sex, and Resistance</w:t>
            </w:r>
            <w:r w:rsidR="006F2216">
              <w:rPr>
                <w:noProof/>
                <w:webHidden/>
              </w:rPr>
              <w:tab/>
            </w:r>
            <w:r w:rsidR="006F2216">
              <w:rPr>
                <w:noProof/>
                <w:webHidden/>
              </w:rPr>
              <w:fldChar w:fldCharType="begin"/>
            </w:r>
            <w:r w:rsidR="006F2216">
              <w:rPr>
                <w:noProof/>
                <w:webHidden/>
              </w:rPr>
              <w:instrText xml:space="preserve"> PAGEREF _Toc175312189 \h </w:instrText>
            </w:r>
            <w:r w:rsidR="006F2216">
              <w:rPr>
                <w:noProof/>
                <w:webHidden/>
              </w:rPr>
            </w:r>
            <w:r w:rsidR="006F2216">
              <w:rPr>
                <w:noProof/>
                <w:webHidden/>
              </w:rPr>
              <w:fldChar w:fldCharType="separate"/>
            </w:r>
            <w:r w:rsidR="006F2216">
              <w:rPr>
                <w:noProof/>
                <w:webHidden/>
              </w:rPr>
              <w:t>28</w:t>
            </w:r>
            <w:r w:rsidR="006F2216">
              <w:rPr>
                <w:noProof/>
                <w:webHidden/>
              </w:rPr>
              <w:fldChar w:fldCharType="end"/>
            </w:r>
          </w:hyperlink>
        </w:p>
        <w:p w14:paraId="5B5AE33E" w14:textId="4D854839" w:rsidR="006F2216" w:rsidRDefault="00000000">
          <w:pPr>
            <w:pStyle w:val="TOC3"/>
            <w:tabs>
              <w:tab w:val="left" w:pos="960"/>
              <w:tab w:val="right" w:leader="dot" w:pos="9016"/>
            </w:tabs>
            <w:rPr>
              <w:rFonts w:eastAsiaTheme="minorEastAsia"/>
              <w:noProof/>
              <w:sz w:val="24"/>
              <w:szCs w:val="24"/>
              <w:lang w:eastAsia="en-GB"/>
            </w:rPr>
          </w:pPr>
          <w:hyperlink w:anchor="_Toc175312190" w:history="1">
            <w:r w:rsidR="006F2216" w:rsidRPr="002272B6">
              <w:rPr>
                <w:rStyle w:val="Hyperlink"/>
                <w:noProof/>
              </w:rPr>
              <w:t>2.</w:t>
            </w:r>
            <w:r w:rsidR="006F2216">
              <w:rPr>
                <w:rFonts w:eastAsiaTheme="minorEastAsia"/>
                <w:noProof/>
                <w:sz w:val="24"/>
                <w:szCs w:val="24"/>
                <w:lang w:eastAsia="en-GB"/>
              </w:rPr>
              <w:tab/>
            </w:r>
            <w:r w:rsidR="006F2216" w:rsidRPr="002272B6">
              <w:rPr>
                <w:rStyle w:val="Hyperlink"/>
                <w:noProof/>
              </w:rPr>
              <w:t>Lleu; Queer Childhoods and Growing Sideways</w:t>
            </w:r>
            <w:r w:rsidR="006F2216">
              <w:rPr>
                <w:noProof/>
                <w:webHidden/>
              </w:rPr>
              <w:tab/>
            </w:r>
            <w:r w:rsidR="006F2216">
              <w:rPr>
                <w:noProof/>
                <w:webHidden/>
              </w:rPr>
              <w:fldChar w:fldCharType="begin"/>
            </w:r>
            <w:r w:rsidR="006F2216">
              <w:rPr>
                <w:noProof/>
                <w:webHidden/>
              </w:rPr>
              <w:instrText xml:space="preserve"> PAGEREF _Toc175312190 \h </w:instrText>
            </w:r>
            <w:r w:rsidR="006F2216">
              <w:rPr>
                <w:noProof/>
                <w:webHidden/>
              </w:rPr>
            </w:r>
            <w:r w:rsidR="006F2216">
              <w:rPr>
                <w:noProof/>
                <w:webHidden/>
              </w:rPr>
              <w:fldChar w:fldCharType="separate"/>
            </w:r>
            <w:r w:rsidR="006F2216">
              <w:rPr>
                <w:noProof/>
                <w:webHidden/>
              </w:rPr>
              <w:t>36</w:t>
            </w:r>
            <w:r w:rsidR="006F2216">
              <w:rPr>
                <w:noProof/>
                <w:webHidden/>
              </w:rPr>
              <w:fldChar w:fldCharType="end"/>
            </w:r>
          </w:hyperlink>
        </w:p>
        <w:p w14:paraId="48CCB91C" w14:textId="3A7F6929" w:rsidR="006F2216" w:rsidRDefault="00000000">
          <w:pPr>
            <w:pStyle w:val="TOC3"/>
            <w:tabs>
              <w:tab w:val="left" w:pos="960"/>
              <w:tab w:val="right" w:leader="dot" w:pos="9016"/>
            </w:tabs>
            <w:rPr>
              <w:rFonts w:eastAsiaTheme="minorEastAsia"/>
              <w:noProof/>
              <w:sz w:val="24"/>
              <w:szCs w:val="24"/>
              <w:lang w:eastAsia="en-GB"/>
            </w:rPr>
          </w:pPr>
          <w:hyperlink w:anchor="_Toc175312191" w:history="1">
            <w:r w:rsidR="006F2216" w:rsidRPr="002272B6">
              <w:rPr>
                <w:rStyle w:val="Hyperlink"/>
                <w:noProof/>
              </w:rPr>
              <w:t>3.</w:t>
            </w:r>
            <w:r w:rsidR="006F2216">
              <w:rPr>
                <w:rFonts w:eastAsiaTheme="minorEastAsia"/>
                <w:noProof/>
                <w:sz w:val="24"/>
                <w:szCs w:val="24"/>
                <w:lang w:eastAsia="en-GB"/>
              </w:rPr>
              <w:tab/>
            </w:r>
            <w:r w:rsidR="006F2216" w:rsidRPr="002272B6">
              <w:rPr>
                <w:rStyle w:val="Hyperlink"/>
                <w:noProof/>
              </w:rPr>
              <w:t xml:space="preserve">Finding the Hetero in the Homo – An Insight into the Straightness of Metamorphosis in the </w:t>
            </w:r>
            <w:r w:rsidR="006F2216" w:rsidRPr="002272B6">
              <w:rPr>
                <w:rStyle w:val="Hyperlink"/>
                <w:i/>
                <w:iCs/>
                <w:noProof/>
              </w:rPr>
              <w:t>Fourth Branch</w:t>
            </w:r>
            <w:r w:rsidR="006F2216">
              <w:rPr>
                <w:noProof/>
                <w:webHidden/>
              </w:rPr>
              <w:tab/>
            </w:r>
            <w:r w:rsidR="006F2216">
              <w:rPr>
                <w:noProof/>
                <w:webHidden/>
              </w:rPr>
              <w:fldChar w:fldCharType="begin"/>
            </w:r>
            <w:r w:rsidR="006F2216">
              <w:rPr>
                <w:noProof/>
                <w:webHidden/>
              </w:rPr>
              <w:instrText xml:space="preserve"> PAGEREF _Toc175312191 \h </w:instrText>
            </w:r>
            <w:r w:rsidR="006F2216">
              <w:rPr>
                <w:noProof/>
                <w:webHidden/>
              </w:rPr>
            </w:r>
            <w:r w:rsidR="006F2216">
              <w:rPr>
                <w:noProof/>
                <w:webHidden/>
              </w:rPr>
              <w:fldChar w:fldCharType="separate"/>
            </w:r>
            <w:r w:rsidR="006F2216">
              <w:rPr>
                <w:noProof/>
                <w:webHidden/>
              </w:rPr>
              <w:t>41</w:t>
            </w:r>
            <w:r w:rsidR="006F2216">
              <w:rPr>
                <w:noProof/>
                <w:webHidden/>
              </w:rPr>
              <w:fldChar w:fldCharType="end"/>
            </w:r>
          </w:hyperlink>
        </w:p>
        <w:p w14:paraId="70E63D1D" w14:textId="3ECC423C" w:rsidR="006F2216" w:rsidRDefault="00000000">
          <w:pPr>
            <w:pStyle w:val="TOC2"/>
            <w:tabs>
              <w:tab w:val="right" w:leader="dot" w:pos="9016"/>
            </w:tabs>
            <w:rPr>
              <w:rFonts w:eastAsiaTheme="minorEastAsia"/>
              <w:noProof/>
              <w:sz w:val="24"/>
              <w:szCs w:val="24"/>
              <w:lang w:eastAsia="en-GB"/>
            </w:rPr>
          </w:pPr>
          <w:hyperlink w:anchor="_Toc175312192" w:history="1">
            <w:r w:rsidR="006F2216" w:rsidRPr="002272B6">
              <w:rPr>
                <w:rStyle w:val="Hyperlink"/>
                <w:noProof/>
              </w:rPr>
              <w:t xml:space="preserve">Queering the Scholarship of the </w:t>
            </w:r>
            <w:r w:rsidR="006F2216" w:rsidRPr="002272B6">
              <w:rPr>
                <w:rStyle w:val="Hyperlink"/>
                <w:i/>
                <w:iCs/>
                <w:noProof/>
              </w:rPr>
              <w:t>Fourth Branch</w:t>
            </w:r>
            <w:r w:rsidR="006F2216">
              <w:rPr>
                <w:noProof/>
                <w:webHidden/>
              </w:rPr>
              <w:tab/>
            </w:r>
            <w:r w:rsidR="006F2216">
              <w:rPr>
                <w:noProof/>
                <w:webHidden/>
              </w:rPr>
              <w:fldChar w:fldCharType="begin"/>
            </w:r>
            <w:r w:rsidR="006F2216">
              <w:rPr>
                <w:noProof/>
                <w:webHidden/>
              </w:rPr>
              <w:instrText xml:space="preserve"> PAGEREF _Toc175312192 \h </w:instrText>
            </w:r>
            <w:r w:rsidR="006F2216">
              <w:rPr>
                <w:noProof/>
                <w:webHidden/>
              </w:rPr>
            </w:r>
            <w:r w:rsidR="006F2216">
              <w:rPr>
                <w:noProof/>
                <w:webHidden/>
              </w:rPr>
              <w:fldChar w:fldCharType="separate"/>
            </w:r>
            <w:r w:rsidR="006F2216">
              <w:rPr>
                <w:noProof/>
                <w:webHidden/>
              </w:rPr>
              <w:t>45</w:t>
            </w:r>
            <w:r w:rsidR="006F2216">
              <w:rPr>
                <w:noProof/>
                <w:webHidden/>
              </w:rPr>
              <w:fldChar w:fldCharType="end"/>
            </w:r>
          </w:hyperlink>
        </w:p>
        <w:p w14:paraId="4BC3687C" w14:textId="1CB9A590" w:rsidR="006F2216" w:rsidRDefault="00000000">
          <w:pPr>
            <w:pStyle w:val="TOC2"/>
            <w:tabs>
              <w:tab w:val="right" w:leader="dot" w:pos="9016"/>
            </w:tabs>
            <w:rPr>
              <w:rFonts w:eastAsiaTheme="minorEastAsia"/>
              <w:noProof/>
              <w:sz w:val="24"/>
              <w:szCs w:val="24"/>
              <w:lang w:eastAsia="en-GB"/>
            </w:rPr>
          </w:pPr>
          <w:hyperlink w:anchor="_Toc175312193" w:history="1">
            <w:r w:rsidR="006F2216" w:rsidRPr="002272B6">
              <w:rPr>
                <w:rStyle w:val="Hyperlink"/>
                <w:noProof/>
              </w:rPr>
              <w:t>Conclusion</w:t>
            </w:r>
            <w:r w:rsidR="006F2216">
              <w:rPr>
                <w:noProof/>
                <w:webHidden/>
              </w:rPr>
              <w:tab/>
            </w:r>
            <w:r w:rsidR="006F2216">
              <w:rPr>
                <w:noProof/>
                <w:webHidden/>
              </w:rPr>
              <w:fldChar w:fldCharType="begin"/>
            </w:r>
            <w:r w:rsidR="006F2216">
              <w:rPr>
                <w:noProof/>
                <w:webHidden/>
              </w:rPr>
              <w:instrText xml:space="preserve"> PAGEREF _Toc175312193 \h </w:instrText>
            </w:r>
            <w:r w:rsidR="006F2216">
              <w:rPr>
                <w:noProof/>
                <w:webHidden/>
              </w:rPr>
            </w:r>
            <w:r w:rsidR="006F2216">
              <w:rPr>
                <w:noProof/>
                <w:webHidden/>
              </w:rPr>
              <w:fldChar w:fldCharType="separate"/>
            </w:r>
            <w:r w:rsidR="006F2216">
              <w:rPr>
                <w:noProof/>
                <w:webHidden/>
              </w:rPr>
              <w:t>55</w:t>
            </w:r>
            <w:r w:rsidR="006F2216">
              <w:rPr>
                <w:noProof/>
                <w:webHidden/>
              </w:rPr>
              <w:fldChar w:fldCharType="end"/>
            </w:r>
          </w:hyperlink>
        </w:p>
        <w:p w14:paraId="228C4D11" w14:textId="5A40F3F4" w:rsidR="006F2216" w:rsidRDefault="00000000">
          <w:pPr>
            <w:pStyle w:val="TOC2"/>
            <w:tabs>
              <w:tab w:val="right" w:leader="dot" w:pos="9016"/>
            </w:tabs>
            <w:rPr>
              <w:rFonts w:eastAsiaTheme="minorEastAsia"/>
              <w:noProof/>
              <w:sz w:val="24"/>
              <w:szCs w:val="24"/>
              <w:lang w:eastAsia="en-GB"/>
            </w:rPr>
          </w:pPr>
          <w:hyperlink w:anchor="_Toc175312194" w:history="1">
            <w:r w:rsidR="006F2216" w:rsidRPr="002272B6">
              <w:rPr>
                <w:rStyle w:val="Hyperlink"/>
                <w:noProof/>
              </w:rPr>
              <w:t>Bibliography</w:t>
            </w:r>
            <w:r w:rsidR="006F2216">
              <w:rPr>
                <w:noProof/>
                <w:webHidden/>
              </w:rPr>
              <w:tab/>
            </w:r>
            <w:r w:rsidR="006F2216">
              <w:rPr>
                <w:noProof/>
                <w:webHidden/>
              </w:rPr>
              <w:fldChar w:fldCharType="begin"/>
            </w:r>
            <w:r w:rsidR="006F2216">
              <w:rPr>
                <w:noProof/>
                <w:webHidden/>
              </w:rPr>
              <w:instrText xml:space="preserve"> PAGEREF _Toc175312194 \h </w:instrText>
            </w:r>
            <w:r w:rsidR="006F2216">
              <w:rPr>
                <w:noProof/>
                <w:webHidden/>
              </w:rPr>
            </w:r>
            <w:r w:rsidR="006F2216">
              <w:rPr>
                <w:noProof/>
                <w:webHidden/>
              </w:rPr>
              <w:fldChar w:fldCharType="separate"/>
            </w:r>
            <w:r w:rsidR="006F2216">
              <w:rPr>
                <w:noProof/>
                <w:webHidden/>
              </w:rPr>
              <w:t>59</w:t>
            </w:r>
            <w:r w:rsidR="006F2216">
              <w:rPr>
                <w:noProof/>
                <w:webHidden/>
              </w:rPr>
              <w:fldChar w:fldCharType="end"/>
            </w:r>
          </w:hyperlink>
        </w:p>
        <w:p w14:paraId="5C4C3D3F" w14:textId="3878BF7F" w:rsidR="006915EA" w:rsidRPr="00436BC4" w:rsidRDefault="006915EA" w:rsidP="006915EA">
          <w:r w:rsidRPr="00436BC4">
            <w:rPr>
              <w:b/>
              <w:bCs/>
            </w:rPr>
            <w:fldChar w:fldCharType="end"/>
          </w:r>
        </w:p>
      </w:sdtContent>
    </w:sdt>
    <w:p w14:paraId="551E6D28" w14:textId="77777777" w:rsidR="0003365A" w:rsidRPr="00436BC4" w:rsidRDefault="0003365A" w:rsidP="0003365A">
      <w:pPr>
        <w:rPr>
          <w:u w:val="single"/>
        </w:rPr>
      </w:pPr>
    </w:p>
    <w:p w14:paraId="361B0587" w14:textId="77777777" w:rsidR="0003365A" w:rsidRPr="00436BC4" w:rsidRDefault="0003365A">
      <w:pPr>
        <w:rPr>
          <w:u w:val="single"/>
        </w:rPr>
      </w:pPr>
      <w:r w:rsidRPr="00436BC4">
        <w:rPr>
          <w:u w:val="single"/>
        </w:rPr>
        <w:br w:type="page"/>
      </w:r>
    </w:p>
    <w:p w14:paraId="7D438070" w14:textId="2961AE52" w:rsidR="006F2216" w:rsidRDefault="006F2216" w:rsidP="004A0F50">
      <w:pPr>
        <w:pStyle w:val="Heading2"/>
        <w:spacing w:line="480" w:lineRule="auto"/>
      </w:pPr>
      <w:bookmarkStart w:id="8" w:name="_Toc175312178"/>
      <w:bookmarkStart w:id="9" w:name="_Hlk175075516"/>
      <w:r>
        <w:lastRenderedPageBreak/>
        <w:t>Acknowledgements</w:t>
      </w:r>
      <w:bookmarkEnd w:id="8"/>
    </w:p>
    <w:p w14:paraId="66B0F58B" w14:textId="009127C1" w:rsidR="006F2216" w:rsidRPr="006F2216" w:rsidRDefault="00097032" w:rsidP="006B3C86">
      <w:pPr>
        <w:spacing w:line="480" w:lineRule="auto"/>
      </w:pPr>
      <w:r>
        <w:t>I would like to express m</w:t>
      </w:r>
      <w:r w:rsidR="006F2216">
        <w:t xml:space="preserve">y deepest </w:t>
      </w:r>
      <w:r>
        <w:t xml:space="preserve">gratitude to my </w:t>
      </w:r>
      <w:r w:rsidR="00C521E4">
        <w:t>super</w:t>
      </w:r>
      <w:r>
        <w:t>visor Dr Heather</w:t>
      </w:r>
      <w:r w:rsidR="006F2216">
        <w:t xml:space="preserve"> </w:t>
      </w:r>
      <w:r>
        <w:t xml:space="preserve">Williams, whose incredible knowledge and skill as an academic and as a guide through this process provided clarity, structure and motivation when times got tough. This dissertation would not have been </w:t>
      </w:r>
      <w:r w:rsidR="006B3C86">
        <w:t>realised</w:t>
      </w:r>
      <w:r>
        <w:t xml:space="preserve"> without her. I would like to thank my </w:t>
      </w:r>
      <w:r w:rsidR="00C521E4">
        <w:t>lecturers</w:t>
      </w:r>
      <w:r>
        <w:t xml:space="preserve"> over the years at University of Wales Trinity Saint David, for their parts in </w:t>
      </w:r>
      <w:r w:rsidR="00C521E4">
        <w:t>motivating</w:t>
      </w:r>
      <w:r>
        <w:t xml:space="preserve"> me to contribute my own work to the field of Celtic Studies</w:t>
      </w:r>
      <w:r w:rsidR="00C521E4">
        <w:t xml:space="preserve">, and to the academics cited in this work which have directly inspired this meeting of queer theory and the </w:t>
      </w:r>
      <w:r w:rsidR="00C521E4">
        <w:rPr>
          <w:i/>
          <w:iCs/>
        </w:rPr>
        <w:t>Fourth Branch</w:t>
      </w:r>
      <w:r>
        <w:t xml:space="preserve">. </w:t>
      </w:r>
      <w:r w:rsidR="00C521E4">
        <w:t>T</w:t>
      </w:r>
      <w:r>
        <w:t xml:space="preserve">o the staff at the </w:t>
      </w:r>
      <w:r w:rsidR="00C521E4">
        <w:t>UWTSD library I owe my thanks for their assistance to myself as a distance learning student. Finally, I would like to thank my partner Alex Chadwick for the never ending love and patience he showed me throughout this process</w:t>
      </w:r>
      <w:r w:rsidR="003E0C9C">
        <w:t>,</w:t>
      </w:r>
      <w:r w:rsidR="00C521E4">
        <w:t xml:space="preserve"> and without whom none of this would have been possible. </w:t>
      </w:r>
    </w:p>
    <w:p w14:paraId="0D89C319" w14:textId="77777777" w:rsidR="006F2216" w:rsidRDefault="006F2216">
      <w:pPr>
        <w:rPr>
          <w:rFonts w:asciiTheme="majorHAnsi" w:eastAsiaTheme="majorEastAsia" w:hAnsiTheme="majorHAnsi" w:cstheme="majorBidi"/>
          <w:color w:val="2F5496" w:themeColor="accent1" w:themeShade="BF"/>
          <w:sz w:val="26"/>
          <w:szCs w:val="26"/>
        </w:rPr>
      </w:pPr>
      <w:r>
        <w:br w:type="page"/>
      </w:r>
    </w:p>
    <w:p w14:paraId="00011350" w14:textId="21A33735" w:rsidR="004A0F50" w:rsidRDefault="004A0F50" w:rsidP="004A0F50">
      <w:pPr>
        <w:pStyle w:val="Heading2"/>
        <w:spacing w:line="480" w:lineRule="auto"/>
      </w:pPr>
      <w:bookmarkStart w:id="10" w:name="_Toc175312179"/>
      <w:r>
        <w:lastRenderedPageBreak/>
        <w:t>Abstract</w:t>
      </w:r>
      <w:bookmarkEnd w:id="10"/>
    </w:p>
    <w:p w14:paraId="444E9FEE" w14:textId="77777777" w:rsidR="004A0F50" w:rsidRDefault="004A0F50" w:rsidP="004A0F50">
      <w:pPr>
        <w:spacing w:line="480" w:lineRule="auto"/>
      </w:pPr>
    </w:p>
    <w:p w14:paraId="175A4C53" w14:textId="0C526D11" w:rsidR="004A0F50" w:rsidRDefault="004A0F50" w:rsidP="004A0F50">
      <w:pPr>
        <w:spacing w:line="480" w:lineRule="auto"/>
      </w:pPr>
      <w:r>
        <w:t xml:space="preserve">In her 2009 </w:t>
      </w:r>
      <w:r w:rsidRPr="00752BE8">
        <w:rPr>
          <w:rFonts w:cstheme="minorHAnsi"/>
        </w:rPr>
        <w:t xml:space="preserve">article </w:t>
      </w:r>
      <w:r>
        <w:rPr>
          <w:rFonts w:cstheme="minorHAnsi"/>
        </w:rPr>
        <w:t xml:space="preserve">on the </w:t>
      </w:r>
      <w:r w:rsidRPr="009A01AB">
        <w:rPr>
          <w:rFonts w:cstheme="minorHAnsi"/>
          <w:i/>
          <w:iCs/>
        </w:rPr>
        <w:t>Fourth Branch of the Mabinogi</w:t>
      </w:r>
      <w:r w:rsidRPr="00752BE8">
        <w:rPr>
          <w:rFonts w:cstheme="minorHAnsi"/>
        </w:rPr>
        <w:t>,</w:t>
      </w:r>
      <w:r>
        <w:t xml:space="preserve"> Sarah Sheehan comments on the ‘pervasive ambiguity’ of the </w:t>
      </w:r>
      <w:r>
        <w:rPr>
          <w:i/>
          <w:iCs/>
        </w:rPr>
        <w:t xml:space="preserve">Fourth </w:t>
      </w:r>
      <w:r w:rsidRPr="00092446">
        <w:rPr>
          <w:i/>
          <w:iCs/>
        </w:rPr>
        <w:t>Branch</w:t>
      </w:r>
      <w:r>
        <w:t xml:space="preserve">, and notes </w:t>
      </w:r>
      <w:r w:rsidRPr="00092446">
        <w:t>the</w:t>
      </w:r>
      <w:r>
        <w:t xml:space="preserve"> level of restraint taken in Celtic studies when incorporating new critical tools into literary analysis of medieval Welsh literature. She </w:t>
      </w:r>
      <w:r w:rsidR="004F28D7">
        <w:t>states</w:t>
      </w:r>
      <w:r>
        <w:t xml:space="preserve"> that this is due to the ‘normative nature’ of critical approaches </w:t>
      </w:r>
      <w:r w:rsidR="009A727E">
        <w:t xml:space="preserve">such </w:t>
      </w:r>
      <w:r>
        <w:t>as queer theory. However</w:t>
      </w:r>
      <w:r w:rsidR="009A727E">
        <w:t>,</w:t>
      </w:r>
      <w:r>
        <w:t xml:space="preserve"> in English and French medieval literary studies, queer theory has become a powerful tool of critique, with Bill Burgwinkle in 2006 going so far as to suggest that the Middle Ages a kind of ‘queer utopia’. Burgwinkle, Dinshaw, and others have demonstrated that concepts such as ‘gender’, ‘sexuality’ and ‘normativity’ may be used in the analysis of </w:t>
      </w:r>
      <w:r w:rsidR="001C6307">
        <w:t xml:space="preserve">medieval </w:t>
      </w:r>
      <w:r>
        <w:t xml:space="preserve">literature in ways that facilitates </w:t>
      </w:r>
      <w:r w:rsidR="009A727E">
        <w:t>new</w:t>
      </w:r>
      <w:r>
        <w:t xml:space="preserve"> </w:t>
      </w:r>
      <w:r w:rsidR="009A727E">
        <w:t>insights and spotlights marginalised voices in</w:t>
      </w:r>
      <w:r>
        <w:t xml:space="preserve"> traditionally interpreted material. </w:t>
      </w:r>
    </w:p>
    <w:p w14:paraId="7E2ECBD7" w14:textId="544ED565" w:rsidR="004A0F50" w:rsidRDefault="004A0F50" w:rsidP="004A0F50">
      <w:pPr>
        <w:spacing w:line="480" w:lineRule="auto"/>
      </w:pPr>
      <w:r>
        <w:t xml:space="preserve">This dissertation is inspired by Burgwinkle and Dinshaw, and demonstrates how a literary analysis of the </w:t>
      </w:r>
      <w:r>
        <w:rPr>
          <w:i/>
          <w:iCs/>
        </w:rPr>
        <w:t>Fourth Branch</w:t>
      </w:r>
      <w:r w:rsidRPr="00DA67AA">
        <w:rPr>
          <w:i/>
          <w:iCs/>
        </w:rPr>
        <w:t xml:space="preserve"> of the Mabinogi</w:t>
      </w:r>
      <w:r>
        <w:t xml:space="preserve"> may be carried out </w:t>
      </w:r>
      <w:r w:rsidR="00351DCF">
        <w:t xml:space="preserve">by </w:t>
      </w:r>
      <w:r>
        <w:t xml:space="preserve">employing the use of theoretical tools of queer theory. </w:t>
      </w:r>
      <w:r w:rsidR="006546CA">
        <w:t xml:space="preserve">A brief outline of queer theory and </w:t>
      </w:r>
      <w:r w:rsidR="0029531B">
        <w:t xml:space="preserve">its </w:t>
      </w:r>
      <w:r w:rsidR="00351DCF">
        <w:t>relevant</w:t>
      </w:r>
      <w:r w:rsidR="006546CA">
        <w:t xml:space="preserve"> </w:t>
      </w:r>
      <w:r w:rsidR="0029531B">
        <w:t xml:space="preserve">theoretical </w:t>
      </w:r>
      <w:r w:rsidR="00351DCF">
        <w:t xml:space="preserve">approaches </w:t>
      </w:r>
      <w:r w:rsidR="006546CA">
        <w:t>is followed by an examination of t</w:t>
      </w:r>
      <w:r>
        <w:t xml:space="preserve">he characters Aranrhod and Lleu </w:t>
      </w:r>
      <w:r w:rsidR="002A6950">
        <w:t>employing</w:t>
      </w:r>
      <w:r>
        <w:t xml:space="preserve"> </w:t>
      </w:r>
      <w:r w:rsidR="006546CA">
        <w:t>queer theoretical tools</w:t>
      </w:r>
      <w:r w:rsidR="0029531B">
        <w:t>. This critique incorporates</w:t>
      </w:r>
      <w:r w:rsidR="006546CA">
        <w:t xml:space="preserve"> </w:t>
      </w:r>
      <w:r>
        <w:t xml:space="preserve">the work of Foucault, Butler, Edelman, </w:t>
      </w:r>
      <w:r w:rsidRPr="00436BC4">
        <w:t>Halberstam</w:t>
      </w:r>
      <w:r>
        <w:t xml:space="preserve">, and Bersani, amongst others, using theories of gender/sex, queerness, heteronormativity, queer temporality, subjugation, and resistance. The lack of transgression found in seemingly queer elements of the tale, primarily the physically </w:t>
      </w:r>
      <w:r w:rsidR="006546CA">
        <w:t>transformations</w:t>
      </w:r>
      <w:r>
        <w:t xml:space="preserve">, and sex/gender swapping punishment of Gwidion and Gilfaethwy, is also </w:t>
      </w:r>
      <w:r w:rsidR="006546CA">
        <w:t>examined using the same critical tools</w:t>
      </w:r>
      <w:r>
        <w:t xml:space="preserve">. </w:t>
      </w:r>
      <w:r w:rsidR="006546CA">
        <w:t>Next, t</w:t>
      </w:r>
      <w:r>
        <w:t xml:space="preserve">he way in which the scholarship of the </w:t>
      </w:r>
      <w:r>
        <w:rPr>
          <w:i/>
          <w:iCs/>
        </w:rPr>
        <w:t>Fourth Branch</w:t>
      </w:r>
      <w:r>
        <w:t xml:space="preserve"> has been conducted is also reviewed, highlighting how queer theory reveals invisible biases and prejudices that have driven certain lines of enquiry and preferred certain narratives over others. Finally, this dissertation comments briefly on the importance of queer theory in revealing </w:t>
      </w:r>
      <w:r w:rsidR="002A6950">
        <w:t xml:space="preserve">the </w:t>
      </w:r>
      <w:r>
        <w:t xml:space="preserve">innate queerness of the </w:t>
      </w:r>
      <w:r>
        <w:rPr>
          <w:i/>
          <w:iCs/>
        </w:rPr>
        <w:t xml:space="preserve">Fourth Branch </w:t>
      </w:r>
      <w:r>
        <w:t xml:space="preserve">as an entity </w:t>
      </w:r>
      <w:r w:rsidR="002A6950">
        <w:t xml:space="preserve">that exists </w:t>
      </w:r>
      <w:r>
        <w:t xml:space="preserve">beyond </w:t>
      </w:r>
      <w:r w:rsidR="00DD1718">
        <w:t>Celtic studies</w:t>
      </w:r>
      <w:r w:rsidR="006546CA">
        <w:t>.</w:t>
      </w:r>
    </w:p>
    <w:p w14:paraId="7368BFDE" w14:textId="77777777" w:rsidR="006546CA" w:rsidRPr="004C444F" w:rsidRDefault="006546CA" w:rsidP="004A0F50">
      <w:pPr>
        <w:spacing w:line="480" w:lineRule="auto"/>
        <w:rPr>
          <w:strike/>
          <w:u w:val="single"/>
        </w:rPr>
      </w:pPr>
    </w:p>
    <w:p w14:paraId="63B36927" w14:textId="77777777" w:rsidR="00E52FF7" w:rsidRPr="00436BC4" w:rsidRDefault="00E52FF7" w:rsidP="00E52FF7">
      <w:pPr>
        <w:pStyle w:val="Heading2"/>
      </w:pPr>
      <w:bookmarkStart w:id="11" w:name="_Toc175312180"/>
      <w:r w:rsidRPr="00436BC4">
        <w:lastRenderedPageBreak/>
        <w:t>Introduction</w:t>
      </w:r>
      <w:bookmarkEnd w:id="11"/>
    </w:p>
    <w:p w14:paraId="31BC69A2" w14:textId="77777777" w:rsidR="00CB0B86" w:rsidRPr="00436BC4" w:rsidRDefault="00CB0B86">
      <w:bookmarkStart w:id="12" w:name="_Hlk156557983"/>
      <w:bookmarkEnd w:id="9"/>
    </w:p>
    <w:p w14:paraId="73FF8FEC" w14:textId="77777777" w:rsidR="00382341" w:rsidRDefault="00382341" w:rsidP="00161827">
      <w:pPr>
        <w:spacing w:line="480" w:lineRule="auto"/>
      </w:pPr>
    </w:p>
    <w:p w14:paraId="62E8383D" w14:textId="2DC1840C" w:rsidR="001B676E" w:rsidRDefault="008A42B5" w:rsidP="00161827">
      <w:pPr>
        <w:spacing w:line="480" w:lineRule="auto"/>
      </w:pPr>
      <w:r w:rsidRPr="00436BC4">
        <w:t xml:space="preserve">The </w:t>
      </w:r>
      <w:r w:rsidRPr="00436BC4">
        <w:rPr>
          <w:i/>
          <w:iCs/>
        </w:rPr>
        <w:t xml:space="preserve">Four Branches of the Mabinogi </w:t>
      </w:r>
      <w:r w:rsidR="005D536A" w:rsidRPr="00436BC4">
        <w:t>are</w:t>
      </w:r>
      <w:r w:rsidR="00AF72CC" w:rsidRPr="00436BC4">
        <w:t xml:space="preserve"> </w:t>
      </w:r>
      <w:r w:rsidR="00681751" w:rsidRPr="00436BC4">
        <w:t>some of</w:t>
      </w:r>
      <w:r w:rsidR="00167A1B" w:rsidRPr="00436BC4">
        <w:t xml:space="preserve"> </w:t>
      </w:r>
      <w:r w:rsidRPr="00436BC4">
        <w:t xml:space="preserve">the most </w:t>
      </w:r>
      <w:r w:rsidR="00AF72CC" w:rsidRPr="00436BC4">
        <w:t>influential</w:t>
      </w:r>
      <w:r w:rsidRPr="00436BC4">
        <w:t xml:space="preserve"> </w:t>
      </w:r>
      <w:r w:rsidR="003C574D" w:rsidRPr="00436BC4">
        <w:t>literary works</w:t>
      </w:r>
      <w:r w:rsidR="00AF72CC" w:rsidRPr="00436BC4">
        <w:t xml:space="preserve"> </w:t>
      </w:r>
      <w:r w:rsidRPr="00436BC4">
        <w:t xml:space="preserve">to </w:t>
      </w:r>
      <w:r w:rsidR="00104D2E" w:rsidRPr="00436BC4">
        <w:t>e</w:t>
      </w:r>
      <w:r w:rsidRPr="00436BC4">
        <w:t xml:space="preserve">merge from the Welsh </w:t>
      </w:r>
      <w:r w:rsidR="00717486" w:rsidRPr="00436BC4">
        <w:t xml:space="preserve">medieval </w:t>
      </w:r>
      <w:r w:rsidRPr="00436BC4">
        <w:t xml:space="preserve">records. </w:t>
      </w:r>
      <w:r w:rsidR="00681751" w:rsidRPr="00436BC4">
        <w:t>Few</w:t>
      </w:r>
      <w:r w:rsidRPr="00436BC4">
        <w:t xml:space="preserve"> other text</w:t>
      </w:r>
      <w:r w:rsidR="00681751" w:rsidRPr="00436BC4">
        <w:t>s</w:t>
      </w:r>
      <w:r w:rsidRPr="00436BC4">
        <w:t xml:space="preserve"> </w:t>
      </w:r>
      <w:r w:rsidR="007B01B8" w:rsidRPr="00436BC4">
        <w:t xml:space="preserve">from this period </w:t>
      </w:r>
      <w:r w:rsidR="00681751" w:rsidRPr="00436BC4">
        <w:t>can claim to be as</w:t>
      </w:r>
      <w:r w:rsidRPr="00436BC4">
        <w:t xml:space="preserve"> relevant to the modern sense of</w:t>
      </w:r>
      <w:r w:rsidR="00886E28" w:rsidRPr="00436BC4">
        <w:t xml:space="preserve"> </w:t>
      </w:r>
      <w:r w:rsidR="007B01B8" w:rsidRPr="00436BC4">
        <w:t xml:space="preserve">Welsh </w:t>
      </w:r>
      <w:r w:rsidRPr="00436BC4">
        <w:t xml:space="preserve">identity, nor </w:t>
      </w:r>
      <w:r w:rsidR="00C607B2" w:rsidRPr="00436BC4">
        <w:t xml:space="preserve">to have </w:t>
      </w:r>
      <w:r w:rsidRPr="00436BC4">
        <w:t>remained as consistently popular</w:t>
      </w:r>
      <w:r w:rsidR="00167A1B" w:rsidRPr="00436BC4">
        <w:t xml:space="preserve">, both within academia and </w:t>
      </w:r>
      <w:r w:rsidR="00084EE7" w:rsidRPr="00436BC4">
        <w:t xml:space="preserve">in </w:t>
      </w:r>
      <w:r w:rsidR="00167A1B" w:rsidRPr="00436BC4">
        <w:t>the public</w:t>
      </w:r>
      <w:r w:rsidR="007B01B8" w:rsidRPr="00436BC4">
        <w:t xml:space="preserve"> sphere</w:t>
      </w:r>
      <w:r w:rsidR="006B5AD9" w:rsidRPr="00436BC4">
        <w:t>.</w:t>
      </w:r>
      <w:r w:rsidR="00167A1B" w:rsidRPr="00436BC4">
        <w:t xml:space="preserve"> </w:t>
      </w:r>
      <w:r w:rsidR="006B5AD9" w:rsidRPr="00436BC4">
        <w:t>S</w:t>
      </w:r>
      <w:r w:rsidRPr="00436BC4">
        <w:t xml:space="preserve">ince its </w:t>
      </w:r>
      <w:r w:rsidR="00886E28" w:rsidRPr="00436BC4">
        <w:t>translation</w:t>
      </w:r>
      <w:r w:rsidR="00084EE7" w:rsidRPr="00436BC4">
        <w:t xml:space="preserve"> into English</w:t>
      </w:r>
      <w:r w:rsidR="00886E28" w:rsidRPr="00436BC4">
        <w:t xml:space="preserve"> and publication</w:t>
      </w:r>
      <w:r w:rsidRPr="00436BC4">
        <w:t xml:space="preserve"> in the eighteenth century</w:t>
      </w:r>
      <w:r w:rsidR="006B5AD9" w:rsidRPr="00436BC4">
        <w:t>, m</w:t>
      </w:r>
      <w:r w:rsidR="00886E28" w:rsidRPr="00436BC4">
        <w:t>ainstream media culture ha</w:t>
      </w:r>
      <w:r w:rsidR="00B51E8B" w:rsidRPr="00436BC4">
        <w:t>s</w:t>
      </w:r>
      <w:r w:rsidR="00886E28" w:rsidRPr="00436BC4">
        <w:t xml:space="preserve"> taken elements of plot</w:t>
      </w:r>
      <w:r w:rsidR="00104D2E" w:rsidRPr="00436BC4">
        <w:t>,</w:t>
      </w:r>
      <w:r w:rsidR="00886E28" w:rsidRPr="00436BC4">
        <w:t xml:space="preserve"> characters, and motifs from the</w:t>
      </w:r>
      <w:r w:rsidR="00B51E8B" w:rsidRPr="00436BC4">
        <w:t xml:space="preserve"> four tales</w:t>
      </w:r>
      <w:r w:rsidR="00886E28" w:rsidRPr="00436BC4">
        <w:rPr>
          <w:i/>
          <w:iCs/>
        </w:rPr>
        <w:t>,</w:t>
      </w:r>
      <w:r w:rsidR="00B51E8B" w:rsidRPr="00436BC4">
        <w:rPr>
          <w:i/>
          <w:iCs/>
        </w:rPr>
        <w:t xml:space="preserve"> </w:t>
      </w:r>
      <w:r w:rsidR="00B51E8B" w:rsidRPr="00436BC4">
        <w:t>reworking them in b</w:t>
      </w:r>
      <w:r w:rsidR="00886E28" w:rsidRPr="00436BC4">
        <w:t>ooks (for children and adults), plays, television and radio programs, and even videogames.</w:t>
      </w:r>
      <w:r w:rsidR="00886E28" w:rsidRPr="00436BC4">
        <w:rPr>
          <w:rStyle w:val="FootnoteReference"/>
        </w:rPr>
        <w:footnoteReference w:id="1"/>
      </w:r>
      <w:r w:rsidR="00886E28" w:rsidRPr="00436BC4">
        <w:t xml:space="preserve"> </w:t>
      </w:r>
      <w:r w:rsidR="00ED2843" w:rsidRPr="00436BC4">
        <w:t xml:space="preserve">Amongst the four </w:t>
      </w:r>
      <w:r w:rsidR="00B51E8B" w:rsidRPr="00436BC4">
        <w:t>narratives</w:t>
      </w:r>
      <w:r w:rsidR="00ED2843" w:rsidRPr="00436BC4">
        <w:t xml:space="preserve">, the </w:t>
      </w:r>
      <w:r w:rsidR="00ED2843" w:rsidRPr="00436BC4">
        <w:rPr>
          <w:i/>
          <w:iCs/>
        </w:rPr>
        <w:t>Fourth Branch</w:t>
      </w:r>
      <w:r w:rsidR="00ED2843" w:rsidRPr="00436BC4">
        <w:t xml:space="preserve"> </w:t>
      </w:r>
      <w:r w:rsidR="00ED2843" w:rsidRPr="00436BC4">
        <w:rPr>
          <w:i/>
          <w:iCs/>
        </w:rPr>
        <w:t>– Math uab Mathonwy</w:t>
      </w:r>
      <w:r w:rsidR="00ED2843" w:rsidRPr="00436BC4">
        <w:t xml:space="preserve"> has been describe</w:t>
      </w:r>
      <w:r w:rsidR="00AC67C0" w:rsidRPr="00436BC4">
        <w:t xml:space="preserve">d </w:t>
      </w:r>
      <w:r w:rsidR="00ED2843" w:rsidRPr="00436BC4">
        <w:t xml:space="preserve">as the strangest of the </w:t>
      </w:r>
      <w:r w:rsidR="00ED2843" w:rsidRPr="00436BC4">
        <w:rPr>
          <w:i/>
          <w:iCs/>
        </w:rPr>
        <w:t>Four Branches</w:t>
      </w:r>
      <w:r w:rsidR="00167A1B" w:rsidRPr="00436BC4">
        <w:t>.</w:t>
      </w:r>
      <w:r w:rsidR="00ED2843" w:rsidRPr="00436BC4">
        <w:rPr>
          <w:rStyle w:val="FootnoteReference"/>
        </w:rPr>
        <w:footnoteReference w:id="2"/>
      </w:r>
      <w:r w:rsidR="00167A1B" w:rsidRPr="00436BC4">
        <w:t xml:space="preserve"> </w:t>
      </w:r>
      <w:r w:rsidR="004026E5" w:rsidRPr="00436BC4">
        <w:t>The narrative’s protagonists</w:t>
      </w:r>
      <w:r w:rsidR="00E23417" w:rsidRPr="00436BC4">
        <w:t xml:space="preserve"> are turned from human</w:t>
      </w:r>
      <w:r w:rsidR="00DF3438" w:rsidRPr="00436BC4">
        <w:t xml:space="preserve"> form</w:t>
      </w:r>
      <w:r w:rsidR="00E23417" w:rsidRPr="00436BC4">
        <w:t xml:space="preserve"> to animals and back again</w:t>
      </w:r>
      <w:r w:rsidR="00AB18E4" w:rsidRPr="00436BC4">
        <w:t>;</w:t>
      </w:r>
      <w:r w:rsidR="00E23417" w:rsidRPr="00436BC4">
        <w:t xml:space="preserve"> </w:t>
      </w:r>
      <w:r w:rsidR="006C4CD4" w:rsidRPr="00436BC4">
        <w:t>p</w:t>
      </w:r>
      <w:r w:rsidR="00824C8B" w:rsidRPr="00436BC4">
        <w:t xml:space="preserve">hysical sex </w:t>
      </w:r>
      <w:r w:rsidR="000D6DC3" w:rsidRPr="00436BC4">
        <w:t xml:space="preserve">becomes a malleable </w:t>
      </w:r>
      <w:r w:rsidR="004026E5" w:rsidRPr="00436BC4">
        <w:t xml:space="preserve">trait which </w:t>
      </w:r>
      <w:r w:rsidR="00D740FA" w:rsidRPr="00436BC4">
        <w:t xml:space="preserve">is </w:t>
      </w:r>
      <w:r w:rsidR="004026E5" w:rsidRPr="00436BC4">
        <w:t xml:space="preserve">changed against </w:t>
      </w:r>
      <w:r w:rsidR="00D740FA" w:rsidRPr="00436BC4">
        <w:t>characters</w:t>
      </w:r>
      <w:r w:rsidR="00E11E2A" w:rsidRPr="00436BC4">
        <w:t>’</w:t>
      </w:r>
      <w:r w:rsidR="004026E5" w:rsidRPr="00436BC4">
        <w:t xml:space="preserve"> will</w:t>
      </w:r>
      <w:r w:rsidR="00E11E2A" w:rsidRPr="00436BC4">
        <w:t>s</w:t>
      </w:r>
      <w:r w:rsidR="00AB18E4" w:rsidRPr="00436BC4">
        <w:t>;</w:t>
      </w:r>
      <w:r w:rsidR="000D6DC3" w:rsidRPr="00436BC4">
        <w:t xml:space="preserve"> </w:t>
      </w:r>
      <w:r w:rsidR="00E11E2A" w:rsidRPr="00436BC4">
        <w:t>a</w:t>
      </w:r>
      <w:r w:rsidR="00E23417" w:rsidRPr="00436BC4">
        <w:t xml:space="preserve"> </w:t>
      </w:r>
      <w:r w:rsidR="004026E5" w:rsidRPr="00436BC4">
        <w:t>woman</w:t>
      </w:r>
      <w:r w:rsidR="00E23417" w:rsidRPr="00436BC4">
        <w:t xml:space="preserve"> spontaneously conceive</w:t>
      </w:r>
      <w:r w:rsidR="004026E5" w:rsidRPr="00436BC4">
        <w:t>s</w:t>
      </w:r>
      <w:r w:rsidR="00E23417" w:rsidRPr="00436BC4">
        <w:t xml:space="preserve"> and </w:t>
      </w:r>
      <w:r w:rsidR="004026E5" w:rsidRPr="00436BC4">
        <w:t>births</w:t>
      </w:r>
      <w:r w:rsidR="00E23417" w:rsidRPr="00436BC4">
        <w:t xml:space="preserve"> </w:t>
      </w:r>
      <w:r w:rsidR="004026E5" w:rsidRPr="00436BC4">
        <w:t xml:space="preserve">a premature child </w:t>
      </w:r>
      <w:r w:rsidR="00E23417" w:rsidRPr="00436BC4">
        <w:t>in an instant</w:t>
      </w:r>
      <w:r w:rsidR="00AB18E4" w:rsidRPr="00436BC4">
        <w:t>;</w:t>
      </w:r>
      <w:r w:rsidR="00E23417" w:rsidRPr="00436BC4">
        <w:t xml:space="preserve"> </w:t>
      </w:r>
      <w:r w:rsidR="00E11E2A" w:rsidRPr="00436BC4">
        <w:t>a</w:t>
      </w:r>
      <w:r w:rsidR="004026E5" w:rsidRPr="00436BC4">
        <w:t>nother</w:t>
      </w:r>
      <w:r w:rsidR="00E23417" w:rsidRPr="00436BC4">
        <w:t xml:space="preserve"> is made </w:t>
      </w:r>
      <w:r w:rsidR="00AB18E4" w:rsidRPr="00436BC4">
        <w:t>from</w:t>
      </w:r>
      <w:r w:rsidR="00E23417" w:rsidRPr="00436BC4">
        <w:t xml:space="preserve"> flowers to be the otherworldly bride for a </w:t>
      </w:r>
      <w:r w:rsidR="00D740FA" w:rsidRPr="00436BC4">
        <w:t>character</w:t>
      </w:r>
      <w:r w:rsidR="004026E5" w:rsidRPr="00436BC4">
        <w:t xml:space="preserve"> who is cursed </w:t>
      </w:r>
      <w:r w:rsidR="005B1CF7" w:rsidRPr="00436BC4">
        <w:t>to never mature to his full potential as a man and royal heir without magic</w:t>
      </w:r>
      <w:r w:rsidR="008F008D" w:rsidRPr="00436BC4">
        <w:t>al</w:t>
      </w:r>
      <w:r w:rsidR="00DF3438" w:rsidRPr="00436BC4">
        <w:t xml:space="preserve"> aid</w:t>
      </w:r>
      <w:r w:rsidR="00E23417" w:rsidRPr="00436BC4">
        <w:t>.</w:t>
      </w:r>
      <w:r w:rsidR="00824C8B" w:rsidRPr="00436BC4">
        <w:t xml:space="preserve"> </w:t>
      </w:r>
      <w:r w:rsidR="005B1CF7" w:rsidRPr="00436BC4">
        <w:t>Indeed, m</w:t>
      </w:r>
      <w:r w:rsidR="00824C8B" w:rsidRPr="00436BC4">
        <w:t xml:space="preserve">agic and enchantment </w:t>
      </w:r>
      <w:r w:rsidR="00AB18E4" w:rsidRPr="00436BC4">
        <w:t xml:space="preserve">are front and centre in the narrative, entwined </w:t>
      </w:r>
      <w:r w:rsidR="006B5AD9" w:rsidRPr="00436BC4">
        <w:t xml:space="preserve">with the </w:t>
      </w:r>
      <w:r w:rsidR="003A5512">
        <w:t>everyday</w:t>
      </w:r>
      <w:r w:rsidR="006B5AD9" w:rsidRPr="00436BC4">
        <w:t xml:space="preserve"> ruling of the kingdom. </w:t>
      </w:r>
      <w:r w:rsidR="004C1254" w:rsidRPr="00436BC4">
        <w:t>A</w:t>
      </w:r>
      <w:r w:rsidR="00BF71BD" w:rsidRPr="00436BC4">
        <w:t>s they unfold</w:t>
      </w:r>
      <w:r w:rsidR="004C1254" w:rsidRPr="00436BC4">
        <w:t xml:space="preserve">, the events </w:t>
      </w:r>
      <w:r w:rsidR="00CD1FFE" w:rsidRPr="00436BC4">
        <w:t>and the characters</w:t>
      </w:r>
      <w:r w:rsidR="00452B49" w:rsidRPr="00436BC4">
        <w:t>’</w:t>
      </w:r>
      <w:r w:rsidR="004C1254" w:rsidRPr="00436BC4">
        <w:t xml:space="preserve"> </w:t>
      </w:r>
      <w:r w:rsidR="00AB18E4" w:rsidRPr="00436BC4">
        <w:t>seemingly bizarre</w:t>
      </w:r>
      <w:r w:rsidR="004C1254" w:rsidRPr="00436BC4">
        <w:t xml:space="preserve"> </w:t>
      </w:r>
      <w:r w:rsidR="00AB18E4" w:rsidRPr="00436BC4">
        <w:t>actions</w:t>
      </w:r>
      <w:r w:rsidR="004C1254" w:rsidRPr="00436BC4">
        <w:t xml:space="preserve"> and </w:t>
      </w:r>
      <w:r w:rsidR="00AB18E4" w:rsidRPr="00436BC4">
        <w:t>murky</w:t>
      </w:r>
      <w:r w:rsidR="004C1254" w:rsidRPr="00436BC4">
        <w:t xml:space="preserve"> motives create a </w:t>
      </w:r>
      <w:r w:rsidR="00AB18E4" w:rsidRPr="00436BC4">
        <w:t>sense</w:t>
      </w:r>
      <w:r w:rsidR="004C1254" w:rsidRPr="00436BC4">
        <w:t xml:space="preserve"> of </w:t>
      </w:r>
      <w:r w:rsidR="00AB18E4" w:rsidRPr="00436BC4">
        <w:t>confusion and unfamiliarity</w:t>
      </w:r>
      <w:r w:rsidR="004C1254" w:rsidRPr="00436BC4">
        <w:t xml:space="preserve"> </w:t>
      </w:r>
      <w:r w:rsidR="00452B49" w:rsidRPr="00436BC4">
        <w:t xml:space="preserve">for </w:t>
      </w:r>
      <w:r w:rsidR="00AB18E4" w:rsidRPr="00436BC4">
        <w:t xml:space="preserve">many </w:t>
      </w:r>
      <w:r w:rsidR="00452B49" w:rsidRPr="00436BC4">
        <w:t>modern reader</w:t>
      </w:r>
      <w:r w:rsidR="00167A1B" w:rsidRPr="00436BC4">
        <w:t>s</w:t>
      </w:r>
      <w:r w:rsidR="004C1254" w:rsidRPr="00436BC4">
        <w:t>.</w:t>
      </w:r>
      <w:r w:rsidR="00C92FEA" w:rsidRPr="00436BC4">
        <w:t xml:space="preserve"> </w:t>
      </w:r>
      <w:r w:rsidR="00D740FA" w:rsidRPr="00436BC4">
        <w:t>Illicit desire results in p</w:t>
      </w:r>
      <w:r w:rsidR="008E3980" w:rsidRPr="00436BC4">
        <w:t>unishment</w:t>
      </w:r>
      <w:r w:rsidR="00B41D06" w:rsidRPr="00436BC4">
        <w:t>,</w:t>
      </w:r>
      <w:r w:rsidR="00AA5115" w:rsidRPr="00436BC4">
        <w:t xml:space="preserve"> </w:t>
      </w:r>
      <w:r w:rsidR="00B41D06" w:rsidRPr="00436BC4">
        <w:t>retribution</w:t>
      </w:r>
      <w:r w:rsidR="00D14FFB" w:rsidRPr="00436BC4">
        <w:t>,</w:t>
      </w:r>
      <w:r w:rsidR="00AA5115" w:rsidRPr="00436BC4">
        <w:t xml:space="preserve"> </w:t>
      </w:r>
      <w:r w:rsidR="00B41D06" w:rsidRPr="00436BC4">
        <w:t xml:space="preserve">and </w:t>
      </w:r>
      <w:r w:rsidR="00AA5115" w:rsidRPr="00436BC4">
        <w:t>redemption</w:t>
      </w:r>
      <w:r w:rsidR="008E3980" w:rsidRPr="00436BC4">
        <w:t xml:space="preserve"> enacted upon those that transgress the</w:t>
      </w:r>
      <w:r w:rsidR="00AA7758" w:rsidRPr="00436BC4">
        <w:t xml:space="preserve"> </w:t>
      </w:r>
      <w:r w:rsidR="00AA7758" w:rsidRPr="00436BC4">
        <w:rPr>
          <w:i/>
          <w:iCs/>
        </w:rPr>
        <w:t>Fourth Branch’s</w:t>
      </w:r>
      <w:r w:rsidR="008E3980" w:rsidRPr="00436BC4">
        <w:t xml:space="preserve"> </w:t>
      </w:r>
      <w:r w:rsidR="00BF71BD" w:rsidRPr="00436BC4">
        <w:t xml:space="preserve">implied </w:t>
      </w:r>
      <w:r w:rsidR="008E3980" w:rsidRPr="00436BC4">
        <w:t>social conventions</w:t>
      </w:r>
      <w:r w:rsidR="00AC67C0" w:rsidRPr="00436BC4">
        <w:t>,</w:t>
      </w:r>
      <w:r w:rsidR="00AA5115" w:rsidRPr="00436BC4">
        <w:t xml:space="preserve"> </w:t>
      </w:r>
      <w:r w:rsidR="00AC67C0" w:rsidRPr="00436BC4">
        <w:t>alluding to</w:t>
      </w:r>
      <w:r w:rsidR="00DF3438" w:rsidRPr="00436BC4">
        <w:t xml:space="preserve"> </w:t>
      </w:r>
      <w:r w:rsidR="008E3980" w:rsidRPr="00436BC4">
        <w:t>a</w:t>
      </w:r>
      <w:r w:rsidR="00AA7758" w:rsidRPr="00436BC4">
        <w:t xml:space="preserve"> top-down</w:t>
      </w:r>
      <w:r w:rsidR="008E3980" w:rsidRPr="00436BC4">
        <w:t xml:space="preserve"> </w:t>
      </w:r>
      <w:r w:rsidR="00AA7758" w:rsidRPr="00436BC4">
        <w:t xml:space="preserve">patriarchal </w:t>
      </w:r>
      <w:r w:rsidR="008E3980" w:rsidRPr="00436BC4">
        <w:t xml:space="preserve">system of </w:t>
      </w:r>
      <w:r w:rsidR="00DF3438" w:rsidRPr="00436BC4">
        <w:t xml:space="preserve">medieval </w:t>
      </w:r>
      <w:r w:rsidR="008E3980" w:rsidRPr="00436BC4">
        <w:t xml:space="preserve">social hierarchies </w:t>
      </w:r>
      <w:r w:rsidR="00AA5115" w:rsidRPr="00436BC4">
        <w:t>and contro</w:t>
      </w:r>
      <w:r w:rsidR="0075715C" w:rsidRPr="00436BC4">
        <w:t>l</w:t>
      </w:r>
      <w:r w:rsidR="00AA7758" w:rsidRPr="00436BC4">
        <w:t>, in which gender and the social body play key roles</w:t>
      </w:r>
      <w:r w:rsidR="00AA5115" w:rsidRPr="00436BC4">
        <w:t>. The integrity of the</w:t>
      </w:r>
      <w:r w:rsidR="0075715C" w:rsidRPr="00436BC4">
        <w:t xml:space="preserve"> physical</w:t>
      </w:r>
      <w:r w:rsidR="00AA5115" w:rsidRPr="00436BC4">
        <w:t xml:space="preserve"> bodies of the characters </w:t>
      </w:r>
      <w:r w:rsidR="00811831">
        <w:t>is</w:t>
      </w:r>
      <w:r w:rsidR="00C30C38" w:rsidRPr="00436BC4">
        <w:t xml:space="preserve"> constantly invaded. </w:t>
      </w:r>
      <w:r w:rsidR="00B41D06" w:rsidRPr="00436BC4">
        <w:t>Notabl</w:t>
      </w:r>
      <w:r w:rsidR="007642D3" w:rsidRPr="00436BC4">
        <w:t>y</w:t>
      </w:r>
      <w:r w:rsidR="00B41D06" w:rsidRPr="00436BC4">
        <w:t xml:space="preserve">, despite this, </w:t>
      </w:r>
      <w:r w:rsidR="000A1E7F" w:rsidRPr="00436BC4">
        <w:t xml:space="preserve">themes of resistance and defiance </w:t>
      </w:r>
      <w:r w:rsidR="000A1E7F" w:rsidRPr="00436BC4">
        <w:lastRenderedPageBreak/>
        <w:t xml:space="preserve">feature </w:t>
      </w:r>
      <w:r w:rsidR="00D14FFB" w:rsidRPr="00436BC4">
        <w:t xml:space="preserve">just </w:t>
      </w:r>
      <w:r w:rsidR="000A1E7F" w:rsidRPr="00436BC4">
        <w:t>as prominently in the text</w:t>
      </w:r>
      <w:r w:rsidR="009C0F38">
        <w:t>,</w:t>
      </w:r>
      <w:r w:rsidR="000A1E7F" w:rsidRPr="00436BC4">
        <w:t xml:space="preserve"> creating a dialog</w:t>
      </w:r>
      <w:r w:rsidR="00952C85" w:rsidRPr="00436BC4">
        <w:t>ue</w:t>
      </w:r>
      <w:r w:rsidR="000A1E7F" w:rsidRPr="00436BC4">
        <w:t xml:space="preserve"> between those that</w:t>
      </w:r>
      <w:r w:rsidR="00A971F7" w:rsidRPr="00436BC4">
        <w:t>,</w:t>
      </w:r>
      <w:r w:rsidR="000A1E7F" w:rsidRPr="00436BC4">
        <w:t xml:space="preserve"> through their actions</w:t>
      </w:r>
      <w:r w:rsidR="00A971F7" w:rsidRPr="00436BC4">
        <w:t>,</w:t>
      </w:r>
      <w:r w:rsidR="000A1E7F" w:rsidRPr="00436BC4">
        <w:t xml:space="preserve"> </w:t>
      </w:r>
      <w:r w:rsidR="00D14FFB" w:rsidRPr="00436BC4">
        <w:t xml:space="preserve">represent a conservative voice </w:t>
      </w:r>
      <w:r w:rsidR="000A1E7F" w:rsidRPr="00436BC4">
        <w:t>uphold</w:t>
      </w:r>
      <w:r w:rsidR="00D14FFB" w:rsidRPr="00436BC4">
        <w:t>ing</w:t>
      </w:r>
      <w:r w:rsidR="000A1E7F" w:rsidRPr="00436BC4">
        <w:t xml:space="preserve"> the established hierarchie</w:t>
      </w:r>
      <w:r w:rsidR="00FE1E9F" w:rsidRPr="00436BC4">
        <w:t xml:space="preserve">s </w:t>
      </w:r>
      <w:r w:rsidR="00A971F7" w:rsidRPr="00436BC4">
        <w:t xml:space="preserve">(those </w:t>
      </w:r>
      <w:r w:rsidR="00D14FFB" w:rsidRPr="00436BC4">
        <w:t xml:space="preserve">that demand </w:t>
      </w:r>
      <w:r w:rsidR="00FE1E9F" w:rsidRPr="00436BC4">
        <w:t>conformity</w:t>
      </w:r>
      <w:r w:rsidR="00D14FFB" w:rsidRPr="00436BC4">
        <w:t xml:space="preserve"> to socially created </w:t>
      </w:r>
      <w:r w:rsidR="00FE1E9F" w:rsidRPr="00436BC4">
        <w:t>identities</w:t>
      </w:r>
      <w:r w:rsidR="00A971F7" w:rsidRPr="00436BC4">
        <w:t>)</w:t>
      </w:r>
      <w:r w:rsidR="000A1E7F" w:rsidRPr="00436BC4">
        <w:t xml:space="preserve">, and those that, actively or passively, resist </w:t>
      </w:r>
      <w:r w:rsidR="00FE1E9F" w:rsidRPr="00436BC4">
        <w:t xml:space="preserve">or contravene </w:t>
      </w:r>
      <w:r w:rsidR="000A1E7F" w:rsidRPr="00436BC4">
        <w:t xml:space="preserve">subsummation into such structures. </w:t>
      </w:r>
      <w:r w:rsidR="0075715C" w:rsidRPr="00436BC4">
        <w:t>The i</w:t>
      </w:r>
      <w:r w:rsidR="005D1E32" w:rsidRPr="00436BC4">
        <w:t>dentity, s</w:t>
      </w:r>
      <w:r w:rsidR="00C30C38" w:rsidRPr="00436BC4">
        <w:t xml:space="preserve">ex, gender, and </w:t>
      </w:r>
      <w:r w:rsidR="00ED2843" w:rsidRPr="00436BC4">
        <w:t xml:space="preserve">species </w:t>
      </w:r>
      <w:r w:rsidR="00AA7758" w:rsidRPr="00436BC4">
        <w:t xml:space="preserve">(human, animal, or vegetable) </w:t>
      </w:r>
      <w:r w:rsidR="00C30C38" w:rsidRPr="00436BC4">
        <w:t xml:space="preserve">are all frontiers that the </w:t>
      </w:r>
      <w:r w:rsidR="00C30C38" w:rsidRPr="00436BC4">
        <w:rPr>
          <w:i/>
          <w:iCs/>
        </w:rPr>
        <w:t>Fourth Branch</w:t>
      </w:r>
      <w:r w:rsidR="00C30C38" w:rsidRPr="00436BC4">
        <w:t xml:space="preserve"> trouble</w:t>
      </w:r>
      <w:r w:rsidR="00ED2843" w:rsidRPr="00436BC4">
        <w:t>s</w:t>
      </w:r>
      <w:r w:rsidR="00C30C38" w:rsidRPr="00436BC4">
        <w:t xml:space="preserve"> and </w:t>
      </w:r>
      <w:r w:rsidR="000B439B" w:rsidRPr="00436BC4">
        <w:t>subverts</w:t>
      </w:r>
      <w:r w:rsidR="00FE02AF" w:rsidRPr="00436BC4">
        <w:t xml:space="preserve">, </w:t>
      </w:r>
      <w:r w:rsidR="00C75F1F" w:rsidRPr="00436BC4">
        <w:t xml:space="preserve">where the normative and the defiant do battle, </w:t>
      </w:r>
      <w:r w:rsidR="00FE1E9F" w:rsidRPr="00436BC4">
        <w:t xml:space="preserve">and </w:t>
      </w:r>
      <w:r w:rsidR="00FE02AF" w:rsidRPr="00436BC4">
        <w:t>where</w:t>
      </w:r>
      <w:r w:rsidR="005D1E32" w:rsidRPr="00436BC4">
        <w:t xml:space="preserve"> the boundaries between </w:t>
      </w:r>
      <w:r w:rsidR="007D45FB" w:rsidRPr="00436BC4">
        <w:t>the</w:t>
      </w:r>
      <w:r w:rsidR="005D1E32" w:rsidRPr="00436BC4">
        <w:t xml:space="preserve"> natural and the un-natural are blurred. </w:t>
      </w:r>
      <w:r w:rsidR="00B41D06" w:rsidRPr="00436BC4">
        <w:t xml:space="preserve"> </w:t>
      </w:r>
    </w:p>
    <w:p w14:paraId="14C4C6AD" w14:textId="77777777" w:rsidR="003D2994" w:rsidRPr="00436BC4" w:rsidRDefault="003D2994" w:rsidP="00161827">
      <w:pPr>
        <w:spacing w:line="480" w:lineRule="auto"/>
      </w:pPr>
    </w:p>
    <w:p w14:paraId="2DB9C231" w14:textId="2761B09D" w:rsidR="005D2B4D" w:rsidRDefault="002F6D14" w:rsidP="00161827">
      <w:pPr>
        <w:spacing w:line="480" w:lineRule="auto"/>
      </w:pPr>
      <w:r w:rsidRPr="00436BC4">
        <w:t>S</w:t>
      </w:r>
      <w:r w:rsidR="00AA7758" w:rsidRPr="00436BC4">
        <w:t>cholarship</w:t>
      </w:r>
      <w:r w:rsidR="00766D15" w:rsidRPr="00436BC4">
        <w:t xml:space="preserve"> </w:t>
      </w:r>
      <w:r w:rsidR="009D7E35" w:rsidRPr="00436BC4">
        <w:t xml:space="preserve">of the </w:t>
      </w:r>
      <w:r w:rsidR="009D7E35" w:rsidRPr="00436BC4">
        <w:rPr>
          <w:i/>
          <w:iCs/>
        </w:rPr>
        <w:t xml:space="preserve">Fourth Branch </w:t>
      </w:r>
      <w:r w:rsidR="00766D15" w:rsidRPr="00436BC4">
        <w:t xml:space="preserve">has </w:t>
      </w:r>
      <w:r w:rsidR="0032376F" w:rsidRPr="00436BC4">
        <w:t>explored some of</w:t>
      </w:r>
      <w:r w:rsidR="00766D15" w:rsidRPr="00436BC4">
        <w:t xml:space="preserve"> these themes, beginning with </w:t>
      </w:r>
      <w:r w:rsidR="00D803F1" w:rsidRPr="00436BC4">
        <w:t>Roberta Valente’s article</w:t>
      </w:r>
      <w:r w:rsidR="00064C7B" w:rsidRPr="00436BC4">
        <w:t xml:space="preserve"> </w:t>
      </w:r>
      <w:r w:rsidR="00D67C91" w:rsidRPr="00436BC4">
        <w:t xml:space="preserve">in the late 1980s </w:t>
      </w:r>
      <w:r w:rsidR="00064C7B" w:rsidRPr="00436BC4">
        <w:t>on gender entitled</w:t>
      </w:r>
      <w:r w:rsidR="00D803F1" w:rsidRPr="00436BC4">
        <w:t xml:space="preserve"> </w:t>
      </w:r>
      <w:r w:rsidR="00D67C91" w:rsidRPr="00436BC4">
        <w:t>‘</w:t>
      </w:r>
      <w:r w:rsidR="00D803F1" w:rsidRPr="00436BC4">
        <w:t xml:space="preserve">Gwydion and Aranrhod: Crossing </w:t>
      </w:r>
      <w:r w:rsidR="00E71B31" w:rsidRPr="00436BC4">
        <w:t>t</w:t>
      </w:r>
      <w:r w:rsidR="00D803F1" w:rsidRPr="00436BC4">
        <w:t>he Borders of Gender in Math</w:t>
      </w:r>
      <w:r w:rsidR="00D67C91" w:rsidRPr="00436BC4">
        <w:t>’</w:t>
      </w:r>
      <w:r w:rsidR="00FD3A37" w:rsidRPr="00436BC4">
        <w:t>,</w:t>
      </w:r>
      <w:r w:rsidR="00064C7B" w:rsidRPr="00436BC4">
        <w:t xml:space="preserve"> </w:t>
      </w:r>
      <w:r w:rsidR="00801E46">
        <w:t>emerging</w:t>
      </w:r>
      <w:r w:rsidR="00064C7B" w:rsidRPr="00436BC4">
        <w:t xml:space="preserve"> from</w:t>
      </w:r>
      <w:r w:rsidR="00766D15" w:rsidRPr="00436BC4">
        <w:t xml:space="preserve"> waves of feminist discourse </w:t>
      </w:r>
      <w:r w:rsidR="00064C7B" w:rsidRPr="00436BC4">
        <w:t xml:space="preserve">encouraging </w:t>
      </w:r>
      <w:r w:rsidR="00766D15" w:rsidRPr="00436BC4">
        <w:t xml:space="preserve">a reappraisal of the </w:t>
      </w:r>
      <w:r w:rsidR="0023373C" w:rsidRPr="00436BC4">
        <w:t xml:space="preserve">approach to </w:t>
      </w:r>
      <w:r w:rsidR="00766D15" w:rsidRPr="00436BC4">
        <w:t>female characters</w:t>
      </w:r>
      <w:r w:rsidR="0023373C" w:rsidRPr="00436BC4">
        <w:t xml:space="preserve"> found in earlier scholarship</w:t>
      </w:r>
      <w:r w:rsidR="00060438" w:rsidRPr="00436BC4">
        <w:t xml:space="preserve">. </w:t>
      </w:r>
      <w:r w:rsidR="00D803F1" w:rsidRPr="00436BC4">
        <w:t>This movement was interested in h</w:t>
      </w:r>
      <w:r w:rsidR="007D5F51" w:rsidRPr="00436BC4">
        <w:t>ow gender informs both our reading of</w:t>
      </w:r>
      <w:r w:rsidR="00D803F1" w:rsidRPr="00436BC4">
        <w:t xml:space="preserve"> events and characters in</w:t>
      </w:r>
      <w:r w:rsidR="007D5F51" w:rsidRPr="00436BC4">
        <w:t xml:space="preserve"> the text, a</w:t>
      </w:r>
      <w:r w:rsidR="0023373C" w:rsidRPr="00436BC4">
        <w:t>s well as</w:t>
      </w:r>
      <w:r w:rsidR="007D5F51" w:rsidRPr="00436BC4">
        <w:t xml:space="preserve"> the nature of questions that scholars pose</w:t>
      </w:r>
      <w:r w:rsidR="0023373C" w:rsidRPr="00436BC4">
        <w:t>d</w:t>
      </w:r>
      <w:r w:rsidR="007D5F51" w:rsidRPr="00436BC4">
        <w:t xml:space="preserve"> in their analys</w:t>
      </w:r>
      <w:r w:rsidR="00E71B31" w:rsidRPr="00436BC4">
        <w:t>e</w:t>
      </w:r>
      <w:r w:rsidR="007D5F51" w:rsidRPr="00436BC4">
        <w:t>s.</w:t>
      </w:r>
      <w:r w:rsidR="007D5F51" w:rsidRPr="00436BC4">
        <w:rPr>
          <w:rStyle w:val="FootnoteReference"/>
        </w:rPr>
        <w:footnoteReference w:id="3"/>
      </w:r>
      <w:r w:rsidR="007D45FB" w:rsidRPr="00436BC4">
        <w:t xml:space="preserve"> </w:t>
      </w:r>
      <w:r w:rsidR="00B93553" w:rsidRPr="00436BC4">
        <w:t>However, beyond th</w:t>
      </w:r>
      <w:r w:rsidR="00F65051">
        <w:t>ese,</w:t>
      </w:r>
      <w:r w:rsidR="00B93553" w:rsidRPr="00436BC4">
        <w:t xml:space="preserve"> critical readings of the </w:t>
      </w:r>
      <w:r w:rsidR="0062261C">
        <w:rPr>
          <w:i/>
          <w:iCs/>
        </w:rPr>
        <w:t>Fourth Branch</w:t>
      </w:r>
      <w:r w:rsidR="0062261C">
        <w:t xml:space="preserve"> that have incorporated theories of gender, sex, and sexuality</w:t>
      </w:r>
      <w:r w:rsidR="00B93553" w:rsidRPr="00436BC4">
        <w:t xml:space="preserve">, </w:t>
      </w:r>
      <w:r w:rsidR="0062261C">
        <w:t>have</w:t>
      </w:r>
      <w:r w:rsidR="00B93553" w:rsidRPr="00436BC4">
        <w:t xml:space="preserve"> been somewhat limited in numbers</w:t>
      </w:r>
      <w:r w:rsidR="0062261C">
        <w:t xml:space="preserve"> in Celtic studies</w:t>
      </w:r>
      <w:r w:rsidR="00B93553" w:rsidRPr="00436BC4">
        <w:t>.</w:t>
      </w:r>
      <w:r w:rsidR="00B93553" w:rsidRPr="00436BC4">
        <w:rPr>
          <w:rStyle w:val="FootnoteReference"/>
        </w:rPr>
        <w:footnoteReference w:id="4"/>
      </w:r>
      <w:r w:rsidR="00B93553" w:rsidRPr="00436BC4">
        <w:t xml:space="preserve"> </w:t>
      </w:r>
      <w:r w:rsidR="002E1BCA" w:rsidRPr="00436BC4">
        <w:t xml:space="preserve">For </w:t>
      </w:r>
      <w:r w:rsidR="0010057D">
        <w:t>English and French medieval literary studies</w:t>
      </w:r>
      <w:r w:rsidR="00FE02AF" w:rsidRPr="00436BC4">
        <w:t xml:space="preserve">, such </w:t>
      </w:r>
      <w:r w:rsidR="004443D2">
        <w:t>theories</w:t>
      </w:r>
      <w:r w:rsidR="003111E3" w:rsidRPr="00436BC4">
        <w:t xml:space="preserve"> </w:t>
      </w:r>
      <w:r w:rsidR="00FE02AF" w:rsidRPr="00436BC4">
        <w:t>have</w:t>
      </w:r>
      <w:r w:rsidR="00214A0D" w:rsidRPr="00436BC4">
        <w:t xml:space="preserve"> provide</w:t>
      </w:r>
      <w:r w:rsidR="00FE02AF" w:rsidRPr="00436BC4">
        <w:t>d</w:t>
      </w:r>
      <w:r w:rsidR="006F69D3" w:rsidRPr="00436BC4">
        <w:t xml:space="preserve"> </w:t>
      </w:r>
      <w:r w:rsidR="008D2904" w:rsidRPr="00436BC4">
        <w:t>an a</w:t>
      </w:r>
      <w:r w:rsidR="00FE02AF" w:rsidRPr="00436BC4">
        <w:t>ttractive</w:t>
      </w:r>
      <w:r w:rsidR="008D2904" w:rsidRPr="00436BC4">
        <w:t xml:space="preserve"> </w:t>
      </w:r>
      <w:r w:rsidR="003111E3" w:rsidRPr="00436BC4">
        <w:t>subject</w:t>
      </w:r>
      <w:r w:rsidR="008D2904" w:rsidRPr="00436BC4">
        <w:t xml:space="preserve"> for </w:t>
      </w:r>
      <w:r w:rsidR="0062261C">
        <w:t xml:space="preserve">literary </w:t>
      </w:r>
      <w:r w:rsidR="008D2904" w:rsidRPr="00436BC4">
        <w:t>analysis</w:t>
      </w:r>
      <w:r w:rsidR="0062261C">
        <w:t xml:space="preserve"> of texts</w:t>
      </w:r>
      <w:r w:rsidR="008D2904" w:rsidRPr="00436BC4">
        <w:t>.</w:t>
      </w:r>
      <w:r w:rsidR="0010057D">
        <w:rPr>
          <w:rStyle w:val="FootnoteReference"/>
        </w:rPr>
        <w:footnoteReference w:id="5"/>
      </w:r>
      <w:r w:rsidR="008D2904" w:rsidRPr="00436BC4">
        <w:t xml:space="preserve"> </w:t>
      </w:r>
      <w:r w:rsidR="005002A9" w:rsidRPr="00436BC4">
        <w:t xml:space="preserve">Why </w:t>
      </w:r>
      <w:r w:rsidR="0010057D">
        <w:t xml:space="preserve">this has not been the case for </w:t>
      </w:r>
      <w:r w:rsidR="0010057D">
        <w:lastRenderedPageBreak/>
        <w:t xml:space="preserve">Celtic </w:t>
      </w:r>
      <w:r w:rsidR="004443D2">
        <w:t>s</w:t>
      </w:r>
      <w:r w:rsidR="0010057D">
        <w:t>tudies</w:t>
      </w:r>
      <w:r w:rsidR="00E911C4" w:rsidRPr="00436BC4">
        <w:t xml:space="preserve"> </w:t>
      </w:r>
      <w:r w:rsidR="005002A9" w:rsidRPr="00436BC4">
        <w:t>has at least been partly</w:t>
      </w:r>
      <w:r w:rsidR="00FF624F" w:rsidRPr="00436BC4">
        <w:t xml:space="preserve"> addressed </w:t>
      </w:r>
      <w:r w:rsidR="00883461" w:rsidRPr="00436BC4">
        <w:t xml:space="preserve">in the article </w:t>
      </w:r>
      <w:r w:rsidR="003B3A93">
        <w:t>‘</w:t>
      </w:r>
      <w:r w:rsidR="008D2904" w:rsidRPr="003B3A93">
        <w:t>Matrilineal Subjects: Ambiguity, Bodies and Metamorphosis in the Fourth Branch of the Mabinog</w:t>
      </w:r>
      <w:r w:rsidR="005717FA" w:rsidRPr="003B3A93">
        <w:t>i</w:t>
      </w:r>
      <w:r w:rsidR="003B3A93">
        <w:t>’</w:t>
      </w:r>
      <w:r w:rsidR="00883461" w:rsidRPr="003B3A93">
        <w:t xml:space="preserve"> </w:t>
      </w:r>
      <w:r w:rsidR="00883461" w:rsidRPr="00436BC4">
        <w:t>by Sarah Sheenan in 2009</w:t>
      </w:r>
      <w:r w:rsidR="0062261C">
        <w:t>. H</w:t>
      </w:r>
      <w:r w:rsidR="00883461" w:rsidRPr="00436BC4">
        <w:t>ere Sheenan argues</w:t>
      </w:r>
      <w:r w:rsidR="00BE2F7E" w:rsidRPr="00436BC4">
        <w:t xml:space="preserve"> that </w:t>
      </w:r>
      <w:r w:rsidR="00883461" w:rsidRPr="00436BC4">
        <w:t xml:space="preserve">the </w:t>
      </w:r>
      <w:r w:rsidR="00010D49" w:rsidRPr="00436BC4">
        <w:t xml:space="preserve">tendency </w:t>
      </w:r>
      <w:r w:rsidR="00883461" w:rsidRPr="00436BC4">
        <w:t xml:space="preserve">in </w:t>
      </w:r>
      <w:r w:rsidR="0010057D">
        <w:t>the discipline</w:t>
      </w:r>
      <w:r w:rsidR="00BE2F7E" w:rsidRPr="00436BC4">
        <w:t xml:space="preserve"> </w:t>
      </w:r>
      <w:r w:rsidR="00883461" w:rsidRPr="00436BC4">
        <w:t xml:space="preserve">to be relatively slow </w:t>
      </w:r>
      <w:r w:rsidR="00BE2F7E" w:rsidRPr="00436BC4">
        <w:t xml:space="preserve">to incorporate new theoretical approaches </w:t>
      </w:r>
      <w:r w:rsidR="0042041C" w:rsidRPr="00436BC4">
        <w:t>into its analytical tool kit</w:t>
      </w:r>
      <w:r w:rsidR="00883461" w:rsidRPr="00436BC4">
        <w:t xml:space="preserve"> can be </w:t>
      </w:r>
      <w:r w:rsidR="003C0365" w:rsidRPr="00436BC4">
        <w:t>justified as a</w:t>
      </w:r>
      <w:r w:rsidR="00010D49" w:rsidRPr="00436BC4">
        <w:t xml:space="preserve"> practical </w:t>
      </w:r>
      <w:r w:rsidR="003C0365" w:rsidRPr="00436BC4">
        <w:t>response to</w:t>
      </w:r>
      <w:r w:rsidR="00010D49" w:rsidRPr="00436BC4">
        <w:t xml:space="preserve"> some of the limitations of</w:t>
      </w:r>
      <w:r w:rsidR="00AC67C0" w:rsidRPr="00436BC4">
        <w:t xml:space="preserve"> </w:t>
      </w:r>
      <w:r w:rsidR="00010D49" w:rsidRPr="00436BC4">
        <w:t>critical</w:t>
      </w:r>
      <w:r w:rsidR="008458FB" w:rsidRPr="00436BC4">
        <w:t xml:space="preserve"> analysis</w:t>
      </w:r>
      <w:r w:rsidR="00010D49" w:rsidRPr="00436BC4">
        <w:t xml:space="preserve">. </w:t>
      </w:r>
      <w:r w:rsidR="00827046" w:rsidRPr="00436BC4">
        <w:t>She highlights</w:t>
      </w:r>
      <w:r w:rsidR="008458FB" w:rsidRPr="00436BC4">
        <w:t xml:space="preserve"> </w:t>
      </w:r>
      <w:r w:rsidR="00010D49" w:rsidRPr="00436BC4">
        <w:t>how</w:t>
      </w:r>
      <w:r w:rsidR="0042041C" w:rsidRPr="00436BC4">
        <w:t xml:space="preserve"> critical </w:t>
      </w:r>
      <w:r w:rsidR="00CF2CBC" w:rsidRPr="00436BC4">
        <w:t>approach</w:t>
      </w:r>
      <w:r w:rsidR="00827046" w:rsidRPr="00436BC4">
        <w:t>es</w:t>
      </w:r>
      <w:r w:rsidR="00096FD1" w:rsidRPr="00436BC4">
        <w:t xml:space="preserve"> s</w:t>
      </w:r>
      <w:r w:rsidR="00827046" w:rsidRPr="00436BC4">
        <w:t>u</w:t>
      </w:r>
      <w:r w:rsidR="00096FD1" w:rsidRPr="00436BC4">
        <w:t>ch as psychoanalysis, post-colonial theory</w:t>
      </w:r>
      <w:r w:rsidR="006C3898" w:rsidRPr="00436BC4">
        <w:t xml:space="preserve">, and queer theory </w:t>
      </w:r>
      <w:r w:rsidR="00096FD1" w:rsidRPr="00436BC4">
        <w:t xml:space="preserve">operate </w:t>
      </w:r>
      <w:r w:rsidR="00214A0D" w:rsidRPr="00436BC4">
        <w:t>by establishing</w:t>
      </w:r>
      <w:r w:rsidR="00096FD1" w:rsidRPr="00436BC4">
        <w:t xml:space="preserve"> a </w:t>
      </w:r>
      <w:bookmarkStart w:id="13" w:name="_Hlk175080329"/>
      <w:r w:rsidR="00010D49" w:rsidRPr="00436BC4">
        <w:t xml:space="preserve">‘societal </w:t>
      </w:r>
      <w:r w:rsidR="00096FD1" w:rsidRPr="00436BC4">
        <w:t>normative foil</w:t>
      </w:r>
      <w:r w:rsidR="00010D49" w:rsidRPr="00436BC4">
        <w:t>’</w:t>
      </w:r>
      <w:bookmarkEnd w:id="13"/>
      <w:r w:rsidR="00096FD1" w:rsidRPr="00436BC4">
        <w:t xml:space="preserve"> against which to project interpretation</w:t>
      </w:r>
      <w:r w:rsidR="008458FB" w:rsidRPr="00436BC4">
        <w:t>.</w:t>
      </w:r>
      <w:r w:rsidR="00010D49" w:rsidRPr="00436BC4">
        <w:rPr>
          <w:rStyle w:val="FootnoteReference"/>
          <w:i/>
          <w:iCs/>
        </w:rPr>
        <w:footnoteReference w:id="6"/>
      </w:r>
      <w:r w:rsidR="001301CD" w:rsidRPr="00436BC4">
        <w:t xml:space="preserve"> Developing this point</w:t>
      </w:r>
      <w:r w:rsidR="00EF5610" w:rsidRPr="00436BC4">
        <w:t xml:space="preserve"> </w:t>
      </w:r>
      <w:r w:rsidR="00E1163D" w:rsidRPr="00436BC4">
        <w:t xml:space="preserve">Sheehan remarks that </w:t>
      </w:r>
      <w:r w:rsidR="00010D49" w:rsidRPr="00436BC4">
        <w:t>the</w:t>
      </w:r>
      <w:r w:rsidR="00E1163D" w:rsidRPr="00436BC4">
        <w:t xml:space="preserve"> </w:t>
      </w:r>
      <w:r w:rsidR="00214A0D" w:rsidRPr="00436BC4">
        <w:t xml:space="preserve">medieval </w:t>
      </w:r>
      <w:r w:rsidR="00E1163D" w:rsidRPr="00436BC4">
        <w:t xml:space="preserve">Welsh occupied a distinct </w:t>
      </w:r>
      <w:r w:rsidR="00214A0D" w:rsidRPr="00436BC4">
        <w:t xml:space="preserve">fringe </w:t>
      </w:r>
      <w:r w:rsidR="00E1163D" w:rsidRPr="00436BC4">
        <w:t xml:space="preserve">population within the British Isles that were on the </w:t>
      </w:r>
      <w:r w:rsidR="00214A0D" w:rsidRPr="00436BC4">
        <w:t>edge</w:t>
      </w:r>
      <w:r w:rsidR="00E1163D" w:rsidRPr="00436BC4">
        <w:t xml:space="preserve"> of intellectual and political innovation and power </w:t>
      </w:r>
      <w:r w:rsidR="00214A0D" w:rsidRPr="00436BC4">
        <w:t xml:space="preserve">during the writing of the </w:t>
      </w:r>
      <w:r w:rsidR="00010D49" w:rsidRPr="00436BC4">
        <w:rPr>
          <w:i/>
          <w:iCs/>
        </w:rPr>
        <w:t xml:space="preserve">Four Branches of the </w:t>
      </w:r>
      <w:r w:rsidR="00214A0D" w:rsidRPr="00436BC4">
        <w:rPr>
          <w:i/>
          <w:iCs/>
        </w:rPr>
        <w:t>Mabinogi.</w:t>
      </w:r>
      <w:r w:rsidR="008C45D0" w:rsidRPr="00436BC4">
        <w:t xml:space="preserve"> </w:t>
      </w:r>
      <w:r w:rsidR="00214A0D" w:rsidRPr="00436BC4">
        <w:t>She argues</w:t>
      </w:r>
      <w:r w:rsidR="008C45D0" w:rsidRPr="00436BC4">
        <w:t xml:space="preserve"> that this </w:t>
      </w:r>
      <w:r w:rsidR="002E4DA7" w:rsidRPr="00436BC4">
        <w:t xml:space="preserve">marginal position and colonial othering during the period </w:t>
      </w:r>
      <w:r w:rsidR="001610CA" w:rsidRPr="00436BC4">
        <w:t>by the dominant cultural forces across the Isles problematises</w:t>
      </w:r>
      <w:r w:rsidR="002E4DA7" w:rsidRPr="00436BC4">
        <w:t xml:space="preserve"> an attempt to apply critical analysis to medieval</w:t>
      </w:r>
      <w:r w:rsidR="001610CA" w:rsidRPr="00436BC4">
        <w:t xml:space="preserve"> Welsh</w:t>
      </w:r>
      <w:r w:rsidR="002E4DA7" w:rsidRPr="00436BC4">
        <w:t xml:space="preserve"> texts</w:t>
      </w:r>
      <w:r w:rsidR="001610CA" w:rsidRPr="00436BC4">
        <w:t>.</w:t>
      </w:r>
      <w:r w:rsidR="00E34354" w:rsidRPr="00436BC4">
        <w:t xml:space="preserve"> </w:t>
      </w:r>
      <w:r w:rsidR="00A84C88" w:rsidRPr="00436BC4">
        <w:t xml:space="preserve">This is </w:t>
      </w:r>
      <w:r w:rsidR="00695CF3" w:rsidRPr="00436BC4">
        <w:t>because</w:t>
      </w:r>
      <w:r w:rsidR="009763AA" w:rsidRPr="00436BC4">
        <w:t>, according to Sheehan,</w:t>
      </w:r>
      <w:r w:rsidR="00010D49" w:rsidRPr="00436BC4">
        <w:t xml:space="preserve"> a central</w:t>
      </w:r>
      <w:r w:rsidR="00E34354" w:rsidRPr="00436BC4">
        <w:t xml:space="preserve"> aim of critical theory </w:t>
      </w:r>
      <w:r w:rsidR="00010D49" w:rsidRPr="00436BC4">
        <w:t>is to</w:t>
      </w:r>
      <w:r w:rsidR="00E34354" w:rsidRPr="00436BC4">
        <w:t xml:space="preserve"> comment</w:t>
      </w:r>
      <w:r w:rsidR="00010D49" w:rsidRPr="00436BC4">
        <w:t xml:space="preserve"> on</w:t>
      </w:r>
      <w:r w:rsidR="00E34354" w:rsidRPr="00436BC4">
        <w:t xml:space="preserve"> and critique wider society</w:t>
      </w:r>
      <w:r w:rsidR="00827046" w:rsidRPr="00436BC4">
        <w:t xml:space="preserve"> by revealing the social conventions that underpin it</w:t>
      </w:r>
      <w:r w:rsidR="00E34354" w:rsidRPr="00436BC4">
        <w:t>.</w:t>
      </w:r>
      <w:r w:rsidR="00E34354" w:rsidRPr="00436BC4">
        <w:rPr>
          <w:rStyle w:val="FootnoteReference"/>
        </w:rPr>
        <w:footnoteReference w:id="7"/>
      </w:r>
      <w:r w:rsidR="00C26CDA" w:rsidRPr="00436BC4">
        <w:t xml:space="preserve"> </w:t>
      </w:r>
      <w:r w:rsidR="009763AA" w:rsidRPr="00436BC4">
        <w:t>Secondly, and f</w:t>
      </w:r>
      <w:r w:rsidR="001301CD" w:rsidRPr="00436BC4">
        <w:t>urther complicating matters</w:t>
      </w:r>
      <w:r w:rsidR="005F61E8" w:rsidRPr="00436BC4">
        <w:t xml:space="preserve">, Shenan </w:t>
      </w:r>
      <w:r w:rsidR="001301CD" w:rsidRPr="00436BC4">
        <w:t>proposes</w:t>
      </w:r>
      <w:r w:rsidR="005F61E8" w:rsidRPr="00436BC4">
        <w:t xml:space="preserve"> th</w:t>
      </w:r>
      <w:r w:rsidR="008831AE" w:rsidRPr="00436BC4">
        <w:t>at th</w:t>
      </w:r>
      <w:r w:rsidR="005F61E8" w:rsidRPr="00436BC4">
        <w:t xml:space="preserve">e </w:t>
      </w:r>
      <w:r w:rsidR="005F61E8" w:rsidRPr="00436BC4">
        <w:rPr>
          <w:i/>
          <w:iCs/>
        </w:rPr>
        <w:t>Fourth Branch</w:t>
      </w:r>
      <w:r w:rsidR="005F61E8" w:rsidRPr="00436BC4">
        <w:t xml:space="preserve"> itself has what she calls ‘a pervasive </w:t>
      </w:r>
      <w:r w:rsidR="000C191D" w:rsidRPr="00436BC4">
        <w:t>ambiguity [that] complicates analysis of the Fourth Branch, and a productive reading must address that ambiguity’</w:t>
      </w:r>
      <w:r w:rsidR="00016ECB" w:rsidRPr="00436BC4">
        <w:t>.</w:t>
      </w:r>
      <w:r w:rsidR="000C191D" w:rsidRPr="00436BC4">
        <w:rPr>
          <w:rStyle w:val="FootnoteReference"/>
        </w:rPr>
        <w:footnoteReference w:id="8"/>
      </w:r>
      <w:r w:rsidR="008831AE" w:rsidRPr="00436BC4">
        <w:t xml:space="preserve"> </w:t>
      </w:r>
    </w:p>
    <w:p w14:paraId="01A3226F" w14:textId="77777777" w:rsidR="003D2994" w:rsidRPr="00436BC4" w:rsidRDefault="003D2994" w:rsidP="00161827">
      <w:pPr>
        <w:spacing w:line="480" w:lineRule="auto"/>
      </w:pPr>
    </w:p>
    <w:p w14:paraId="5B378A8F" w14:textId="412462AB" w:rsidR="00FC0A95" w:rsidRDefault="00836CC1" w:rsidP="00161827">
      <w:pPr>
        <w:spacing w:line="480" w:lineRule="auto"/>
      </w:pPr>
      <w:r w:rsidRPr="00436BC4">
        <w:t xml:space="preserve">I am in agreement with </w:t>
      </w:r>
      <w:r w:rsidR="007A66DF" w:rsidRPr="00436BC4">
        <w:t>Shenan</w:t>
      </w:r>
      <w:r w:rsidRPr="00436BC4">
        <w:t>’s point</w:t>
      </w:r>
      <w:r w:rsidR="007A66DF" w:rsidRPr="00436BC4">
        <w:t xml:space="preserve"> </w:t>
      </w:r>
      <w:r w:rsidRPr="00436BC4">
        <w:t xml:space="preserve">that it </w:t>
      </w:r>
      <w:r w:rsidR="007A66DF" w:rsidRPr="00436BC4">
        <w:t>is correct to be realistic about the limits of</w:t>
      </w:r>
      <w:r w:rsidR="00827046" w:rsidRPr="00436BC4">
        <w:t xml:space="preserve"> using</w:t>
      </w:r>
      <w:r w:rsidR="007A66DF" w:rsidRPr="00436BC4">
        <w:t xml:space="preserve"> critical theory </w:t>
      </w:r>
      <w:r w:rsidR="00827046" w:rsidRPr="00436BC4">
        <w:t>in the literary analysis of</w:t>
      </w:r>
      <w:r w:rsidR="00FB6276" w:rsidRPr="00436BC4">
        <w:t xml:space="preserve"> historical document</w:t>
      </w:r>
      <w:r w:rsidR="00CF61AC" w:rsidRPr="00436BC4">
        <w:t>s</w:t>
      </w:r>
      <w:r w:rsidR="007F3E9B" w:rsidRPr="00436BC4">
        <w:t xml:space="preserve">. </w:t>
      </w:r>
      <w:r w:rsidR="00F3039B">
        <w:t>P</w:t>
      </w:r>
      <w:r w:rsidR="00F3039B" w:rsidRPr="00436BC4">
        <w:t xml:space="preserve">revailing academic protocol </w:t>
      </w:r>
      <w:r w:rsidR="00F3039B">
        <w:t>for medieval</w:t>
      </w:r>
      <w:r w:rsidR="007F3E9B" w:rsidRPr="00436BC4">
        <w:t xml:space="preserve"> </w:t>
      </w:r>
      <w:r w:rsidR="00C54DDE" w:rsidRPr="00436BC4">
        <w:t>Celtic Studies</w:t>
      </w:r>
      <w:r w:rsidR="007F3E9B" w:rsidRPr="00436BC4">
        <w:t xml:space="preserve"> </w:t>
      </w:r>
      <w:r w:rsidR="00F3039B">
        <w:t xml:space="preserve">in </w:t>
      </w:r>
      <w:r w:rsidR="007F3E9B" w:rsidRPr="00436BC4">
        <w:t>the mid</w:t>
      </w:r>
      <w:r w:rsidR="009C0F38">
        <w:t>-</w:t>
      </w:r>
      <w:r w:rsidR="007F3E9B" w:rsidRPr="00436BC4">
        <w:t>to</w:t>
      </w:r>
      <w:r w:rsidR="009C0F38">
        <w:t>-</w:t>
      </w:r>
      <w:r w:rsidR="007F3E9B" w:rsidRPr="00436BC4">
        <w:t xml:space="preserve">late twentieth-century </w:t>
      </w:r>
      <w:r w:rsidR="00F3039B" w:rsidRPr="00436BC4">
        <w:t xml:space="preserve">remained cautious of using techniques of literary criticism found more commonly in English and French studies </w:t>
      </w:r>
      <w:r w:rsidR="00FB6276" w:rsidRPr="00436BC4">
        <w:t xml:space="preserve">when commenting on </w:t>
      </w:r>
      <w:r w:rsidR="00F942FD" w:rsidRPr="00436BC4">
        <w:t>medieval</w:t>
      </w:r>
      <w:r w:rsidR="00F3039B">
        <w:t xml:space="preserve"> literature</w:t>
      </w:r>
      <w:r w:rsidR="00BA29F0" w:rsidRPr="00436BC4">
        <w:t>. This</w:t>
      </w:r>
      <w:r w:rsidR="00BA5518" w:rsidRPr="00436BC4">
        <w:t xml:space="preserve"> reluctance to expand </w:t>
      </w:r>
      <w:r w:rsidR="009C0F38">
        <w:t xml:space="preserve">such </w:t>
      </w:r>
      <w:r w:rsidR="00BA5518" w:rsidRPr="00436BC4">
        <w:t>narrow</w:t>
      </w:r>
      <w:r w:rsidR="009C0F38">
        <w:t>-</w:t>
      </w:r>
      <w:r w:rsidR="00BA5518" w:rsidRPr="00436BC4">
        <w:t xml:space="preserve">focus work to relate </w:t>
      </w:r>
      <w:r w:rsidR="00BA29F0" w:rsidRPr="00436BC4">
        <w:t>to</w:t>
      </w:r>
      <w:r w:rsidR="00BA5518" w:rsidRPr="00436BC4">
        <w:t xml:space="preserve"> a larger </w:t>
      </w:r>
      <w:r w:rsidR="00BA29F0" w:rsidRPr="00436BC4">
        <w:t xml:space="preserve">social-historical </w:t>
      </w:r>
      <w:r w:rsidR="00BA29F0" w:rsidRPr="00436BC4">
        <w:lastRenderedPageBreak/>
        <w:t>context</w:t>
      </w:r>
      <w:r w:rsidR="009C0F38">
        <w:t>,</w:t>
      </w:r>
      <w:r w:rsidR="00BA29F0" w:rsidRPr="00436BC4">
        <w:t xml:space="preserve"> </w:t>
      </w:r>
      <w:r w:rsidR="00BA5518" w:rsidRPr="00436BC4">
        <w:t xml:space="preserve">as Shenan says, </w:t>
      </w:r>
      <w:r w:rsidR="00BA29F0" w:rsidRPr="00436BC4">
        <w:t>can be partly attributed to</w:t>
      </w:r>
      <w:r w:rsidR="00BA5518" w:rsidRPr="00436BC4">
        <w:t xml:space="preserve"> limitations of the historical method itself</w:t>
      </w:r>
      <w:r w:rsidR="00AC339C" w:rsidRPr="00436BC4">
        <w:t>. Translati</w:t>
      </w:r>
      <w:r w:rsidR="0065298D" w:rsidRPr="00436BC4">
        <w:t xml:space="preserve">ng </w:t>
      </w:r>
      <w:r w:rsidR="007F3E9B" w:rsidRPr="00436BC4">
        <w:t>manuscripts</w:t>
      </w:r>
      <w:r w:rsidR="00BA5518" w:rsidRPr="00436BC4">
        <w:t xml:space="preserve"> </w:t>
      </w:r>
      <w:r w:rsidR="008130B7" w:rsidRPr="00436BC4">
        <w:t>in such a way</w:t>
      </w:r>
      <w:r w:rsidR="00BA5518" w:rsidRPr="00436BC4">
        <w:t xml:space="preserve"> as to preserve </w:t>
      </w:r>
      <w:r w:rsidR="008130B7" w:rsidRPr="00436BC4">
        <w:t xml:space="preserve">the </w:t>
      </w:r>
      <w:r w:rsidR="00BA5518" w:rsidRPr="00436BC4">
        <w:t xml:space="preserve">authenticity of the message whilst also communicating historical </w:t>
      </w:r>
      <w:r w:rsidR="00BA29F0" w:rsidRPr="00436BC4">
        <w:t>socio-</w:t>
      </w:r>
      <w:r w:rsidR="00BA5518" w:rsidRPr="00436BC4">
        <w:t xml:space="preserve">cultural messages to the modern reader is a difficult balancing act, and documents </w:t>
      </w:r>
      <w:r w:rsidR="007F3E9B" w:rsidRPr="00436BC4">
        <w:t>written in the Celtic languages</w:t>
      </w:r>
      <w:r w:rsidR="0065298D" w:rsidRPr="00436BC4">
        <w:t xml:space="preserve"> pose unique challenges to interpretation, without the compounding effect of </w:t>
      </w:r>
      <w:r w:rsidR="00AC339C" w:rsidRPr="00436BC4">
        <w:t>textual uncertainties or inconsistencies</w:t>
      </w:r>
      <w:r w:rsidR="0065298D" w:rsidRPr="00436BC4">
        <w:t>.</w:t>
      </w:r>
      <w:r w:rsidR="00EC6930">
        <w:rPr>
          <w:rStyle w:val="FootnoteReference"/>
        </w:rPr>
        <w:footnoteReference w:id="9"/>
      </w:r>
      <w:r w:rsidR="0065298D" w:rsidRPr="00436BC4">
        <w:t xml:space="preserve"> Additionally</w:t>
      </w:r>
      <w:r w:rsidR="004E3141" w:rsidRPr="00436BC4">
        <w:t>,</w:t>
      </w:r>
      <w:r w:rsidR="0065298D" w:rsidRPr="00436BC4">
        <w:t xml:space="preserve"> t</w:t>
      </w:r>
      <w:r w:rsidR="00FC0A95" w:rsidRPr="00436BC4">
        <w:t>he</w:t>
      </w:r>
      <w:r w:rsidR="00585E61" w:rsidRPr="00436BC4">
        <w:t xml:space="preserve"> </w:t>
      </w:r>
      <w:r w:rsidR="00FC0A95" w:rsidRPr="00436BC4">
        <w:t>understandable drive during the</w:t>
      </w:r>
      <w:r w:rsidR="00002BF0" w:rsidRPr="00436BC4">
        <w:t xml:space="preserve"> second half of the</w:t>
      </w:r>
      <w:r w:rsidR="00FC0A95" w:rsidRPr="00436BC4">
        <w:t xml:space="preserve"> twentieth century</w:t>
      </w:r>
      <w:r w:rsidR="004E3141" w:rsidRPr="00436BC4">
        <w:t xml:space="preserve"> in Celtic Studies </w:t>
      </w:r>
      <w:r w:rsidR="00FC0A95" w:rsidRPr="00436BC4">
        <w:t xml:space="preserve">to move out from under the shadow of </w:t>
      </w:r>
      <w:r w:rsidR="00BA29F0" w:rsidRPr="00436BC4">
        <w:t xml:space="preserve">the </w:t>
      </w:r>
      <w:r w:rsidR="00FC0A95" w:rsidRPr="00436BC4">
        <w:t xml:space="preserve">Celtic </w:t>
      </w:r>
      <w:r w:rsidR="0065298D" w:rsidRPr="00436BC4">
        <w:t xml:space="preserve">exoticisation </w:t>
      </w:r>
      <w:r w:rsidR="004E3141" w:rsidRPr="00436BC4">
        <w:t>of</w:t>
      </w:r>
      <w:r w:rsidR="0065298D" w:rsidRPr="00436BC4">
        <w:t xml:space="preserve"> the </w:t>
      </w:r>
      <w:r w:rsidR="00BA29F0" w:rsidRPr="00436BC4">
        <w:t>R</w:t>
      </w:r>
      <w:r w:rsidR="0065298D" w:rsidRPr="00436BC4">
        <w:t>omantic period,</w:t>
      </w:r>
      <w:r w:rsidR="00FC0A95" w:rsidRPr="00436BC4">
        <w:t xml:space="preserve"> and</w:t>
      </w:r>
      <w:r w:rsidR="0065298D" w:rsidRPr="00436BC4">
        <w:t xml:space="preserve"> the ever popular</w:t>
      </w:r>
      <w:r w:rsidR="00FC0A95" w:rsidRPr="00436BC4">
        <w:t xml:space="preserve"> </w:t>
      </w:r>
      <w:r w:rsidR="003B3A93">
        <w:t>‘</w:t>
      </w:r>
      <w:r w:rsidR="00FC0A95" w:rsidRPr="00436BC4">
        <w:t xml:space="preserve">pre-Christian </w:t>
      </w:r>
      <w:r w:rsidR="004E3141" w:rsidRPr="00436BC4">
        <w:t xml:space="preserve">pagan </w:t>
      </w:r>
      <w:r w:rsidR="00FC0A95" w:rsidRPr="00436BC4">
        <w:t>myth finders</w:t>
      </w:r>
      <w:r w:rsidR="003B3A93">
        <w:t>’</w:t>
      </w:r>
      <w:r w:rsidR="009C0F38">
        <w:t>,</w:t>
      </w:r>
      <w:r w:rsidR="00002BF0" w:rsidRPr="00436BC4">
        <w:t xml:space="preserve"> led to </w:t>
      </w:r>
      <w:r w:rsidR="00BA29F0" w:rsidRPr="00436BC4">
        <w:t>a</w:t>
      </w:r>
      <w:r w:rsidR="0065298D" w:rsidRPr="00436BC4">
        <w:t xml:space="preserve"> situation in Celtic studies where, as </w:t>
      </w:r>
      <w:r w:rsidR="00002BF0" w:rsidRPr="00436BC4">
        <w:t>Mary</w:t>
      </w:r>
      <w:r w:rsidR="00B50093" w:rsidRPr="00436BC4">
        <w:t>-Ann</w:t>
      </w:r>
      <w:r w:rsidR="00002BF0" w:rsidRPr="00436BC4">
        <w:t xml:space="preserve"> </w:t>
      </w:r>
      <w:r w:rsidR="00F942FD" w:rsidRPr="00436BC4">
        <w:t xml:space="preserve">Constantine </w:t>
      </w:r>
      <w:r w:rsidR="00002BF0" w:rsidRPr="00436BC4">
        <w:t>notes, ‘establishing critical texts has been the priority; literary criticism has not’</w:t>
      </w:r>
      <w:r w:rsidR="0065298D" w:rsidRPr="00436BC4">
        <w:t>.</w:t>
      </w:r>
      <w:r w:rsidR="00002BF0" w:rsidRPr="00436BC4">
        <w:rPr>
          <w:rStyle w:val="FootnoteReference"/>
        </w:rPr>
        <w:footnoteReference w:id="10"/>
      </w:r>
    </w:p>
    <w:p w14:paraId="65762A98" w14:textId="77777777" w:rsidR="003D2994" w:rsidRPr="00436BC4" w:rsidRDefault="003D2994" w:rsidP="00161827">
      <w:pPr>
        <w:spacing w:line="480" w:lineRule="auto"/>
      </w:pPr>
    </w:p>
    <w:p w14:paraId="2C131F07" w14:textId="2A1C9FB8" w:rsidR="00A057F7" w:rsidRDefault="00701589" w:rsidP="00161827">
      <w:pPr>
        <w:spacing w:line="480" w:lineRule="auto"/>
      </w:pPr>
      <w:r w:rsidRPr="00436BC4">
        <w:t>However, th</w:t>
      </w:r>
      <w:r w:rsidR="008223AE">
        <w:t>is</w:t>
      </w:r>
      <w:r w:rsidRPr="00436BC4">
        <w:t xml:space="preserve"> </w:t>
      </w:r>
      <w:r w:rsidR="009A57C7">
        <w:t xml:space="preserve">may be </w:t>
      </w:r>
      <w:r w:rsidR="008223AE">
        <w:t>coming to an end</w:t>
      </w:r>
      <w:r w:rsidRPr="00436BC4">
        <w:t xml:space="preserve">. </w:t>
      </w:r>
      <w:r w:rsidR="006328BF" w:rsidRPr="009C0F38">
        <w:rPr>
          <w:i/>
          <w:iCs/>
        </w:rPr>
        <w:t>Encyclopaedia Britanica</w:t>
      </w:r>
      <w:r w:rsidR="006328BF" w:rsidRPr="00436BC4">
        <w:t xml:space="preserve"> states that critical theory</w:t>
      </w:r>
      <w:r w:rsidR="00595C10">
        <w:t>,</w:t>
      </w:r>
      <w:r w:rsidR="006328BF" w:rsidRPr="00436BC4">
        <w:t xml:space="preserve"> </w:t>
      </w:r>
      <w:bookmarkStart w:id="14" w:name="_Hlk173413304"/>
      <w:r w:rsidR="00B71353" w:rsidRPr="00436BC4">
        <w:t>a</w:t>
      </w:r>
      <w:r w:rsidR="006328BF" w:rsidRPr="00436BC4">
        <w:t xml:space="preserve">s </w:t>
      </w:r>
      <w:r w:rsidR="00D84E34" w:rsidRPr="00436BC4">
        <w:t xml:space="preserve">a </w:t>
      </w:r>
      <w:r w:rsidR="006328BF" w:rsidRPr="00436BC4">
        <w:t>social and philosophical movement</w:t>
      </w:r>
      <w:r w:rsidR="00B71353" w:rsidRPr="00436BC4">
        <w:t>,</w:t>
      </w:r>
      <w:r w:rsidR="006328BF" w:rsidRPr="00436BC4">
        <w:t xml:space="preserve"> critique</w:t>
      </w:r>
      <w:r w:rsidR="00D84E34" w:rsidRPr="00436BC4">
        <w:t>s</w:t>
      </w:r>
      <w:r w:rsidR="006328BF" w:rsidRPr="00436BC4">
        <w:t xml:space="preserve"> subconscious </w:t>
      </w:r>
      <w:r w:rsidR="00873453" w:rsidRPr="00436BC4">
        <w:t xml:space="preserve">and/or structural </w:t>
      </w:r>
      <w:r w:rsidR="006328BF" w:rsidRPr="00436BC4">
        <w:t xml:space="preserve">cultural norms and systems of power </w:t>
      </w:r>
      <w:r w:rsidR="00873453" w:rsidRPr="00436BC4">
        <w:t>through which people are oppressed</w:t>
      </w:r>
      <w:r w:rsidR="008946DE" w:rsidRPr="00436BC4">
        <w:t>.</w:t>
      </w:r>
      <w:r w:rsidR="00873453" w:rsidRPr="00436BC4">
        <w:rPr>
          <w:rStyle w:val="FootnoteReference"/>
        </w:rPr>
        <w:footnoteReference w:id="11"/>
      </w:r>
      <w:r w:rsidR="006328BF" w:rsidRPr="00436BC4">
        <w:t xml:space="preserve"> </w:t>
      </w:r>
      <w:bookmarkEnd w:id="14"/>
      <w:r w:rsidR="008946DE" w:rsidRPr="00436BC4">
        <w:t>L</w:t>
      </w:r>
      <w:r w:rsidR="00873453" w:rsidRPr="00436BC4">
        <w:t xml:space="preserve">iterary </w:t>
      </w:r>
      <w:r w:rsidR="00D84E34" w:rsidRPr="00436BC4">
        <w:t xml:space="preserve">analysis of historical texts </w:t>
      </w:r>
      <w:r w:rsidR="008946DE" w:rsidRPr="00436BC4">
        <w:t xml:space="preserve">draws on critical </w:t>
      </w:r>
      <w:r w:rsidR="00D84E34" w:rsidRPr="00436BC4">
        <w:t>theory, applying the framework of critical movements</w:t>
      </w:r>
      <w:r w:rsidR="00FD248E" w:rsidRPr="00436BC4">
        <w:t xml:space="preserve"> to</w:t>
      </w:r>
      <w:r w:rsidR="008946DE" w:rsidRPr="00436BC4">
        <w:t xml:space="preserve"> </w:t>
      </w:r>
      <w:r w:rsidR="00FD248E" w:rsidRPr="00436BC4">
        <w:t>deepen</w:t>
      </w:r>
      <w:r w:rsidR="00873453" w:rsidRPr="00436BC4">
        <w:t xml:space="preserve"> understanding o</w:t>
      </w:r>
      <w:r w:rsidR="00FD248E" w:rsidRPr="00436BC4">
        <w:t xml:space="preserve">f </w:t>
      </w:r>
      <w:r w:rsidR="00873453" w:rsidRPr="00436BC4">
        <w:t>texts</w:t>
      </w:r>
      <w:r w:rsidR="008946DE" w:rsidRPr="00436BC4">
        <w:t>, revealing how they</w:t>
      </w:r>
      <w:r w:rsidR="00873453" w:rsidRPr="00436BC4">
        <w:t xml:space="preserve"> are shaped by </w:t>
      </w:r>
      <w:r w:rsidR="00FD248E" w:rsidRPr="00436BC4">
        <w:t>social</w:t>
      </w:r>
      <w:r w:rsidR="00D84E34" w:rsidRPr="00436BC4">
        <w:t xml:space="preserve">ly constructed norms of period </w:t>
      </w:r>
      <w:r w:rsidR="00D84E34" w:rsidRPr="00436BC4">
        <w:rPr>
          <w:i/>
          <w:iCs/>
        </w:rPr>
        <w:t>and</w:t>
      </w:r>
      <w:r w:rsidR="00D84E34" w:rsidRPr="00436BC4">
        <w:t xml:space="preserve"> also by our own as readers</w:t>
      </w:r>
      <w:r w:rsidR="006328BF" w:rsidRPr="00436BC4">
        <w:t xml:space="preserve">. </w:t>
      </w:r>
      <w:r w:rsidR="00D84E34" w:rsidRPr="00436BC4">
        <w:t>Regarding this point</w:t>
      </w:r>
      <w:r w:rsidR="00FD248E" w:rsidRPr="00436BC4">
        <w:t xml:space="preserve">, </w:t>
      </w:r>
      <w:r w:rsidR="00B00FA3" w:rsidRPr="00436BC4">
        <w:t xml:space="preserve">Peter </w:t>
      </w:r>
      <w:r w:rsidR="00251123" w:rsidRPr="00436BC4">
        <w:t>Barry states that</w:t>
      </w:r>
      <w:r w:rsidR="00595C10">
        <w:t>,</w:t>
      </w:r>
      <w:r w:rsidR="00251123" w:rsidRPr="00436BC4">
        <w:t xml:space="preserve"> at the most basic level, </w:t>
      </w:r>
      <w:r w:rsidR="000174A1" w:rsidRPr="00436BC4">
        <w:t>theoretical approaches</w:t>
      </w:r>
      <w:r w:rsidR="00251123" w:rsidRPr="00436BC4">
        <w:t xml:space="preserve"> </w:t>
      </w:r>
      <w:r w:rsidR="00220781" w:rsidRPr="00436BC4">
        <w:t xml:space="preserve">in literature </w:t>
      </w:r>
      <w:r w:rsidR="00251123" w:rsidRPr="00436BC4">
        <w:t xml:space="preserve">are </w:t>
      </w:r>
      <w:r w:rsidR="00436BC4" w:rsidRPr="00436BC4">
        <w:t>‘</w:t>
      </w:r>
      <w:r w:rsidR="00251123" w:rsidRPr="00436BC4">
        <w:t>a reaction against something which went before</w:t>
      </w:r>
      <w:r w:rsidR="00436BC4" w:rsidRPr="00436BC4">
        <w:t>’</w:t>
      </w:r>
      <w:r w:rsidR="00251123" w:rsidRPr="00436BC4">
        <w:t>.</w:t>
      </w:r>
      <w:r w:rsidR="00251123" w:rsidRPr="00436BC4">
        <w:rPr>
          <w:rStyle w:val="FootnoteReference"/>
        </w:rPr>
        <w:footnoteReference w:id="12"/>
      </w:r>
      <w:r w:rsidR="00185368" w:rsidRPr="00436BC4">
        <w:t xml:space="preserve"> As </w:t>
      </w:r>
      <w:r w:rsidR="00F86073">
        <w:t>f</w:t>
      </w:r>
      <w:r w:rsidR="00D84E34" w:rsidRPr="00436BC4">
        <w:t xml:space="preserve">eminist movements and activism inspired </w:t>
      </w:r>
      <w:r w:rsidR="00185368" w:rsidRPr="00436BC4">
        <w:t xml:space="preserve">Welsh medieval </w:t>
      </w:r>
      <w:r w:rsidR="00220781" w:rsidRPr="00436BC4">
        <w:t xml:space="preserve">literary </w:t>
      </w:r>
      <w:r w:rsidR="00185368" w:rsidRPr="00436BC4">
        <w:t xml:space="preserve">scholarship in the 80s and 90s </w:t>
      </w:r>
      <w:r w:rsidR="00100C2C">
        <w:t>increased interest in</w:t>
      </w:r>
      <w:r w:rsidR="00185368" w:rsidRPr="00436BC4">
        <w:t xml:space="preserve"> the </w:t>
      </w:r>
      <w:r w:rsidR="00185368" w:rsidRPr="00436BC4">
        <w:lastRenderedPageBreak/>
        <w:t xml:space="preserve">experiences of women </w:t>
      </w:r>
      <w:r w:rsidR="000F509B" w:rsidRPr="00436BC4">
        <w:t>in</w:t>
      </w:r>
      <w:r w:rsidR="00185368" w:rsidRPr="00436BC4">
        <w:t xml:space="preserve"> the </w:t>
      </w:r>
      <w:r w:rsidR="00185368" w:rsidRPr="00436BC4">
        <w:rPr>
          <w:i/>
          <w:iCs/>
        </w:rPr>
        <w:t>Four Branches</w:t>
      </w:r>
      <w:r w:rsidR="000F509B" w:rsidRPr="00436BC4">
        <w:t>,</w:t>
      </w:r>
      <w:r w:rsidR="00F86073">
        <w:rPr>
          <w:rStyle w:val="FootnoteReference"/>
        </w:rPr>
        <w:footnoteReference w:id="13"/>
      </w:r>
      <w:r w:rsidR="000F509B" w:rsidRPr="00436BC4">
        <w:t xml:space="preserve"> the</w:t>
      </w:r>
      <w:r w:rsidR="00F86F21" w:rsidRPr="00436BC4">
        <w:t xml:space="preserve"> subsequent</w:t>
      </w:r>
      <w:r w:rsidR="000F509B" w:rsidRPr="00436BC4">
        <w:t xml:space="preserve"> </w:t>
      </w:r>
      <w:r w:rsidR="00D84E34" w:rsidRPr="00436BC4">
        <w:t>critiqu</w:t>
      </w:r>
      <w:r w:rsidR="000F509B" w:rsidRPr="00436BC4">
        <w:t>e of</w:t>
      </w:r>
      <w:r w:rsidR="00D84E34" w:rsidRPr="00436BC4">
        <w:t xml:space="preserve"> </w:t>
      </w:r>
      <w:r w:rsidR="00185368" w:rsidRPr="00436BC4">
        <w:t xml:space="preserve">the </w:t>
      </w:r>
      <w:r w:rsidR="00D84E34" w:rsidRPr="00436BC4">
        <w:t>male</w:t>
      </w:r>
      <w:r w:rsidR="0020635E">
        <w:t>-</w:t>
      </w:r>
      <w:r w:rsidR="00D84E34" w:rsidRPr="00436BC4">
        <w:t xml:space="preserve">centred, </w:t>
      </w:r>
      <w:r w:rsidR="006D0E6B" w:rsidRPr="00436BC4">
        <w:t xml:space="preserve">reconstructive ‘original </w:t>
      </w:r>
      <w:r w:rsidR="00185368" w:rsidRPr="00436BC4">
        <w:t>myth</w:t>
      </w:r>
      <w:r w:rsidR="006D0E6B" w:rsidRPr="00436BC4">
        <w:t xml:space="preserve">-finding’ approach that </w:t>
      </w:r>
      <w:r w:rsidR="00185368" w:rsidRPr="00436BC4">
        <w:t>dominated before</w:t>
      </w:r>
      <w:r w:rsidR="006328BF" w:rsidRPr="00436BC4">
        <w:t xml:space="preserve">, </w:t>
      </w:r>
      <w:r w:rsidR="00F86F21" w:rsidRPr="00436BC4">
        <w:t>exposed</w:t>
      </w:r>
      <w:r w:rsidR="000F509B" w:rsidRPr="00436BC4">
        <w:t xml:space="preserve"> the contemporary social norms and expectations </w:t>
      </w:r>
      <w:r w:rsidR="003D3769" w:rsidRPr="00436BC4">
        <w:t>regarding</w:t>
      </w:r>
      <w:r w:rsidR="000F509B" w:rsidRPr="00436BC4">
        <w:t xml:space="preserve"> gender that was embedded in </w:t>
      </w:r>
      <w:r w:rsidR="003D3769" w:rsidRPr="00436BC4">
        <w:t>older</w:t>
      </w:r>
      <w:r w:rsidR="000F509B" w:rsidRPr="00436BC4">
        <w:t xml:space="preserve"> scholarship.</w:t>
      </w:r>
    </w:p>
    <w:p w14:paraId="005309BC" w14:textId="77777777" w:rsidR="003D2994" w:rsidRPr="00436BC4" w:rsidRDefault="003D2994" w:rsidP="00161827">
      <w:pPr>
        <w:spacing w:line="480" w:lineRule="auto"/>
      </w:pPr>
    </w:p>
    <w:p w14:paraId="1EF1DDC3" w14:textId="63B0E7B9" w:rsidR="00A057F7" w:rsidRDefault="0035225F" w:rsidP="00161827">
      <w:pPr>
        <w:spacing w:line="480" w:lineRule="auto"/>
      </w:pPr>
      <w:r w:rsidRPr="00436BC4">
        <w:t>T</w:t>
      </w:r>
      <w:r w:rsidR="00A057F7" w:rsidRPr="00436BC4">
        <w:t>his dissertation demonstrate</w:t>
      </w:r>
      <w:r w:rsidRPr="00436BC4">
        <w:t>s</w:t>
      </w:r>
      <w:r w:rsidR="00A057F7" w:rsidRPr="00436BC4">
        <w:t xml:space="preserve"> that the tools of literary criticism</w:t>
      </w:r>
      <w:r w:rsidR="009D7E35" w:rsidRPr="00436BC4">
        <w:t xml:space="preserve">, </w:t>
      </w:r>
      <w:r w:rsidR="00AD6172" w:rsidRPr="00436BC4">
        <w:t>specifically</w:t>
      </w:r>
      <w:r w:rsidR="009D7E35" w:rsidRPr="00436BC4">
        <w:t xml:space="preserve"> </w:t>
      </w:r>
      <w:r w:rsidR="00FA07A7">
        <w:t xml:space="preserve">those of </w:t>
      </w:r>
      <w:r w:rsidR="009D7E35" w:rsidRPr="00436BC4">
        <w:t>queer theory,</w:t>
      </w:r>
      <w:r w:rsidR="00A057F7" w:rsidRPr="00436BC4">
        <w:t xml:space="preserve"> </w:t>
      </w:r>
      <w:r w:rsidR="00CF2CBC" w:rsidRPr="00436BC4">
        <w:t>c</w:t>
      </w:r>
      <w:r w:rsidR="00A057F7" w:rsidRPr="00436BC4">
        <w:t xml:space="preserve">an be used to provide </w:t>
      </w:r>
      <w:r w:rsidR="00797082" w:rsidRPr="00436BC4">
        <w:t>new</w:t>
      </w:r>
      <w:r w:rsidR="00A057F7" w:rsidRPr="00436BC4">
        <w:t xml:space="preserve"> perspective</w:t>
      </w:r>
      <w:r w:rsidR="00797082" w:rsidRPr="00436BC4">
        <w:t>s</w:t>
      </w:r>
      <w:r w:rsidR="00A057F7" w:rsidRPr="00436BC4">
        <w:t xml:space="preserve"> and insight</w:t>
      </w:r>
      <w:r w:rsidR="00797082" w:rsidRPr="00436BC4">
        <w:t>s</w:t>
      </w:r>
      <w:r w:rsidR="00A057F7" w:rsidRPr="00436BC4">
        <w:t xml:space="preserve"> into the events that transpire in the </w:t>
      </w:r>
      <w:r w:rsidR="00A057F7" w:rsidRPr="00436BC4">
        <w:rPr>
          <w:i/>
          <w:iCs/>
        </w:rPr>
        <w:t>Fourth Branch</w:t>
      </w:r>
      <w:r w:rsidR="00797082" w:rsidRPr="00436BC4">
        <w:t>, and shine a light onto the invisible basis of the scholarship itself</w:t>
      </w:r>
      <w:r w:rsidR="00A057F7" w:rsidRPr="00436BC4">
        <w:rPr>
          <w:i/>
          <w:iCs/>
        </w:rPr>
        <w:t>.</w:t>
      </w:r>
      <w:r w:rsidR="00A057F7" w:rsidRPr="00436BC4">
        <w:t xml:space="preserve"> </w:t>
      </w:r>
      <w:r w:rsidR="0039232B" w:rsidRPr="00436BC4">
        <w:t>A</w:t>
      </w:r>
      <w:r w:rsidR="00CF4354" w:rsidRPr="00436BC4">
        <w:t>s</w:t>
      </w:r>
      <w:r w:rsidR="0039232B" w:rsidRPr="00436BC4">
        <w:t xml:space="preserve"> a queer Welsh person</w:t>
      </w:r>
      <w:r w:rsidR="00AD6172" w:rsidRPr="00436BC4">
        <w:t>,</w:t>
      </w:r>
      <w:r w:rsidR="0039232B" w:rsidRPr="00436BC4">
        <w:t xml:space="preserve"> </w:t>
      </w:r>
      <w:r w:rsidR="00AD6172" w:rsidRPr="00436BC4">
        <w:t>when I first began rereading</w:t>
      </w:r>
      <w:r w:rsidR="00B70B8E" w:rsidRPr="00436BC4">
        <w:t xml:space="preserve"> English </w:t>
      </w:r>
      <w:r w:rsidR="0039232B" w:rsidRPr="00436BC4">
        <w:t xml:space="preserve">translations </w:t>
      </w:r>
      <w:r w:rsidR="00CF2CBC" w:rsidRPr="00436BC4">
        <w:t xml:space="preserve">of the </w:t>
      </w:r>
      <w:r w:rsidR="00CF2CBC" w:rsidRPr="00436BC4">
        <w:rPr>
          <w:i/>
          <w:iCs/>
        </w:rPr>
        <w:t xml:space="preserve">Four Branches </w:t>
      </w:r>
      <w:r w:rsidR="0039232B" w:rsidRPr="00436BC4">
        <w:t>as an adult, it seem</w:t>
      </w:r>
      <w:r w:rsidR="00AD6172" w:rsidRPr="00436BC4">
        <w:t>ed</w:t>
      </w:r>
      <w:r w:rsidR="0039232B" w:rsidRPr="00436BC4">
        <w:t xml:space="preserve"> obvious</w:t>
      </w:r>
      <w:r w:rsidR="00AD6172" w:rsidRPr="00436BC4">
        <w:t xml:space="preserve"> to me</w:t>
      </w:r>
      <w:r w:rsidR="0039232B" w:rsidRPr="00436BC4">
        <w:t xml:space="preserve"> that the text itself contained a multitude of parallels with contemporary queer experience. Family ostracization, disowning of children, moral policing of sexuality, disrupted coming of age markers, and the difficult relationship between identity and physical body are experiences that are part of past and</w:t>
      </w:r>
      <w:r w:rsidR="00A85C9F">
        <w:t>,</w:t>
      </w:r>
      <w:r w:rsidR="0039232B" w:rsidRPr="00436BC4">
        <w:t xml:space="preserve"> for many, present LGBT+ experiences within Wales</w:t>
      </w:r>
      <w:r w:rsidR="00A057F7" w:rsidRPr="00436BC4">
        <w:t>.</w:t>
      </w:r>
      <w:r w:rsidR="0039232B" w:rsidRPr="00436BC4">
        <w:t xml:space="preserve"> </w:t>
      </w:r>
      <w:r w:rsidR="00797082" w:rsidRPr="00436BC4">
        <w:t>Th</w:t>
      </w:r>
      <w:r w:rsidR="00C22304" w:rsidRPr="00436BC4">
        <w:t xml:space="preserve">e </w:t>
      </w:r>
      <w:r w:rsidR="00797082" w:rsidRPr="00436BC4">
        <w:t xml:space="preserve">theoretical </w:t>
      </w:r>
      <w:r w:rsidR="00C22304" w:rsidRPr="00436BC4">
        <w:t xml:space="preserve">tools </w:t>
      </w:r>
      <w:r w:rsidR="00797082" w:rsidRPr="00436BC4">
        <w:t xml:space="preserve">of </w:t>
      </w:r>
      <w:r w:rsidR="00C22304" w:rsidRPr="00436BC4">
        <w:t xml:space="preserve">queer theory </w:t>
      </w:r>
      <w:r w:rsidR="00AF7A4F" w:rsidRPr="00436BC4">
        <w:t>provide a new means of interacting with</w:t>
      </w:r>
      <w:r w:rsidR="00C22304" w:rsidRPr="00436BC4">
        <w:t xml:space="preserve"> the narrative. </w:t>
      </w:r>
      <w:r w:rsidR="00893147" w:rsidRPr="00436BC4">
        <w:t>Concepts built on</w:t>
      </w:r>
      <w:r w:rsidR="00AF7A4F" w:rsidRPr="00436BC4">
        <w:t xml:space="preserve"> </w:t>
      </w:r>
      <w:r w:rsidR="00C22304" w:rsidRPr="00436BC4">
        <w:t xml:space="preserve">Foucault’s notion of </w:t>
      </w:r>
      <w:r w:rsidR="0023765A">
        <w:t xml:space="preserve">‘episteme’ </w:t>
      </w:r>
      <w:r w:rsidR="00893147" w:rsidRPr="00436BC4">
        <w:t xml:space="preserve"> provide </w:t>
      </w:r>
      <w:r w:rsidR="00797082" w:rsidRPr="00436BC4">
        <w:t xml:space="preserve">a </w:t>
      </w:r>
      <w:r w:rsidR="00893147" w:rsidRPr="00436BC4">
        <w:t xml:space="preserve">means to approach and recognise queerness in historical </w:t>
      </w:r>
      <w:r w:rsidR="005E769B">
        <w:t>works of literature</w:t>
      </w:r>
      <w:r w:rsidR="00893147" w:rsidRPr="00436BC4">
        <w:t>.</w:t>
      </w:r>
      <w:r w:rsidR="002306B6">
        <w:rPr>
          <w:rStyle w:val="FootnoteReference"/>
        </w:rPr>
        <w:footnoteReference w:id="14"/>
      </w:r>
      <w:r w:rsidR="00893147" w:rsidRPr="00436BC4">
        <w:t xml:space="preserve"> </w:t>
      </w:r>
      <w:r w:rsidR="00C22304" w:rsidRPr="00436BC4">
        <w:t xml:space="preserve">Judith Butler’s work highlighting the </w:t>
      </w:r>
      <w:r w:rsidR="00B84203" w:rsidRPr="00436BC4">
        <w:t>inter</w:t>
      </w:r>
      <w:r w:rsidR="00C22304" w:rsidRPr="00436BC4">
        <w:t xml:space="preserve">dependency </w:t>
      </w:r>
      <w:r w:rsidR="00B84203" w:rsidRPr="00436BC4">
        <w:t xml:space="preserve">of sex and gender in the creation of the social body </w:t>
      </w:r>
      <w:r w:rsidR="00203F9F" w:rsidRPr="00436BC4">
        <w:t>will be used</w:t>
      </w:r>
      <w:r w:rsidR="00B84203" w:rsidRPr="00436BC4">
        <w:t xml:space="preserve"> when considering the implications </w:t>
      </w:r>
      <w:r w:rsidR="00E055A6" w:rsidRPr="00436BC4">
        <w:t>of sex swapping</w:t>
      </w:r>
      <w:r w:rsidR="00774D5C">
        <w:t>,</w:t>
      </w:r>
      <w:r w:rsidR="00E055A6" w:rsidRPr="00436BC4">
        <w:t xml:space="preserve"> the body as a </w:t>
      </w:r>
      <w:r w:rsidR="00F01CA4" w:rsidRPr="00436BC4">
        <w:t xml:space="preserve">form </w:t>
      </w:r>
      <w:r w:rsidR="00E055A6" w:rsidRPr="00436BC4">
        <w:t xml:space="preserve">of punishment and the </w:t>
      </w:r>
      <w:r w:rsidR="000866F7" w:rsidRPr="00436BC4">
        <w:t xml:space="preserve">implication of </w:t>
      </w:r>
      <w:r w:rsidR="00E055A6" w:rsidRPr="00436BC4">
        <w:t>rejectin</w:t>
      </w:r>
      <w:r w:rsidR="000866F7" w:rsidRPr="00436BC4">
        <w:t>g</w:t>
      </w:r>
      <w:r w:rsidR="00E055A6" w:rsidRPr="00436BC4">
        <w:t xml:space="preserve"> specific gender roles </w:t>
      </w:r>
      <w:r w:rsidR="00B84203" w:rsidRPr="00436BC4">
        <w:t>within the narrative</w:t>
      </w:r>
      <w:r w:rsidR="00AB0695" w:rsidRPr="00436BC4">
        <w:t xml:space="preserve">. </w:t>
      </w:r>
      <w:r w:rsidR="009B42C4" w:rsidRPr="00436BC4">
        <w:t>Lee Edelman’s and Jack Halberstam’s t</w:t>
      </w:r>
      <w:r w:rsidR="00AF7A4F" w:rsidRPr="00436BC4">
        <w:t>heories of queer temporality</w:t>
      </w:r>
      <w:r w:rsidR="00AF7A4F" w:rsidRPr="00436BC4">
        <w:rPr>
          <w:i/>
          <w:iCs/>
        </w:rPr>
        <w:t xml:space="preserve"> </w:t>
      </w:r>
      <w:r w:rsidR="00AF7A4F" w:rsidRPr="00436BC4">
        <w:t xml:space="preserve">provide ways of </w:t>
      </w:r>
      <w:r w:rsidR="004E2059" w:rsidRPr="00436BC4">
        <w:t xml:space="preserve">approaching </w:t>
      </w:r>
      <w:r w:rsidR="000866F7" w:rsidRPr="00436BC4">
        <w:t>characters</w:t>
      </w:r>
      <w:r w:rsidR="00923EAD" w:rsidRPr="00436BC4">
        <w:t>’</w:t>
      </w:r>
      <w:r w:rsidR="00AF7A4F" w:rsidRPr="00436BC4">
        <w:t xml:space="preserve"> </w:t>
      </w:r>
      <w:r w:rsidR="000866F7" w:rsidRPr="00436BC4">
        <w:t>relationship</w:t>
      </w:r>
      <w:r w:rsidR="00923EAD" w:rsidRPr="00436BC4">
        <w:t>s</w:t>
      </w:r>
      <w:r w:rsidR="000866F7" w:rsidRPr="00436BC4">
        <w:t xml:space="preserve"> with time</w:t>
      </w:r>
      <w:r w:rsidR="00F01CA4" w:rsidRPr="00436BC4">
        <w:t>,</w:t>
      </w:r>
      <w:r w:rsidR="000866F7" w:rsidRPr="00436BC4">
        <w:t xml:space="preserve"> drawing analogies with</w:t>
      </w:r>
      <w:r w:rsidR="00A35CF5" w:rsidRPr="00436BC4">
        <w:t xml:space="preserve"> queer experiences</w:t>
      </w:r>
      <w:r w:rsidR="00197C49" w:rsidRPr="00436BC4">
        <w:t xml:space="preserve"> </w:t>
      </w:r>
      <w:r w:rsidR="000866F7" w:rsidRPr="00436BC4">
        <w:t xml:space="preserve">of </w:t>
      </w:r>
      <w:r w:rsidR="00197C49" w:rsidRPr="00436BC4">
        <w:t>growing up</w:t>
      </w:r>
      <w:r w:rsidR="00A35CF5" w:rsidRPr="00436BC4">
        <w:t xml:space="preserve">, </w:t>
      </w:r>
      <w:r w:rsidR="000866F7" w:rsidRPr="00436BC4">
        <w:t>unable to obtain</w:t>
      </w:r>
      <w:r w:rsidR="00A35CF5" w:rsidRPr="00436BC4">
        <w:t xml:space="preserve"> </w:t>
      </w:r>
      <w:r w:rsidR="004E2059" w:rsidRPr="00436BC4">
        <w:t>expected</w:t>
      </w:r>
      <w:r w:rsidR="00A35CF5" w:rsidRPr="00436BC4">
        <w:t xml:space="preserve"> markers of coming of age</w:t>
      </w:r>
      <w:r w:rsidR="00774D5C">
        <w:t>,</w:t>
      </w:r>
      <w:r w:rsidR="000866F7" w:rsidRPr="00436BC4">
        <w:t xml:space="preserve"> and personhood</w:t>
      </w:r>
      <w:r w:rsidR="00DF715C" w:rsidRPr="00436BC4">
        <w:t xml:space="preserve">. </w:t>
      </w:r>
      <w:r w:rsidR="004E2059" w:rsidRPr="00436BC4">
        <w:t xml:space="preserve"> </w:t>
      </w:r>
    </w:p>
    <w:p w14:paraId="4E7C0E0B" w14:textId="77777777" w:rsidR="003D2994" w:rsidRPr="00436BC4" w:rsidRDefault="003D2994" w:rsidP="00161827">
      <w:pPr>
        <w:spacing w:line="480" w:lineRule="auto"/>
      </w:pPr>
    </w:p>
    <w:p w14:paraId="3D12D07A" w14:textId="77B63DE8" w:rsidR="002C6E64" w:rsidRDefault="00E90694" w:rsidP="00161827">
      <w:pPr>
        <w:spacing w:line="480" w:lineRule="auto"/>
        <w:rPr>
          <w:i/>
          <w:iCs/>
        </w:rPr>
      </w:pPr>
      <w:r w:rsidRPr="00436BC4">
        <w:lastRenderedPageBreak/>
        <w:t>LGBT</w:t>
      </w:r>
      <w:r w:rsidR="00F01CA4" w:rsidRPr="00436BC4">
        <w:t>+</w:t>
      </w:r>
      <w:r w:rsidR="00F96B69" w:rsidRPr="00436BC4">
        <w:t xml:space="preserve"> </w:t>
      </w:r>
      <w:r w:rsidR="009A452F" w:rsidRPr="00436BC4">
        <w:t>activism</w:t>
      </w:r>
      <w:r w:rsidR="00F96B69" w:rsidRPr="00436BC4">
        <w:t xml:space="preserve"> and gay liberation movements</w:t>
      </w:r>
      <w:r w:rsidRPr="00436BC4">
        <w:t xml:space="preserve"> </w:t>
      </w:r>
      <w:r w:rsidR="00D41F76" w:rsidRPr="00436BC4">
        <w:t>from</w:t>
      </w:r>
      <w:r w:rsidRPr="00436BC4">
        <w:t xml:space="preserve"> the 1970s</w:t>
      </w:r>
      <w:r w:rsidR="00D41F76" w:rsidRPr="00436BC4">
        <w:t xml:space="preserve"> to the </w:t>
      </w:r>
      <w:r w:rsidRPr="00436BC4">
        <w:t>90s</w:t>
      </w:r>
      <w:r w:rsidR="00F96B69" w:rsidRPr="00436BC4">
        <w:t>,</w:t>
      </w:r>
      <w:r w:rsidRPr="00436BC4">
        <w:t xml:space="preserve"> formed in</w:t>
      </w:r>
      <w:r w:rsidR="00F96B69" w:rsidRPr="00436BC4">
        <w:t xml:space="preserve"> response to governmental and societal discrimination during the </w:t>
      </w:r>
      <w:r w:rsidR="0047290D" w:rsidRPr="00436BC4">
        <w:t>AIDS crisis</w:t>
      </w:r>
      <w:r w:rsidR="009A452F" w:rsidRPr="00436BC4">
        <w:t>, helped to raise queer theory’s profile in academia</w:t>
      </w:r>
      <w:r w:rsidR="00F96B69" w:rsidRPr="00436BC4">
        <w:t xml:space="preserve">. </w:t>
      </w:r>
      <w:r w:rsidR="009A452F" w:rsidRPr="00436BC4">
        <w:t>T</w:t>
      </w:r>
      <w:r w:rsidR="00F96B69" w:rsidRPr="00436BC4">
        <w:t>hemes of resistance</w:t>
      </w:r>
      <w:r w:rsidR="00DF715C" w:rsidRPr="00436BC4">
        <w:t xml:space="preserve"> and transgression</w:t>
      </w:r>
      <w:r w:rsidR="00F96B69" w:rsidRPr="00436BC4">
        <w:t xml:space="preserve"> in the face of systemic and societal oppression </w:t>
      </w:r>
      <w:r w:rsidR="00461258" w:rsidRPr="00436BC4">
        <w:t>feature prominently in queer theory</w:t>
      </w:r>
      <w:r w:rsidR="00DF715C" w:rsidRPr="00436BC4">
        <w:t xml:space="preserve">. </w:t>
      </w:r>
      <w:r w:rsidR="009A452F" w:rsidRPr="00436BC4">
        <w:t>R</w:t>
      </w:r>
      <w:r w:rsidR="00B409DD" w:rsidRPr="00436BC4">
        <w:t>egard</w:t>
      </w:r>
      <w:r w:rsidR="009A452F" w:rsidRPr="00436BC4">
        <w:t>ing</w:t>
      </w:r>
      <w:r w:rsidR="00B409DD" w:rsidRPr="00436BC4">
        <w:t xml:space="preserve"> this dissertation, t</w:t>
      </w:r>
      <w:r w:rsidR="004F2D0D" w:rsidRPr="00436BC4">
        <w:t>he metaphor of the AIDS crisis is useful to separate the types of cris</w:t>
      </w:r>
      <w:r w:rsidR="00F01CA4" w:rsidRPr="00436BC4">
        <w:t>e</w:t>
      </w:r>
      <w:r w:rsidR="004F2D0D" w:rsidRPr="00436BC4">
        <w:t>s</w:t>
      </w:r>
      <w:r w:rsidR="00FF3163" w:rsidRPr="00436BC4">
        <w:t xml:space="preserve"> </w:t>
      </w:r>
      <w:r w:rsidR="004F2D0D" w:rsidRPr="00436BC4">
        <w:t xml:space="preserve">that arise in the </w:t>
      </w:r>
      <w:r w:rsidR="004F2D0D" w:rsidRPr="00436BC4">
        <w:rPr>
          <w:i/>
          <w:iCs/>
        </w:rPr>
        <w:t>Fourth Branch</w:t>
      </w:r>
      <w:r w:rsidR="004F2D0D" w:rsidRPr="00436BC4">
        <w:t xml:space="preserve">, allowing </w:t>
      </w:r>
      <w:r w:rsidR="000F3C73" w:rsidRPr="00436BC4">
        <w:t xml:space="preserve">a distinction between </w:t>
      </w:r>
      <w:r w:rsidR="004F2D0D" w:rsidRPr="00436BC4">
        <w:t xml:space="preserve">what </w:t>
      </w:r>
      <w:r w:rsidR="00EB2AD3">
        <w:t xml:space="preserve">this dissertation will </w:t>
      </w:r>
      <w:r w:rsidR="004F2D0D" w:rsidRPr="00407B35">
        <w:t xml:space="preserve">call </w:t>
      </w:r>
      <w:r w:rsidR="000F3C73" w:rsidRPr="00407B35">
        <w:t>‘</w:t>
      </w:r>
      <w:r w:rsidR="004F2D0D" w:rsidRPr="00407B35">
        <w:t>societally tolerable</w:t>
      </w:r>
      <w:r w:rsidR="000F3C73" w:rsidRPr="00407B35">
        <w:t>’</w:t>
      </w:r>
      <w:r w:rsidR="004F2D0D" w:rsidRPr="00407B35">
        <w:t xml:space="preserve"> and </w:t>
      </w:r>
      <w:r w:rsidR="000F3C73" w:rsidRPr="00407B35">
        <w:t>‘</w:t>
      </w:r>
      <w:r w:rsidR="004F2D0D" w:rsidRPr="00407B35">
        <w:t>societally intolerable</w:t>
      </w:r>
      <w:r w:rsidR="000F3C73" w:rsidRPr="00407B35">
        <w:t>’</w:t>
      </w:r>
      <w:r w:rsidR="004F2D0D" w:rsidRPr="00407B35">
        <w:t xml:space="preserve"> cris</w:t>
      </w:r>
      <w:r w:rsidR="000F3C73" w:rsidRPr="00407B35">
        <w:t>es. ‘Societally tolerable crises’</w:t>
      </w:r>
      <w:r w:rsidR="000F3C73" w:rsidRPr="00436BC4">
        <w:t xml:space="preserve"> are</w:t>
      </w:r>
      <w:r w:rsidR="008D3ADB" w:rsidRPr="00436BC4">
        <w:t xml:space="preserve"> events w</w:t>
      </w:r>
      <w:r w:rsidR="00F01CA4" w:rsidRPr="00436BC4">
        <w:t>h</w:t>
      </w:r>
      <w:r w:rsidR="008D3ADB" w:rsidRPr="00436BC4">
        <w:t xml:space="preserve">ere the world of the </w:t>
      </w:r>
      <w:r w:rsidR="00A4094C" w:rsidRPr="00436BC4">
        <w:rPr>
          <w:i/>
          <w:iCs/>
        </w:rPr>
        <w:t>F</w:t>
      </w:r>
      <w:r w:rsidR="008D3ADB" w:rsidRPr="00436BC4">
        <w:rPr>
          <w:i/>
          <w:iCs/>
        </w:rPr>
        <w:t>o</w:t>
      </w:r>
      <w:r w:rsidR="00EE0DEB" w:rsidRPr="00436BC4">
        <w:rPr>
          <w:i/>
          <w:iCs/>
        </w:rPr>
        <w:t>u</w:t>
      </w:r>
      <w:r w:rsidR="008D3ADB" w:rsidRPr="00436BC4">
        <w:rPr>
          <w:i/>
          <w:iCs/>
        </w:rPr>
        <w:t xml:space="preserve">rth </w:t>
      </w:r>
      <w:r w:rsidR="00A4094C" w:rsidRPr="00436BC4">
        <w:rPr>
          <w:i/>
          <w:iCs/>
        </w:rPr>
        <w:t>B</w:t>
      </w:r>
      <w:r w:rsidR="008D3ADB" w:rsidRPr="00436BC4">
        <w:rPr>
          <w:i/>
          <w:iCs/>
        </w:rPr>
        <w:t>ranch</w:t>
      </w:r>
      <w:r w:rsidR="008D3ADB" w:rsidRPr="00436BC4">
        <w:t xml:space="preserve"> is able to successfully process retribution, recompens</w:t>
      </w:r>
      <w:r w:rsidR="009A452F" w:rsidRPr="00436BC4">
        <w:t>ation</w:t>
      </w:r>
      <w:r w:rsidR="008D3ADB" w:rsidRPr="00436BC4">
        <w:t xml:space="preserve"> and reconciliation</w:t>
      </w:r>
      <w:r w:rsidR="000F3C73" w:rsidRPr="00436BC4">
        <w:t xml:space="preserve"> without last</w:t>
      </w:r>
      <w:r w:rsidR="003A16AC" w:rsidRPr="00436BC4">
        <w:t>ing</w:t>
      </w:r>
      <w:r w:rsidR="000F3C73" w:rsidRPr="00436BC4">
        <w:t xml:space="preserve"> societal upheaval. </w:t>
      </w:r>
      <w:r w:rsidR="000F3C73" w:rsidRPr="00407B35">
        <w:t>‘Societally intolerable crises’</w:t>
      </w:r>
      <w:r w:rsidR="00AC314B" w:rsidRPr="00436BC4">
        <w:t xml:space="preserve"> </w:t>
      </w:r>
      <w:r w:rsidR="000F3C73" w:rsidRPr="00436BC4">
        <w:t xml:space="preserve">are </w:t>
      </w:r>
      <w:r w:rsidR="00F1608B" w:rsidRPr="00436BC4">
        <w:t xml:space="preserve">cases </w:t>
      </w:r>
      <w:r w:rsidR="008D3ADB" w:rsidRPr="00436BC4">
        <w:t>whe</w:t>
      </w:r>
      <w:r w:rsidR="00AC314B" w:rsidRPr="00436BC4">
        <w:t xml:space="preserve">re </w:t>
      </w:r>
      <w:r w:rsidR="008D3ADB" w:rsidRPr="00436BC4">
        <w:t xml:space="preserve">the social fabric of the </w:t>
      </w:r>
      <w:r w:rsidR="008D3ADB" w:rsidRPr="00436BC4">
        <w:rPr>
          <w:i/>
          <w:iCs/>
        </w:rPr>
        <w:t>Fourth Branch</w:t>
      </w:r>
      <w:r w:rsidR="008D3ADB" w:rsidRPr="00436BC4">
        <w:t xml:space="preserve"> </w:t>
      </w:r>
      <w:r w:rsidR="00003993" w:rsidRPr="00436BC4">
        <w:t>itself</w:t>
      </w:r>
      <w:r w:rsidR="008D3ADB" w:rsidRPr="00436BC4">
        <w:t xml:space="preserve"> seems </w:t>
      </w:r>
      <w:r w:rsidR="00A4094C" w:rsidRPr="00436BC4">
        <w:t>threatened or damaged,</w:t>
      </w:r>
      <w:r w:rsidR="008D3ADB" w:rsidRPr="00436BC4">
        <w:t xml:space="preserve"> </w:t>
      </w:r>
      <w:r w:rsidR="00AC314B" w:rsidRPr="00436BC4">
        <w:t>despite the employment of</w:t>
      </w:r>
      <w:r w:rsidR="00A4094C" w:rsidRPr="00436BC4">
        <w:t xml:space="preserve"> </w:t>
      </w:r>
      <w:r w:rsidR="000F3C73" w:rsidRPr="00436BC4">
        <w:t>usual</w:t>
      </w:r>
      <w:r w:rsidR="00A4094C" w:rsidRPr="00436BC4">
        <w:t xml:space="preserve"> social and political machinations</w:t>
      </w:r>
      <w:r w:rsidR="008D3ADB" w:rsidRPr="00436BC4">
        <w:t xml:space="preserve"> to resolve conflict. On these occasion</w:t>
      </w:r>
      <w:r w:rsidR="00A4094C" w:rsidRPr="00436BC4">
        <w:t>s</w:t>
      </w:r>
      <w:r w:rsidR="008D3ADB" w:rsidRPr="00436BC4">
        <w:t xml:space="preserve"> we see lasting </w:t>
      </w:r>
      <w:r w:rsidR="00A4094C" w:rsidRPr="00436BC4">
        <w:t>instability and disruption</w:t>
      </w:r>
      <w:r w:rsidR="008D3ADB" w:rsidRPr="00436BC4">
        <w:t xml:space="preserve"> due to the </w:t>
      </w:r>
      <w:r w:rsidR="000F3C73" w:rsidRPr="00436BC4">
        <w:t>desire</w:t>
      </w:r>
      <w:r w:rsidR="002E3BA5" w:rsidRPr="00436BC4">
        <w:t>-</w:t>
      </w:r>
      <w:r w:rsidR="000F3C73" w:rsidRPr="00436BC4">
        <w:t xml:space="preserve">driven </w:t>
      </w:r>
      <w:r w:rsidR="008D3ADB" w:rsidRPr="00436BC4">
        <w:t xml:space="preserve">actions of individuals that </w:t>
      </w:r>
      <w:r w:rsidR="003A16AC" w:rsidRPr="00436BC4">
        <w:t>transgress</w:t>
      </w:r>
      <w:r w:rsidR="008D3ADB" w:rsidRPr="00436BC4">
        <w:t xml:space="preserve"> the social </w:t>
      </w:r>
      <w:r w:rsidR="004334A8" w:rsidRPr="00436BC4">
        <w:t xml:space="preserve">boundaries of the patriarchal world of the </w:t>
      </w:r>
      <w:r w:rsidR="004334A8" w:rsidRPr="00436BC4">
        <w:rPr>
          <w:i/>
          <w:iCs/>
        </w:rPr>
        <w:t>Fourth Branch.</w:t>
      </w:r>
    </w:p>
    <w:p w14:paraId="3D8F49D9" w14:textId="77777777" w:rsidR="003D2994" w:rsidRPr="003D2994" w:rsidRDefault="003D2994" w:rsidP="00161827">
      <w:pPr>
        <w:spacing w:line="480" w:lineRule="auto"/>
      </w:pPr>
    </w:p>
    <w:p w14:paraId="53BA97E8" w14:textId="346F7964" w:rsidR="004334A8" w:rsidRPr="00436BC4" w:rsidRDefault="004334A8" w:rsidP="0004352D">
      <w:pPr>
        <w:spacing w:before="240" w:line="480" w:lineRule="auto"/>
        <w:rPr>
          <w:color w:val="1F3864" w:themeColor="accent1" w:themeShade="80"/>
        </w:rPr>
      </w:pPr>
      <w:r w:rsidRPr="00436BC4">
        <w:t>Lastly</w:t>
      </w:r>
      <w:r w:rsidR="00F52091" w:rsidRPr="00436BC4">
        <w:t>,</w:t>
      </w:r>
      <w:r w:rsidRPr="00436BC4">
        <w:t xml:space="preserve"> q</w:t>
      </w:r>
      <w:r w:rsidR="00A20870" w:rsidRPr="00436BC4">
        <w:t xml:space="preserve">ueer theory </w:t>
      </w:r>
      <w:r w:rsidR="002940A2" w:rsidRPr="00436BC4">
        <w:t>also</w:t>
      </w:r>
      <w:r w:rsidR="00A20870" w:rsidRPr="00436BC4">
        <w:t xml:space="preserve"> provide</w:t>
      </w:r>
      <w:r w:rsidR="002940A2" w:rsidRPr="00436BC4">
        <w:t>s</w:t>
      </w:r>
      <w:r w:rsidR="00A20870" w:rsidRPr="00436BC4">
        <w:t xml:space="preserve"> a useful means through which to critique the approaches and analysis of the </w:t>
      </w:r>
      <w:r w:rsidR="00A20870" w:rsidRPr="00436BC4">
        <w:rPr>
          <w:i/>
          <w:iCs/>
        </w:rPr>
        <w:t>Fourth Branch</w:t>
      </w:r>
      <w:r w:rsidR="00A20870" w:rsidRPr="00436BC4">
        <w:t xml:space="preserve">. Heteronormativity is a concept </w:t>
      </w:r>
      <w:r w:rsidR="00842EAA" w:rsidRPr="00436BC4">
        <w:t xml:space="preserve">within queer theory </w:t>
      </w:r>
      <w:r w:rsidR="00A20870" w:rsidRPr="00436BC4">
        <w:t xml:space="preserve">that reveals </w:t>
      </w:r>
      <w:r w:rsidR="00842EAA" w:rsidRPr="00436BC4">
        <w:t xml:space="preserve">and critiques </w:t>
      </w:r>
      <w:r w:rsidR="00A20870" w:rsidRPr="00436BC4">
        <w:t xml:space="preserve">the </w:t>
      </w:r>
      <w:r w:rsidR="00842EAA" w:rsidRPr="00436BC4">
        <w:t xml:space="preserve">often </w:t>
      </w:r>
      <w:r w:rsidR="00A20870" w:rsidRPr="00436BC4">
        <w:t>unconscious biases towards heterosexuality,</w:t>
      </w:r>
      <w:r w:rsidR="00842EAA" w:rsidRPr="00436BC4">
        <w:t xml:space="preserve"> as the default or normal mode of being. Attached to this core notion are assumptions concerning gender as a binary, the existence of ‘natural’ behaviours or roles that each gender exhibits, and the understanding that certain life events should be desired and strived for (i.e. marriage, producing children). </w:t>
      </w:r>
      <w:r w:rsidR="001E460C" w:rsidRPr="00436BC4">
        <w:t xml:space="preserve">When heteronormativity is used to look not at the text itself, but at the scholarship both past and present of the </w:t>
      </w:r>
      <w:r w:rsidR="001E460C" w:rsidRPr="00436BC4">
        <w:rPr>
          <w:i/>
          <w:iCs/>
        </w:rPr>
        <w:t>Fourth Branch</w:t>
      </w:r>
      <w:r w:rsidR="001E460C" w:rsidRPr="00436BC4">
        <w:t>, the existence of commonly understood biases</w:t>
      </w:r>
      <w:r w:rsidR="00D11198">
        <w:t xml:space="preserve"> and prejudices</w:t>
      </w:r>
      <w:r w:rsidR="001E460C" w:rsidRPr="00436BC4">
        <w:t xml:space="preserve"> are revealed</w:t>
      </w:r>
      <w:r w:rsidR="00C06617" w:rsidRPr="00436BC4">
        <w:t xml:space="preserve"> like a thread running through the discourse.</w:t>
      </w:r>
      <w:r w:rsidR="00B777C9" w:rsidRPr="00436BC4">
        <w:rPr>
          <w:rStyle w:val="FootnoteReference"/>
        </w:rPr>
        <w:footnoteReference w:id="15"/>
      </w:r>
      <w:r w:rsidR="00C06617" w:rsidRPr="00436BC4">
        <w:t xml:space="preserve"> Here queer theory provide</w:t>
      </w:r>
      <w:r w:rsidR="00692AB6" w:rsidRPr="00436BC4">
        <w:t>s</w:t>
      </w:r>
      <w:r w:rsidR="00C06617" w:rsidRPr="00436BC4">
        <w:t xml:space="preserve"> a</w:t>
      </w:r>
      <w:r w:rsidR="0004352D" w:rsidRPr="00436BC4">
        <w:t xml:space="preserve">n approach </w:t>
      </w:r>
      <w:r w:rsidR="00C06617" w:rsidRPr="00436BC4">
        <w:t xml:space="preserve">to unconscious bias, by revealing its </w:t>
      </w:r>
      <w:r w:rsidR="00C06617" w:rsidRPr="00436BC4">
        <w:lastRenderedPageBreak/>
        <w:t>existence</w:t>
      </w:r>
      <w:r w:rsidRPr="00436BC4">
        <w:t xml:space="preserve"> and challenging its </w:t>
      </w:r>
      <w:r w:rsidR="00197C49" w:rsidRPr="00436BC4">
        <w:t>primacy</w:t>
      </w:r>
      <w:r w:rsidR="00C06617" w:rsidRPr="00436BC4">
        <w:t xml:space="preserve">. This disruption </w:t>
      </w:r>
      <w:r w:rsidR="003C60FF" w:rsidRPr="00436BC4">
        <w:t xml:space="preserve">of </w:t>
      </w:r>
      <w:r w:rsidR="00C06617" w:rsidRPr="00436BC4">
        <w:t>perpetuat</w:t>
      </w:r>
      <w:r w:rsidR="003C60FF" w:rsidRPr="00436BC4">
        <w:t>ed</w:t>
      </w:r>
      <w:r w:rsidR="00C06617" w:rsidRPr="00436BC4">
        <w:t xml:space="preserve"> </w:t>
      </w:r>
      <w:r w:rsidR="00197C49" w:rsidRPr="00436BC4">
        <w:t>conventions</w:t>
      </w:r>
      <w:r w:rsidR="00C06617" w:rsidRPr="00436BC4">
        <w:t xml:space="preserve"> within traditional scholarship of the </w:t>
      </w:r>
      <w:r w:rsidR="00C06617" w:rsidRPr="00436BC4">
        <w:rPr>
          <w:i/>
          <w:iCs/>
        </w:rPr>
        <w:t xml:space="preserve">Fourth Branch </w:t>
      </w:r>
      <w:r w:rsidR="003C60FF" w:rsidRPr="00436BC4">
        <w:t>offers</w:t>
      </w:r>
      <w:r w:rsidR="00C06617" w:rsidRPr="00436BC4">
        <w:t xml:space="preserve"> </w:t>
      </w:r>
      <w:r w:rsidR="003C60FF" w:rsidRPr="00436BC4">
        <w:t>the potential to reinvigorate Celtic Studies</w:t>
      </w:r>
      <w:r w:rsidR="00F52091" w:rsidRPr="00436BC4">
        <w:t>’</w:t>
      </w:r>
      <w:r w:rsidR="003C60FF" w:rsidRPr="00436BC4">
        <w:t xml:space="preserve"> approach to the text, and to provide fresh and novel ways </w:t>
      </w:r>
      <w:r w:rsidR="0074653E" w:rsidRPr="00436BC4">
        <w:t xml:space="preserve">to </w:t>
      </w:r>
      <w:r w:rsidR="003C60FF" w:rsidRPr="00436BC4">
        <w:t>analyse and experience the narrative.</w:t>
      </w:r>
      <w:r w:rsidRPr="00436BC4">
        <w:rPr>
          <w:color w:val="1F3864" w:themeColor="accent1" w:themeShade="80"/>
        </w:rPr>
        <w:t xml:space="preserve"> </w:t>
      </w:r>
      <w:bookmarkEnd w:id="12"/>
      <w:r w:rsidR="00580281" w:rsidRPr="00436BC4">
        <w:br w:type="page"/>
      </w:r>
    </w:p>
    <w:p w14:paraId="6B8BD648" w14:textId="1B019255" w:rsidR="0003365A" w:rsidRDefault="0003365A" w:rsidP="00B6276A">
      <w:pPr>
        <w:pStyle w:val="Heading2"/>
        <w:spacing w:line="480" w:lineRule="auto"/>
      </w:pPr>
      <w:bookmarkStart w:id="16" w:name="_Toc175312181"/>
      <w:bookmarkStart w:id="17" w:name="_Hlk173230466"/>
      <w:r w:rsidRPr="00436BC4">
        <w:lastRenderedPageBreak/>
        <w:t>What is ‘</w:t>
      </w:r>
      <w:r w:rsidR="002361CF" w:rsidRPr="00436BC4">
        <w:t>Q</w:t>
      </w:r>
      <w:r w:rsidRPr="00436BC4">
        <w:t xml:space="preserve">ueer </w:t>
      </w:r>
      <w:r w:rsidR="002361CF" w:rsidRPr="00436BC4">
        <w:t>T</w:t>
      </w:r>
      <w:r w:rsidRPr="00436BC4">
        <w:t>heory’?</w:t>
      </w:r>
      <w:bookmarkEnd w:id="16"/>
    </w:p>
    <w:p w14:paraId="23D3DA0E" w14:textId="77777777" w:rsidR="003D2994" w:rsidRPr="003D2994" w:rsidRDefault="003D2994" w:rsidP="003D2994"/>
    <w:p w14:paraId="5583A775" w14:textId="4ED00DA3" w:rsidR="00382341" w:rsidRDefault="0003365A" w:rsidP="00161827">
      <w:pPr>
        <w:pStyle w:val="Heading3"/>
        <w:numPr>
          <w:ilvl w:val="0"/>
          <w:numId w:val="11"/>
        </w:numPr>
        <w:spacing w:line="480" w:lineRule="auto"/>
      </w:pPr>
      <w:bookmarkStart w:id="18" w:name="_Toc175312182"/>
      <w:r w:rsidRPr="00436BC4">
        <w:t xml:space="preserve">Definition and </w:t>
      </w:r>
      <w:r w:rsidR="002361CF" w:rsidRPr="00436BC4">
        <w:t>B</w:t>
      </w:r>
      <w:r w:rsidRPr="00436BC4">
        <w:t>ackground</w:t>
      </w:r>
      <w:bookmarkEnd w:id="18"/>
    </w:p>
    <w:p w14:paraId="0E3E8BE1" w14:textId="62DE3DD0" w:rsidR="0003365A" w:rsidRDefault="0003365A" w:rsidP="00161827">
      <w:pPr>
        <w:spacing w:line="480" w:lineRule="auto"/>
      </w:pPr>
      <w:r w:rsidRPr="00436BC4">
        <w:t xml:space="preserve">Originally entering the English language in the sixteenth century, queer </w:t>
      </w:r>
      <w:r w:rsidR="00EA2595" w:rsidRPr="00436BC4">
        <w:t>referred to</w:t>
      </w:r>
      <w:r w:rsidRPr="00436BC4">
        <w:t xml:space="preserve"> that which was odd</w:t>
      </w:r>
      <w:r w:rsidR="00E629B8" w:rsidRPr="00436BC4">
        <w:t xml:space="preserve"> or</w:t>
      </w:r>
      <w:r w:rsidRPr="00436BC4">
        <w:t xml:space="preserve"> abnormal.</w:t>
      </w:r>
      <w:r w:rsidRPr="00436BC4">
        <w:rPr>
          <w:rStyle w:val="FootnoteReference"/>
        </w:rPr>
        <w:footnoteReference w:id="16"/>
      </w:r>
      <w:r w:rsidRPr="00436BC4">
        <w:t xml:space="preserve"> By the </w:t>
      </w:r>
      <w:r w:rsidR="00C83DCF">
        <w:t>nineteenth</w:t>
      </w:r>
      <w:r w:rsidRPr="00436BC4">
        <w:t xml:space="preserve"> century, however, it had come to be used to refer to sexual deviance, and by the twentieth century had become a pejorative term, being used to describe individuals who in the modern day we would consider to be part of the LGBT+ community.</w:t>
      </w:r>
      <w:r w:rsidRPr="00436BC4">
        <w:rPr>
          <w:rStyle w:val="FootnoteReference"/>
        </w:rPr>
        <w:footnoteReference w:id="17"/>
      </w:r>
      <w:r w:rsidRPr="00436BC4">
        <w:t xml:space="preserve"> During the 1980s and 90s the HIV and AIDS pandemic required a new form of activism based on coalitions between the groups affected – gay men took centre stage in the media discourse, but also affected groups were lesbians, trans individuals, communities of colour, immigrant</w:t>
      </w:r>
      <w:r w:rsidR="00487D5E" w:rsidRPr="00436BC4">
        <w:t>s,</w:t>
      </w:r>
      <w:r w:rsidRPr="00436BC4">
        <w:t xml:space="preserve"> and sex-worker</w:t>
      </w:r>
      <w:r w:rsidR="00487D5E" w:rsidRPr="00436BC4">
        <w:t>s.</w:t>
      </w:r>
      <w:r w:rsidRPr="00436BC4">
        <w:t xml:space="preserve"> Faced with inaction from governments and the pharmaceutical industry</w:t>
      </w:r>
      <w:r w:rsidR="00F733FD" w:rsidRPr="00436BC4">
        <w:t xml:space="preserve"> that maintained that AIDS</w:t>
      </w:r>
      <w:r w:rsidRPr="00436BC4">
        <w:t xml:space="preserve">, </w:t>
      </w:r>
      <w:r w:rsidR="00F733FD" w:rsidRPr="00436BC4">
        <w:t xml:space="preserve">(initially formally recognised by scientists as Gay-Related Immune Disorder </w:t>
      </w:r>
      <w:r w:rsidR="00AA208A">
        <w:t>‘</w:t>
      </w:r>
      <w:r w:rsidR="00F733FD" w:rsidRPr="00436BC4">
        <w:t>GRID</w:t>
      </w:r>
      <w:r w:rsidR="00AA208A">
        <w:t>’</w:t>
      </w:r>
      <w:r w:rsidR="00F733FD" w:rsidRPr="00436BC4">
        <w:t xml:space="preserve">; informally Wrath of God Syndrome </w:t>
      </w:r>
      <w:r w:rsidR="00AA208A">
        <w:t>‘</w:t>
      </w:r>
      <w:r w:rsidR="00F733FD" w:rsidRPr="00436BC4">
        <w:t>WOGS</w:t>
      </w:r>
      <w:r w:rsidR="00AA208A">
        <w:t>’</w:t>
      </w:r>
      <w:r w:rsidR="00F733FD" w:rsidRPr="00436BC4">
        <w:rPr>
          <w:rStyle w:val="FootnoteReference"/>
        </w:rPr>
        <w:t xml:space="preserve"> </w:t>
      </w:r>
      <w:r w:rsidR="00F733FD" w:rsidRPr="00436BC4">
        <w:rPr>
          <w:rStyle w:val="FootnoteReference"/>
        </w:rPr>
        <w:footnoteReference w:id="18"/>
      </w:r>
      <w:r w:rsidR="00F733FD" w:rsidRPr="00436BC4">
        <w:t>) was a specifically gay disease</w:t>
      </w:r>
      <w:r w:rsidR="00F52091" w:rsidRPr="00436BC4">
        <w:t>,</w:t>
      </w:r>
      <w:r w:rsidR="00F733FD" w:rsidRPr="00436BC4">
        <w:t xml:space="preserve"> </w:t>
      </w:r>
      <w:r w:rsidRPr="00436BC4">
        <w:t>these communities joined forces, and</w:t>
      </w:r>
      <w:r w:rsidR="00F733FD" w:rsidRPr="00436BC4">
        <w:t xml:space="preserve"> reclaimed</w:t>
      </w:r>
      <w:r w:rsidRPr="00436BC4">
        <w:t xml:space="preserve"> ‘queer’ </w:t>
      </w:r>
      <w:r w:rsidR="0061087C" w:rsidRPr="00436BC4">
        <w:t xml:space="preserve">as an umbrella term </w:t>
      </w:r>
      <w:r w:rsidRPr="00436BC4">
        <w:t>to describe the ‘coalitional thinking and organising’ that arose</w:t>
      </w:r>
      <w:r w:rsidR="0061087C" w:rsidRPr="00436BC4">
        <w:t xml:space="preserve"> across affected groups, rather than referring to discrete identity</w:t>
      </w:r>
      <w:r w:rsidRPr="00436BC4">
        <w:t>.</w:t>
      </w:r>
      <w:r w:rsidRPr="00436BC4">
        <w:rPr>
          <w:rStyle w:val="FootnoteReference"/>
        </w:rPr>
        <w:footnoteReference w:id="19"/>
      </w:r>
      <w:r w:rsidR="004F43EF" w:rsidRPr="00436BC4">
        <w:t xml:space="preserve"> </w:t>
      </w:r>
      <w:r w:rsidR="00F733FD" w:rsidRPr="00436BC4">
        <w:t>As McCann and Monaghan say ‘as an umbrella term to designate resistant and non-normative sexuality… reclaiming queer was about being different, but unapologetically so’.</w:t>
      </w:r>
      <w:r w:rsidR="00F733FD" w:rsidRPr="00436BC4">
        <w:rPr>
          <w:rStyle w:val="FootnoteReference"/>
        </w:rPr>
        <w:footnoteReference w:id="20"/>
      </w:r>
    </w:p>
    <w:p w14:paraId="491B3043" w14:textId="77777777" w:rsidR="003D2994" w:rsidRPr="00436BC4" w:rsidRDefault="003D2994" w:rsidP="00161827">
      <w:pPr>
        <w:spacing w:line="480" w:lineRule="auto"/>
      </w:pPr>
    </w:p>
    <w:p w14:paraId="1A3DAD26" w14:textId="744D3A57" w:rsidR="006562D6" w:rsidRDefault="00487D5E" w:rsidP="00161827">
      <w:pPr>
        <w:spacing w:line="480" w:lineRule="auto"/>
        <w:rPr>
          <w:strike/>
        </w:rPr>
      </w:pPr>
      <w:r w:rsidRPr="00436BC4">
        <w:t>I</w:t>
      </w:r>
      <w:r w:rsidR="00EB2111" w:rsidRPr="00436BC4">
        <w:t>n</w:t>
      </w:r>
      <w:r w:rsidR="00117DD3" w:rsidRPr="00436BC4">
        <w:t xml:space="preserve"> academia, i</w:t>
      </w:r>
      <w:r w:rsidR="0003365A" w:rsidRPr="00436BC4">
        <w:t>t was</w:t>
      </w:r>
      <w:r w:rsidR="00EE59F7" w:rsidRPr="00436BC4">
        <w:t xml:space="preserve"> a</w:t>
      </w:r>
      <w:r w:rsidR="0003365A" w:rsidRPr="00436BC4">
        <w:t xml:space="preserve">t a conference in 1990 that Teresa de Lauretis </w:t>
      </w:r>
      <w:r w:rsidR="00EE59F7" w:rsidRPr="00436BC4">
        <w:t xml:space="preserve">is considered to have </w:t>
      </w:r>
      <w:r w:rsidR="0003365A" w:rsidRPr="00436BC4">
        <w:t xml:space="preserve">officially coined the term ‘queer theory’. In </w:t>
      </w:r>
      <w:r w:rsidR="004F43EF" w:rsidRPr="00436BC4">
        <w:t>the</w:t>
      </w:r>
      <w:r w:rsidR="0003365A" w:rsidRPr="00436BC4">
        <w:t xml:space="preserve"> article ‘The Normalization of Queer Theory’ early queer </w:t>
      </w:r>
      <w:r w:rsidR="0003365A" w:rsidRPr="00436BC4">
        <w:lastRenderedPageBreak/>
        <w:t>theorist David Halperin remarks on how de Lauretis’</w:t>
      </w:r>
      <w:r w:rsidR="00402D03" w:rsidRPr="00436BC4">
        <w:t>s</w:t>
      </w:r>
      <w:r w:rsidR="0003365A" w:rsidRPr="00436BC4">
        <w:t xml:space="preserve"> use of the term was controversial, for its combin</w:t>
      </w:r>
      <w:r w:rsidR="00F52091" w:rsidRPr="00436BC4">
        <w:t>in</w:t>
      </w:r>
      <w:r w:rsidR="0003365A" w:rsidRPr="00436BC4">
        <w:t xml:space="preserve">g of queer </w:t>
      </w:r>
      <w:r w:rsidRPr="00436BC4">
        <w:t>(</w:t>
      </w:r>
      <w:r w:rsidR="0003365A" w:rsidRPr="00436BC4">
        <w:t xml:space="preserve">which was still relatively early in its rehabilitation journey by gay communities, activists, </w:t>
      </w:r>
      <w:r w:rsidRPr="00436BC4">
        <w:t xml:space="preserve">and </w:t>
      </w:r>
      <w:r w:rsidR="0003365A" w:rsidRPr="00436BC4">
        <w:t>members of the art world, as a gay-affirming term</w:t>
      </w:r>
      <w:r w:rsidRPr="00436BC4">
        <w:t>)</w:t>
      </w:r>
      <w:r w:rsidR="0003365A" w:rsidRPr="00436BC4">
        <w:t xml:space="preserve"> with the word ‘theory’</w:t>
      </w:r>
      <w:r w:rsidR="009942F9">
        <w:t>,</w:t>
      </w:r>
      <w:r w:rsidR="0003365A" w:rsidRPr="00436BC4">
        <w:t xml:space="preserve"> which implied the weight and legitimacy of academia behind it.</w:t>
      </w:r>
      <w:r w:rsidR="0003365A" w:rsidRPr="00436BC4">
        <w:rPr>
          <w:rStyle w:val="FootnoteReference"/>
        </w:rPr>
        <w:footnoteReference w:id="21"/>
      </w:r>
      <w:r w:rsidR="0003365A" w:rsidRPr="00436BC4">
        <w:t xml:space="preserve"> As Halperin says, ‘…the conjunction was more than mischievous: it was deliberately disruptive’.</w:t>
      </w:r>
      <w:r w:rsidR="0003365A" w:rsidRPr="00436BC4">
        <w:rPr>
          <w:rStyle w:val="FootnoteReference"/>
        </w:rPr>
        <w:footnoteReference w:id="22"/>
      </w:r>
      <w:r w:rsidR="00EE59F7" w:rsidRPr="00436BC4">
        <w:rPr>
          <w:strike/>
        </w:rPr>
        <w:t xml:space="preserve"> </w:t>
      </w:r>
    </w:p>
    <w:p w14:paraId="51D62330" w14:textId="77777777" w:rsidR="003D2994" w:rsidRPr="00436BC4" w:rsidRDefault="003D2994" w:rsidP="00161827">
      <w:pPr>
        <w:spacing w:line="480" w:lineRule="auto"/>
        <w:rPr>
          <w:strike/>
        </w:rPr>
      </w:pPr>
    </w:p>
    <w:p w14:paraId="66C3415D" w14:textId="3F2B54A7" w:rsidR="00382341" w:rsidRDefault="00335AA2" w:rsidP="00CD1126">
      <w:pPr>
        <w:pStyle w:val="Heading3"/>
        <w:numPr>
          <w:ilvl w:val="0"/>
          <w:numId w:val="11"/>
        </w:numPr>
        <w:spacing w:line="480" w:lineRule="auto"/>
      </w:pPr>
      <w:bookmarkStart w:id="20" w:name="_Toc175312183"/>
      <w:r w:rsidRPr="00436BC4">
        <w:t xml:space="preserve">Gender, </w:t>
      </w:r>
      <w:r w:rsidR="006562D6" w:rsidRPr="00436BC4">
        <w:t>Normativity</w:t>
      </w:r>
      <w:r w:rsidR="00E91BCD" w:rsidRPr="00436BC4">
        <w:t xml:space="preserve">, </w:t>
      </w:r>
      <w:r w:rsidRPr="00436BC4">
        <w:t xml:space="preserve">and </w:t>
      </w:r>
      <w:r w:rsidR="006562D6" w:rsidRPr="00436BC4">
        <w:t>Heteronormativity</w:t>
      </w:r>
      <w:bookmarkEnd w:id="20"/>
      <w:r w:rsidR="00E91BCD" w:rsidRPr="00436BC4">
        <w:t xml:space="preserve"> </w:t>
      </w:r>
    </w:p>
    <w:p w14:paraId="355ACBE4" w14:textId="60FB50B3" w:rsidR="00CD1126" w:rsidRDefault="00CD1126" w:rsidP="00CD1126">
      <w:pPr>
        <w:spacing w:line="480" w:lineRule="auto"/>
      </w:pPr>
      <w:r w:rsidRPr="00436BC4">
        <w:t>The genealogy of queer theory is rich with the work of theorist</w:t>
      </w:r>
      <w:r w:rsidR="00BF3927" w:rsidRPr="00436BC4">
        <w:t xml:space="preserve"> such as</w:t>
      </w:r>
      <w:r w:rsidRPr="00436BC4">
        <w:t xml:space="preserve"> Foucault, Derrida and Simone de Beauvoir to name a few. In addition to</w:t>
      </w:r>
      <w:r w:rsidR="00BF3927" w:rsidRPr="00436BC4">
        <w:t xml:space="preserve"> these</w:t>
      </w:r>
      <w:r w:rsidRPr="00436BC4">
        <w:t xml:space="preserve"> three giants, one of the most influential pieces of queer theory literature</w:t>
      </w:r>
      <w:r w:rsidR="00BF3927" w:rsidRPr="00436BC4">
        <w:t xml:space="preserve"> is</w:t>
      </w:r>
      <w:r w:rsidRPr="00436BC4">
        <w:t xml:space="preserve"> Judith Butler’s 1990 book </w:t>
      </w:r>
      <w:r w:rsidRPr="00436BC4">
        <w:rPr>
          <w:i/>
          <w:iCs/>
        </w:rPr>
        <w:t>Gender Trouble: Feminism and the Subversion of Identity</w:t>
      </w:r>
      <w:r w:rsidRPr="00436BC4">
        <w:t>.</w:t>
      </w:r>
      <w:r w:rsidRPr="00436BC4">
        <w:rPr>
          <w:rStyle w:val="FootnoteReference"/>
        </w:rPr>
        <w:footnoteReference w:id="23"/>
      </w:r>
      <w:r w:rsidRPr="00436BC4">
        <w:t xml:space="preserve"> Here Butler builds on Foucault’s ideas concerning sexuality </w:t>
      </w:r>
      <w:r w:rsidR="00185F85">
        <w:t xml:space="preserve">(which will be discussed below) </w:t>
      </w:r>
      <w:r w:rsidRPr="00436BC4">
        <w:t>and applies them to gender</w:t>
      </w:r>
      <w:r w:rsidR="000C5819" w:rsidRPr="00436BC4">
        <w:t>, in part of the move within queer theory that uncouples queerness from sexuality</w:t>
      </w:r>
      <w:r w:rsidRPr="00436BC4">
        <w:t xml:space="preserve">. Butler challenges the way that gender is understood as a binary </w:t>
      </w:r>
      <w:r w:rsidR="00BF3927" w:rsidRPr="00436BC4">
        <w:t xml:space="preserve">– either </w:t>
      </w:r>
      <w:r w:rsidRPr="00436BC4">
        <w:t xml:space="preserve">male </w:t>
      </w:r>
      <w:r w:rsidR="00BF3927" w:rsidRPr="00436BC4">
        <w:t>or</w:t>
      </w:r>
      <w:r w:rsidRPr="00436BC4">
        <w:t xml:space="preserve"> female. In </w:t>
      </w:r>
      <w:r w:rsidRPr="00436BC4">
        <w:rPr>
          <w:i/>
          <w:iCs/>
        </w:rPr>
        <w:t xml:space="preserve">Gender Trouble, </w:t>
      </w:r>
      <w:r w:rsidRPr="00436BC4">
        <w:t>Butler</w:t>
      </w:r>
      <w:r w:rsidR="000C5819" w:rsidRPr="00436BC4">
        <w:t xml:space="preserve"> </w:t>
      </w:r>
      <w:r w:rsidRPr="00436BC4">
        <w:t>propose</w:t>
      </w:r>
      <w:r w:rsidR="00A81E36" w:rsidRPr="00436BC4">
        <w:t>s</w:t>
      </w:r>
      <w:r w:rsidRPr="00436BC4">
        <w:t xml:space="preserve"> a rethink regarding the relationship between sex (biology) and gender (cultural interpretations of biology). She describes a ‘heterosexual matrix’</w:t>
      </w:r>
      <w:r w:rsidR="007673F7" w:rsidRPr="00436BC4">
        <w:t xml:space="preserve"> visualised in a hierarchical pyramid shape</w:t>
      </w:r>
      <w:r w:rsidRPr="00436BC4">
        <w:t xml:space="preserve"> – where male</w:t>
      </w:r>
      <w:r w:rsidR="007673F7" w:rsidRPr="00436BC4">
        <w:t xml:space="preserve"> or </w:t>
      </w:r>
      <w:r w:rsidRPr="00436BC4">
        <w:t>female sex is the foundation, upon which male</w:t>
      </w:r>
      <w:r w:rsidR="007673F7" w:rsidRPr="00436BC4">
        <w:t xml:space="preserve"> or </w:t>
      </w:r>
      <w:r w:rsidRPr="00436BC4">
        <w:t>female gender is established</w:t>
      </w:r>
      <w:r w:rsidR="007673F7" w:rsidRPr="00436BC4">
        <w:t xml:space="preserve"> corresponding to sex</w:t>
      </w:r>
      <w:r w:rsidRPr="00436BC4">
        <w:t xml:space="preserve">, on top of which exclusive desire for the opposite sex is expected. Using this matrix, Butler argues that sex </w:t>
      </w:r>
      <w:r w:rsidR="007673F7" w:rsidRPr="00436BC4">
        <w:t>(</w:t>
      </w:r>
      <w:r w:rsidRPr="00436BC4">
        <w:t xml:space="preserve">which is seen as </w:t>
      </w:r>
      <w:r w:rsidR="007673F7" w:rsidRPr="00436BC4">
        <w:t>‘</w:t>
      </w:r>
      <w:r w:rsidRPr="00436BC4">
        <w:t>natural</w:t>
      </w:r>
      <w:r w:rsidR="007673F7" w:rsidRPr="00436BC4">
        <w:t>’ and fixed)</w:t>
      </w:r>
      <w:r w:rsidRPr="00436BC4">
        <w:t xml:space="preserve"> and gender inform </w:t>
      </w:r>
      <w:r w:rsidR="007673F7" w:rsidRPr="00436BC4">
        <w:t xml:space="preserve">sexual </w:t>
      </w:r>
      <w:r w:rsidRPr="00436BC4">
        <w:t xml:space="preserve">desire, presenting heterosexuality </w:t>
      </w:r>
      <w:r w:rsidR="00F52091" w:rsidRPr="00436BC4">
        <w:t xml:space="preserve">as the </w:t>
      </w:r>
      <w:r w:rsidR="007673F7" w:rsidRPr="00436BC4">
        <w:t>natural</w:t>
      </w:r>
      <w:r w:rsidRPr="00436BC4">
        <w:t xml:space="preserve"> pinnacle</w:t>
      </w:r>
      <w:r w:rsidR="007673F7" w:rsidRPr="00436BC4">
        <w:t xml:space="preserve"> or outcome</w:t>
      </w:r>
      <w:r w:rsidRPr="00436BC4">
        <w:t>.</w:t>
      </w:r>
      <w:r w:rsidRPr="00436BC4">
        <w:rPr>
          <w:rStyle w:val="FootnoteReference"/>
        </w:rPr>
        <w:footnoteReference w:id="24"/>
      </w:r>
      <w:r w:rsidRPr="00436BC4">
        <w:t xml:space="preserve"> But</w:t>
      </w:r>
      <w:r w:rsidR="00F52091" w:rsidRPr="00436BC4">
        <w:t>l</w:t>
      </w:r>
      <w:r w:rsidRPr="00436BC4">
        <w:t>er theori</w:t>
      </w:r>
      <w:r w:rsidR="007673F7" w:rsidRPr="00436BC4">
        <w:t xml:space="preserve">ses that </w:t>
      </w:r>
      <w:r w:rsidR="00815A80" w:rsidRPr="00436BC4">
        <w:t>this matrix provides a false understanding, arguing that</w:t>
      </w:r>
      <w:r w:rsidRPr="00436BC4">
        <w:t xml:space="preserve"> both sex and gender are socially and mutually </w:t>
      </w:r>
      <w:r w:rsidR="007673F7" w:rsidRPr="00436BC4">
        <w:t xml:space="preserve">dependent </w:t>
      </w:r>
      <w:r w:rsidRPr="00436BC4">
        <w:t xml:space="preserve">constructed categories. Butler proposes that gender informs what we think of as sex just as much as our understanding of sex shapes what we think we know about </w:t>
      </w:r>
      <w:r w:rsidRPr="00436BC4">
        <w:lastRenderedPageBreak/>
        <w:t>gender. Furthermore, the social and cultural construction of these categories is by its nature flexible and continuous</w:t>
      </w:r>
      <w:r w:rsidR="00815A80" w:rsidRPr="00436BC4">
        <w:t>,</w:t>
      </w:r>
      <w:r w:rsidRPr="00436BC4">
        <w:t xml:space="preserve"> meaning that it is always in a state </w:t>
      </w:r>
      <w:r w:rsidR="001C47C0" w:rsidRPr="00436BC4">
        <w:t xml:space="preserve">of </w:t>
      </w:r>
      <w:r w:rsidRPr="00436BC4">
        <w:t>reinvent</w:t>
      </w:r>
      <w:r w:rsidR="001C47C0" w:rsidRPr="00436BC4">
        <w:t>ion</w:t>
      </w:r>
      <w:r w:rsidRPr="00436BC4">
        <w:t xml:space="preserve"> and reaffirm</w:t>
      </w:r>
      <w:r w:rsidR="001C47C0" w:rsidRPr="00436BC4">
        <w:t>ation</w:t>
      </w:r>
      <w:r w:rsidRPr="00436BC4">
        <w:t>. Butler argu</w:t>
      </w:r>
      <w:r w:rsidR="00815A80" w:rsidRPr="00436BC4">
        <w:t>es</w:t>
      </w:r>
      <w:r w:rsidRPr="00436BC4">
        <w:t xml:space="preserve"> that gender is </w:t>
      </w:r>
      <w:r w:rsidRPr="00436BC4">
        <w:rPr>
          <w:i/>
          <w:iCs/>
        </w:rPr>
        <w:t>performative</w:t>
      </w:r>
      <w:r w:rsidRPr="00436BC4">
        <w:t xml:space="preserve"> not descriptive. </w:t>
      </w:r>
      <w:r w:rsidR="00815A80" w:rsidRPr="00436BC4">
        <w:t>G</w:t>
      </w:r>
      <w:r w:rsidRPr="00436BC4">
        <w:t>ender is produced via “the regulation of attributes along culturally established lines of coherence”</w:t>
      </w:r>
      <w:r w:rsidR="00D33E86" w:rsidRPr="00436BC4">
        <w:t>.</w:t>
      </w:r>
      <w:r w:rsidR="00D33E86" w:rsidRPr="00436BC4">
        <w:rPr>
          <w:rStyle w:val="FootnoteReference"/>
        </w:rPr>
        <w:t xml:space="preserve"> </w:t>
      </w:r>
      <w:r w:rsidR="00D33E86" w:rsidRPr="00436BC4">
        <w:rPr>
          <w:rStyle w:val="FootnoteReference"/>
        </w:rPr>
        <w:footnoteReference w:id="25"/>
      </w:r>
      <w:r w:rsidR="00D33E86" w:rsidRPr="00436BC4">
        <w:t xml:space="preserve"> T</w:t>
      </w:r>
      <w:r w:rsidRPr="00436BC4">
        <w:t xml:space="preserve">hat is to say it is not a </w:t>
      </w:r>
      <w:r w:rsidR="00815A80" w:rsidRPr="00436BC4">
        <w:t>fixed</w:t>
      </w:r>
      <w:r w:rsidRPr="00436BC4">
        <w:t xml:space="preserve"> state of being but is in fact a series of socially understood acts that are repeated</w:t>
      </w:r>
      <w:r w:rsidR="00815A80" w:rsidRPr="00436BC4">
        <w:t xml:space="preserve"> in order to create individual and social identity, in which gender plays an essential and irremovable part</w:t>
      </w:r>
      <w:r w:rsidRPr="00436BC4">
        <w:t xml:space="preserve">. It is in </w:t>
      </w:r>
      <w:r w:rsidR="00C61C03" w:rsidRPr="00436BC4">
        <w:t>gender as a</w:t>
      </w:r>
      <w:r w:rsidRPr="00436BC4">
        <w:t xml:space="preserve"> </w:t>
      </w:r>
      <w:r w:rsidRPr="00436BC4">
        <w:rPr>
          <w:i/>
          <w:iCs/>
        </w:rPr>
        <w:t xml:space="preserve">performative </w:t>
      </w:r>
      <w:r w:rsidRPr="00436BC4">
        <w:t>act that the identity of an individual</w:t>
      </w:r>
      <w:r w:rsidR="00C61C03" w:rsidRPr="00436BC4">
        <w:t xml:space="preserve"> is mediated and created</w:t>
      </w:r>
      <w:r w:rsidRPr="00436BC4">
        <w:t>. Thus</w:t>
      </w:r>
      <w:r w:rsidR="00703D88">
        <w:t>,</w:t>
      </w:r>
      <w:r w:rsidRPr="00436BC4">
        <w:t xml:space="preserve"> as Butler says, there is no innate identity that exists before gendered expression.</w:t>
      </w:r>
      <w:r w:rsidRPr="00436BC4">
        <w:rPr>
          <w:rStyle w:val="FootnoteReference"/>
        </w:rPr>
        <w:footnoteReference w:id="26"/>
      </w:r>
      <w:r w:rsidRPr="00436BC4">
        <w:t xml:space="preserve"> Lastly, Butler notes that as gender</w:t>
      </w:r>
      <w:r w:rsidR="00C61C03" w:rsidRPr="00436BC4">
        <w:t>ed</w:t>
      </w:r>
      <w:r w:rsidRPr="00436BC4">
        <w:t xml:space="preserve"> categories</w:t>
      </w:r>
      <w:r w:rsidR="00D33E86" w:rsidRPr="00436BC4">
        <w:t xml:space="preserve"> or identities</w:t>
      </w:r>
      <w:r w:rsidRPr="00436BC4">
        <w:t xml:space="preserve"> contain embodied power dynamics</w:t>
      </w:r>
      <w:r w:rsidR="00D33E86" w:rsidRPr="00436BC4">
        <w:t xml:space="preserve"> (i.e. ‘housewife’, ‘real man’)</w:t>
      </w:r>
      <w:r w:rsidRPr="00436BC4">
        <w:t xml:space="preserve"> they can</w:t>
      </w:r>
      <w:r w:rsidR="00C61C03" w:rsidRPr="00436BC4">
        <w:t xml:space="preserve"> be</w:t>
      </w:r>
      <w:r w:rsidRPr="00436BC4">
        <w:t xml:space="preserve"> reject</w:t>
      </w:r>
      <w:r w:rsidR="00C61C03" w:rsidRPr="00436BC4">
        <w:t>ed</w:t>
      </w:r>
      <w:r w:rsidRPr="00436BC4">
        <w:t>, refused or subverted.</w:t>
      </w:r>
      <w:r w:rsidRPr="00436BC4">
        <w:rPr>
          <w:rStyle w:val="FootnoteReference"/>
        </w:rPr>
        <w:footnoteReference w:id="27"/>
      </w:r>
      <w:r w:rsidRPr="00436BC4">
        <w:t xml:space="preserve"> Butler </w:t>
      </w:r>
      <w:r w:rsidR="00D33E86" w:rsidRPr="00436BC4">
        <w:t>proposes</w:t>
      </w:r>
      <w:r w:rsidRPr="00436BC4">
        <w:t xml:space="preserve"> that certain enactments of gender</w:t>
      </w:r>
      <w:r w:rsidR="00D33E86" w:rsidRPr="00436BC4">
        <w:t xml:space="preserve"> parody or subversion</w:t>
      </w:r>
      <w:r w:rsidRPr="00436BC4">
        <w:t xml:space="preserve"> (</w:t>
      </w:r>
      <w:r w:rsidR="00D33E86" w:rsidRPr="00436BC4">
        <w:t xml:space="preserve">i.e. </w:t>
      </w:r>
      <w:r w:rsidRPr="00436BC4">
        <w:t xml:space="preserve">drag performances) cross boundaries of “acceptable” gendered behaviour, significantly upsetting </w:t>
      </w:r>
      <w:r w:rsidR="00D33E86" w:rsidRPr="00436BC4">
        <w:t xml:space="preserve">commonly held </w:t>
      </w:r>
      <w:r w:rsidRPr="00436BC4">
        <w:t>assumptions about sexed bodies</w:t>
      </w:r>
      <w:r w:rsidR="00815A80" w:rsidRPr="00436BC4">
        <w:t>.</w:t>
      </w:r>
      <w:r w:rsidRPr="00436BC4">
        <w:rPr>
          <w:rStyle w:val="FootnoteReference"/>
        </w:rPr>
        <w:footnoteReference w:id="28"/>
      </w:r>
      <w:r w:rsidR="00815A80" w:rsidRPr="00436BC4">
        <w:t xml:space="preserve"> In doing so, they</w:t>
      </w:r>
      <w:r w:rsidRPr="00436BC4">
        <w:t xml:space="preserve"> reveal the constructed nature of what </w:t>
      </w:r>
      <w:r w:rsidR="00D33E86" w:rsidRPr="00436BC4">
        <w:t>is</w:t>
      </w:r>
      <w:r w:rsidRPr="00436BC4">
        <w:t xml:space="preserve"> deem</w:t>
      </w:r>
      <w:r w:rsidR="00D33E86" w:rsidRPr="00436BC4">
        <w:t>ed</w:t>
      </w:r>
      <w:r w:rsidRPr="00436BC4">
        <w:t xml:space="preserve"> to be </w:t>
      </w:r>
      <w:r w:rsidR="00815A80" w:rsidRPr="00436BC4">
        <w:t>‘innate’, ‘</w:t>
      </w:r>
      <w:r w:rsidRPr="00436BC4">
        <w:t>n</w:t>
      </w:r>
      <w:r w:rsidR="00815A80" w:rsidRPr="00436BC4">
        <w:t>ormal’</w:t>
      </w:r>
      <w:r w:rsidRPr="00436BC4">
        <w:t xml:space="preserve"> or </w:t>
      </w:r>
      <w:r w:rsidR="00815A80" w:rsidRPr="00436BC4">
        <w:t>‘natural’</w:t>
      </w:r>
      <w:r w:rsidRPr="00436BC4">
        <w:t xml:space="preserve">. Butler argues that gender subversion reveals how systems of power used to subjugate and oppress populations (misogyny, homophobia, transphobia, etc.) rely on notions of </w:t>
      </w:r>
      <w:r w:rsidR="00D33E86" w:rsidRPr="00436BC4">
        <w:t>‘</w:t>
      </w:r>
      <w:r w:rsidRPr="00436BC4">
        <w:t>naturalness</w:t>
      </w:r>
      <w:r w:rsidR="00D33E86" w:rsidRPr="00436BC4">
        <w:t>’</w:t>
      </w:r>
      <w:r w:rsidRPr="00436BC4">
        <w:t xml:space="preserve"> for their legitimacy. By using the </w:t>
      </w:r>
      <w:r w:rsidR="00D33E86" w:rsidRPr="00436BC4">
        <w:t>‘</w:t>
      </w:r>
      <w:r w:rsidRPr="00436BC4">
        <w:t>unnatural</w:t>
      </w:r>
      <w:r w:rsidR="00D33E86" w:rsidRPr="00436BC4">
        <w:t>’</w:t>
      </w:r>
      <w:r w:rsidRPr="00436BC4">
        <w:t xml:space="preserve"> via gender subversion, what is </w:t>
      </w:r>
      <w:r w:rsidR="00D33E86" w:rsidRPr="00436BC4">
        <w:t>‘</w:t>
      </w:r>
      <w:r w:rsidRPr="00436BC4">
        <w:t>natural</w:t>
      </w:r>
      <w:r w:rsidR="00D33E86" w:rsidRPr="00436BC4">
        <w:t>’</w:t>
      </w:r>
      <w:r w:rsidRPr="00436BC4">
        <w:t xml:space="preserve"> is also revealed to be a constructed entity, and the power that is used to subjugate minority groups is redeployed by the oppressed.</w:t>
      </w:r>
      <w:r w:rsidRPr="00436BC4">
        <w:rPr>
          <w:rStyle w:val="FootnoteReference"/>
        </w:rPr>
        <w:footnoteReference w:id="29"/>
      </w:r>
    </w:p>
    <w:p w14:paraId="5F73EECF" w14:textId="77777777" w:rsidR="003D2994" w:rsidRPr="00436BC4" w:rsidRDefault="003D2994" w:rsidP="00CD1126">
      <w:pPr>
        <w:spacing w:line="480" w:lineRule="auto"/>
      </w:pPr>
    </w:p>
    <w:p w14:paraId="17F87890" w14:textId="6396C410" w:rsidR="003D2994" w:rsidRDefault="0003365A" w:rsidP="00161827">
      <w:pPr>
        <w:spacing w:line="480" w:lineRule="auto"/>
      </w:pPr>
      <w:r w:rsidRPr="00436BC4">
        <w:t xml:space="preserve">In </w:t>
      </w:r>
      <w:r w:rsidRPr="00436BC4">
        <w:rPr>
          <w:i/>
          <w:iCs/>
        </w:rPr>
        <w:t xml:space="preserve">Fear of a Queer Planet </w:t>
      </w:r>
      <w:r w:rsidR="0016400D" w:rsidRPr="0016400D">
        <w:t>(</w:t>
      </w:r>
      <w:r w:rsidRPr="00436BC4">
        <w:t>1991</w:t>
      </w:r>
      <w:r w:rsidR="0016400D">
        <w:t>)</w:t>
      </w:r>
      <w:r w:rsidRPr="00436BC4">
        <w:t xml:space="preserve"> Michel Warner proposed a means to define queerness</w:t>
      </w:r>
      <w:r w:rsidR="00893A06" w:rsidRPr="00436BC4">
        <w:t xml:space="preserve"> through</w:t>
      </w:r>
      <w:r w:rsidR="00C8730D" w:rsidRPr="00436BC4">
        <w:t xml:space="preserve"> </w:t>
      </w:r>
      <w:r w:rsidRPr="00436BC4">
        <w:rPr>
          <w:i/>
          <w:iCs/>
        </w:rPr>
        <w:t>heteronormativity</w:t>
      </w:r>
      <w:r w:rsidRPr="00436BC4">
        <w:t>.</w:t>
      </w:r>
      <w:r w:rsidRPr="00436BC4">
        <w:rPr>
          <w:rStyle w:val="FootnoteReference"/>
        </w:rPr>
        <w:footnoteReference w:id="30"/>
      </w:r>
      <w:r w:rsidRPr="00436BC4">
        <w:t xml:space="preserve"> </w:t>
      </w:r>
      <w:r w:rsidR="00C8730D" w:rsidRPr="00436BC4">
        <w:t>Heteronormativity relates to the</w:t>
      </w:r>
      <w:r w:rsidRPr="00436BC4">
        <w:t xml:space="preserve"> pervasive and largely invisible norms that underpin society, and suggest</w:t>
      </w:r>
      <w:r w:rsidR="004C5FD9">
        <w:t>s</w:t>
      </w:r>
      <w:r w:rsidRPr="00436BC4">
        <w:t xml:space="preserve"> that </w:t>
      </w:r>
      <w:r w:rsidR="00335AA2" w:rsidRPr="00436BC4">
        <w:t xml:space="preserve">cis-gender, </w:t>
      </w:r>
      <w:r w:rsidRPr="00436BC4">
        <w:t xml:space="preserve">heterosexuality is the default, normal, or preferred mode of being. Warner argued that while many </w:t>
      </w:r>
      <w:r w:rsidR="00A37645" w:rsidRPr="00436BC4">
        <w:t xml:space="preserve">independent </w:t>
      </w:r>
      <w:r w:rsidRPr="00436BC4">
        <w:t>thinkers had been</w:t>
      </w:r>
      <w:r w:rsidR="00A37645" w:rsidRPr="00436BC4">
        <w:t xml:space="preserve"> attempting to</w:t>
      </w:r>
      <w:r w:rsidRPr="00436BC4">
        <w:t xml:space="preserve"> </w:t>
      </w:r>
      <w:r w:rsidRPr="00436BC4">
        <w:lastRenderedPageBreak/>
        <w:t>theoris</w:t>
      </w:r>
      <w:r w:rsidR="00A37645" w:rsidRPr="00436BC4">
        <w:t>e</w:t>
      </w:r>
      <w:r w:rsidRPr="00436BC4">
        <w:t xml:space="preserve"> about sexuality from a non-heterosexual perspective</w:t>
      </w:r>
      <w:r w:rsidR="00B21E04" w:rsidRPr="00436BC4">
        <w:t xml:space="preserve"> already</w:t>
      </w:r>
      <w:r w:rsidRPr="00436BC4">
        <w:t xml:space="preserve">, queer theory </w:t>
      </w:r>
      <w:r w:rsidR="00A37645" w:rsidRPr="00436BC4">
        <w:t>establish</w:t>
      </w:r>
      <w:r w:rsidR="00B21E04" w:rsidRPr="00436BC4">
        <w:t>ed</w:t>
      </w:r>
      <w:r w:rsidR="00A37645" w:rsidRPr="00436BC4">
        <w:t xml:space="preserve"> this as a legitimate practice</w:t>
      </w:r>
      <w:r w:rsidRPr="00436BC4">
        <w:t xml:space="preserve">, </w:t>
      </w:r>
      <w:r w:rsidR="00A37645" w:rsidRPr="00436BC4">
        <w:t>recognizing the ability of the outsider perspective to reveal and challenge</w:t>
      </w:r>
      <w:r w:rsidRPr="00436BC4">
        <w:t xml:space="preserve"> foundational assumptions and biases that construct societ</w:t>
      </w:r>
      <w:r w:rsidR="00A37645" w:rsidRPr="00436BC4">
        <w:t>y</w:t>
      </w:r>
      <w:r w:rsidRPr="00436BC4">
        <w:t xml:space="preserve">. Though queer theory began by questioning the foundations of sexual identity, the idea of queer theory as resistant to fixed categorisations has meant </w:t>
      </w:r>
      <w:r w:rsidR="00B21E04" w:rsidRPr="00436BC4">
        <w:t>that its applicable</w:t>
      </w:r>
      <w:r w:rsidRPr="00436BC4">
        <w:t xml:space="preserve"> beyond questions of sexuality.</w:t>
      </w:r>
      <w:r w:rsidRPr="00436BC4">
        <w:rPr>
          <w:rStyle w:val="FootnoteReference"/>
        </w:rPr>
        <w:footnoteReference w:id="31"/>
      </w:r>
      <w:r w:rsidRPr="00436BC4">
        <w:t xml:space="preserve"> Terms such as ‘gay’, ‘lesbian’, ‘homosexual’ etc. signify identities that refer to cultural forms, historical periods, political agendas etc. that may be approached and analysed sociologically. However, </w:t>
      </w:r>
      <w:r w:rsidR="00C27D39" w:rsidRPr="00436BC4">
        <w:t xml:space="preserve">the term </w:t>
      </w:r>
      <w:r w:rsidRPr="00436BC4">
        <w:t xml:space="preserve">‘queer’ is defined as a collection of practices, behaviours, </w:t>
      </w:r>
      <w:r w:rsidR="0060733B" w:rsidRPr="00436BC4">
        <w:t xml:space="preserve">and </w:t>
      </w:r>
      <w:r w:rsidRPr="00436BC4">
        <w:t xml:space="preserve">states of being that share a contrast to categories which are alleged to be </w:t>
      </w:r>
      <w:r w:rsidR="00B21E04" w:rsidRPr="00436BC4">
        <w:t>‘</w:t>
      </w:r>
      <w:r w:rsidRPr="00436BC4">
        <w:t>normal</w:t>
      </w:r>
      <w:r w:rsidR="00B21E04" w:rsidRPr="00436BC4">
        <w:t>’</w:t>
      </w:r>
      <w:r w:rsidRPr="00436BC4">
        <w:t xml:space="preserve"> or </w:t>
      </w:r>
      <w:r w:rsidR="00B21E04" w:rsidRPr="00436BC4">
        <w:t>‘</w:t>
      </w:r>
      <w:r w:rsidRPr="00436BC4">
        <w:t>natural</w:t>
      </w:r>
      <w:r w:rsidR="00B21E04" w:rsidRPr="00436BC4">
        <w:t>’</w:t>
      </w:r>
      <w:r w:rsidRPr="00436BC4">
        <w:t>. This</w:t>
      </w:r>
      <w:r w:rsidR="00B21E04" w:rsidRPr="00436BC4">
        <w:t xml:space="preserve"> ambiguous</w:t>
      </w:r>
      <w:r w:rsidRPr="00436BC4">
        <w:t xml:space="preserve"> element of queer theory underlines its relationship with the concept</w:t>
      </w:r>
      <w:r w:rsidR="00C27D39" w:rsidRPr="00436BC4">
        <w:t>s</w:t>
      </w:r>
      <w:r w:rsidRPr="00436BC4">
        <w:t xml:space="preserve"> of </w:t>
      </w:r>
      <w:r w:rsidR="00C8730D" w:rsidRPr="00436BC4">
        <w:rPr>
          <w:i/>
          <w:iCs/>
        </w:rPr>
        <w:t xml:space="preserve">normativity and </w:t>
      </w:r>
      <w:r w:rsidRPr="00436BC4">
        <w:rPr>
          <w:i/>
          <w:iCs/>
        </w:rPr>
        <w:t>normali</w:t>
      </w:r>
      <w:r w:rsidR="00F716C2" w:rsidRPr="00436BC4">
        <w:rPr>
          <w:i/>
          <w:iCs/>
        </w:rPr>
        <w:t>s</w:t>
      </w:r>
      <w:r w:rsidRPr="00436BC4">
        <w:rPr>
          <w:i/>
          <w:iCs/>
        </w:rPr>
        <w:t>ation</w:t>
      </w:r>
      <w:r w:rsidR="0065797C" w:rsidRPr="00436BC4">
        <w:rPr>
          <w:rStyle w:val="CommentReference"/>
        </w:rPr>
        <w:t>.</w:t>
      </w:r>
      <w:r w:rsidR="002A049D" w:rsidRPr="00436BC4">
        <w:rPr>
          <w:rStyle w:val="CommentReference"/>
        </w:rPr>
        <w:t xml:space="preserve"> </w:t>
      </w:r>
      <w:r w:rsidRPr="00436BC4">
        <w:t xml:space="preserve">Foucault explored the normalisation of heterosexuality and how norms function as a form of social control in his 1978 work </w:t>
      </w:r>
      <w:r w:rsidR="00B21E04" w:rsidRPr="00436BC4">
        <w:rPr>
          <w:i/>
          <w:iCs/>
        </w:rPr>
        <w:t>T</w:t>
      </w:r>
      <w:r w:rsidRPr="00436BC4">
        <w:rPr>
          <w:i/>
          <w:iCs/>
        </w:rPr>
        <w:t>he History of Sexuality.</w:t>
      </w:r>
      <w:r w:rsidRPr="00436BC4">
        <w:rPr>
          <w:rStyle w:val="FootnoteReference"/>
        </w:rPr>
        <w:footnoteReference w:id="32"/>
      </w:r>
      <w:r w:rsidR="0065797C" w:rsidRPr="00436BC4">
        <w:t xml:space="preserve"> </w:t>
      </w:r>
      <w:r w:rsidRPr="00436BC4">
        <w:t xml:space="preserve">Foucault argued that oppressive structures in society regulate discourse surrounding sex and sexuality within normative (i.e. heterosexual) parameters. </w:t>
      </w:r>
      <w:r w:rsidR="00500C9D" w:rsidRPr="00436BC4">
        <w:t>Therefore,</w:t>
      </w:r>
      <w:r w:rsidRPr="00436BC4">
        <w:t xml:space="preserve"> heterosexuality is normalised, whilst queerness (homosexuality in the words of Foucault) is stigmatized. Foucault</w:t>
      </w:r>
      <w:r w:rsidR="00E405CD" w:rsidRPr="00436BC4">
        <w:t>’s writings on sexuality</w:t>
      </w:r>
      <w:r w:rsidRPr="00436BC4">
        <w:t xml:space="preserve"> h</w:t>
      </w:r>
      <w:r w:rsidR="00E405CD" w:rsidRPr="00436BC4">
        <w:t>ave</w:t>
      </w:r>
      <w:r w:rsidRPr="00436BC4">
        <w:t xml:space="preserve"> been influential </w:t>
      </w:r>
      <w:r w:rsidR="00C27D39" w:rsidRPr="00436BC4">
        <w:t>i</w:t>
      </w:r>
      <w:r w:rsidRPr="00436BC4">
        <w:t>n queer theory</w:t>
      </w:r>
      <w:r w:rsidR="0060733B" w:rsidRPr="00436BC4">
        <w:t>,</w:t>
      </w:r>
      <w:r w:rsidRPr="00436BC4">
        <w:t xml:space="preserve"> </w:t>
      </w:r>
      <w:r w:rsidR="00E405CD" w:rsidRPr="00436BC4">
        <w:t>particularly</w:t>
      </w:r>
      <w:r w:rsidRPr="00436BC4">
        <w:t xml:space="preserve"> the way Foucault maintained that sexuality should be thought of as a historical construct, rather than a naturally occurring phenomenon which must be upheld.</w:t>
      </w:r>
      <w:r w:rsidRPr="00436BC4">
        <w:rPr>
          <w:rStyle w:val="FootnoteReference"/>
        </w:rPr>
        <w:footnoteReference w:id="33"/>
      </w:r>
      <w:r w:rsidRPr="00436BC4">
        <w:t xml:space="preserve"> </w:t>
      </w:r>
    </w:p>
    <w:p w14:paraId="089DAD9D" w14:textId="77777777" w:rsidR="00FA7B2C" w:rsidRPr="00436BC4" w:rsidRDefault="00FA7B2C" w:rsidP="00161827">
      <w:pPr>
        <w:spacing w:line="480" w:lineRule="auto"/>
      </w:pPr>
    </w:p>
    <w:p w14:paraId="464DF3C6" w14:textId="0B6761B0" w:rsidR="00382341" w:rsidRDefault="0003365A" w:rsidP="00161827">
      <w:pPr>
        <w:pStyle w:val="Heading3"/>
        <w:numPr>
          <w:ilvl w:val="0"/>
          <w:numId w:val="11"/>
        </w:numPr>
        <w:spacing w:line="480" w:lineRule="auto"/>
      </w:pPr>
      <w:bookmarkStart w:id="21" w:name="_Toc175312184"/>
      <w:r w:rsidRPr="00436BC4">
        <w:t xml:space="preserve">Queer </w:t>
      </w:r>
      <w:r w:rsidR="002361CF" w:rsidRPr="00436BC4">
        <w:t>T</w:t>
      </w:r>
      <w:r w:rsidRPr="00436BC4">
        <w:t>emporality</w:t>
      </w:r>
      <w:bookmarkEnd w:id="21"/>
    </w:p>
    <w:p w14:paraId="0A1E43B7" w14:textId="33194539" w:rsidR="0003365A" w:rsidRDefault="0032400A" w:rsidP="00161827">
      <w:pPr>
        <w:spacing w:line="480" w:lineRule="auto"/>
      </w:pPr>
      <w:r w:rsidRPr="00436BC4">
        <w:t>During</w:t>
      </w:r>
      <w:r w:rsidR="0003365A" w:rsidRPr="00436BC4">
        <w:t xml:space="preserve"> the late </w:t>
      </w:r>
      <w:r w:rsidR="00C949C0">
        <w:t>twentieth</w:t>
      </w:r>
      <w:r w:rsidR="0003365A" w:rsidRPr="00436BC4">
        <w:t xml:space="preserve"> century queer theor</w:t>
      </w:r>
      <w:r w:rsidRPr="00436BC4">
        <w:t>ists</w:t>
      </w:r>
      <w:r w:rsidR="0003365A" w:rsidRPr="00436BC4">
        <w:t xml:space="preserve"> began to raise questions concerning queerness and time,</w:t>
      </w:r>
      <w:r w:rsidRPr="00436BC4">
        <w:t xml:space="preserve"> specifically</w:t>
      </w:r>
      <w:r w:rsidR="0003365A" w:rsidRPr="00436BC4">
        <w:t xml:space="preserve"> how we consider time to be well used</w:t>
      </w:r>
      <w:r w:rsidR="00E86412">
        <w:t xml:space="preserve"> </w:t>
      </w:r>
      <w:r w:rsidR="0003365A" w:rsidRPr="00436BC4">
        <w:t>and what counts as a successful life</w:t>
      </w:r>
      <w:r w:rsidRPr="00436BC4">
        <w:t>. This was</w:t>
      </w:r>
      <w:r w:rsidR="0003365A" w:rsidRPr="00436BC4">
        <w:t xml:space="preserve"> known as </w:t>
      </w:r>
      <w:r w:rsidRPr="00436BC4">
        <w:t>‘</w:t>
      </w:r>
      <w:r w:rsidR="0003365A" w:rsidRPr="00436BC4">
        <w:t>the temporal turn</w:t>
      </w:r>
      <w:r w:rsidRPr="00436BC4">
        <w:t>’</w:t>
      </w:r>
      <w:r w:rsidR="00283042">
        <w:t xml:space="preserve"> in queer theory</w:t>
      </w:r>
      <w:r w:rsidR="0003365A" w:rsidRPr="00436BC4">
        <w:t>.</w:t>
      </w:r>
      <w:r w:rsidR="00BB7689" w:rsidRPr="00436BC4">
        <w:rPr>
          <w:rStyle w:val="FootnoteReference"/>
        </w:rPr>
        <w:footnoteReference w:id="34"/>
      </w:r>
      <w:r w:rsidR="0003365A" w:rsidRPr="00436BC4">
        <w:t xml:space="preserve"> </w:t>
      </w:r>
      <w:r w:rsidR="00E6491D">
        <w:t xml:space="preserve">In the words of McCann and Monaghan, in </w:t>
      </w:r>
      <w:r w:rsidR="0003365A" w:rsidRPr="00436BC4">
        <w:lastRenderedPageBreak/>
        <w:t>philosoph</w:t>
      </w:r>
      <w:r w:rsidRPr="00436BC4">
        <w:t xml:space="preserve">y, </w:t>
      </w:r>
      <w:r w:rsidR="0003365A" w:rsidRPr="00436BC4">
        <w:t>temporality describe</w:t>
      </w:r>
      <w:r w:rsidR="00A81B18" w:rsidRPr="00436BC4">
        <w:t>s</w:t>
      </w:r>
      <w:r w:rsidR="0003365A" w:rsidRPr="00436BC4">
        <w:t xml:space="preserve"> the experience of time, its perceived duration, and relations between past, present and future</w:t>
      </w:r>
      <w:r w:rsidR="00E6491D">
        <w:t>, whilst for</w:t>
      </w:r>
      <w:r w:rsidR="00E6491D" w:rsidRPr="00436BC4">
        <w:t xml:space="preserve"> </w:t>
      </w:r>
      <w:r w:rsidR="0003365A" w:rsidRPr="00436BC4">
        <w:t>the social sciences, it is also used to describe the social organisation of time through certain categories.</w:t>
      </w:r>
      <w:r w:rsidR="00A81B18" w:rsidRPr="00436BC4">
        <w:rPr>
          <w:rStyle w:val="FootnoteReference"/>
        </w:rPr>
        <w:footnoteReference w:id="35"/>
      </w:r>
      <w:r w:rsidR="00E6491D">
        <w:t xml:space="preserve"> They continue that the ‘temporal turn’ in queer theory therefore signalled an increased interest in the discipline in the relationship between sex, gender, sexuality, power, history, and time.</w:t>
      </w:r>
      <w:r w:rsidR="00E6491D">
        <w:rPr>
          <w:rStyle w:val="FootnoteReference"/>
        </w:rPr>
        <w:footnoteReference w:id="36"/>
      </w:r>
      <w:r w:rsidR="0003365A" w:rsidRPr="00436BC4">
        <w:t xml:space="preserve"> Elizabeth Freeman suggested that queer theory and queer temporality could be used together as a critical framework to provide new insight into a range of </w:t>
      </w:r>
      <w:r w:rsidR="00C56424" w:rsidRPr="00436BC4">
        <w:t xml:space="preserve">individual </w:t>
      </w:r>
      <w:r w:rsidR="0003365A" w:rsidRPr="00436BC4">
        <w:t>life narratives including worktime vs leisure time, childhood, adolescence</w:t>
      </w:r>
      <w:r w:rsidR="008F0B18" w:rsidRPr="00436BC4">
        <w:t>,</w:t>
      </w:r>
      <w:r w:rsidR="0003365A" w:rsidRPr="00436BC4">
        <w:t xml:space="preserve"> and adulthood, and the life experiences of LGBT</w:t>
      </w:r>
      <w:r w:rsidR="0060733B" w:rsidRPr="00436BC4">
        <w:t>+</w:t>
      </w:r>
      <w:r w:rsidR="0003365A" w:rsidRPr="00436BC4">
        <w:t xml:space="preserve"> people</w:t>
      </w:r>
      <w:r w:rsidR="008F0B18" w:rsidRPr="00436BC4">
        <w:t xml:space="preserve"> compared with cisgender-heterosexuals</w:t>
      </w:r>
      <w:r w:rsidR="0003365A" w:rsidRPr="00436BC4">
        <w:t>.</w:t>
      </w:r>
      <w:r w:rsidR="00465587" w:rsidRPr="00436BC4">
        <w:rPr>
          <w:rStyle w:val="FootnoteReference"/>
        </w:rPr>
        <w:footnoteReference w:id="37"/>
      </w:r>
      <w:r w:rsidR="0003365A" w:rsidRPr="00436BC4">
        <w:t xml:space="preserve"> Queer theory’s temporal turn brought th</w:t>
      </w:r>
      <w:r w:rsidR="00B33D8E" w:rsidRPr="00436BC4">
        <w:t>ese</w:t>
      </w:r>
      <w:r w:rsidR="0003365A" w:rsidRPr="00436BC4">
        <w:t xml:space="preserve"> ideas into relation with the discipline’s classic areas of interest – gender, sex, sexuality and power relations. </w:t>
      </w:r>
    </w:p>
    <w:p w14:paraId="58CB6F10" w14:textId="77777777" w:rsidR="003D2994" w:rsidRPr="00436BC4" w:rsidRDefault="003D2994" w:rsidP="00161827">
      <w:pPr>
        <w:spacing w:line="480" w:lineRule="auto"/>
      </w:pPr>
    </w:p>
    <w:p w14:paraId="65AE89C6" w14:textId="40793E25" w:rsidR="00C56424" w:rsidRDefault="00CD3BBF" w:rsidP="00C56424">
      <w:pPr>
        <w:spacing w:line="480" w:lineRule="auto"/>
      </w:pPr>
      <w:r w:rsidRPr="00436BC4">
        <w:t>H</w:t>
      </w:r>
      <w:r w:rsidR="006F0929" w:rsidRPr="00436BC4">
        <w:t>eteronormativity</w:t>
      </w:r>
      <w:r w:rsidR="00765354" w:rsidRPr="00436BC4">
        <w:t>’s</w:t>
      </w:r>
      <w:r w:rsidR="006F0929" w:rsidRPr="00436BC4">
        <w:t xml:space="preserve"> relation to </w:t>
      </w:r>
      <w:r w:rsidRPr="00436BC4">
        <w:t>temporality</w:t>
      </w:r>
      <w:r w:rsidR="006F0929" w:rsidRPr="00436BC4">
        <w:t xml:space="preserve"> affects what </w:t>
      </w:r>
      <w:r w:rsidRPr="00436BC4">
        <w:t>is</w:t>
      </w:r>
      <w:r w:rsidR="006F0929" w:rsidRPr="00436BC4">
        <w:t xml:space="preserve"> consider</w:t>
      </w:r>
      <w:r w:rsidRPr="00436BC4">
        <w:t>ed</w:t>
      </w:r>
      <w:r w:rsidR="006F0929" w:rsidRPr="00436BC4">
        <w:t xml:space="preserve"> to be a </w:t>
      </w:r>
      <w:r w:rsidRPr="00436BC4">
        <w:t>‘</w:t>
      </w:r>
      <w:r w:rsidR="006F0929" w:rsidRPr="00436BC4">
        <w:t>good</w:t>
      </w:r>
      <w:r w:rsidRPr="00436BC4">
        <w:t>’,</w:t>
      </w:r>
      <w:r w:rsidR="006F0929" w:rsidRPr="00436BC4">
        <w:t xml:space="preserve"> </w:t>
      </w:r>
      <w:r w:rsidRPr="00436BC4">
        <w:t>‘s</w:t>
      </w:r>
      <w:r w:rsidR="006F0929" w:rsidRPr="00436BC4">
        <w:t>uccessful</w:t>
      </w:r>
      <w:r w:rsidRPr="00436BC4">
        <w:t>’</w:t>
      </w:r>
      <w:r w:rsidR="006F0929" w:rsidRPr="00436BC4">
        <w:t xml:space="preserve">, </w:t>
      </w:r>
      <w:r w:rsidRPr="00436BC4">
        <w:t>‘</w:t>
      </w:r>
      <w:r w:rsidR="006F0929" w:rsidRPr="00436BC4">
        <w:t>happy</w:t>
      </w:r>
      <w:r w:rsidR="0060733B" w:rsidRPr="00436BC4">
        <w:t>’</w:t>
      </w:r>
      <w:r w:rsidR="006F0929" w:rsidRPr="00436BC4">
        <w:t xml:space="preserve"> or even </w:t>
      </w:r>
      <w:r w:rsidRPr="00436BC4">
        <w:t>‘</w:t>
      </w:r>
      <w:r w:rsidR="006F0929" w:rsidRPr="00436BC4">
        <w:t>moral</w:t>
      </w:r>
      <w:r w:rsidRPr="00436BC4">
        <w:t>’</w:t>
      </w:r>
      <w:r w:rsidR="006F0929" w:rsidRPr="00436BC4">
        <w:t xml:space="preserve"> life. The narrative of</w:t>
      </w:r>
      <w:r w:rsidR="00CA520E" w:rsidRPr="00436BC4">
        <w:t xml:space="preserve"> a</w:t>
      </w:r>
      <w:r w:rsidR="006F0929" w:rsidRPr="00436BC4">
        <w:t xml:space="preserve"> heteronormative life according to queer theorists is marked by certain celebrated milestones, for example birth, childhood, adolescence, adulthood, marriage, reproduction, parenthood, anniversaries, retirement, and death. Halberstam in 2005 argued </w:t>
      </w:r>
      <w:r w:rsidR="004E2B82" w:rsidRPr="00436BC4">
        <w:t xml:space="preserve">in </w:t>
      </w:r>
      <w:r w:rsidR="006F0929" w:rsidRPr="00436BC4">
        <w:rPr>
          <w:i/>
          <w:iCs/>
        </w:rPr>
        <w:t>In Queer Time and Place: Transgender Bodies, Subcultural Lives</w:t>
      </w:r>
      <w:r w:rsidR="006F0929" w:rsidRPr="00436BC4">
        <w:t xml:space="preserve"> that these milestones are founded upon</w:t>
      </w:r>
      <w:r w:rsidR="004E2B82" w:rsidRPr="00436BC4">
        <w:t xml:space="preserve"> the primacy of</w:t>
      </w:r>
      <w:r w:rsidR="006F0929" w:rsidRPr="00436BC4">
        <w:t xml:space="preserve"> </w:t>
      </w:r>
      <w:r w:rsidRPr="00436BC4">
        <w:t>‘</w:t>
      </w:r>
      <w:r w:rsidR="006F0929" w:rsidRPr="00436BC4">
        <w:t>institutions of family, heterosexuality, and reproduction</w:t>
      </w:r>
      <w:r w:rsidRPr="00436BC4">
        <w:t>’</w:t>
      </w:r>
      <w:r w:rsidR="006F0929" w:rsidRPr="00436BC4">
        <w:t>.</w:t>
      </w:r>
      <w:r w:rsidR="004A6137" w:rsidRPr="00436BC4">
        <w:rPr>
          <w:rStyle w:val="FootnoteReference"/>
        </w:rPr>
        <w:footnoteReference w:id="38"/>
      </w:r>
      <w:r w:rsidR="006F0929" w:rsidRPr="00436BC4">
        <w:t xml:space="preserve"> Current Western understanding of what a ‘successful life’ looks like requires </w:t>
      </w:r>
      <w:r w:rsidRPr="00436BC4">
        <w:t xml:space="preserve">that </w:t>
      </w:r>
      <w:r w:rsidR="006F0929" w:rsidRPr="00436BC4">
        <w:t xml:space="preserve">an individual pass through each </w:t>
      </w:r>
      <w:r w:rsidRPr="00436BC4">
        <w:t xml:space="preserve">life </w:t>
      </w:r>
      <w:r w:rsidR="006F0929" w:rsidRPr="00436BC4">
        <w:t xml:space="preserve">phase at </w:t>
      </w:r>
      <w:r w:rsidRPr="00436BC4">
        <w:t>an</w:t>
      </w:r>
      <w:r w:rsidR="006F0929" w:rsidRPr="00436BC4">
        <w:t xml:space="preserve"> appropriate speed</w:t>
      </w:r>
      <w:r w:rsidR="00F3436E">
        <w:t>,</w:t>
      </w:r>
      <w:r w:rsidRPr="00436BC4">
        <w:t xml:space="preserve"> i.e. </w:t>
      </w:r>
      <w:r w:rsidR="00F3436E">
        <w:t xml:space="preserve">the </w:t>
      </w:r>
      <w:r w:rsidRPr="00436BC4">
        <w:t xml:space="preserve">rebellious teenager becomes </w:t>
      </w:r>
      <w:r w:rsidR="00F3436E">
        <w:t xml:space="preserve">a </w:t>
      </w:r>
      <w:r w:rsidRPr="00436BC4">
        <w:t>responsible adult and ‘settles down’</w:t>
      </w:r>
      <w:r w:rsidR="001967B6" w:rsidRPr="00436BC4">
        <w:t xml:space="preserve"> with a</w:t>
      </w:r>
      <w:r w:rsidR="00143BC8" w:rsidRPr="00436BC4">
        <w:t>n opposite-sex</w:t>
      </w:r>
      <w:r w:rsidR="001967B6" w:rsidRPr="00436BC4">
        <w:t xml:space="preserve"> partner</w:t>
      </w:r>
      <w:r w:rsidRPr="00436BC4">
        <w:t xml:space="preserve"> to procreate</w:t>
      </w:r>
      <w:r w:rsidR="006F0929" w:rsidRPr="00436BC4">
        <w:t>.</w:t>
      </w:r>
      <w:r w:rsidR="00143BC8" w:rsidRPr="00436BC4">
        <w:t xml:space="preserve"> An example of heteronormative temporality is ‘reproductive temporality’ which especially effects women,</w:t>
      </w:r>
      <w:r w:rsidR="004E2B82" w:rsidRPr="00436BC4">
        <w:t xml:space="preserve"> and</w:t>
      </w:r>
      <w:r w:rsidR="00143BC8" w:rsidRPr="00436BC4">
        <w:t xml:space="preserve"> is ruled by the notion of a biological clock.</w:t>
      </w:r>
      <w:r w:rsidR="00143BC8" w:rsidRPr="00436BC4">
        <w:rPr>
          <w:rStyle w:val="FootnoteReference"/>
        </w:rPr>
        <w:footnoteReference w:id="39"/>
      </w:r>
      <w:r w:rsidR="00143BC8" w:rsidRPr="00436BC4">
        <w:t xml:space="preserve"> </w:t>
      </w:r>
      <w:bookmarkStart w:id="22" w:name="_Hlk173616177"/>
      <w:r w:rsidR="009C038D" w:rsidRPr="00436BC4">
        <w:t>Another example is n</w:t>
      </w:r>
      <w:r w:rsidR="006F0929" w:rsidRPr="00436BC4">
        <w:t>ormative heterosexual familial time</w:t>
      </w:r>
      <w:r w:rsidR="009C038D" w:rsidRPr="00436BC4">
        <w:t>, which</w:t>
      </w:r>
      <w:r w:rsidR="006F0929" w:rsidRPr="00436BC4">
        <w:t xml:space="preserve"> revolves </w:t>
      </w:r>
      <w:r w:rsidR="006F0929" w:rsidRPr="00436BC4">
        <w:lastRenderedPageBreak/>
        <w:t xml:space="preserve">around the implementation of schedules </w:t>
      </w:r>
      <w:r w:rsidR="00CF62A4" w:rsidRPr="00436BC4">
        <w:t xml:space="preserve">(early to bed, on time for school, etc.) </w:t>
      </w:r>
      <w:r w:rsidR="006F0929" w:rsidRPr="00436BC4">
        <w:t xml:space="preserve">surrounding </w:t>
      </w:r>
      <w:r w:rsidR="00CF62A4" w:rsidRPr="00436BC4">
        <w:t>‘</w:t>
      </w:r>
      <w:r w:rsidR="006F0929" w:rsidRPr="00436BC4">
        <w:t>correct</w:t>
      </w:r>
      <w:r w:rsidR="00CF62A4" w:rsidRPr="00436BC4">
        <w:t>’</w:t>
      </w:r>
      <w:r w:rsidR="006F0929" w:rsidRPr="00436BC4">
        <w:t xml:space="preserve"> childrearing practices </w:t>
      </w:r>
      <w:r w:rsidR="00CF62A4" w:rsidRPr="00436BC4">
        <w:t xml:space="preserve">which are </w:t>
      </w:r>
      <w:r w:rsidR="006F0929" w:rsidRPr="00436BC4">
        <w:t>dictated by notions of middle class respectability.</w:t>
      </w:r>
      <w:r w:rsidR="009C038D" w:rsidRPr="00436BC4">
        <w:rPr>
          <w:rStyle w:val="FootnoteReference"/>
        </w:rPr>
        <w:footnoteReference w:id="40"/>
      </w:r>
      <w:r w:rsidR="00CF62A4" w:rsidRPr="00436BC4">
        <w:t xml:space="preserve"> Halberstam argues that scheduling and reproductive time have become cemented in West</w:t>
      </w:r>
      <w:r w:rsidR="00B65D97" w:rsidRPr="00436BC4">
        <w:t xml:space="preserve">ern understandings about </w:t>
      </w:r>
      <w:r w:rsidR="00CF62A4" w:rsidRPr="00436BC4">
        <w:t xml:space="preserve">how life </w:t>
      </w:r>
      <w:r w:rsidR="00CF62A4" w:rsidRPr="00436BC4">
        <w:rPr>
          <w:i/>
          <w:iCs/>
        </w:rPr>
        <w:t>should</w:t>
      </w:r>
      <w:r w:rsidR="00CF62A4" w:rsidRPr="00436BC4">
        <w:t xml:space="preserve"> be lived</w:t>
      </w:r>
      <w:r w:rsidR="00B65D97" w:rsidRPr="00436BC4">
        <w:t>.</w:t>
      </w:r>
      <w:r w:rsidR="00B65D97" w:rsidRPr="00436BC4">
        <w:rPr>
          <w:rStyle w:val="FootnoteReference"/>
        </w:rPr>
        <w:footnoteReference w:id="41"/>
      </w:r>
      <w:r w:rsidR="00CF62A4" w:rsidRPr="00436BC4">
        <w:t xml:space="preserve"> </w:t>
      </w:r>
      <w:bookmarkEnd w:id="22"/>
      <w:r w:rsidR="00B65D97" w:rsidRPr="00436BC4">
        <w:t>T</w:t>
      </w:r>
      <w:r w:rsidR="006F0929" w:rsidRPr="00436BC4">
        <w:t xml:space="preserve">his understanding creates a rift between those who follow this heteronormative narrative, and those who can’t or won’t, as is </w:t>
      </w:r>
      <w:r w:rsidR="00703915" w:rsidRPr="00436BC4">
        <w:t xml:space="preserve">often </w:t>
      </w:r>
      <w:r w:rsidR="006F0929" w:rsidRPr="00436BC4">
        <w:t>the case with queer individuals</w:t>
      </w:r>
      <w:r w:rsidR="00703915" w:rsidRPr="00436BC4">
        <w:t xml:space="preserve"> and </w:t>
      </w:r>
      <w:r w:rsidR="006F0929" w:rsidRPr="00436BC4">
        <w:t>communities. Monaghan states that ‘Queer life narratives… do not fit with these dominant</w:t>
      </w:r>
      <w:r w:rsidR="00D2003C" w:rsidRPr="00436BC4">
        <w:t xml:space="preserve"> (heteronormative)</w:t>
      </w:r>
      <w:r w:rsidR="006F0929" w:rsidRPr="00436BC4">
        <w:t xml:space="preserve"> temporal logics. Non-linear in their temporality, they do not follow the same milestones and are often not celebrated’.</w:t>
      </w:r>
      <w:r w:rsidR="00D2003C" w:rsidRPr="00436BC4">
        <w:rPr>
          <w:rStyle w:val="FootnoteReference"/>
        </w:rPr>
        <w:footnoteReference w:id="42"/>
      </w:r>
      <w:r w:rsidR="006F0929" w:rsidRPr="00436BC4">
        <w:t xml:space="preserve"> As a result of this lack of </w:t>
      </w:r>
      <w:r w:rsidR="00703915" w:rsidRPr="00436BC4">
        <w:t xml:space="preserve">perceived </w:t>
      </w:r>
      <w:r w:rsidR="006F0929" w:rsidRPr="00436BC4">
        <w:t>‘normal progression’</w:t>
      </w:r>
      <w:r w:rsidR="007C58F6" w:rsidRPr="00436BC4">
        <w:t>,</w:t>
      </w:r>
      <w:r w:rsidR="006F0929" w:rsidRPr="00436BC4">
        <w:t xml:space="preserve"> queer lives </w:t>
      </w:r>
      <w:r w:rsidR="006C6FF2" w:rsidRPr="00436BC4">
        <w:t>often struggle to be seen as</w:t>
      </w:r>
      <w:r w:rsidR="006F0929" w:rsidRPr="00436BC4">
        <w:t xml:space="preserve"> successful, good, respectable, </w:t>
      </w:r>
      <w:r w:rsidR="007C58F6" w:rsidRPr="00436BC4">
        <w:t>and</w:t>
      </w:r>
      <w:r w:rsidR="006F0929" w:rsidRPr="00436BC4">
        <w:t xml:space="preserve"> moral. </w:t>
      </w:r>
    </w:p>
    <w:p w14:paraId="72BFD019" w14:textId="77777777" w:rsidR="003D2994" w:rsidRPr="00436BC4" w:rsidRDefault="003D2994" w:rsidP="00C56424">
      <w:pPr>
        <w:spacing w:line="480" w:lineRule="auto"/>
      </w:pPr>
    </w:p>
    <w:p w14:paraId="199E671F" w14:textId="34C2DF64" w:rsidR="000D591D" w:rsidRDefault="003D6E34" w:rsidP="00161827">
      <w:pPr>
        <w:spacing w:line="480" w:lineRule="auto"/>
      </w:pPr>
      <w:r>
        <w:t>When used as a verb, ‘to queer’ involves challenging and resisting expectations or norms. MacCann gives an example of how ‘queering femininity’ might mean thinking about how femininity may exist in other forms beyond oppressive gender ideals, and can be expressed in non-normative ways.</w:t>
      </w:r>
      <w:r>
        <w:rPr>
          <w:rStyle w:val="FootnoteReference"/>
        </w:rPr>
        <w:footnoteReference w:id="43"/>
      </w:r>
      <w:r w:rsidRPr="00436BC4">
        <w:t xml:space="preserve"> </w:t>
      </w:r>
      <w:r w:rsidR="00C56424" w:rsidRPr="00436BC4">
        <w:t xml:space="preserve">In 1999 Carolyn Dinshaw’s book </w:t>
      </w:r>
      <w:r w:rsidR="00C56424" w:rsidRPr="00436BC4">
        <w:rPr>
          <w:i/>
          <w:iCs/>
        </w:rPr>
        <w:t>Getting Medieval: Sexualities and Communities, Pre and Postmodern</w:t>
      </w:r>
      <w:r w:rsidR="00C56424" w:rsidRPr="00436BC4">
        <w:t xml:space="preserve"> was influential </w:t>
      </w:r>
      <w:r w:rsidR="00CC1C0A" w:rsidRPr="00436BC4">
        <w:t>in</w:t>
      </w:r>
      <w:r w:rsidR="000E0465" w:rsidRPr="00436BC4">
        <w:t xml:space="preserve"> addressing another aspect of temporality by</w:t>
      </w:r>
      <w:r w:rsidR="00C56424" w:rsidRPr="00436BC4">
        <w:t xml:space="preserve"> looking beyond the life narratives of individuals in the early modern period</w:t>
      </w:r>
      <w:r w:rsidR="0060733B" w:rsidRPr="00436BC4">
        <w:t>,</w:t>
      </w:r>
      <w:r w:rsidR="00C56424" w:rsidRPr="00436BC4">
        <w:t xml:space="preserve"> </w:t>
      </w:r>
      <w:r w:rsidR="000E0465" w:rsidRPr="00436BC4">
        <w:t>and</w:t>
      </w:r>
      <w:r w:rsidR="00547B29" w:rsidRPr="00436BC4">
        <w:t xml:space="preserve"> </w:t>
      </w:r>
      <w:r w:rsidR="00C56424" w:rsidRPr="00436BC4">
        <w:t>exploring how to queer understandings of sex and gender across</w:t>
      </w:r>
      <w:r w:rsidR="00CC23C1" w:rsidRPr="00436BC4">
        <w:t xml:space="preserve"> </w:t>
      </w:r>
      <w:r w:rsidR="00C56424" w:rsidRPr="00436BC4">
        <w:t>historical periods.</w:t>
      </w:r>
      <w:r>
        <w:t xml:space="preserve"> </w:t>
      </w:r>
      <w:r w:rsidR="00C56424" w:rsidRPr="00436BC4">
        <w:t>Dinshaw</w:t>
      </w:r>
      <w:r w:rsidR="008141A5" w:rsidRPr="00436BC4">
        <w:t xml:space="preserve"> posed the question of how communities in the past and present are created by their relationship to sex.</w:t>
      </w:r>
      <w:r w:rsidR="008141A5" w:rsidRPr="00436BC4">
        <w:rPr>
          <w:rStyle w:val="FootnoteReference"/>
        </w:rPr>
        <w:footnoteReference w:id="44"/>
      </w:r>
      <w:r w:rsidR="00E97DB9" w:rsidRPr="00436BC4">
        <w:t xml:space="preserve"> Sex and the erotic are ‘heterogeneous, multiple, and fundamentally indeterminate’, meaning that </w:t>
      </w:r>
      <w:r w:rsidR="008D6DF4">
        <w:t>they</w:t>
      </w:r>
      <w:r w:rsidR="00E97DB9" w:rsidRPr="00436BC4">
        <w:t xml:space="preserve"> cannot be traced through a </w:t>
      </w:r>
      <w:r w:rsidR="006C14DC" w:rsidRPr="00436BC4">
        <w:t xml:space="preserve">progressive </w:t>
      </w:r>
      <w:r w:rsidR="00E97DB9" w:rsidRPr="00436BC4">
        <w:t>linear line from the past to the present</w:t>
      </w:r>
      <w:r w:rsidR="00C56424" w:rsidRPr="00436BC4">
        <w:t>.</w:t>
      </w:r>
      <w:r w:rsidR="00C56424" w:rsidRPr="00436BC4">
        <w:rPr>
          <w:rStyle w:val="FootnoteReference"/>
        </w:rPr>
        <w:footnoteReference w:id="45"/>
      </w:r>
      <w:r w:rsidR="00C56424" w:rsidRPr="00436BC4">
        <w:t xml:space="preserve"> </w:t>
      </w:r>
      <w:r w:rsidR="00E97DB9" w:rsidRPr="00436BC4">
        <w:t>Dinshaw</w:t>
      </w:r>
      <w:r w:rsidR="006C14DC" w:rsidRPr="00436BC4">
        <w:t xml:space="preserve"> uses this assertion to argue for an approach to the study </w:t>
      </w:r>
      <w:r w:rsidR="006C14DC" w:rsidRPr="00436BC4">
        <w:lastRenderedPageBreak/>
        <w:t xml:space="preserve">of history </w:t>
      </w:r>
      <w:r w:rsidR="00E97DB9" w:rsidRPr="00436BC4">
        <w:t>that</w:t>
      </w:r>
      <w:r w:rsidR="006C14DC" w:rsidRPr="00436BC4">
        <w:t xml:space="preserve"> follows</w:t>
      </w:r>
      <w:r w:rsidR="00E97DB9" w:rsidRPr="00436BC4">
        <w:t xml:space="preserve"> ‘a queer historical impulse… making connections across time between, on the one hand, lives, texts, and other cultural phenomena left out of sexual categories back then and, on the other, those left out of current sexual categories now’.</w:t>
      </w:r>
      <w:r w:rsidR="00E97DB9" w:rsidRPr="00436BC4">
        <w:rPr>
          <w:rStyle w:val="FootnoteReference"/>
        </w:rPr>
        <w:footnoteReference w:id="46"/>
      </w:r>
      <w:r w:rsidR="00E97DB9" w:rsidRPr="00436BC4">
        <w:t xml:space="preserve"> </w:t>
      </w:r>
      <w:r w:rsidR="00C56424" w:rsidRPr="00436BC4">
        <w:t>By approaching queer</w:t>
      </w:r>
      <w:r w:rsidR="006C14DC" w:rsidRPr="00436BC4">
        <w:t xml:space="preserve">ness </w:t>
      </w:r>
      <w:r w:rsidR="00C56424" w:rsidRPr="00436BC4">
        <w:t>in this way, and describing them as affective relations across time, Dinshaw</w:t>
      </w:r>
      <w:r w:rsidR="00D478AE" w:rsidRPr="00436BC4">
        <w:t xml:space="preserve"> </w:t>
      </w:r>
      <w:r w:rsidR="00C56424" w:rsidRPr="00436BC4">
        <w:t>encourages an understanding of queer/nonnormative communities in non-linear forms</w:t>
      </w:r>
      <w:r w:rsidR="009950DA" w:rsidRPr="00436BC4">
        <w:t>.</w:t>
      </w:r>
      <w:r w:rsidR="00294938" w:rsidRPr="00436BC4">
        <w:t xml:space="preserve"> </w:t>
      </w:r>
      <w:r w:rsidR="009950DA" w:rsidRPr="00436BC4">
        <w:t>This</w:t>
      </w:r>
      <w:r w:rsidR="00C56424" w:rsidRPr="00436BC4">
        <w:t xml:space="preserve"> </w:t>
      </w:r>
      <w:r w:rsidR="006C14DC" w:rsidRPr="00436BC4">
        <w:t>method</w:t>
      </w:r>
      <w:r w:rsidR="00C56424" w:rsidRPr="00436BC4">
        <w:t xml:space="preserve"> draw</w:t>
      </w:r>
      <w:r w:rsidR="006C14DC" w:rsidRPr="00436BC4">
        <w:t>s</w:t>
      </w:r>
      <w:r w:rsidR="00C56424" w:rsidRPr="00436BC4">
        <w:t xml:space="preserve"> parallels between post-modern identities and experience with pre</w:t>
      </w:r>
      <w:r w:rsidR="00267638">
        <w:t>-</w:t>
      </w:r>
      <w:r w:rsidR="00C56424" w:rsidRPr="00436BC4">
        <w:t>modern peoples.</w:t>
      </w:r>
      <w:r w:rsidR="00C56424" w:rsidRPr="00436BC4">
        <w:rPr>
          <w:rStyle w:val="FootnoteReference"/>
        </w:rPr>
        <w:footnoteReference w:id="47"/>
      </w:r>
      <w:r w:rsidR="00C56424" w:rsidRPr="00436BC4">
        <w:t xml:space="preserve"> </w:t>
      </w:r>
      <w:r w:rsidR="00E96092" w:rsidRPr="00436BC4">
        <w:t xml:space="preserve">By </w:t>
      </w:r>
      <w:r w:rsidR="009950DA" w:rsidRPr="00436BC4">
        <w:t xml:space="preserve">troubling linear timelines, this queer critique of historicism allows for </w:t>
      </w:r>
      <w:r w:rsidR="001F5951">
        <w:t>the relationship</w:t>
      </w:r>
      <w:r w:rsidR="009950DA" w:rsidRPr="00436BC4">
        <w:t xml:space="preserve"> between present and past incarnations of queerness to be better appreciated.</w:t>
      </w:r>
    </w:p>
    <w:p w14:paraId="50D13F5A" w14:textId="77777777" w:rsidR="003D2994" w:rsidRPr="00436BC4" w:rsidRDefault="003D2994" w:rsidP="00161827">
      <w:pPr>
        <w:spacing w:line="480" w:lineRule="auto"/>
      </w:pPr>
    </w:p>
    <w:p w14:paraId="584B5856" w14:textId="3183F670" w:rsidR="00382341" w:rsidRDefault="0003365A" w:rsidP="00161827">
      <w:pPr>
        <w:pStyle w:val="Heading3"/>
        <w:numPr>
          <w:ilvl w:val="0"/>
          <w:numId w:val="11"/>
        </w:numPr>
        <w:spacing w:line="480" w:lineRule="auto"/>
      </w:pPr>
      <w:bookmarkStart w:id="25" w:name="_Toc175312185"/>
      <w:r w:rsidRPr="00436BC4">
        <w:t xml:space="preserve">The Anti-Social Thesis, No Future, and the </w:t>
      </w:r>
      <w:r w:rsidR="002361CF" w:rsidRPr="00436BC4">
        <w:t>F</w:t>
      </w:r>
      <w:r w:rsidRPr="00436BC4">
        <w:t xml:space="preserve">igure of </w:t>
      </w:r>
      <w:r w:rsidR="00262579" w:rsidRPr="00436BC4">
        <w:t>‘T</w:t>
      </w:r>
      <w:r w:rsidRPr="00436BC4">
        <w:t>he Child</w:t>
      </w:r>
      <w:r w:rsidR="00262579" w:rsidRPr="00436BC4">
        <w:t>’</w:t>
      </w:r>
      <w:bookmarkEnd w:id="25"/>
    </w:p>
    <w:p w14:paraId="09FB9DD0" w14:textId="4969E5A9" w:rsidR="0003365A" w:rsidRDefault="0003365A" w:rsidP="00161827">
      <w:pPr>
        <w:spacing w:line="480" w:lineRule="auto"/>
      </w:pPr>
      <w:r w:rsidRPr="00436BC4">
        <w:t>A critique of queer theory</w:t>
      </w:r>
      <w:r w:rsidR="00280316" w:rsidRPr="00436BC4">
        <w:t xml:space="preserve"> that </w:t>
      </w:r>
      <w:r w:rsidRPr="00436BC4">
        <w:t xml:space="preserve">emerged as a response to the AIDS crisis in the 1980s </w:t>
      </w:r>
      <w:r w:rsidR="002173FE" w:rsidRPr="00436BC4">
        <w:t xml:space="preserve">was written </w:t>
      </w:r>
      <w:r w:rsidRPr="00436BC4">
        <w:t xml:space="preserve">by literary theorist Leo Bersani </w:t>
      </w:r>
      <w:r w:rsidR="00294938" w:rsidRPr="00436BC4">
        <w:t xml:space="preserve">who </w:t>
      </w:r>
      <w:r w:rsidRPr="00436BC4">
        <w:t>sought to advocate</w:t>
      </w:r>
      <w:r w:rsidR="00BD234C" w:rsidRPr="00436BC4">
        <w:t xml:space="preserve"> for</w:t>
      </w:r>
      <w:r w:rsidRPr="00436BC4">
        <w:t xml:space="preserve"> the </w:t>
      </w:r>
      <w:r w:rsidR="00280316" w:rsidRPr="00436BC4">
        <w:t>breaking</w:t>
      </w:r>
      <w:r w:rsidRPr="00436BC4">
        <w:t xml:space="preserve"> of hierarchies by exploring the relationship between homosexuality and death during the crisis.</w:t>
      </w:r>
      <w:r w:rsidR="002173FE" w:rsidRPr="00436BC4">
        <w:rPr>
          <w:rStyle w:val="FootnoteReference"/>
        </w:rPr>
        <w:footnoteReference w:id="48"/>
      </w:r>
      <w:r w:rsidRPr="00436BC4">
        <w:t xml:space="preserve"> By tracking the homophobic response to AIDS, Bersani advocated for an embrace of </w:t>
      </w:r>
      <w:r w:rsidR="00BD234C" w:rsidRPr="00436BC4">
        <w:t>‘</w:t>
      </w:r>
      <w:r w:rsidRPr="00436BC4">
        <w:t>subordinate positions</w:t>
      </w:r>
      <w:r w:rsidR="00BD234C" w:rsidRPr="00436BC4">
        <w:t>’</w:t>
      </w:r>
      <w:r w:rsidRPr="00436BC4">
        <w:t xml:space="preserve"> that </w:t>
      </w:r>
      <w:r w:rsidR="003609D1" w:rsidRPr="00436BC4">
        <w:t>were</w:t>
      </w:r>
      <w:r w:rsidRPr="00436BC4">
        <w:t xml:space="preserve"> deemed too feminine, too transgressive, </w:t>
      </w:r>
      <w:r w:rsidR="00C12ED9" w:rsidRPr="00436BC4">
        <w:t xml:space="preserve">and </w:t>
      </w:r>
      <w:r w:rsidRPr="00436BC4">
        <w:t xml:space="preserve">too opposed to white American </w:t>
      </w:r>
      <w:r w:rsidR="00C12ED9" w:rsidRPr="00436BC4">
        <w:t xml:space="preserve">family </w:t>
      </w:r>
      <w:r w:rsidRPr="00436BC4">
        <w:t>lifestyles and values (in essence, too queer) to be considered acceptable and/or safe for society to allow to exist.</w:t>
      </w:r>
      <w:r w:rsidR="00294938" w:rsidRPr="00436BC4">
        <w:rPr>
          <w:rStyle w:val="FootnoteReference"/>
        </w:rPr>
        <w:footnoteReference w:id="49"/>
      </w:r>
      <w:r w:rsidRPr="00436BC4">
        <w:t xml:space="preserve"> Bersani advocated for embracing </w:t>
      </w:r>
      <w:r w:rsidR="00014BC0" w:rsidRPr="00436BC4">
        <w:t xml:space="preserve">the productive qualities </w:t>
      </w:r>
      <w:r w:rsidRPr="00436BC4">
        <w:t xml:space="preserve">of </w:t>
      </w:r>
      <w:r w:rsidR="00014BC0" w:rsidRPr="00436BC4">
        <w:t>a</w:t>
      </w:r>
      <w:r w:rsidRPr="00436BC4">
        <w:t xml:space="preserve"> </w:t>
      </w:r>
      <w:r w:rsidR="00014BC0" w:rsidRPr="00436BC4">
        <w:t xml:space="preserve">queer </w:t>
      </w:r>
      <w:r w:rsidRPr="00436BC4">
        <w:t>nihilist positio</w:t>
      </w:r>
      <w:r w:rsidR="00014BC0" w:rsidRPr="00436BC4">
        <w:t>n,</w:t>
      </w:r>
      <w:r w:rsidRPr="00436BC4">
        <w:t xml:space="preserve"> rather than a positive or pride-centric </w:t>
      </w:r>
      <w:r w:rsidR="00014BC0" w:rsidRPr="00436BC4">
        <w:t>one</w:t>
      </w:r>
      <w:r w:rsidR="00B57403" w:rsidRPr="00436BC4">
        <w:t xml:space="preserve">, and his work </w:t>
      </w:r>
      <w:r w:rsidRPr="00436BC4">
        <w:t>advocated for the inherent antisocial-ness of homosexuality</w:t>
      </w:r>
      <w:r w:rsidR="00B57403" w:rsidRPr="00436BC4">
        <w:t xml:space="preserve">, </w:t>
      </w:r>
      <w:r w:rsidRPr="00436BC4">
        <w:t>oppos</w:t>
      </w:r>
      <w:r w:rsidR="00B57403" w:rsidRPr="00436BC4">
        <w:t>ing</w:t>
      </w:r>
      <w:r w:rsidRPr="00436BC4">
        <w:t xml:space="preserve"> the move in the liberation movement towards sanitisation and respectability </w:t>
      </w:r>
      <w:r w:rsidR="0051184C" w:rsidRPr="00436BC4">
        <w:t xml:space="preserve">(i.e. equal </w:t>
      </w:r>
      <w:r w:rsidR="0051184C" w:rsidRPr="00436BC4">
        <w:lastRenderedPageBreak/>
        <w:t>marriage and adoption rights)</w:t>
      </w:r>
      <w:r w:rsidRPr="00436BC4">
        <w:t xml:space="preserve">, </w:t>
      </w:r>
      <w:r w:rsidR="00B57403" w:rsidRPr="00436BC4">
        <w:t xml:space="preserve">and </w:t>
      </w:r>
      <w:r w:rsidRPr="00436BC4">
        <w:t>questioning whether a homosexual should be a good citizen at all</w:t>
      </w:r>
      <w:r w:rsidR="008D7797" w:rsidRPr="00436BC4">
        <w:t>,</w:t>
      </w:r>
      <w:r w:rsidR="00B57403" w:rsidRPr="00436BC4">
        <w:rPr>
          <w:rStyle w:val="FootnoteReference"/>
        </w:rPr>
        <w:footnoteReference w:id="50"/>
      </w:r>
      <w:r w:rsidR="008D7797" w:rsidRPr="00436BC4">
        <w:t xml:space="preserve"> ushering in a period of exploring ‘queer unbelonging’ amongst theorists.</w:t>
      </w:r>
      <w:r w:rsidR="008D7797" w:rsidRPr="00436BC4">
        <w:rPr>
          <w:rStyle w:val="FootnoteReference"/>
        </w:rPr>
        <w:footnoteReference w:id="51"/>
      </w:r>
    </w:p>
    <w:p w14:paraId="506BCA1A" w14:textId="77777777" w:rsidR="003D2994" w:rsidRPr="00436BC4" w:rsidRDefault="003D2994" w:rsidP="00161827">
      <w:pPr>
        <w:spacing w:line="480" w:lineRule="auto"/>
      </w:pPr>
    </w:p>
    <w:p w14:paraId="14E1DF80" w14:textId="3F70564A" w:rsidR="0003365A" w:rsidRDefault="002902A5" w:rsidP="00161827">
      <w:pPr>
        <w:spacing w:line="480" w:lineRule="auto"/>
      </w:pPr>
      <w:r w:rsidRPr="00436BC4">
        <w:t>The a</w:t>
      </w:r>
      <w:r w:rsidR="0003365A" w:rsidRPr="00436BC4">
        <w:t xml:space="preserve">nti-social thesis </w:t>
      </w:r>
      <w:r w:rsidR="000A0760" w:rsidRPr="00436BC4">
        <w:t xml:space="preserve">has been expanded on by several theorists, notably Lee </w:t>
      </w:r>
      <w:r w:rsidR="0003365A" w:rsidRPr="00436BC4">
        <w:t xml:space="preserve">Edelman and the figure of </w:t>
      </w:r>
      <w:r w:rsidR="000A0760" w:rsidRPr="00436BC4">
        <w:t>‘The Child’</w:t>
      </w:r>
      <w:r w:rsidR="0003365A" w:rsidRPr="00436BC4">
        <w:t xml:space="preserve">. In </w:t>
      </w:r>
      <w:r w:rsidR="0003365A" w:rsidRPr="00436BC4">
        <w:rPr>
          <w:i/>
          <w:iCs/>
        </w:rPr>
        <w:t>No Future: Queer Theory and the Death Drive</w:t>
      </w:r>
      <w:r w:rsidR="0003365A" w:rsidRPr="00436BC4">
        <w:t xml:space="preserve"> </w:t>
      </w:r>
      <w:r w:rsidR="00A048E1">
        <w:t xml:space="preserve">(2004) </w:t>
      </w:r>
      <w:r w:rsidR="0003365A" w:rsidRPr="00436BC4">
        <w:t>Edelman criticises the framing of current political and cultural dialogue as being based on ideas of reproductive futurism.</w:t>
      </w:r>
      <w:r w:rsidR="00C639C3" w:rsidRPr="00436BC4">
        <w:rPr>
          <w:rStyle w:val="FootnoteReference"/>
        </w:rPr>
        <w:footnoteReference w:id="52"/>
      </w:r>
      <w:r w:rsidR="0003365A" w:rsidRPr="00436BC4">
        <w:t xml:space="preserve"> Edelman</w:t>
      </w:r>
      <w:r w:rsidR="00FA7BA8" w:rsidRPr="00436BC4">
        <w:t>’</w:t>
      </w:r>
      <w:r w:rsidR="0003365A" w:rsidRPr="00436BC4">
        <w:t xml:space="preserve">s main argument is that contemporary social discourse is dominated by the symbolic figure of </w:t>
      </w:r>
      <w:r w:rsidR="000A0760" w:rsidRPr="00436BC4">
        <w:t>‘T</w:t>
      </w:r>
      <w:r w:rsidR="0003365A" w:rsidRPr="00436BC4">
        <w:t>he Child</w:t>
      </w:r>
      <w:r w:rsidR="000A0760" w:rsidRPr="00436BC4">
        <w:t>’</w:t>
      </w:r>
      <w:r w:rsidR="0003365A" w:rsidRPr="00436BC4">
        <w:t xml:space="preserve">, through which the burden of futurity rests on the notion of a future </w:t>
      </w:r>
      <w:r w:rsidR="00202EF4" w:rsidRPr="00436BC4">
        <w:t>theoretical</w:t>
      </w:r>
      <w:r w:rsidR="0003365A" w:rsidRPr="00436BC4">
        <w:t xml:space="preserve"> child</w:t>
      </w:r>
      <w:r w:rsidR="00FA7BA8" w:rsidRPr="00436BC4">
        <w:t>’</w:t>
      </w:r>
      <w:r w:rsidR="0003365A" w:rsidRPr="00436BC4">
        <w:t>s wellbeing</w:t>
      </w:r>
      <w:r w:rsidR="000F2E32" w:rsidRPr="00436BC4">
        <w:t xml:space="preserve">, a wellbeing that it threatened by queerness’s lack </w:t>
      </w:r>
      <w:r w:rsidR="002C2234" w:rsidRPr="00436BC4">
        <w:t xml:space="preserve">of </w:t>
      </w:r>
      <w:r w:rsidR="000F2E32" w:rsidRPr="00436BC4">
        <w:t>biological reproduction</w:t>
      </w:r>
      <w:r w:rsidR="0003365A" w:rsidRPr="00436BC4">
        <w:t>.</w:t>
      </w:r>
      <w:r w:rsidR="00C639C3" w:rsidRPr="00436BC4">
        <w:rPr>
          <w:rStyle w:val="FootnoteReference"/>
        </w:rPr>
        <w:footnoteReference w:id="53"/>
      </w:r>
      <w:r w:rsidR="0003365A" w:rsidRPr="00436BC4">
        <w:t xml:space="preserve"> </w:t>
      </w:r>
      <w:bookmarkStart w:id="30" w:name="_Hlk172634902"/>
    </w:p>
    <w:p w14:paraId="2643E207" w14:textId="77777777" w:rsidR="003D2994" w:rsidRPr="00436BC4" w:rsidRDefault="003D2994" w:rsidP="00161827">
      <w:pPr>
        <w:spacing w:line="480" w:lineRule="auto"/>
      </w:pPr>
    </w:p>
    <w:bookmarkEnd w:id="30"/>
    <w:p w14:paraId="1C295301" w14:textId="12AB0BE0" w:rsidR="0003365A" w:rsidRDefault="0003365A" w:rsidP="00161827">
      <w:pPr>
        <w:spacing w:line="480" w:lineRule="auto"/>
      </w:pPr>
      <w:r w:rsidRPr="00436BC4">
        <w:t xml:space="preserve">Building on the symbol of </w:t>
      </w:r>
      <w:r w:rsidR="00C639C3" w:rsidRPr="00436BC4">
        <w:t>‘T</w:t>
      </w:r>
      <w:r w:rsidRPr="00436BC4">
        <w:t>he Child</w:t>
      </w:r>
      <w:r w:rsidR="00C639C3" w:rsidRPr="00436BC4">
        <w:t>’</w:t>
      </w:r>
      <w:r w:rsidRPr="00436BC4">
        <w:t xml:space="preserve">, Winnubst’s notion of </w:t>
      </w:r>
      <w:r w:rsidR="00762EAA" w:rsidRPr="00436BC4">
        <w:t xml:space="preserve">the </w:t>
      </w:r>
      <w:r w:rsidR="00C639C3" w:rsidRPr="00436BC4">
        <w:t>‘</w:t>
      </w:r>
      <w:r w:rsidRPr="00436BC4">
        <w:t>future</w:t>
      </w:r>
      <w:r w:rsidRPr="00436BC4">
        <w:rPr>
          <w:i/>
          <w:iCs/>
        </w:rPr>
        <w:t xml:space="preserve"> </w:t>
      </w:r>
      <w:r w:rsidRPr="00436BC4">
        <w:t>anterior</w:t>
      </w:r>
      <w:r w:rsidR="00C639C3" w:rsidRPr="00436BC4">
        <w:t>’</w:t>
      </w:r>
      <w:r w:rsidRPr="00436BC4">
        <w:t xml:space="preserve"> is an anticipation of a future state that establishes the present as a realm of utility, a time for grafting and sacrifice for </w:t>
      </w:r>
      <w:r w:rsidR="00441CB2" w:rsidRPr="00436BC4">
        <w:t>a</w:t>
      </w:r>
      <w:r w:rsidRPr="00436BC4">
        <w:t xml:space="preserve"> potential, imagined future. </w:t>
      </w:r>
      <w:r w:rsidR="00C639C3" w:rsidRPr="00436BC4">
        <w:t>‘</w:t>
      </w:r>
      <w:r w:rsidR="00813804" w:rsidRPr="00436BC4">
        <w:t>T</w:t>
      </w:r>
      <w:r w:rsidRPr="00436BC4">
        <w:t xml:space="preserve">he </w:t>
      </w:r>
      <w:r w:rsidR="00813804" w:rsidRPr="00436BC4">
        <w:t>F</w:t>
      </w:r>
      <w:r w:rsidRPr="00436BC4">
        <w:t>uture Child</w:t>
      </w:r>
      <w:r w:rsidR="00C639C3" w:rsidRPr="00436BC4">
        <w:t>’</w:t>
      </w:r>
      <w:r w:rsidRPr="00436BC4">
        <w:t xml:space="preserve"> </w:t>
      </w:r>
      <w:r w:rsidR="007371A4" w:rsidRPr="00436BC4">
        <w:t xml:space="preserve">authorises a utilitarian relationship with the present, and requires </w:t>
      </w:r>
      <w:r w:rsidRPr="00436BC4">
        <w:t>protect</w:t>
      </w:r>
      <w:r w:rsidR="007371A4" w:rsidRPr="00436BC4">
        <w:t>ion</w:t>
      </w:r>
      <w:r w:rsidRPr="00436BC4">
        <w:t xml:space="preserve"> from challenge at all costs, </w:t>
      </w:r>
      <w:r w:rsidR="007371A4" w:rsidRPr="00436BC4">
        <w:t>especially to those whose existence may be seen as a threat to the heteronormative reproductive future ideal it represents.</w:t>
      </w:r>
      <w:r w:rsidR="00670B2A" w:rsidRPr="00436BC4">
        <w:rPr>
          <w:rStyle w:val="FootnoteReference"/>
        </w:rPr>
        <w:footnoteReference w:id="54"/>
      </w:r>
      <w:r w:rsidRPr="00436BC4">
        <w:t xml:space="preserve"> As a result, the unseen cultural acceptance of reproductive futurity can create a dystopic future where all</w:t>
      </w:r>
      <w:r w:rsidR="00765354" w:rsidRPr="00436BC4">
        <w:t xml:space="preserve"> </w:t>
      </w:r>
      <w:r w:rsidRPr="00436BC4">
        <w:t xml:space="preserve">relationships must be heterosexual, monogamous, with the express aim to breed and to pass goods, money, property, power etc, via generational descent. This model requires the sacrifice of the present in favour of a </w:t>
      </w:r>
      <w:r w:rsidRPr="00436BC4">
        <w:lastRenderedPageBreak/>
        <w:t xml:space="preserve">perpetually deferred idealised future, with the result that </w:t>
      </w:r>
      <w:r w:rsidR="00F3631D" w:rsidRPr="00436BC4">
        <w:t xml:space="preserve">all </w:t>
      </w:r>
      <w:r w:rsidRPr="00436BC4">
        <w:t xml:space="preserve">sex </w:t>
      </w:r>
      <w:r w:rsidR="00F3631D" w:rsidRPr="00436BC4">
        <w:t>must be</w:t>
      </w:r>
      <w:r w:rsidRPr="00436BC4">
        <w:t xml:space="preserve"> </w:t>
      </w:r>
      <w:r w:rsidR="00F3631D" w:rsidRPr="00436BC4">
        <w:t xml:space="preserve">heterosexual and </w:t>
      </w:r>
      <w:r w:rsidRPr="00436BC4">
        <w:t>strictly functional</w:t>
      </w:r>
      <w:r w:rsidR="00F3631D" w:rsidRPr="00436BC4">
        <w:t>,</w:t>
      </w:r>
      <w:r w:rsidRPr="00436BC4">
        <w:t xml:space="preserve"> stripped of all eroticism, and any sexualities, identities, </w:t>
      </w:r>
      <w:r w:rsidR="003F6BBE">
        <w:t xml:space="preserve">or </w:t>
      </w:r>
      <w:r w:rsidRPr="00436BC4">
        <w:t>behaviours</w:t>
      </w:r>
      <w:r w:rsidR="003F6BBE">
        <w:t xml:space="preserve"> </w:t>
      </w:r>
      <w:r w:rsidRPr="00436BC4">
        <w:t xml:space="preserve">that do not fit this mould must be destroyed. </w:t>
      </w:r>
      <w:r w:rsidR="001F0EB7" w:rsidRPr="00436BC4">
        <w:rPr>
          <w:rStyle w:val="FootnoteReference"/>
        </w:rPr>
        <w:footnoteReference w:id="55"/>
      </w:r>
    </w:p>
    <w:p w14:paraId="1841C85E" w14:textId="77777777" w:rsidR="003D2994" w:rsidRPr="00436BC4" w:rsidRDefault="003D2994" w:rsidP="00161827">
      <w:pPr>
        <w:spacing w:line="480" w:lineRule="auto"/>
      </w:pPr>
    </w:p>
    <w:p w14:paraId="644C4D9F" w14:textId="7E4BE7EB" w:rsidR="00382341" w:rsidRDefault="0003365A" w:rsidP="00161827">
      <w:pPr>
        <w:pStyle w:val="Heading3"/>
        <w:numPr>
          <w:ilvl w:val="0"/>
          <w:numId w:val="11"/>
        </w:numPr>
        <w:spacing w:line="480" w:lineRule="auto"/>
      </w:pPr>
      <w:bookmarkStart w:id="31" w:name="_Toc175312186"/>
      <w:r w:rsidRPr="00436BC4">
        <w:t xml:space="preserve">Critical </w:t>
      </w:r>
      <w:r w:rsidR="002361CF" w:rsidRPr="00436BC4">
        <w:t>P</w:t>
      </w:r>
      <w:r w:rsidRPr="00436BC4">
        <w:t xml:space="preserve">resent-ness and </w:t>
      </w:r>
      <w:r w:rsidR="002361CF" w:rsidRPr="00436BC4">
        <w:t>Q</w:t>
      </w:r>
      <w:r w:rsidRPr="00436BC4">
        <w:t xml:space="preserve">ueer </w:t>
      </w:r>
      <w:r w:rsidR="002361CF" w:rsidRPr="00436BC4">
        <w:t>C</w:t>
      </w:r>
      <w:r w:rsidRPr="00436BC4">
        <w:t>hildhoods</w:t>
      </w:r>
      <w:bookmarkEnd w:id="31"/>
    </w:p>
    <w:p w14:paraId="675EB4E2" w14:textId="5D88CDCE" w:rsidR="0003365A" w:rsidRDefault="0003365A" w:rsidP="00161827">
      <w:pPr>
        <w:spacing w:line="480" w:lineRule="auto"/>
      </w:pPr>
      <w:r w:rsidRPr="00436BC4">
        <w:t>Similar to</w:t>
      </w:r>
      <w:r w:rsidR="00FA55E0" w:rsidRPr="00436BC4">
        <w:t xml:space="preserve"> </w:t>
      </w:r>
      <w:r w:rsidRPr="00436BC4">
        <w:t>Edelman, Halberstam</w:t>
      </w:r>
      <w:r w:rsidR="000C5819" w:rsidRPr="00436BC4">
        <w:t xml:space="preserve"> </w:t>
      </w:r>
      <w:r w:rsidRPr="00436BC4">
        <w:t xml:space="preserve">argues for viewing queerness through a politics of negativity via pathologized forms of queerness. Halberstam suggests that queer life narratives may develop in opposition to </w:t>
      </w:r>
      <w:r w:rsidR="00FA55E0" w:rsidRPr="00436BC4">
        <w:t>respectable</w:t>
      </w:r>
      <w:r w:rsidR="000C41BB" w:rsidRPr="00436BC4">
        <w:t xml:space="preserve">, </w:t>
      </w:r>
      <w:r w:rsidR="00FA55E0" w:rsidRPr="00436BC4">
        <w:t xml:space="preserve">accepted </w:t>
      </w:r>
      <w:r w:rsidRPr="00436BC4">
        <w:t>normative reproductive temporality, developing ‘according to other logics of location, movement, and identification’.</w:t>
      </w:r>
      <w:r w:rsidR="000C5819" w:rsidRPr="00436BC4">
        <w:rPr>
          <w:rStyle w:val="FootnoteReference"/>
        </w:rPr>
        <w:footnoteReference w:id="56"/>
      </w:r>
      <w:r w:rsidRPr="00436BC4">
        <w:t xml:space="preserve"> Halberstam says when we detach queerness from sexual identity it is possible to understand queerness ‘as an outcome of strange temporalities, imaginative life schedules, and eccentric economic practices’</w:t>
      </w:r>
      <w:r w:rsidR="002C2234" w:rsidRPr="00436BC4">
        <w:t>,</w:t>
      </w:r>
      <w:r w:rsidRPr="00436BC4">
        <w:t xml:space="preserve"> one that directly challenges the heteronormative institutions of family, heterosexuality, and reproduction.</w:t>
      </w:r>
      <w:r w:rsidR="00567DCA" w:rsidRPr="00436BC4">
        <w:rPr>
          <w:rStyle w:val="FootnoteReference"/>
        </w:rPr>
        <w:footnoteReference w:id="57"/>
      </w:r>
    </w:p>
    <w:p w14:paraId="31378B13" w14:textId="77777777" w:rsidR="003D2994" w:rsidRPr="00436BC4" w:rsidRDefault="003D2994" w:rsidP="00161827">
      <w:pPr>
        <w:spacing w:line="480" w:lineRule="auto"/>
      </w:pPr>
    </w:p>
    <w:p w14:paraId="4AE33A9A" w14:textId="137DD2F1" w:rsidR="0003365A" w:rsidRDefault="003E7A9E" w:rsidP="00161827">
      <w:pPr>
        <w:spacing w:line="480" w:lineRule="auto"/>
      </w:pPr>
      <w:r w:rsidRPr="00436BC4">
        <w:t xml:space="preserve">The AIDS epidemic was influential on the emergence of </w:t>
      </w:r>
      <w:r w:rsidR="00904E21">
        <w:t>q</w:t>
      </w:r>
      <w:r w:rsidRPr="00436BC4">
        <w:t>ueer temporality in the academic world, which saw members of the gay community in the West see their ‘horizons of possibility severely diminished’.</w:t>
      </w:r>
      <w:r w:rsidRPr="00436BC4">
        <w:rPr>
          <w:vertAlign w:val="superscript"/>
        </w:rPr>
        <w:footnoteReference w:id="58"/>
      </w:r>
      <w:r w:rsidRPr="00436BC4">
        <w:t xml:space="preserve"> </w:t>
      </w:r>
      <w:r w:rsidR="00B977F4" w:rsidRPr="00436BC4">
        <w:t>During</w:t>
      </w:r>
      <w:r w:rsidR="0003365A" w:rsidRPr="00436BC4">
        <w:t xml:space="preserve"> the crisis</w:t>
      </w:r>
      <w:r w:rsidR="00B977F4" w:rsidRPr="00436BC4">
        <w:t>,</w:t>
      </w:r>
      <w:r w:rsidR="0003365A" w:rsidRPr="00436BC4">
        <w:t xml:space="preserve"> the creation of community centred around disease, infection and death</w:t>
      </w:r>
      <w:r w:rsidR="00B977F4" w:rsidRPr="00436BC4">
        <w:t>. T</w:t>
      </w:r>
      <w:r w:rsidR="0003365A" w:rsidRPr="00436BC4">
        <w:t>his framing</w:t>
      </w:r>
      <w:r w:rsidR="00B977F4" w:rsidRPr="00436BC4">
        <w:t xml:space="preserve"> resulted in </w:t>
      </w:r>
      <w:r w:rsidR="0003365A" w:rsidRPr="00436BC4">
        <w:t xml:space="preserve">the focus of </w:t>
      </w:r>
      <w:r w:rsidR="00B977F4" w:rsidRPr="00436BC4">
        <w:t xml:space="preserve">queer </w:t>
      </w:r>
      <w:r w:rsidR="0003365A" w:rsidRPr="00436BC4">
        <w:t xml:space="preserve">life to move </w:t>
      </w:r>
      <w:r w:rsidR="00B977F4" w:rsidRPr="00436BC4">
        <w:t xml:space="preserve">away </w:t>
      </w:r>
      <w:r w:rsidR="0003365A" w:rsidRPr="00436BC4">
        <w:t>from longevity and stability</w:t>
      </w:r>
      <w:r w:rsidR="00B977F4" w:rsidRPr="00436BC4">
        <w:t xml:space="preserve"> and towards the needs and desires of immediate present</w:t>
      </w:r>
      <w:r w:rsidR="0003365A" w:rsidRPr="00436BC4">
        <w:t xml:space="preserve">. </w:t>
      </w:r>
      <w:r w:rsidR="00B977F4" w:rsidRPr="00436BC4">
        <w:t xml:space="preserve">In relation to this, </w:t>
      </w:r>
      <w:r w:rsidR="0003365A" w:rsidRPr="00436BC4">
        <w:t>Halberstam argues that queer life is</w:t>
      </w:r>
      <w:r w:rsidR="00B977F4" w:rsidRPr="00436BC4">
        <w:t xml:space="preserve"> ‘</w:t>
      </w:r>
      <w:r w:rsidR="0003365A" w:rsidRPr="00436BC4">
        <w:t>about the potentiality of a life unscripted by the conventions of family, inheritance and childrearing’</w:t>
      </w:r>
      <w:r w:rsidR="00B977F4" w:rsidRPr="00436BC4">
        <w:t xml:space="preserve"> (heteronormative reproductive temporality)</w:t>
      </w:r>
      <w:r w:rsidR="0003365A" w:rsidRPr="00436BC4">
        <w:t xml:space="preserve">, </w:t>
      </w:r>
      <w:r w:rsidR="00765354" w:rsidRPr="00436BC4">
        <w:t xml:space="preserve">proposing a </w:t>
      </w:r>
      <w:r w:rsidR="0003365A" w:rsidRPr="00436BC4">
        <w:t xml:space="preserve">‘rethinking of the adult/youth </w:t>
      </w:r>
      <w:r w:rsidR="0003365A" w:rsidRPr="00436BC4">
        <w:lastRenderedPageBreak/>
        <w:t>in relation to an “epistemology of youth” that disrupts conventional accounts of youth culture, adulthood and maturity’.</w:t>
      </w:r>
      <w:r w:rsidR="008112D6" w:rsidRPr="00436BC4">
        <w:rPr>
          <w:rStyle w:val="FootnoteReference"/>
        </w:rPr>
        <w:footnoteReference w:id="59"/>
      </w:r>
      <w:r w:rsidR="0003365A" w:rsidRPr="00436BC4">
        <w:t xml:space="preserve"> </w:t>
      </w:r>
    </w:p>
    <w:p w14:paraId="4167FA5D" w14:textId="77777777" w:rsidR="003D2994" w:rsidRPr="00436BC4" w:rsidRDefault="003D2994" w:rsidP="00161827">
      <w:pPr>
        <w:spacing w:line="480" w:lineRule="auto"/>
      </w:pPr>
    </w:p>
    <w:p w14:paraId="4BD7D058" w14:textId="1DD896B8" w:rsidR="009B3E2E" w:rsidRPr="00436BC4" w:rsidRDefault="00B977F4" w:rsidP="00161827">
      <w:pPr>
        <w:spacing w:line="480" w:lineRule="auto"/>
      </w:pPr>
      <w:r w:rsidRPr="00436BC4">
        <w:t xml:space="preserve">Finally, </w:t>
      </w:r>
      <w:r w:rsidR="000106E2">
        <w:t xml:space="preserve">Kathryn </w:t>
      </w:r>
      <w:r w:rsidR="0003365A" w:rsidRPr="00436BC4">
        <w:t xml:space="preserve">Bond Stockton </w:t>
      </w:r>
      <w:r w:rsidR="00203557" w:rsidRPr="00436BC4">
        <w:t>proposes</w:t>
      </w:r>
      <w:r w:rsidRPr="00436BC4">
        <w:t xml:space="preserve"> the existence of </w:t>
      </w:r>
      <w:r w:rsidR="00203557" w:rsidRPr="00436BC4">
        <w:t>‘</w:t>
      </w:r>
      <w:r w:rsidRPr="00436BC4">
        <w:t>queer childhoods</w:t>
      </w:r>
      <w:r w:rsidR="00203557" w:rsidRPr="00436BC4">
        <w:t>’, arguing</w:t>
      </w:r>
      <w:r w:rsidR="0003365A" w:rsidRPr="00436BC4">
        <w:t xml:space="preserve"> that childhood is a key sit</w:t>
      </w:r>
      <w:r w:rsidR="00D7628E" w:rsidRPr="00436BC4">
        <w:t>e</w:t>
      </w:r>
      <w:r w:rsidR="0003365A" w:rsidRPr="00436BC4">
        <w:t xml:space="preserve"> where heteronormativity is enacted. In her </w:t>
      </w:r>
      <w:r w:rsidR="00D7628E" w:rsidRPr="00436BC4">
        <w:t>book</w:t>
      </w:r>
      <w:r w:rsidR="0003365A" w:rsidRPr="00436BC4">
        <w:t xml:space="preserve"> </w:t>
      </w:r>
      <w:r w:rsidR="0003365A" w:rsidRPr="00436BC4">
        <w:rPr>
          <w:i/>
          <w:iCs/>
        </w:rPr>
        <w:t>The Queer Child; Or Growing Sideways</w:t>
      </w:r>
      <w:r w:rsidR="0003365A" w:rsidRPr="00436BC4">
        <w:t xml:space="preserve"> </w:t>
      </w:r>
      <w:r w:rsidR="0003365A" w:rsidRPr="00436BC4">
        <w:rPr>
          <w:i/>
          <w:iCs/>
        </w:rPr>
        <w:t>in the Twentieth Century</w:t>
      </w:r>
      <w:r w:rsidR="00203557" w:rsidRPr="00436BC4">
        <w:rPr>
          <w:i/>
          <w:iCs/>
        </w:rPr>
        <w:t>,</w:t>
      </w:r>
      <w:r w:rsidR="0003365A" w:rsidRPr="00436BC4">
        <w:t xml:space="preserve"> </w:t>
      </w:r>
      <w:r w:rsidR="009156C2" w:rsidRPr="00436BC4">
        <w:t xml:space="preserve">Bond </w:t>
      </w:r>
      <w:r w:rsidR="0003365A" w:rsidRPr="00436BC4">
        <w:t>Stockton highlights that in everything from legal texts, to media and popular culture</w:t>
      </w:r>
      <w:r w:rsidR="00D7628E" w:rsidRPr="00436BC4">
        <w:t>,</w:t>
      </w:r>
      <w:r w:rsidR="0003365A" w:rsidRPr="00436BC4">
        <w:t xml:space="preserve"> child development </w:t>
      </w:r>
      <w:r w:rsidR="0026680C" w:rsidRPr="00436BC4">
        <w:t xml:space="preserve">is </w:t>
      </w:r>
      <w:r w:rsidR="0003365A" w:rsidRPr="00436BC4">
        <w:t xml:space="preserve">considered to be a vertical action </w:t>
      </w:r>
      <w:r w:rsidR="0026680C" w:rsidRPr="00436BC4">
        <w:t>(</w:t>
      </w:r>
      <w:r w:rsidR="0003365A" w:rsidRPr="00436BC4">
        <w:t>growing up</w:t>
      </w:r>
      <w:r w:rsidR="0026680C" w:rsidRPr="00436BC4">
        <w:t>)</w:t>
      </w:r>
      <w:r w:rsidR="0003365A" w:rsidRPr="00436BC4">
        <w:t xml:space="preserve"> ‘toward full stature, marriage, work, reproduction and the loss of childishness’.</w:t>
      </w:r>
      <w:r w:rsidR="008112D6" w:rsidRPr="00436BC4">
        <w:rPr>
          <w:rStyle w:val="FootnoteReference"/>
        </w:rPr>
        <w:footnoteReference w:id="60"/>
      </w:r>
      <w:r w:rsidR="0003365A" w:rsidRPr="00436BC4">
        <w:t xml:space="preserve"> </w:t>
      </w:r>
      <w:r w:rsidR="00A608B3" w:rsidRPr="00436BC4">
        <w:t>C</w:t>
      </w:r>
      <w:r w:rsidR="0003365A" w:rsidRPr="00436BC4">
        <w:t>hildhood for queer individuals</w:t>
      </w:r>
      <w:r w:rsidR="00D7628E" w:rsidRPr="00436BC4">
        <w:t>,</w:t>
      </w:r>
      <w:r w:rsidR="0003365A" w:rsidRPr="00436BC4">
        <w:t xml:space="preserve"> </w:t>
      </w:r>
      <w:r w:rsidR="00A608B3" w:rsidRPr="00436BC4">
        <w:t>Bond Stockton says</w:t>
      </w:r>
      <w:r w:rsidR="00D7628E" w:rsidRPr="00436BC4">
        <w:t>,</w:t>
      </w:r>
      <w:r w:rsidR="00A608B3" w:rsidRPr="00436BC4">
        <w:t xml:space="preserve"> is an</w:t>
      </w:r>
      <w:r w:rsidR="0003365A" w:rsidRPr="00436BC4">
        <w:t xml:space="preserve"> experience that is </w:t>
      </w:r>
      <w:r w:rsidR="0026680C" w:rsidRPr="00436BC4">
        <w:t xml:space="preserve">a </w:t>
      </w:r>
      <w:r w:rsidR="0003365A" w:rsidRPr="00436BC4">
        <w:t>‘frightening, heightened sense of growing towards a question mark. Or growing up in a haze. Or in suspense – even wishing time would stop</w:t>
      </w:r>
      <w:r w:rsidR="0026680C" w:rsidRPr="00436BC4">
        <w:t xml:space="preserve">, … </w:t>
      </w:r>
      <w:r w:rsidR="0003365A" w:rsidRPr="00436BC4">
        <w:t>so that one wouldn’t have to advance to new or further scenes of trouble’</w:t>
      </w:r>
      <w:r w:rsidR="008112D6" w:rsidRPr="00436BC4">
        <w:t>.</w:t>
      </w:r>
      <w:r w:rsidR="008112D6" w:rsidRPr="00436BC4">
        <w:rPr>
          <w:rStyle w:val="FootnoteReference"/>
        </w:rPr>
        <w:footnoteReference w:id="61"/>
      </w:r>
      <w:r w:rsidR="0003365A" w:rsidRPr="00436BC4">
        <w:t xml:space="preserve"> As Bond Stockton continues</w:t>
      </w:r>
      <w:r w:rsidR="008112D6" w:rsidRPr="00436BC4">
        <w:t>,</w:t>
      </w:r>
      <w:r w:rsidR="0003365A" w:rsidRPr="00436BC4">
        <w:t xml:space="preserve"> feelings associated with queer childhood provide insight into the limitations of th</w:t>
      </w:r>
      <w:r w:rsidR="00F75053" w:rsidRPr="00436BC4">
        <w:t>e</w:t>
      </w:r>
      <w:r w:rsidR="0003365A" w:rsidRPr="00436BC4">
        <w:t xml:space="preserve"> heteronormative vision of development. </w:t>
      </w:r>
      <w:r w:rsidR="009156C2" w:rsidRPr="00436BC4">
        <w:t>T</w:t>
      </w:r>
      <w:r w:rsidR="005121E6" w:rsidRPr="00436BC4">
        <w:t>he notion of</w:t>
      </w:r>
      <w:r w:rsidR="0003365A" w:rsidRPr="00436BC4">
        <w:t xml:space="preserve"> </w:t>
      </w:r>
      <w:r w:rsidR="004C4899" w:rsidRPr="00436BC4">
        <w:t>‘</w:t>
      </w:r>
      <w:r w:rsidR="0003365A" w:rsidRPr="00436BC4">
        <w:t>growing up</w:t>
      </w:r>
      <w:r w:rsidR="004C4899" w:rsidRPr="00436BC4">
        <w:t>’</w:t>
      </w:r>
      <w:r w:rsidR="0003365A" w:rsidRPr="00436BC4">
        <w:t xml:space="preserve"> is revealed to be an extremely narrow and limited understanding of human </w:t>
      </w:r>
      <w:r w:rsidR="005121E6" w:rsidRPr="00436BC4">
        <w:t>development</w:t>
      </w:r>
      <w:r w:rsidR="00AA36BA" w:rsidRPr="00436BC4">
        <w:t>,</w:t>
      </w:r>
      <w:r w:rsidR="0003365A" w:rsidRPr="00436BC4">
        <w:t xml:space="preserve"> as it suggests that there is a final destination where growth ceases to occur, when full stature or successful reproduction is achieved.</w:t>
      </w:r>
      <w:r w:rsidR="00AA36BA" w:rsidRPr="00436BC4">
        <w:rPr>
          <w:rStyle w:val="FootnoteReference"/>
        </w:rPr>
        <w:footnoteReference w:id="62"/>
      </w:r>
      <w:r w:rsidR="0003365A" w:rsidRPr="00436BC4">
        <w:t xml:space="preserve"> </w:t>
      </w:r>
      <w:r w:rsidR="005121E6" w:rsidRPr="00436BC4">
        <w:t>However, rather than rejecting ‘</w:t>
      </w:r>
      <w:r w:rsidR="00A46C52" w:rsidRPr="00436BC4">
        <w:t>T</w:t>
      </w:r>
      <w:r w:rsidR="005121E6" w:rsidRPr="00436BC4">
        <w:t xml:space="preserve">he Child’ and the future it represents, </w:t>
      </w:r>
      <w:r w:rsidR="00D26736" w:rsidRPr="00436BC4">
        <w:t xml:space="preserve">Bond Stockton proposes </w:t>
      </w:r>
      <w:r w:rsidR="005121E6" w:rsidRPr="00436BC4">
        <w:t>sideways growth that ‘locates energy, pleasure</w:t>
      </w:r>
      <w:r w:rsidR="002C2234" w:rsidRPr="00436BC4">
        <w:t>,</w:t>
      </w:r>
      <w:r w:rsidR="005121E6" w:rsidRPr="00436BC4">
        <w:t xml:space="preserve"> vitality, and emotion in … back and forth connections … that are not reductive.</w:t>
      </w:r>
      <w:r w:rsidR="005121E6" w:rsidRPr="00436BC4">
        <w:rPr>
          <w:rStyle w:val="FootnoteReference"/>
        </w:rPr>
        <w:footnoteReference w:id="63"/>
      </w:r>
      <w:r w:rsidR="005121E6" w:rsidRPr="00436BC4">
        <w:t xml:space="preserve"> </w:t>
      </w:r>
      <w:r w:rsidR="002D5CBE" w:rsidRPr="00436BC4">
        <w:t xml:space="preserve">By this she suggests that forms of growth </w:t>
      </w:r>
      <w:r w:rsidR="00CD3B9E">
        <w:t xml:space="preserve">– </w:t>
      </w:r>
      <w:r w:rsidR="002D5CBE" w:rsidRPr="00436BC4">
        <w:t>personal, social, political, historical – may be revealed by shifting focus onto lateral connections</w:t>
      </w:r>
      <w:r w:rsidR="00A46C52" w:rsidRPr="00436BC4">
        <w:t xml:space="preserve"> between people and communities in new, novel, and queer ways</w:t>
      </w:r>
      <w:r w:rsidR="002D5CBE" w:rsidRPr="00436BC4">
        <w:t xml:space="preserve">, rather than </w:t>
      </w:r>
      <w:r w:rsidR="00A46C52" w:rsidRPr="00436BC4">
        <w:t xml:space="preserve">in </w:t>
      </w:r>
      <w:r w:rsidR="002D5CBE" w:rsidRPr="00436BC4">
        <w:t xml:space="preserve">linear </w:t>
      </w:r>
      <w:r w:rsidR="00A46C52" w:rsidRPr="00436BC4">
        <w:t xml:space="preserve">upward </w:t>
      </w:r>
      <w:r w:rsidR="002D5CBE" w:rsidRPr="00436BC4">
        <w:t>development.</w:t>
      </w:r>
      <w:r w:rsidR="00407812" w:rsidRPr="00436BC4">
        <w:rPr>
          <w:rStyle w:val="FootnoteReference"/>
        </w:rPr>
        <w:footnoteReference w:id="64"/>
      </w:r>
      <w:r w:rsidR="0003365A" w:rsidRPr="00436BC4">
        <w:t xml:space="preserve">  </w:t>
      </w:r>
    </w:p>
    <w:p w14:paraId="08008656" w14:textId="77777777" w:rsidR="00084CBE" w:rsidRPr="00436BC4" w:rsidRDefault="00084CBE" w:rsidP="00161827">
      <w:pPr>
        <w:spacing w:line="480" w:lineRule="auto"/>
      </w:pPr>
    </w:p>
    <w:p w14:paraId="0CD83098" w14:textId="773A5A6D" w:rsidR="00E52FF7" w:rsidRPr="00436BC4" w:rsidRDefault="00240A23" w:rsidP="00161827">
      <w:pPr>
        <w:pStyle w:val="Heading2"/>
        <w:spacing w:line="480" w:lineRule="auto"/>
      </w:pPr>
      <w:bookmarkStart w:id="32" w:name="_Toc175312187"/>
      <w:r w:rsidRPr="00436BC4">
        <w:lastRenderedPageBreak/>
        <w:t xml:space="preserve">The Middle </w:t>
      </w:r>
      <w:r w:rsidR="002361CF" w:rsidRPr="00436BC4">
        <w:t>A</w:t>
      </w:r>
      <w:r w:rsidRPr="00436BC4">
        <w:t>ges as a ‘</w:t>
      </w:r>
      <w:r w:rsidR="002361CF" w:rsidRPr="00436BC4">
        <w:t>Q</w:t>
      </w:r>
      <w:r w:rsidRPr="00436BC4">
        <w:t xml:space="preserve">ueer </w:t>
      </w:r>
      <w:r w:rsidR="002361CF" w:rsidRPr="00436BC4">
        <w:t>U</w:t>
      </w:r>
      <w:r w:rsidRPr="00436BC4">
        <w:t>topia’</w:t>
      </w:r>
      <w:r w:rsidR="007A39A8" w:rsidRPr="00436BC4">
        <w:t>:</w:t>
      </w:r>
      <w:r w:rsidRPr="00436BC4">
        <w:t xml:space="preserve"> </w:t>
      </w:r>
      <w:r w:rsidR="00E52FF7" w:rsidRPr="00436BC4">
        <w:t xml:space="preserve">How to </w:t>
      </w:r>
      <w:r w:rsidR="00073ABB" w:rsidRPr="00436BC4">
        <w:t>read</w:t>
      </w:r>
      <w:r w:rsidR="00F95F88" w:rsidRPr="00436BC4">
        <w:t>-</w:t>
      </w:r>
      <w:r w:rsidR="00E52FF7" w:rsidRPr="00436BC4">
        <w:t xml:space="preserve"> </w:t>
      </w:r>
      <w:r w:rsidR="002361CF" w:rsidRPr="00436BC4">
        <w:t>M</w:t>
      </w:r>
      <w:r w:rsidR="00E52FF7" w:rsidRPr="00436BC4">
        <w:t>edieval texts</w:t>
      </w:r>
      <w:r w:rsidR="00D26736" w:rsidRPr="00436BC4">
        <w:t xml:space="preserve"> </w:t>
      </w:r>
      <w:r w:rsidR="002361CF" w:rsidRPr="00436BC4">
        <w:t>Q</w:t>
      </w:r>
      <w:r w:rsidR="009A5B70" w:rsidRPr="00436BC4">
        <w:t>ueerly</w:t>
      </w:r>
      <w:r w:rsidR="00652E4C" w:rsidRPr="00436BC4">
        <w:t xml:space="preserve"> – Two case</w:t>
      </w:r>
      <w:r w:rsidR="002361CF" w:rsidRPr="00436BC4">
        <w:t xml:space="preserve"> </w:t>
      </w:r>
      <w:r w:rsidR="00652E4C" w:rsidRPr="00436BC4">
        <w:t>studies.</w:t>
      </w:r>
      <w:bookmarkEnd w:id="32"/>
    </w:p>
    <w:p w14:paraId="16FF44A6" w14:textId="77777777" w:rsidR="00382341" w:rsidRDefault="00382341" w:rsidP="00AF0146">
      <w:pPr>
        <w:spacing w:line="480" w:lineRule="auto"/>
      </w:pPr>
    </w:p>
    <w:p w14:paraId="388AEB3B" w14:textId="0D93C868" w:rsidR="00AF0146" w:rsidRDefault="00640A90" w:rsidP="00AF0146">
      <w:pPr>
        <w:spacing w:line="480" w:lineRule="auto"/>
      </w:pPr>
      <w:r w:rsidRPr="00436BC4">
        <w:t>I</w:t>
      </w:r>
      <w:r w:rsidR="00E52FF7" w:rsidRPr="00436BC4">
        <w:t xml:space="preserve">n their 2006 essay entitled </w:t>
      </w:r>
      <w:r w:rsidRPr="00436BC4">
        <w:t>‘</w:t>
      </w:r>
      <w:r w:rsidR="00E52FF7" w:rsidRPr="00436BC4">
        <w:t>État Présent: Queer Theory and the Middle Ages</w:t>
      </w:r>
      <w:r w:rsidRPr="00436BC4">
        <w:t>’,</w:t>
      </w:r>
      <w:r w:rsidR="00E52FF7" w:rsidRPr="00436BC4">
        <w:t xml:space="preserve"> </w:t>
      </w:r>
      <w:r w:rsidR="00F437DA" w:rsidRPr="00436BC4">
        <w:t>Burgwinkle makes the claim that the Middle ages could be considered an emerging ‘queer utopia’; a time period where the common people of western Europe endured very little direct control from the state or the church over matters such as standardised forms of marriage (which varied wildly between communities), and where same-sex segregation was common especially in educated communities.</w:t>
      </w:r>
      <w:r w:rsidR="00157534" w:rsidRPr="00436BC4">
        <w:rPr>
          <w:rStyle w:val="FootnoteReference"/>
        </w:rPr>
        <w:footnoteReference w:id="65"/>
      </w:r>
      <w:r w:rsidR="00F437DA" w:rsidRPr="00436BC4">
        <w:t xml:space="preserve"> </w:t>
      </w:r>
      <w:r w:rsidR="00E52FF7" w:rsidRPr="00436BC4">
        <w:t xml:space="preserve">Burgwinkle </w:t>
      </w:r>
      <w:r w:rsidR="00906C91" w:rsidRPr="00436BC4">
        <w:t>referenc</w:t>
      </w:r>
      <w:r w:rsidR="00AF0146" w:rsidRPr="00436BC4">
        <w:t>es the work of</w:t>
      </w:r>
      <w:r w:rsidR="00906C91" w:rsidRPr="00436BC4">
        <w:t xml:space="preserve"> Zeikowitz, </w:t>
      </w:r>
      <w:r w:rsidR="0056583A" w:rsidRPr="00436BC4">
        <w:t>propos</w:t>
      </w:r>
      <w:r w:rsidR="00906C91" w:rsidRPr="00436BC4">
        <w:t>ing</w:t>
      </w:r>
      <w:r w:rsidR="0056583A" w:rsidRPr="00436BC4">
        <w:t xml:space="preserve"> that </w:t>
      </w:r>
      <w:r w:rsidR="00D129E0" w:rsidRPr="00436BC4">
        <w:t>queer theory offers</w:t>
      </w:r>
      <w:r w:rsidR="00E52FF7" w:rsidRPr="00436BC4">
        <w:t xml:space="preserve"> ‘unsettling heterosexual paradigms of scholarship by seeking unread or distorted texts, unloosening hetero-homo binaries in our reading of romance, looking for the homo in the hetero (and vice versa), and locating culturally specific codes of desire.</w:t>
      </w:r>
      <w:r w:rsidR="005C7CE9" w:rsidRPr="00436BC4">
        <w:t>’</w:t>
      </w:r>
      <w:r w:rsidR="00C23480" w:rsidRPr="00436BC4">
        <w:rPr>
          <w:rStyle w:val="FootnoteReference"/>
        </w:rPr>
        <w:footnoteReference w:id="66"/>
      </w:r>
      <w:r w:rsidR="00E52FF7" w:rsidRPr="00436BC4">
        <w:t xml:space="preserve"> </w:t>
      </w:r>
      <w:r w:rsidR="00805C3D" w:rsidRPr="00436BC4">
        <w:t>L</w:t>
      </w:r>
      <w:r w:rsidR="00E52FF7" w:rsidRPr="00436BC4">
        <w:t>ove stories between men</w:t>
      </w:r>
      <w:r w:rsidR="00EC10FA" w:rsidRPr="00436BC4">
        <w:t xml:space="preserve"> in particular</w:t>
      </w:r>
      <w:r w:rsidR="00E52FF7" w:rsidRPr="00436BC4">
        <w:t xml:space="preserve"> were covertly alluded to in manuscripts from the period</w:t>
      </w:r>
      <w:r w:rsidR="0056583A" w:rsidRPr="00436BC4">
        <w:t>,</w:t>
      </w:r>
      <w:r w:rsidR="00EC10FA" w:rsidRPr="00436BC4">
        <w:rPr>
          <w:rStyle w:val="FootnoteReference"/>
        </w:rPr>
        <w:footnoteReference w:id="67"/>
      </w:r>
      <w:r w:rsidR="0056583A" w:rsidRPr="00436BC4">
        <w:t xml:space="preserve"> though</w:t>
      </w:r>
      <w:r w:rsidR="00E52FF7" w:rsidRPr="00436BC4">
        <w:t xml:space="preserve"> </w:t>
      </w:r>
      <w:r w:rsidR="00077015" w:rsidRPr="00436BC4">
        <w:t xml:space="preserve">Burgwinkle follows Foucault in asserting </w:t>
      </w:r>
      <w:r w:rsidR="00E52FF7" w:rsidRPr="00436BC4">
        <w:t>that</w:t>
      </w:r>
      <w:r w:rsidR="0056583A" w:rsidRPr="00436BC4">
        <w:t>, as</w:t>
      </w:r>
      <w:r w:rsidR="00E52FF7" w:rsidRPr="00436BC4">
        <w:t xml:space="preserve"> all sexual relations that were not conducted with the express aim of procreation were considered sodomitical</w:t>
      </w:r>
      <w:r w:rsidR="00805C3D" w:rsidRPr="00436BC4">
        <w:t xml:space="preserve"> during the period</w:t>
      </w:r>
      <w:r w:rsidR="00E52FF7" w:rsidRPr="00436BC4">
        <w:t>,</w:t>
      </w:r>
      <w:r w:rsidR="00077015" w:rsidRPr="00436BC4">
        <w:t xml:space="preserve"> </w:t>
      </w:r>
      <w:r w:rsidR="00805C3D" w:rsidRPr="00436BC4">
        <w:t>a</w:t>
      </w:r>
      <w:r w:rsidR="00077015" w:rsidRPr="00436BC4">
        <w:t xml:space="preserve"> situation</w:t>
      </w:r>
      <w:r w:rsidR="00AF0146" w:rsidRPr="00436BC4">
        <w:t xml:space="preserve"> emerges</w:t>
      </w:r>
      <w:r w:rsidR="0056583A" w:rsidRPr="00436BC4">
        <w:t xml:space="preserve"> </w:t>
      </w:r>
      <w:r w:rsidR="00077015" w:rsidRPr="00436BC4">
        <w:t>whereby sources reveal ‘</w:t>
      </w:r>
      <w:r w:rsidR="00E52FF7" w:rsidRPr="00436BC4">
        <w:t>a magic moment when the immovable modern status of hetero and homo as polar opposites simply dissolves’</w:t>
      </w:r>
      <w:r w:rsidR="00AC2B6F" w:rsidRPr="00436BC4">
        <w:t>.</w:t>
      </w:r>
      <w:r w:rsidR="0056583A" w:rsidRPr="00436BC4">
        <w:rPr>
          <w:rStyle w:val="FootnoteReference"/>
        </w:rPr>
        <w:footnoteReference w:id="68"/>
      </w:r>
      <w:r w:rsidR="00AC2B6F" w:rsidRPr="00436BC4">
        <w:t xml:space="preserve"> </w:t>
      </w:r>
      <w:r w:rsidR="00AF0146" w:rsidRPr="00436BC4">
        <w:t>Burgwinkle promotes the Foucauldian notion of episteme</w:t>
      </w:r>
      <w:r w:rsidR="004E3E9E" w:rsidRPr="00436BC4">
        <w:t>, i.e.</w:t>
      </w:r>
      <w:r w:rsidR="00AF0146" w:rsidRPr="00436BC4">
        <w:t>, not historical periods that progress chronologically one after the other, but as groupings of years that are separated by distinct, era defining epistemological breaks ‘affecting both the way we see things and the paradigms we use to interpret them</w:t>
      </w:r>
      <w:r w:rsidR="004E3E9E" w:rsidRPr="00436BC4">
        <w:t>’</w:t>
      </w:r>
      <w:r w:rsidR="00AF0146" w:rsidRPr="00436BC4">
        <w:t>.</w:t>
      </w:r>
      <w:r w:rsidR="00AF0146" w:rsidRPr="00436BC4">
        <w:rPr>
          <w:rStyle w:val="FootnoteReference"/>
        </w:rPr>
        <w:footnoteReference w:id="69"/>
      </w:r>
      <w:r w:rsidR="00AF0146" w:rsidRPr="00436BC4">
        <w:t xml:space="preserve"> Burgwinkle </w:t>
      </w:r>
      <w:r w:rsidR="00F70F82" w:rsidRPr="00436BC4">
        <w:t>argues</w:t>
      </w:r>
      <w:r w:rsidR="00AF0146" w:rsidRPr="00436BC4">
        <w:t xml:space="preserve"> that queer theory aids in the understanding of medieval social formations such as medieval marriage, and the gender and class power inequalities that exist </w:t>
      </w:r>
      <w:r w:rsidR="00AF0146" w:rsidRPr="00436BC4">
        <w:lastRenderedPageBreak/>
        <w:t xml:space="preserve">therein, at a time where urban society </w:t>
      </w:r>
      <w:r w:rsidR="00C442B6">
        <w:t>was</w:t>
      </w:r>
      <w:r w:rsidR="00AF0146" w:rsidRPr="00436BC4">
        <w:t xml:space="preserve"> still developing, money economies are novel and same sex communities </w:t>
      </w:r>
      <w:r w:rsidR="00BC54B5">
        <w:t>were</w:t>
      </w:r>
      <w:r w:rsidR="00AF0146" w:rsidRPr="00436BC4">
        <w:t xml:space="preserve"> common. In this context, queer becomes a useful term which incorporates queerness beyond sexuality, and offers the medieval scholar the chance to create new ‘corrective’ and ethical readings that incorporate past and present epistemology into new future insights.</w:t>
      </w:r>
      <w:r w:rsidR="00AF0146" w:rsidRPr="00436BC4">
        <w:rPr>
          <w:rStyle w:val="FootnoteReference"/>
        </w:rPr>
        <w:footnoteReference w:id="70"/>
      </w:r>
    </w:p>
    <w:p w14:paraId="11895F32" w14:textId="77777777" w:rsidR="003D2994" w:rsidRPr="00436BC4" w:rsidRDefault="003D2994" w:rsidP="00AF0146">
      <w:pPr>
        <w:spacing w:line="480" w:lineRule="auto"/>
      </w:pPr>
    </w:p>
    <w:p w14:paraId="5CCD01B2" w14:textId="092F060C" w:rsidR="00E52FF7" w:rsidRDefault="00E52FF7" w:rsidP="00161827">
      <w:pPr>
        <w:spacing w:line="480" w:lineRule="auto"/>
      </w:pPr>
      <w:r w:rsidRPr="00436BC4">
        <w:t xml:space="preserve">Burgwinkle illustrates </w:t>
      </w:r>
      <w:r w:rsidR="005B09FF" w:rsidRPr="00436BC4">
        <w:t>queer theory in action</w:t>
      </w:r>
      <w:r w:rsidRPr="00436BC4">
        <w:t xml:space="preserve"> by citing Zrinka St</w:t>
      </w:r>
      <w:r w:rsidR="0038057F">
        <w:t>a</w:t>
      </w:r>
      <w:r w:rsidRPr="00436BC4">
        <w:t>huljak who</w:t>
      </w:r>
      <w:r w:rsidR="004332E0" w:rsidRPr="00436BC4">
        <w:t xml:space="preserve"> in</w:t>
      </w:r>
      <w:r w:rsidRPr="00436BC4">
        <w:t xml:space="preserve"> </w:t>
      </w:r>
      <w:r w:rsidR="004332E0" w:rsidRPr="00436BC4">
        <w:t xml:space="preserve">2005 </w:t>
      </w:r>
      <w:r w:rsidR="005B09FF" w:rsidRPr="00436BC4">
        <w:t>demonstrated</w:t>
      </w:r>
      <w:r w:rsidR="004332E0" w:rsidRPr="00436BC4">
        <w:t xml:space="preserve"> </w:t>
      </w:r>
      <w:r w:rsidRPr="00436BC4">
        <w:t xml:space="preserve">ways in which distinctions made by queer theorists </w:t>
      </w:r>
      <w:r w:rsidR="004332E0" w:rsidRPr="00436BC4">
        <w:t>could</w:t>
      </w:r>
      <w:r w:rsidRPr="00436BC4">
        <w:t xml:space="preserve"> offer insight </w:t>
      </w:r>
      <w:r w:rsidR="004332E0" w:rsidRPr="00436BC4">
        <w:t>even in a heteronormative medieval landscape</w:t>
      </w:r>
      <w:r w:rsidRPr="00436BC4">
        <w:t xml:space="preserve">, </w:t>
      </w:r>
      <w:r w:rsidR="00FD508E" w:rsidRPr="00436BC4">
        <w:t>using the</w:t>
      </w:r>
      <w:r w:rsidRPr="00436BC4">
        <w:t xml:space="preserve"> work of Chretien de Troyes.</w:t>
      </w:r>
      <w:r w:rsidR="00E37FD9" w:rsidRPr="00436BC4">
        <w:rPr>
          <w:rStyle w:val="FootnoteReference"/>
        </w:rPr>
        <w:footnoteReference w:id="71"/>
      </w:r>
      <w:r w:rsidRPr="00436BC4">
        <w:t xml:space="preserve"> Stahuljak reframes the standard chivalric notions of adventure romance, arguing that in the case of the Arthurian knights, the pattern of one-upping of their predecessors</w:t>
      </w:r>
      <w:r w:rsidR="00AF0146" w:rsidRPr="00436BC4">
        <w:t>/</w:t>
      </w:r>
      <w:r w:rsidRPr="00436BC4">
        <w:t xml:space="preserve">betters leads </w:t>
      </w:r>
      <w:r w:rsidR="000D54EF" w:rsidRPr="00436BC4">
        <w:t>through</w:t>
      </w:r>
      <w:r w:rsidRPr="00436BC4">
        <w:t xml:space="preserve"> a state of disorientation, indirection and madness. Here there lies a ‘cognitive disjunction’ between adventure as it is experienced in the present, and the adventure as something that the knight has already passed through</w:t>
      </w:r>
      <w:r w:rsidR="00913E1B" w:rsidRPr="00436BC4">
        <w:t xml:space="preserve"> (a state between needing </w:t>
      </w:r>
      <w:r w:rsidR="002A658A" w:rsidRPr="00436BC4">
        <w:t xml:space="preserve">to </w:t>
      </w:r>
      <w:r w:rsidR="00913E1B" w:rsidRPr="00436BC4">
        <w:t>prove one’s self as a knight, and having done so).</w:t>
      </w:r>
      <w:r w:rsidR="00913E1B" w:rsidRPr="00436BC4">
        <w:rPr>
          <w:rStyle w:val="FootnoteReference"/>
        </w:rPr>
        <w:footnoteReference w:id="72"/>
      </w:r>
      <w:r w:rsidR="000D54EF" w:rsidRPr="00436BC4">
        <w:t xml:space="preserve"> </w:t>
      </w:r>
      <w:r w:rsidRPr="00436BC4">
        <w:t xml:space="preserve">Stahuljak proposes that this gap between occurrence and interpretation where the knight is held in status between a receding past and a promised, but yet unrealised future, results in a </w:t>
      </w:r>
      <w:bookmarkStart w:id="35" w:name="_Hlk173083056"/>
      <w:r w:rsidRPr="00436BC4">
        <w:t xml:space="preserve">‘decidedly queer’ loss of bearing </w:t>
      </w:r>
      <w:bookmarkEnd w:id="35"/>
      <w:r w:rsidRPr="00436BC4">
        <w:t>and/or identity.</w:t>
      </w:r>
      <w:r w:rsidR="00402DAD" w:rsidRPr="00436BC4">
        <w:rPr>
          <w:rStyle w:val="FootnoteReference"/>
        </w:rPr>
        <w:footnoteReference w:id="73"/>
      </w:r>
      <w:r w:rsidRPr="00436BC4">
        <w:t xml:space="preserve"> </w:t>
      </w:r>
    </w:p>
    <w:p w14:paraId="056E9ED6" w14:textId="77777777" w:rsidR="003D2994" w:rsidRPr="00436BC4" w:rsidRDefault="003D2994" w:rsidP="00161827">
      <w:pPr>
        <w:spacing w:line="480" w:lineRule="auto"/>
      </w:pPr>
    </w:p>
    <w:p w14:paraId="0A16FC35" w14:textId="36DED233" w:rsidR="00E850D2" w:rsidRDefault="00E52FF7" w:rsidP="00161827">
      <w:pPr>
        <w:spacing w:line="480" w:lineRule="auto"/>
      </w:pPr>
      <w:r w:rsidRPr="00436BC4">
        <w:lastRenderedPageBreak/>
        <w:t>A</w:t>
      </w:r>
      <w:r w:rsidR="00297897" w:rsidRPr="00436BC4">
        <w:t xml:space="preserve"> second example</w:t>
      </w:r>
      <w:r w:rsidRPr="00436BC4">
        <w:t xml:space="preserve"> of</w:t>
      </w:r>
      <w:r w:rsidR="00297897" w:rsidRPr="00436BC4">
        <w:t xml:space="preserve"> the use of queer theory in medieval studies is</w:t>
      </w:r>
      <w:r w:rsidRPr="00436BC4">
        <w:t xml:space="preserve"> Dinshaw’s </w:t>
      </w:r>
      <w:r w:rsidRPr="00436BC4">
        <w:rPr>
          <w:i/>
          <w:iCs/>
        </w:rPr>
        <w:t>Getting Medieval</w:t>
      </w:r>
      <w:r w:rsidR="00297897" w:rsidRPr="00436BC4">
        <w:rPr>
          <w:i/>
          <w:iCs/>
        </w:rPr>
        <w:t>,</w:t>
      </w:r>
      <w:r w:rsidRPr="00436BC4">
        <w:t xml:space="preserve"> particularly her analysis </w:t>
      </w:r>
      <w:r w:rsidR="004170EE" w:rsidRPr="00436BC4">
        <w:t xml:space="preserve">of </w:t>
      </w:r>
      <w:bookmarkStart w:id="36" w:name="_Hlk173420353"/>
      <w:r w:rsidR="004170EE" w:rsidRPr="00436BC4">
        <w:rPr>
          <w:i/>
          <w:iCs/>
        </w:rPr>
        <w:t xml:space="preserve">The Book </w:t>
      </w:r>
      <w:bookmarkStart w:id="37" w:name="_Hlk173420422"/>
      <w:r w:rsidR="004170EE" w:rsidRPr="00436BC4">
        <w:rPr>
          <w:i/>
          <w:iCs/>
        </w:rPr>
        <w:t>of Margery Kempe</w:t>
      </w:r>
      <w:r w:rsidR="00EE7F95">
        <w:rPr>
          <w:i/>
          <w:iCs/>
        </w:rPr>
        <w:t>,</w:t>
      </w:r>
      <w:r w:rsidR="004170EE" w:rsidRPr="00436BC4">
        <w:t xml:space="preserve"> </w:t>
      </w:r>
      <w:bookmarkEnd w:id="37"/>
      <w:r w:rsidR="004170EE" w:rsidRPr="00436BC4">
        <w:t xml:space="preserve">which recounts the </w:t>
      </w:r>
      <w:bookmarkEnd w:id="36"/>
      <w:r w:rsidR="004170EE" w:rsidRPr="00436BC4">
        <w:t xml:space="preserve">story of </w:t>
      </w:r>
      <w:r w:rsidR="007E04C1" w:rsidRPr="00436BC4">
        <w:t>a</w:t>
      </w:r>
      <w:r w:rsidRPr="00436BC4">
        <w:t xml:space="preserve"> famous</w:t>
      </w:r>
      <w:r w:rsidR="007E04C1" w:rsidRPr="00436BC4">
        <w:t xml:space="preserve"> British</w:t>
      </w:r>
      <w:r w:rsidRPr="00436BC4">
        <w:t xml:space="preserve"> mystic who in the early fifteenth century was known for </w:t>
      </w:r>
      <w:r w:rsidR="007E04C1" w:rsidRPr="00436BC4">
        <w:t>her claims that she is a bride of Christ</w:t>
      </w:r>
      <w:r w:rsidR="009A2CAA" w:rsidRPr="00436BC4">
        <w:t>,</w:t>
      </w:r>
      <w:r w:rsidR="007E04C1" w:rsidRPr="00436BC4">
        <w:t xml:space="preserve"> with whom she maintained she had an erotic relationship, </w:t>
      </w:r>
      <w:r w:rsidRPr="00436BC4">
        <w:t>wearing only white (the colour of virgin</w:t>
      </w:r>
      <w:r w:rsidR="007E04C1" w:rsidRPr="00436BC4">
        <w:t>ity</w:t>
      </w:r>
      <w:r w:rsidRPr="00436BC4">
        <w:t>) despite being married and having fourteen children, and for</w:t>
      </w:r>
      <w:r w:rsidR="007E04C1" w:rsidRPr="00436BC4">
        <w:t xml:space="preserve"> her</w:t>
      </w:r>
      <w:r w:rsidR="00EF04DF" w:rsidRPr="00436BC4">
        <w:t xml:space="preserve"> extravagant</w:t>
      </w:r>
      <w:r w:rsidR="007E04C1" w:rsidRPr="00436BC4">
        <w:t xml:space="preserve"> fits of crying</w:t>
      </w:r>
      <w:r w:rsidR="00EF04DF" w:rsidRPr="00436BC4">
        <w:t>/wailing</w:t>
      </w:r>
      <w:r w:rsidR="007E04C1" w:rsidRPr="00436BC4">
        <w:t>.</w:t>
      </w:r>
      <w:r w:rsidR="00EF04DF" w:rsidRPr="00436BC4">
        <w:rPr>
          <w:rStyle w:val="FootnoteReference"/>
        </w:rPr>
        <w:footnoteReference w:id="74"/>
      </w:r>
      <w:r w:rsidRPr="00436BC4">
        <w:t xml:space="preserve"> Dinshaw uses the Kempe case to illustrate how her own approach </w:t>
      </w:r>
      <w:r w:rsidR="003170BC" w:rsidRPr="00436BC4">
        <w:t>of ‘touch</w:t>
      </w:r>
      <w:r w:rsidRPr="00436BC4">
        <w:t xml:space="preserve"> historicism</w:t>
      </w:r>
      <w:r w:rsidR="003170BC" w:rsidRPr="00436BC4">
        <w:t>’</w:t>
      </w:r>
      <w:r w:rsidRPr="00436BC4">
        <w:t xml:space="preserve"> acts as a bridge to connect figures across time that are neither fully the same nor completely distinct from people today. Traditional historicism does not like to label figures as gay or lesbian, cautioning against anachronism and encouraging an understanding of the past contextually. However</w:t>
      </w:r>
      <w:r w:rsidR="003170BC" w:rsidRPr="00436BC4">
        <w:t>, this method often explains away potential historical queerness by</w:t>
      </w:r>
      <w:r w:rsidRPr="00436BC4">
        <w:t xml:space="preserve"> focu</w:t>
      </w:r>
      <w:r w:rsidR="003170BC" w:rsidRPr="00436BC4">
        <w:t>sing</w:t>
      </w:r>
      <w:r w:rsidRPr="00436BC4">
        <w:t xml:space="preserve"> on the alterity of the past</w:t>
      </w:r>
      <w:r w:rsidR="003170BC" w:rsidRPr="00436BC4">
        <w:t>.</w:t>
      </w:r>
      <w:r w:rsidR="003170BC" w:rsidRPr="00436BC4">
        <w:rPr>
          <w:rStyle w:val="FootnoteReference"/>
        </w:rPr>
        <w:footnoteReference w:id="75"/>
      </w:r>
      <w:r w:rsidRPr="00436BC4">
        <w:t xml:space="preserve"> Stockton notes that contemporary queer readers often feel drawn to figures </w:t>
      </w:r>
      <w:r w:rsidR="00F1177E" w:rsidRPr="00436BC4">
        <w:t xml:space="preserve">(such as Kempe) </w:t>
      </w:r>
      <w:r w:rsidRPr="00436BC4">
        <w:t>who did/could not identify as some form of queer</w:t>
      </w:r>
      <w:r w:rsidR="00486B68" w:rsidRPr="00436BC4">
        <w:t xml:space="preserve"> at the time.</w:t>
      </w:r>
      <w:r w:rsidR="00486B68" w:rsidRPr="00436BC4">
        <w:rPr>
          <w:rStyle w:val="FootnoteReference"/>
        </w:rPr>
        <w:footnoteReference w:id="76"/>
      </w:r>
      <w:r w:rsidRPr="00436BC4">
        <w:t xml:space="preserve"> Indeed, much of the argument </w:t>
      </w:r>
      <w:r w:rsidR="00F1177E" w:rsidRPr="00436BC4">
        <w:t xml:space="preserve">for </w:t>
      </w:r>
      <w:r w:rsidRPr="00436BC4">
        <w:t>Kempe</w:t>
      </w:r>
      <w:r w:rsidR="00F1177E" w:rsidRPr="00436BC4">
        <w:t xml:space="preserve"> </w:t>
      </w:r>
      <w:r w:rsidRPr="00436BC4">
        <w:t>a</w:t>
      </w:r>
      <w:r w:rsidR="00F1177E" w:rsidRPr="00436BC4">
        <w:t>s</w:t>
      </w:r>
      <w:r w:rsidRPr="00436BC4">
        <w:t xml:space="preserve"> queer</w:t>
      </w:r>
      <w:r w:rsidR="00F61F54">
        <w:t xml:space="preserve"> </w:t>
      </w:r>
      <w:r w:rsidRPr="00436BC4">
        <w:t xml:space="preserve">is located in her overly strict and novel adherence to religious orthodoxy, and in the disjunction between her </w:t>
      </w:r>
      <w:r w:rsidR="00F1177E" w:rsidRPr="00436BC4">
        <w:t xml:space="preserve">social </w:t>
      </w:r>
      <w:r w:rsidRPr="00436BC4">
        <w:t xml:space="preserve">body </w:t>
      </w:r>
      <w:r w:rsidR="00F1177E" w:rsidRPr="00436BC4">
        <w:t xml:space="preserve">as a married women </w:t>
      </w:r>
      <w:r w:rsidR="00E850D2" w:rsidRPr="00436BC4">
        <w:t>(</w:t>
      </w:r>
      <w:r w:rsidR="00F1177E" w:rsidRPr="00436BC4">
        <w:t>with many children</w:t>
      </w:r>
      <w:r w:rsidR="00E850D2" w:rsidRPr="00436BC4">
        <w:t>)</w:t>
      </w:r>
      <w:r w:rsidR="00F1177E" w:rsidRPr="00436BC4">
        <w:t xml:space="preserve">, </w:t>
      </w:r>
      <w:r w:rsidRPr="00436BC4">
        <w:t xml:space="preserve">and her </w:t>
      </w:r>
      <w:r w:rsidR="00F1177E" w:rsidRPr="00436BC4">
        <w:t>claims of virginity</w:t>
      </w:r>
      <w:r w:rsidRPr="00436BC4">
        <w:t>. Her white clothes an</w:t>
      </w:r>
      <w:r w:rsidR="00F1177E" w:rsidRPr="00436BC4">
        <w:t xml:space="preserve">d behaviour </w:t>
      </w:r>
      <w:r w:rsidRPr="00436BC4">
        <w:t>‘exacerbate the contradiction between marriage’s orthodox construction as a church sacrament and marriage’s distance from “the ultimately perfect perfection” of virginity’.</w:t>
      </w:r>
      <w:r w:rsidR="00F1177E" w:rsidRPr="00436BC4">
        <w:rPr>
          <w:rStyle w:val="FootnoteReference"/>
        </w:rPr>
        <w:footnoteReference w:id="77"/>
      </w:r>
      <w:r w:rsidRPr="00436BC4">
        <w:t xml:space="preserve"> Queer as a descriptor therefore communicates the way in which Kempe ‘enacts the dissonance between the virginal ideal and the fact of the fallen embodiment. It also highlights the perversity of marriage itself as a sacramental institution that strays from the ideal’.</w:t>
      </w:r>
      <w:r w:rsidR="00F07028" w:rsidRPr="00436BC4">
        <w:rPr>
          <w:rStyle w:val="FootnoteReference"/>
        </w:rPr>
        <w:footnoteReference w:id="78"/>
      </w:r>
      <w:bookmarkEnd w:id="17"/>
    </w:p>
    <w:p w14:paraId="6EACA54F" w14:textId="77777777" w:rsidR="003D2994" w:rsidRPr="00436BC4" w:rsidRDefault="003D2994" w:rsidP="00161827">
      <w:pPr>
        <w:spacing w:line="480" w:lineRule="auto"/>
      </w:pPr>
    </w:p>
    <w:p w14:paraId="0E5CA5EB" w14:textId="750142EC" w:rsidR="000D591D" w:rsidRPr="00436BC4" w:rsidRDefault="00E43187" w:rsidP="00161827">
      <w:pPr>
        <w:spacing w:line="480" w:lineRule="auto"/>
      </w:pPr>
      <w:r w:rsidRPr="00436BC4">
        <w:t xml:space="preserve">Both </w:t>
      </w:r>
      <w:r w:rsidR="00AD300E" w:rsidRPr="00436BC4">
        <w:t xml:space="preserve">case studies above </w:t>
      </w:r>
      <w:r w:rsidRPr="00436BC4">
        <w:t xml:space="preserve">explore ambiguous </w:t>
      </w:r>
      <w:r w:rsidR="00AD300E" w:rsidRPr="00436BC4">
        <w:t xml:space="preserve">intersections and </w:t>
      </w:r>
      <w:r w:rsidRPr="00436BC4">
        <w:t>experiences that draw parallels to modern queer experiences</w:t>
      </w:r>
      <w:r w:rsidR="00AD300E" w:rsidRPr="00436BC4">
        <w:t xml:space="preserve"> and recalls Sheehan’s quote regarding ‘pervasive ambiguity’ within the </w:t>
      </w:r>
      <w:r w:rsidR="00AD300E" w:rsidRPr="00436BC4">
        <w:rPr>
          <w:i/>
          <w:iCs/>
        </w:rPr>
        <w:lastRenderedPageBreak/>
        <w:t>Fourth Branch</w:t>
      </w:r>
      <w:r w:rsidR="00AD300E" w:rsidRPr="00436BC4">
        <w:t xml:space="preserve"> surrounding the complex intersections between, gender, sex, and identity</w:t>
      </w:r>
      <w:r w:rsidR="00247EE0" w:rsidRPr="00436BC4">
        <w:t>. Stahuljak’s knights</w:t>
      </w:r>
      <w:r w:rsidR="009A2CAA" w:rsidRPr="00436BC4">
        <w:t>’</w:t>
      </w:r>
      <w:r w:rsidR="00247EE0" w:rsidRPr="00436BC4">
        <w:t xml:space="preserve"> periods of insanity have similarities to Bond Stockton’s description of growing up sideways – lack of place in the world, lack of future and unable to reconcile the self with the social body</w:t>
      </w:r>
      <w:r w:rsidR="000B2DEE" w:rsidRPr="00436BC4">
        <w:t>. This resembles</w:t>
      </w:r>
      <w:r w:rsidR="00F55C7C" w:rsidRPr="00436BC4">
        <w:t xml:space="preserve"> the experience of Lleu</w:t>
      </w:r>
      <w:r w:rsidR="000B2DEE" w:rsidRPr="00436BC4">
        <w:t xml:space="preserve"> in the text resulting from Aranrhod’s curses, expressed through his stalled and abnormal maturation and gender expression</w:t>
      </w:r>
      <w:r w:rsidR="00247EE0" w:rsidRPr="00436BC4">
        <w:t>. Similarly</w:t>
      </w:r>
      <w:r w:rsidR="000B2DEE" w:rsidRPr="00436BC4">
        <w:t>,</w:t>
      </w:r>
      <w:r w:rsidR="00247EE0" w:rsidRPr="00436BC4">
        <w:t xml:space="preserve"> </w:t>
      </w:r>
      <w:r w:rsidR="000B2DEE" w:rsidRPr="00436BC4">
        <w:t>Dinshaw’s</w:t>
      </w:r>
      <w:r w:rsidR="00247EE0" w:rsidRPr="00436BC4">
        <w:t xml:space="preserve"> proposed queerness of Margery Kempe and her professed reclaimed virginity is reliant on the same disjunction</w:t>
      </w:r>
      <w:r w:rsidR="000B2DEE" w:rsidRPr="00436BC4">
        <w:t xml:space="preserve"> between the individual and the social body</w:t>
      </w:r>
      <w:r w:rsidR="00F55C7C" w:rsidRPr="00436BC4">
        <w:t>, though in this case it is through proactive resistance and disavowal of ‘straight reasoning’</w:t>
      </w:r>
      <w:r w:rsidR="009A2CAA" w:rsidRPr="00436BC4">
        <w:t>,</w:t>
      </w:r>
      <w:r w:rsidR="00F55C7C" w:rsidRPr="00436BC4">
        <w:t xml:space="preserve"> much in the same way that Aranrhod does negotiating her own ‘non-</w:t>
      </w:r>
      <w:r w:rsidR="000B2DEE" w:rsidRPr="00436BC4">
        <w:t>virginity</w:t>
      </w:r>
      <w:r w:rsidR="00F55C7C" w:rsidRPr="00436BC4">
        <w:t>’</w:t>
      </w:r>
      <w:r w:rsidR="00247EE0" w:rsidRPr="00436BC4">
        <w:t xml:space="preserve">. Butler’s notion of </w:t>
      </w:r>
      <w:r w:rsidR="006F086C">
        <w:t>g</w:t>
      </w:r>
      <w:r w:rsidR="00247EE0" w:rsidRPr="00436BC4">
        <w:t xml:space="preserve">ender is also felt in Dinshaw’s assertion that Kempe </w:t>
      </w:r>
      <w:r w:rsidR="0054032F" w:rsidRPr="00436BC4">
        <w:t xml:space="preserve">enacts medieval womanhood to an extreme by performing extreme piety and claiming the feminine virginal perfection. </w:t>
      </w:r>
      <w:r w:rsidR="000161CC" w:rsidRPr="00436BC4">
        <w:t>Notably, both case studies employ a form of historicism that travels back and forth across temporal divides, recognising queerness not as identities</w:t>
      </w:r>
      <w:r w:rsidR="003B66E1" w:rsidRPr="00436BC4">
        <w:t xml:space="preserve"> relating specifically to sexuality</w:t>
      </w:r>
      <w:r w:rsidR="000161CC" w:rsidRPr="00436BC4">
        <w:t>, but as experiences that trouble the relationship between sense of self</w:t>
      </w:r>
      <w:r w:rsidR="003B66E1" w:rsidRPr="00436BC4">
        <w:t xml:space="preserve">, </w:t>
      </w:r>
      <w:r w:rsidR="000161CC" w:rsidRPr="00436BC4">
        <w:t>embodied desire, and the social body</w:t>
      </w:r>
      <w:r w:rsidR="003B66E1" w:rsidRPr="00436BC4">
        <w:t xml:space="preserve"> in a structure of normativity</w:t>
      </w:r>
      <w:r w:rsidR="000161CC" w:rsidRPr="00436BC4">
        <w:t xml:space="preserve">. </w:t>
      </w:r>
      <w:r w:rsidR="000D591D" w:rsidRPr="00436BC4">
        <w:br w:type="page"/>
      </w:r>
    </w:p>
    <w:p w14:paraId="6C77F16B" w14:textId="3D8E6691" w:rsidR="000D591D" w:rsidRPr="00436BC4" w:rsidRDefault="000D591D" w:rsidP="00B6276A">
      <w:pPr>
        <w:pStyle w:val="Heading2"/>
        <w:spacing w:line="480" w:lineRule="auto"/>
      </w:pPr>
      <w:bookmarkStart w:id="38" w:name="_Toc175312188"/>
      <w:r w:rsidRPr="00436BC4">
        <w:lastRenderedPageBreak/>
        <w:t xml:space="preserve">Queering the </w:t>
      </w:r>
      <w:r w:rsidR="00BF22CA" w:rsidRPr="00436BC4">
        <w:t>N</w:t>
      </w:r>
      <w:r w:rsidRPr="00436BC4">
        <w:t>arrative</w:t>
      </w:r>
      <w:bookmarkEnd w:id="38"/>
    </w:p>
    <w:p w14:paraId="4E03D5A5" w14:textId="77777777" w:rsidR="00382341" w:rsidRDefault="00382341" w:rsidP="00161827">
      <w:pPr>
        <w:spacing w:line="480" w:lineRule="auto"/>
      </w:pPr>
    </w:p>
    <w:p w14:paraId="5DD9F85A" w14:textId="59F95A23" w:rsidR="000D591D" w:rsidRDefault="000D591D" w:rsidP="00161827">
      <w:pPr>
        <w:spacing w:line="480" w:lineRule="auto"/>
      </w:pPr>
      <w:r w:rsidRPr="00436BC4">
        <w:t>The</w:t>
      </w:r>
      <w:r w:rsidR="007E0E06" w:rsidRPr="00436BC4">
        <w:t xml:space="preserve"> exploration of the</w:t>
      </w:r>
      <w:r w:rsidRPr="00436BC4">
        <w:t xml:space="preserve"> </w:t>
      </w:r>
      <w:r w:rsidRPr="00436BC4">
        <w:rPr>
          <w:i/>
          <w:iCs/>
        </w:rPr>
        <w:t>Fourth Branch</w:t>
      </w:r>
      <w:r w:rsidRPr="00436BC4">
        <w:t xml:space="preserve"> </w:t>
      </w:r>
      <w:r w:rsidR="00F42F9C" w:rsidRPr="00436BC4">
        <w:t xml:space="preserve">via queer theory </w:t>
      </w:r>
      <w:r w:rsidR="00953D4D" w:rsidRPr="00436BC4">
        <w:t>will be split into two sections focussing on two characters</w:t>
      </w:r>
      <w:r w:rsidRPr="00436BC4">
        <w:t>.</w:t>
      </w:r>
      <w:r w:rsidR="00AD3D1F" w:rsidRPr="00436BC4">
        <w:t xml:space="preserve"> </w:t>
      </w:r>
      <w:bookmarkStart w:id="39" w:name="_Hlk173064314"/>
      <w:r w:rsidR="000561FA" w:rsidRPr="00436BC4">
        <w:t>Firs</w:t>
      </w:r>
      <w:r w:rsidR="003E6B47" w:rsidRPr="00436BC4">
        <w:t>tly</w:t>
      </w:r>
      <w:r w:rsidR="001B6E84" w:rsidRPr="00436BC4">
        <w:t xml:space="preserve">, Aranrhod </w:t>
      </w:r>
      <w:r w:rsidR="00516DB0" w:rsidRPr="00436BC4">
        <w:t xml:space="preserve">and the failed virginity test </w:t>
      </w:r>
      <w:r w:rsidR="001B6E84" w:rsidRPr="00436BC4">
        <w:t xml:space="preserve">will be examined using </w:t>
      </w:r>
      <w:r w:rsidR="003E6B47" w:rsidRPr="00436BC4">
        <w:t>q</w:t>
      </w:r>
      <w:r w:rsidR="007E0E06" w:rsidRPr="00436BC4">
        <w:t xml:space="preserve">ueer </w:t>
      </w:r>
      <w:r w:rsidR="00262579" w:rsidRPr="00436BC4">
        <w:t>theory</w:t>
      </w:r>
      <w:r w:rsidR="007E0E06" w:rsidRPr="00436BC4">
        <w:t>’s concepts</w:t>
      </w:r>
      <w:r w:rsidR="00262579" w:rsidRPr="00436BC4">
        <w:t xml:space="preserve"> of gender</w:t>
      </w:r>
      <w:r w:rsidR="007E0E06" w:rsidRPr="00436BC4">
        <w:t xml:space="preserve">, temporality, </w:t>
      </w:r>
      <w:r w:rsidR="003E6B47" w:rsidRPr="00436BC4">
        <w:t xml:space="preserve">and </w:t>
      </w:r>
      <w:r w:rsidR="007E0E06" w:rsidRPr="00436BC4">
        <w:t>the antisocial</w:t>
      </w:r>
      <w:r w:rsidR="001B6E84" w:rsidRPr="00436BC4">
        <w:t xml:space="preserve"> thesis</w:t>
      </w:r>
      <w:r w:rsidR="00F42F9C" w:rsidRPr="00436BC4">
        <w:t>. This will shed light on</w:t>
      </w:r>
      <w:r w:rsidR="001B6E84" w:rsidRPr="00436BC4">
        <w:t xml:space="preserve"> the social and political power dynamics governing gender, sex, fertility</w:t>
      </w:r>
      <w:r w:rsidR="00516DB0" w:rsidRPr="00436BC4">
        <w:t xml:space="preserve">, </w:t>
      </w:r>
      <w:r w:rsidR="00096341" w:rsidRPr="00436BC4">
        <w:t xml:space="preserve">and </w:t>
      </w:r>
      <w:r w:rsidR="001B6E84" w:rsidRPr="00436BC4">
        <w:t>desire</w:t>
      </w:r>
      <w:r w:rsidR="00096341" w:rsidRPr="00436BC4">
        <w:t xml:space="preserve"> </w:t>
      </w:r>
      <w:r w:rsidR="00F42F9C" w:rsidRPr="00436BC4">
        <w:t xml:space="preserve">in the </w:t>
      </w:r>
      <w:r w:rsidR="00F42F9C" w:rsidRPr="00436BC4">
        <w:rPr>
          <w:i/>
          <w:iCs/>
        </w:rPr>
        <w:t>Fourth Branch</w:t>
      </w:r>
      <w:r w:rsidR="003E6B47" w:rsidRPr="00436BC4">
        <w:t xml:space="preserve">. </w:t>
      </w:r>
      <w:r w:rsidR="001B6E84" w:rsidRPr="00436BC4">
        <w:t>Secondly</w:t>
      </w:r>
      <w:r w:rsidRPr="00436BC4">
        <w:t xml:space="preserve">, </w:t>
      </w:r>
      <w:r w:rsidR="006F086C">
        <w:t xml:space="preserve">Lleu, and </w:t>
      </w:r>
      <w:r w:rsidRPr="00436BC4">
        <w:t>how queer temporality</w:t>
      </w:r>
      <w:r w:rsidR="001B6E84" w:rsidRPr="00436BC4">
        <w:t xml:space="preserve">, critical presentness, and queer childhoods </w:t>
      </w:r>
      <w:r w:rsidRPr="00436BC4">
        <w:t xml:space="preserve">provides a lens through which the tension </w:t>
      </w:r>
      <w:r w:rsidR="00E300A7">
        <w:t>surrounding</w:t>
      </w:r>
      <w:r w:rsidR="00EB0EA3" w:rsidRPr="00436BC4">
        <w:t xml:space="preserve"> by</w:t>
      </w:r>
      <w:r w:rsidRPr="00436BC4">
        <w:t xml:space="preserve"> </w:t>
      </w:r>
      <w:r w:rsidR="006F086C">
        <w:t>his character</w:t>
      </w:r>
      <w:r w:rsidRPr="00436BC4">
        <w:t xml:space="preserve"> </w:t>
      </w:r>
      <w:r w:rsidR="00EB0EA3" w:rsidRPr="00436BC4">
        <w:t>can</w:t>
      </w:r>
      <w:r w:rsidR="00F42F9C" w:rsidRPr="00436BC4">
        <w:t xml:space="preserve"> be</w:t>
      </w:r>
      <w:r w:rsidRPr="00436BC4">
        <w:t xml:space="preserve"> understood</w:t>
      </w:r>
      <w:r w:rsidR="00EB0EA3" w:rsidRPr="00436BC4">
        <w:t xml:space="preserve"> as heteronormative anxiety over the queer body</w:t>
      </w:r>
      <w:r w:rsidR="00516DB0" w:rsidRPr="00436BC4">
        <w:t xml:space="preserve">, </w:t>
      </w:r>
      <w:r w:rsidR="00F42F9C" w:rsidRPr="00436BC4">
        <w:t>an</w:t>
      </w:r>
      <w:r w:rsidR="00ED7E3A" w:rsidRPr="00436BC4">
        <w:t>d</w:t>
      </w:r>
      <w:r w:rsidR="00F42F9C" w:rsidRPr="00436BC4">
        <w:t xml:space="preserve"> heterosexual </w:t>
      </w:r>
      <w:r w:rsidR="00516DB0" w:rsidRPr="00436BC4">
        <w:t xml:space="preserve">fertility and </w:t>
      </w:r>
      <w:r w:rsidR="001B6E84" w:rsidRPr="00436BC4">
        <w:t>succession</w:t>
      </w:r>
      <w:r w:rsidRPr="00436BC4">
        <w:t xml:space="preserve">. </w:t>
      </w:r>
    </w:p>
    <w:p w14:paraId="169A5A39" w14:textId="77777777" w:rsidR="003D2994" w:rsidRPr="00436BC4" w:rsidRDefault="003D2994" w:rsidP="00161827">
      <w:pPr>
        <w:spacing w:line="480" w:lineRule="auto"/>
      </w:pPr>
    </w:p>
    <w:bookmarkEnd w:id="39"/>
    <w:p w14:paraId="78608C93" w14:textId="0EA462D4" w:rsidR="0015231D" w:rsidRDefault="000D591D" w:rsidP="00E84DE8">
      <w:pPr>
        <w:spacing w:line="480" w:lineRule="auto"/>
      </w:pPr>
      <w:r w:rsidRPr="00436BC4">
        <w:t xml:space="preserve">These </w:t>
      </w:r>
      <w:r w:rsidR="00DF1124" w:rsidRPr="00436BC4">
        <w:t xml:space="preserve">two characters have been chosen </w:t>
      </w:r>
      <w:r w:rsidR="00ED7E3A" w:rsidRPr="00436BC4">
        <w:t xml:space="preserve">as </w:t>
      </w:r>
      <w:r w:rsidR="00E84DE8" w:rsidRPr="00436BC4">
        <w:t>their fates</w:t>
      </w:r>
      <w:r w:rsidR="005921A5" w:rsidRPr="00436BC4">
        <w:t xml:space="preserve"> reveal how heteronormativity is</w:t>
      </w:r>
      <w:r w:rsidR="00E84DE8" w:rsidRPr="00436BC4">
        <w:t xml:space="preserve"> constructed,</w:t>
      </w:r>
      <w:r w:rsidR="005921A5" w:rsidRPr="00436BC4">
        <w:t xml:space="preserve"> policed and reinforced by those who represent the patriarchal order (Gwydion, Math, etc.)</w:t>
      </w:r>
      <w:r w:rsidR="00096341" w:rsidRPr="00436BC4">
        <w:t xml:space="preserve"> by enacting punishment, retribution, and reconciliation</w:t>
      </w:r>
      <w:r w:rsidR="00E84DE8" w:rsidRPr="00436BC4">
        <w:t xml:space="preserve">. Aranrhod and Lleu’s narrative arcs </w:t>
      </w:r>
      <w:r w:rsidR="005921A5" w:rsidRPr="00436BC4">
        <w:t xml:space="preserve">demonstrate the </w:t>
      </w:r>
      <w:r w:rsidR="00DF1124" w:rsidRPr="00436BC4">
        <w:t xml:space="preserve">literal </w:t>
      </w:r>
      <w:r w:rsidR="005921A5" w:rsidRPr="00436BC4">
        <w:t xml:space="preserve">threat that queerness (either as an act of resistance, or through mere existence) threatens Gwynedd’s social-political stability. </w:t>
      </w:r>
    </w:p>
    <w:p w14:paraId="14361244" w14:textId="77777777" w:rsidR="003D2994" w:rsidRPr="00436BC4" w:rsidRDefault="003D2994" w:rsidP="00E84DE8">
      <w:pPr>
        <w:spacing w:line="480" w:lineRule="auto"/>
      </w:pPr>
    </w:p>
    <w:p w14:paraId="39B21BD4" w14:textId="301BF21A" w:rsidR="00E84DE8" w:rsidRDefault="0015231D" w:rsidP="00E84DE8">
      <w:pPr>
        <w:spacing w:line="480" w:lineRule="auto"/>
      </w:pPr>
      <w:r w:rsidRPr="00436BC4">
        <w:t>Finally</w:t>
      </w:r>
      <w:r w:rsidR="00ED7E3A" w:rsidRPr="00436BC4">
        <w:t>,</w:t>
      </w:r>
      <w:r w:rsidR="00C61067" w:rsidRPr="00436BC4">
        <w:t xml:space="preserve"> a discussion employing the </w:t>
      </w:r>
      <w:r w:rsidR="00DE049F" w:rsidRPr="00436BC4">
        <w:t>methodology</w:t>
      </w:r>
      <w:r w:rsidR="00C61067" w:rsidRPr="00436BC4">
        <w:t xml:space="preserve"> of Zeikowitz of ‘finding the homo in the hetero and vice versa’ will examine</w:t>
      </w:r>
      <w:r w:rsidRPr="00436BC4">
        <w:t xml:space="preserve"> the use of forced transformation of physical bodies as a tool </w:t>
      </w:r>
      <w:r w:rsidR="00DE049F" w:rsidRPr="00436BC4">
        <w:t xml:space="preserve">of compulsory heteronormative conformity </w:t>
      </w:r>
      <w:r w:rsidRPr="00436BC4">
        <w:t xml:space="preserve">employed by the </w:t>
      </w:r>
      <w:r w:rsidR="00C61067" w:rsidRPr="00436BC4">
        <w:t xml:space="preserve">ruling regime in the </w:t>
      </w:r>
      <w:r w:rsidR="00C61067" w:rsidRPr="00436BC4">
        <w:rPr>
          <w:i/>
          <w:iCs/>
        </w:rPr>
        <w:t>Fourth Branch</w:t>
      </w:r>
      <w:r w:rsidR="00C61067" w:rsidRPr="00436BC4">
        <w:t>. This section underlines the</w:t>
      </w:r>
      <w:r w:rsidR="00FC5804" w:rsidRPr="00436BC4">
        <w:t xml:space="preserve"> power of queer theory to reveal false binaries in literary analysis between the queer and the non-queer, blurring the lines in the normative and the transgressive in the text.</w:t>
      </w:r>
    </w:p>
    <w:p w14:paraId="4F55A4E4" w14:textId="77777777" w:rsidR="003D2994" w:rsidRPr="00436BC4" w:rsidRDefault="003D2994" w:rsidP="00E84DE8">
      <w:pPr>
        <w:spacing w:line="480" w:lineRule="auto"/>
      </w:pPr>
    </w:p>
    <w:p w14:paraId="56D9C1A5" w14:textId="7CE34404" w:rsidR="003D2994" w:rsidRDefault="00E84DE8" w:rsidP="00E84DE8">
      <w:pPr>
        <w:spacing w:line="480" w:lineRule="auto"/>
      </w:pPr>
      <w:r w:rsidRPr="00436BC4">
        <w:t xml:space="preserve">A brief summary of the </w:t>
      </w:r>
      <w:r w:rsidRPr="00436BC4">
        <w:rPr>
          <w:i/>
          <w:iCs/>
        </w:rPr>
        <w:t>Fourth Branch</w:t>
      </w:r>
      <w:r w:rsidRPr="00436BC4">
        <w:t xml:space="preserve">: The narrative begins by introducing Math, the magical king of Gwynedd, and a particular condition that requires him to sit with his feet in the lap of a virgin when </w:t>
      </w:r>
      <w:r w:rsidRPr="00436BC4">
        <w:lastRenderedPageBreak/>
        <w:t>not at war. The honoured position is held by Goewin, who is the unfortunate object of obsession by Gilfaethwy, Math’s nephew. Gwydion, Gilfaethwy’s brother, devises a plan to start war with Dyfed requiring Math to ride to battle and leav</w:t>
      </w:r>
      <w:r w:rsidR="009C3D83" w:rsidRPr="00436BC4">
        <w:t>e</w:t>
      </w:r>
      <w:r w:rsidRPr="00436BC4">
        <w:t xml:space="preserve"> Goewin unattended, providing Gilfaethwy an opportunity to assault her. When Math returns from battle, Goewin </w:t>
      </w:r>
      <w:r w:rsidR="00372B8A">
        <w:t xml:space="preserve">publicly </w:t>
      </w:r>
      <w:r w:rsidRPr="00436BC4">
        <w:t>reveals what has happened.</w:t>
      </w:r>
      <w:r w:rsidRPr="00436BC4">
        <w:rPr>
          <w:rStyle w:val="FootnoteReference"/>
        </w:rPr>
        <w:footnoteReference w:id="79"/>
      </w:r>
      <w:r w:rsidRPr="00436BC4">
        <w:t xml:space="preserve"> Goewin describes how the assault was made against her and how she did not bare it quietly</w:t>
      </w:r>
      <w:r w:rsidR="00DC5247">
        <w:t>. She</w:t>
      </w:r>
      <w:r w:rsidRPr="00436BC4">
        <w:t xml:space="preserve"> names the King’s nephews as the perpetrators. As punishment the two are transformed into of a mated pair of animals (deer, boar, wolf – a male and female of each) and</w:t>
      </w:r>
      <w:r w:rsidR="005567BF" w:rsidRPr="00436BC4">
        <w:t xml:space="preserve"> are</w:t>
      </w:r>
      <w:r w:rsidRPr="00436BC4">
        <w:t xml:space="preserve"> to be banished to the wilds for three years, producing offspring each year. After which time, the punishment is deemed completed and Math offers them peace and friendship. Needing to find a new virgin footholder, Gwydion suggests his sister Aranrhod</w:t>
      </w:r>
      <w:r w:rsidR="0032383B">
        <w:t>. When questioned regarding her sexual experience Aranrhod provides an ambiguous answer. W</w:t>
      </w:r>
      <w:r w:rsidRPr="00436BC4">
        <w:t xml:space="preserve">hen Math tests her virginity </w:t>
      </w:r>
      <w:r w:rsidR="0032383B">
        <w:t xml:space="preserve">using magic and </w:t>
      </w:r>
      <w:r w:rsidRPr="00436BC4">
        <w:t>she spontaneously gives birth to a baby and an embryo.</w:t>
      </w:r>
      <w:r w:rsidR="0040188C">
        <w:rPr>
          <w:rStyle w:val="FootnoteReference"/>
        </w:rPr>
        <w:footnoteReference w:id="80"/>
      </w:r>
      <w:r w:rsidRPr="00436BC4">
        <w:t xml:space="preserve"> Aranrhod </w:t>
      </w:r>
      <w:r w:rsidR="00500C9D" w:rsidRPr="00436BC4">
        <w:t>flees,</w:t>
      </w:r>
      <w:r w:rsidRPr="00436BC4">
        <w:t xml:space="preserve"> and Gwydion gestates </w:t>
      </w:r>
      <w:r w:rsidR="00DC5247" w:rsidRPr="00DC5247">
        <w:t>th</w:t>
      </w:r>
      <w:r w:rsidR="0040188C">
        <w:t>e embryo</w:t>
      </w:r>
      <w:r w:rsidR="00DC5247" w:rsidRPr="00DC5247">
        <w:t xml:space="preserve"> in a magic chest</w:t>
      </w:r>
      <w:r w:rsidR="0040188C">
        <w:t>. The embryo grows into a</w:t>
      </w:r>
      <w:r w:rsidR="00DC5247" w:rsidRPr="00DC5247">
        <w:t xml:space="preserve"> young fair-haired boy that matures at a rate of roughly twice the rate of a normal child. At the age of four the child returns to court and is fostered by Gwydion. However, the child who will become Lleu still does not have a name. In order to address this, Gwydion brings ‘proto-Lleu’ to Caer Aranrhod where Aranrhod resides to ask her to name the child, and by extension claim them. Angered at Gwydion for bringing a reminder of her humiliating experience at Math’s court to her door, Aranrhod proceeds to place three destinies on the child. One, that they shall not have a name unless she names them. Second, that they shall not bear arms unless she herself arms them. Third, that they shall not have a </w:t>
      </w:r>
      <w:r w:rsidR="0040188C">
        <w:t xml:space="preserve">human </w:t>
      </w:r>
      <w:r w:rsidR="00DC5247" w:rsidRPr="00DC5247">
        <w:t>wife</w:t>
      </w:r>
      <w:r w:rsidR="0040188C">
        <w:t>.</w:t>
      </w:r>
      <w:r w:rsidR="00DC5247" w:rsidRPr="00DC5247">
        <w:t xml:space="preserve"> The first two destinies Gwydion circumvents using trickery. The last however proves more complicated</w:t>
      </w:r>
      <w:r w:rsidR="0040188C">
        <w:t xml:space="preserve">. </w:t>
      </w:r>
      <w:r w:rsidR="00DC5247" w:rsidRPr="00DC5247">
        <w:t>Gwydion and Math us</w:t>
      </w:r>
      <w:r w:rsidR="0040188C">
        <w:t>e</w:t>
      </w:r>
      <w:r w:rsidR="00DC5247" w:rsidRPr="00DC5247">
        <w:t xml:space="preserve"> magic to create a woman out of flowers whom they name Blodeuedd to be Lleu’s bride. </w:t>
      </w:r>
      <w:r w:rsidR="00500C9D">
        <w:t>H</w:t>
      </w:r>
      <w:r w:rsidR="00500C9D" w:rsidRPr="00DC5247">
        <w:t>owever,</w:t>
      </w:r>
      <w:r w:rsidR="00DC5247" w:rsidRPr="00DC5247">
        <w:t xml:space="preserve"> Blodeuedd falls in love with a neighbouring Lord, Gronw Pebr, and together they co-conspire to assassinate Lleu. </w:t>
      </w:r>
      <w:r w:rsidR="00DC5247" w:rsidRPr="00DC5247">
        <w:lastRenderedPageBreak/>
        <w:t>Blodeuedd finds out the very particular way in which Lleu must be killed.</w:t>
      </w:r>
      <w:r w:rsidR="00DC5247" w:rsidRPr="00DC5247">
        <w:rPr>
          <w:vertAlign w:val="superscript"/>
        </w:rPr>
        <w:footnoteReference w:id="81"/>
      </w:r>
      <w:r w:rsidR="00DC5247" w:rsidRPr="00DC5247">
        <w:t xml:space="preserve"> However, the attempt is unsuccessful and Lleu escapes in the form of an eagle. Gwydion finds Lleu and returns him to human form. Gwydion</w:t>
      </w:r>
      <w:r w:rsidR="0040188C">
        <w:t xml:space="preserve"> punishes </w:t>
      </w:r>
      <w:r w:rsidR="00DC5247" w:rsidRPr="00DC5247">
        <w:t xml:space="preserve">Blodeuedd </w:t>
      </w:r>
      <w:r w:rsidR="0040188C">
        <w:t xml:space="preserve">by turning her </w:t>
      </w:r>
      <w:r w:rsidR="00DC5247" w:rsidRPr="00DC5247">
        <w:t>into an owl, and Lleu kills Gronw. The narrative ends with Lleu ruling his lands alone and in time the kingdom of Gwynedd after Math’s death.</w:t>
      </w:r>
    </w:p>
    <w:p w14:paraId="1C74D700" w14:textId="77777777" w:rsidR="00382341" w:rsidRPr="00436BC4" w:rsidRDefault="00382341" w:rsidP="00E84DE8">
      <w:pPr>
        <w:spacing w:line="480" w:lineRule="auto"/>
      </w:pPr>
    </w:p>
    <w:p w14:paraId="542EBBB9" w14:textId="1C2EC5BE" w:rsidR="00382341" w:rsidRDefault="000D591D" w:rsidP="00161827">
      <w:pPr>
        <w:pStyle w:val="Heading3"/>
        <w:numPr>
          <w:ilvl w:val="0"/>
          <w:numId w:val="10"/>
        </w:numPr>
        <w:spacing w:line="480" w:lineRule="auto"/>
      </w:pPr>
      <w:bookmarkStart w:id="42" w:name="_Toc175312189"/>
      <w:r w:rsidRPr="00436BC4">
        <w:t xml:space="preserve">Aranrhod; </w:t>
      </w:r>
      <w:r w:rsidR="00CA343D" w:rsidRPr="00436BC4">
        <w:t xml:space="preserve">Gender, </w:t>
      </w:r>
      <w:r w:rsidR="002361CF" w:rsidRPr="00436BC4">
        <w:t>S</w:t>
      </w:r>
      <w:r w:rsidRPr="00436BC4">
        <w:t>ex</w:t>
      </w:r>
      <w:r w:rsidR="008B0C33" w:rsidRPr="00436BC4">
        <w:t>, and Resistance</w:t>
      </w:r>
      <w:bookmarkEnd w:id="42"/>
    </w:p>
    <w:p w14:paraId="66A11895" w14:textId="4D3A6482" w:rsidR="00BB0494" w:rsidRPr="00436BC4" w:rsidRDefault="000D591D" w:rsidP="00161827">
      <w:pPr>
        <w:spacing w:line="480" w:lineRule="auto"/>
      </w:pPr>
      <w:r w:rsidRPr="00436BC4">
        <w:t xml:space="preserve">Michael Cichon </w:t>
      </w:r>
      <w:r w:rsidR="007C55D0" w:rsidRPr="00436BC4">
        <w:t>begins</w:t>
      </w:r>
      <w:r w:rsidR="00C2472F" w:rsidRPr="00436BC4">
        <w:t xml:space="preserve"> his</w:t>
      </w:r>
      <w:r w:rsidRPr="00436BC4">
        <w:t xml:space="preserve"> </w:t>
      </w:r>
      <w:r w:rsidR="00133E2A" w:rsidRPr="00436BC4">
        <w:t>piece</w:t>
      </w:r>
      <w:r w:rsidR="00C2472F" w:rsidRPr="00436BC4">
        <w:t xml:space="preserve"> entitled</w:t>
      </w:r>
      <w:r w:rsidR="00BB0494" w:rsidRPr="00436BC4">
        <w:t xml:space="preserve"> </w:t>
      </w:r>
      <w:r w:rsidR="00C2472F" w:rsidRPr="00436BC4">
        <w:t xml:space="preserve">‘Eros and Error: Gross Sexual Transgression in the Fourth Branch of the Mabinogi’ by </w:t>
      </w:r>
      <w:r w:rsidR="005234CE" w:rsidRPr="00436BC4">
        <w:t>stating</w:t>
      </w:r>
      <w:r w:rsidR="00DD260F" w:rsidRPr="00436BC4">
        <w:t>:</w:t>
      </w:r>
      <w:r w:rsidRPr="00436BC4">
        <w:t xml:space="preserve"> </w:t>
      </w:r>
    </w:p>
    <w:p w14:paraId="1DCF2AC1" w14:textId="1673DDF9" w:rsidR="00BB0494" w:rsidRPr="00436BC4" w:rsidRDefault="000D591D" w:rsidP="00161827">
      <w:pPr>
        <w:spacing w:line="480" w:lineRule="auto"/>
        <w:ind w:left="720"/>
      </w:pPr>
      <w:r w:rsidRPr="00436BC4">
        <w:t xml:space="preserve">elements of the erotic appear in much medieval Welsh literature such as the romantic heroic exploits depicted in the three Welsh Arthurian Romances… the </w:t>
      </w:r>
      <w:r w:rsidRPr="00436BC4">
        <w:rPr>
          <w:i/>
          <w:iCs/>
        </w:rPr>
        <w:t xml:space="preserve">Fourth Branch of the Mabinogi </w:t>
      </w:r>
      <w:r w:rsidRPr="00436BC4">
        <w:t>is no exception to this penchant for the passionate, replete with its refences to sexual encounters that both spark the erotic imagination and serve an instructive social purpose. Recounting erotic situations in and of themselves is not the redactor’s primary objective: he uses the erotic potential of his tale to convey the message that misapplied passion and lust result in the breakdown of society.</w:t>
      </w:r>
      <w:r w:rsidRPr="00436BC4">
        <w:rPr>
          <w:rStyle w:val="FootnoteReference"/>
        </w:rPr>
        <w:footnoteReference w:id="82"/>
      </w:r>
      <w:r w:rsidRPr="00436BC4">
        <w:t xml:space="preserve"> </w:t>
      </w:r>
    </w:p>
    <w:p w14:paraId="3FE09187" w14:textId="1CD0EA1A" w:rsidR="00215C7E" w:rsidRDefault="00BB0494" w:rsidP="00D06A80">
      <w:pPr>
        <w:spacing w:line="480" w:lineRule="auto"/>
      </w:pPr>
      <w:r w:rsidRPr="00436BC4">
        <w:t>Cichon</w:t>
      </w:r>
      <w:r w:rsidR="00C26EDA" w:rsidRPr="00436BC4">
        <w:t>’s</w:t>
      </w:r>
      <w:r w:rsidRPr="00436BC4">
        <w:t xml:space="preserve"> assert</w:t>
      </w:r>
      <w:r w:rsidR="00E01A66" w:rsidRPr="00436BC4">
        <w:t>ion</w:t>
      </w:r>
      <w:r w:rsidR="008B0C33" w:rsidRPr="00436BC4">
        <w:t xml:space="preserve">, </w:t>
      </w:r>
      <w:r w:rsidRPr="00436BC4">
        <w:t>that</w:t>
      </w:r>
      <w:r w:rsidR="000D591D" w:rsidRPr="00436BC4">
        <w:t xml:space="preserve"> the </w:t>
      </w:r>
      <w:r w:rsidR="000D591D" w:rsidRPr="00436BC4">
        <w:rPr>
          <w:i/>
          <w:iCs/>
        </w:rPr>
        <w:t>Fourth Branch</w:t>
      </w:r>
      <w:r w:rsidR="000D591D" w:rsidRPr="00436BC4">
        <w:t xml:space="preserve"> </w:t>
      </w:r>
      <w:r w:rsidRPr="00436BC4">
        <w:t>is</w:t>
      </w:r>
      <w:r w:rsidR="00C26EDA" w:rsidRPr="00436BC4">
        <w:t xml:space="preserve"> primarily</w:t>
      </w:r>
      <w:r w:rsidRPr="00436BC4">
        <w:t xml:space="preserve"> a cautionary tale showing</w:t>
      </w:r>
      <w:r w:rsidR="000D591D" w:rsidRPr="00436BC4">
        <w:t xml:space="preserve"> how </w:t>
      </w:r>
      <w:r w:rsidR="00B65184" w:rsidRPr="00436BC4">
        <w:t>society itself can be threatened</w:t>
      </w:r>
      <w:r w:rsidR="000D591D" w:rsidRPr="00436BC4">
        <w:t xml:space="preserve"> if the obligations of individuals within social group</w:t>
      </w:r>
      <w:r w:rsidR="00D10F7C" w:rsidRPr="00436BC4">
        <w:t>s</w:t>
      </w:r>
      <w:r w:rsidR="000D591D" w:rsidRPr="00436BC4">
        <w:t xml:space="preserve"> are transgressed</w:t>
      </w:r>
      <w:r w:rsidR="00E00DEF" w:rsidRPr="00436BC4">
        <w:t>,</w:t>
      </w:r>
      <w:r w:rsidR="00E07EC1" w:rsidRPr="00436BC4">
        <w:t xml:space="preserve"> </w:t>
      </w:r>
      <w:r w:rsidR="00E00DEF" w:rsidRPr="00436BC4">
        <w:t>in this case</w:t>
      </w:r>
      <w:r w:rsidR="000D591D" w:rsidRPr="00436BC4">
        <w:t xml:space="preserve"> by </w:t>
      </w:r>
      <w:r w:rsidR="00E00DEF" w:rsidRPr="00436BC4">
        <w:t>illicit</w:t>
      </w:r>
      <w:r w:rsidR="00B65184" w:rsidRPr="00436BC4">
        <w:t xml:space="preserve"> sexual</w:t>
      </w:r>
      <w:r w:rsidR="00E00DEF" w:rsidRPr="00436BC4">
        <w:t xml:space="preserve"> behaviour</w:t>
      </w:r>
      <w:r w:rsidR="008B0C33" w:rsidRPr="00436BC4">
        <w:t>, is</w:t>
      </w:r>
      <w:r w:rsidR="00B65184" w:rsidRPr="00436BC4">
        <w:t xml:space="preserve"> </w:t>
      </w:r>
      <w:r w:rsidR="008B0C33" w:rsidRPr="00436BC4">
        <w:t xml:space="preserve">a </w:t>
      </w:r>
      <w:r w:rsidR="00B65184" w:rsidRPr="00436BC4">
        <w:t xml:space="preserve">succinct and accurate summary of the main underlying tension of the text. </w:t>
      </w:r>
      <w:r w:rsidR="00A12554" w:rsidRPr="00436BC4">
        <w:t>This agrees with the</w:t>
      </w:r>
      <w:r w:rsidR="00E61633" w:rsidRPr="00436BC4">
        <w:t xml:space="preserve"> landmark</w:t>
      </w:r>
      <w:r w:rsidR="00A12554" w:rsidRPr="00436BC4">
        <w:t xml:space="preserve"> piece written by </w:t>
      </w:r>
      <w:r w:rsidR="000D591D" w:rsidRPr="00436BC4">
        <w:t>Roberta Valente</w:t>
      </w:r>
      <w:r w:rsidR="00A12554" w:rsidRPr="00436BC4">
        <w:t xml:space="preserve"> </w:t>
      </w:r>
      <w:r w:rsidR="000D591D" w:rsidRPr="00436BC4">
        <w:t>in 198</w:t>
      </w:r>
      <w:r w:rsidR="00FE598D" w:rsidRPr="00436BC4">
        <w:t>8</w:t>
      </w:r>
      <w:r w:rsidR="000D591D" w:rsidRPr="00436BC4">
        <w:t xml:space="preserve"> </w:t>
      </w:r>
      <w:r w:rsidR="00A90551">
        <w:t>in which</w:t>
      </w:r>
      <w:r w:rsidR="00A12554" w:rsidRPr="00436BC4">
        <w:t xml:space="preserve"> she </w:t>
      </w:r>
      <w:r w:rsidR="000D591D" w:rsidRPr="00436BC4">
        <w:t xml:space="preserve">says that the </w:t>
      </w:r>
      <w:r w:rsidR="000D591D" w:rsidRPr="00436BC4">
        <w:rPr>
          <w:i/>
          <w:iCs/>
        </w:rPr>
        <w:t>Four Branches</w:t>
      </w:r>
      <w:r w:rsidR="000D591D" w:rsidRPr="00436BC4">
        <w:t xml:space="preserve"> contain guidelines </w:t>
      </w:r>
      <w:r w:rsidR="00FE598D" w:rsidRPr="00436BC4">
        <w:t>for</w:t>
      </w:r>
      <w:r w:rsidR="000D591D" w:rsidRPr="00436BC4">
        <w:t xml:space="preserve"> moral conduct that require an individual’s obedience to behavioural codes, and </w:t>
      </w:r>
      <w:r w:rsidR="00EA1E72" w:rsidRPr="00436BC4">
        <w:t>th</w:t>
      </w:r>
      <w:r w:rsidR="0058137C" w:rsidRPr="00436BC4">
        <w:t>at</w:t>
      </w:r>
      <w:r w:rsidR="000D591D" w:rsidRPr="00436BC4">
        <w:t xml:space="preserve"> individual’s ability to use initiative in situations where moral principles </w:t>
      </w:r>
      <w:r w:rsidR="000D591D" w:rsidRPr="00436BC4">
        <w:lastRenderedPageBreak/>
        <w:t>clash or are non-existent.</w:t>
      </w:r>
      <w:r w:rsidR="000D591D" w:rsidRPr="00436BC4">
        <w:rPr>
          <w:rStyle w:val="FootnoteReference"/>
        </w:rPr>
        <w:footnoteReference w:id="83"/>
      </w:r>
      <w:r w:rsidR="000D591D" w:rsidRPr="00436BC4">
        <w:t xml:space="preserve"> </w:t>
      </w:r>
      <w:r w:rsidR="00A12554" w:rsidRPr="00436BC4">
        <w:t>T</w:t>
      </w:r>
      <w:r w:rsidR="00E07EC1" w:rsidRPr="00436BC4">
        <w:t>hough t</w:t>
      </w:r>
      <w:r w:rsidR="00A12554" w:rsidRPr="00436BC4">
        <w:t xml:space="preserve">he narrative </w:t>
      </w:r>
      <w:r w:rsidR="00E00DEF" w:rsidRPr="00436BC4">
        <w:t xml:space="preserve">does contain </w:t>
      </w:r>
      <w:r w:rsidR="009F1BA3" w:rsidRPr="00436BC4">
        <w:t xml:space="preserve">references to social </w:t>
      </w:r>
      <w:r w:rsidR="00A12554" w:rsidRPr="00436BC4">
        <w:t>obligations</w:t>
      </w:r>
      <w:r w:rsidR="00DE42A2" w:rsidRPr="00436BC4">
        <w:t xml:space="preserve"> and correct comportment</w:t>
      </w:r>
      <w:r w:rsidR="00A12554" w:rsidRPr="00436BC4">
        <w:t xml:space="preserve"> necessary to maintain </w:t>
      </w:r>
      <w:r w:rsidR="00835417" w:rsidRPr="00436BC4">
        <w:t>societal</w:t>
      </w:r>
      <w:r w:rsidR="00A12554" w:rsidRPr="00436BC4">
        <w:t xml:space="preserve"> cohesion</w:t>
      </w:r>
      <w:r w:rsidR="00A31AB1" w:rsidRPr="00436BC4">
        <w:t xml:space="preserve">, </w:t>
      </w:r>
      <w:r w:rsidR="00A44E03" w:rsidRPr="00436BC4">
        <w:t>Cichon’s</w:t>
      </w:r>
      <w:r w:rsidR="00A31AB1" w:rsidRPr="00436BC4">
        <w:t xml:space="preserve"> ‘misapplied passion’ </w:t>
      </w:r>
      <w:r w:rsidR="00A44E03" w:rsidRPr="00436BC4">
        <w:t>is</w:t>
      </w:r>
      <w:r w:rsidR="00A31AB1" w:rsidRPr="00436BC4">
        <w:t xml:space="preserve"> </w:t>
      </w:r>
      <w:r w:rsidR="00E07EC1" w:rsidRPr="00436BC4">
        <w:t>a</w:t>
      </w:r>
      <w:r w:rsidR="00376B37">
        <w:t xml:space="preserve"> weak</w:t>
      </w:r>
      <w:r w:rsidR="00E07EC1" w:rsidRPr="00436BC4">
        <w:t xml:space="preserve"> description</w:t>
      </w:r>
      <w:r w:rsidR="00835417">
        <w:t xml:space="preserve"> of socially threatening transgressive behaviour</w:t>
      </w:r>
      <w:r w:rsidR="00AE6B80">
        <w:t xml:space="preserve"> that instigates </w:t>
      </w:r>
      <w:r w:rsidR="00AE6B80" w:rsidRPr="00407B35">
        <w:t>a ‘societally intolerable cris</w:t>
      </w:r>
      <w:r w:rsidR="00407B35" w:rsidRPr="00407B35">
        <w:t>is</w:t>
      </w:r>
      <w:r w:rsidR="00AE6B80" w:rsidRPr="00407B35">
        <w:t>’</w:t>
      </w:r>
      <w:r w:rsidR="00E07EC1" w:rsidRPr="00407B35">
        <w:t>.</w:t>
      </w:r>
      <w:r w:rsidR="00A31AB1" w:rsidRPr="00436BC4">
        <w:t xml:space="preserve"> </w:t>
      </w:r>
      <w:r w:rsidR="00E07EC1" w:rsidRPr="00436BC4">
        <w:t>The</w:t>
      </w:r>
      <w:r w:rsidR="005B136B" w:rsidRPr="00436BC4">
        <w:t xml:space="preserve"> </w:t>
      </w:r>
      <w:r w:rsidR="00A31AB1" w:rsidRPr="00436BC4">
        <w:t xml:space="preserve">acts </w:t>
      </w:r>
      <w:r w:rsidR="00E07EC1" w:rsidRPr="00436BC4">
        <w:t>in question</w:t>
      </w:r>
      <w:r w:rsidR="00A31AB1" w:rsidRPr="00436BC4">
        <w:t xml:space="preserve"> </w:t>
      </w:r>
      <w:r w:rsidR="00E00DEF" w:rsidRPr="00436BC4">
        <w:t>commit</w:t>
      </w:r>
      <w:r w:rsidR="005B136B" w:rsidRPr="00436BC4">
        <w:t xml:space="preserve"> </w:t>
      </w:r>
      <w:r w:rsidR="00A31AB1" w:rsidRPr="00436BC4">
        <w:t xml:space="preserve">great violence to the social tapestry of the </w:t>
      </w:r>
      <w:r w:rsidR="00A31AB1" w:rsidRPr="00436BC4">
        <w:rPr>
          <w:i/>
          <w:iCs/>
        </w:rPr>
        <w:t xml:space="preserve">Fourth Branch, </w:t>
      </w:r>
      <w:r w:rsidR="00A31AB1" w:rsidRPr="00436BC4">
        <w:t xml:space="preserve">pulling whole threads of </w:t>
      </w:r>
      <w:r w:rsidR="00704B51" w:rsidRPr="00436BC4">
        <w:t xml:space="preserve">individual </w:t>
      </w:r>
      <w:r w:rsidR="00A31AB1" w:rsidRPr="00436BC4">
        <w:t>self l</w:t>
      </w:r>
      <w:r w:rsidR="00A44E03" w:rsidRPr="00436BC4">
        <w:t>o</w:t>
      </w:r>
      <w:r w:rsidR="00A31AB1" w:rsidRPr="00436BC4">
        <w:t>ose</w:t>
      </w:r>
      <w:r w:rsidR="00704B51" w:rsidRPr="00436BC4">
        <w:t xml:space="preserve"> from the social whole</w:t>
      </w:r>
      <w:r w:rsidR="00A31AB1" w:rsidRPr="00436BC4">
        <w:t>, and casting some characters beyond heteronormative reconciliation.</w:t>
      </w:r>
      <w:r w:rsidR="000724E9" w:rsidRPr="00436BC4">
        <w:t xml:space="preserve"> </w:t>
      </w:r>
    </w:p>
    <w:p w14:paraId="005D8BB8" w14:textId="77777777" w:rsidR="003D2994" w:rsidRPr="00436BC4" w:rsidRDefault="003D2994" w:rsidP="00D06A80">
      <w:pPr>
        <w:spacing w:line="480" w:lineRule="auto"/>
      </w:pPr>
    </w:p>
    <w:p w14:paraId="0297D51C" w14:textId="7D838FB2" w:rsidR="00215C7E" w:rsidRDefault="003E3875" w:rsidP="00D06A80">
      <w:pPr>
        <w:spacing w:line="480" w:lineRule="auto"/>
      </w:pPr>
      <w:r>
        <w:t>I</w:t>
      </w:r>
      <w:r w:rsidR="00215C7E" w:rsidRPr="00436BC4">
        <w:t xml:space="preserve">n </w:t>
      </w:r>
      <w:r w:rsidR="00215C7E" w:rsidRPr="00436BC4">
        <w:rPr>
          <w:i/>
          <w:iCs/>
        </w:rPr>
        <w:t>The Women of the Four Branches</w:t>
      </w:r>
      <w:r w:rsidR="00D56EE7" w:rsidRPr="00436BC4">
        <w:rPr>
          <w:i/>
          <w:iCs/>
        </w:rPr>
        <w:t xml:space="preserve"> </w:t>
      </w:r>
      <w:r w:rsidR="00D56EE7" w:rsidRPr="00436BC4">
        <w:t>(1997)</w:t>
      </w:r>
      <w:r w:rsidR="00215C7E" w:rsidRPr="00436BC4">
        <w:t>,</w:t>
      </w:r>
      <w:r>
        <w:t xml:space="preserve"> Winward</w:t>
      </w:r>
      <w:r w:rsidR="00E07EC1" w:rsidRPr="00436BC4">
        <w:t xml:space="preserve"> </w:t>
      </w:r>
      <w:r w:rsidR="007765D0" w:rsidRPr="00436BC4">
        <w:t>establishes</w:t>
      </w:r>
      <w:r w:rsidR="00E07EC1" w:rsidRPr="00436BC4">
        <w:t xml:space="preserve"> that</w:t>
      </w:r>
      <w:r w:rsidR="00215C7E" w:rsidRPr="00436BC4">
        <w:t xml:space="preserve"> </w:t>
      </w:r>
      <w:r>
        <w:t>Aranrhod</w:t>
      </w:r>
      <w:r w:rsidR="006D7DA7" w:rsidRPr="00436BC4">
        <w:t xml:space="preserve"> </w:t>
      </w:r>
      <w:r w:rsidR="00E07EC1" w:rsidRPr="00436BC4">
        <w:t>has</w:t>
      </w:r>
      <w:r w:rsidR="00215C7E" w:rsidRPr="00436BC4">
        <w:t xml:space="preserve"> the claim to being the most independent woman in </w:t>
      </w:r>
      <w:r w:rsidR="00E07EC1" w:rsidRPr="00436BC4">
        <w:t xml:space="preserve">all </w:t>
      </w:r>
      <w:r w:rsidR="00E07EC1" w:rsidRPr="00436BC4">
        <w:rPr>
          <w:i/>
          <w:iCs/>
        </w:rPr>
        <w:t>Four Branches</w:t>
      </w:r>
      <w:r w:rsidR="00215C7E" w:rsidRPr="00436BC4">
        <w:t xml:space="preserve"> in </w:t>
      </w:r>
      <w:r w:rsidR="00E07EC1" w:rsidRPr="00436BC4">
        <w:t xml:space="preserve">terms of </w:t>
      </w:r>
      <w:r w:rsidR="00215C7E" w:rsidRPr="00436BC4">
        <w:t>both behaviour and status</w:t>
      </w:r>
      <w:r w:rsidR="00334368" w:rsidRPr="00436BC4">
        <w:t xml:space="preserve">. </w:t>
      </w:r>
      <w:r w:rsidR="00E07EC1" w:rsidRPr="00436BC4">
        <w:t>Her reasoning is that s</w:t>
      </w:r>
      <w:r w:rsidR="00334368" w:rsidRPr="00436BC4">
        <w:t>he is the only woman to live independent of male kin,</w:t>
      </w:r>
      <w:r w:rsidR="00215C7E" w:rsidRPr="00436BC4">
        <w:t xml:space="preserve"> and </w:t>
      </w:r>
      <w:r w:rsidR="00E07EC1" w:rsidRPr="00436BC4">
        <w:t>seems to be unanswerable to Math in the way members of his court and kin group normally are</w:t>
      </w:r>
      <w:r w:rsidR="00215C7E" w:rsidRPr="00436BC4">
        <w:t>.</w:t>
      </w:r>
      <w:r w:rsidR="00215C7E" w:rsidRPr="00436BC4">
        <w:rPr>
          <w:rStyle w:val="FootnoteReference"/>
        </w:rPr>
        <w:footnoteReference w:id="84"/>
      </w:r>
      <w:r w:rsidR="00D56EE7" w:rsidRPr="00436BC4">
        <w:t xml:space="preserve"> </w:t>
      </w:r>
      <w:r w:rsidR="00433902" w:rsidRPr="00436BC4">
        <w:t xml:space="preserve">The assertion that she is the most ‘independent woman’ </w:t>
      </w:r>
      <w:r w:rsidR="00E07EC1" w:rsidRPr="00436BC4">
        <w:t xml:space="preserve">however </w:t>
      </w:r>
      <w:r w:rsidR="00433902" w:rsidRPr="00436BC4">
        <w:t xml:space="preserve">requires some scrutiny. How independent were women of </w:t>
      </w:r>
      <w:r w:rsidR="00967EED">
        <w:t>m</w:t>
      </w:r>
      <w:r w:rsidR="00433902" w:rsidRPr="00436BC4">
        <w:t>edieval Wales</w:t>
      </w:r>
      <w:r w:rsidR="00E07EC1" w:rsidRPr="00436BC4">
        <w:t xml:space="preserve"> and w</w:t>
      </w:r>
      <w:r w:rsidR="00433902" w:rsidRPr="00436BC4">
        <w:t>hat were the limits of their constraints and how did they operate? To shed light on these</w:t>
      </w:r>
      <w:r w:rsidR="008A59F3">
        <w:t xml:space="preserve"> issues</w:t>
      </w:r>
      <w:r w:rsidR="00ED7E3A" w:rsidRPr="00436BC4">
        <w:t>,</w:t>
      </w:r>
      <w:r w:rsidR="00433902" w:rsidRPr="00436BC4">
        <w:t xml:space="preserve"> </w:t>
      </w:r>
      <w:r w:rsidR="007C55D0" w:rsidRPr="00436BC4">
        <w:t>what is</w:t>
      </w:r>
      <w:r w:rsidR="00433902" w:rsidRPr="00436BC4">
        <w:t xml:space="preserve"> know</w:t>
      </w:r>
      <w:r w:rsidR="00ED7E3A" w:rsidRPr="00436BC4">
        <w:t>n</w:t>
      </w:r>
      <w:r w:rsidR="00433902" w:rsidRPr="00436BC4">
        <w:t xml:space="preserve"> of</w:t>
      </w:r>
      <w:r w:rsidR="00E32E74" w:rsidRPr="00436BC4">
        <w:t xml:space="preserve"> the relationship between</w:t>
      </w:r>
      <w:r w:rsidR="00433902" w:rsidRPr="00436BC4">
        <w:t xml:space="preserve"> gender</w:t>
      </w:r>
      <w:r w:rsidR="008065D4" w:rsidRPr="00436BC4">
        <w:t xml:space="preserve"> </w:t>
      </w:r>
      <w:r w:rsidR="00E32E74" w:rsidRPr="00436BC4">
        <w:t xml:space="preserve">and power </w:t>
      </w:r>
      <w:r w:rsidR="008065D4" w:rsidRPr="00436BC4">
        <w:t>in the</w:t>
      </w:r>
      <w:r w:rsidR="003E0F06">
        <w:t xml:space="preserve"> time of the</w:t>
      </w:r>
      <w:r w:rsidR="008065D4" w:rsidRPr="00436BC4">
        <w:t xml:space="preserve"> </w:t>
      </w:r>
      <w:r w:rsidR="008065D4" w:rsidRPr="00436BC4">
        <w:rPr>
          <w:i/>
          <w:iCs/>
        </w:rPr>
        <w:t>Mabinogi</w:t>
      </w:r>
      <w:r w:rsidR="007C55D0" w:rsidRPr="00436BC4">
        <w:t xml:space="preserve"> must be </w:t>
      </w:r>
      <w:r w:rsidR="00443492" w:rsidRPr="00436BC4">
        <w:t>established</w:t>
      </w:r>
      <w:r w:rsidR="00933040" w:rsidRPr="00436BC4">
        <w:t>.</w:t>
      </w:r>
    </w:p>
    <w:p w14:paraId="637DEDFE" w14:textId="77777777" w:rsidR="003D2994" w:rsidRPr="00436BC4" w:rsidRDefault="003D2994" w:rsidP="00D06A80">
      <w:pPr>
        <w:spacing w:line="480" w:lineRule="auto"/>
      </w:pPr>
    </w:p>
    <w:p w14:paraId="2951252F" w14:textId="194F1CBE" w:rsidR="00610855" w:rsidRPr="00436BC4" w:rsidRDefault="0037143C" w:rsidP="00E72A07">
      <w:pPr>
        <w:spacing w:line="480" w:lineRule="auto"/>
      </w:pPr>
      <w:r w:rsidRPr="00436BC4">
        <w:t xml:space="preserve">Beginning with establishing an appropriate means of framing medieval gender, </w:t>
      </w:r>
      <w:r w:rsidR="00E72A07" w:rsidRPr="00436BC4">
        <w:t>Judith Butler</w:t>
      </w:r>
      <w:r w:rsidR="00ED7E3A" w:rsidRPr="00436BC4">
        <w:t xml:space="preserve"> in</w:t>
      </w:r>
      <w:r w:rsidR="00E72A07" w:rsidRPr="00436BC4">
        <w:t xml:space="preserve"> her 2004 book </w:t>
      </w:r>
      <w:r w:rsidR="00E72A07" w:rsidRPr="00436BC4">
        <w:rPr>
          <w:i/>
          <w:iCs/>
        </w:rPr>
        <w:t>Undoing Gender</w:t>
      </w:r>
      <w:r w:rsidR="00E72A07" w:rsidRPr="00436BC4">
        <w:t xml:space="preserve"> notes that gender is not so much constructed, as it is inseparable from identity itself. I</w:t>
      </w:r>
      <w:r w:rsidR="003F3267">
        <w:t>nstead, i</w:t>
      </w:r>
      <w:r w:rsidR="00E72A07" w:rsidRPr="00436BC4">
        <w:t>t emerges, and is formed through subjugation.</w:t>
      </w:r>
      <w:r w:rsidR="00E72A07" w:rsidRPr="00436BC4">
        <w:rPr>
          <w:rStyle w:val="FootnoteReference"/>
        </w:rPr>
        <w:footnoteReference w:id="85"/>
      </w:r>
      <w:r w:rsidR="00E72A07" w:rsidRPr="00436BC4">
        <w:t xml:space="preserve"> Burgwinkle elaborates Butler’s position, noting the role in which confrontation with the law is essential to the development of a gendered body.</w:t>
      </w:r>
      <w:r w:rsidR="00E72A07" w:rsidRPr="00436BC4">
        <w:rPr>
          <w:rStyle w:val="FootnoteReference"/>
        </w:rPr>
        <w:footnoteReference w:id="86"/>
      </w:r>
      <w:r w:rsidR="00E72A07" w:rsidRPr="00436BC4">
        <w:t xml:space="preserve"> </w:t>
      </w:r>
    </w:p>
    <w:p w14:paraId="18D3317E" w14:textId="290C46DB" w:rsidR="00E72A07" w:rsidRPr="00436BC4" w:rsidRDefault="00E72A07" w:rsidP="00610855">
      <w:pPr>
        <w:spacing w:line="480" w:lineRule="auto"/>
        <w:ind w:left="720"/>
      </w:pPr>
      <w:r w:rsidRPr="00436BC4">
        <w:lastRenderedPageBreak/>
        <w:t>Gender becomes a “practice of improvisation within a scene of constraint”</w:t>
      </w:r>
      <w:r w:rsidRPr="00436BC4">
        <w:rPr>
          <w:rStyle w:val="FootnoteReference"/>
        </w:rPr>
        <w:footnoteReference w:id="87"/>
      </w:r>
      <w:r w:rsidRPr="00436BC4">
        <w:t>; It is performed through and for and interacting with an audience. Affect and desire are both staged and structured by norms until they feel like the innermost core of the self.</w:t>
      </w:r>
      <w:r w:rsidRPr="00436BC4">
        <w:rPr>
          <w:rStyle w:val="FootnoteReference"/>
        </w:rPr>
        <w:footnoteReference w:id="88"/>
      </w:r>
      <w:r w:rsidRPr="00436BC4">
        <w:t xml:space="preserve"> </w:t>
      </w:r>
    </w:p>
    <w:p w14:paraId="0286BE37" w14:textId="48EC4728" w:rsidR="007063D0" w:rsidRDefault="004E636C" w:rsidP="00D06A80">
      <w:pPr>
        <w:spacing w:line="480" w:lineRule="auto"/>
      </w:pPr>
      <w:r w:rsidRPr="00436BC4">
        <w:t xml:space="preserve">The </w:t>
      </w:r>
      <w:r w:rsidR="007C55D0" w:rsidRPr="00436BC4">
        <w:t>assertion of a relationship between the law and the gendered body</w:t>
      </w:r>
      <w:r w:rsidRPr="00436BC4">
        <w:t xml:space="preserve"> that Butler and Burgwinkle</w:t>
      </w:r>
      <w:r w:rsidR="007C55D0" w:rsidRPr="00436BC4">
        <w:t xml:space="preserve"> make</w:t>
      </w:r>
      <w:r w:rsidRPr="00436BC4">
        <w:t xml:space="preserve"> is relevant </w:t>
      </w:r>
      <w:r w:rsidR="007C55D0" w:rsidRPr="00436BC4">
        <w:t>considering</w:t>
      </w:r>
      <w:r w:rsidR="00E72A07" w:rsidRPr="00436BC4">
        <w:t xml:space="preserve"> </w:t>
      </w:r>
      <w:r w:rsidR="00806839" w:rsidRPr="00436BC4">
        <w:t>how</w:t>
      </w:r>
      <w:r w:rsidR="00E72A07" w:rsidRPr="00436BC4">
        <w:t xml:space="preserve"> Celtic scholars </w:t>
      </w:r>
      <w:r w:rsidR="00806839" w:rsidRPr="00436BC4">
        <w:t>inform their</w:t>
      </w:r>
      <w:r w:rsidR="00E72A07" w:rsidRPr="00436BC4">
        <w:t xml:space="preserve"> understand</w:t>
      </w:r>
      <w:r w:rsidR="00806839" w:rsidRPr="00436BC4">
        <w:t>ing</w:t>
      </w:r>
      <w:r w:rsidR="00E72A07" w:rsidRPr="00436BC4">
        <w:t xml:space="preserve"> </w:t>
      </w:r>
      <w:r w:rsidR="00806839" w:rsidRPr="00436BC4">
        <w:t>of</w:t>
      </w:r>
      <w:r w:rsidR="00E72A07" w:rsidRPr="00436BC4">
        <w:t xml:space="preserve"> medieval gender norms</w:t>
      </w:r>
      <w:r w:rsidR="007C55D0" w:rsidRPr="00436BC4">
        <w:t xml:space="preserve"> in part</w:t>
      </w:r>
      <w:r w:rsidRPr="00436BC4">
        <w:t xml:space="preserve"> through the existence of</w:t>
      </w:r>
      <w:r w:rsidR="00E72A07" w:rsidRPr="00436BC4">
        <w:t xml:space="preserve"> </w:t>
      </w:r>
      <w:r w:rsidRPr="00436BC4">
        <w:t>surviving</w:t>
      </w:r>
      <w:r w:rsidR="00806839" w:rsidRPr="00436BC4">
        <w:t xml:space="preserve"> </w:t>
      </w:r>
      <w:r w:rsidR="00E72A07" w:rsidRPr="00436BC4">
        <w:t>legal records</w:t>
      </w:r>
      <w:r w:rsidRPr="00436BC4">
        <w:t xml:space="preserve">. </w:t>
      </w:r>
      <w:r w:rsidR="008065D4" w:rsidRPr="00436BC4">
        <w:t xml:space="preserve">Valente </w:t>
      </w:r>
      <w:r w:rsidR="008F730F" w:rsidRPr="00436BC4">
        <w:t xml:space="preserve">writes that men in the </w:t>
      </w:r>
      <w:r w:rsidR="008F730F" w:rsidRPr="00436BC4">
        <w:rPr>
          <w:i/>
          <w:iCs/>
        </w:rPr>
        <w:t>Four Branches</w:t>
      </w:r>
      <w:r w:rsidR="008065D4" w:rsidRPr="00436BC4">
        <w:t xml:space="preserve"> </w:t>
      </w:r>
      <w:r w:rsidR="008F730F" w:rsidRPr="00436BC4">
        <w:t>are described by their titles indicating status in their lands.</w:t>
      </w:r>
      <w:r w:rsidR="008F730F" w:rsidRPr="00436BC4">
        <w:rPr>
          <w:rStyle w:val="FootnoteReference"/>
        </w:rPr>
        <w:footnoteReference w:id="89"/>
      </w:r>
      <w:r w:rsidR="00D06A80" w:rsidRPr="00436BC4">
        <w:t xml:space="preserve"> </w:t>
      </w:r>
      <w:r w:rsidR="007C55D0" w:rsidRPr="00436BC4">
        <w:t>T</w:t>
      </w:r>
      <w:r w:rsidR="003E7D2E" w:rsidRPr="00436BC4">
        <w:t>his</w:t>
      </w:r>
      <w:r w:rsidR="00203223">
        <w:t>,</w:t>
      </w:r>
      <w:r w:rsidR="007C55D0" w:rsidRPr="00436BC4">
        <w:t xml:space="preserve"> she says</w:t>
      </w:r>
      <w:r w:rsidR="006D158A" w:rsidRPr="00436BC4">
        <w:t>,</w:t>
      </w:r>
      <w:r w:rsidR="003E7D2E" w:rsidRPr="00436BC4">
        <w:t xml:space="preserve"> </w:t>
      </w:r>
      <w:r w:rsidR="007C55D0" w:rsidRPr="00436BC4">
        <w:t>defines</w:t>
      </w:r>
      <w:r w:rsidR="003E7D2E" w:rsidRPr="00436BC4">
        <w:t xml:space="preserve"> men’s role in medieval Wales as protectors, of their lands and </w:t>
      </w:r>
      <w:r w:rsidR="006D158A" w:rsidRPr="00436BC4">
        <w:t>of their closest female kin</w:t>
      </w:r>
      <w:r w:rsidR="003E7D2E" w:rsidRPr="00436BC4">
        <w:t>.</w:t>
      </w:r>
      <w:r w:rsidR="003E7D2E" w:rsidRPr="00436BC4">
        <w:rPr>
          <w:rStyle w:val="FootnoteReference"/>
        </w:rPr>
        <w:footnoteReference w:id="90"/>
      </w:r>
      <w:r w:rsidR="00261DD1" w:rsidRPr="00436BC4">
        <w:t xml:space="preserve"> Women on the other hand are defined </w:t>
      </w:r>
      <w:r w:rsidR="006D52CE" w:rsidRPr="00436BC4">
        <w:t xml:space="preserve">in status </w:t>
      </w:r>
      <w:r w:rsidR="00261DD1" w:rsidRPr="00436BC4">
        <w:t>by their nearest male kin (brothers, fathers, husbands, etc.)</w:t>
      </w:r>
      <w:r w:rsidR="008B74B7" w:rsidRPr="00436BC4">
        <w:t xml:space="preserve">, </w:t>
      </w:r>
      <w:r w:rsidR="006D52CE" w:rsidRPr="00436BC4">
        <w:t>and live</w:t>
      </w:r>
      <w:r w:rsidR="008B74B7" w:rsidRPr="00436BC4">
        <w:t xml:space="preserve"> under their protection.</w:t>
      </w:r>
      <w:r w:rsidR="00261DD1" w:rsidRPr="00436BC4">
        <w:rPr>
          <w:rStyle w:val="FootnoteReference"/>
        </w:rPr>
        <w:footnoteReference w:id="91"/>
      </w:r>
      <w:r w:rsidR="008B74B7" w:rsidRPr="00436BC4">
        <w:t xml:space="preserve"> The question of what exactly </w:t>
      </w:r>
      <w:r w:rsidR="00DE6B3E" w:rsidRPr="00436BC4">
        <w:t>is</w:t>
      </w:r>
      <w:r w:rsidR="008B74B7" w:rsidRPr="00436BC4">
        <w:t xml:space="preserve"> being protected becomes </w:t>
      </w:r>
      <w:r w:rsidR="007C55D0" w:rsidRPr="00436BC4">
        <w:t>clearer</w:t>
      </w:r>
      <w:r w:rsidR="008B74B7" w:rsidRPr="00436BC4">
        <w:t xml:space="preserve"> when the role of </w:t>
      </w:r>
      <w:r w:rsidR="006D52CE" w:rsidRPr="00436BC4">
        <w:t>‘</w:t>
      </w:r>
      <w:r w:rsidR="000F7215" w:rsidRPr="00436BC4">
        <w:t xml:space="preserve">potential </w:t>
      </w:r>
      <w:r w:rsidR="008B74B7" w:rsidRPr="00436BC4">
        <w:t>fertility</w:t>
      </w:r>
      <w:r w:rsidR="006D52CE" w:rsidRPr="00436BC4">
        <w:t>’</w:t>
      </w:r>
      <w:r w:rsidR="000F7215" w:rsidRPr="00436BC4">
        <w:t xml:space="preserve"> is understood to be </w:t>
      </w:r>
      <w:r w:rsidR="000F7215" w:rsidRPr="00436BC4">
        <w:rPr>
          <w:i/>
          <w:iCs/>
        </w:rPr>
        <w:t>the</w:t>
      </w:r>
      <w:r w:rsidR="008B74B7" w:rsidRPr="00436BC4">
        <w:t xml:space="preserve"> defining</w:t>
      </w:r>
      <w:r w:rsidR="000F7215" w:rsidRPr="00436BC4">
        <w:t xml:space="preserve"> factor between power and subjugation in</w:t>
      </w:r>
      <w:r w:rsidR="00FC0FE7" w:rsidRPr="00436BC4">
        <w:t xml:space="preserve"> relation to </w:t>
      </w:r>
      <w:r w:rsidR="000F7215" w:rsidRPr="00436BC4">
        <w:t xml:space="preserve">the </w:t>
      </w:r>
      <w:r w:rsidR="006D52CE" w:rsidRPr="00436BC4">
        <w:t>performativity</w:t>
      </w:r>
      <w:r w:rsidR="000F7215" w:rsidRPr="00436BC4">
        <w:t xml:space="preserve"> of </w:t>
      </w:r>
      <w:r w:rsidR="00FC0FE7" w:rsidRPr="00436BC4">
        <w:t xml:space="preserve">medieval womanhood. Though women </w:t>
      </w:r>
      <w:r w:rsidR="0003573E" w:rsidRPr="00436BC4">
        <w:t xml:space="preserve">were </w:t>
      </w:r>
      <w:r w:rsidR="006D52CE" w:rsidRPr="00436BC4">
        <w:t>technically seen under Welsh Law</w:t>
      </w:r>
      <w:r w:rsidR="0003573E" w:rsidRPr="00436BC4">
        <w:t xml:space="preserve"> as a </w:t>
      </w:r>
      <w:r w:rsidR="0040592B" w:rsidRPr="00436BC4">
        <w:t>‘</w:t>
      </w:r>
      <w:r w:rsidR="0003573E" w:rsidRPr="00436BC4">
        <w:t>non-person recognised by society only as an appendage to some male with whom she was connected’</w:t>
      </w:r>
      <w:r w:rsidR="00AC48B2" w:rsidRPr="00436BC4">
        <w:t>,</w:t>
      </w:r>
      <w:r w:rsidR="0003573E" w:rsidRPr="00436BC4">
        <w:rPr>
          <w:rStyle w:val="FootnoteReference"/>
        </w:rPr>
        <w:footnoteReference w:id="92"/>
      </w:r>
      <w:r w:rsidR="00AC48B2" w:rsidRPr="00436BC4">
        <w:t xml:space="preserve"> </w:t>
      </w:r>
      <w:r w:rsidR="00D24408" w:rsidRPr="00436BC4">
        <w:t xml:space="preserve">a woman’s fertility </w:t>
      </w:r>
      <w:r w:rsidR="006D52CE" w:rsidRPr="00436BC4">
        <w:rPr>
          <w:i/>
          <w:iCs/>
        </w:rPr>
        <w:t xml:space="preserve">could </w:t>
      </w:r>
      <w:r w:rsidR="006D52CE" w:rsidRPr="00436BC4">
        <w:t>be</w:t>
      </w:r>
      <w:r w:rsidR="00D24408" w:rsidRPr="00436BC4">
        <w:t xml:space="preserve"> a source of </w:t>
      </w:r>
      <w:r w:rsidR="0040592B" w:rsidRPr="00436BC4">
        <w:t xml:space="preserve">individual </w:t>
      </w:r>
      <w:r w:rsidR="00D24408" w:rsidRPr="00436BC4">
        <w:t>power for her</w:t>
      </w:r>
      <w:r w:rsidR="008E2904" w:rsidRPr="00436BC4">
        <w:t xml:space="preserve">, </w:t>
      </w:r>
      <w:r w:rsidR="007C55D0" w:rsidRPr="00436BC4">
        <w:t>but</w:t>
      </w:r>
      <w:r w:rsidR="006807FB">
        <w:t>,</w:t>
      </w:r>
      <w:r w:rsidR="007C55D0" w:rsidRPr="00436BC4">
        <w:t xml:space="preserve"> importantly</w:t>
      </w:r>
      <w:r w:rsidR="0040592B" w:rsidRPr="00436BC4">
        <w:t xml:space="preserve">, was also an essential </w:t>
      </w:r>
      <w:r w:rsidR="008E3784" w:rsidRPr="00436BC4">
        <w:t>determiner of status and honour for her nearest kin</w:t>
      </w:r>
      <w:r w:rsidR="00D24408" w:rsidRPr="00436BC4">
        <w:t xml:space="preserve">. If she </w:t>
      </w:r>
      <w:r w:rsidR="00B20799" w:rsidRPr="00436BC4">
        <w:t>remained chaste until</w:t>
      </w:r>
      <w:r w:rsidR="00D24408" w:rsidRPr="00436BC4">
        <w:t xml:space="preserve"> marriage, and subsequently gave birth in due course, her husband’s family (her new kin) would benefit from </w:t>
      </w:r>
      <w:r w:rsidR="006D52CE" w:rsidRPr="00436BC4">
        <w:t>the securing of their biological line</w:t>
      </w:r>
      <w:r w:rsidR="00D24408" w:rsidRPr="00436BC4">
        <w:t xml:space="preserve"> and their honour </w:t>
      </w:r>
      <w:r w:rsidR="00B20799" w:rsidRPr="00436BC4">
        <w:t xml:space="preserve">and status </w:t>
      </w:r>
      <w:r w:rsidR="006D52CE" w:rsidRPr="00436BC4">
        <w:t>upheld</w:t>
      </w:r>
      <w:r w:rsidR="004A0BA8" w:rsidRPr="00436BC4">
        <w:t>,</w:t>
      </w:r>
      <w:r w:rsidR="006D52CE" w:rsidRPr="00436BC4">
        <w:t xml:space="preserve"> and </w:t>
      </w:r>
      <w:r w:rsidR="00B20799" w:rsidRPr="00436BC4">
        <w:t>even increased</w:t>
      </w:r>
      <w:r w:rsidR="00D24408" w:rsidRPr="00436BC4">
        <w:t>.</w:t>
      </w:r>
      <w:r w:rsidR="00B20799" w:rsidRPr="00436BC4">
        <w:t xml:space="preserve"> This would happen concurrently as a woman’s relatively high status as a virgin</w:t>
      </w:r>
      <w:r w:rsidR="00B428FB" w:rsidRPr="00436BC4">
        <w:t xml:space="preserve"> (</w:t>
      </w:r>
      <w:r w:rsidR="00B428FB" w:rsidRPr="00436BC4">
        <w:rPr>
          <w:i/>
          <w:iCs/>
        </w:rPr>
        <w:t>morwyn</w:t>
      </w:r>
      <w:r w:rsidR="00B428FB" w:rsidRPr="00436BC4">
        <w:t>)</w:t>
      </w:r>
      <w:r w:rsidR="004A0BA8" w:rsidRPr="00436BC4">
        <w:t xml:space="preserve"> is lowered,</w:t>
      </w:r>
      <w:r w:rsidR="00B20799" w:rsidRPr="00436BC4">
        <w:t xml:space="preserve"> becom</w:t>
      </w:r>
      <w:r w:rsidR="004A0BA8" w:rsidRPr="00436BC4">
        <w:t>ing</w:t>
      </w:r>
      <w:r w:rsidR="00B20799" w:rsidRPr="00436BC4">
        <w:t xml:space="preserve"> that of a </w:t>
      </w:r>
      <w:r w:rsidR="00B428FB" w:rsidRPr="00436BC4">
        <w:t>woman/wife (</w:t>
      </w:r>
      <w:r w:rsidR="00B428FB" w:rsidRPr="00436BC4">
        <w:rPr>
          <w:i/>
          <w:iCs/>
        </w:rPr>
        <w:t>gwraig)</w:t>
      </w:r>
      <w:r w:rsidR="00E205E5" w:rsidRPr="00436BC4">
        <w:rPr>
          <w:i/>
          <w:iCs/>
        </w:rPr>
        <w:t>.</w:t>
      </w:r>
      <w:r w:rsidR="006D52CE" w:rsidRPr="00436BC4">
        <w:rPr>
          <w:rStyle w:val="FootnoteReference"/>
        </w:rPr>
        <w:footnoteReference w:id="93"/>
      </w:r>
      <w:r w:rsidR="00D24408" w:rsidRPr="00436BC4">
        <w:t xml:space="preserve"> </w:t>
      </w:r>
      <w:r w:rsidR="009E4D16" w:rsidRPr="00436BC4">
        <w:t xml:space="preserve">This </w:t>
      </w:r>
      <w:r w:rsidR="008B6E3E" w:rsidRPr="00436BC4">
        <w:t xml:space="preserve">change </w:t>
      </w:r>
      <w:r w:rsidR="00A86523" w:rsidRPr="00436BC4">
        <w:t xml:space="preserve">from high to low </w:t>
      </w:r>
      <w:r w:rsidR="008B6E3E" w:rsidRPr="00436BC4">
        <w:t xml:space="preserve">status can be </w:t>
      </w:r>
      <w:r w:rsidR="00A86523" w:rsidRPr="00436BC4">
        <w:t>reflected in a</w:t>
      </w:r>
      <w:r w:rsidR="0044579A" w:rsidRPr="00436BC4">
        <w:t xml:space="preserve"> financial way </w:t>
      </w:r>
      <w:r w:rsidR="00F108EA" w:rsidRPr="00436BC4">
        <w:t xml:space="preserve">as Morfydd Owen highlights </w:t>
      </w:r>
      <w:r w:rsidR="0044579A" w:rsidRPr="00436BC4">
        <w:t xml:space="preserve">in the </w:t>
      </w:r>
      <w:r w:rsidR="008B6E3E" w:rsidRPr="00436BC4">
        <w:t xml:space="preserve">medieval Welsh Law </w:t>
      </w:r>
      <w:r w:rsidR="0044579A" w:rsidRPr="00436BC4">
        <w:t xml:space="preserve">of </w:t>
      </w:r>
      <w:r w:rsidR="008B6E3E" w:rsidRPr="00436BC4">
        <w:t>s</w:t>
      </w:r>
      <w:r w:rsidR="008B6E3E" w:rsidRPr="00436BC4">
        <w:rPr>
          <w:i/>
          <w:iCs/>
        </w:rPr>
        <w:t>arhaed</w:t>
      </w:r>
      <w:r w:rsidR="00FB5B2E">
        <w:rPr>
          <w:i/>
          <w:iCs/>
        </w:rPr>
        <w:t xml:space="preserve"> </w:t>
      </w:r>
      <w:r w:rsidR="00FB5B2E">
        <w:lastRenderedPageBreak/>
        <w:t>(insult price)</w:t>
      </w:r>
      <w:r w:rsidR="0007790D">
        <w:t>,</w:t>
      </w:r>
      <w:r w:rsidR="008B6E3E" w:rsidRPr="00436BC4">
        <w:rPr>
          <w:rStyle w:val="FootnoteReference"/>
        </w:rPr>
        <w:footnoteReference w:id="94"/>
      </w:r>
      <w:r w:rsidR="009E4D16" w:rsidRPr="00436BC4">
        <w:t xml:space="preserve"> </w:t>
      </w:r>
      <w:r w:rsidR="0044579A" w:rsidRPr="00436BC4">
        <w:t xml:space="preserve">where a woman’s </w:t>
      </w:r>
      <w:r w:rsidR="008B6E3E" w:rsidRPr="00436BC4">
        <w:t xml:space="preserve">value was ‘half that of her brother before her marriage when she is a </w:t>
      </w:r>
      <w:r w:rsidR="008B6E3E" w:rsidRPr="00436BC4">
        <w:rPr>
          <w:i/>
          <w:iCs/>
        </w:rPr>
        <w:t xml:space="preserve">morwyn </w:t>
      </w:r>
      <w:r w:rsidR="008B6E3E" w:rsidRPr="00436BC4">
        <w:t>and a third that of her husband when she is a</w:t>
      </w:r>
      <w:r w:rsidR="008B6E3E" w:rsidRPr="00436BC4">
        <w:rPr>
          <w:i/>
          <w:iCs/>
        </w:rPr>
        <w:t xml:space="preserve"> gwraig</w:t>
      </w:r>
      <w:r w:rsidR="0044579A" w:rsidRPr="00436BC4">
        <w:rPr>
          <w:i/>
          <w:iCs/>
        </w:rPr>
        <w:t>’</w:t>
      </w:r>
      <w:r w:rsidR="008B6E3E" w:rsidRPr="00436BC4">
        <w:t>.</w:t>
      </w:r>
      <w:r w:rsidR="008B6E3E" w:rsidRPr="00436BC4">
        <w:rPr>
          <w:rStyle w:val="FootnoteReference"/>
        </w:rPr>
        <w:footnoteReference w:id="95"/>
      </w:r>
      <w:r w:rsidR="008B6E3E" w:rsidRPr="00436BC4">
        <w:t xml:space="preserve"> </w:t>
      </w:r>
      <w:r w:rsidR="00C17CA5" w:rsidRPr="00436BC4">
        <w:t xml:space="preserve">However, women who were not chaste until marriage </w:t>
      </w:r>
      <w:r w:rsidR="00C17CA5" w:rsidRPr="00436BC4">
        <w:rPr>
          <w:i/>
          <w:iCs/>
        </w:rPr>
        <w:t>required</w:t>
      </w:r>
      <w:r w:rsidR="00C17CA5" w:rsidRPr="00436BC4">
        <w:t xml:space="preserve"> punishment under the law for their behaviour. Aranrhod’s apparent sexual experience has potential ramifications for her kin group, beyond the danger it poses to Math.</w:t>
      </w:r>
      <w:r w:rsidR="00C17CA5" w:rsidRPr="00436BC4">
        <w:rPr>
          <w:rStyle w:val="FootnoteReference"/>
        </w:rPr>
        <w:footnoteReference w:id="96"/>
      </w:r>
      <w:r w:rsidR="00C17CA5" w:rsidRPr="00436BC4">
        <w:t xml:space="preserve"> Cartwright notes that the payment of </w:t>
      </w:r>
      <w:r w:rsidR="00C17CA5" w:rsidRPr="00436BC4">
        <w:rPr>
          <w:i/>
          <w:iCs/>
        </w:rPr>
        <w:t>amobr</w:t>
      </w:r>
      <w:r w:rsidR="00C17CA5" w:rsidRPr="00436BC4">
        <w:t xml:space="preserve"> </w:t>
      </w:r>
      <w:r w:rsidR="00432E0B">
        <w:t xml:space="preserve">(a fine) </w:t>
      </w:r>
      <w:r w:rsidR="00C17CA5" w:rsidRPr="00436BC4">
        <w:t xml:space="preserve">to the ruler of a territory </w:t>
      </w:r>
      <w:r w:rsidR="00A054B7" w:rsidRPr="00436BC4">
        <w:t>occurs</w:t>
      </w:r>
      <w:r w:rsidR="00C17CA5" w:rsidRPr="00436BC4">
        <w:t xml:space="preserve"> when a woman commits a sexual act that is deemed inappropriate or is promiscuous. This payment would be demanded from the woman’s family until she was declared a prostitute.</w:t>
      </w:r>
      <w:r w:rsidR="00C17CA5" w:rsidRPr="00436BC4">
        <w:rPr>
          <w:rStyle w:val="FootnoteReference"/>
        </w:rPr>
        <w:footnoteReference w:id="97"/>
      </w:r>
      <w:r w:rsidR="00C17CA5" w:rsidRPr="00436BC4">
        <w:t xml:space="preserve"> In these circumstances, </w:t>
      </w:r>
      <w:bookmarkStart w:id="45" w:name="_Hlk140560604"/>
      <w:r w:rsidR="00C17CA5" w:rsidRPr="00436BC4">
        <w:t xml:space="preserve">the </w:t>
      </w:r>
      <w:r w:rsidR="00C17CA5" w:rsidRPr="00436BC4">
        <w:rPr>
          <w:i/>
          <w:iCs/>
        </w:rPr>
        <w:t>cyfnesefiaid</w:t>
      </w:r>
      <w:bookmarkEnd w:id="45"/>
      <w:r w:rsidR="00C17CA5" w:rsidRPr="00436BC4">
        <w:rPr>
          <w:i/>
          <w:iCs/>
        </w:rPr>
        <w:t xml:space="preserve"> </w:t>
      </w:r>
      <w:r w:rsidR="00C17CA5" w:rsidRPr="00436BC4">
        <w:t>of the woman (her closest kin) could vouch for her virginity if challenged. However, if they were unable or unwilling to do this then the girl was ostracized by her kin and rejected by her partner. The accused woman would be</w:t>
      </w:r>
      <w:r w:rsidR="00125401" w:rsidRPr="00436BC4">
        <w:t xml:space="preserve"> punished by being</w:t>
      </w:r>
      <w:r w:rsidR="00C17CA5" w:rsidRPr="00436BC4">
        <w:t xml:space="preserve"> given a year old steer if she could hold on to its tail which had been greased to deliberately make it slippery.</w:t>
      </w:r>
      <w:r w:rsidR="00C17CA5" w:rsidRPr="00436BC4">
        <w:rPr>
          <w:rStyle w:val="FootnoteReference"/>
        </w:rPr>
        <w:footnoteReference w:id="98"/>
      </w:r>
      <w:r w:rsidR="00C17CA5" w:rsidRPr="00436BC4">
        <w:t xml:space="preserve"> These punishments, if enacted as recorded, paint a picture of severe penalties for women who did not to remain chaste.</w:t>
      </w:r>
      <w:r w:rsidR="00C17CA5" w:rsidRPr="00436BC4">
        <w:rPr>
          <w:rStyle w:val="FootnoteReference"/>
        </w:rPr>
        <w:footnoteReference w:id="99"/>
      </w:r>
      <w:r w:rsidR="00C17CA5" w:rsidRPr="00436BC4">
        <w:t xml:space="preserve"> </w:t>
      </w:r>
      <w:r w:rsidR="00F70C57" w:rsidRPr="00436BC4">
        <w:t xml:space="preserve">Aside from the financial loss, </w:t>
      </w:r>
      <w:r w:rsidR="002F01EF" w:rsidRPr="00436BC4">
        <w:t>i</w:t>
      </w:r>
      <w:r w:rsidR="00D24408" w:rsidRPr="00436BC4">
        <w:t xml:space="preserve">f a woman was found to be </w:t>
      </w:r>
      <w:r w:rsidR="00F70C57" w:rsidRPr="00436BC4">
        <w:rPr>
          <w:i/>
          <w:iCs/>
        </w:rPr>
        <w:t>twyllforwyn</w:t>
      </w:r>
      <w:r w:rsidR="00432E0B">
        <w:t xml:space="preserve"> (false-virgin)</w:t>
      </w:r>
      <w:r w:rsidR="00C67D77" w:rsidRPr="00436BC4">
        <w:rPr>
          <w:rStyle w:val="FootnoteReference"/>
          <w:i/>
          <w:iCs/>
        </w:rPr>
        <w:footnoteReference w:id="100"/>
      </w:r>
      <w:r w:rsidR="00D24408" w:rsidRPr="00436BC4">
        <w:t xml:space="preserve"> </w:t>
      </w:r>
      <w:r w:rsidR="00F70C57" w:rsidRPr="00436BC4">
        <w:t>then the</w:t>
      </w:r>
      <w:r w:rsidR="00D24408" w:rsidRPr="00436BC4">
        <w:t xml:space="preserve"> status of her nearest kin was </w:t>
      </w:r>
      <w:r w:rsidR="00F70C57" w:rsidRPr="00436BC4">
        <w:t xml:space="preserve">also </w:t>
      </w:r>
      <w:r w:rsidR="00A054B7" w:rsidRPr="00436BC4">
        <w:t>negatively</w:t>
      </w:r>
      <w:r w:rsidR="00D24408" w:rsidRPr="00436BC4">
        <w:t xml:space="preserve"> </w:t>
      </w:r>
      <w:r w:rsidR="00F70C57" w:rsidRPr="00436BC4">
        <w:t>impacted</w:t>
      </w:r>
      <w:r w:rsidR="00D24408" w:rsidRPr="00436BC4">
        <w:t>.</w:t>
      </w:r>
      <w:r w:rsidR="00D24408" w:rsidRPr="00436BC4">
        <w:rPr>
          <w:rStyle w:val="FootnoteReference"/>
        </w:rPr>
        <w:footnoteReference w:id="101"/>
      </w:r>
      <w:r w:rsidR="000F1D7B" w:rsidRPr="00436BC4">
        <w:t xml:space="preserve"> </w:t>
      </w:r>
      <w:r w:rsidR="00BC4809" w:rsidRPr="00436BC4">
        <w:t>Medieval Welsh law therefore made</w:t>
      </w:r>
      <w:r w:rsidR="00B428FB" w:rsidRPr="00436BC4">
        <w:t xml:space="preserve"> a woman’s exclusive fertility and sexual</w:t>
      </w:r>
      <w:r w:rsidR="00BC4809" w:rsidRPr="00436BC4">
        <w:t xml:space="preserve"> status</w:t>
      </w:r>
      <w:r w:rsidR="00B428FB" w:rsidRPr="00436BC4">
        <w:t xml:space="preserve"> </w:t>
      </w:r>
      <w:r w:rsidR="00BC4809" w:rsidRPr="00436BC4">
        <w:t xml:space="preserve">public and </w:t>
      </w:r>
      <w:r w:rsidR="00B428FB" w:rsidRPr="00436BC4">
        <w:t>the</w:t>
      </w:r>
      <w:r w:rsidR="00BC4809" w:rsidRPr="00436BC4">
        <w:t xml:space="preserve"> </w:t>
      </w:r>
      <w:r w:rsidR="00B428FB" w:rsidRPr="00436BC4">
        <w:t>property of her entire kin group</w:t>
      </w:r>
      <w:r w:rsidR="007063D0" w:rsidRPr="00436BC4">
        <w:t xml:space="preserve">. If part of what it was to be a medieval man was linked to leadership and ownership expressed through titles, and as </w:t>
      </w:r>
      <w:r w:rsidR="007063D0" w:rsidRPr="00436BC4">
        <w:lastRenderedPageBreak/>
        <w:t>protective figure of their female kin, the role of women in a functioning society is to be the vessel through which</w:t>
      </w:r>
      <w:r w:rsidR="00E06464" w:rsidRPr="00436BC4">
        <w:t xml:space="preserve"> heterosexual reproductive futurism</w:t>
      </w:r>
      <w:r w:rsidR="00BC4809" w:rsidRPr="00436BC4">
        <w:t xml:space="preserve"> and honour</w:t>
      </w:r>
      <w:r w:rsidR="00E06464" w:rsidRPr="00436BC4">
        <w:t xml:space="preserve"> must be enacted. </w:t>
      </w:r>
      <w:r w:rsidR="00D62DCE" w:rsidRPr="00436BC4">
        <w:t>Beyond the law, medieval women in literature tended to follow the tradition of religious texts where they were divided between virgins (linked with Mary and upheld as symbols of virtue and purity, the perfect embodiment of womanhood),</w:t>
      </w:r>
      <w:r w:rsidR="00D62DCE" w:rsidRPr="00436BC4">
        <w:rPr>
          <w:rStyle w:val="FootnoteReference"/>
        </w:rPr>
        <w:footnoteReference w:id="102"/>
      </w:r>
      <w:r w:rsidR="00D62DCE" w:rsidRPr="00436BC4">
        <w:t xml:space="preserve"> or they were unchaste (linked with Eve, associated with deception, unfaithfulness, shame and sin).</w:t>
      </w:r>
      <w:r w:rsidR="00D62DCE" w:rsidRPr="00436BC4">
        <w:rPr>
          <w:rStyle w:val="FootnoteReference"/>
        </w:rPr>
        <w:footnoteReference w:id="103"/>
      </w:r>
      <w:r w:rsidR="00D62DCE" w:rsidRPr="00436BC4">
        <w:t xml:space="preserve"> </w:t>
      </w:r>
      <w:r w:rsidR="00E06464" w:rsidRPr="00436BC4">
        <w:t>For the concept of medieval womanhood, Edleman’s figure of ‘The Child’ looms large.</w:t>
      </w:r>
      <w:r w:rsidR="00E06464" w:rsidRPr="00436BC4">
        <w:rPr>
          <w:rStyle w:val="FootnoteReference"/>
        </w:rPr>
        <w:footnoteReference w:id="104"/>
      </w:r>
      <w:r w:rsidR="00C17CA5" w:rsidRPr="00436BC4">
        <w:t xml:space="preserve"> </w:t>
      </w:r>
    </w:p>
    <w:p w14:paraId="755AB33D" w14:textId="77777777" w:rsidR="003D2994" w:rsidRPr="00436BC4" w:rsidRDefault="003D2994" w:rsidP="00D06A80">
      <w:pPr>
        <w:spacing w:line="480" w:lineRule="auto"/>
      </w:pPr>
    </w:p>
    <w:p w14:paraId="08FBD595" w14:textId="0633561C" w:rsidR="00147517" w:rsidRDefault="00147517" w:rsidP="00D06A80">
      <w:pPr>
        <w:spacing w:line="480" w:lineRule="auto"/>
      </w:pPr>
      <w:r w:rsidRPr="00436BC4">
        <w:t>In light of the evidence</w:t>
      </w:r>
      <w:r w:rsidR="001E3F1C">
        <w:t>,</w:t>
      </w:r>
      <w:r w:rsidRPr="00436BC4">
        <w:t xml:space="preserve"> therefore, the fact that Aranrhod very publicly fails the test of her virginity but is </w:t>
      </w:r>
      <w:r w:rsidRPr="00436BC4">
        <w:rPr>
          <w:i/>
          <w:iCs/>
        </w:rPr>
        <w:t>not</w:t>
      </w:r>
      <w:r w:rsidRPr="00436BC4">
        <w:t xml:space="preserve"> punished by Math in any way is striking. Perhaps, as Windward suggests, she is not fully answerable to Math. Despite her </w:t>
      </w:r>
      <w:r w:rsidR="002E7B0B" w:rsidRPr="00436BC4">
        <w:rPr>
          <w:i/>
          <w:iCs/>
        </w:rPr>
        <w:t>c</w:t>
      </w:r>
      <w:r w:rsidRPr="00436BC4">
        <w:rPr>
          <w:i/>
          <w:iCs/>
        </w:rPr>
        <w:t>aer</w:t>
      </w:r>
      <w:r w:rsidR="00175EAD">
        <w:rPr>
          <w:i/>
          <w:iCs/>
        </w:rPr>
        <w:t xml:space="preserve"> </w:t>
      </w:r>
      <w:r w:rsidR="00175EAD">
        <w:t>(fort/court)</w:t>
      </w:r>
      <w:r w:rsidRPr="00436BC4">
        <w:t xml:space="preserve"> being just off the coast of Gwynedd, it is still within his domain, and so Math would still be owed a payment of </w:t>
      </w:r>
      <w:r w:rsidRPr="00436BC4">
        <w:rPr>
          <w:i/>
          <w:iCs/>
        </w:rPr>
        <w:t>amo</w:t>
      </w:r>
      <w:r w:rsidR="00500C9D">
        <w:rPr>
          <w:i/>
          <w:iCs/>
        </w:rPr>
        <w:t>b</w:t>
      </w:r>
      <w:r w:rsidRPr="00436BC4">
        <w:rPr>
          <w:i/>
          <w:iCs/>
        </w:rPr>
        <w:t>r</w:t>
      </w:r>
      <w:r w:rsidRPr="00436BC4">
        <w:t xml:space="preserve"> for her presumed sexual transgression, even when she rejects her maternal obligations to Dylan and Lleu.</w:t>
      </w:r>
      <w:r w:rsidRPr="00436BC4">
        <w:rPr>
          <w:rStyle w:val="FootnoteReference"/>
        </w:rPr>
        <w:footnoteReference w:id="105"/>
      </w:r>
      <w:r w:rsidRPr="00436BC4">
        <w:t xml:space="preserve"> Winward observes that within her fortress Aranrhod takes on the role of lord, welcoming visitors and in command of unseen retainers and serving people etc.</w:t>
      </w:r>
      <w:r w:rsidRPr="00436BC4">
        <w:rPr>
          <w:rStyle w:val="FootnoteReference"/>
        </w:rPr>
        <w:footnoteReference w:id="106"/>
      </w:r>
      <w:r w:rsidRPr="00436BC4">
        <w:t xml:space="preserve"> Valente highlights how, unusually, ‘she is not named in relation to a man, who might be her protector, suggesting her independence from conventional rules of behaviour’.</w:t>
      </w:r>
      <w:r w:rsidRPr="00436BC4">
        <w:rPr>
          <w:rStyle w:val="FootnoteReference"/>
        </w:rPr>
        <w:footnoteReference w:id="107"/>
      </w:r>
      <w:r w:rsidRPr="00436BC4">
        <w:t xml:space="preserve"> Regardless of the reason why, the lack of </w:t>
      </w:r>
      <w:r w:rsidR="001E75F8" w:rsidRPr="00436BC4">
        <w:t>punishment</w:t>
      </w:r>
      <w:r w:rsidRPr="00436BC4">
        <w:t xml:space="preserve"> for Aranrhod leaves a queer moral gap in the narrative from which the characters in the tale are not quite able to move </w:t>
      </w:r>
      <w:r w:rsidR="00C06452" w:rsidRPr="00436BC4">
        <w:t>on</w:t>
      </w:r>
      <w:r w:rsidRPr="00436BC4">
        <w:t xml:space="preserve">. Considering the evidence in the legal record outlined above, and by </w:t>
      </w:r>
      <w:r w:rsidR="001E75F8" w:rsidRPr="00436BC4">
        <w:t>comparing</w:t>
      </w:r>
      <w:r w:rsidRPr="00436BC4">
        <w:t xml:space="preserve"> the punishments of Gwydion, Gilfaethwy, and Blodeuedd, it might have been expected that some kind of symbolic transformation of Aranrhod into an animal associated with sin and </w:t>
      </w:r>
      <w:r w:rsidRPr="00436BC4">
        <w:lastRenderedPageBreak/>
        <w:t>sensuality would have been a feature of this part of the tale.</w:t>
      </w:r>
      <w:r w:rsidRPr="00436BC4">
        <w:rPr>
          <w:rStyle w:val="FootnoteReference"/>
        </w:rPr>
        <w:footnoteReference w:id="108"/>
      </w:r>
      <w:r w:rsidR="002E7B0B" w:rsidRPr="00436BC4">
        <w:t xml:space="preserve"> </w:t>
      </w:r>
      <w:r w:rsidRPr="00436BC4">
        <w:t>Aranrhod</w:t>
      </w:r>
      <w:r w:rsidR="002E7B0B" w:rsidRPr="00436BC4">
        <w:t>, by</w:t>
      </w:r>
      <w:r w:rsidRPr="00436BC4">
        <w:t xml:space="preserve"> retreating back to her </w:t>
      </w:r>
      <w:r w:rsidRPr="00436BC4">
        <w:rPr>
          <w:i/>
          <w:iCs/>
        </w:rPr>
        <w:t>caer</w:t>
      </w:r>
      <w:r w:rsidRPr="00436BC4">
        <w:t xml:space="preserve"> troubles what we expect from a medieval text, not because it shows that a woman </w:t>
      </w:r>
      <w:r w:rsidRPr="00436BC4">
        <w:rPr>
          <w:i/>
          <w:iCs/>
        </w:rPr>
        <w:t xml:space="preserve">can </w:t>
      </w:r>
      <w:r w:rsidRPr="00436BC4">
        <w:t xml:space="preserve">have sex before marriage if she chooses, but because regardless of the outcome, she does </w:t>
      </w:r>
      <w:r w:rsidRPr="00436BC4">
        <w:rPr>
          <w:i/>
          <w:iCs/>
        </w:rPr>
        <w:t>not</w:t>
      </w:r>
      <w:r w:rsidRPr="00436BC4">
        <w:t xml:space="preserve"> have to accept the loss of status and power as a</w:t>
      </w:r>
      <w:r w:rsidR="002E7B0B" w:rsidRPr="00436BC4">
        <w:t xml:space="preserve"> loss of status and power as a ‘non-virgin’. </w:t>
      </w:r>
    </w:p>
    <w:p w14:paraId="5F5A88E1" w14:textId="77777777" w:rsidR="003D2994" w:rsidRPr="00436BC4" w:rsidRDefault="003D2994" w:rsidP="00D06A80">
      <w:pPr>
        <w:spacing w:line="480" w:lineRule="auto"/>
      </w:pPr>
    </w:p>
    <w:p w14:paraId="32345F7F" w14:textId="05893F1E" w:rsidR="00D62DCE" w:rsidRDefault="001E75F8" w:rsidP="00D62DCE">
      <w:pPr>
        <w:spacing w:line="480" w:lineRule="auto"/>
      </w:pPr>
      <w:r w:rsidRPr="00436BC4">
        <w:t>O</w:t>
      </w:r>
      <w:r w:rsidR="00D62DCE" w:rsidRPr="00436BC4">
        <w:t xml:space="preserve">ther women in the </w:t>
      </w:r>
      <w:r w:rsidR="00D62DCE" w:rsidRPr="00436BC4">
        <w:rPr>
          <w:i/>
          <w:iCs/>
        </w:rPr>
        <w:t>Four Branches</w:t>
      </w:r>
      <w:r w:rsidR="00D62805" w:rsidRPr="00436BC4">
        <w:t xml:space="preserve">, such as Rhiannon, Branwen, and Goewin, </w:t>
      </w:r>
      <w:r w:rsidR="00D62DCE" w:rsidRPr="00436BC4">
        <w:t>work within the patriarchal system to achieve their aims</w:t>
      </w:r>
      <w:r w:rsidR="00D62805" w:rsidRPr="00436BC4">
        <w:t>, invoking their roles as mothers and the need for protection by their male kin (and in the case of Rhiannon, accepting punishment for the crime of infanticide that she did not commit)</w:t>
      </w:r>
      <w:r w:rsidRPr="00436BC4">
        <w:t>. However,</w:t>
      </w:r>
      <w:r w:rsidR="00D62DCE" w:rsidRPr="00436BC4">
        <w:t xml:space="preserve"> Aranrhod </w:t>
      </w:r>
      <w:r w:rsidR="0076687B">
        <w:t>rejects these options and creates another</w:t>
      </w:r>
      <w:r w:rsidR="00D62805" w:rsidRPr="00436BC4">
        <w:t xml:space="preserve"> by flatly refusing to play by the rules at all</w:t>
      </w:r>
      <w:r w:rsidR="00D62DCE" w:rsidRPr="00436BC4">
        <w:t>. This point recalls Bersani’s proposal that a queer citizen should not be a good citizen at all, suggesting that the queer social body is by nature destructive of the status quo</w:t>
      </w:r>
      <w:r w:rsidR="002F01EF" w:rsidRPr="00436BC4">
        <w:t>,</w:t>
      </w:r>
      <w:r w:rsidR="00D62DCE" w:rsidRPr="00436BC4">
        <w:t xml:space="preserve"> and cannot accept the subjugated role in which they find themselves.</w:t>
      </w:r>
      <w:bookmarkStart w:id="47" w:name="_Hlk139870224"/>
      <w:r w:rsidR="00D62DCE" w:rsidRPr="00436BC4">
        <w:t xml:space="preserve"> We may therefore find in Bersani’s ‘antisocial thesis’ a narrative of ‘queer unbelonging’ that provides a framework for understanding Aranrhod’s motives within the </w:t>
      </w:r>
      <w:r w:rsidR="00D62DCE" w:rsidRPr="0076687B">
        <w:rPr>
          <w:i/>
          <w:iCs/>
        </w:rPr>
        <w:t>Fourth Branch</w:t>
      </w:r>
      <w:r w:rsidR="00D62DCE" w:rsidRPr="00436BC4">
        <w:t xml:space="preserve">, particularly her refusal to concede that she is a </w:t>
      </w:r>
      <w:r w:rsidR="00D62DCE" w:rsidRPr="00436BC4">
        <w:rPr>
          <w:i/>
          <w:iCs/>
        </w:rPr>
        <w:t>twyllforwyn</w:t>
      </w:r>
      <w:r w:rsidR="00D62DCE" w:rsidRPr="00436BC4">
        <w:t>, and to both claim Lleu</w:t>
      </w:r>
      <w:r w:rsidR="0099216C">
        <w:t xml:space="preserve"> </w:t>
      </w:r>
      <w:r w:rsidR="00D62DCE" w:rsidRPr="00436BC4">
        <w:t xml:space="preserve">and </w:t>
      </w:r>
      <w:r w:rsidR="00FE34DF" w:rsidRPr="00436BC4">
        <w:t>receive</w:t>
      </w:r>
      <w:r w:rsidR="00D62DCE" w:rsidRPr="00436BC4">
        <w:t xml:space="preserve"> her legal punishment. If we entertain the idea that the compromised sexual status of Goewin, Aranrhod, and Blodeuedd exacerbates the crisis of the stability of Gwynedd in the same way that Bersani describes how the AIDS crisis disrupted white America's heteronormative ideals, then it is possible to read Aranrhod's actions as a move against respectability and responsibility for her actions in a world where she already represents a depowered demographic. If she is to be socially and politically shamed by </w:t>
      </w:r>
      <w:r w:rsidR="00675189" w:rsidRPr="00436BC4">
        <w:t>society</w:t>
      </w:r>
      <w:r w:rsidR="00D62DCE" w:rsidRPr="00436BC4">
        <w:t>, then her refusal to participate in said society by denying all accusations</w:t>
      </w:r>
      <w:r w:rsidR="00675189" w:rsidRPr="00436BC4">
        <w:t xml:space="preserve">, </w:t>
      </w:r>
      <w:r w:rsidR="00D62DCE" w:rsidRPr="00436BC4">
        <w:t xml:space="preserve">despite all evidence, and even physically removing herself from Math's court, reads as a rage against the system and a refusal to play by the rules in a way we would expect in Bersani's anti-social thesis. </w:t>
      </w:r>
    </w:p>
    <w:p w14:paraId="1501670C" w14:textId="77777777" w:rsidR="003D2994" w:rsidRPr="00436BC4" w:rsidRDefault="003D2994" w:rsidP="00D62DCE">
      <w:pPr>
        <w:spacing w:line="480" w:lineRule="auto"/>
      </w:pPr>
    </w:p>
    <w:bookmarkEnd w:id="47"/>
    <w:p w14:paraId="048B14E9" w14:textId="7127FA49" w:rsidR="00957752" w:rsidRPr="00436BC4" w:rsidRDefault="00D62DCE" w:rsidP="00D06A80">
      <w:pPr>
        <w:spacing w:line="480" w:lineRule="auto"/>
      </w:pPr>
      <w:r w:rsidRPr="00436BC4">
        <w:t xml:space="preserve">Furthermore, by rejecting motherhood, and cursing Lleu in an attempt to deny him his social existence, Aranrhod shatters social expectations of normative gendered behaviour for women in the </w:t>
      </w:r>
      <w:r w:rsidRPr="00436BC4">
        <w:rPr>
          <w:i/>
          <w:iCs/>
        </w:rPr>
        <w:t>Fourth Branch</w:t>
      </w:r>
      <w:r w:rsidRPr="00436BC4">
        <w:t xml:space="preserve"> in a way that both figuratively and literally threaten</w:t>
      </w:r>
      <w:r w:rsidR="006B31B4" w:rsidRPr="00436BC4">
        <w:t>s</w:t>
      </w:r>
      <w:r w:rsidRPr="00436BC4">
        <w:t xml:space="preserve"> the line of succession. Aranrhod participates in a disruption of the usual process of events and by doing so negates enactment of the </w:t>
      </w:r>
      <w:r w:rsidR="002D081F" w:rsidRPr="00436BC4">
        <w:t>‘</w:t>
      </w:r>
      <w:r w:rsidRPr="00436BC4">
        <w:t>future anterior</w:t>
      </w:r>
      <w:r w:rsidR="002D081F" w:rsidRPr="00436BC4">
        <w:t>’</w:t>
      </w:r>
      <w:r w:rsidRPr="00436BC4">
        <w:t xml:space="preserve"> in the text. By placing her own safety, status and </w:t>
      </w:r>
      <w:r w:rsidR="00397387" w:rsidRPr="00436BC4">
        <w:t xml:space="preserve">position of </w:t>
      </w:r>
      <w:r w:rsidRPr="00436BC4">
        <w:t xml:space="preserve">power before that of </w:t>
      </w:r>
      <w:r w:rsidR="00A054B7" w:rsidRPr="00436BC4">
        <w:t xml:space="preserve">her </w:t>
      </w:r>
      <w:r w:rsidRPr="00436BC4">
        <w:t>child</w:t>
      </w:r>
      <w:r w:rsidR="00A054B7" w:rsidRPr="00436BC4">
        <w:t xml:space="preserve"> Lleu</w:t>
      </w:r>
      <w:r w:rsidRPr="00436BC4">
        <w:t xml:space="preserve"> </w:t>
      </w:r>
      <w:r w:rsidR="00397387" w:rsidRPr="00436BC4">
        <w:t>(</w:t>
      </w:r>
      <w:r w:rsidRPr="00436BC4">
        <w:t>the heir to the dynasty</w:t>
      </w:r>
      <w:r w:rsidR="00397387" w:rsidRPr="00436BC4">
        <w:t xml:space="preserve">), </w:t>
      </w:r>
      <w:r w:rsidRPr="00436BC4">
        <w:t xml:space="preserve">and </w:t>
      </w:r>
      <w:r w:rsidR="00397387" w:rsidRPr="00436BC4">
        <w:t xml:space="preserve">by </w:t>
      </w:r>
      <w:r w:rsidRPr="00436BC4">
        <w:t>refusing to be unrepentant for her presumed promiscuity</w:t>
      </w:r>
      <w:r w:rsidR="00A054B7" w:rsidRPr="00436BC4">
        <w:t>,</w:t>
      </w:r>
      <w:r w:rsidRPr="00436BC4">
        <w:t xml:space="preserve"> Aranrhod </w:t>
      </w:r>
      <w:r w:rsidR="00397387" w:rsidRPr="00436BC4">
        <w:t xml:space="preserve">queerly </w:t>
      </w:r>
      <w:r w:rsidRPr="00436BC4">
        <w:t xml:space="preserve">centres her present wellbeing </w:t>
      </w:r>
      <w:r w:rsidR="00397387" w:rsidRPr="00436BC4">
        <w:t xml:space="preserve">in the manner of the antisocial thesis. Furthermore, by not conceding </w:t>
      </w:r>
      <w:r w:rsidRPr="00436BC4">
        <w:t>to the pressure to sacrifice her position of power</w:t>
      </w:r>
      <w:r w:rsidR="00397387" w:rsidRPr="00436BC4">
        <w:t xml:space="preserve">, she rejects </w:t>
      </w:r>
      <w:r w:rsidRPr="00436BC4">
        <w:t xml:space="preserve">her gendered societal role and social status, </w:t>
      </w:r>
      <w:r w:rsidR="00397387" w:rsidRPr="00436BC4">
        <w:t xml:space="preserve">a social identity that is wholly constructed </w:t>
      </w:r>
      <w:r w:rsidR="00CD6527" w:rsidRPr="00436BC4">
        <w:t>around</w:t>
      </w:r>
      <w:r w:rsidRPr="00436BC4">
        <w:t xml:space="preserve"> </w:t>
      </w:r>
      <w:r w:rsidR="00397387" w:rsidRPr="00436BC4">
        <w:t>the util</w:t>
      </w:r>
      <w:r w:rsidR="00CD6527" w:rsidRPr="00436BC4">
        <w:t>ity of</w:t>
      </w:r>
      <w:r w:rsidRPr="00436BC4">
        <w:t xml:space="preserve"> </w:t>
      </w:r>
      <w:r w:rsidR="00CD6527" w:rsidRPr="00436BC4">
        <w:t xml:space="preserve">her </w:t>
      </w:r>
      <w:r w:rsidRPr="00436BC4">
        <w:t>reproductive capacity to</w:t>
      </w:r>
      <w:r w:rsidR="00397387" w:rsidRPr="00436BC4">
        <w:t xml:space="preserve"> be enacted under conditions</w:t>
      </w:r>
      <w:r w:rsidR="00CD6527" w:rsidRPr="00436BC4">
        <w:t xml:space="preserve"> that produce socially legitimate children</w:t>
      </w:r>
      <w:r w:rsidRPr="00436BC4">
        <w:t xml:space="preserve">. Aranrhod </w:t>
      </w:r>
      <w:r w:rsidR="0062348F" w:rsidRPr="00436BC4">
        <w:t xml:space="preserve">refuses to by terrorised by Edelman’s figure of ‘The Child’ and </w:t>
      </w:r>
      <w:r w:rsidRPr="00436BC4">
        <w:t xml:space="preserve">rejects the </w:t>
      </w:r>
      <w:r w:rsidR="009A638B" w:rsidRPr="00436BC4">
        <w:t>promises</w:t>
      </w:r>
      <w:r w:rsidRPr="00436BC4">
        <w:t xml:space="preserve"> of ‘</w:t>
      </w:r>
      <w:r w:rsidR="00A054B7" w:rsidRPr="00436BC4">
        <w:t>r</w:t>
      </w:r>
      <w:r w:rsidRPr="00436BC4">
        <w:t xml:space="preserve">eproductive </w:t>
      </w:r>
      <w:r w:rsidR="00A054B7" w:rsidRPr="00436BC4">
        <w:t>f</w:t>
      </w:r>
      <w:r w:rsidRPr="00436BC4">
        <w:t>uturism’</w:t>
      </w:r>
      <w:r w:rsidR="009A638B" w:rsidRPr="00436BC4">
        <w:t xml:space="preserve"> and Winnubst’s ‘future anterior’</w:t>
      </w:r>
      <w:r w:rsidRPr="00436BC4">
        <w:t xml:space="preserve"> that </w:t>
      </w:r>
      <w:r w:rsidR="0062348F" w:rsidRPr="00436BC4">
        <w:t>the sacrifice of her autonomy, and safety is required to uphold heteronormative future ideal.</w:t>
      </w:r>
      <w:r w:rsidR="009A638B" w:rsidRPr="00436BC4">
        <w:t xml:space="preserve"> </w:t>
      </w:r>
      <w:r w:rsidR="0062348F" w:rsidRPr="00436BC4">
        <w:t>Of course, s</w:t>
      </w:r>
      <w:r w:rsidRPr="00436BC4">
        <w:t xml:space="preserve">ince she has violated the heteronormative vision of womanhood through her sexual ‘deviancy’, she is no longer welcome to partake </w:t>
      </w:r>
      <w:r w:rsidR="0062348F" w:rsidRPr="00436BC4">
        <w:t>the ‘benefits’ of such a world anyway</w:t>
      </w:r>
      <w:r w:rsidRPr="00436BC4">
        <w:t xml:space="preserve">. Edelman’s assertion that queers </w:t>
      </w:r>
      <w:r w:rsidRPr="00436BC4">
        <w:rPr>
          <w:i/>
          <w:iCs/>
        </w:rPr>
        <w:t>cannot</w:t>
      </w:r>
      <w:r w:rsidRPr="00436BC4">
        <w:t xml:space="preserve"> assimilate into a regime that holds heterosexual monogamous reproduction as t</w:t>
      </w:r>
      <w:r w:rsidR="0062348F" w:rsidRPr="00436BC4">
        <w:t>he only valid life</w:t>
      </w:r>
      <w:r w:rsidRPr="00436BC4">
        <w:t xml:space="preserve"> reflects Aranrhod’s predicament, </w:t>
      </w:r>
      <w:r w:rsidR="00951827" w:rsidRPr="00436BC4">
        <w:t xml:space="preserve">and adds weight to </w:t>
      </w:r>
      <w:r w:rsidRPr="00436BC4">
        <w:t xml:space="preserve">his </w:t>
      </w:r>
      <w:r w:rsidR="00951827" w:rsidRPr="00436BC4">
        <w:t>call to</w:t>
      </w:r>
      <w:r w:rsidRPr="00436BC4">
        <w:t xml:space="preserve"> reject this regime altogether. As Edelman says in </w:t>
      </w:r>
      <w:r w:rsidRPr="00436BC4">
        <w:rPr>
          <w:i/>
          <w:iCs/>
        </w:rPr>
        <w:t>Death Drive</w:t>
      </w:r>
      <w:r w:rsidR="00957752" w:rsidRPr="00436BC4">
        <w:rPr>
          <w:i/>
          <w:iCs/>
        </w:rPr>
        <w:t>:</w:t>
      </w:r>
    </w:p>
    <w:p w14:paraId="37A8F25B" w14:textId="3BCEDCCC" w:rsidR="00957752" w:rsidRPr="00436BC4" w:rsidRDefault="00D62DCE" w:rsidP="00957752">
      <w:pPr>
        <w:spacing w:line="480" w:lineRule="auto"/>
        <w:ind w:left="720"/>
      </w:pPr>
      <w:r w:rsidRPr="00436BC4">
        <w:t xml:space="preserve">Fuck the social order and the Child in whose name we’re collectively terrorised; fuck Annie; fuck the waif from </w:t>
      </w:r>
      <w:r w:rsidRPr="00436BC4">
        <w:rPr>
          <w:i/>
          <w:iCs/>
        </w:rPr>
        <w:t>Les Mis</w:t>
      </w:r>
      <w:r w:rsidRPr="00436BC4">
        <w:t>; fuck the poor, innocent kid on the net; fuck Laws both with capital ls and with small; fuck the whole network of symbolic relations and the future that serves as its prop.</w:t>
      </w:r>
      <w:r w:rsidRPr="00436BC4">
        <w:rPr>
          <w:rStyle w:val="FootnoteReference"/>
        </w:rPr>
        <w:footnoteReference w:id="109"/>
      </w:r>
      <w:r w:rsidRPr="00436BC4">
        <w:t xml:space="preserve"> </w:t>
      </w:r>
    </w:p>
    <w:p w14:paraId="2E3CC712" w14:textId="66E4A990" w:rsidR="00412552" w:rsidRDefault="00481ECC" w:rsidP="00D06A80">
      <w:pPr>
        <w:spacing w:line="480" w:lineRule="auto"/>
      </w:pPr>
      <w:r w:rsidRPr="00436BC4">
        <w:lastRenderedPageBreak/>
        <w:t>It is arguable</w:t>
      </w:r>
      <w:r w:rsidR="00D62DCE" w:rsidRPr="00436BC4">
        <w:t xml:space="preserve"> that this is exactly what Aranrhod does</w:t>
      </w:r>
      <w:r w:rsidR="00714D4F" w:rsidRPr="00436BC4">
        <w:t xml:space="preserve">, and by doing so </w:t>
      </w:r>
      <w:r w:rsidR="00D62DCE" w:rsidRPr="00436BC4">
        <w:t>queers her gender</w:t>
      </w:r>
      <w:r w:rsidR="009A638B" w:rsidRPr="00436BC4">
        <w:t>, and thereby her social body</w:t>
      </w:r>
      <w:r w:rsidR="00957752" w:rsidRPr="00436BC4">
        <w:t>,</w:t>
      </w:r>
      <w:r w:rsidR="009A638B" w:rsidRPr="00436BC4">
        <w:t xml:space="preserve"> </w:t>
      </w:r>
      <w:r w:rsidR="00D62DCE" w:rsidRPr="00436BC4">
        <w:t xml:space="preserve">by negating the common </w:t>
      </w:r>
      <w:r w:rsidR="004C05C9" w:rsidRPr="00436BC4">
        <w:t xml:space="preserve">misogynistic </w:t>
      </w:r>
      <w:r w:rsidR="00D62DCE" w:rsidRPr="00436BC4">
        <w:t xml:space="preserve">Mary/Eve </w:t>
      </w:r>
      <w:r w:rsidR="00714D4F" w:rsidRPr="00436BC4">
        <w:t>dichotomy</w:t>
      </w:r>
      <w:r w:rsidR="00D62DCE" w:rsidRPr="00436BC4">
        <w:t xml:space="preserve"> in medieval material</w:t>
      </w:r>
      <w:r w:rsidR="00714D4F" w:rsidRPr="00436BC4">
        <w:t>,</w:t>
      </w:r>
      <w:r w:rsidR="00D62DCE" w:rsidRPr="00436BC4">
        <w:t xml:space="preserve"> </w:t>
      </w:r>
      <w:r w:rsidR="00714D4F" w:rsidRPr="00436BC4">
        <w:t>choosing</w:t>
      </w:r>
      <w:r w:rsidR="00D62DCE" w:rsidRPr="00436BC4">
        <w:t xml:space="preserve"> </w:t>
      </w:r>
      <w:r w:rsidR="004C05C9" w:rsidRPr="00436BC4">
        <w:t>present wellbeing,</w:t>
      </w:r>
      <w:r w:rsidR="00D62DCE" w:rsidRPr="00436BC4">
        <w:t xml:space="preserve"> and not suffering </w:t>
      </w:r>
      <w:r w:rsidR="00714D4F" w:rsidRPr="00436BC4">
        <w:t>penalty</w:t>
      </w:r>
      <w:r w:rsidR="00D62DCE" w:rsidRPr="00436BC4">
        <w:t xml:space="preserve">. </w:t>
      </w:r>
      <w:r w:rsidR="00475B1C" w:rsidRPr="00436BC4">
        <w:t>According to Butler’s notion of performative gender, b</w:t>
      </w:r>
      <w:r w:rsidR="00D62DCE" w:rsidRPr="00436BC4">
        <w:t xml:space="preserve">y choosing </w:t>
      </w:r>
      <w:r w:rsidR="004C05C9" w:rsidRPr="00436BC4">
        <w:t>self-government</w:t>
      </w:r>
      <w:r w:rsidR="00D62DCE" w:rsidRPr="00436BC4">
        <w:t xml:space="preserve"> and independence whilst acknowledging sexual experience (and even perhaps sexual agency/autonomy) Aranrhod un-genders herself</w:t>
      </w:r>
      <w:r w:rsidR="00475B1C" w:rsidRPr="00436BC4">
        <w:t xml:space="preserve"> in a medieval context</w:t>
      </w:r>
      <w:r w:rsidR="00D62DCE" w:rsidRPr="00436BC4">
        <w:t xml:space="preserve">, selecting </w:t>
      </w:r>
      <w:r w:rsidR="00475B1C" w:rsidRPr="00436BC4">
        <w:t xml:space="preserve">an </w:t>
      </w:r>
      <w:r w:rsidR="00D62DCE" w:rsidRPr="00436BC4">
        <w:t>option that</w:t>
      </w:r>
      <w:r w:rsidR="004C05C9" w:rsidRPr="00436BC4">
        <w:t xml:space="preserve"> is neither Mary, nor Eve,</w:t>
      </w:r>
      <w:r w:rsidR="00475B1C" w:rsidRPr="00436BC4">
        <w:t xml:space="preserve"> nor male,</w:t>
      </w:r>
      <w:r w:rsidR="004C05C9" w:rsidRPr="00436BC4">
        <w:t xml:space="preserve"> and</w:t>
      </w:r>
      <w:r w:rsidR="00D62DCE" w:rsidRPr="00436BC4">
        <w:t xml:space="preserve"> places her</w:t>
      </w:r>
      <w:r w:rsidR="004C05C9" w:rsidRPr="00436BC4">
        <w:t xml:space="preserve">self </w:t>
      </w:r>
      <w:r w:rsidR="00D62DCE" w:rsidRPr="00436BC4">
        <w:t xml:space="preserve">beyond </w:t>
      </w:r>
      <w:r w:rsidR="004C05C9" w:rsidRPr="00436BC4">
        <w:t xml:space="preserve">normal heteronormative </w:t>
      </w:r>
      <w:r w:rsidR="00D62DCE" w:rsidRPr="00436BC4">
        <w:t xml:space="preserve">patriarchal </w:t>
      </w:r>
      <w:r w:rsidR="00475B1C" w:rsidRPr="00436BC4">
        <w:t>system</w:t>
      </w:r>
      <w:r w:rsidR="00D62DCE" w:rsidRPr="00436BC4">
        <w:t xml:space="preserve">. </w:t>
      </w:r>
    </w:p>
    <w:p w14:paraId="2DAD67AD" w14:textId="77777777" w:rsidR="003D2994" w:rsidRPr="00436BC4" w:rsidRDefault="003D2994" w:rsidP="00D06A80">
      <w:pPr>
        <w:spacing w:line="480" w:lineRule="auto"/>
      </w:pPr>
    </w:p>
    <w:p w14:paraId="53BDBBB4" w14:textId="70764146" w:rsidR="000D7DB9" w:rsidRDefault="00EB40FE" w:rsidP="000D7DB9">
      <w:pPr>
        <w:spacing w:line="480" w:lineRule="auto"/>
      </w:pPr>
      <w:r>
        <w:t xml:space="preserve">At various points, </w:t>
      </w:r>
      <w:r w:rsidR="00E45C37" w:rsidRPr="00436BC4">
        <w:t xml:space="preserve">the </w:t>
      </w:r>
      <w:r w:rsidR="00E45C37" w:rsidRPr="00436BC4">
        <w:rPr>
          <w:i/>
          <w:iCs/>
        </w:rPr>
        <w:t xml:space="preserve">Fourth Branch </w:t>
      </w:r>
      <w:r w:rsidR="00E45C37" w:rsidRPr="00436BC4">
        <w:t xml:space="preserve">describes </w:t>
      </w:r>
      <w:r w:rsidR="00A1048E">
        <w:t xml:space="preserve">the mechanisms employed by the ruling regime to enact </w:t>
      </w:r>
      <w:r w:rsidR="00E45C37" w:rsidRPr="00436BC4">
        <w:t xml:space="preserve">appropriative punishment </w:t>
      </w:r>
      <w:r w:rsidR="00E45C37" w:rsidRPr="00407B35">
        <w:t>counter</w:t>
      </w:r>
      <w:r w:rsidRPr="00407B35">
        <w:t>ing</w:t>
      </w:r>
      <w:r w:rsidR="00E45C37" w:rsidRPr="00407B35">
        <w:t xml:space="preserve"> </w:t>
      </w:r>
      <w:r w:rsidR="00A1048E" w:rsidRPr="00407B35">
        <w:t>‘societally tolerable crises’ involving</w:t>
      </w:r>
      <w:r w:rsidR="00A1048E">
        <w:t xml:space="preserve"> </w:t>
      </w:r>
      <w:r w:rsidR="00E45C37" w:rsidRPr="00436BC4">
        <w:t xml:space="preserve">illicit sexual </w:t>
      </w:r>
      <w:r>
        <w:t>behaviour</w:t>
      </w:r>
      <w:r w:rsidR="00E45C37" w:rsidRPr="00436BC4">
        <w:t>.</w:t>
      </w:r>
      <w:r w:rsidR="00E45C37" w:rsidRPr="00436BC4">
        <w:rPr>
          <w:rStyle w:val="FootnoteReference"/>
        </w:rPr>
        <w:footnoteReference w:id="110"/>
      </w:r>
      <w:r w:rsidR="00E45C37" w:rsidRPr="00436BC4">
        <w:t xml:space="preserve"> However, this section demonstrates that whilst Gwydion and Gilfaethwy, Blodeuedd and Gronw receive personal punishment culminating in either reconciliation or retribution,</w:t>
      </w:r>
      <w:r w:rsidR="00E45C37" w:rsidRPr="00436BC4">
        <w:rPr>
          <w:rStyle w:val="FootnoteReference"/>
        </w:rPr>
        <w:footnoteReference w:id="111"/>
      </w:r>
      <w:r w:rsidR="00E45C37" w:rsidRPr="00436BC4">
        <w:t xml:space="preserve"> this is not the case for Aranrhod</w:t>
      </w:r>
      <w:r w:rsidR="008100DB" w:rsidRPr="00436BC4">
        <w:t>, neither</w:t>
      </w:r>
      <w:r w:rsidR="00E45C37" w:rsidRPr="00436BC4">
        <w:t xml:space="preserve"> on</w:t>
      </w:r>
      <w:r w:rsidR="008100DB" w:rsidRPr="00436BC4">
        <w:t xml:space="preserve"> an</w:t>
      </w:r>
      <w:r w:rsidR="00E45C37" w:rsidRPr="00436BC4">
        <w:t xml:space="preserve"> individual level when she is discovered to be </w:t>
      </w:r>
      <w:r w:rsidR="00E45C37" w:rsidRPr="00436BC4">
        <w:rPr>
          <w:i/>
          <w:iCs/>
        </w:rPr>
        <w:t>twyllforwyn</w:t>
      </w:r>
      <w:r w:rsidR="00E45C37" w:rsidRPr="00436BC4">
        <w:t>, nor on a wider societal</w:t>
      </w:r>
      <w:r w:rsidR="00597F77">
        <w:t>-</w:t>
      </w:r>
      <w:r w:rsidR="00E45C37" w:rsidRPr="00436BC4">
        <w:t xml:space="preserve">political level. Furthermore, there is no closure regarding who the father of Dylan and Lleu might be, or the circumstances through which they were conceived. It is here in the murky gap between what is truth and conjecture that queer theory offers a way forward, holding the ambiguity of the ‘crime’ and its repercussions at the same time, allowing for </w:t>
      </w:r>
      <w:r w:rsidR="00CE77B1" w:rsidRPr="00436BC4">
        <w:t>unexpected</w:t>
      </w:r>
      <w:r w:rsidR="00E45C37" w:rsidRPr="00436BC4">
        <w:t xml:space="preserve"> narratives to </w:t>
      </w:r>
      <w:r w:rsidR="00CE77B1" w:rsidRPr="00436BC4">
        <w:t>fill the gap</w:t>
      </w:r>
      <w:r w:rsidR="00E45C37" w:rsidRPr="00436BC4">
        <w:t xml:space="preserve">. Uncontrolled sexuality, in particular female uncontrolled sexuality, negates kin obligations and threatens heteronormative patriarchal society of the </w:t>
      </w:r>
      <w:r w:rsidR="00E45C37" w:rsidRPr="00436BC4">
        <w:rPr>
          <w:i/>
          <w:iCs/>
        </w:rPr>
        <w:t>Fourth Branch</w:t>
      </w:r>
      <w:r w:rsidR="00E45C37" w:rsidRPr="00436BC4">
        <w:t xml:space="preserve">. </w:t>
      </w:r>
      <w:r w:rsidR="00CE77B1" w:rsidRPr="00436BC4">
        <w:t xml:space="preserve">However, there is a proper societal process for dealing with this problem. </w:t>
      </w:r>
      <w:r w:rsidR="00CA16A4">
        <w:t>In spite of this</w:t>
      </w:r>
      <w:r w:rsidR="00CE77B1" w:rsidRPr="00436BC4">
        <w:t xml:space="preserve">, </w:t>
      </w:r>
      <w:r w:rsidR="00E45C37" w:rsidRPr="00436BC4">
        <w:t xml:space="preserve">Aranrhod </w:t>
      </w:r>
      <w:r w:rsidR="005A7BF6" w:rsidRPr="00436BC4">
        <w:t xml:space="preserve">successfully </w:t>
      </w:r>
      <w:r w:rsidR="00E45C37" w:rsidRPr="00436BC4">
        <w:t>getting away unscathed from the public revelation that her sexual status is compromised is unexpected and introduces queer ambiguity into the narrative.</w:t>
      </w:r>
      <w:r w:rsidR="00E45C37" w:rsidRPr="00436BC4">
        <w:rPr>
          <w:i/>
          <w:iCs/>
        </w:rPr>
        <w:t xml:space="preserve"> </w:t>
      </w:r>
      <w:r w:rsidR="00E45C37" w:rsidRPr="00436BC4">
        <w:t>Aranrhod’s narrative arc</w:t>
      </w:r>
      <w:r w:rsidR="005A7BF6" w:rsidRPr="00436BC4">
        <w:t xml:space="preserve"> </w:t>
      </w:r>
      <w:r w:rsidR="00E45C37" w:rsidRPr="00436BC4">
        <w:t xml:space="preserve">is a </w:t>
      </w:r>
      <w:r w:rsidR="00E45C37" w:rsidRPr="00436BC4">
        <w:lastRenderedPageBreak/>
        <w:t xml:space="preserve">disruption of expected medieval gender categories. Deviation from correct gendered behaviour without </w:t>
      </w:r>
      <w:r w:rsidR="005A7BF6" w:rsidRPr="00436BC4">
        <w:t xml:space="preserve">personal </w:t>
      </w:r>
      <w:r w:rsidR="00E45C37" w:rsidRPr="00436BC4">
        <w:t>consequence creates queer instability</w:t>
      </w:r>
      <w:r w:rsidR="005A7BF6" w:rsidRPr="00436BC4">
        <w:t>,</w:t>
      </w:r>
      <w:r w:rsidR="00E45C37" w:rsidRPr="00436BC4">
        <w:t xml:space="preserve"> and </w:t>
      </w:r>
      <w:r w:rsidR="005A7BF6" w:rsidRPr="00436BC4">
        <w:t xml:space="preserve">leads to the </w:t>
      </w:r>
      <w:r w:rsidR="00E45C37" w:rsidRPr="00436BC4">
        <w:t>destruction</w:t>
      </w:r>
      <w:r w:rsidR="005A7BF6" w:rsidRPr="00436BC4">
        <w:t xml:space="preserve"> of heteronormative society</w:t>
      </w:r>
      <w:r w:rsidR="00E45C37" w:rsidRPr="00436BC4">
        <w:t xml:space="preserve">, </w:t>
      </w:r>
      <w:r w:rsidR="005A7BF6" w:rsidRPr="00436BC4">
        <w:t>seen in the</w:t>
      </w:r>
      <w:r w:rsidR="00E45C37" w:rsidRPr="00436BC4">
        <w:t xml:space="preserve"> failure of the patriarchal line of descent </w:t>
      </w:r>
      <w:r w:rsidR="005A7BF6" w:rsidRPr="00436BC4">
        <w:t>through Lleu at</w:t>
      </w:r>
      <w:r w:rsidR="00E45C37" w:rsidRPr="00436BC4">
        <w:t xml:space="preserve"> the end of the tale. </w:t>
      </w:r>
      <w:r w:rsidR="008B6EE8" w:rsidRPr="00436BC4">
        <w:t>More than simple controllable ‘misapplied passion’, t</w:t>
      </w:r>
      <w:r w:rsidR="00E45C37" w:rsidRPr="00436BC4">
        <w:t>he existence of queerness</w:t>
      </w:r>
      <w:r w:rsidR="005A7BF6" w:rsidRPr="00436BC4">
        <w:t xml:space="preserve"> as anti to the utilitarian</w:t>
      </w:r>
      <w:r w:rsidR="008B6EE8" w:rsidRPr="00436BC4">
        <w:t>,</w:t>
      </w:r>
      <w:r w:rsidR="005A7BF6" w:rsidRPr="00436BC4">
        <w:t xml:space="preserve"> heteronormative mould of medieval woman</w:t>
      </w:r>
      <w:r w:rsidR="00E45C37" w:rsidRPr="00436BC4">
        <w:t xml:space="preserve"> is thus the true</w:t>
      </w:r>
      <w:r>
        <w:t xml:space="preserve"> </w:t>
      </w:r>
      <w:r w:rsidRPr="00407B35">
        <w:t>‘societally intolerable crisis’</w:t>
      </w:r>
      <w:r>
        <w:t xml:space="preserve"> </w:t>
      </w:r>
      <w:r w:rsidR="00E45C37" w:rsidRPr="00436BC4">
        <w:t xml:space="preserve">of the </w:t>
      </w:r>
      <w:r w:rsidR="00E45C37" w:rsidRPr="00436BC4">
        <w:rPr>
          <w:i/>
          <w:iCs/>
        </w:rPr>
        <w:t>Fourth Branch</w:t>
      </w:r>
      <w:r w:rsidR="008B6EE8" w:rsidRPr="00436BC4">
        <w:t>, one</w:t>
      </w:r>
      <w:r w:rsidR="005A7BF6" w:rsidRPr="00436BC4">
        <w:t xml:space="preserve"> wh</w:t>
      </w:r>
      <w:r w:rsidR="008B6EE8" w:rsidRPr="00436BC4">
        <w:t>ere</w:t>
      </w:r>
      <w:r w:rsidR="005A7BF6" w:rsidRPr="00436BC4">
        <w:t xml:space="preserve"> </w:t>
      </w:r>
      <w:r w:rsidR="00E45C37" w:rsidRPr="00436BC4">
        <w:t xml:space="preserve">the </w:t>
      </w:r>
      <w:r w:rsidR="008B6EE8" w:rsidRPr="00436BC4">
        <w:t xml:space="preserve">official </w:t>
      </w:r>
      <w:r w:rsidR="00E45C37" w:rsidRPr="00436BC4">
        <w:t xml:space="preserve">mechanisms of </w:t>
      </w:r>
      <w:r w:rsidR="008B6EE8" w:rsidRPr="00436BC4">
        <w:t xml:space="preserve">patriarchy </w:t>
      </w:r>
      <w:r w:rsidR="005A7BF6" w:rsidRPr="00436BC4">
        <w:t>fail</w:t>
      </w:r>
      <w:r w:rsidR="00E45C37" w:rsidRPr="00436BC4">
        <w:t xml:space="preserve"> to contain and </w:t>
      </w:r>
      <w:r w:rsidR="008B6EE8" w:rsidRPr="00436BC4">
        <w:t>destroy</w:t>
      </w:r>
      <w:r w:rsidR="00E45C37" w:rsidRPr="00436BC4">
        <w:t xml:space="preserve"> queer </w:t>
      </w:r>
      <w:r w:rsidR="005A7BF6" w:rsidRPr="00436BC4">
        <w:t>threat.</w:t>
      </w:r>
      <w:r w:rsidR="00E45C37" w:rsidRPr="00436BC4">
        <w:t xml:space="preserve"> </w:t>
      </w:r>
    </w:p>
    <w:p w14:paraId="34CA2D0D" w14:textId="77777777" w:rsidR="003D2994" w:rsidRPr="00436BC4" w:rsidRDefault="003D2994" w:rsidP="000D7DB9">
      <w:pPr>
        <w:spacing w:line="480" w:lineRule="auto"/>
      </w:pPr>
    </w:p>
    <w:p w14:paraId="543D42D9" w14:textId="2BC3AED9" w:rsidR="00382341" w:rsidRPr="00382341" w:rsidRDefault="001E7D78" w:rsidP="00335C5A">
      <w:pPr>
        <w:pStyle w:val="Heading3"/>
        <w:numPr>
          <w:ilvl w:val="0"/>
          <w:numId w:val="10"/>
        </w:numPr>
        <w:spacing w:line="480" w:lineRule="auto"/>
        <w:rPr>
          <w:i/>
          <w:iCs/>
        </w:rPr>
      </w:pPr>
      <w:bookmarkStart w:id="48" w:name="_Toc175312190"/>
      <w:r w:rsidRPr="00436BC4">
        <w:t xml:space="preserve">Lleu; Queer Childhoods and </w:t>
      </w:r>
      <w:r w:rsidR="000D591D" w:rsidRPr="00436BC4">
        <w:t xml:space="preserve">Growing </w:t>
      </w:r>
      <w:r w:rsidRPr="00436BC4">
        <w:t>S</w:t>
      </w:r>
      <w:r w:rsidR="000D591D" w:rsidRPr="00436BC4">
        <w:t>ideways</w:t>
      </w:r>
      <w:bookmarkEnd w:id="48"/>
    </w:p>
    <w:p w14:paraId="6AAF97C2" w14:textId="3441D786" w:rsidR="003D2994" w:rsidRPr="00436BC4" w:rsidRDefault="00335C5A" w:rsidP="00335C5A">
      <w:pPr>
        <w:spacing w:line="480" w:lineRule="auto"/>
      </w:pPr>
      <w:r w:rsidRPr="00436BC4">
        <w:t>Beginning with abandonment at birth and ending with him as lone ruler,</w:t>
      </w:r>
      <w:r w:rsidR="009914F2" w:rsidRPr="009914F2">
        <w:t xml:space="preserve"> </w:t>
      </w:r>
      <w:r w:rsidR="009914F2" w:rsidRPr="00436BC4">
        <w:t xml:space="preserve">Lleu’s life as it unfolds is the central tension in the second and third acts of the </w:t>
      </w:r>
      <w:r w:rsidR="009914F2" w:rsidRPr="00436BC4">
        <w:rPr>
          <w:i/>
          <w:iCs/>
        </w:rPr>
        <w:t>Fourth Branch</w:t>
      </w:r>
      <w:r w:rsidR="009914F2" w:rsidRPr="00436BC4">
        <w:t xml:space="preserve">. It is the principal cause of conflict between Gwydion and Aranrhod, and the lack of expected resolution at the end finishes this branch on an unsettling note. </w:t>
      </w:r>
      <w:r w:rsidR="009914F2">
        <w:t>T</w:t>
      </w:r>
      <w:r w:rsidR="009914F2" w:rsidRPr="00436BC4">
        <w:t xml:space="preserve">he unusual constraints which affect Lleu’s life and his ability to proceed through the </w:t>
      </w:r>
      <w:r w:rsidR="009914F2">
        <w:t>usual</w:t>
      </w:r>
      <w:r w:rsidR="009914F2" w:rsidRPr="00436BC4">
        <w:t xml:space="preserve"> stages of development at the right pace </w:t>
      </w:r>
      <w:r w:rsidR="009914F2">
        <w:t>are</w:t>
      </w:r>
      <w:r w:rsidR="009914F2" w:rsidRPr="00436BC4">
        <w:t xml:space="preserve"> apparent</w:t>
      </w:r>
      <w:r w:rsidR="009914F2">
        <w:t xml:space="preserve"> in the narrative</w:t>
      </w:r>
      <w:r w:rsidR="009914F2" w:rsidRPr="00436BC4">
        <w:t xml:space="preserve">. Certain social and legal markers of personhood, gender, and kinship are delayed, deferred or denied to him, leaving him in a state of suspension that requires external intervention from Gwydion and others to overcome. </w:t>
      </w:r>
      <w:r w:rsidRPr="00436BC4">
        <w:t>Theories of queer temporalities provide a new means of interacting with his story. Bond Stockton’s proposal that childhood is a key location where heteronormativity is enacted create</w:t>
      </w:r>
      <w:r w:rsidR="00C171E2" w:rsidRPr="00436BC4">
        <w:t>s</w:t>
      </w:r>
      <w:r w:rsidRPr="00436BC4">
        <w:t xml:space="preserve"> a framework to approach the relationship that Lleu’s stalled maturity has with his social identity, part of which is being the heir of the ruling dynasty in Gwynedd. Similarly, Edelman’s notion of reproductive futurism and Halberstam’s reproductive temporality generate </w:t>
      </w:r>
      <w:r w:rsidR="00B27632">
        <w:t>insight into</w:t>
      </w:r>
      <w:r w:rsidRPr="00436BC4">
        <w:t xml:space="preserve"> the lived queer experiences of Lleu in a similar way to Aranrhod, and how the narrative suggests we may consider his life to be ’successful’ and/or ‘moral’ in the world the </w:t>
      </w:r>
      <w:r w:rsidRPr="00436BC4">
        <w:rPr>
          <w:i/>
          <w:iCs/>
        </w:rPr>
        <w:t xml:space="preserve">Fourth Branch </w:t>
      </w:r>
      <w:r w:rsidRPr="00436BC4">
        <w:t xml:space="preserve">presents to us. </w:t>
      </w:r>
    </w:p>
    <w:p w14:paraId="788A0FCE" w14:textId="77777777" w:rsidR="003D2994" w:rsidRPr="00436BC4" w:rsidRDefault="003D2994" w:rsidP="00161827">
      <w:pPr>
        <w:spacing w:line="480" w:lineRule="auto"/>
      </w:pPr>
    </w:p>
    <w:p w14:paraId="1FDC68C2" w14:textId="11A5C961" w:rsidR="000D591D" w:rsidRPr="00436BC4" w:rsidRDefault="000D591D" w:rsidP="00161827">
      <w:pPr>
        <w:spacing w:line="480" w:lineRule="auto"/>
      </w:pPr>
      <w:r w:rsidRPr="00436BC4">
        <w:lastRenderedPageBreak/>
        <w:t xml:space="preserve">Beginning with his initial lack of name, Charles-Edwards </w:t>
      </w:r>
      <w:r w:rsidR="0020440B" w:rsidRPr="00436BC4">
        <w:t>explains</w:t>
      </w:r>
      <w:r w:rsidRPr="00436BC4">
        <w:t xml:space="preserve"> what not having a name means in </w:t>
      </w:r>
      <w:r w:rsidR="00967EED">
        <w:t>m</w:t>
      </w:r>
      <w:r w:rsidRPr="00436BC4">
        <w:t xml:space="preserve">edieval Wales, and what exactly is at stake should they remain nameless. </w:t>
      </w:r>
    </w:p>
    <w:p w14:paraId="65AB9EE2" w14:textId="77777777" w:rsidR="000D591D" w:rsidRPr="00436BC4" w:rsidRDefault="000D591D" w:rsidP="00161827">
      <w:pPr>
        <w:spacing w:line="480" w:lineRule="auto"/>
        <w:ind w:left="720"/>
      </w:pPr>
      <w:r w:rsidRPr="00436BC4">
        <w:t>The nine months as a foetus: the sex of the child is unknown and it remains the status of a foetus until baptized. Birth, then is not by itself a full transition, for it continues to have the statues of a foetus until it can be named. Naming entails the public recognition of the sex of the child. Since the name will normally include at least a patronymic, if not the full bilateral descent, naming typically implies public recognition of the child’s kinship.</w:t>
      </w:r>
      <w:r w:rsidRPr="00436BC4">
        <w:rPr>
          <w:rStyle w:val="FootnoteReference"/>
        </w:rPr>
        <w:footnoteReference w:id="112"/>
      </w:r>
    </w:p>
    <w:p w14:paraId="09BE2E48" w14:textId="51F2B938" w:rsidR="005F324B" w:rsidRDefault="000D591D" w:rsidP="005F324B">
      <w:pPr>
        <w:spacing w:line="480" w:lineRule="auto"/>
        <w:rPr>
          <w:rFonts w:cstheme="minorHAnsi"/>
        </w:rPr>
      </w:pPr>
      <w:r w:rsidRPr="00436BC4">
        <w:t>This lack of a name for ‘proto-Lleu’</w:t>
      </w:r>
      <w:r w:rsidR="000F2AED">
        <w:t>,</w:t>
      </w:r>
      <w:r w:rsidRPr="00436BC4">
        <w:t xml:space="preserve"> therefore, provides a social and cultural barrier to actualising full personhood. A foetus cannot be </w:t>
      </w:r>
      <w:r w:rsidR="00A61202" w:rsidRPr="00436BC4">
        <w:t>an active member of</w:t>
      </w:r>
      <w:r w:rsidRPr="00436BC4">
        <w:t xml:space="preserve"> the community, nor recognised by the laws and customs of the land. This status means</w:t>
      </w:r>
      <w:r w:rsidR="00A61202" w:rsidRPr="00436BC4">
        <w:t xml:space="preserve"> ‘</w:t>
      </w:r>
      <w:r w:rsidRPr="00436BC4">
        <w:t>proto-Lleu</w:t>
      </w:r>
      <w:r w:rsidR="00090800" w:rsidRPr="00436BC4">
        <w:t>’</w:t>
      </w:r>
      <w:r w:rsidRPr="00436BC4">
        <w:t xml:space="preserve"> is not yet a child and therefore </w:t>
      </w:r>
      <w:r w:rsidR="001B1896" w:rsidRPr="00436BC4">
        <w:t>s</w:t>
      </w:r>
      <w:r w:rsidRPr="00436BC4">
        <w:t xml:space="preserve">ocially and legally does not exist. The necessary identifying parameters of the social body, upon which societal forces </w:t>
      </w:r>
      <w:r w:rsidR="00E36859" w:rsidRPr="00436BC4">
        <w:t xml:space="preserve">of gender and kinship </w:t>
      </w:r>
      <w:r w:rsidRPr="00436BC4">
        <w:t>enacts identity, meaning</w:t>
      </w:r>
      <w:r w:rsidR="00DA4305" w:rsidRPr="00436BC4">
        <w:t>,</w:t>
      </w:r>
      <w:r w:rsidRPr="00436BC4">
        <w:t xml:space="preserve"> and constraint are missing.</w:t>
      </w:r>
      <w:r w:rsidR="00074D7A" w:rsidRPr="00436BC4">
        <w:rPr>
          <w:rStyle w:val="FootnoteReference"/>
        </w:rPr>
        <w:footnoteReference w:id="113"/>
      </w:r>
      <w:r w:rsidRPr="00436BC4">
        <w:t xml:space="preserve"> </w:t>
      </w:r>
      <w:r w:rsidR="00A61202" w:rsidRPr="00436BC4">
        <w:t xml:space="preserve">The term ‘Proto-Lleu’ is used here in reference to Bond Stockton and their </w:t>
      </w:r>
      <w:r w:rsidR="007E2A1B" w:rsidRPr="00436BC4">
        <w:rPr>
          <w:rFonts w:cstheme="minorHAnsi"/>
        </w:rPr>
        <w:t>drawing together of the works</w:t>
      </w:r>
      <w:r w:rsidR="00D1456B" w:rsidRPr="00436BC4">
        <w:rPr>
          <w:rFonts w:cstheme="minorHAnsi"/>
        </w:rPr>
        <w:t xml:space="preserve"> of</w:t>
      </w:r>
      <w:r w:rsidRPr="00436BC4">
        <w:rPr>
          <w:rFonts w:cstheme="minorHAnsi"/>
        </w:rPr>
        <w:t xml:space="preserve"> Eve Kosofsky Sedgwick</w:t>
      </w:r>
      <w:r w:rsidR="007E2A1B" w:rsidRPr="00436BC4">
        <w:rPr>
          <w:rFonts w:cstheme="minorHAnsi"/>
        </w:rPr>
        <w:t>, Derrida</w:t>
      </w:r>
      <w:r w:rsidR="00DA4305" w:rsidRPr="00436BC4">
        <w:rPr>
          <w:rFonts w:cstheme="minorHAnsi"/>
        </w:rPr>
        <w:t>,</w:t>
      </w:r>
      <w:r w:rsidR="007E2A1B" w:rsidRPr="00436BC4">
        <w:rPr>
          <w:rFonts w:cstheme="minorHAnsi"/>
        </w:rPr>
        <w:t xml:space="preserve"> and </w:t>
      </w:r>
      <w:r w:rsidR="00A61202" w:rsidRPr="00436BC4">
        <w:rPr>
          <w:rFonts w:cstheme="minorHAnsi"/>
        </w:rPr>
        <w:t xml:space="preserve">Freud’s ‘deferred effect’ </w:t>
      </w:r>
      <w:r w:rsidR="00DA4305" w:rsidRPr="00436BC4">
        <w:rPr>
          <w:rFonts w:cstheme="minorHAnsi"/>
        </w:rPr>
        <w:t>creating the concept</w:t>
      </w:r>
      <w:r w:rsidRPr="00436BC4">
        <w:rPr>
          <w:rFonts w:cstheme="minorHAnsi"/>
        </w:rPr>
        <w:t xml:space="preserve"> of the ‘proto-gay‘ child.</w:t>
      </w:r>
      <w:r w:rsidRPr="00436BC4">
        <w:rPr>
          <w:rStyle w:val="FootnoteReference"/>
          <w:rFonts w:cstheme="minorHAnsi"/>
        </w:rPr>
        <w:footnoteReference w:id="114"/>
      </w:r>
      <w:r w:rsidRPr="00436BC4">
        <w:rPr>
          <w:rFonts w:cstheme="minorHAnsi"/>
        </w:rPr>
        <w:t xml:space="preserve"> </w:t>
      </w:r>
      <w:r w:rsidR="007E2A1B" w:rsidRPr="00436BC4">
        <w:rPr>
          <w:rFonts w:cstheme="minorHAnsi"/>
        </w:rPr>
        <w:t>Bond Stockton argues that</w:t>
      </w:r>
      <w:r w:rsidRPr="00436BC4">
        <w:rPr>
          <w:rFonts w:cstheme="minorHAnsi"/>
        </w:rPr>
        <w:t xml:space="preserve"> </w:t>
      </w:r>
      <w:r w:rsidR="007E2A1B" w:rsidRPr="00436BC4">
        <w:rPr>
          <w:rFonts w:cstheme="minorHAnsi"/>
        </w:rPr>
        <w:t>queer</w:t>
      </w:r>
      <w:r w:rsidRPr="00436BC4">
        <w:rPr>
          <w:rFonts w:cstheme="minorHAnsi"/>
        </w:rPr>
        <w:t xml:space="preserve"> adults only</w:t>
      </w:r>
      <w:r w:rsidR="007E2A1B" w:rsidRPr="00436BC4">
        <w:rPr>
          <w:rFonts w:cstheme="minorHAnsi"/>
        </w:rPr>
        <w:t xml:space="preserve"> have the</w:t>
      </w:r>
      <w:r w:rsidRPr="00436BC4">
        <w:rPr>
          <w:rFonts w:cstheme="minorHAnsi"/>
        </w:rPr>
        <w:t xml:space="preserve"> complexity of their proto-gay childhoods</w:t>
      </w:r>
      <w:r w:rsidR="007E2A1B" w:rsidRPr="00436BC4">
        <w:rPr>
          <w:rFonts w:cstheme="minorHAnsi"/>
        </w:rPr>
        <w:t xml:space="preserve"> perceived</w:t>
      </w:r>
      <w:r w:rsidRPr="00436BC4">
        <w:rPr>
          <w:rFonts w:cstheme="minorHAnsi"/>
        </w:rPr>
        <w:t xml:space="preserve"> retroactively</w:t>
      </w:r>
      <w:r w:rsidR="007E2A1B" w:rsidRPr="00436BC4">
        <w:rPr>
          <w:rFonts w:cstheme="minorHAnsi"/>
        </w:rPr>
        <w:t>.</w:t>
      </w:r>
      <w:r w:rsidRPr="00436BC4">
        <w:rPr>
          <w:rFonts w:cstheme="minorHAnsi"/>
        </w:rPr>
        <w:t xml:space="preserve"> </w:t>
      </w:r>
      <w:r w:rsidR="00A61202" w:rsidRPr="00436BC4">
        <w:rPr>
          <w:rFonts w:cstheme="minorHAnsi"/>
        </w:rPr>
        <w:t>The understanding is that</w:t>
      </w:r>
      <w:r w:rsidR="00740403">
        <w:rPr>
          <w:rFonts w:cstheme="minorHAnsi"/>
        </w:rPr>
        <w:t>,</w:t>
      </w:r>
      <w:r w:rsidR="00A61202" w:rsidRPr="00436BC4">
        <w:rPr>
          <w:rFonts w:cstheme="minorHAnsi"/>
        </w:rPr>
        <w:t xml:space="preserve"> as heteronormativity requires all children to be straight by default, and </w:t>
      </w:r>
      <w:r w:rsidR="007974B3">
        <w:rPr>
          <w:rFonts w:cstheme="minorHAnsi"/>
        </w:rPr>
        <w:t>because of</w:t>
      </w:r>
      <w:r w:rsidR="00A61202" w:rsidRPr="00436BC4">
        <w:rPr>
          <w:rFonts w:cstheme="minorHAnsi"/>
        </w:rPr>
        <w:t xml:space="preserve"> heteronormative discomfort with placing queer identities in close proximit</w:t>
      </w:r>
      <w:r w:rsidR="007974B3">
        <w:rPr>
          <w:rFonts w:cstheme="minorHAnsi"/>
        </w:rPr>
        <w:t>y</w:t>
      </w:r>
      <w:r w:rsidR="00A61202" w:rsidRPr="00436BC4">
        <w:rPr>
          <w:rFonts w:cstheme="minorHAnsi"/>
        </w:rPr>
        <w:t xml:space="preserve"> to notions of childhood, queer children may only attribute meaning to their past queerness retroactively</w:t>
      </w:r>
      <w:r w:rsidR="00A20D22" w:rsidRPr="00436BC4">
        <w:rPr>
          <w:rFonts w:cstheme="minorHAnsi"/>
        </w:rPr>
        <w:t xml:space="preserve"> once they have come out as adults</w:t>
      </w:r>
      <w:r w:rsidR="00A61202" w:rsidRPr="00436BC4">
        <w:rPr>
          <w:rFonts w:cstheme="minorHAnsi"/>
        </w:rPr>
        <w:t>.</w:t>
      </w:r>
      <w:r w:rsidR="00A61202" w:rsidRPr="00436BC4">
        <w:rPr>
          <w:rStyle w:val="FootnoteReference"/>
          <w:rFonts w:cstheme="minorHAnsi"/>
        </w:rPr>
        <w:footnoteReference w:id="115"/>
      </w:r>
      <w:r w:rsidR="005B2B5E" w:rsidRPr="00436BC4">
        <w:rPr>
          <w:rFonts w:cstheme="minorHAnsi"/>
        </w:rPr>
        <w:t xml:space="preserve"> </w:t>
      </w:r>
      <w:r w:rsidR="00A20D22" w:rsidRPr="00436BC4">
        <w:rPr>
          <w:rFonts w:cstheme="minorHAnsi"/>
        </w:rPr>
        <w:t xml:space="preserve">‘Proto-Lleu’ only exits in retrospect because </w:t>
      </w:r>
      <w:r w:rsidR="00A20D22" w:rsidRPr="00436BC4">
        <w:rPr>
          <w:rFonts w:cstheme="minorHAnsi"/>
          <w:i/>
          <w:iCs/>
        </w:rPr>
        <w:t>they</w:t>
      </w:r>
      <w:r w:rsidR="00F9212A" w:rsidRPr="00436BC4">
        <w:rPr>
          <w:rFonts w:cstheme="minorHAnsi"/>
          <w:i/>
          <w:iCs/>
        </w:rPr>
        <w:t xml:space="preserve"> </w:t>
      </w:r>
      <w:r w:rsidR="00F9212A" w:rsidRPr="00436BC4">
        <w:rPr>
          <w:rFonts w:cstheme="minorHAnsi"/>
        </w:rPr>
        <w:t>(not he)</w:t>
      </w:r>
      <w:r w:rsidR="00A20D22" w:rsidRPr="00436BC4">
        <w:rPr>
          <w:rFonts w:cstheme="minorHAnsi"/>
        </w:rPr>
        <w:t xml:space="preserve"> then become </w:t>
      </w:r>
      <w:r w:rsidRPr="00436BC4">
        <w:rPr>
          <w:rFonts w:cstheme="minorHAnsi"/>
        </w:rPr>
        <w:t xml:space="preserve">Lleu. Once named Lleu Llaw Gyffes </w:t>
      </w:r>
      <w:r w:rsidR="00F9212A" w:rsidRPr="00436BC4">
        <w:rPr>
          <w:rFonts w:cstheme="minorHAnsi"/>
        </w:rPr>
        <w:t>through Gwidion’s trickery</w:t>
      </w:r>
      <w:r w:rsidRPr="00436BC4">
        <w:rPr>
          <w:rFonts w:cstheme="minorHAnsi"/>
        </w:rPr>
        <w:t xml:space="preserve">, Lleu is finally allowed access </w:t>
      </w:r>
      <w:r w:rsidR="00F9212A" w:rsidRPr="00436BC4">
        <w:rPr>
          <w:rFonts w:cstheme="minorHAnsi"/>
        </w:rPr>
        <w:t xml:space="preserve">into </w:t>
      </w:r>
      <w:r w:rsidRPr="00436BC4">
        <w:rPr>
          <w:rFonts w:cstheme="minorHAnsi"/>
        </w:rPr>
        <w:t>society</w:t>
      </w:r>
      <w:r w:rsidR="00F9212A" w:rsidRPr="00436BC4">
        <w:rPr>
          <w:rFonts w:cstheme="minorHAnsi"/>
        </w:rPr>
        <w:t>,</w:t>
      </w:r>
      <w:r w:rsidRPr="00436BC4">
        <w:rPr>
          <w:rFonts w:cstheme="minorHAnsi"/>
        </w:rPr>
        <w:t xml:space="preserve"> </w:t>
      </w:r>
      <w:r w:rsidR="00F9212A" w:rsidRPr="00436BC4">
        <w:rPr>
          <w:rFonts w:cstheme="minorHAnsi"/>
        </w:rPr>
        <w:t>and thus brought into being, by having</w:t>
      </w:r>
      <w:r w:rsidRPr="00436BC4">
        <w:rPr>
          <w:rFonts w:cstheme="minorHAnsi"/>
        </w:rPr>
        <w:t xml:space="preserve"> his place</w:t>
      </w:r>
      <w:r w:rsidR="00F9212A" w:rsidRPr="00436BC4">
        <w:rPr>
          <w:rFonts w:cstheme="minorHAnsi"/>
        </w:rPr>
        <w:t xml:space="preserve"> </w:t>
      </w:r>
      <w:r w:rsidR="00F9212A" w:rsidRPr="00436BC4">
        <w:rPr>
          <w:rFonts w:cstheme="minorHAnsi"/>
        </w:rPr>
        <w:lastRenderedPageBreak/>
        <w:t>within its structures</w:t>
      </w:r>
      <w:r w:rsidRPr="00436BC4">
        <w:rPr>
          <w:rFonts w:cstheme="minorHAnsi"/>
        </w:rPr>
        <w:t xml:space="preserve"> defined. Th</w:t>
      </w:r>
      <w:r w:rsidR="00CC1B41" w:rsidRPr="00436BC4">
        <w:rPr>
          <w:rFonts w:cstheme="minorHAnsi"/>
        </w:rPr>
        <w:t xml:space="preserve">e </w:t>
      </w:r>
      <w:r w:rsidRPr="00436BC4">
        <w:rPr>
          <w:rFonts w:cstheme="minorHAnsi"/>
        </w:rPr>
        <w:t xml:space="preserve">act of naming is </w:t>
      </w:r>
      <w:r w:rsidR="007E2A1B" w:rsidRPr="00436BC4">
        <w:rPr>
          <w:rFonts w:cstheme="minorHAnsi"/>
        </w:rPr>
        <w:t>performative</w:t>
      </w:r>
      <w:r w:rsidRPr="00436BC4">
        <w:rPr>
          <w:rFonts w:cstheme="minorHAnsi"/>
        </w:rPr>
        <w:t xml:space="preserve"> in that it creates Lleu the social being</w:t>
      </w:r>
      <w:r w:rsidR="00CC1B41" w:rsidRPr="00436BC4">
        <w:rPr>
          <w:rFonts w:cstheme="minorHAnsi"/>
        </w:rPr>
        <w:t>,</w:t>
      </w:r>
      <w:r w:rsidRPr="00436BC4">
        <w:rPr>
          <w:rFonts w:cstheme="minorHAnsi"/>
        </w:rPr>
        <w:t xml:space="preserve"> whilst also legitimising his past and present</w:t>
      </w:r>
      <w:r w:rsidR="00CC1B41" w:rsidRPr="00436BC4">
        <w:rPr>
          <w:rFonts w:cstheme="minorHAnsi"/>
        </w:rPr>
        <w:t>.</w:t>
      </w:r>
      <w:r w:rsidR="00105CEA">
        <w:rPr>
          <w:rFonts w:cstheme="minorHAnsi"/>
        </w:rPr>
        <w:t xml:space="preserve"> </w:t>
      </w:r>
      <w:r w:rsidR="003705CB" w:rsidRPr="00436BC4">
        <w:rPr>
          <w:rFonts w:cstheme="minorHAnsi"/>
        </w:rPr>
        <w:t>Butler’s theor</w:t>
      </w:r>
      <w:r w:rsidR="00202EF4" w:rsidRPr="00436BC4">
        <w:rPr>
          <w:rFonts w:cstheme="minorHAnsi"/>
        </w:rPr>
        <w:t>y</w:t>
      </w:r>
      <w:r w:rsidR="003705CB" w:rsidRPr="00436BC4">
        <w:rPr>
          <w:rFonts w:cstheme="minorHAnsi"/>
        </w:rPr>
        <w:t xml:space="preserve"> of gender as a performative event </w:t>
      </w:r>
      <w:r w:rsidR="00B03565" w:rsidRPr="00436BC4">
        <w:rPr>
          <w:rFonts w:cstheme="minorHAnsi"/>
        </w:rPr>
        <w:t>is</w:t>
      </w:r>
      <w:r w:rsidR="003705CB" w:rsidRPr="00436BC4">
        <w:rPr>
          <w:rFonts w:cstheme="minorHAnsi"/>
        </w:rPr>
        <w:t xml:space="preserve"> seen in action here.</w:t>
      </w:r>
      <w:r w:rsidR="00105CEA">
        <w:rPr>
          <w:rStyle w:val="FootnoteReference"/>
          <w:rFonts w:cstheme="minorHAnsi"/>
        </w:rPr>
        <w:footnoteReference w:id="116"/>
      </w:r>
      <w:r w:rsidR="00105CEA">
        <w:rPr>
          <w:rFonts w:cstheme="minorHAnsi"/>
        </w:rPr>
        <w:t xml:space="preserve"> </w:t>
      </w:r>
      <w:r w:rsidRPr="00436BC4">
        <w:rPr>
          <w:rFonts w:cstheme="minorHAnsi"/>
        </w:rPr>
        <w:t xml:space="preserve">As the name is given, so </w:t>
      </w:r>
      <w:r w:rsidR="00F40387" w:rsidRPr="00436BC4">
        <w:rPr>
          <w:rFonts w:cstheme="minorHAnsi"/>
        </w:rPr>
        <w:t>too</w:t>
      </w:r>
      <w:r w:rsidRPr="00436BC4">
        <w:rPr>
          <w:rFonts w:cstheme="minorHAnsi"/>
        </w:rPr>
        <w:t xml:space="preserve"> are the two most important factors </w:t>
      </w:r>
      <w:r w:rsidR="00F40387" w:rsidRPr="00436BC4">
        <w:rPr>
          <w:rFonts w:cstheme="minorHAnsi"/>
        </w:rPr>
        <w:t>that</w:t>
      </w:r>
      <w:r w:rsidRPr="00436BC4">
        <w:rPr>
          <w:rFonts w:cstheme="minorHAnsi"/>
        </w:rPr>
        <w:t xml:space="preserve"> affect Lleu’s place in society</w:t>
      </w:r>
      <w:r w:rsidR="00B03565" w:rsidRPr="00436BC4">
        <w:rPr>
          <w:rFonts w:cstheme="minorHAnsi"/>
        </w:rPr>
        <w:t>: h</w:t>
      </w:r>
      <w:r w:rsidRPr="00436BC4">
        <w:rPr>
          <w:rFonts w:cstheme="minorHAnsi"/>
        </w:rPr>
        <w:t xml:space="preserve">is kinship bonds that dictate his standing in the social strata, and his </w:t>
      </w:r>
      <w:r w:rsidR="00887B24" w:rsidRPr="00436BC4">
        <w:rPr>
          <w:rFonts w:cstheme="minorHAnsi"/>
        </w:rPr>
        <w:t>sex/</w:t>
      </w:r>
      <w:r w:rsidRPr="00436BC4">
        <w:rPr>
          <w:rFonts w:cstheme="minorHAnsi"/>
        </w:rPr>
        <w:t>gender affecting his social role within that strata.</w:t>
      </w:r>
      <w:r w:rsidR="003705CB" w:rsidRPr="00436BC4">
        <w:rPr>
          <w:rFonts w:cstheme="minorHAnsi"/>
        </w:rPr>
        <w:t xml:space="preserve"> </w:t>
      </w:r>
      <w:r w:rsidR="00CC1B41" w:rsidRPr="00436BC4">
        <w:rPr>
          <w:rFonts w:cstheme="minorHAnsi"/>
        </w:rPr>
        <w:t>As Lleu enters into society, so he begins to</w:t>
      </w:r>
      <w:r w:rsidR="003705CB" w:rsidRPr="00436BC4">
        <w:rPr>
          <w:rFonts w:cstheme="minorHAnsi"/>
        </w:rPr>
        <w:t xml:space="preserve"> be embodied by his gender</w:t>
      </w:r>
      <w:r w:rsidR="00936076">
        <w:rPr>
          <w:rFonts w:cstheme="minorHAnsi"/>
        </w:rPr>
        <w:t>,</w:t>
      </w:r>
      <w:r w:rsidR="003705CB" w:rsidRPr="00436BC4">
        <w:rPr>
          <w:rFonts w:cstheme="minorHAnsi"/>
        </w:rPr>
        <w:t xml:space="preserve"> and it is </w:t>
      </w:r>
      <w:r w:rsidRPr="00436BC4">
        <w:rPr>
          <w:rFonts w:cstheme="minorHAnsi"/>
        </w:rPr>
        <w:t xml:space="preserve">notable, therefore, that the following two destinies sworn upon him </w:t>
      </w:r>
      <w:r w:rsidR="003705CB" w:rsidRPr="00436BC4">
        <w:rPr>
          <w:rFonts w:cstheme="minorHAnsi"/>
        </w:rPr>
        <w:t>intend to</w:t>
      </w:r>
      <w:r w:rsidRPr="00436BC4">
        <w:rPr>
          <w:rFonts w:cstheme="minorHAnsi"/>
        </w:rPr>
        <w:t xml:space="preserve"> impede </w:t>
      </w:r>
      <w:r w:rsidR="00202EF4" w:rsidRPr="00436BC4">
        <w:rPr>
          <w:rFonts w:cstheme="minorHAnsi"/>
        </w:rPr>
        <w:t>that</w:t>
      </w:r>
      <w:r w:rsidRPr="00436BC4">
        <w:rPr>
          <w:rFonts w:cstheme="minorHAnsi"/>
        </w:rPr>
        <w:t xml:space="preserve"> expression of gender.</w:t>
      </w:r>
      <w:r w:rsidR="003705CB" w:rsidRPr="00436BC4">
        <w:t xml:space="preserve"> </w:t>
      </w:r>
      <w:r w:rsidR="003705CB" w:rsidRPr="00436BC4">
        <w:rPr>
          <w:rFonts w:cstheme="minorHAnsi"/>
        </w:rPr>
        <w:t>Charles-Edwards notes that t</w:t>
      </w:r>
      <w:r w:rsidRPr="00436BC4">
        <w:rPr>
          <w:rFonts w:cstheme="minorHAnsi"/>
        </w:rPr>
        <w:t xml:space="preserve">he taking up of arms by young nobles was one of </w:t>
      </w:r>
      <w:r w:rsidR="00B14553" w:rsidRPr="00436BC4">
        <w:rPr>
          <w:rFonts w:cstheme="minorHAnsi"/>
        </w:rPr>
        <w:t xml:space="preserve">the </w:t>
      </w:r>
      <w:r w:rsidRPr="00436BC4">
        <w:rPr>
          <w:rFonts w:cstheme="minorHAnsi"/>
        </w:rPr>
        <w:t>ways in which both gender and maturation were signalled in the medieval Celtic world.</w:t>
      </w:r>
      <w:r w:rsidRPr="00436BC4">
        <w:rPr>
          <w:rStyle w:val="FootnoteReference"/>
          <w:rFonts w:cstheme="minorHAnsi"/>
        </w:rPr>
        <w:footnoteReference w:id="117"/>
      </w:r>
      <w:r w:rsidRPr="00436BC4">
        <w:rPr>
          <w:rFonts w:cstheme="minorHAnsi"/>
        </w:rPr>
        <w:t xml:space="preserve"> Similarly, though not seen to carry as much societal weight for men as for women, taking a wife was regarded as a legitimate way to signal sexual experience for men, as it represented the ‘natural’ next step to confirm the movement from youth, into adult-manhood.</w:t>
      </w:r>
      <w:r w:rsidRPr="00436BC4">
        <w:rPr>
          <w:rStyle w:val="FootnoteReference"/>
          <w:rFonts w:cstheme="minorHAnsi"/>
        </w:rPr>
        <w:footnoteReference w:id="118"/>
      </w:r>
      <w:r w:rsidRPr="00436BC4">
        <w:rPr>
          <w:rFonts w:cstheme="minorHAnsi"/>
        </w:rPr>
        <w:t xml:space="preserve"> </w:t>
      </w:r>
      <w:r w:rsidR="00EF60A2" w:rsidRPr="00436BC4">
        <w:rPr>
          <w:rFonts w:cstheme="minorHAnsi"/>
        </w:rPr>
        <w:t xml:space="preserve">Recalling </w:t>
      </w:r>
      <w:r w:rsidR="005F324B" w:rsidRPr="00436BC4">
        <w:rPr>
          <w:rFonts w:cstheme="minorHAnsi"/>
        </w:rPr>
        <w:t>Butler’s argument that gender itself is constantly being enacted by laws and social and cultural norms</w:t>
      </w:r>
      <w:r w:rsidR="00EF60A2" w:rsidRPr="00436BC4">
        <w:rPr>
          <w:rFonts w:cstheme="minorHAnsi"/>
        </w:rPr>
        <w:t>,</w:t>
      </w:r>
      <w:r w:rsidR="005F324B" w:rsidRPr="00436BC4">
        <w:rPr>
          <w:rFonts w:cstheme="minorHAnsi"/>
          <w:vertAlign w:val="superscript"/>
        </w:rPr>
        <w:footnoteReference w:id="119"/>
      </w:r>
      <w:r w:rsidR="005F324B" w:rsidRPr="00436BC4">
        <w:rPr>
          <w:rFonts w:cstheme="minorHAnsi"/>
        </w:rPr>
        <w:t xml:space="preserve"> </w:t>
      </w:r>
      <w:r w:rsidR="00EF60A2" w:rsidRPr="00436BC4">
        <w:rPr>
          <w:rFonts w:cstheme="minorHAnsi"/>
        </w:rPr>
        <w:t>i</w:t>
      </w:r>
      <w:r w:rsidR="005F324B" w:rsidRPr="00436BC4">
        <w:rPr>
          <w:rFonts w:cstheme="minorHAnsi"/>
        </w:rPr>
        <w:t xml:space="preserve">n the </w:t>
      </w:r>
      <w:r w:rsidR="005F324B" w:rsidRPr="00436BC4">
        <w:rPr>
          <w:rFonts w:cstheme="minorHAnsi"/>
          <w:i/>
          <w:iCs/>
        </w:rPr>
        <w:t>Fourth Branch</w:t>
      </w:r>
      <w:r w:rsidR="005F324B" w:rsidRPr="00436BC4">
        <w:rPr>
          <w:rFonts w:cstheme="minorHAnsi"/>
        </w:rPr>
        <w:t xml:space="preserve"> we see that Lleu’s gender is created, recreated, and affirmed by transitioning through several states of social being (from childhood, to youth with martial training, to mature adult ready to continue their legacy via </w:t>
      </w:r>
      <w:r w:rsidR="00B61ED5" w:rsidRPr="00436BC4">
        <w:rPr>
          <w:rFonts w:cstheme="minorHAnsi"/>
        </w:rPr>
        <w:t xml:space="preserve">the </w:t>
      </w:r>
      <w:r w:rsidR="005F324B" w:rsidRPr="00436BC4">
        <w:rPr>
          <w:rFonts w:cstheme="minorHAnsi"/>
        </w:rPr>
        <w:t xml:space="preserve">creation of offspring). </w:t>
      </w:r>
    </w:p>
    <w:p w14:paraId="7FC70C70" w14:textId="77777777" w:rsidR="003D2994" w:rsidRPr="00436BC4" w:rsidRDefault="003D2994" w:rsidP="005F324B">
      <w:pPr>
        <w:spacing w:line="480" w:lineRule="auto"/>
        <w:rPr>
          <w:rFonts w:cstheme="minorHAnsi"/>
        </w:rPr>
      </w:pPr>
    </w:p>
    <w:p w14:paraId="6ADE7554" w14:textId="423D515A" w:rsidR="001174B1" w:rsidRDefault="00202EF4" w:rsidP="00161827">
      <w:pPr>
        <w:spacing w:line="480" w:lineRule="auto"/>
        <w:rPr>
          <w:rFonts w:cstheme="minorHAnsi"/>
        </w:rPr>
      </w:pPr>
      <w:r w:rsidRPr="00436BC4">
        <w:rPr>
          <w:rFonts w:cstheme="minorHAnsi"/>
        </w:rPr>
        <w:t xml:space="preserve">However, </w:t>
      </w:r>
      <w:r w:rsidR="002F6903" w:rsidRPr="00436BC4">
        <w:rPr>
          <w:rFonts w:cstheme="minorHAnsi"/>
        </w:rPr>
        <w:t>as Lleu is betrayed by Blodeuedd</w:t>
      </w:r>
      <w:r w:rsidR="00C81941" w:rsidRPr="00436BC4">
        <w:rPr>
          <w:rFonts w:cstheme="minorHAnsi"/>
        </w:rPr>
        <w:t>,</w:t>
      </w:r>
      <w:r w:rsidR="002F6903" w:rsidRPr="00436BC4">
        <w:rPr>
          <w:rFonts w:cstheme="minorHAnsi"/>
        </w:rPr>
        <w:t xml:space="preserve"> the last of Aranrhod’s destinies holds. Earlier in the </w:t>
      </w:r>
      <w:r w:rsidR="002F6903" w:rsidRPr="00436BC4">
        <w:rPr>
          <w:rFonts w:cstheme="minorHAnsi"/>
          <w:i/>
          <w:iCs/>
        </w:rPr>
        <w:t>Fo</w:t>
      </w:r>
      <w:r w:rsidR="00C81941" w:rsidRPr="00436BC4">
        <w:rPr>
          <w:rFonts w:cstheme="minorHAnsi"/>
          <w:i/>
          <w:iCs/>
        </w:rPr>
        <w:t>u</w:t>
      </w:r>
      <w:r w:rsidR="002F6903" w:rsidRPr="00436BC4">
        <w:rPr>
          <w:rFonts w:cstheme="minorHAnsi"/>
          <w:i/>
          <w:iCs/>
        </w:rPr>
        <w:t xml:space="preserve">rth Branch </w:t>
      </w:r>
      <w:r w:rsidR="002F6903" w:rsidRPr="00436BC4">
        <w:rPr>
          <w:rFonts w:cstheme="minorHAnsi"/>
        </w:rPr>
        <w:t>we see Gwydion harass his sister for failing Math’s virginity test, coming into conflict with her over Lleu</w:t>
      </w:r>
      <w:r w:rsidR="00C81941" w:rsidRPr="00436BC4">
        <w:rPr>
          <w:rFonts w:cstheme="minorHAnsi"/>
        </w:rPr>
        <w:t>. Gwydion himself is an ambiguous character in the narrative</w:t>
      </w:r>
      <w:r w:rsidR="000B1D6B" w:rsidRPr="00436BC4">
        <w:rPr>
          <w:rFonts w:cstheme="minorHAnsi"/>
        </w:rPr>
        <w:t>,</w:t>
      </w:r>
      <w:r w:rsidR="00C81941" w:rsidRPr="00436BC4">
        <w:rPr>
          <w:rFonts w:cstheme="minorHAnsi"/>
        </w:rPr>
        <w:t xml:space="preserve"> seeming to have little regard for his duties to his kin regarding Math and Aranrhod, </w:t>
      </w:r>
      <w:r w:rsidR="006B3931" w:rsidRPr="00436BC4">
        <w:rPr>
          <w:rFonts w:cstheme="minorHAnsi"/>
        </w:rPr>
        <w:t>and yet</w:t>
      </w:r>
      <w:r w:rsidR="00C81941" w:rsidRPr="00436BC4">
        <w:rPr>
          <w:rFonts w:cstheme="minorHAnsi"/>
        </w:rPr>
        <w:t xml:space="preserve"> </w:t>
      </w:r>
      <w:r w:rsidR="005628B1" w:rsidRPr="00436BC4">
        <w:rPr>
          <w:rFonts w:cstheme="minorHAnsi"/>
        </w:rPr>
        <w:t>is</w:t>
      </w:r>
      <w:r w:rsidR="00C81941" w:rsidRPr="00436BC4">
        <w:rPr>
          <w:rFonts w:cstheme="minorHAnsi"/>
        </w:rPr>
        <w:t xml:space="preserve"> willing to go to great lengths to satisfy his brother Gilfaethwy. It is somewhat surprising therefore that he should </w:t>
      </w:r>
      <w:r w:rsidR="006B3931" w:rsidRPr="00436BC4">
        <w:rPr>
          <w:rFonts w:cstheme="minorHAnsi"/>
        </w:rPr>
        <w:t xml:space="preserve">seem to </w:t>
      </w:r>
      <w:r w:rsidR="00C81941" w:rsidRPr="00436BC4">
        <w:rPr>
          <w:rFonts w:cstheme="minorHAnsi"/>
        </w:rPr>
        <w:t>take such an interest in Lleu’s wellbeing. However</w:t>
      </w:r>
      <w:r w:rsidR="006B3931" w:rsidRPr="00436BC4">
        <w:rPr>
          <w:rFonts w:cstheme="minorHAnsi"/>
        </w:rPr>
        <w:t xml:space="preserve">, as guardian of Lleu and persecutor of Aranrhod, Gwydion takes on the role of </w:t>
      </w:r>
      <w:r w:rsidR="005A5B80" w:rsidRPr="00436BC4">
        <w:rPr>
          <w:rFonts w:cstheme="minorHAnsi"/>
        </w:rPr>
        <w:t>new</w:t>
      </w:r>
      <w:r w:rsidR="00161D93">
        <w:rPr>
          <w:rFonts w:cstheme="minorHAnsi"/>
        </w:rPr>
        <w:t>ly</w:t>
      </w:r>
      <w:r w:rsidR="005A5B80" w:rsidRPr="00436BC4">
        <w:rPr>
          <w:rFonts w:cstheme="minorHAnsi"/>
        </w:rPr>
        <w:t xml:space="preserve"> reformed </w:t>
      </w:r>
      <w:r w:rsidR="006B3931" w:rsidRPr="00436BC4">
        <w:rPr>
          <w:rFonts w:cstheme="minorHAnsi"/>
        </w:rPr>
        <w:t xml:space="preserve">enforcer of </w:t>
      </w:r>
      <w:r w:rsidR="00F23AB6">
        <w:rPr>
          <w:rFonts w:cstheme="minorHAnsi"/>
        </w:rPr>
        <w:t xml:space="preserve">the </w:t>
      </w:r>
      <w:r w:rsidR="006B3931" w:rsidRPr="00436BC4">
        <w:rPr>
          <w:rFonts w:cstheme="minorHAnsi"/>
        </w:rPr>
        <w:t>oppressive</w:t>
      </w:r>
      <w:r w:rsidR="00F23AB6">
        <w:rPr>
          <w:rFonts w:cstheme="minorHAnsi"/>
        </w:rPr>
        <w:t xml:space="preserve"> gender</w:t>
      </w:r>
      <w:r w:rsidR="006B3931" w:rsidRPr="00436BC4">
        <w:rPr>
          <w:rFonts w:cstheme="minorHAnsi"/>
        </w:rPr>
        <w:t xml:space="preserve"> paradigms</w:t>
      </w:r>
      <w:r w:rsidR="005628B1" w:rsidRPr="00436BC4">
        <w:rPr>
          <w:rFonts w:cstheme="minorHAnsi"/>
        </w:rPr>
        <w:t xml:space="preserve"> of </w:t>
      </w:r>
      <w:r w:rsidR="005628B1" w:rsidRPr="00436BC4">
        <w:rPr>
          <w:rFonts w:cstheme="minorHAnsi"/>
        </w:rPr>
        <w:lastRenderedPageBreak/>
        <w:t>patriarchal society</w:t>
      </w:r>
      <w:r w:rsidR="00F23AB6">
        <w:rPr>
          <w:rFonts w:cstheme="minorHAnsi"/>
        </w:rPr>
        <w:t>.</w:t>
      </w:r>
      <w:r w:rsidR="005A5B80" w:rsidRPr="00436BC4">
        <w:rPr>
          <w:rStyle w:val="FootnoteReference"/>
          <w:rFonts w:cstheme="minorHAnsi"/>
        </w:rPr>
        <w:footnoteReference w:id="120"/>
      </w:r>
      <w:r w:rsidR="006B3931" w:rsidRPr="00436BC4">
        <w:rPr>
          <w:rFonts w:cstheme="minorHAnsi"/>
        </w:rPr>
        <w:t xml:space="preserve"> </w:t>
      </w:r>
      <w:r w:rsidR="00F23AB6">
        <w:rPr>
          <w:rFonts w:cstheme="minorHAnsi"/>
        </w:rPr>
        <w:t xml:space="preserve">He </w:t>
      </w:r>
      <w:r w:rsidR="006B3931" w:rsidRPr="00436BC4">
        <w:rPr>
          <w:rFonts w:cstheme="minorHAnsi"/>
        </w:rPr>
        <w:t>attempt</w:t>
      </w:r>
      <w:r w:rsidR="00F23AB6">
        <w:rPr>
          <w:rFonts w:cstheme="minorHAnsi"/>
        </w:rPr>
        <w:t>s</w:t>
      </w:r>
      <w:r w:rsidR="006B3931" w:rsidRPr="00436BC4">
        <w:rPr>
          <w:rFonts w:cstheme="minorHAnsi"/>
        </w:rPr>
        <w:t xml:space="preserve"> to </w:t>
      </w:r>
      <w:r w:rsidR="00F23AB6">
        <w:rPr>
          <w:rFonts w:cstheme="minorHAnsi"/>
        </w:rPr>
        <w:t>‘correct’ by force</w:t>
      </w:r>
      <w:r w:rsidR="006B3931" w:rsidRPr="00436BC4">
        <w:rPr>
          <w:rFonts w:cstheme="minorHAnsi"/>
        </w:rPr>
        <w:t xml:space="preserve"> </w:t>
      </w:r>
      <w:r w:rsidR="00F23AB6">
        <w:rPr>
          <w:rFonts w:cstheme="minorHAnsi"/>
        </w:rPr>
        <w:t>a</w:t>
      </w:r>
      <w:r w:rsidR="006B3931" w:rsidRPr="00436BC4">
        <w:rPr>
          <w:rFonts w:cstheme="minorHAnsi"/>
        </w:rPr>
        <w:t xml:space="preserve"> situation where a man who is heir to the kingdom of Gwynedd has his</w:t>
      </w:r>
      <w:r w:rsidR="00F23AB6">
        <w:rPr>
          <w:rFonts w:cstheme="minorHAnsi"/>
        </w:rPr>
        <w:t xml:space="preserve"> social identity, </w:t>
      </w:r>
      <w:r w:rsidR="006B3931" w:rsidRPr="00436BC4">
        <w:rPr>
          <w:rFonts w:cstheme="minorHAnsi"/>
        </w:rPr>
        <w:t xml:space="preserve"> gender</w:t>
      </w:r>
      <w:r w:rsidR="00F23AB6">
        <w:rPr>
          <w:rFonts w:cstheme="minorHAnsi"/>
        </w:rPr>
        <w:t>,</w:t>
      </w:r>
      <w:r w:rsidR="006B3931" w:rsidRPr="00436BC4">
        <w:rPr>
          <w:rFonts w:cstheme="minorHAnsi"/>
        </w:rPr>
        <w:t xml:space="preserve"> and fertility </w:t>
      </w:r>
      <w:r w:rsidR="00F23AB6">
        <w:rPr>
          <w:rFonts w:cstheme="minorHAnsi"/>
        </w:rPr>
        <w:t>limited</w:t>
      </w:r>
      <w:r w:rsidR="006B3931" w:rsidRPr="00436BC4">
        <w:rPr>
          <w:rFonts w:cstheme="minorHAnsi"/>
        </w:rPr>
        <w:t xml:space="preserve"> by a woman who has seemingly liberated herself from these very constraints</w:t>
      </w:r>
      <w:r w:rsidR="005628B1" w:rsidRPr="00436BC4">
        <w:rPr>
          <w:rFonts w:cstheme="minorHAnsi"/>
        </w:rPr>
        <w:t>. The relationship therefore between Lleu and Aranrhod turns normal patriarchal society on its head. Edleman’s figure of ‘The Child’</w:t>
      </w:r>
      <w:r w:rsidR="00F6599E">
        <w:rPr>
          <w:rFonts w:cstheme="minorHAnsi"/>
        </w:rPr>
        <w:t>,</w:t>
      </w:r>
      <w:r w:rsidR="005628B1" w:rsidRPr="00436BC4">
        <w:rPr>
          <w:rFonts w:cstheme="minorHAnsi"/>
        </w:rPr>
        <w:t xml:space="preserve"> so prevalent in the Aranrhod’s narrative, appears again her</w:t>
      </w:r>
      <w:r w:rsidR="000B1D6B" w:rsidRPr="00436BC4">
        <w:rPr>
          <w:rFonts w:cstheme="minorHAnsi"/>
        </w:rPr>
        <w:t>e</w:t>
      </w:r>
      <w:r w:rsidR="00F23AB6">
        <w:rPr>
          <w:rFonts w:cstheme="minorHAnsi"/>
        </w:rPr>
        <w:t>.</w:t>
      </w:r>
      <w:r w:rsidR="005628B1" w:rsidRPr="00436BC4">
        <w:rPr>
          <w:rFonts w:cstheme="minorHAnsi"/>
        </w:rPr>
        <w:t xml:space="preserve"> For Aranrhod, her refusal to accept her punishment for </w:t>
      </w:r>
      <w:r w:rsidR="006D0035" w:rsidRPr="00436BC4">
        <w:rPr>
          <w:rFonts w:cstheme="minorHAnsi"/>
        </w:rPr>
        <w:t>not being chaste</w:t>
      </w:r>
      <w:r w:rsidR="005628B1" w:rsidRPr="00436BC4">
        <w:rPr>
          <w:rFonts w:cstheme="minorHAnsi"/>
        </w:rPr>
        <w:t xml:space="preserve"> </w:t>
      </w:r>
      <w:r w:rsidR="00F23AB6">
        <w:rPr>
          <w:rFonts w:cstheme="minorHAnsi"/>
        </w:rPr>
        <w:t>signals</w:t>
      </w:r>
      <w:r w:rsidR="005628B1" w:rsidRPr="00436BC4">
        <w:rPr>
          <w:rFonts w:cstheme="minorHAnsi"/>
        </w:rPr>
        <w:t xml:space="preserve"> a move against Edleman’s ideas of reproductive futurism where </w:t>
      </w:r>
      <w:r w:rsidR="0004706D" w:rsidRPr="00436BC4">
        <w:rPr>
          <w:rFonts w:cstheme="minorHAnsi"/>
        </w:rPr>
        <w:t>heteronormativity</w:t>
      </w:r>
      <w:r w:rsidR="00F23AB6">
        <w:rPr>
          <w:rFonts w:cstheme="minorHAnsi"/>
        </w:rPr>
        <w:t>,</w:t>
      </w:r>
      <w:r w:rsidR="0004706D" w:rsidRPr="00436BC4">
        <w:rPr>
          <w:rFonts w:cstheme="minorHAnsi"/>
        </w:rPr>
        <w:t xml:space="preserve"> and tightly controlled heterosexuality</w:t>
      </w:r>
      <w:r w:rsidR="00F23AB6">
        <w:rPr>
          <w:rFonts w:cstheme="minorHAnsi"/>
        </w:rPr>
        <w:t>,</w:t>
      </w:r>
      <w:r w:rsidR="0004706D" w:rsidRPr="00436BC4">
        <w:rPr>
          <w:rFonts w:cstheme="minorHAnsi"/>
        </w:rPr>
        <w:t xml:space="preserve"> is </w:t>
      </w:r>
      <w:r w:rsidR="00F23AB6">
        <w:rPr>
          <w:rFonts w:cstheme="minorHAnsi"/>
        </w:rPr>
        <w:t>compulsory</w:t>
      </w:r>
      <w:r w:rsidR="0004706D" w:rsidRPr="00436BC4">
        <w:rPr>
          <w:rFonts w:cstheme="minorHAnsi"/>
        </w:rPr>
        <w:t xml:space="preserve"> </w:t>
      </w:r>
      <w:r w:rsidR="006D0035" w:rsidRPr="00436BC4">
        <w:rPr>
          <w:rFonts w:cstheme="minorHAnsi"/>
        </w:rPr>
        <w:t xml:space="preserve">for all, especially for women. Aranrhod’s sexual freedom and disavowal of consequence </w:t>
      </w:r>
      <w:r w:rsidR="0096268D" w:rsidRPr="00436BC4">
        <w:rPr>
          <w:rFonts w:cstheme="minorHAnsi"/>
        </w:rPr>
        <w:t>is an act of queer defiance in the face of subjugation, refusing to pay the price in the present for the imagined heterosexual future ‘The Child’ represents.</w:t>
      </w:r>
      <w:r w:rsidR="0096268D" w:rsidRPr="00436BC4">
        <w:rPr>
          <w:rStyle w:val="FootnoteReference"/>
          <w:rFonts w:cstheme="minorHAnsi"/>
        </w:rPr>
        <w:footnoteReference w:id="121"/>
      </w:r>
      <w:r w:rsidR="0096268D" w:rsidRPr="00436BC4">
        <w:rPr>
          <w:rFonts w:cstheme="minorHAnsi"/>
        </w:rPr>
        <w:t xml:space="preserve"> </w:t>
      </w:r>
      <w:r w:rsidR="005B2B58" w:rsidRPr="00436BC4">
        <w:rPr>
          <w:rFonts w:cstheme="minorHAnsi"/>
        </w:rPr>
        <w:t>Theoretically, Lleu is the embodiment of ‘The Child’, by his existence requiring that Aranrhod pay the price for her transgression, as he represents the potential descent of titles, land, goods etc. through his kinship bonds, securing the</w:t>
      </w:r>
      <w:r w:rsidR="00F23AB6">
        <w:rPr>
          <w:rFonts w:cstheme="minorHAnsi"/>
        </w:rPr>
        <w:t xml:space="preserve"> patriarchal</w:t>
      </w:r>
      <w:r w:rsidR="005B2B58" w:rsidRPr="00436BC4">
        <w:rPr>
          <w:rFonts w:cstheme="minorHAnsi"/>
        </w:rPr>
        <w:t xml:space="preserve"> succession of the ruling dynasty. It </w:t>
      </w:r>
      <w:r w:rsidR="00F23AB6">
        <w:rPr>
          <w:rFonts w:cstheme="minorHAnsi"/>
        </w:rPr>
        <w:t>is</w:t>
      </w:r>
      <w:r w:rsidR="005B2B58" w:rsidRPr="00436BC4">
        <w:rPr>
          <w:rFonts w:cstheme="minorHAnsi"/>
        </w:rPr>
        <w:t xml:space="preserve"> likely</w:t>
      </w:r>
      <w:r w:rsidR="007B4261">
        <w:rPr>
          <w:rFonts w:cstheme="minorHAnsi"/>
        </w:rPr>
        <w:t>,</w:t>
      </w:r>
      <w:r w:rsidR="005B2B58" w:rsidRPr="00436BC4">
        <w:rPr>
          <w:rFonts w:cstheme="minorHAnsi"/>
        </w:rPr>
        <w:t xml:space="preserve"> therefore, that as an agent of the</w:t>
      </w:r>
      <w:r w:rsidR="00F23AB6">
        <w:rPr>
          <w:rFonts w:cstheme="minorHAnsi"/>
        </w:rPr>
        <w:t>se</w:t>
      </w:r>
      <w:r w:rsidR="005B2B58" w:rsidRPr="00436BC4">
        <w:rPr>
          <w:rFonts w:cstheme="minorHAnsi"/>
        </w:rPr>
        <w:t xml:space="preserve"> patriarchal structures </w:t>
      </w:r>
      <w:r w:rsidR="00F23AB6">
        <w:rPr>
          <w:rFonts w:cstheme="minorHAnsi"/>
        </w:rPr>
        <w:t>in</w:t>
      </w:r>
      <w:r w:rsidR="005B2B58" w:rsidRPr="00436BC4">
        <w:rPr>
          <w:rFonts w:cstheme="minorHAnsi"/>
        </w:rPr>
        <w:t xml:space="preserve"> the </w:t>
      </w:r>
      <w:r w:rsidR="005B2B58" w:rsidRPr="00436BC4">
        <w:rPr>
          <w:rFonts w:cstheme="minorHAnsi"/>
          <w:i/>
          <w:iCs/>
        </w:rPr>
        <w:t>Fourth Branch</w:t>
      </w:r>
      <w:r w:rsidR="005B2B58" w:rsidRPr="00436BC4">
        <w:rPr>
          <w:rFonts w:cstheme="minorHAnsi"/>
        </w:rPr>
        <w:t xml:space="preserve"> that an additional motive for Gwydion is to ensure that Lleu can fulfil </w:t>
      </w:r>
      <w:r w:rsidR="005A5B80" w:rsidRPr="00436BC4">
        <w:rPr>
          <w:rFonts w:cstheme="minorHAnsi"/>
        </w:rPr>
        <w:t xml:space="preserve">his role upholding the status quo by stepping fully into his social identity, securing the </w:t>
      </w:r>
      <w:r w:rsidR="00F23AB6">
        <w:rPr>
          <w:rFonts w:cstheme="minorHAnsi"/>
        </w:rPr>
        <w:t xml:space="preserve">line of descent </w:t>
      </w:r>
      <w:r w:rsidR="005A5B80" w:rsidRPr="00436BC4">
        <w:rPr>
          <w:rFonts w:cstheme="minorHAnsi"/>
        </w:rPr>
        <w:t xml:space="preserve">by producing a legitimate heir. Ironically, when Blodeuedd betrays Lleu, the fate Aranrhod </w:t>
      </w:r>
      <w:r w:rsidR="00D42D06" w:rsidRPr="00436BC4">
        <w:rPr>
          <w:rFonts w:cstheme="minorHAnsi"/>
        </w:rPr>
        <w:t xml:space="preserve">casts over him holds, </w:t>
      </w:r>
      <w:r w:rsidR="001174B1" w:rsidRPr="00436BC4">
        <w:rPr>
          <w:rFonts w:cstheme="minorHAnsi"/>
        </w:rPr>
        <w:t>making his queerness</w:t>
      </w:r>
      <w:r w:rsidR="00F23AB6">
        <w:rPr>
          <w:rFonts w:cstheme="minorHAnsi"/>
        </w:rPr>
        <w:t xml:space="preserve"> sine birth</w:t>
      </w:r>
      <w:r w:rsidR="001174B1" w:rsidRPr="00436BC4">
        <w:rPr>
          <w:rFonts w:cstheme="minorHAnsi"/>
        </w:rPr>
        <w:t xml:space="preserve"> permanent, and preventing him not only from being able to full integrate into society politically and socially in the </w:t>
      </w:r>
      <w:r w:rsidR="001174B1" w:rsidRPr="00436BC4">
        <w:rPr>
          <w:rFonts w:cstheme="minorHAnsi"/>
          <w:i/>
          <w:iCs/>
        </w:rPr>
        <w:t xml:space="preserve">Fourth Branch, </w:t>
      </w:r>
      <w:r w:rsidR="001174B1" w:rsidRPr="00436BC4">
        <w:rPr>
          <w:rFonts w:cstheme="minorHAnsi"/>
        </w:rPr>
        <w:t xml:space="preserve">but also in many ways foreshadowing its </w:t>
      </w:r>
      <w:r w:rsidR="00F23AB6">
        <w:rPr>
          <w:rFonts w:cstheme="minorHAnsi"/>
        </w:rPr>
        <w:t xml:space="preserve">societal </w:t>
      </w:r>
      <w:r w:rsidR="001174B1" w:rsidRPr="00436BC4">
        <w:rPr>
          <w:rFonts w:cstheme="minorHAnsi"/>
        </w:rPr>
        <w:t>doom.</w:t>
      </w:r>
      <w:r w:rsidR="00347670">
        <w:rPr>
          <w:rStyle w:val="FootnoteReference"/>
          <w:rFonts w:cstheme="minorHAnsi"/>
        </w:rPr>
        <w:footnoteReference w:id="122"/>
      </w:r>
      <w:r w:rsidR="001174B1" w:rsidRPr="00436BC4">
        <w:rPr>
          <w:rFonts w:cstheme="minorHAnsi"/>
        </w:rPr>
        <w:t xml:space="preserve"> </w:t>
      </w:r>
      <w:r w:rsidR="00F23AB6">
        <w:rPr>
          <w:rFonts w:cstheme="minorHAnsi"/>
        </w:rPr>
        <w:t>Queerness, not mere</w:t>
      </w:r>
      <w:r w:rsidR="009848E7">
        <w:rPr>
          <w:rFonts w:cstheme="minorHAnsi"/>
        </w:rPr>
        <w:t>ly</w:t>
      </w:r>
      <w:r w:rsidR="00F23AB6">
        <w:rPr>
          <w:rFonts w:cstheme="minorHAnsi"/>
        </w:rPr>
        <w:t xml:space="preserve"> illicit sex, reveals itself </w:t>
      </w:r>
      <w:r w:rsidR="00EE3F77">
        <w:rPr>
          <w:rFonts w:cstheme="minorHAnsi"/>
        </w:rPr>
        <w:t>again as</w:t>
      </w:r>
      <w:r w:rsidR="00F23AB6">
        <w:rPr>
          <w:rFonts w:cstheme="minorHAnsi"/>
        </w:rPr>
        <w:t xml:space="preserve"> the ‘societally intolerable crisis’</w:t>
      </w:r>
      <w:r w:rsidR="00EE3F77">
        <w:rPr>
          <w:rFonts w:cstheme="minorHAnsi"/>
        </w:rPr>
        <w:t xml:space="preserve"> that the threatens the social order </w:t>
      </w:r>
      <w:r w:rsidR="00EE3F77">
        <w:rPr>
          <w:rFonts w:cstheme="minorHAnsi"/>
          <w:i/>
          <w:iCs/>
        </w:rPr>
        <w:t xml:space="preserve">Fourth Branch </w:t>
      </w:r>
      <w:r w:rsidR="00EE3F77" w:rsidRPr="00EE3F77">
        <w:rPr>
          <w:rFonts w:cstheme="minorHAnsi"/>
        </w:rPr>
        <w:t>and</w:t>
      </w:r>
      <w:r w:rsidR="00EE3F77">
        <w:rPr>
          <w:rFonts w:cstheme="minorHAnsi"/>
          <w:i/>
          <w:iCs/>
        </w:rPr>
        <w:t xml:space="preserve"> </w:t>
      </w:r>
      <w:r w:rsidR="001174B1" w:rsidRPr="00436BC4">
        <w:rPr>
          <w:rFonts w:cstheme="minorHAnsi"/>
        </w:rPr>
        <w:t xml:space="preserve">could explain the abrupt and strange ending of the </w:t>
      </w:r>
      <w:r w:rsidR="001174B1" w:rsidRPr="00436BC4">
        <w:rPr>
          <w:rFonts w:cstheme="minorHAnsi"/>
          <w:i/>
          <w:iCs/>
        </w:rPr>
        <w:t>Fourth Branch</w:t>
      </w:r>
      <w:r w:rsidR="001174B1" w:rsidRPr="00436BC4">
        <w:rPr>
          <w:rFonts w:cstheme="minorHAnsi"/>
        </w:rPr>
        <w:t xml:space="preserve">. Lleu as the last ruler of Gwynedd </w:t>
      </w:r>
      <w:r w:rsidR="00072495" w:rsidRPr="00436BC4">
        <w:rPr>
          <w:rFonts w:cstheme="minorHAnsi"/>
        </w:rPr>
        <w:t xml:space="preserve">is unable to produce a legitimate heir, and so leaves </w:t>
      </w:r>
      <w:r w:rsidR="00072495" w:rsidRPr="00436BC4">
        <w:rPr>
          <w:rFonts w:cstheme="minorHAnsi"/>
        </w:rPr>
        <w:lastRenderedPageBreak/>
        <w:t>a queer question mark over the future of the family dynasty, and, more importantly, of the heteronormative system that has exi</w:t>
      </w:r>
      <w:r w:rsidR="000B1D6B" w:rsidRPr="00436BC4">
        <w:rPr>
          <w:rFonts w:cstheme="minorHAnsi"/>
        </w:rPr>
        <w:t>s</w:t>
      </w:r>
      <w:r w:rsidR="00072495" w:rsidRPr="00436BC4">
        <w:rPr>
          <w:rFonts w:cstheme="minorHAnsi"/>
        </w:rPr>
        <w:t xml:space="preserve">ted up to this point. </w:t>
      </w:r>
    </w:p>
    <w:p w14:paraId="1C78E922" w14:textId="77777777" w:rsidR="003D2994" w:rsidRPr="00436BC4" w:rsidRDefault="003D2994" w:rsidP="00161827">
      <w:pPr>
        <w:spacing w:line="480" w:lineRule="auto"/>
        <w:rPr>
          <w:rFonts w:cstheme="minorHAnsi"/>
        </w:rPr>
      </w:pPr>
    </w:p>
    <w:p w14:paraId="32E86F31" w14:textId="2E1099D7" w:rsidR="000D591D" w:rsidRDefault="000D591D" w:rsidP="00161827">
      <w:pPr>
        <w:spacing w:line="480" w:lineRule="auto"/>
        <w:rPr>
          <w:rFonts w:cstheme="minorHAnsi"/>
          <w:i/>
          <w:iCs/>
        </w:rPr>
      </w:pPr>
      <w:r w:rsidRPr="00436BC4">
        <w:rPr>
          <w:rFonts w:cstheme="minorHAnsi"/>
        </w:rPr>
        <w:t xml:space="preserve">By attempting to thwart his linear temporal progression, Aranrhod’s destinies have the effect of restricting Lleu’s ability to achieve the ‘successful’ life that is expected of him by placing barriers at </w:t>
      </w:r>
      <w:r w:rsidR="008D3CDD" w:rsidRPr="00436BC4">
        <w:rPr>
          <w:rFonts w:cstheme="minorHAnsi"/>
        </w:rPr>
        <w:t>important</w:t>
      </w:r>
      <w:r w:rsidRPr="00436BC4">
        <w:rPr>
          <w:rFonts w:cstheme="minorHAnsi"/>
        </w:rPr>
        <w:t xml:space="preserve"> life transitions</w:t>
      </w:r>
      <w:r w:rsidR="00EF60A2" w:rsidRPr="00436BC4">
        <w:rPr>
          <w:rFonts w:cstheme="minorHAnsi"/>
        </w:rPr>
        <w:t xml:space="preserve">, slowing and even halting his progress, </w:t>
      </w:r>
      <w:r w:rsidR="00915C55" w:rsidRPr="00436BC4">
        <w:rPr>
          <w:rFonts w:cstheme="minorHAnsi"/>
        </w:rPr>
        <w:t>evoking</w:t>
      </w:r>
      <w:r w:rsidR="008D3CDD" w:rsidRPr="00436BC4">
        <w:rPr>
          <w:rFonts w:cstheme="minorHAnsi"/>
        </w:rPr>
        <w:t xml:space="preserve"> </w:t>
      </w:r>
      <w:r w:rsidR="00342712" w:rsidRPr="00436BC4">
        <w:rPr>
          <w:rFonts w:cstheme="minorHAnsi"/>
        </w:rPr>
        <w:t>Halberstam’s assertion that heteronormativity requires that an individual passes through each life phase at an appropriate speed.</w:t>
      </w:r>
      <w:r w:rsidR="00342712" w:rsidRPr="00436BC4">
        <w:rPr>
          <w:rStyle w:val="FootnoteReference"/>
          <w:rFonts w:cstheme="minorHAnsi"/>
        </w:rPr>
        <w:footnoteReference w:id="123"/>
      </w:r>
      <w:r w:rsidR="00342712" w:rsidRPr="00436BC4">
        <w:rPr>
          <w:rFonts w:cstheme="minorHAnsi"/>
        </w:rPr>
        <w:t xml:space="preserve"> </w:t>
      </w:r>
      <w:r w:rsidR="00D73428" w:rsidRPr="00436BC4">
        <w:rPr>
          <w:rFonts w:cstheme="minorHAnsi"/>
        </w:rPr>
        <w:t>Furthermore, these barriers specifically impede Lleu’s expression of gender and heterosexuality and his ability to produce legitimate offspring</w:t>
      </w:r>
      <w:r w:rsidR="00342712" w:rsidRPr="00436BC4">
        <w:rPr>
          <w:rFonts w:cstheme="minorHAnsi"/>
        </w:rPr>
        <w:t xml:space="preserve">. </w:t>
      </w:r>
      <w:r w:rsidR="00D73428" w:rsidRPr="00436BC4">
        <w:rPr>
          <w:rFonts w:cstheme="minorHAnsi"/>
        </w:rPr>
        <w:t>By denying him th</w:t>
      </w:r>
      <w:r w:rsidR="00074D7A" w:rsidRPr="00436BC4">
        <w:rPr>
          <w:rFonts w:cstheme="minorHAnsi"/>
        </w:rPr>
        <w:t>is expression of social identity</w:t>
      </w:r>
      <w:r w:rsidR="00D73428" w:rsidRPr="00436BC4">
        <w:rPr>
          <w:rFonts w:cstheme="minorHAnsi"/>
        </w:rPr>
        <w:t>, t</w:t>
      </w:r>
      <w:r w:rsidR="008D3CDD" w:rsidRPr="00436BC4">
        <w:rPr>
          <w:rFonts w:cstheme="minorHAnsi"/>
        </w:rPr>
        <w:t>h</w:t>
      </w:r>
      <w:r w:rsidR="00D73428" w:rsidRPr="00436BC4">
        <w:rPr>
          <w:rFonts w:cstheme="minorHAnsi"/>
        </w:rPr>
        <w:t>e</w:t>
      </w:r>
      <w:r w:rsidR="008D3CDD" w:rsidRPr="00436BC4">
        <w:rPr>
          <w:rFonts w:cstheme="minorHAnsi"/>
        </w:rPr>
        <w:t xml:space="preserve"> process being enacted as a punishment or curse operating over Lleu</w:t>
      </w:r>
      <w:r w:rsidR="00074D7A" w:rsidRPr="00436BC4">
        <w:rPr>
          <w:rFonts w:cstheme="minorHAnsi"/>
        </w:rPr>
        <w:t xml:space="preserve"> </w:t>
      </w:r>
      <w:r w:rsidR="00EE3703" w:rsidRPr="00436BC4">
        <w:rPr>
          <w:rFonts w:cstheme="minorHAnsi"/>
        </w:rPr>
        <w:t>is</w:t>
      </w:r>
      <w:r w:rsidR="00074D7A" w:rsidRPr="00436BC4">
        <w:rPr>
          <w:rFonts w:cstheme="minorHAnsi"/>
        </w:rPr>
        <w:t xml:space="preserve"> designed </w:t>
      </w:r>
      <w:r w:rsidR="00EE3703" w:rsidRPr="00436BC4">
        <w:rPr>
          <w:rFonts w:cstheme="minorHAnsi"/>
        </w:rPr>
        <w:t>to ‘other’ him, irrevocably queering his social body</w:t>
      </w:r>
      <w:r w:rsidR="00074D7A" w:rsidRPr="00436BC4">
        <w:rPr>
          <w:rFonts w:cstheme="minorHAnsi"/>
        </w:rPr>
        <w:t xml:space="preserve"> in the eyes of the society of the </w:t>
      </w:r>
      <w:r w:rsidR="00074D7A" w:rsidRPr="00436BC4">
        <w:rPr>
          <w:rFonts w:cstheme="minorHAnsi"/>
          <w:i/>
          <w:iCs/>
        </w:rPr>
        <w:t>Fourth Bra</w:t>
      </w:r>
      <w:r w:rsidR="00EE3703" w:rsidRPr="00436BC4">
        <w:rPr>
          <w:rFonts w:cstheme="minorHAnsi"/>
          <w:i/>
          <w:iCs/>
        </w:rPr>
        <w:t>nch.</w:t>
      </w:r>
    </w:p>
    <w:p w14:paraId="09F2EF9D" w14:textId="77777777" w:rsidR="003D2994" w:rsidRPr="003D2994" w:rsidRDefault="003D2994" w:rsidP="00161827">
      <w:pPr>
        <w:spacing w:line="480" w:lineRule="auto"/>
        <w:rPr>
          <w:rFonts w:cstheme="minorHAnsi"/>
        </w:rPr>
      </w:pPr>
    </w:p>
    <w:p w14:paraId="2A67D1AF" w14:textId="241A16F6" w:rsidR="009848E7" w:rsidRPr="00436BC4" w:rsidRDefault="00043042" w:rsidP="00B20478">
      <w:pPr>
        <w:spacing w:line="480" w:lineRule="auto"/>
      </w:pPr>
      <w:r w:rsidRPr="00436BC4">
        <w:t xml:space="preserve">Many of the characters’ actions in the </w:t>
      </w:r>
      <w:r w:rsidRPr="00436BC4">
        <w:rPr>
          <w:i/>
          <w:iCs/>
        </w:rPr>
        <w:t xml:space="preserve">Fourth Branch </w:t>
      </w:r>
      <w:r w:rsidRPr="00436BC4">
        <w:t xml:space="preserve">cause </w:t>
      </w:r>
      <w:r w:rsidR="009848E7">
        <w:t>‘</w:t>
      </w:r>
      <w:r w:rsidRPr="00436BC4">
        <w:t xml:space="preserve">societal </w:t>
      </w:r>
      <w:r w:rsidR="009848E7" w:rsidRPr="00407B35">
        <w:t>tolerable</w:t>
      </w:r>
      <w:r w:rsidR="009848E7">
        <w:t xml:space="preserve"> </w:t>
      </w:r>
      <w:r w:rsidRPr="00436BC4">
        <w:t>crisis</w:t>
      </w:r>
      <w:r w:rsidR="009848E7">
        <w:t>’</w:t>
      </w:r>
      <w:r w:rsidRPr="00436BC4">
        <w:t xml:space="preserve"> by deviating from implied common codes regulating behaviour. However, only Lleu and Aranrhod</w:t>
      </w:r>
      <w:r w:rsidR="009D53D6" w:rsidRPr="00436BC4">
        <w:t>’s</w:t>
      </w:r>
      <w:r w:rsidRPr="00436BC4">
        <w:t xml:space="preserve"> experiences of temporality impede the ‘correct’ functioning of the normative linear heteronormative temporality of the </w:t>
      </w:r>
      <w:r w:rsidRPr="00436BC4">
        <w:rPr>
          <w:i/>
          <w:iCs/>
        </w:rPr>
        <w:t xml:space="preserve">Fourth Branch </w:t>
      </w:r>
      <w:r w:rsidRPr="00436BC4">
        <w:t>in fundamental and lasting ways</w:t>
      </w:r>
      <w:r w:rsidRPr="00436BC4">
        <w:rPr>
          <w:i/>
          <w:iCs/>
        </w:rPr>
        <w:t>.</w:t>
      </w:r>
      <w:r w:rsidRPr="00436BC4">
        <w:t xml:space="preserve"> </w:t>
      </w:r>
      <w:r w:rsidR="009848E7">
        <w:t>Interestingly</w:t>
      </w:r>
      <w:r w:rsidRPr="00436BC4">
        <w:t>, a difference between these two characters is that Aranrhod</w:t>
      </w:r>
      <w:r w:rsidRPr="00436BC4">
        <w:rPr>
          <w:i/>
          <w:iCs/>
        </w:rPr>
        <w:t xml:space="preserve"> chooses</w:t>
      </w:r>
      <w:r w:rsidRPr="00436BC4">
        <w:t xml:space="preserve"> to be actively disruptive, whilst Lleu is passively disruptive with the text providing little in the way of </w:t>
      </w:r>
      <w:r w:rsidR="0032383B">
        <w:t>his</w:t>
      </w:r>
      <w:r w:rsidRPr="00436BC4">
        <w:t xml:space="preserve"> own thoughts on the matter. However, the result is a similar victimising of both characters by the hegemonic socio-political culture of the </w:t>
      </w:r>
      <w:r w:rsidRPr="00436BC4">
        <w:rPr>
          <w:i/>
          <w:iCs/>
        </w:rPr>
        <w:t>Fourth Branch</w:t>
      </w:r>
      <w:r w:rsidRPr="00436BC4">
        <w:t xml:space="preserve"> and their suspension in a queer liminality (literal for Aranrhod, </w:t>
      </w:r>
      <w:r w:rsidR="009D53D6" w:rsidRPr="00436BC4">
        <w:t>f</w:t>
      </w:r>
      <w:r w:rsidRPr="00436BC4">
        <w:t xml:space="preserve">igurative for Lleu). Attempts are made by Gwydion predominately to reconcile Lleu with the ‘straight’ social political society in the </w:t>
      </w:r>
      <w:r w:rsidRPr="00436BC4">
        <w:rPr>
          <w:i/>
          <w:iCs/>
        </w:rPr>
        <w:t>Fourth Branch</w:t>
      </w:r>
      <w:r w:rsidRPr="00436BC4">
        <w:t xml:space="preserve">, but at the end of the </w:t>
      </w:r>
      <w:r w:rsidRPr="00436BC4">
        <w:rPr>
          <w:i/>
          <w:iCs/>
        </w:rPr>
        <w:t xml:space="preserve">Branch </w:t>
      </w:r>
      <w:r w:rsidRPr="00436BC4">
        <w:t xml:space="preserve">cannot conceal his innate queerness by giving him a wife and the chance of reproductive futurity. </w:t>
      </w:r>
    </w:p>
    <w:p w14:paraId="640D08C9" w14:textId="1984073A" w:rsidR="00382341" w:rsidRDefault="00BA09DD" w:rsidP="00666DDC">
      <w:pPr>
        <w:pStyle w:val="Heading3"/>
        <w:numPr>
          <w:ilvl w:val="0"/>
          <w:numId w:val="10"/>
        </w:numPr>
        <w:spacing w:line="480" w:lineRule="auto"/>
      </w:pPr>
      <w:bookmarkStart w:id="51" w:name="_Toc175312191"/>
      <w:bookmarkStart w:id="52" w:name="_Hlk164425415"/>
      <w:r w:rsidRPr="00436BC4">
        <w:lastRenderedPageBreak/>
        <w:t xml:space="preserve">Finding the Hetero in the Homo – An Insight into the Straightness of </w:t>
      </w:r>
      <w:r w:rsidR="00666DDC" w:rsidRPr="00436BC4">
        <w:t>Metamorphosis</w:t>
      </w:r>
      <w:r w:rsidRPr="00436BC4">
        <w:t xml:space="preserve"> in the </w:t>
      </w:r>
      <w:r w:rsidRPr="00436BC4">
        <w:rPr>
          <w:i/>
          <w:iCs/>
        </w:rPr>
        <w:t>Fourth Branch</w:t>
      </w:r>
      <w:bookmarkEnd w:id="51"/>
    </w:p>
    <w:p w14:paraId="4E0FE0E0" w14:textId="1DA30223" w:rsidR="00A6722E" w:rsidRDefault="00A6722E" w:rsidP="00666DDC">
      <w:pPr>
        <w:spacing w:line="480" w:lineRule="auto"/>
      </w:pPr>
      <w:r w:rsidRPr="00436BC4">
        <w:t>The queerness expressed by Aranrhod and Lleu has been discussed abov</w:t>
      </w:r>
      <w:r w:rsidR="00CA16A4">
        <w:t>e. H</w:t>
      </w:r>
      <w:r w:rsidRPr="00436BC4">
        <w:t>owever</w:t>
      </w:r>
      <w:r w:rsidR="00CA16A4">
        <w:t>,</w:t>
      </w:r>
      <w:r w:rsidRPr="00436BC4">
        <w:t xml:space="preserve"> </w:t>
      </w:r>
      <w:r w:rsidR="00BB7E8F" w:rsidRPr="00436BC4">
        <w:t xml:space="preserve">questions may </w:t>
      </w:r>
      <w:r w:rsidR="00CA16A4">
        <w:t>arise asking</w:t>
      </w:r>
      <w:r w:rsidR="000E02DB" w:rsidRPr="00436BC4">
        <w:t xml:space="preserve"> </w:t>
      </w:r>
      <w:r w:rsidRPr="00436BC4">
        <w:t xml:space="preserve">why these two figures were chosen </w:t>
      </w:r>
      <w:r w:rsidR="00885D65" w:rsidRPr="00436BC4">
        <w:t>over</w:t>
      </w:r>
      <w:r w:rsidRPr="00436BC4">
        <w:t xml:space="preserve"> </w:t>
      </w:r>
      <w:r w:rsidR="00D13B0D">
        <w:t>other</w:t>
      </w:r>
      <w:r w:rsidR="00CA16A4">
        <w:t xml:space="preserve"> queer seeming</w:t>
      </w:r>
      <w:r w:rsidRPr="00436BC4">
        <w:t xml:space="preserve"> </w:t>
      </w:r>
      <w:r w:rsidR="00CA16A4">
        <w:t xml:space="preserve">episodes involving </w:t>
      </w:r>
      <w:r w:rsidR="00F11F52" w:rsidRPr="00436BC4">
        <w:t>physical</w:t>
      </w:r>
      <w:r w:rsidRPr="00436BC4">
        <w:t xml:space="preserve"> transformation of bodies across human-animal and sex</w:t>
      </w:r>
      <w:r w:rsidR="00CA16A4">
        <w:t>/gender</w:t>
      </w:r>
      <w:r w:rsidRPr="00436BC4">
        <w:t xml:space="preserve"> boundaries</w:t>
      </w:r>
      <w:r w:rsidR="00CA16A4">
        <w:t xml:space="preserve"> that are</w:t>
      </w:r>
      <w:r w:rsidR="00A01752" w:rsidRPr="00436BC4">
        <w:t xml:space="preserve"> experienced by Gwydion, Gilfaethwy and Blodeuedd.</w:t>
      </w:r>
      <w:r w:rsidRPr="00436BC4">
        <w:t xml:space="preserve"> As Davies says speaking specifically about the transformation of Gwydion and Gilfaethwy, the punishment ‘inflicts liminality’ upon the brothers: ‘they are thus not only humiliated (…) but are also marginalized as they live out this liminal existence as </w:t>
      </w:r>
      <w:r w:rsidRPr="00436BC4">
        <w:rPr>
          <w:i/>
          <w:iCs/>
        </w:rPr>
        <w:t>men yet not men, animals yet not animals</w:t>
      </w:r>
      <w:r w:rsidRPr="00436BC4">
        <w:t>’.</w:t>
      </w:r>
      <w:r w:rsidRPr="00436BC4">
        <w:rPr>
          <w:vertAlign w:val="superscript"/>
        </w:rPr>
        <w:footnoteReference w:id="124"/>
      </w:r>
      <w:r w:rsidRPr="00436BC4">
        <w:t xml:space="preserve"> Similarly, Blodeuedd is punished with liminality through her transformation into an owl and </w:t>
      </w:r>
      <w:r w:rsidR="00BB7E8F" w:rsidRPr="00436BC4">
        <w:t xml:space="preserve">ostracization </w:t>
      </w:r>
      <w:r w:rsidRPr="00436BC4">
        <w:t>from society. Destabilizing categories in this way does seem to be decidedly queer. Stahuljak’s assertion that the knights</w:t>
      </w:r>
      <w:r w:rsidR="00BA09DD" w:rsidRPr="00436BC4">
        <w:t>’</w:t>
      </w:r>
      <w:r w:rsidRPr="00436BC4">
        <w:t xml:space="preserve"> journey in chivalric romances contains a queer loss of bearings and identity can provide a comparison here. Similar to the knights</w:t>
      </w:r>
      <w:r w:rsidR="00BA09DD" w:rsidRPr="00436BC4">
        <w:t>’</w:t>
      </w:r>
      <w:r w:rsidRPr="00436BC4">
        <w:t xml:space="preserve"> experience, Gwydion, Gilfaethwy and Blodeuedd are subjected to a seeming loss of identity that precipitates a period of personal trauma and an encoding of the social by the nature of them being punished. </w:t>
      </w:r>
      <w:r w:rsidR="00F11F52" w:rsidRPr="00436BC4">
        <w:t xml:space="preserve">If they behave like beasts, they will be turned into them. </w:t>
      </w:r>
      <w:r w:rsidRPr="00436BC4">
        <w:t>Furthermore, Math offering ‘friendship’ – legal reconciliation between two parties</w:t>
      </w:r>
      <w:r w:rsidRPr="00436BC4">
        <w:rPr>
          <w:vertAlign w:val="superscript"/>
        </w:rPr>
        <w:footnoteReference w:id="125"/>
      </w:r>
      <w:r w:rsidRPr="00436BC4">
        <w:t xml:space="preserve"> - to Gwydion and Gilfaethwy creates a timeline from action, to </w:t>
      </w:r>
      <w:r w:rsidR="00B5028C" w:rsidRPr="00436BC4">
        <w:t xml:space="preserve">a </w:t>
      </w:r>
      <w:r w:rsidRPr="00436BC4">
        <w:t xml:space="preserve">state of suspension, to reconciliation that also corresponds to </w:t>
      </w:r>
      <w:r w:rsidR="00382341" w:rsidRPr="00436BC4">
        <w:t>Stahuljak’s</w:t>
      </w:r>
      <w:r w:rsidRPr="00436BC4">
        <w:t xml:space="preserve"> argument. However, despite the similarities, there are also important differences that gesture towards the </w:t>
      </w:r>
      <w:r w:rsidR="00BB7E8F" w:rsidRPr="00436BC4">
        <w:t>‘</w:t>
      </w:r>
      <w:r w:rsidRPr="00436BC4">
        <w:t>hetero within</w:t>
      </w:r>
      <w:r w:rsidR="00BB7E8F" w:rsidRPr="00436BC4">
        <w:t xml:space="preserve"> the homo’</w:t>
      </w:r>
      <w:r w:rsidRPr="00436BC4">
        <w:t xml:space="preserve">. </w:t>
      </w:r>
    </w:p>
    <w:p w14:paraId="556371C0" w14:textId="77777777" w:rsidR="003D2994" w:rsidRPr="00436BC4" w:rsidRDefault="003D2994" w:rsidP="00666DDC">
      <w:pPr>
        <w:spacing w:line="480" w:lineRule="auto"/>
      </w:pPr>
    </w:p>
    <w:p w14:paraId="24928134" w14:textId="38BECF30" w:rsidR="00A6722E" w:rsidRDefault="00A6722E" w:rsidP="00666DDC">
      <w:pPr>
        <w:spacing w:line="480" w:lineRule="auto"/>
      </w:pPr>
      <w:bookmarkStart w:id="54" w:name="_Hlk174271867"/>
      <w:r w:rsidRPr="00436BC4">
        <w:t>Zeikowitz</w:t>
      </w:r>
      <w:r w:rsidR="000B6EF8" w:rsidRPr="00436BC4">
        <w:t>’s</w:t>
      </w:r>
      <w:r w:rsidRPr="00436BC4">
        <w:t xml:space="preserve"> </w:t>
      </w:r>
      <w:bookmarkEnd w:id="54"/>
      <w:r w:rsidRPr="00436BC4">
        <w:t xml:space="preserve">work regarding the ‘unsettling of heterosexual paradigms in scholarship’ by ‘loosening hetero-homo binaries’ and ‘looking for the homo in the hetero and </w:t>
      </w:r>
      <w:r w:rsidR="00BB7E8F" w:rsidRPr="00436BC4">
        <w:t>vice versa</w:t>
      </w:r>
      <w:r w:rsidRPr="00436BC4">
        <w:t>’</w:t>
      </w:r>
      <w:r w:rsidR="000B6EF8" w:rsidRPr="00436BC4">
        <w:t>,</w:t>
      </w:r>
      <w:r w:rsidRPr="00436BC4">
        <w:rPr>
          <w:rStyle w:val="FootnoteReference"/>
        </w:rPr>
        <w:footnoteReference w:id="126"/>
      </w:r>
      <w:r w:rsidR="000B6EF8" w:rsidRPr="00436BC4">
        <w:t xml:space="preserve"> draws</w:t>
      </w:r>
      <w:r w:rsidRPr="00436BC4">
        <w:t xml:space="preserve"> focus </w:t>
      </w:r>
      <w:r w:rsidR="000B6EF8" w:rsidRPr="00436BC4">
        <w:t>t</w:t>
      </w:r>
      <w:r w:rsidRPr="00436BC4">
        <w:t xml:space="preserve">o </w:t>
      </w:r>
      <w:r w:rsidRPr="00436BC4">
        <w:lastRenderedPageBreak/>
        <w:t xml:space="preserve">medieval same-sex </w:t>
      </w:r>
      <w:r w:rsidR="00F11F52" w:rsidRPr="00436BC4">
        <w:t>relations</w:t>
      </w:r>
      <w:r w:rsidR="000B6EF8" w:rsidRPr="00436BC4">
        <w:t>. Zeikowitz</w:t>
      </w:r>
      <w:r w:rsidRPr="00436BC4">
        <w:t xml:space="preserve"> advocates </w:t>
      </w:r>
      <w:r w:rsidR="000B6EF8" w:rsidRPr="00436BC4">
        <w:t>for</w:t>
      </w:r>
      <w:r w:rsidRPr="00436BC4">
        <w:t xml:space="preserve"> the </w:t>
      </w:r>
      <w:r w:rsidR="00E139E5" w:rsidRPr="00436BC4">
        <w:t xml:space="preserve">greater significance </w:t>
      </w:r>
      <w:r w:rsidRPr="00436BC4">
        <w:t>of the political (and also social) contingent</w:t>
      </w:r>
      <w:r w:rsidR="000B6EF8" w:rsidRPr="00436BC4">
        <w:t xml:space="preserve"> for</w:t>
      </w:r>
      <w:r w:rsidRPr="00436BC4">
        <w:t xml:space="preserve"> understanding medieval texts</w:t>
      </w:r>
      <w:r w:rsidR="000B6EF8" w:rsidRPr="00436BC4">
        <w:t>,</w:t>
      </w:r>
      <w:r w:rsidR="00E139E5" w:rsidRPr="00436BC4">
        <w:t xml:space="preserve"> over</w:t>
      </w:r>
      <w:r w:rsidRPr="00436BC4">
        <w:t xml:space="preserve"> universal and essentialising categories of men or women, homo or hetero.</w:t>
      </w:r>
      <w:r w:rsidRPr="00436BC4">
        <w:rPr>
          <w:rStyle w:val="FootnoteReference"/>
        </w:rPr>
        <w:footnoteReference w:id="127"/>
      </w:r>
      <w:r w:rsidRPr="00436BC4">
        <w:t xml:space="preserve"> As Burgwinkle summarises,</w:t>
      </w:r>
      <w:r w:rsidR="004F6D66">
        <w:t xml:space="preserve"> just</w:t>
      </w:r>
      <w:r w:rsidRPr="00436BC4">
        <w:t xml:space="preserve"> because same-sex relations between a king and a lover </w:t>
      </w:r>
      <w:r w:rsidR="00B5028C" w:rsidRPr="00436BC4">
        <w:t>are</w:t>
      </w:r>
      <w:r w:rsidRPr="00436BC4">
        <w:t xml:space="preserve"> condemned, does not mean that same-sex relationship</w:t>
      </w:r>
      <w:r w:rsidR="004F6D66">
        <w:t>s</w:t>
      </w:r>
      <w:r w:rsidRPr="00436BC4">
        <w:t xml:space="preserve"> between people </w:t>
      </w:r>
      <w:r w:rsidR="004F6D66">
        <w:t>in</w:t>
      </w:r>
      <w:r w:rsidRPr="00436BC4">
        <w:t xml:space="preserve"> other </w:t>
      </w:r>
      <w:r w:rsidR="004F6D66">
        <w:t xml:space="preserve">classes </w:t>
      </w:r>
      <w:r w:rsidRPr="00436BC4">
        <w:t>would be.</w:t>
      </w:r>
      <w:r w:rsidRPr="00436BC4">
        <w:rPr>
          <w:rStyle w:val="FootnoteReference"/>
        </w:rPr>
        <w:footnoteReference w:id="128"/>
      </w:r>
      <w:r w:rsidRPr="00436BC4">
        <w:t xml:space="preserve"> As ever, context matters. The magical sex/gender swapping that occurs in the </w:t>
      </w:r>
      <w:r w:rsidRPr="00436BC4">
        <w:rPr>
          <w:i/>
          <w:iCs/>
        </w:rPr>
        <w:t>Fourth Branch</w:t>
      </w:r>
      <w:r w:rsidRPr="00436BC4">
        <w:t xml:space="preserve"> may seem queer to modern audiences, but </w:t>
      </w:r>
      <w:r w:rsidR="00A70964" w:rsidRPr="00436BC4">
        <w:t>here is</w:t>
      </w:r>
      <w:r w:rsidRPr="00436BC4">
        <w:t xml:space="preserve"> argued to operate within the normative medieval notions of gender, sex</w:t>
      </w:r>
      <w:r w:rsidR="003110A4" w:rsidRPr="00436BC4">
        <w:t>,</w:t>
      </w:r>
      <w:r w:rsidRPr="00436BC4">
        <w:t xml:space="preserve"> and</w:t>
      </w:r>
      <w:r w:rsidR="00A70964" w:rsidRPr="00436BC4">
        <w:t xml:space="preserve"> social </w:t>
      </w:r>
      <w:r w:rsidR="003110A4" w:rsidRPr="00436BC4">
        <w:t>control and oppression</w:t>
      </w:r>
      <w:r w:rsidRPr="00436BC4">
        <w:t>, when medieval notions of innate personhood is understood, and when transformations are used as punishment for transgressions against kin obligations</w:t>
      </w:r>
      <w:r w:rsidR="00A70964" w:rsidRPr="00436BC4">
        <w:t xml:space="preserve">. </w:t>
      </w:r>
    </w:p>
    <w:p w14:paraId="6B2C10B9" w14:textId="77777777" w:rsidR="003D2994" w:rsidRPr="00436BC4" w:rsidRDefault="003D2994" w:rsidP="00666DDC">
      <w:pPr>
        <w:spacing w:line="480" w:lineRule="auto"/>
      </w:pPr>
    </w:p>
    <w:p w14:paraId="66A7D05D" w14:textId="3634C3C4" w:rsidR="003D2994" w:rsidRPr="00436BC4" w:rsidRDefault="00DB00AB" w:rsidP="00666DDC">
      <w:pPr>
        <w:spacing w:line="480" w:lineRule="auto"/>
      </w:pPr>
      <w:r w:rsidRPr="00436BC4">
        <w:t xml:space="preserve">Drawing attention to how liminality as punishment is enacted in the text, </w:t>
      </w:r>
      <w:r w:rsidR="006E7E91">
        <w:t xml:space="preserve">Caroline Walker </w:t>
      </w:r>
      <w:r w:rsidRPr="00436BC4">
        <w:t>Bynum writes that</w:t>
      </w:r>
      <w:r w:rsidR="006E7E91">
        <w:t>,</w:t>
      </w:r>
      <w:r w:rsidRPr="00436BC4">
        <w:t xml:space="preserve"> in cases of metamorphosis, medieval authors maintain the importance of identities, and that even when destabilised</w:t>
      </w:r>
      <w:r w:rsidR="00A87D72" w:rsidRPr="00436BC4">
        <w:t>,</w:t>
      </w:r>
      <w:r w:rsidRPr="00436BC4">
        <w:t xml:space="preserve"> a certain degree of ‘self’ endures.</w:t>
      </w:r>
      <w:r w:rsidRPr="00436BC4">
        <w:rPr>
          <w:vertAlign w:val="superscript"/>
        </w:rPr>
        <w:footnoteReference w:id="129"/>
      </w:r>
      <w:r w:rsidRPr="00436BC4">
        <w:t xml:space="preserve"> </w:t>
      </w:r>
      <w:r w:rsidR="00692256">
        <w:t xml:space="preserve">Luicana Cordo </w:t>
      </w:r>
      <w:r w:rsidRPr="00436BC4">
        <w:t>Rosso adds that several tales</w:t>
      </w:r>
      <w:r w:rsidR="002A5649">
        <w:t>,</w:t>
      </w:r>
      <w:r w:rsidRPr="00436BC4">
        <w:t xml:space="preserve"> when taken with hagiographic references to human-animal transformations</w:t>
      </w:r>
      <w:r w:rsidR="00D72E48">
        <w:t>,</w:t>
      </w:r>
      <w:r w:rsidRPr="00436BC4">
        <w:t xml:space="preserve"> highlight the ‘fluidity and instability of the boundaries between the human and animal worlds’</w:t>
      </w:r>
      <w:r w:rsidR="00BA09DD" w:rsidRPr="00436BC4">
        <w:t>,</w:t>
      </w:r>
      <w:r w:rsidRPr="00436BC4">
        <w:t xml:space="preserve"> suggesting that ‘there was no </w:t>
      </w:r>
      <w:r w:rsidR="00BA09DD" w:rsidRPr="00436BC4">
        <w:t>rigid barrier</w:t>
      </w:r>
      <w:r w:rsidRPr="00436BC4">
        <w:t xml:space="preserve"> in the Celtic mind between the human and the animal form’.</w:t>
      </w:r>
      <w:r w:rsidRPr="00436BC4">
        <w:rPr>
          <w:vertAlign w:val="superscript"/>
        </w:rPr>
        <w:footnoteReference w:id="130"/>
      </w:r>
      <w:r w:rsidRPr="00436BC4">
        <w:t xml:space="preserve"> </w:t>
      </w:r>
    </w:p>
    <w:p w14:paraId="66D8F465" w14:textId="4462F8B6" w:rsidR="000B6EF8" w:rsidRDefault="00DB00AB" w:rsidP="00666DDC">
      <w:pPr>
        <w:spacing w:line="480" w:lineRule="auto"/>
      </w:pPr>
      <w:r w:rsidRPr="00436BC4">
        <w:t>When responding to the trespassing or infringement of social obligations within the kin group in t</w:t>
      </w:r>
      <w:r w:rsidR="00FA087E" w:rsidRPr="00436BC4">
        <w:t>h</w:t>
      </w:r>
      <w:r w:rsidR="008264D4" w:rsidRPr="00436BC4">
        <w:t>e</w:t>
      </w:r>
      <w:r w:rsidR="00FA087E" w:rsidRPr="00436BC4">
        <w:t xml:space="preserve"> world of the</w:t>
      </w:r>
      <w:r w:rsidR="008264D4" w:rsidRPr="00436BC4">
        <w:t xml:space="preserve"> </w:t>
      </w:r>
      <w:r w:rsidR="008264D4" w:rsidRPr="00436BC4">
        <w:rPr>
          <w:i/>
          <w:iCs/>
        </w:rPr>
        <w:t>Fourth Branch</w:t>
      </w:r>
      <w:r w:rsidRPr="00436BC4">
        <w:rPr>
          <w:i/>
          <w:iCs/>
        </w:rPr>
        <w:t>,</w:t>
      </w:r>
      <w:r w:rsidR="008264D4" w:rsidRPr="00436BC4">
        <w:t xml:space="preserve"> </w:t>
      </w:r>
      <w:r w:rsidR="009E696B" w:rsidRPr="00436BC4">
        <w:t>the</w:t>
      </w:r>
      <w:r w:rsidRPr="00436BC4">
        <w:t xml:space="preserve"> narrative outlines the</w:t>
      </w:r>
      <w:r w:rsidR="008264D4" w:rsidRPr="00436BC4">
        <w:t xml:space="preserve"> process of </w:t>
      </w:r>
      <w:r w:rsidRPr="00436BC4">
        <w:t xml:space="preserve">punishment, </w:t>
      </w:r>
      <w:r w:rsidR="008264D4" w:rsidRPr="00436BC4">
        <w:t>reparations</w:t>
      </w:r>
      <w:r w:rsidR="009E696B" w:rsidRPr="00436BC4">
        <w:t xml:space="preserve"> and reconciliation</w:t>
      </w:r>
      <w:r w:rsidRPr="00436BC4">
        <w:t xml:space="preserve"> via forced </w:t>
      </w:r>
      <w:r w:rsidR="00A87D72" w:rsidRPr="00436BC4">
        <w:t>transformation</w:t>
      </w:r>
      <w:r w:rsidRPr="00436BC4">
        <w:t xml:space="preserve"> of wrongdoers. </w:t>
      </w:r>
      <w:r w:rsidR="00D02843" w:rsidRPr="00436BC4">
        <w:t xml:space="preserve">Acting as official process, forced transformation </w:t>
      </w:r>
      <w:r w:rsidR="008264D4" w:rsidRPr="00436BC4">
        <w:t>allow</w:t>
      </w:r>
      <w:r w:rsidRPr="00436BC4">
        <w:t xml:space="preserve">s </w:t>
      </w:r>
      <w:r w:rsidR="008264D4" w:rsidRPr="00436BC4">
        <w:t>for</w:t>
      </w:r>
      <w:r w:rsidR="00A87D72" w:rsidRPr="00436BC4">
        <w:t xml:space="preserve"> the</w:t>
      </w:r>
      <w:r w:rsidR="008264D4" w:rsidRPr="00436BC4">
        <w:t xml:space="preserve"> injured parties to be compensated</w:t>
      </w:r>
      <w:r w:rsidR="009E696B" w:rsidRPr="00436BC4">
        <w:t xml:space="preserve"> and to </w:t>
      </w:r>
      <w:r w:rsidR="00A87D72" w:rsidRPr="00436BC4">
        <w:t>reduc</w:t>
      </w:r>
      <w:r w:rsidR="006D0F11" w:rsidRPr="00436BC4">
        <w:t>e</w:t>
      </w:r>
      <w:r w:rsidR="00A87D72" w:rsidRPr="00436BC4">
        <w:t xml:space="preserve"> the chances of</w:t>
      </w:r>
      <w:r w:rsidR="009E696B" w:rsidRPr="00436BC4">
        <w:t xml:space="preserve"> future conflict</w:t>
      </w:r>
      <w:r w:rsidR="008264D4" w:rsidRPr="00436BC4">
        <w:t xml:space="preserve">, </w:t>
      </w:r>
      <w:r w:rsidRPr="00436BC4">
        <w:t xml:space="preserve">whilst </w:t>
      </w:r>
      <w:r w:rsidR="008264D4" w:rsidRPr="00436BC4">
        <w:t>punish</w:t>
      </w:r>
      <w:r w:rsidRPr="00436BC4">
        <w:t>ing</w:t>
      </w:r>
      <w:r w:rsidR="008264D4" w:rsidRPr="00436BC4">
        <w:t xml:space="preserve"> </w:t>
      </w:r>
      <w:r w:rsidR="00D02843" w:rsidRPr="00436BC4">
        <w:t xml:space="preserve">the </w:t>
      </w:r>
      <w:r w:rsidR="008264D4" w:rsidRPr="00436BC4">
        <w:t>wrongdoers and warn</w:t>
      </w:r>
      <w:r w:rsidRPr="00436BC4">
        <w:t>ing</w:t>
      </w:r>
      <w:r w:rsidR="008264D4" w:rsidRPr="00436BC4">
        <w:t xml:space="preserve"> off potential future trespassers. </w:t>
      </w:r>
      <w:r w:rsidR="00015E58" w:rsidRPr="00436BC4">
        <w:t>Cichon</w:t>
      </w:r>
      <w:r w:rsidR="008264D4" w:rsidRPr="00436BC4">
        <w:t xml:space="preserve"> says </w:t>
      </w:r>
      <w:r w:rsidR="00847F43">
        <w:t xml:space="preserve">that </w:t>
      </w:r>
      <w:r w:rsidR="008264D4" w:rsidRPr="00436BC4">
        <w:t xml:space="preserve">‘the various transgressions are rooted in passion, and the strength of passion is directly </w:t>
      </w:r>
      <w:r w:rsidR="008264D4" w:rsidRPr="00436BC4">
        <w:lastRenderedPageBreak/>
        <w:t>proportional to the transgression it sets up. With its inevitable punitive outcome, every transgressive sexual act initiates a social exchange that</w:t>
      </w:r>
      <w:r w:rsidR="00CC7E81">
        <w:t>,</w:t>
      </w:r>
      <w:r w:rsidR="008264D4" w:rsidRPr="00436BC4">
        <w:t xml:space="preserve"> as in the compensation for any insult, resolves the disruptive pairing’.</w:t>
      </w:r>
      <w:r w:rsidR="008264D4" w:rsidRPr="00436BC4">
        <w:rPr>
          <w:vertAlign w:val="superscript"/>
        </w:rPr>
        <w:footnoteReference w:id="131"/>
      </w:r>
      <w:r w:rsidR="008264D4" w:rsidRPr="00436BC4">
        <w:t xml:space="preserve"> </w:t>
      </w:r>
      <w:r w:rsidR="00A70964" w:rsidRPr="00436BC4">
        <w:t>This is seen in the design of the punishments themselves. The animal transformations th</w:t>
      </w:r>
      <w:r w:rsidR="006D0F11" w:rsidRPr="00436BC4">
        <w:t>at</w:t>
      </w:r>
      <w:r w:rsidR="00A70964" w:rsidRPr="00436BC4">
        <w:t xml:space="preserve"> </w:t>
      </w:r>
      <w:r w:rsidR="003110A4" w:rsidRPr="00436BC4">
        <w:t>Gwydion, Gilfaethwy, and Blodeuwedd</w:t>
      </w:r>
      <w:r w:rsidR="00A70964" w:rsidRPr="00436BC4">
        <w:t xml:space="preserve"> endure </w:t>
      </w:r>
      <w:r w:rsidR="006B62B3" w:rsidRPr="00436BC4">
        <w:t>communicate the nature of their</w:t>
      </w:r>
      <w:r w:rsidR="00A70964" w:rsidRPr="00436BC4">
        <w:t xml:space="preserve"> crimes</w:t>
      </w:r>
      <w:r w:rsidR="006B62B3" w:rsidRPr="00436BC4">
        <w:t xml:space="preserve"> to medieval audiences</w:t>
      </w:r>
      <w:r w:rsidR="00A70964" w:rsidRPr="00436BC4">
        <w:t xml:space="preserve"> – the deer and the boar have medieval associations with cunning, and their horns/tusks are phallic, the wolf is a predator and associated with outcasts,</w:t>
      </w:r>
      <w:r w:rsidR="00A70964" w:rsidRPr="00436BC4">
        <w:rPr>
          <w:vertAlign w:val="superscript"/>
        </w:rPr>
        <w:footnoteReference w:id="132"/>
      </w:r>
      <w:r w:rsidR="00A70964" w:rsidRPr="00436BC4">
        <w:t xml:space="preserve"> the owl is scorned by other birds and is also an outcast.</w:t>
      </w:r>
      <w:r w:rsidR="00A70964" w:rsidRPr="00436BC4">
        <w:rPr>
          <w:vertAlign w:val="superscript"/>
        </w:rPr>
        <w:footnoteReference w:id="133"/>
      </w:r>
      <w:r w:rsidR="00A87D72" w:rsidRPr="00436BC4">
        <w:t xml:space="preserve"> </w:t>
      </w:r>
      <w:r w:rsidR="006B62B3" w:rsidRPr="00436BC4">
        <w:t xml:space="preserve">Via the symbolism of the animal forms, the oppressive power structures of the </w:t>
      </w:r>
      <w:r w:rsidR="006B62B3" w:rsidRPr="00436BC4">
        <w:rPr>
          <w:i/>
          <w:iCs/>
        </w:rPr>
        <w:t>Fourth Branch</w:t>
      </w:r>
      <w:r w:rsidR="006B62B3" w:rsidRPr="00436BC4">
        <w:t xml:space="preserve"> communicate what type of person and behaviour is unacceptable to society and must be destroyed.</w:t>
      </w:r>
    </w:p>
    <w:p w14:paraId="7463AE52" w14:textId="77777777" w:rsidR="003D2994" w:rsidRPr="00436BC4" w:rsidRDefault="003D2994" w:rsidP="00666DDC">
      <w:pPr>
        <w:spacing w:line="480" w:lineRule="auto"/>
      </w:pPr>
    </w:p>
    <w:p w14:paraId="0962D565" w14:textId="18C1C778" w:rsidR="008264D4" w:rsidRDefault="00421E65" w:rsidP="00666DDC">
      <w:pPr>
        <w:spacing w:line="480" w:lineRule="auto"/>
      </w:pPr>
      <w:r w:rsidRPr="00436BC4">
        <w:t>Therefore, i</w:t>
      </w:r>
      <w:r w:rsidR="008264D4" w:rsidRPr="00436BC4">
        <w:t xml:space="preserve">n the </w:t>
      </w:r>
      <w:r w:rsidR="008264D4" w:rsidRPr="00436BC4">
        <w:rPr>
          <w:i/>
          <w:iCs/>
        </w:rPr>
        <w:t>Fourth Branch</w:t>
      </w:r>
      <w:r w:rsidR="008264D4" w:rsidRPr="00436BC4">
        <w:t xml:space="preserve"> the enactment of </w:t>
      </w:r>
      <w:r w:rsidR="008264D4" w:rsidRPr="00436BC4">
        <w:rPr>
          <w:i/>
          <w:iCs/>
        </w:rPr>
        <w:t>punitive</w:t>
      </w:r>
      <w:r w:rsidR="008264D4" w:rsidRPr="00436BC4">
        <w:t xml:space="preserve"> metamorphoses </w:t>
      </w:r>
      <w:r w:rsidR="00A01752" w:rsidRPr="00436BC4">
        <w:t xml:space="preserve">by the </w:t>
      </w:r>
      <w:r w:rsidRPr="00436BC4">
        <w:t>hegemonic regime</w:t>
      </w:r>
      <w:r w:rsidR="002D0EBA" w:rsidRPr="00436BC4">
        <w:t xml:space="preserve"> is a means of legitimate and normative social control and terror used to enforce its structures and conventions. It</w:t>
      </w:r>
      <w:r w:rsidR="008264D4" w:rsidRPr="00436BC4">
        <w:t xml:space="preserve"> destabilise</w:t>
      </w:r>
      <w:r w:rsidRPr="00436BC4">
        <w:t>s</w:t>
      </w:r>
      <w:r w:rsidR="00871EFD" w:rsidRPr="00436BC4">
        <w:t>,</w:t>
      </w:r>
      <w:r w:rsidR="008264D4" w:rsidRPr="00436BC4">
        <w:t xml:space="preserve"> but do</w:t>
      </w:r>
      <w:r w:rsidRPr="00436BC4">
        <w:t>es</w:t>
      </w:r>
      <w:r w:rsidR="008264D4" w:rsidRPr="00436BC4">
        <w:t xml:space="preserve"> not destroy</w:t>
      </w:r>
      <w:r w:rsidR="00871EFD" w:rsidRPr="00436BC4">
        <w:t>,</w:t>
      </w:r>
      <w:r w:rsidR="008264D4" w:rsidRPr="00436BC4">
        <w:t xml:space="preserve"> the individual identity, </w:t>
      </w:r>
      <w:r w:rsidR="00871EFD" w:rsidRPr="00436BC4">
        <w:t>nor</w:t>
      </w:r>
      <w:r w:rsidR="008264D4" w:rsidRPr="00436BC4">
        <w:t xml:space="preserve"> </w:t>
      </w:r>
      <w:r w:rsidR="00871EFD" w:rsidRPr="00436BC4">
        <w:t>does it stop reintegration</w:t>
      </w:r>
      <w:r w:rsidR="008264D4" w:rsidRPr="00436BC4">
        <w:t xml:space="preserve"> into </w:t>
      </w:r>
      <w:r w:rsidR="00871EFD" w:rsidRPr="00436BC4">
        <w:t>the</w:t>
      </w:r>
      <w:r w:rsidR="008264D4" w:rsidRPr="00436BC4">
        <w:t xml:space="preserve"> </w:t>
      </w:r>
      <w:r w:rsidR="00871EFD" w:rsidRPr="00436BC4">
        <w:t>kin group</w:t>
      </w:r>
      <w:r w:rsidR="008264D4" w:rsidRPr="00436BC4">
        <w:t xml:space="preserve"> and the network of dependency ties and familial responsibilities and obligations.</w:t>
      </w:r>
      <w:r w:rsidR="008264D4" w:rsidRPr="00436BC4">
        <w:rPr>
          <w:vertAlign w:val="superscript"/>
        </w:rPr>
        <w:footnoteReference w:id="134"/>
      </w:r>
      <w:r w:rsidR="008264D4" w:rsidRPr="00436BC4">
        <w:t xml:space="preserve"> </w:t>
      </w:r>
      <w:r w:rsidR="00871EFD" w:rsidRPr="00436BC4">
        <w:t>Th</w:t>
      </w:r>
      <w:r w:rsidRPr="00436BC4">
        <w:t>us</w:t>
      </w:r>
      <w:r w:rsidR="008264D4" w:rsidRPr="00436BC4">
        <w:t xml:space="preserve">, the punishments of Gwydion, Gilfaethwy and Blodeuedd </w:t>
      </w:r>
      <w:r w:rsidR="00871EFD" w:rsidRPr="00436BC4">
        <w:t>become</w:t>
      </w:r>
      <w:r w:rsidR="008264D4" w:rsidRPr="00436BC4">
        <w:t xml:space="preserve"> less socially threatening</w:t>
      </w:r>
      <w:r w:rsidR="00CA5076" w:rsidRPr="00436BC4">
        <w:t xml:space="preserve"> and more socially enforcing</w:t>
      </w:r>
      <w:r w:rsidR="008264D4" w:rsidRPr="00436BC4">
        <w:t xml:space="preserve"> if we are to understand that the social </w:t>
      </w:r>
      <w:r w:rsidR="00871EFD" w:rsidRPr="00436BC4">
        <w:t>body</w:t>
      </w:r>
      <w:r w:rsidR="008264D4" w:rsidRPr="00436BC4">
        <w:t xml:space="preserve"> remains intact throughout the process. This is most clearly seen in the </w:t>
      </w:r>
      <w:r w:rsidR="008264D4" w:rsidRPr="00436BC4">
        <w:rPr>
          <w:i/>
          <w:iCs/>
        </w:rPr>
        <w:t>Fourth Branch</w:t>
      </w:r>
      <w:r w:rsidR="008264D4" w:rsidRPr="00436BC4">
        <w:t xml:space="preserve"> when Blodeuedd is transformed into an owl and Gwydion ‘fixes her name’ in her new </w:t>
      </w:r>
      <w:r w:rsidR="008264D4" w:rsidRPr="00436BC4">
        <w:rPr>
          <w:i/>
          <w:iCs/>
        </w:rPr>
        <w:t>rith</w:t>
      </w:r>
      <w:r w:rsidR="008264D4" w:rsidRPr="00436BC4">
        <w:t xml:space="preserve"> (shape) so that she retains an aspect of herself as part of her punishment, one that references her original vegetal state.</w:t>
      </w:r>
      <w:r w:rsidR="008264D4" w:rsidRPr="00436BC4">
        <w:rPr>
          <w:vertAlign w:val="superscript"/>
        </w:rPr>
        <w:footnoteReference w:id="135"/>
      </w:r>
      <w:r w:rsidR="008264D4" w:rsidRPr="00436BC4">
        <w:t xml:space="preserve"> </w:t>
      </w:r>
    </w:p>
    <w:p w14:paraId="000BE3C9" w14:textId="77777777" w:rsidR="003D2994" w:rsidRPr="00436BC4" w:rsidRDefault="003D2994" w:rsidP="00666DDC">
      <w:pPr>
        <w:spacing w:line="480" w:lineRule="auto"/>
      </w:pPr>
    </w:p>
    <w:p w14:paraId="11A47158" w14:textId="35718FE8" w:rsidR="00B8313D" w:rsidRPr="009D7B8F" w:rsidRDefault="003960B0" w:rsidP="00666DDC">
      <w:pPr>
        <w:spacing w:line="480" w:lineRule="auto"/>
      </w:pPr>
      <w:r>
        <w:lastRenderedPageBreak/>
        <w:t xml:space="preserve">Katherine </w:t>
      </w:r>
      <w:r w:rsidR="008264D4" w:rsidRPr="00436BC4">
        <w:t xml:space="preserve">Millersdaughter points out that Gwydion and Gilfaethwy’s shapeshifting episode in the </w:t>
      </w:r>
      <w:r w:rsidR="008264D4" w:rsidRPr="00436BC4">
        <w:rPr>
          <w:i/>
          <w:iCs/>
        </w:rPr>
        <w:t>Fourth Branch</w:t>
      </w:r>
      <w:r w:rsidR="008264D4" w:rsidRPr="00436BC4">
        <w:t xml:space="preserve"> functions as</w:t>
      </w:r>
      <w:r w:rsidR="006D0F11" w:rsidRPr="00436BC4">
        <w:t xml:space="preserve"> a</w:t>
      </w:r>
      <w:r w:rsidR="008264D4" w:rsidRPr="00436BC4">
        <w:t xml:space="preserve"> trial for the punished subjects to re-enter the community as political subjects.</w:t>
      </w:r>
      <w:r w:rsidR="008264D4" w:rsidRPr="00436BC4">
        <w:rPr>
          <w:vertAlign w:val="superscript"/>
        </w:rPr>
        <w:footnoteReference w:id="136"/>
      </w:r>
      <w:r w:rsidR="008264D4" w:rsidRPr="00436BC4">
        <w:t xml:space="preserve">  As she states in her article </w:t>
      </w:r>
      <w:r w:rsidR="008264D4" w:rsidRPr="00436BC4">
        <w:rPr>
          <w:i/>
          <w:iCs/>
        </w:rPr>
        <w:t>Incest in the Fourth Branch of the Mabinogi</w:t>
      </w:r>
      <w:r w:rsidR="00B8313D" w:rsidRPr="009D7B8F">
        <w:t>:</w:t>
      </w:r>
      <w:r w:rsidR="008264D4" w:rsidRPr="00436BC4">
        <w:rPr>
          <w:i/>
          <w:iCs/>
        </w:rPr>
        <w:t xml:space="preserve"> </w:t>
      </w:r>
    </w:p>
    <w:p w14:paraId="5939B30C" w14:textId="77777777" w:rsidR="00B8313D" w:rsidRPr="00436BC4" w:rsidRDefault="00B8313D" w:rsidP="00666DDC">
      <w:pPr>
        <w:spacing w:line="480" w:lineRule="auto"/>
        <w:ind w:left="720"/>
      </w:pPr>
      <w:r w:rsidRPr="00436BC4">
        <w:t>B</w:t>
      </w:r>
      <w:r w:rsidR="008264D4" w:rsidRPr="00436BC4">
        <w:t xml:space="preserve">efore punishment Gwydion was passively born into close kinship with Math, after punishment he has actively earned that relation: Math tells his nephews, </w:t>
      </w:r>
      <w:r w:rsidRPr="00436BC4">
        <w:t>‘Y</w:t>
      </w:r>
      <w:r w:rsidR="008264D4" w:rsidRPr="00436BC4">
        <w:t>ou have received peace and will have kinship</w:t>
      </w:r>
      <w:r w:rsidRPr="00436BC4">
        <w:t>’</w:t>
      </w:r>
      <w:r w:rsidR="00752631" w:rsidRPr="00436BC4">
        <w:t>.</w:t>
      </w:r>
      <w:r w:rsidR="008B7F51" w:rsidRPr="00436BC4">
        <w:rPr>
          <w:rStyle w:val="FootnoteReference"/>
        </w:rPr>
        <w:footnoteReference w:id="137"/>
      </w:r>
      <w:r w:rsidR="008264D4" w:rsidRPr="00436BC4">
        <w:t xml:space="preserve"> Illicit desire, lawless discourse, sexual aggression and reprisal constitute stages in the consolidation, even consummation, of political relations between Math and his sister's sons’.</w:t>
      </w:r>
      <w:r w:rsidR="008264D4" w:rsidRPr="00436BC4">
        <w:rPr>
          <w:vertAlign w:val="superscript"/>
        </w:rPr>
        <w:footnoteReference w:id="138"/>
      </w:r>
      <w:r w:rsidR="008264D4" w:rsidRPr="00436BC4">
        <w:t xml:space="preserve"> </w:t>
      </w:r>
    </w:p>
    <w:p w14:paraId="2FA12915" w14:textId="3C8EAE91" w:rsidR="008264D4" w:rsidRDefault="008264D4" w:rsidP="00666DDC">
      <w:pPr>
        <w:spacing w:line="480" w:lineRule="auto"/>
      </w:pPr>
      <w:r w:rsidRPr="00436BC4">
        <w:t>The experience thus brings the brothers into closer partnership with Math, the patriarch and ultimate arbiter of patriarchal law. Gwydion’s punishment of Blodeuedd</w:t>
      </w:r>
      <w:r w:rsidR="00752631" w:rsidRPr="00436BC4">
        <w:t xml:space="preserve">, </w:t>
      </w:r>
      <w:r w:rsidRPr="00436BC4">
        <w:t>also for a sex</w:t>
      </w:r>
      <w:r w:rsidR="00017B92">
        <w:t>-</w:t>
      </w:r>
      <w:r w:rsidRPr="00436BC4">
        <w:t>based crime</w:t>
      </w:r>
      <w:r w:rsidR="00752631" w:rsidRPr="00436BC4">
        <w:t>,</w:t>
      </w:r>
      <w:r w:rsidRPr="00436BC4">
        <w:t xml:space="preserve"> </w:t>
      </w:r>
      <w:r w:rsidR="00B8313D" w:rsidRPr="00436BC4">
        <w:t>can also</w:t>
      </w:r>
      <w:r w:rsidRPr="00436BC4">
        <w:t xml:space="preserve"> </w:t>
      </w:r>
      <w:r w:rsidR="00254699" w:rsidRPr="00436BC4">
        <w:t xml:space="preserve">therefore </w:t>
      </w:r>
      <w:r w:rsidRPr="00436BC4">
        <w:t>indicat</w:t>
      </w:r>
      <w:r w:rsidR="00B8313D" w:rsidRPr="00436BC4">
        <w:t>e that</w:t>
      </w:r>
      <w:r w:rsidRPr="00436BC4">
        <w:t xml:space="preserve"> he has become fully integrated into the politically symbolic world of the </w:t>
      </w:r>
      <w:r w:rsidRPr="00436BC4">
        <w:rPr>
          <w:i/>
          <w:iCs/>
        </w:rPr>
        <w:t>Fourth Branch</w:t>
      </w:r>
      <w:r w:rsidRPr="00436BC4">
        <w:t xml:space="preserve"> as a new enforcer of the normative laws governing behaviour.</w:t>
      </w:r>
      <w:r w:rsidRPr="00436BC4">
        <w:rPr>
          <w:vertAlign w:val="superscript"/>
        </w:rPr>
        <w:footnoteReference w:id="139"/>
      </w:r>
      <w:r w:rsidRPr="00436BC4">
        <w:t xml:space="preserve"> Whereas he, as a man, has access to forgiveness for sexual misconduct,</w:t>
      </w:r>
      <w:r w:rsidR="006F31C9" w:rsidRPr="00436BC4">
        <w:t xml:space="preserve"> under this misogynistic regime</w:t>
      </w:r>
      <w:r w:rsidRPr="00436BC4">
        <w:t xml:space="preserve"> </w:t>
      </w:r>
      <w:r w:rsidR="00B8313D" w:rsidRPr="00436BC4">
        <w:t>Blodeuedd</w:t>
      </w:r>
      <w:r w:rsidR="00254699" w:rsidRPr="00436BC4">
        <w:t>,</w:t>
      </w:r>
      <w:r w:rsidRPr="00436BC4">
        <w:t xml:space="preserve"> as a woman, can never repent for the shame she has brought to the kin group</w:t>
      </w:r>
      <w:r w:rsidR="00254699" w:rsidRPr="00436BC4">
        <w:t>,</w:t>
      </w:r>
      <w:r w:rsidRPr="00436BC4">
        <w:t xml:space="preserve"> and so her transformation is permanent.</w:t>
      </w:r>
      <w:r w:rsidR="00B8313D" w:rsidRPr="00436BC4">
        <w:rPr>
          <w:rStyle w:val="FootnoteReference"/>
        </w:rPr>
        <w:footnoteReference w:id="140"/>
      </w:r>
      <w:r w:rsidRPr="00436BC4">
        <w:t xml:space="preserve"> Those who transgress sexual taboos against kin and culture are punished with human and physical sex instability. After this period</w:t>
      </w:r>
      <w:r w:rsidR="00DC2782">
        <w:t>,</w:t>
      </w:r>
      <w:r w:rsidRPr="00436BC4">
        <w:t xml:space="preserve"> those who are privileged by the society (men - Gwydion), become agents for the reinforcing of the patriarchal system of control, and those who bare the weight of shame for their kin group (women - Blodeuedd) are outcast. </w:t>
      </w:r>
    </w:p>
    <w:p w14:paraId="01E5FD64" w14:textId="77777777" w:rsidR="003D2994" w:rsidRPr="00436BC4" w:rsidRDefault="003D2994" w:rsidP="00666DDC">
      <w:pPr>
        <w:spacing w:line="480" w:lineRule="auto"/>
      </w:pPr>
    </w:p>
    <w:p w14:paraId="07FF3C8F" w14:textId="3A981270" w:rsidR="00B8313D" w:rsidRPr="00436BC4" w:rsidRDefault="00B8313D" w:rsidP="00666DDC">
      <w:pPr>
        <w:spacing w:line="480" w:lineRule="auto"/>
      </w:pPr>
      <w:r w:rsidRPr="00436BC4">
        <w:lastRenderedPageBreak/>
        <w:t>From our modern perspective the idea of body transformation and especially biological sex switching is highly queer</w:t>
      </w:r>
      <w:r w:rsidR="00076E3F" w:rsidRPr="00436BC4">
        <w:t>.</w:t>
      </w:r>
      <w:r w:rsidRPr="00436BC4">
        <w:t xml:space="preserve"> However, </w:t>
      </w:r>
      <w:r w:rsidR="00CA5076" w:rsidRPr="00436BC4">
        <w:t xml:space="preserve">with the help of queer </w:t>
      </w:r>
      <w:r w:rsidR="004A052A" w:rsidRPr="00436BC4">
        <w:t xml:space="preserve">analysis of medieval case studies, </w:t>
      </w:r>
      <w:r w:rsidRPr="00436BC4">
        <w:t xml:space="preserve">the evidence points to a medieval context that did not find bodily instability and metamorphosis particularly disruptive or transgressive. Indeed, the acts of physical change themselves seem not only to be in line with the social, political and cultural structure in the </w:t>
      </w:r>
      <w:r w:rsidRPr="00436BC4">
        <w:rPr>
          <w:i/>
          <w:iCs/>
        </w:rPr>
        <w:t>Fourth Branch,</w:t>
      </w:r>
      <w:r w:rsidRPr="00436BC4">
        <w:t xml:space="preserve"> but indeed reinforce</w:t>
      </w:r>
      <w:r w:rsidR="004A052A" w:rsidRPr="00436BC4">
        <w:t xml:space="preserve"> its structures of power, subjugation and forced compliance</w:t>
      </w:r>
      <w:r w:rsidRPr="00436BC4">
        <w:t>.</w:t>
      </w:r>
      <w:r w:rsidR="00415A46" w:rsidRPr="00436BC4">
        <w:t xml:space="preserve"> </w:t>
      </w:r>
      <w:r w:rsidR="00F807A6">
        <w:t>The Illicit sex that occurs in these sections of the narrative create</w:t>
      </w:r>
      <w:r w:rsidR="00407B35">
        <w:t>s</w:t>
      </w:r>
      <w:r w:rsidR="00F807A6">
        <w:t xml:space="preserve"> a ‘societally tolerable crisis’</w:t>
      </w:r>
      <w:r w:rsidR="00407B35">
        <w:t>;</w:t>
      </w:r>
      <w:r w:rsidR="00F807A6">
        <w:t xml:space="preserve"> situations where ruling regime is able to </w:t>
      </w:r>
      <w:r w:rsidR="0032072D">
        <w:t xml:space="preserve">successfully </w:t>
      </w:r>
      <w:r w:rsidR="00F807A6">
        <w:t>contain and punish transgression</w:t>
      </w:r>
      <w:r w:rsidR="0032072D">
        <w:t>s</w:t>
      </w:r>
      <w:r w:rsidR="00F807A6">
        <w:t xml:space="preserve"> that threaten</w:t>
      </w:r>
      <w:r w:rsidR="0032072D">
        <w:t xml:space="preserve"> hegemonic</w:t>
      </w:r>
      <w:r w:rsidR="00F807A6">
        <w:t xml:space="preserve"> social stability, legitimacy</w:t>
      </w:r>
      <w:r w:rsidR="0032072D">
        <w:t>,</w:t>
      </w:r>
      <w:r w:rsidR="00F807A6">
        <w:t xml:space="preserve"> and hierarchy. </w:t>
      </w:r>
      <w:r w:rsidR="00415A46" w:rsidRPr="00436BC4">
        <w:t xml:space="preserve">Queer theory here reveals the false understanding that queerness and non-queerness exist separately, confusing </w:t>
      </w:r>
      <w:r w:rsidR="008073BB" w:rsidRPr="00436BC4">
        <w:t xml:space="preserve">the assumed </w:t>
      </w:r>
      <w:r w:rsidR="00070265" w:rsidRPr="00436BC4">
        <w:t xml:space="preserve">fixed </w:t>
      </w:r>
      <w:r w:rsidR="008073BB" w:rsidRPr="00436BC4">
        <w:t>binaries of gay and straight, integral and non-essential, victim and perpetrator.</w:t>
      </w:r>
    </w:p>
    <w:p w14:paraId="45ABF9DE" w14:textId="77777777" w:rsidR="008264D4" w:rsidRPr="00436BC4" w:rsidRDefault="008264D4" w:rsidP="008264D4"/>
    <w:p w14:paraId="20679304" w14:textId="075C215A" w:rsidR="00671FB3" w:rsidRPr="00436BC4" w:rsidRDefault="00752EFA" w:rsidP="008264D4">
      <w:pPr>
        <w:pStyle w:val="Heading2"/>
        <w:spacing w:line="480" w:lineRule="auto"/>
      </w:pPr>
      <w:bookmarkStart w:id="55" w:name="_Toc175312192"/>
      <w:r w:rsidRPr="00436BC4">
        <w:t xml:space="preserve">Queering the </w:t>
      </w:r>
      <w:r w:rsidR="002C1E77" w:rsidRPr="00436BC4">
        <w:t>S</w:t>
      </w:r>
      <w:r w:rsidR="00ED75B2" w:rsidRPr="00436BC4">
        <w:t>cholarship</w:t>
      </w:r>
      <w:r w:rsidRPr="00436BC4">
        <w:t xml:space="preserve"> of the </w:t>
      </w:r>
      <w:r w:rsidRPr="00436BC4">
        <w:rPr>
          <w:i/>
          <w:iCs/>
        </w:rPr>
        <w:t>Fourth Branch</w:t>
      </w:r>
      <w:bookmarkEnd w:id="55"/>
    </w:p>
    <w:p w14:paraId="03915D7F" w14:textId="77777777" w:rsidR="00382341" w:rsidRDefault="00382341" w:rsidP="00161827">
      <w:pPr>
        <w:spacing w:line="480" w:lineRule="auto"/>
      </w:pPr>
    </w:p>
    <w:p w14:paraId="5059EB7F" w14:textId="4116D4B0" w:rsidR="003B56CC" w:rsidRPr="00967EED" w:rsidRDefault="00ED752C" w:rsidP="00161827">
      <w:pPr>
        <w:spacing w:line="480" w:lineRule="auto"/>
      </w:pPr>
      <w:r w:rsidRPr="00436BC4">
        <w:t>The</w:t>
      </w:r>
      <w:r w:rsidR="002614E5" w:rsidRPr="00436BC4">
        <w:t xml:space="preserve"> position of</w:t>
      </w:r>
      <w:r w:rsidRPr="00436BC4">
        <w:t xml:space="preserve"> </w:t>
      </w:r>
      <w:r w:rsidR="0002363D" w:rsidRPr="00436BC4">
        <w:t>a</w:t>
      </w:r>
      <w:r w:rsidR="00120583">
        <w:t xml:space="preserve">ny </w:t>
      </w:r>
      <w:r w:rsidR="00173DDE" w:rsidRPr="00436BC4">
        <w:t>scholar</w:t>
      </w:r>
      <w:r w:rsidRPr="00436BC4">
        <w:t xml:space="preserve"> </w:t>
      </w:r>
      <w:r w:rsidR="002614E5" w:rsidRPr="00436BC4">
        <w:t>is never a</w:t>
      </w:r>
      <w:r w:rsidR="0078551A">
        <w:t xml:space="preserve"> truly</w:t>
      </w:r>
      <w:r w:rsidR="002614E5" w:rsidRPr="00436BC4">
        <w:t xml:space="preserve"> </w:t>
      </w:r>
      <w:r w:rsidR="007001E6" w:rsidRPr="00436BC4">
        <w:t>unbiased one.</w:t>
      </w:r>
      <w:r w:rsidR="009203FC" w:rsidRPr="00436BC4">
        <w:t xml:space="preserve"> </w:t>
      </w:r>
      <w:r w:rsidR="00FD5FD7" w:rsidRPr="00436BC4">
        <w:t xml:space="preserve">The beginning of this dissertation made the argument that Celtic </w:t>
      </w:r>
      <w:r w:rsidR="0078551A">
        <w:t>s</w:t>
      </w:r>
      <w:r w:rsidR="00FD5FD7" w:rsidRPr="00436BC4">
        <w:t>tudies continues to be slow to acknowledge c</w:t>
      </w:r>
      <w:r w:rsidR="009203FC" w:rsidRPr="00436BC4">
        <w:t xml:space="preserve">ultural </w:t>
      </w:r>
      <w:r w:rsidR="00F236B0" w:rsidRPr="00436BC4">
        <w:t>biases and prejudices</w:t>
      </w:r>
      <w:r w:rsidR="009203FC" w:rsidRPr="00436BC4">
        <w:t xml:space="preserve"> </w:t>
      </w:r>
      <w:r w:rsidR="00B31A56" w:rsidRPr="00436BC4">
        <w:t xml:space="preserve">within the </w:t>
      </w:r>
      <w:r w:rsidR="00E301CE">
        <w:t xml:space="preserve">body of the </w:t>
      </w:r>
      <w:r w:rsidR="00B31A56" w:rsidRPr="00436BC4">
        <w:t xml:space="preserve">scholarship of the </w:t>
      </w:r>
      <w:r w:rsidR="00B31A56" w:rsidRPr="00436BC4">
        <w:rPr>
          <w:i/>
          <w:iCs/>
        </w:rPr>
        <w:t>Four Branches</w:t>
      </w:r>
      <w:r w:rsidR="00E301CE">
        <w:rPr>
          <w:i/>
          <w:iCs/>
        </w:rPr>
        <w:t>,</w:t>
      </w:r>
      <w:r w:rsidR="00B31A56" w:rsidRPr="00436BC4">
        <w:t xml:space="preserve"> that </w:t>
      </w:r>
      <w:r w:rsidR="00E301CE">
        <w:t xml:space="preserve">at times </w:t>
      </w:r>
      <w:r w:rsidR="00B31A56" w:rsidRPr="00436BC4">
        <w:t>include elements of misogyny</w:t>
      </w:r>
      <w:r w:rsidR="00B93AAF">
        <w:t>,</w:t>
      </w:r>
      <w:r w:rsidR="00E301CE">
        <w:t xml:space="preserve"> </w:t>
      </w:r>
      <w:r w:rsidR="00B31A56" w:rsidRPr="00436BC4">
        <w:t>homophobia</w:t>
      </w:r>
      <w:r w:rsidR="00E301CE">
        <w:t>, and exoticisation</w:t>
      </w:r>
      <w:r w:rsidR="00B31A56" w:rsidRPr="00436BC4">
        <w:t xml:space="preserve"> amongst others. </w:t>
      </w:r>
      <w:r w:rsidR="00FD5FD7" w:rsidRPr="00436BC4">
        <w:t>Th</w:t>
      </w:r>
      <w:r w:rsidR="00323713">
        <w:t>ese</w:t>
      </w:r>
      <w:r w:rsidR="00EB62E0" w:rsidRPr="00436BC4">
        <w:t xml:space="preserve"> </w:t>
      </w:r>
      <w:r w:rsidR="00FD5FD7" w:rsidRPr="00436BC4">
        <w:t>‘</w:t>
      </w:r>
      <w:r w:rsidR="00EB62E0" w:rsidRPr="00436BC4">
        <w:t>invisible arbiter</w:t>
      </w:r>
      <w:r w:rsidR="00323713">
        <w:t>s</w:t>
      </w:r>
      <w:r w:rsidR="00FD5FD7" w:rsidRPr="00436BC4">
        <w:t>’</w:t>
      </w:r>
      <w:r w:rsidR="008B6065" w:rsidRPr="00436BC4">
        <w:t xml:space="preserve"> </w:t>
      </w:r>
      <w:r w:rsidR="00323713">
        <w:t>are</w:t>
      </w:r>
      <w:r w:rsidR="008B6065" w:rsidRPr="00436BC4">
        <w:t xml:space="preserve"> evident when looking at areas of focus, and </w:t>
      </w:r>
      <w:r w:rsidR="00E301CE">
        <w:t xml:space="preserve">the </w:t>
      </w:r>
      <w:r w:rsidR="008B6065" w:rsidRPr="00436BC4">
        <w:t>conclusions</w:t>
      </w:r>
      <w:r w:rsidR="003B56CC" w:rsidRPr="00436BC4">
        <w:t xml:space="preserve"> that scholars </w:t>
      </w:r>
      <w:r w:rsidR="008B6065" w:rsidRPr="00436BC4">
        <w:t>have drawn</w:t>
      </w:r>
      <w:r w:rsidR="003B56CC" w:rsidRPr="00436BC4">
        <w:t xml:space="preserve"> </w:t>
      </w:r>
      <w:r w:rsidR="008E24D1" w:rsidRPr="00436BC4">
        <w:t xml:space="preserve">concerning the history of the </w:t>
      </w:r>
      <w:r w:rsidR="003B56CC" w:rsidRPr="00436BC4">
        <w:t>manuscript</w:t>
      </w:r>
      <w:r w:rsidR="00323713">
        <w:t>,</w:t>
      </w:r>
      <w:r w:rsidR="003B56CC" w:rsidRPr="00436BC4">
        <w:t xml:space="preserve"> and </w:t>
      </w:r>
      <w:r w:rsidR="008E24D1" w:rsidRPr="00436BC4">
        <w:t>the nature of the</w:t>
      </w:r>
      <w:r w:rsidR="003B56CC" w:rsidRPr="00436BC4">
        <w:t xml:space="preserve"> narrative</w:t>
      </w:r>
      <w:r w:rsidR="008E24D1" w:rsidRPr="00436BC4">
        <w:t xml:space="preserve"> itself</w:t>
      </w:r>
      <w:r w:rsidR="003B56CC" w:rsidRPr="00436BC4">
        <w:t>.</w:t>
      </w:r>
      <w:r w:rsidR="00294A1E" w:rsidRPr="00436BC4">
        <w:t xml:space="preserve"> </w:t>
      </w:r>
      <w:r w:rsidR="0060766A" w:rsidRPr="00436BC4">
        <w:rPr>
          <w:iCs/>
        </w:rPr>
        <w:t xml:space="preserve">This is </w:t>
      </w:r>
      <w:r w:rsidR="00120583">
        <w:rPr>
          <w:iCs/>
        </w:rPr>
        <w:t>problematic</w:t>
      </w:r>
      <w:r w:rsidR="0060766A" w:rsidRPr="00436BC4">
        <w:rPr>
          <w:iCs/>
        </w:rPr>
        <w:t xml:space="preserve"> as it </w:t>
      </w:r>
      <w:r w:rsidR="00E301CE">
        <w:rPr>
          <w:iCs/>
        </w:rPr>
        <w:t xml:space="preserve">can </w:t>
      </w:r>
      <w:r w:rsidR="0060766A" w:rsidRPr="00436BC4">
        <w:rPr>
          <w:iCs/>
        </w:rPr>
        <w:t>obscure different narratives that the text is communicating, suppressing some of these whilst upholding others</w:t>
      </w:r>
      <w:r w:rsidR="00A0328F">
        <w:rPr>
          <w:iCs/>
        </w:rPr>
        <w:t>,</w:t>
      </w:r>
      <w:r w:rsidR="0060766A" w:rsidRPr="00436BC4">
        <w:rPr>
          <w:iCs/>
        </w:rPr>
        <w:t xml:space="preserve"> creating an unjust and false hierarchy that dictates which stories, and whose voices are considered </w:t>
      </w:r>
      <w:r w:rsidR="00A0328F">
        <w:rPr>
          <w:iCs/>
        </w:rPr>
        <w:t>worthy of being listened to</w:t>
      </w:r>
      <w:r w:rsidR="0060766A" w:rsidRPr="00436BC4">
        <w:rPr>
          <w:iCs/>
        </w:rPr>
        <w:t xml:space="preserve">. This </w:t>
      </w:r>
      <w:r w:rsidR="00FD5888">
        <w:rPr>
          <w:iCs/>
        </w:rPr>
        <w:t xml:space="preserve">produces biased </w:t>
      </w:r>
      <w:r w:rsidR="0060766A" w:rsidRPr="00436BC4">
        <w:rPr>
          <w:iCs/>
        </w:rPr>
        <w:t xml:space="preserve">scholarship, </w:t>
      </w:r>
      <w:r w:rsidR="00FD5888">
        <w:rPr>
          <w:iCs/>
        </w:rPr>
        <w:t xml:space="preserve">and </w:t>
      </w:r>
      <w:r w:rsidR="00A0328F">
        <w:rPr>
          <w:iCs/>
        </w:rPr>
        <w:t>also</w:t>
      </w:r>
      <w:r w:rsidR="0060766A" w:rsidRPr="00436BC4">
        <w:rPr>
          <w:iCs/>
        </w:rPr>
        <w:t xml:space="preserve"> </w:t>
      </w:r>
      <w:r w:rsidR="00FD5888">
        <w:rPr>
          <w:iCs/>
        </w:rPr>
        <w:t>locks</w:t>
      </w:r>
      <w:r w:rsidR="0060766A" w:rsidRPr="00436BC4">
        <w:rPr>
          <w:iCs/>
        </w:rPr>
        <w:t xml:space="preserve"> the </w:t>
      </w:r>
      <w:r w:rsidR="0060766A" w:rsidRPr="00436BC4">
        <w:rPr>
          <w:i/>
        </w:rPr>
        <w:t>Mabinogi</w:t>
      </w:r>
      <w:r w:rsidR="0060766A" w:rsidRPr="00436BC4">
        <w:rPr>
          <w:iCs/>
        </w:rPr>
        <w:t xml:space="preserve"> stories within a heteronormative, white</w:t>
      </w:r>
      <w:r w:rsidR="00E301CE">
        <w:rPr>
          <w:iCs/>
        </w:rPr>
        <w:t>,</w:t>
      </w:r>
      <w:r w:rsidR="0060766A" w:rsidRPr="00436BC4">
        <w:rPr>
          <w:iCs/>
        </w:rPr>
        <w:t xml:space="preserve"> academic environment and </w:t>
      </w:r>
      <w:r w:rsidR="00E301CE">
        <w:rPr>
          <w:iCs/>
        </w:rPr>
        <w:t>suppressing</w:t>
      </w:r>
      <w:r w:rsidR="0060766A" w:rsidRPr="00436BC4">
        <w:rPr>
          <w:iCs/>
        </w:rPr>
        <w:t xml:space="preserve"> queer</w:t>
      </w:r>
      <w:r w:rsidR="00E301CE">
        <w:rPr>
          <w:iCs/>
        </w:rPr>
        <w:t>,</w:t>
      </w:r>
      <w:r w:rsidR="0060766A" w:rsidRPr="00436BC4">
        <w:rPr>
          <w:iCs/>
        </w:rPr>
        <w:t xml:space="preserve"> non-white</w:t>
      </w:r>
      <w:r w:rsidR="00E301CE">
        <w:rPr>
          <w:iCs/>
        </w:rPr>
        <w:t xml:space="preserve"> and non-academic</w:t>
      </w:r>
      <w:r w:rsidR="0060766A" w:rsidRPr="00436BC4">
        <w:rPr>
          <w:iCs/>
        </w:rPr>
        <w:t xml:space="preserve"> engagement with the texts</w:t>
      </w:r>
      <w:r w:rsidR="00E301CE">
        <w:rPr>
          <w:iCs/>
        </w:rPr>
        <w:t xml:space="preserve"> and its scholarship</w:t>
      </w:r>
      <w:r w:rsidR="0060766A" w:rsidRPr="00436BC4">
        <w:rPr>
          <w:iCs/>
        </w:rPr>
        <w:t xml:space="preserve">. </w:t>
      </w:r>
      <w:r w:rsidR="00294A1E" w:rsidRPr="00D6157C">
        <w:t xml:space="preserve">Further complicating the situation is the </w:t>
      </w:r>
      <w:r w:rsidR="00294A1E" w:rsidRPr="00D6157C">
        <w:lastRenderedPageBreak/>
        <w:t xml:space="preserve">impact of </w:t>
      </w:r>
      <w:r w:rsidR="00A07C91" w:rsidRPr="00D6157C">
        <w:t xml:space="preserve">the </w:t>
      </w:r>
      <w:r w:rsidR="00294A1E" w:rsidRPr="00D6157C">
        <w:t>translation</w:t>
      </w:r>
      <w:r w:rsidR="004646A6" w:rsidRPr="00D6157C">
        <w:t xml:space="preserve"> of </w:t>
      </w:r>
      <w:r w:rsidR="00967EED">
        <w:t>m</w:t>
      </w:r>
      <w:r w:rsidR="004646A6" w:rsidRPr="00D6157C">
        <w:t>edieval texts</w:t>
      </w:r>
      <w:r w:rsidR="00294A1E" w:rsidRPr="00D6157C">
        <w:t xml:space="preserve">. How </w:t>
      </w:r>
      <w:r w:rsidR="00EE2D0A" w:rsidRPr="00D6157C">
        <w:t>translations change</w:t>
      </w:r>
      <w:r w:rsidR="00294A1E" w:rsidRPr="00D6157C">
        <w:t xml:space="preserve"> the pace, meaning</w:t>
      </w:r>
      <w:r w:rsidR="00294A1E" w:rsidRPr="00436BC4">
        <w:t xml:space="preserve"> and content of the </w:t>
      </w:r>
      <w:r w:rsidR="00294A1E" w:rsidRPr="00436BC4">
        <w:rPr>
          <w:i/>
        </w:rPr>
        <w:t>Mabinogi</w:t>
      </w:r>
      <w:r w:rsidR="00294A1E" w:rsidRPr="00436BC4">
        <w:rPr>
          <w:iCs/>
        </w:rPr>
        <w:t xml:space="preserve"> corpus </w:t>
      </w:r>
      <w:r w:rsidR="0060766A" w:rsidRPr="00436BC4">
        <w:rPr>
          <w:iCs/>
        </w:rPr>
        <w:t xml:space="preserve">is </w:t>
      </w:r>
      <w:r w:rsidR="00694486">
        <w:rPr>
          <w:iCs/>
        </w:rPr>
        <w:t>similarly</w:t>
      </w:r>
      <w:r w:rsidR="0060766A" w:rsidRPr="00436BC4">
        <w:rPr>
          <w:iCs/>
        </w:rPr>
        <w:t xml:space="preserve"> subject to </w:t>
      </w:r>
      <w:r w:rsidR="00B93AAF">
        <w:rPr>
          <w:iCs/>
        </w:rPr>
        <w:t>evolving</w:t>
      </w:r>
      <w:r w:rsidR="0060766A" w:rsidRPr="00436BC4">
        <w:rPr>
          <w:iCs/>
        </w:rPr>
        <w:t xml:space="preserve"> cultural biases and prejudices, and</w:t>
      </w:r>
      <w:r w:rsidR="00487928" w:rsidRPr="00436BC4">
        <w:rPr>
          <w:iCs/>
        </w:rPr>
        <w:t xml:space="preserve"> </w:t>
      </w:r>
      <w:r w:rsidR="00294A1E" w:rsidRPr="00436BC4">
        <w:rPr>
          <w:iCs/>
        </w:rPr>
        <w:t xml:space="preserve">over the </w:t>
      </w:r>
      <w:r w:rsidR="00964A82" w:rsidRPr="00436BC4">
        <w:rPr>
          <w:iCs/>
        </w:rPr>
        <w:t>years</w:t>
      </w:r>
      <w:r w:rsidR="004646A6" w:rsidRPr="00436BC4">
        <w:rPr>
          <w:iCs/>
        </w:rPr>
        <w:t xml:space="preserve"> </w:t>
      </w:r>
      <w:r w:rsidR="0002363D" w:rsidRPr="00436BC4">
        <w:rPr>
          <w:iCs/>
        </w:rPr>
        <w:t xml:space="preserve">has </w:t>
      </w:r>
      <w:r w:rsidR="004646A6" w:rsidRPr="00436BC4">
        <w:rPr>
          <w:iCs/>
        </w:rPr>
        <w:t>add</w:t>
      </w:r>
      <w:r w:rsidR="0002363D" w:rsidRPr="00436BC4">
        <w:rPr>
          <w:iCs/>
        </w:rPr>
        <w:t>ed</w:t>
      </w:r>
      <w:r w:rsidR="004646A6" w:rsidRPr="00436BC4">
        <w:rPr>
          <w:iCs/>
        </w:rPr>
        <w:t xml:space="preserve"> layers of complexity to the study of the narrative’s reception</w:t>
      </w:r>
      <w:r w:rsidR="0002363D" w:rsidRPr="00436BC4">
        <w:rPr>
          <w:iCs/>
        </w:rPr>
        <w:t>,</w:t>
      </w:r>
      <w:r w:rsidR="004646A6" w:rsidRPr="00436BC4">
        <w:rPr>
          <w:iCs/>
        </w:rPr>
        <w:t xml:space="preserve"> history</w:t>
      </w:r>
      <w:r w:rsidR="0002363D" w:rsidRPr="00436BC4">
        <w:rPr>
          <w:iCs/>
        </w:rPr>
        <w:t>,</w:t>
      </w:r>
      <w:r w:rsidR="004646A6" w:rsidRPr="00436BC4">
        <w:rPr>
          <w:iCs/>
        </w:rPr>
        <w:t xml:space="preserve"> and afterlife beyond the physical manuscript</w:t>
      </w:r>
      <w:r w:rsidR="00740B55" w:rsidRPr="00436BC4">
        <w:rPr>
          <w:iCs/>
        </w:rPr>
        <w:t>.</w:t>
      </w:r>
      <w:r w:rsidR="00CD75D0" w:rsidRPr="00436BC4">
        <w:rPr>
          <w:iCs/>
        </w:rPr>
        <w:t xml:space="preserve"> Therefore,</w:t>
      </w:r>
      <w:r w:rsidR="00964A82" w:rsidRPr="00436BC4">
        <w:rPr>
          <w:iCs/>
        </w:rPr>
        <w:t xml:space="preserve"> </w:t>
      </w:r>
      <w:r w:rsidR="00CD75D0" w:rsidRPr="00436BC4">
        <w:rPr>
          <w:iCs/>
        </w:rPr>
        <w:t>l</w:t>
      </w:r>
      <w:r w:rsidR="00FD5FD7" w:rsidRPr="00436BC4">
        <w:rPr>
          <w:iCs/>
        </w:rPr>
        <w:t>iterary theory</w:t>
      </w:r>
      <w:r w:rsidR="00E301CE">
        <w:rPr>
          <w:iCs/>
        </w:rPr>
        <w:t>,</w:t>
      </w:r>
      <w:r w:rsidR="00FD5FD7" w:rsidRPr="00436BC4">
        <w:rPr>
          <w:iCs/>
        </w:rPr>
        <w:t xml:space="preserve"> and in particular qu</w:t>
      </w:r>
      <w:r w:rsidR="00740B55" w:rsidRPr="00436BC4">
        <w:rPr>
          <w:iCs/>
        </w:rPr>
        <w:t xml:space="preserve">eer theory </w:t>
      </w:r>
      <w:r w:rsidR="00B93AAF">
        <w:rPr>
          <w:iCs/>
        </w:rPr>
        <w:t>through its</w:t>
      </w:r>
      <w:r w:rsidR="00CD75D0" w:rsidRPr="00436BC4">
        <w:rPr>
          <w:iCs/>
        </w:rPr>
        <w:t xml:space="preserve"> usefulness as </w:t>
      </w:r>
      <w:r w:rsidR="003D2364" w:rsidRPr="00436BC4">
        <w:rPr>
          <w:iCs/>
        </w:rPr>
        <w:t xml:space="preserve">a </w:t>
      </w:r>
      <w:r w:rsidR="00CD75D0" w:rsidRPr="00436BC4">
        <w:rPr>
          <w:iCs/>
        </w:rPr>
        <w:t>tool for uncovering oppressive structure</w:t>
      </w:r>
      <w:r w:rsidR="003D2364" w:rsidRPr="00436BC4">
        <w:rPr>
          <w:iCs/>
        </w:rPr>
        <w:t>s</w:t>
      </w:r>
      <w:r w:rsidR="00CD75D0" w:rsidRPr="00436BC4">
        <w:rPr>
          <w:iCs/>
        </w:rPr>
        <w:t>,</w:t>
      </w:r>
      <w:r w:rsidR="00A54A88" w:rsidRPr="00436BC4">
        <w:rPr>
          <w:iCs/>
        </w:rPr>
        <w:t xml:space="preserve"> provides a</w:t>
      </w:r>
      <w:r w:rsidR="00E14CA9" w:rsidRPr="00436BC4">
        <w:rPr>
          <w:iCs/>
        </w:rPr>
        <w:t xml:space="preserve"> necessary</w:t>
      </w:r>
      <w:r w:rsidR="00A54A88" w:rsidRPr="00436BC4">
        <w:rPr>
          <w:iCs/>
        </w:rPr>
        <w:t xml:space="preserve"> means to reveal and interrogate </w:t>
      </w:r>
      <w:r w:rsidR="005C0D4B" w:rsidRPr="00436BC4">
        <w:rPr>
          <w:iCs/>
        </w:rPr>
        <w:t>the</w:t>
      </w:r>
      <w:r w:rsidR="00A54A88" w:rsidRPr="00436BC4">
        <w:rPr>
          <w:iCs/>
        </w:rPr>
        <w:t>se</w:t>
      </w:r>
      <w:r w:rsidR="005C0D4B" w:rsidRPr="00436BC4">
        <w:rPr>
          <w:iCs/>
        </w:rPr>
        <w:t xml:space="preserve"> </w:t>
      </w:r>
      <w:r w:rsidR="00A54A88" w:rsidRPr="00436BC4">
        <w:rPr>
          <w:iCs/>
        </w:rPr>
        <w:t>invisible</w:t>
      </w:r>
      <w:r w:rsidR="005C0D4B" w:rsidRPr="00436BC4">
        <w:rPr>
          <w:iCs/>
        </w:rPr>
        <w:t xml:space="preserve"> </w:t>
      </w:r>
      <w:r w:rsidR="0060766A" w:rsidRPr="00436BC4">
        <w:rPr>
          <w:iCs/>
        </w:rPr>
        <w:t xml:space="preserve">forces and power </w:t>
      </w:r>
      <w:r w:rsidR="00CD75D0" w:rsidRPr="00436BC4">
        <w:rPr>
          <w:iCs/>
        </w:rPr>
        <w:t>dynamics</w:t>
      </w:r>
      <w:r w:rsidR="0060766A" w:rsidRPr="00436BC4">
        <w:rPr>
          <w:iCs/>
        </w:rPr>
        <w:t xml:space="preserve"> </w:t>
      </w:r>
      <w:r w:rsidR="005C0D4B" w:rsidRPr="00436BC4">
        <w:rPr>
          <w:iCs/>
        </w:rPr>
        <w:t>that ha</w:t>
      </w:r>
      <w:r w:rsidR="00C028C1" w:rsidRPr="00436BC4">
        <w:rPr>
          <w:iCs/>
        </w:rPr>
        <w:t>ve</w:t>
      </w:r>
      <w:r w:rsidR="0002363D" w:rsidRPr="00436BC4">
        <w:rPr>
          <w:iCs/>
        </w:rPr>
        <w:t xml:space="preserve"> affected</w:t>
      </w:r>
      <w:r w:rsidR="00A54A88" w:rsidRPr="00436BC4">
        <w:rPr>
          <w:iCs/>
        </w:rPr>
        <w:t>,</w:t>
      </w:r>
      <w:r w:rsidR="005C0D4B" w:rsidRPr="00436BC4">
        <w:rPr>
          <w:iCs/>
        </w:rPr>
        <w:t xml:space="preserve"> and continue to </w:t>
      </w:r>
      <w:r w:rsidR="00E301CE">
        <w:rPr>
          <w:iCs/>
        </w:rPr>
        <w:t>affect</w:t>
      </w:r>
      <w:r w:rsidR="0002363D" w:rsidRPr="00436BC4">
        <w:rPr>
          <w:iCs/>
        </w:rPr>
        <w:t>,</w:t>
      </w:r>
      <w:r w:rsidR="005C0D4B" w:rsidRPr="00436BC4">
        <w:rPr>
          <w:iCs/>
        </w:rPr>
        <w:t xml:space="preserve"> </w:t>
      </w:r>
      <w:r w:rsidR="00516503" w:rsidRPr="00436BC4">
        <w:rPr>
          <w:iCs/>
        </w:rPr>
        <w:t>the relationship</w:t>
      </w:r>
      <w:r w:rsidR="0060766A" w:rsidRPr="00436BC4">
        <w:rPr>
          <w:iCs/>
        </w:rPr>
        <w:t xml:space="preserve"> </w:t>
      </w:r>
      <w:r w:rsidR="00234DDF" w:rsidRPr="00436BC4">
        <w:rPr>
          <w:iCs/>
        </w:rPr>
        <w:t>between the text and</w:t>
      </w:r>
      <w:r w:rsidR="00516503" w:rsidRPr="00436BC4">
        <w:rPr>
          <w:iCs/>
        </w:rPr>
        <w:t xml:space="preserve"> modern audiences, both within academia and beyond.</w:t>
      </w:r>
      <w:r w:rsidR="00A03A5B" w:rsidRPr="00436BC4">
        <w:rPr>
          <w:rStyle w:val="FootnoteReference"/>
          <w:iCs/>
        </w:rPr>
        <w:footnoteReference w:id="141"/>
      </w:r>
    </w:p>
    <w:p w14:paraId="1D7F7DC7" w14:textId="77777777" w:rsidR="003D2994" w:rsidRPr="00436BC4" w:rsidRDefault="003D2994" w:rsidP="00161827">
      <w:pPr>
        <w:spacing w:line="480" w:lineRule="auto"/>
        <w:rPr>
          <w:iCs/>
        </w:rPr>
      </w:pPr>
    </w:p>
    <w:p w14:paraId="60E3F0D9" w14:textId="616EE6E4" w:rsidR="006D2CED" w:rsidRDefault="00C534E9" w:rsidP="00161827">
      <w:pPr>
        <w:spacing w:line="480" w:lineRule="auto"/>
      </w:pPr>
      <w:r w:rsidRPr="00436BC4">
        <w:t>T</w:t>
      </w:r>
      <w:r w:rsidR="003B56CC" w:rsidRPr="00436BC4">
        <w:t xml:space="preserve">he questions posed </w:t>
      </w:r>
      <w:r w:rsidR="0002363D" w:rsidRPr="00436BC4">
        <w:t>o</w:t>
      </w:r>
      <w:r w:rsidR="009F263F" w:rsidRPr="00436BC4">
        <w:t>f</w:t>
      </w:r>
      <w:r w:rsidR="0002363D" w:rsidRPr="00436BC4">
        <w:t xml:space="preserve"> </w:t>
      </w:r>
      <w:r w:rsidR="003B56CC" w:rsidRPr="00436BC4">
        <w:t xml:space="preserve">the </w:t>
      </w:r>
      <w:r w:rsidR="003B56CC" w:rsidRPr="00436BC4">
        <w:rPr>
          <w:i/>
          <w:iCs/>
        </w:rPr>
        <w:t>Mabinogi</w:t>
      </w:r>
      <w:r w:rsidR="003B56CC" w:rsidRPr="00436BC4">
        <w:t xml:space="preserve"> </w:t>
      </w:r>
      <w:r w:rsidR="005D36BE" w:rsidRPr="00436BC4">
        <w:t>be</w:t>
      </w:r>
      <w:r w:rsidR="00271FF8">
        <w:t>ginning in</w:t>
      </w:r>
      <w:r w:rsidR="005D36BE" w:rsidRPr="00436BC4">
        <w:t xml:space="preserve"> </w:t>
      </w:r>
      <w:r w:rsidR="009407ED">
        <w:t xml:space="preserve">the mid </w:t>
      </w:r>
      <w:r w:rsidR="00DC2782">
        <w:t>nineteenth</w:t>
      </w:r>
      <w:r w:rsidR="009407ED">
        <w:t xml:space="preserve"> century</w:t>
      </w:r>
      <w:r w:rsidR="005D36BE" w:rsidRPr="00436BC4">
        <w:t xml:space="preserve"> and</w:t>
      </w:r>
      <w:r w:rsidR="00271FF8">
        <w:t xml:space="preserve"> ending </w:t>
      </w:r>
      <w:r w:rsidR="00B93AAF">
        <w:t>in the</w:t>
      </w:r>
      <w:r w:rsidR="00964A82" w:rsidRPr="00436BC4">
        <w:t xml:space="preserve"> 1970</w:t>
      </w:r>
      <w:r w:rsidR="00271FF8">
        <w:t>s</w:t>
      </w:r>
      <w:r w:rsidR="00964A82" w:rsidRPr="00436BC4">
        <w:t xml:space="preserve"> </w:t>
      </w:r>
      <w:r w:rsidR="00694486">
        <w:t>centred around the notion</w:t>
      </w:r>
      <w:r w:rsidR="00737D7C" w:rsidRPr="00436BC4">
        <w:t xml:space="preserve"> that the tales were the corrupted remains of an original </w:t>
      </w:r>
      <w:r w:rsidR="00694486">
        <w:t xml:space="preserve">pre-Christian </w:t>
      </w:r>
      <w:r w:rsidR="00737D7C" w:rsidRPr="00436BC4">
        <w:t>mytholog</w:t>
      </w:r>
      <w:r w:rsidR="00FF2143" w:rsidRPr="00436BC4">
        <w:t>y.</w:t>
      </w:r>
      <w:r w:rsidR="00271FF8">
        <w:rPr>
          <w:rStyle w:val="FootnoteReference"/>
        </w:rPr>
        <w:footnoteReference w:id="142"/>
      </w:r>
      <w:r w:rsidR="00FF2143" w:rsidRPr="00436BC4">
        <w:t xml:space="preserve"> This approach </w:t>
      </w:r>
      <w:r w:rsidR="00964A82" w:rsidRPr="00436BC4">
        <w:t>characterise</w:t>
      </w:r>
      <w:r w:rsidR="00694486">
        <w:t>s</w:t>
      </w:r>
      <w:r w:rsidR="00964A82" w:rsidRPr="00436BC4">
        <w:t xml:space="preserve"> </w:t>
      </w:r>
      <w:r w:rsidR="00694486" w:rsidRPr="00436BC4">
        <w:t xml:space="preserve">the scholarly preoccupation of the time </w:t>
      </w:r>
      <w:r w:rsidR="00694486">
        <w:t>of</w:t>
      </w:r>
      <w:r w:rsidR="00964A82" w:rsidRPr="00436BC4">
        <w:t xml:space="preserve"> stripping back the </w:t>
      </w:r>
      <w:r w:rsidR="009D332F">
        <w:t xml:space="preserve">more </w:t>
      </w:r>
      <w:r w:rsidR="00964A82" w:rsidRPr="00436BC4">
        <w:t>‘modern’ (</w:t>
      </w:r>
      <w:r w:rsidR="007045A8" w:rsidRPr="00436BC4">
        <w:t>meaning ‘</w:t>
      </w:r>
      <w:r w:rsidR="00964A82" w:rsidRPr="00436BC4">
        <w:t>Christian</w:t>
      </w:r>
      <w:r w:rsidR="007045A8" w:rsidRPr="00436BC4">
        <w:t>’</w:t>
      </w:r>
      <w:r w:rsidR="00964A82" w:rsidRPr="00436BC4">
        <w:t>) elements</w:t>
      </w:r>
      <w:r w:rsidR="00076E57" w:rsidRPr="00436BC4">
        <w:t xml:space="preserve"> which they</w:t>
      </w:r>
      <w:r w:rsidR="00964A82" w:rsidRPr="00436BC4">
        <w:t xml:space="preserve"> hypothesised had retrospectively been overlayed </w:t>
      </w:r>
      <w:r w:rsidR="00076E57" w:rsidRPr="00436BC4">
        <w:t xml:space="preserve">by medieval scribes </w:t>
      </w:r>
      <w:r w:rsidR="00964A82" w:rsidRPr="00436BC4">
        <w:t xml:space="preserve">onto an older </w:t>
      </w:r>
      <w:r w:rsidR="00076E57" w:rsidRPr="00436BC4">
        <w:t>narrative</w:t>
      </w:r>
      <w:r w:rsidR="00964A82" w:rsidRPr="00436BC4">
        <w:t xml:space="preserve"> of pagan gods</w:t>
      </w:r>
      <w:r w:rsidR="007045A8" w:rsidRPr="00436BC4">
        <w:t>.</w:t>
      </w:r>
      <w:r w:rsidR="005D36BE" w:rsidRPr="00436BC4">
        <w:rPr>
          <w:rStyle w:val="FootnoteReference"/>
        </w:rPr>
        <w:footnoteReference w:id="143"/>
      </w:r>
      <w:r w:rsidR="004F3801" w:rsidRPr="00436BC4">
        <w:t xml:space="preserve"> </w:t>
      </w:r>
      <w:r w:rsidR="007045A8" w:rsidRPr="00436BC4">
        <w:t>T</w:t>
      </w:r>
      <w:r w:rsidR="009D332F">
        <w:t>hese t</w:t>
      </w:r>
      <w:r w:rsidR="007045A8" w:rsidRPr="00436BC4">
        <w:t>heoretical re</w:t>
      </w:r>
      <w:r w:rsidR="007357A3" w:rsidRPr="00436BC4">
        <w:t>working</w:t>
      </w:r>
      <w:r w:rsidR="00D74E0C">
        <w:t>s</w:t>
      </w:r>
      <w:r w:rsidR="00964A82" w:rsidRPr="00436BC4">
        <w:t xml:space="preserve"> </w:t>
      </w:r>
      <w:r w:rsidR="007045A8" w:rsidRPr="00436BC4">
        <w:t>w</w:t>
      </w:r>
      <w:r w:rsidR="009D332F">
        <w:t>ere</w:t>
      </w:r>
      <w:r w:rsidR="007045A8" w:rsidRPr="00436BC4">
        <w:t xml:space="preserve"> proposed to</w:t>
      </w:r>
      <w:r w:rsidR="009670E4">
        <w:t xml:space="preserve"> have been</w:t>
      </w:r>
      <w:r w:rsidR="007045A8" w:rsidRPr="00436BC4">
        <w:t xml:space="preserve"> carried out to </w:t>
      </w:r>
      <w:r w:rsidR="00964A82" w:rsidRPr="00436BC4">
        <w:t xml:space="preserve">bring </w:t>
      </w:r>
      <w:r w:rsidR="00C028C1" w:rsidRPr="00436BC4">
        <w:t xml:space="preserve">the </w:t>
      </w:r>
      <w:r w:rsidR="007045A8" w:rsidRPr="00436BC4">
        <w:rPr>
          <w:i/>
          <w:iCs/>
        </w:rPr>
        <w:t>Four Branches</w:t>
      </w:r>
      <w:r w:rsidR="00964A82" w:rsidRPr="00436BC4">
        <w:t xml:space="preserve"> in line with </w:t>
      </w:r>
      <w:r w:rsidR="00967EED">
        <w:t>m</w:t>
      </w:r>
      <w:r w:rsidR="00964A82" w:rsidRPr="00436BC4">
        <w:t>edieval Christian sensibilities.</w:t>
      </w:r>
      <w:r w:rsidR="0018732B" w:rsidRPr="00436BC4">
        <w:rPr>
          <w:rStyle w:val="FootnoteReference"/>
        </w:rPr>
        <w:footnoteReference w:id="144"/>
      </w:r>
      <w:r w:rsidR="00964A82" w:rsidRPr="00436BC4">
        <w:t xml:space="preserve"> </w:t>
      </w:r>
      <w:r w:rsidR="00F13592" w:rsidRPr="00436BC4">
        <w:t>I would argue that t</w:t>
      </w:r>
      <w:r w:rsidR="00964A82" w:rsidRPr="00436BC4">
        <w:t>h</w:t>
      </w:r>
      <w:r w:rsidR="007357A3" w:rsidRPr="00436BC4">
        <w:t>e</w:t>
      </w:r>
      <w:r w:rsidR="00964A82" w:rsidRPr="00436BC4">
        <w:t xml:space="preserve"> </w:t>
      </w:r>
      <w:r w:rsidR="007F5AF6" w:rsidRPr="00436BC4">
        <w:t xml:space="preserve">desire </w:t>
      </w:r>
      <w:r w:rsidR="0023214C" w:rsidRPr="00436BC4">
        <w:t xml:space="preserve">by scholars and antiquarians </w:t>
      </w:r>
      <w:r w:rsidR="0092394A" w:rsidRPr="00436BC4">
        <w:t xml:space="preserve">at the time </w:t>
      </w:r>
      <w:r w:rsidR="007F5AF6" w:rsidRPr="00436BC4">
        <w:t xml:space="preserve">to find the ‘original’ or </w:t>
      </w:r>
      <w:r w:rsidR="0023214C" w:rsidRPr="00436BC4">
        <w:t xml:space="preserve">‘pure’ </w:t>
      </w:r>
      <w:r w:rsidR="0023214C" w:rsidRPr="00436BC4">
        <w:rPr>
          <w:i/>
          <w:iCs/>
        </w:rPr>
        <w:t>Mabinogi</w:t>
      </w:r>
      <w:r w:rsidR="0023214C" w:rsidRPr="00436BC4">
        <w:t xml:space="preserve"> </w:t>
      </w:r>
      <w:r w:rsidR="0092394A" w:rsidRPr="00436BC4">
        <w:t>reveals</w:t>
      </w:r>
      <w:r w:rsidR="0023214C" w:rsidRPr="00436BC4">
        <w:t xml:space="preserve"> </w:t>
      </w:r>
      <w:r w:rsidR="009A7374" w:rsidRPr="00436BC4">
        <w:t>a</w:t>
      </w:r>
      <w:r w:rsidR="0023214C" w:rsidRPr="00436BC4">
        <w:t xml:space="preserve"> dissatisfaction</w:t>
      </w:r>
      <w:r w:rsidR="007645C7" w:rsidRPr="00436BC4">
        <w:t xml:space="preserve"> </w:t>
      </w:r>
      <w:r w:rsidR="00143DF4" w:rsidRPr="00436BC4">
        <w:t xml:space="preserve">with </w:t>
      </w:r>
      <w:r w:rsidR="007645C7" w:rsidRPr="00436BC4">
        <w:t>and rejection</w:t>
      </w:r>
      <w:r w:rsidR="0023214C" w:rsidRPr="00436BC4">
        <w:t xml:space="preserve"> </w:t>
      </w:r>
      <w:r w:rsidR="008B78B6" w:rsidRPr="00436BC4">
        <w:t xml:space="preserve">of </w:t>
      </w:r>
      <w:r w:rsidR="0023214C" w:rsidRPr="00436BC4">
        <w:t xml:space="preserve">the </w:t>
      </w:r>
      <w:r w:rsidR="0023214C" w:rsidRPr="00436BC4">
        <w:lastRenderedPageBreak/>
        <w:t>extant version</w:t>
      </w:r>
      <w:r w:rsidR="007045A8" w:rsidRPr="00436BC4">
        <w:t>. I</w:t>
      </w:r>
      <w:r w:rsidR="0023214C" w:rsidRPr="00436BC4">
        <w:t xml:space="preserve">ts </w:t>
      </w:r>
      <w:r w:rsidR="00A0251A" w:rsidRPr="00436BC4">
        <w:t xml:space="preserve">perceived hybridity between two distinct entities </w:t>
      </w:r>
      <w:r w:rsidR="007645C7" w:rsidRPr="00436BC4">
        <w:t>–</w:t>
      </w:r>
      <w:r w:rsidR="007357A3" w:rsidRPr="00436BC4">
        <w:t xml:space="preserve"> a</w:t>
      </w:r>
      <w:r w:rsidR="007645C7" w:rsidRPr="00436BC4">
        <w:t xml:space="preserve"> hypothesised </w:t>
      </w:r>
      <w:r w:rsidR="00694486">
        <w:t>‘</w:t>
      </w:r>
      <w:r w:rsidR="007357A3" w:rsidRPr="00436BC4">
        <w:t>original</w:t>
      </w:r>
      <w:r w:rsidR="00694486">
        <w:t>’</w:t>
      </w:r>
      <w:r w:rsidR="007357A3" w:rsidRPr="00436BC4">
        <w:t xml:space="preserve"> single pagan work, and the </w:t>
      </w:r>
      <w:r w:rsidR="0092394A" w:rsidRPr="00436BC4">
        <w:t>‘</w:t>
      </w:r>
      <w:r w:rsidR="007357A3" w:rsidRPr="00436BC4">
        <w:t>sanitised</w:t>
      </w:r>
      <w:r w:rsidR="0092394A" w:rsidRPr="00436BC4">
        <w:t>’</w:t>
      </w:r>
      <w:r w:rsidR="007357A3" w:rsidRPr="00436BC4">
        <w:t xml:space="preserve"> C</w:t>
      </w:r>
      <w:r w:rsidR="00064557" w:rsidRPr="00436BC4">
        <w:t xml:space="preserve">hristianised </w:t>
      </w:r>
      <w:r w:rsidR="007357A3" w:rsidRPr="00436BC4">
        <w:t>version - b</w:t>
      </w:r>
      <w:r w:rsidR="00A0251A" w:rsidRPr="00436BC4">
        <w:t xml:space="preserve">eing considered a weakness </w:t>
      </w:r>
      <w:r w:rsidR="00064557" w:rsidRPr="00436BC4">
        <w:t xml:space="preserve">of </w:t>
      </w:r>
      <w:r w:rsidR="00A0251A" w:rsidRPr="00436BC4">
        <w:t>the prose</w:t>
      </w:r>
      <w:r w:rsidR="007357A3" w:rsidRPr="00436BC4">
        <w:t>.</w:t>
      </w:r>
      <w:r w:rsidR="00DF61A7" w:rsidRPr="00436BC4">
        <w:rPr>
          <w:rStyle w:val="CommentReference"/>
        </w:rPr>
        <w:t xml:space="preserve"> </w:t>
      </w:r>
      <w:r w:rsidR="00086994">
        <w:rPr>
          <w:rStyle w:val="FootnoteReference"/>
          <w:sz w:val="16"/>
          <w:szCs w:val="16"/>
        </w:rPr>
        <w:footnoteReference w:id="145"/>
      </w:r>
      <w:r w:rsidR="00C0465B" w:rsidRPr="00436BC4">
        <w:t xml:space="preserve"> </w:t>
      </w:r>
      <w:r w:rsidR="00B141E9" w:rsidRPr="00436BC4">
        <w:t xml:space="preserve"> </w:t>
      </w:r>
      <w:r w:rsidR="006D2CED" w:rsidRPr="006D2CED">
        <w:t xml:space="preserve">For many modern literary theorists such dissatisfaction would not come as a surprise. Foucault, and </w:t>
      </w:r>
      <w:r w:rsidR="006D2CED">
        <w:t xml:space="preserve">later </w:t>
      </w:r>
      <w:r w:rsidR="006D2CED" w:rsidRPr="006D2CED">
        <w:t>Butler, maintain that any engagement with historical texts that involves translation, interpretation, and reproduction for modern audiences is a political act.</w:t>
      </w:r>
      <w:r w:rsidR="006D2CED">
        <w:rPr>
          <w:rStyle w:val="FootnoteReference"/>
        </w:rPr>
        <w:footnoteReference w:id="146"/>
      </w:r>
      <w:r w:rsidR="006D2CED" w:rsidRPr="006D2CED">
        <w:t xml:space="preserve"> The fact that in many of the first editions of the </w:t>
      </w:r>
      <w:r w:rsidR="006D2CED" w:rsidRPr="006D2CED">
        <w:rPr>
          <w:i/>
          <w:iCs/>
        </w:rPr>
        <w:t>Mabinogion</w:t>
      </w:r>
      <w:r w:rsidR="006D2CED" w:rsidRPr="006D2CED">
        <w:t xml:space="preserve">, the </w:t>
      </w:r>
      <w:r w:rsidR="006D2CED" w:rsidRPr="006D2CED">
        <w:rPr>
          <w:i/>
          <w:iCs/>
        </w:rPr>
        <w:t>Fourth Branch</w:t>
      </w:r>
      <w:r w:rsidR="006D2CED" w:rsidRPr="006D2CED">
        <w:t xml:space="preserve"> </w:t>
      </w:r>
      <w:r w:rsidR="00694486">
        <w:t>was</w:t>
      </w:r>
      <w:r w:rsidR="006D2CED" w:rsidRPr="006D2CED">
        <w:t xml:space="preserve"> heavily edited to eliminate scenes deemed unsuitable for contemporary audiences, such as the perceived homosexual incest </w:t>
      </w:r>
      <w:r w:rsidR="00694486">
        <w:t xml:space="preserve">that occurs </w:t>
      </w:r>
      <w:r w:rsidR="006D2CED" w:rsidRPr="006D2CED">
        <w:t xml:space="preserve">between Gwydion and Gilfaethwy. Less obvious but perhaps more </w:t>
      </w:r>
      <w:r w:rsidR="008374C6">
        <w:t>insightful</w:t>
      </w:r>
      <w:r w:rsidR="006D2CED" w:rsidRPr="006D2CED">
        <w:t xml:space="preserve"> is the fact that </w:t>
      </w:r>
      <w:r w:rsidR="00694486">
        <w:t xml:space="preserve">Lady Charlotte </w:t>
      </w:r>
      <w:r w:rsidR="006D2CED" w:rsidRPr="006D2CED">
        <w:t xml:space="preserve">Guest translated the </w:t>
      </w:r>
      <w:r w:rsidR="006D2CED" w:rsidRPr="006D2CED">
        <w:rPr>
          <w:i/>
          <w:iCs/>
        </w:rPr>
        <w:t>Mabinogion</w:t>
      </w:r>
      <w:r w:rsidR="006D2CED" w:rsidRPr="006D2CED">
        <w:t xml:space="preserve"> at the height of one of the main Celtic revivals of the </w:t>
      </w:r>
      <w:r w:rsidR="00867DF8">
        <w:t>nineteenth</w:t>
      </w:r>
      <w:r w:rsidR="006D2CED" w:rsidRPr="006D2CED">
        <w:t xml:space="preserve"> century, a time when Wales was scrambling to find its answer to the popular </w:t>
      </w:r>
      <w:r w:rsidR="0079410A">
        <w:t>(</w:t>
      </w:r>
      <w:r w:rsidR="006D2CED" w:rsidRPr="006D2CED">
        <w:t>and forged</w:t>
      </w:r>
      <w:r w:rsidR="0079410A">
        <w:t>)</w:t>
      </w:r>
      <w:r w:rsidR="006D2CED" w:rsidRPr="006D2CED">
        <w:t xml:space="preserve"> Ossianic texts of Scotland, </w:t>
      </w:r>
      <w:r w:rsidR="00694486">
        <w:t>in order to</w:t>
      </w:r>
      <w:r w:rsidR="006D2CED" w:rsidRPr="006D2CED">
        <w:t xml:space="preserve"> secure a similarly glorious and faded ‘golden age’</w:t>
      </w:r>
      <w:r w:rsidR="00694486">
        <w:t>.</w:t>
      </w:r>
      <w:r w:rsidR="0079410A" w:rsidRPr="0079410A">
        <w:t xml:space="preserve"> </w:t>
      </w:r>
      <w:r w:rsidR="00694486">
        <w:t>According to Constantine, t</w:t>
      </w:r>
      <w:r w:rsidR="0079410A" w:rsidRPr="006D2CED">
        <w:t xml:space="preserve">he legacy of </w:t>
      </w:r>
      <w:r w:rsidR="00694486">
        <w:t>this ‘Celticisation’</w:t>
      </w:r>
      <w:r w:rsidR="0079410A" w:rsidRPr="006D2CED">
        <w:t xml:space="preserve"> was seen in scholars</w:t>
      </w:r>
      <w:r w:rsidR="00694486">
        <w:t>hip</w:t>
      </w:r>
      <w:r w:rsidR="0079410A" w:rsidRPr="006D2CED">
        <w:t xml:space="preserve"> up to the modern period</w:t>
      </w:r>
      <w:r w:rsidR="0079410A">
        <w:t>.</w:t>
      </w:r>
      <w:r w:rsidR="00C31C47">
        <w:t xml:space="preserve"> She argues that a </w:t>
      </w:r>
      <w:r w:rsidR="00C31C47" w:rsidRPr="00DF61A7">
        <w:t xml:space="preserve">pattern regarding dissatisfaction and reconstruction of material is found in other medieval Welsh texts, </w:t>
      </w:r>
      <w:r w:rsidR="00C31C47">
        <w:t>including</w:t>
      </w:r>
      <w:r w:rsidR="00C31C47" w:rsidRPr="00DF61A7">
        <w:t xml:space="preserve"> </w:t>
      </w:r>
      <w:r w:rsidR="00C31C47" w:rsidRPr="00DF61A7">
        <w:rPr>
          <w:i/>
          <w:iCs/>
        </w:rPr>
        <w:t>Cad Goddau</w:t>
      </w:r>
      <w:r w:rsidR="00C31C47" w:rsidRPr="00DF61A7">
        <w:t xml:space="preserve"> where the possible mythological undertones were so over</w:t>
      </w:r>
      <w:r w:rsidR="00C31C47">
        <w:t>-</w:t>
      </w:r>
      <w:r w:rsidR="00C31C47" w:rsidRPr="00DF61A7">
        <w:t xml:space="preserve">developed </w:t>
      </w:r>
      <w:r w:rsidR="00C31C47">
        <w:t xml:space="preserve">there existed widespread, and false </w:t>
      </w:r>
      <w:r w:rsidR="00C31C47" w:rsidRPr="00DF61A7">
        <w:t xml:space="preserve">acceptance </w:t>
      </w:r>
      <w:r w:rsidR="00C31C47">
        <w:t xml:space="preserve">in academic circles outside of Celtic studies </w:t>
      </w:r>
      <w:r w:rsidR="00C31C47" w:rsidRPr="00DF61A7">
        <w:t>of the existence of ‘Celtic Tree Alphabets’</w:t>
      </w:r>
      <w:r w:rsidR="00C31C47">
        <w:t xml:space="preserve"> as popularised by Robert Graves</w:t>
      </w:r>
      <w:r w:rsidR="00C31C47" w:rsidRPr="00DF61A7">
        <w:t xml:space="preserve">. </w:t>
      </w:r>
      <w:r w:rsidR="00C31C47">
        <w:t>Her</w:t>
      </w:r>
      <w:r w:rsidR="00C31C47" w:rsidRPr="00DF61A7">
        <w:t xml:space="preserve"> paper on the relationship between </w:t>
      </w:r>
      <w:r w:rsidR="00C31C47" w:rsidRPr="00DF61A7">
        <w:rPr>
          <w:i/>
          <w:iCs/>
        </w:rPr>
        <w:t xml:space="preserve">Cad Goddau </w:t>
      </w:r>
      <w:r w:rsidR="00C31C47" w:rsidRPr="00DF61A7">
        <w:t xml:space="preserve">and Graves’ </w:t>
      </w:r>
      <w:r w:rsidR="00C31C47" w:rsidRPr="00DF61A7">
        <w:rPr>
          <w:i/>
          <w:iCs/>
        </w:rPr>
        <w:t xml:space="preserve">The White </w:t>
      </w:r>
      <w:r w:rsidR="00C31C47" w:rsidRPr="00DF61A7">
        <w:t xml:space="preserve">Goddess makes an argument that is in line with Foucault and Butler, that unacknowledged biases and prejudices, (in this case compounded by the complexity of </w:t>
      </w:r>
      <w:r w:rsidR="00C31C47">
        <w:t xml:space="preserve">translation of </w:t>
      </w:r>
      <w:r w:rsidR="00C31C47" w:rsidRPr="00DF61A7">
        <w:t>medieval manuscripts) impose current societal understandings of importance, relevance and value through the past via textual ambiguities.</w:t>
      </w:r>
      <w:r w:rsidR="0079410A">
        <w:rPr>
          <w:rStyle w:val="FootnoteReference"/>
        </w:rPr>
        <w:footnoteReference w:id="147"/>
      </w:r>
    </w:p>
    <w:p w14:paraId="7AB6A960" w14:textId="2E6B5F38" w:rsidR="00762B07" w:rsidRDefault="00D6157C" w:rsidP="00161827">
      <w:pPr>
        <w:spacing w:line="480" w:lineRule="auto"/>
      </w:pPr>
      <w:r w:rsidRPr="00436BC4">
        <w:lastRenderedPageBreak/>
        <w:t xml:space="preserve">The notion of uncovering the ‘original Celtic narrative’ </w:t>
      </w:r>
      <w:r>
        <w:t xml:space="preserve">is </w:t>
      </w:r>
      <w:r w:rsidR="00FF2143" w:rsidRPr="00436BC4">
        <w:t>less popular within the discipline in recent years</w:t>
      </w:r>
      <w:r w:rsidR="00B62185">
        <w:t>,</w:t>
      </w:r>
      <w:r w:rsidR="00FF2143" w:rsidRPr="00436BC4">
        <w:t xml:space="preserve"> but nevertheless </w:t>
      </w:r>
      <w:r w:rsidRPr="00436BC4">
        <w:t xml:space="preserve">has </w:t>
      </w:r>
      <w:r w:rsidR="00FF2143" w:rsidRPr="00436BC4">
        <w:t xml:space="preserve">had continued traction </w:t>
      </w:r>
      <w:r w:rsidR="00C61F65" w:rsidRPr="00436BC4">
        <w:t xml:space="preserve">both within and </w:t>
      </w:r>
      <w:r w:rsidR="00FF2143" w:rsidRPr="00436BC4">
        <w:t>beyond the scholarship.</w:t>
      </w:r>
      <w:r w:rsidR="00FF2143" w:rsidRPr="00436BC4">
        <w:rPr>
          <w:rStyle w:val="FootnoteReference"/>
        </w:rPr>
        <w:footnoteReference w:id="148"/>
      </w:r>
      <w:r w:rsidR="006F7274" w:rsidRPr="00436BC4">
        <w:t xml:space="preserve"> </w:t>
      </w:r>
      <w:r w:rsidR="009927C5" w:rsidRPr="00436BC4">
        <w:t xml:space="preserve">What </w:t>
      </w:r>
      <w:r>
        <w:t>i</w:t>
      </w:r>
      <w:r w:rsidR="00AA6026">
        <w:t>s</w:t>
      </w:r>
      <w:r w:rsidR="009927C5" w:rsidRPr="00436BC4">
        <w:t xml:space="preserve"> to</w:t>
      </w:r>
      <w:r>
        <w:t xml:space="preserve"> be</w:t>
      </w:r>
      <w:r w:rsidR="009927C5" w:rsidRPr="00436BC4">
        <w:t xml:space="preserve"> ma</w:t>
      </w:r>
      <w:r>
        <w:t>d</w:t>
      </w:r>
      <w:r w:rsidR="009927C5" w:rsidRPr="00436BC4">
        <w:t xml:space="preserve">e of such a sustained </w:t>
      </w:r>
      <w:r w:rsidR="004B6AEE" w:rsidRPr="00436BC4">
        <w:t xml:space="preserve">and extensive </w:t>
      </w:r>
      <w:r w:rsidR="009927C5" w:rsidRPr="00436BC4">
        <w:t xml:space="preserve">focus? </w:t>
      </w:r>
      <w:r w:rsidR="00D174E7" w:rsidRPr="00436BC4">
        <w:t>A</w:t>
      </w:r>
      <w:r w:rsidR="009927C5" w:rsidRPr="00436BC4">
        <w:t xml:space="preserve">t the heart there is </w:t>
      </w:r>
      <w:r w:rsidR="004F3801" w:rsidRPr="00436BC4">
        <w:t xml:space="preserve">a </w:t>
      </w:r>
      <w:r w:rsidR="009927C5" w:rsidRPr="00436BC4">
        <w:t xml:space="preserve">binary </w:t>
      </w:r>
      <w:r w:rsidR="00424DB6" w:rsidRPr="00436BC4">
        <w:t>distinction</w:t>
      </w:r>
      <w:r w:rsidR="009927C5" w:rsidRPr="00436BC4">
        <w:t xml:space="preserve"> between the </w:t>
      </w:r>
      <w:r w:rsidR="006D42E1">
        <w:t>pre-Christian</w:t>
      </w:r>
      <w:r w:rsidR="009927C5" w:rsidRPr="00436BC4">
        <w:t xml:space="preserve"> and the Christian world</w:t>
      </w:r>
      <w:r w:rsidR="004F3801" w:rsidRPr="00436BC4">
        <w:t xml:space="preserve"> as separate entities</w:t>
      </w:r>
      <w:r w:rsidR="009927C5" w:rsidRPr="00436BC4">
        <w:t xml:space="preserve">. The </w:t>
      </w:r>
      <w:r w:rsidR="00843755" w:rsidRPr="00436BC4">
        <w:t xml:space="preserve">image of the </w:t>
      </w:r>
      <w:r w:rsidR="006D42E1">
        <w:t xml:space="preserve">‘pagan’ </w:t>
      </w:r>
      <w:r w:rsidR="00843755" w:rsidRPr="00436BC4">
        <w:t xml:space="preserve">Celt was a potent </w:t>
      </w:r>
      <w:r w:rsidR="003544D0" w:rsidRPr="00436BC4">
        <w:t>symbol</w:t>
      </w:r>
      <w:r w:rsidR="00843755" w:rsidRPr="00436BC4">
        <w:t xml:space="preserve"> </w:t>
      </w:r>
      <w:r w:rsidR="00D22C24">
        <w:t>during</w:t>
      </w:r>
      <w:r w:rsidR="00843755" w:rsidRPr="00436BC4">
        <w:t xml:space="preserve"> the </w:t>
      </w:r>
      <w:r w:rsidR="004F3801" w:rsidRPr="00436BC4">
        <w:t>R</w:t>
      </w:r>
      <w:r w:rsidR="00B25146" w:rsidRPr="00436BC4">
        <w:t xml:space="preserve">evivalist period of </w:t>
      </w:r>
      <w:r w:rsidR="00843755" w:rsidRPr="00436BC4">
        <w:t xml:space="preserve">late </w:t>
      </w:r>
      <w:r w:rsidR="000239CE">
        <w:t>eighteenth and nineteenth</w:t>
      </w:r>
      <w:r w:rsidR="00843755" w:rsidRPr="00436BC4">
        <w:t xml:space="preserve"> </w:t>
      </w:r>
      <w:r w:rsidR="003544D0" w:rsidRPr="00436BC4">
        <w:t>c</w:t>
      </w:r>
      <w:r w:rsidR="00843755" w:rsidRPr="00436BC4">
        <w:t>enturies</w:t>
      </w:r>
      <w:r w:rsidR="003544D0" w:rsidRPr="00436BC4">
        <w:t>,</w:t>
      </w:r>
      <w:r w:rsidR="00843755" w:rsidRPr="00436BC4">
        <w:t xml:space="preserve"> </w:t>
      </w:r>
      <w:r w:rsidR="00BF5FB1" w:rsidRPr="00436BC4">
        <w:t>inspiring m</w:t>
      </w:r>
      <w:r w:rsidR="00FF7570" w:rsidRPr="00436BC4">
        <w:t>any</w:t>
      </w:r>
      <w:r w:rsidR="00BF5FB1" w:rsidRPr="00436BC4">
        <w:t xml:space="preserve"> works of art, poetry, and literature</w:t>
      </w:r>
      <w:r w:rsidR="004F3801" w:rsidRPr="00436BC4">
        <w:t xml:space="preserve"> </w:t>
      </w:r>
      <w:r w:rsidR="00D22C24" w:rsidRPr="00436BC4">
        <w:t>throughout</w:t>
      </w:r>
      <w:r w:rsidR="004F3801" w:rsidRPr="00436BC4">
        <w:t xml:space="preserve"> the Romantic movement</w:t>
      </w:r>
      <w:r w:rsidR="00BF5FB1" w:rsidRPr="00436BC4">
        <w:t>.</w:t>
      </w:r>
      <w:r w:rsidR="00716EC4" w:rsidRPr="00436BC4">
        <w:t xml:space="preserve"> Wild and savage, the </w:t>
      </w:r>
      <w:r w:rsidR="00B25146" w:rsidRPr="00436BC4">
        <w:t xml:space="preserve">figure of </w:t>
      </w:r>
      <w:r w:rsidR="00FF7570" w:rsidRPr="00436BC4">
        <w:t xml:space="preserve">the </w:t>
      </w:r>
      <w:r w:rsidR="00B25146" w:rsidRPr="00436BC4">
        <w:t>Celt</w:t>
      </w:r>
      <w:r w:rsidR="00716EC4" w:rsidRPr="00436BC4">
        <w:t xml:space="preserve"> </w:t>
      </w:r>
      <w:r w:rsidR="00C028C1" w:rsidRPr="00436BC4">
        <w:t xml:space="preserve">was </w:t>
      </w:r>
      <w:r w:rsidR="00716EC4" w:rsidRPr="00436BC4">
        <w:t>associate</w:t>
      </w:r>
      <w:r w:rsidR="00FF7570" w:rsidRPr="00436BC4">
        <w:t>d</w:t>
      </w:r>
      <w:r w:rsidR="00716EC4" w:rsidRPr="00436BC4">
        <w:t xml:space="preserve"> with nature, passivity, </w:t>
      </w:r>
      <w:r w:rsidR="00352601" w:rsidRPr="00436BC4">
        <w:t xml:space="preserve">the </w:t>
      </w:r>
      <w:r w:rsidR="00716EC4" w:rsidRPr="00436BC4">
        <w:t>emotion</w:t>
      </w:r>
      <w:r w:rsidR="00352601" w:rsidRPr="00436BC4">
        <w:t>al</w:t>
      </w:r>
      <w:r w:rsidR="00716EC4" w:rsidRPr="00436BC4">
        <w:t>, and femininity.</w:t>
      </w:r>
      <w:r w:rsidR="00BF5FB1" w:rsidRPr="00436BC4">
        <w:t xml:space="preserve"> </w:t>
      </w:r>
      <w:r w:rsidR="00716EC4" w:rsidRPr="00436BC4">
        <w:t xml:space="preserve">Christianity however was considered to be a marker of civilisation and the undeniable march of progress – rational, innovative, active, moral, and masculine. </w:t>
      </w:r>
      <w:r w:rsidR="00CF3306" w:rsidRPr="00436BC4">
        <w:t xml:space="preserve">This artificial distinction </w:t>
      </w:r>
      <w:r w:rsidR="00B25146" w:rsidRPr="00436BC4">
        <w:t>was very much felt during th</w:t>
      </w:r>
      <w:r w:rsidR="009E4C42" w:rsidRPr="00436BC4">
        <w:t>is</w:t>
      </w:r>
      <w:r w:rsidR="00B25146" w:rsidRPr="00436BC4">
        <w:t xml:space="preserve"> period whe</w:t>
      </w:r>
      <w:r w:rsidR="00FF7570" w:rsidRPr="00436BC4">
        <w:t>n</w:t>
      </w:r>
      <w:r w:rsidR="00B25146" w:rsidRPr="00436BC4">
        <w:t xml:space="preserve"> the Celtic fringes </w:t>
      </w:r>
      <w:r w:rsidR="00D174E7" w:rsidRPr="00436BC4">
        <w:t xml:space="preserve">of the British Isles </w:t>
      </w:r>
      <w:r w:rsidR="00B25146" w:rsidRPr="00436BC4">
        <w:t xml:space="preserve">were seen as </w:t>
      </w:r>
      <w:r w:rsidR="00D174E7" w:rsidRPr="00436BC4">
        <w:t>‘</w:t>
      </w:r>
      <w:r w:rsidR="00B25146" w:rsidRPr="00436BC4">
        <w:t>other</w:t>
      </w:r>
      <w:r w:rsidR="00D174E7" w:rsidRPr="00436BC4">
        <w:t>’</w:t>
      </w:r>
      <w:r w:rsidR="00B25146" w:rsidRPr="00436BC4">
        <w:t xml:space="preserve"> </w:t>
      </w:r>
      <w:r w:rsidR="00276080" w:rsidRPr="00436BC4">
        <w:t>to the central Anglo culture</w:t>
      </w:r>
      <w:r w:rsidR="00D174E7" w:rsidRPr="00436BC4">
        <w:t>,</w:t>
      </w:r>
      <w:r w:rsidR="00B927F5" w:rsidRPr="00436BC4">
        <w:rPr>
          <w:rStyle w:val="FootnoteReference"/>
        </w:rPr>
        <w:footnoteReference w:id="149"/>
      </w:r>
      <w:r w:rsidR="00276080" w:rsidRPr="00436BC4">
        <w:t xml:space="preserve"> </w:t>
      </w:r>
      <w:r w:rsidR="00D174E7" w:rsidRPr="00436BC4">
        <w:t>being</w:t>
      </w:r>
      <w:r w:rsidR="00276080" w:rsidRPr="00436BC4">
        <w:t xml:space="preserve"> both beautiful and ancient with strong ties to the landscape, </w:t>
      </w:r>
      <w:r w:rsidR="00D174E7" w:rsidRPr="00436BC4">
        <w:t>but</w:t>
      </w:r>
      <w:r w:rsidR="00276080" w:rsidRPr="00436BC4">
        <w:t xml:space="preserve"> also </w:t>
      </w:r>
      <w:r w:rsidR="00D174E7" w:rsidRPr="00436BC4">
        <w:t>fatally</w:t>
      </w:r>
      <w:r w:rsidR="00276080" w:rsidRPr="00436BC4">
        <w:t xml:space="preserve"> doomed as a way of life, </w:t>
      </w:r>
      <w:r w:rsidR="00D174E7" w:rsidRPr="00436BC4">
        <w:t>as the</w:t>
      </w:r>
      <w:r w:rsidR="00276080" w:rsidRPr="00436BC4">
        <w:t xml:space="preserve"> </w:t>
      </w:r>
      <w:r w:rsidR="00D174E7" w:rsidRPr="00436BC4">
        <w:t xml:space="preserve">necessary modern </w:t>
      </w:r>
      <w:r w:rsidR="00276080" w:rsidRPr="00436BC4">
        <w:t xml:space="preserve">civilising influence of </w:t>
      </w:r>
      <w:r w:rsidR="00D44D79">
        <w:t>Anglo-</w:t>
      </w:r>
      <w:r w:rsidR="00276080" w:rsidRPr="00436BC4">
        <w:t>British</w:t>
      </w:r>
      <w:r w:rsidR="00D174E7" w:rsidRPr="00436BC4">
        <w:t xml:space="preserve"> rationality,</w:t>
      </w:r>
      <w:r w:rsidR="00276080" w:rsidRPr="00436BC4">
        <w:t xml:space="preserve"> nationalism and identity</w:t>
      </w:r>
      <w:r w:rsidR="00D174E7" w:rsidRPr="00436BC4">
        <w:t xml:space="preserve"> could not be denied.</w:t>
      </w:r>
      <w:r w:rsidR="006715D9" w:rsidRPr="00436BC4">
        <w:rPr>
          <w:rStyle w:val="FootnoteReference"/>
        </w:rPr>
        <w:footnoteReference w:id="150"/>
      </w:r>
      <w:r w:rsidR="00D174E7" w:rsidRPr="00436BC4">
        <w:t xml:space="preserve"> </w:t>
      </w:r>
    </w:p>
    <w:p w14:paraId="5899A0C0" w14:textId="77777777" w:rsidR="003D2994" w:rsidRPr="00436BC4" w:rsidRDefault="003D2994" w:rsidP="00161827">
      <w:pPr>
        <w:spacing w:line="480" w:lineRule="auto"/>
      </w:pPr>
    </w:p>
    <w:p w14:paraId="4FF3A3D2" w14:textId="62F8653C" w:rsidR="001668DE" w:rsidRDefault="00843972" w:rsidP="00161827">
      <w:pPr>
        <w:spacing w:line="480" w:lineRule="auto"/>
      </w:pPr>
      <w:r w:rsidRPr="00436BC4">
        <w:t xml:space="preserve">The </w:t>
      </w:r>
      <w:r w:rsidR="008C20D2" w:rsidRPr="00436BC4">
        <w:t>construction</w:t>
      </w:r>
      <w:r w:rsidR="000E692E" w:rsidRPr="00436BC4">
        <w:t xml:space="preserve"> of </w:t>
      </w:r>
      <w:r w:rsidR="008B78B6" w:rsidRPr="00436BC4">
        <w:t>a</w:t>
      </w:r>
      <w:r w:rsidR="0007008C">
        <w:t xml:space="preserve"> gendered</w:t>
      </w:r>
      <w:r w:rsidR="008B78B6" w:rsidRPr="00436BC4">
        <w:t xml:space="preserve"> </w:t>
      </w:r>
      <w:r w:rsidR="008374C6">
        <w:t>binary</w:t>
      </w:r>
      <w:r w:rsidR="000E692E" w:rsidRPr="00436BC4">
        <w:t xml:space="preserve"> </w:t>
      </w:r>
      <w:r w:rsidR="008374C6">
        <w:t xml:space="preserve">distinction </w:t>
      </w:r>
      <w:r w:rsidR="00B25146" w:rsidRPr="00436BC4">
        <w:t xml:space="preserve">between increasing Anglo-Norman influence across the British </w:t>
      </w:r>
      <w:r w:rsidR="00306671" w:rsidRPr="00436BC4">
        <w:t>I</w:t>
      </w:r>
      <w:r w:rsidR="00B25146" w:rsidRPr="00436BC4">
        <w:t xml:space="preserve">sles during the medieval period, </w:t>
      </w:r>
      <w:r w:rsidR="006B36DB">
        <w:t>and</w:t>
      </w:r>
      <w:r w:rsidR="008C20D2" w:rsidRPr="00436BC4">
        <w:t xml:space="preserve"> a</w:t>
      </w:r>
      <w:r w:rsidR="00B25146" w:rsidRPr="00436BC4">
        <w:t xml:space="preserve"> </w:t>
      </w:r>
      <w:r w:rsidR="00154AEB" w:rsidRPr="00436BC4">
        <w:t>preceding</w:t>
      </w:r>
      <w:r w:rsidR="00B25146" w:rsidRPr="00436BC4">
        <w:t xml:space="preserve"> primitive yet ultimately doomed </w:t>
      </w:r>
      <w:r w:rsidR="008C20D2" w:rsidRPr="00436BC4">
        <w:t>Celtic-</w:t>
      </w:r>
      <w:r w:rsidR="00B25146" w:rsidRPr="00436BC4">
        <w:t>pagan golden age</w:t>
      </w:r>
      <w:r w:rsidRPr="00436BC4">
        <w:t xml:space="preserve"> </w:t>
      </w:r>
      <w:r w:rsidR="008C20D2" w:rsidRPr="00436BC4">
        <w:t>was a</w:t>
      </w:r>
      <w:r w:rsidR="002C10D5">
        <w:t xml:space="preserve">n imagining </w:t>
      </w:r>
      <w:r w:rsidRPr="00436BC4">
        <w:t>o</w:t>
      </w:r>
      <w:r w:rsidR="00D44D79">
        <w:t>f</w:t>
      </w:r>
      <w:r w:rsidRPr="00436BC4">
        <w:t xml:space="preserve"> medieval Wales through the understanding of </w:t>
      </w:r>
      <w:r w:rsidR="003C1B3A" w:rsidRPr="00436BC4">
        <w:rPr>
          <w:vertAlign w:val="superscript"/>
        </w:rPr>
        <w:t xml:space="preserve"> </w:t>
      </w:r>
      <w:r w:rsidR="00004FD4">
        <w:t>nineteenth</w:t>
      </w:r>
      <w:r w:rsidR="003C1B3A" w:rsidRPr="00436BC4">
        <w:t>-</w:t>
      </w:r>
      <w:r w:rsidRPr="00436BC4">
        <w:t>century colonial attitudes</w:t>
      </w:r>
      <w:r w:rsidR="00004FD4">
        <w:t>, w</w:t>
      </w:r>
      <w:r w:rsidR="00A72450" w:rsidRPr="00436BC4">
        <w:t>here</w:t>
      </w:r>
      <w:r w:rsidR="00754959">
        <w:t xml:space="preserve"> Morgan notes,</w:t>
      </w:r>
      <w:r w:rsidR="00A72450" w:rsidRPr="00436BC4">
        <w:t xml:space="preserve"> </w:t>
      </w:r>
      <w:r w:rsidR="00004FD4" w:rsidRPr="00436BC4">
        <w:t xml:space="preserve">revivalist </w:t>
      </w:r>
      <w:r w:rsidR="001668DE" w:rsidRPr="00436BC4">
        <w:t xml:space="preserve">historians would have seen </w:t>
      </w:r>
      <w:r w:rsidR="00A72450" w:rsidRPr="00436BC4">
        <w:t>the</w:t>
      </w:r>
      <w:r w:rsidR="001668DE" w:rsidRPr="00436BC4">
        <w:t xml:space="preserve"> colonising </w:t>
      </w:r>
      <w:r w:rsidR="00A72450" w:rsidRPr="00436BC4">
        <w:lastRenderedPageBreak/>
        <w:t>Anglo-</w:t>
      </w:r>
      <w:r w:rsidR="001668DE" w:rsidRPr="00436BC4">
        <w:t>Norman influence as</w:t>
      </w:r>
      <w:r w:rsidR="00134A24" w:rsidRPr="00436BC4">
        <w:t xml:space="preserve"> </w:t>
      </w:r>
      <w:r w:rsidR="00A72450" w:rsidRPr="00436BC4">
        <w:t>an earlier phase</w:t>
      </w:r>
      <w:r w:rsidR="00134A24" w:rsidRPr="00436BC4">
        <w:t xml:space="preserve"> of a continuous linear process that they could witness taking place in their own time</w:t>
      </w:r>
      <w:r w:rsidR="00A72450" w:rsidRPr="00436BC4">
        <w:t>.</w:t>
      </w:r>
      <w:r w:rsidR="00E11FC1" w:rsidRPr="00436BC4">
        <w:rPr>
          <w:rStyle w:val="FootnoteReference"/>
        </w:rPr>
        <w:footnoteReference w:id="151"/>
      </w:r>
      <w:r w:rsidR="00A72450" w:rsidRPr="00436BC4">
        <w:t xml:space="preserve"> </w:t>
      </w:r>
    </w:p>
    <w:p w14:paraId="5EC88AD6" w14:textId="77777777" w:rsidR="00D57F03" w:rsidRDefault="00D57F03" w:rsidP="00161827">
      <w:pPr>
        <w:spacing w:line="480" w:lineRule="auto"/>
      </w:pPr>
    </w:p>
    <w:p w14:paraId="216677DA" w14:textId="035327C3" w:rsidR="00C0030A" w:rsidRDefault="00D57F03" w:rsidP="00161827">
      <w:pPr>
        <w:spacing w:line="480" w:lineRule="auto"/>
      </w:pPr>
      <w:r>
        <w:t>With this in mind, a</w:t>
      </w:r>
      <w:r w:rsidR="00843972" w:rsidRPr="00436BC4">
        <w:t>nalysis</w:t>
      </w:r>
      <w:r w:rsidR="00C16B59" w:rsidRPr="00436BC4">
        <w:t xml:space="preserve"> </w:t>
      </w:r>
      <w:r w:rsidR="001964D8" w:rsidRPr="00436BC4">
        <w:t xml:space="preserve">by </w:t>
      </w:r>
      <w:r>
        <w:t xml:space="preserve">revivalist </w:t>
      </w:r>
      <w:r w:rsidR="001964D8" w:rsidRPr="00436BC4">
        <w:t xml:space="preserve">scholars and antiquarians shows evidence of </w:t>
      </w:r>
      <w:r w:rsidR="00CF6554">
        <w:t xml:space="preserve">a </w:t>
      </w:r>
      <w:r w:rsidR="00843972" w:rsidRPr="00436BC4">
        <w:t>gender</w:t>
      </w:r>
      <w:r w:rsidR="00C16B59" w:rsidRPr="00436BC4">
        <w:t>ing</w:t>
      </w:r>
      <w:r w:rsidR="00843972" w:rsidRPr="00436BC4">
        <w:t xml:space="preserve"> </w:t>
      </w:r>
      <w:r w:rsidR="00CF6554">
        <w:t xml:space="preserve">of </w:t>
      </w:r>
      <w:r w:rsidR="00843972" w:rsidRPr="00436BC4">
        <w:t>components of the tale</w:t>
      </w:r>
      <w:r w:rsidR="00C16B59" w:rsidRPr="00436BC4">
        <w:t xml:space="preserve">, employing a method of </w:t>
      </w:r>
      <w:r w:rsidR="00CA47CA">
        <w:t xml:space="preserve">binary </w:t>
      </w:r>
      <w:r w:rsidR="00C16B59" w:rsidRPr="00436BC4">
        <w:t xml:space="preserve">classification to deem what in the text is ‘pure’ and what is ‘corrupted’. </w:t>
      </w:r>
      <w:r>
        <w:t xml:space="preserve">When viewed </w:t>
      </w:r>
      <w:r w:rsidR="003E3F53" w:rsidRPr="00436BC4">
        <w:t>as a single entity</w:t>
      </w:r>
      <w:r>
        <w:t>,</w:t>
      </w:r>
      <w:r w:rsidR="003E3F53" w:rsidRPr="00436BC4">
        <w:t xml:space="preserve"> </w:t>
      </w:r>
      <w:r>
        <w:t>t</w:t>
      </w:r>
      <w:r w:rsidRPr="00436BC4">
        <w:t xml:space="preserve">he </w:t>
      </w:r>
      <w:r w:rsidR="001B5E43">
        <w:t>fourteenth</w:t>
      </w:r>
      <w:r w:rsidRPr="00436BC4">
        <w:t xml:space="preserve"> century </w:t>
      </w:r>
      <w:r>
        <w:t xml:space="preserve">versions of the </w:t>
      </w:r>
      <w:r>
        <w:rPr>
          <w:i/>
          <w:iCs/>
        </w:rPr>
        <w:t>Mabinogi</w:t>
      </w:r>
      <w:r w:rsidRPr="00436BC4">
        <w:t xml:space="preserve"> found in the Llyfr Gwyn Rhydderch and the Llyfr Coch Hergest </w:t>
      </w:r>
      <w:r w:rsidR="00424DB6" w:rsidRPr="00436BC4">
        <w:t>represent</w:t>
      </w:r>
      <w:r>
        <w:t>ed</w:t>
      </w:r>
      <w:r w:rsidR="00424DB6" w:rsidRPr="00436BC4">
        <w:t xml:space="preserve"> a</w:t>
      </w:r>
      <w:r w:rsidR="006177FD" w:rsidRPr="00436BC4">
        <w:t xml:space="preserve"> subversive </w:t>
      </w:r>
      <w:r w:rsidR="00424DB6" w:rsidRPr="00436BC4">
        <w:t xml:space="preserve">un-pure mixing of </w:t>
      </w:r>
      <w:r w:rsidR="002165BB">
        <w:t>binary opposites</w:t>
      </w:r>
      <w:r>
        <w:t xml:space="preserve"> for many revivalist men of letters</w:t>
      </w:r>
      <w:r w:rsidR="00424DB6" w:rsidRPr="00436BC4">
        <w:t>.</w:t>
      </w:r>
      <w:r w:rsidR="007D42A9" w:rsidRPr="00436BC4">
        <w:rPr>
          <w:rStyle w:val="FootnoteReference"/>
        </w:rPr>
        <w:footnoteReference w:id="152"/>
      </w:r>
      <w:r w:rsidR="00424DB6" w:rsidRPr="00436BC4">
        <w:t xml:space="preserve"> </w:t>
      </w:r>
      <w:r w:rsidR="00C16B59" w:rsidRPr="00436BC4">
        <w:t xml:space="preserve">The </w:t>
      </w:r>
      <w:r w:rsidR="005844BA" w:rsidRPr="00436BC4">
        <w:t>‘</w:t>
      </w:r>
      <w:r w:rsidR="00C16B59" w:rsidRPr="00436BC4">
        <w:t>corrupted</w:t>
      </w:r>
      <w:r w:rsidR="005844BA" w:rsidRPr="00436BC4">
        <w:t>’</w:t>
      </w:r>
      <w:r w:rsidR="00C16B59" w:rsidRPr="00436BC4">
        <w:t xml:space="preserve"> extant version </w:t>
      </w:r>
      <w:r w:rsidR="00E2187C" w:rsidRPr="00436BC4">
        <w:t>brings</w:t>
      </w:r>
      <w:r w:rsidR="003E3F53" w:rsidRPr="00436BC4">
        <w:t xml:space="preserve"> t</w:t>
      </w:r>
      <w:r w:rsidR="005844BA" w:rsidRPr="00436BC4">
        <w:t>ogether the pagan, and Christian</w:t>
      </w:r>
      <w:r w:rsidR="003E3F53" w:rsidRPr="00436BC4">
        <w:t xml:space="preserve"> together</w:t>
      </w:r>
      <w:r w:rsidR="00C90F32" w:rsidRPr="00436BC4">
        <w:t xml:space="preserve"> in a transgressive tangle that queer</w:t>
      </w:r>
      <w:r w:rsidR="00244A36" w:rsidRPr="00436BC4">
        <w:t>s</w:t>
      </w:r>
      <w:r w:rsidR="00C90F32" w:rsidRPr="00436BC4">
        <w:t xml:space="preserve"> notions of the separateness of these two </w:t>
      </w:r>
      <w:r w:rsidR="005844BA" w:rsidRPr="00436BC4">
        <w:t xml:space="preserve">categories, </w:t>
      </w:r>
      <w:r>
        <w:t>and challeng</w:t>
      </w:r>
      <w:r w:rsidR="002165BB">
        <w:t>es</w:t>
      </w:r>
      <w:r>
        <w:t xml:space="preserve"> its veracity</w:t>
      </w:r>
      <w:r w:rsidR="00C90F32" w:rsidRPr="00436BC4">
        <w:t xml:space="preserve">. </w:t>
      </w:r>
      <w:r w:rsidR="00E2187C" w:rsidRPr="00436BC4">
        <w:t>As sex, gender, physical</w:t>
      </w:r>
      <w:r>
        <w:t>,</w:t>
      </w:r>
      <w:r w:rsidR="00E2187C" w:rsidRPr="00436BC4">
        <w:t xml:space="preserve"> and social bodies are considered mutable in the narrative, </w:t>
      </w:r>
      <w:r w:rsidR="00D5788F" w:rsidRPr="00436BC4">
        <w:t xml:space="preserve">I would argue that </w:t>
      </w:r>
      <w:r w:rsidR="00E2187C" w:rsidRPr="00436BC4">
        <w:t>the blending of</w:t>
      </w:r>
      <w:r w:rsidR="006177FD" w:rsidRPr="00436BC4">
        <w:t xml:space="preserve"> perceived</w:t>
      </w:r>
      <w:r w:rsidR="00E2187C" w:rsidRPr="00436BC4">
        <w:t xml:space="preserve"> older</w:t>
      </w:r>
      <w:r w:rsidR="005844BA" w:rsidRPr="00436BC4">
        <w:t xml:space="preserve"> ‘pagan’</w:t>
      </w:r>
      <w:r w:rsidR="00E2187C" w:rsidRPr="00436BC4">
        <w:t xml:space="preserve"> and newer </w:t>
      </w:r>
      <w:r w:rsidR="005844BA" w:rsidRPr="00436BC4">
        <w:t xml:space="preserve">Christian </w:t>
      </w:r>
      <w:r w:rsidR="00E2187C" w:rsidRPr="00436BC4">
        <w:t xml:space="preserve">elements in the tale </w:t>
      </w:r>
      <w:r w:rsidR="00244A36" w:rsidRPr="00436BC4">
        <w:t xml:space="preserve">(in terms of form, structure, theme, etc.) </w:t>
      </w:r>
      <w:r w:rsidR="006177FD" w:rsidRPr="00436BC4">
        <w:t>trouble</w:t>
      </w:r>
      <w:r w:rsidR="002165BB">
        <w:t>d</w:t>
      </w:r>
      <w:r w:rsidR="006177FD" w:rsidRPr="00436BC4">
        <w:t xml:space="preserve"> the conventional understanding of </w:t>
      </w:r>
      <w:r w:rsidR="00244A36" w:rsidRPr="00436BC4">
        <w:t>cultural purity and uniqueness</w:t>
      </w:r>
      <w:r w:rsidR="00E2187C" w:rsidRPr="00436BC4">
        <w:t xml:space="preserve"> </w:t>
      </w:r>
      <w:r>
        <w:t>for</w:t>
      </w:r>
      <w:r w:rsidR="00E2187C" w:rsidRPr="00436BC4">
        <w:t xml:space="preserve"> th</w:t>
      </w:r>
      <w:r>
        <w:t>ese</w:t>
      </w:r>
      <w:r w:rsidR="00E2187C" w:rsidRPr="00436BC4">
        <w:t xml:space="preserve"> early scholars.</w:t>
      </w:r>
      <w:r w:rsidR="0004210F" w:rsidRPr="00436BC4">
        <w:t xml:space="preserve"> </w:t>
      </w:r>
      <w:r w:rsidR="002165BB">
        <w:t>Thus, f</w:t>
      </w:r>
      <w:r w:rsidR="00D5788F" w:rsidRPr="00436BC4">
        <w:t>rom this perspective</w:t>
      </w:r>
      <w:r w:rsidR="0004210F" w:rsidRPr="00436BC4">
        <w:t xml:space="preserve"> </w:t>
      </w:r>
      <w:r w:rsidR="009E6C54" w:rsidRPr="00436BC4">
        <w:t>the ‘pure’ vs ‘corrupted’ distinction</w:t>
      </w:r>
      <w:r w:rsidR="00D5788F" w:rsidRPr="00436BC4">
        <w:t xml:space="preserve"> of </w:t>
      </w:r>
      <w:r>
        <w:t>this period</w:t>
      </w:r>
      <w:r w:rsidR="00D5788F" w:rsidRPr="00436BC4">
        <w:t xml:space="preserve"> can be seen as</w:t>
      </w:r>
      <w:r w:rsidR="0004210F" w:rsidRPr="00436BC4">
        <w:t xml:space="preserve"> an ineffectual attempt to address the ‘pervasive ambiguity’ that Sheehan describes in </w:t>
      </w:r>
      <w:r w:rsidR="0004210F" w:rsidRPr="00436BC4">
        <w:rPr>
          <w:i/>
          <w:iCs/>
        </w:rPr>
        <w:t>Matrilineal Subjects</w:t>
      </w:r>
      <w:r w:rsidR="0004210F" w:rsidRPr="00436BC4">
        <w:t xml:space="preserve">, one where the </w:t>
      </w:r>
      <w:r w:rsidR="009E6C54" w:rsidRPr="00436BC4">
        <w:t xml:space="preserve">gender, cultural, and religious </w:t>
      </w:r>
      <w:r w:rsidR="0004210F" w:rsidRPr="00436BC4">
        <w:t>ambiguity is seen</w:t>
      </w:r>
      <w:r w:rsidR="00154AEB" w:rsidRPr="00436BC4">
        <w:t xml:space="preserve"> as</w:t>
      </w:r>
      <w:r w:rsidR="0004210F" w:rsidRPr="00436BC4">
        <w:t xml:space="preserve"> a defect in need of correction</w:t>
      </w:r>
      <w:r w:rsidR="009E6C54" w:rsidRPr="00436BC4">
        <w:t>,</w:t>
      </w:r>
      <w:r w:rsidR="0004210F" w:rsidRPr="00436BC4">
        <w:t xml:space="preserve"> rather than as a strength of the narrative. </w:t>
      </w:r>
    </w:p>
    <w:p w14:paraId="60499533" w14:textId="77777777" w:rsidR="003D2994" w:rsidRPr="00436BC4" w:rsidRDefault="003D2994" w:rsidP="00161827">
      <w:pPr>
        <w:spacing w:line="480" w:lineRule="auto"/>
      </w:pPr>
    </w:p>
    <w:p w14:paraId="79CEBF8F" w14:textId="361660AD" w:rsidR="00B17061" w:rsidRDefault="00244A36" w:rsidP="006B4FB1">
      <w:pPr>
        <w:spacing w:line="480" w:lineRule="auto"/>
      </w:pPr>
      <w:r w:rsidRPr="00436BC4">
        <w:t>The notion of digging for the ‘original narrative’</w:t>
      </w:r>
      <w:r w:rsidR="00AE06A6" w:rsidRPr="00436BC4">
        <w:t xml:space="preserve"> found reinvention </w:t>
      </w:r>
      <w:r w:rsidR="006B4FB1">
        <w:t xml:space="preserve">in the scholarship of the </w:t>
      </w:r>
      <w:r w:rsidR="008D4AA7">
        <w:t xml:space="preserve">twentieth </w:t>
      </w:r>
      <w:r w:rsidR="006B4FB1">
        <w:t xml:space="preserve"> century with </w:t>
      </w:r>
      <w:r w:rsidR="00AE06A6" w:rsidRPr="00436BC4">
        <w:t xml:space="preserve">the quest for the ‘author’ of the versions </w:t>
      </w:r>
      <w:r w:rsidR="006B4FB1">
        <w:t xml:space="preserve">of the </w:t>
      </w:r>
      <w:r w:rsidR="006B4FB1">
        <w:rPr>
          <w:i/>
          <w:iCs/>
        </w:rPr>
        <w:t xml:space="preserve">Four Branches </w:t>
      </w:r>
      <w:r w:rsidR="006B4FB1" w:rsidRPr="006B4FB1">
        <w:t>that</w:t>
      </w:r>
      <w:r w:rsidR="006B4FB1">
        <w:rPr>
          <w:i/>
          <w:iCs/>
        </w:rPr>
        <w:t xml:space="preserve"> </w:t>
      </w:r>
      <w:r w:rsidR="006B4FB1" w:rsidRPr="006B4FB1">
        <w:t>survive</w:t>
      </w:r>
      <w:r w:rsidR="006B4FB1">
        <w:rPr>
          <w:i/>
          <w:iCs/>
        </w:rPr>
        <w:t xml:space="preserve"> </w:t>
      </w:r>
      <w:r w:rsidR="00AE06A6" w:rsidRPr="00436BC4">
        <w:t>in the Llyfrau Gwyn and Coch</w:t>
      </w:r>
      <w:r w:rsidR="006B4FB1">
        <w:t>,</w:t>
      </w:r>
      <w:r w:rsidR="00AE06A6" w:rsidRPr="00436BC4">
        <w:t xml:space="preserve"> with </w:t>
      </w:r>
      <w:r w:rsidR="0084630D" w:rsidRPr="00436BC4">
        <w:t>some</w:t>
      </w:r>
      <w:r w:rsidR="00AE06A6" w:rsidRPr="00436BC4">
        <w:t xml:space="preserve"> </w:t>
      </w:r>
      <w:r w:rsidR="0084630D" w:rsidRPr="00436BC4">
        <w:t xml:space="preserve">scholars </w:t>
      </w:r>
      <w:r w:rsidR="009150F1" w:rsidRPr="00436BC4">
        <w:t>going as far as to name potential candidates</w:t>
      </w:r>
      <w:r w:rsidR="0084630D" w:rsidRPr="00436BC4">
        <w:t>.</w:t>
      </w:r>
      <w:r w:rsidR="0084630D" w:rsidRPr="00436BC4">
        <w:rPr>
          <w:rStyle w:val="FootnoteReference"/>
        </w:rPr>
        <w:footnoteReference w:id="153"/>
      </w:r>
      <w:r w:rsidR="00C0030A" w:rsidRPr="00436BC4">
        <w:t xml:space="preserve"> However </w:t>
      </w:r>
      <w:r w:rsidR="00C0030A" w:rsidRPr="00436BC4">
        <w:lastRenderedPageBreak/>
        <w:t xml:space="preserve">the work of Sioned Davies has </w:t>
      </w:r>
      <w:r w:rsidR="006B4FB1">
        <w:t>highlighted</w:t>
      </w:r>
      <w:r w:rsidR="00C0030A" w:rsidRPr="00436BC4">
        <w:t xml:space="preserve"> the oral </w:t>
      </w:r>
      <w:r w:rsidR="006B4FB1">
        <w:t>heritage</w:t>
      </w:r>
      <w:r w:rsidR="00C0030A" w:rsidRPr="00436BC4">
        <w:t xml:space="preserve"> of the tales</w:t>
      </w:r>
      <w:r w:rsidR="00AC446B" w:rsidRPr="00436BC4">
        <w:t xml:space="preserve">, </w:t>
      </w:r>
      <w:r w:rsidR="006B4FB1">
        <w:t>proposing that</w:t>
      </w:r>
      <w:r w:rsidR="00AC446B" w:rsidRPr="00436BC4">
        <w:t xml:space="preserve"> the </w:t>
      </w:r>
      <w:r w:rsidR="006B4FB1">
        <w:rPr>
          <w:i/>
          <w:iCs/>
        </w:rPr>
        <w:t xml:space="preserve">Four Branches </w:t>
      </w:r>
      <w:r w:rsidR="00AC446B" w:rsidRPr="00436BC4">
        <w:t xml:space="preserve">were most likely a collection of narratives that formed part of the repertoire of the </w:t>
      </w:r>
      <w:bookmarkStart w:id="57" w:name="_Hlk160446716"/>
      <w:r w:rsidR="00AC446B" w:rsidRPr="00436BC4">
        <w:rPr>
          <w:i/>
          <w:iCs/>
        </w:rPr>
        <w:t>cyfarwyddiad</w:t>
      </w:r>
      <w:r w:rsidR="00154AEB" w:rsidRPr="00436BC4">
        <w:rPr>
          <w:i/>
          <w:iCs/>
        </w:rPr>
        <w:t>,</w:t>
      </w:r>
      <w:r w:rsidR="008F7C89">
        <w:rPr>
          <w:rStyle w:val="FootnoteReference"/>
          <w:i/>
          <w:iCs/>
        </w:rPr>
        <w:footnoteReference w:id="154"/>
      </w:r>
      <w:r w:rsidR="00AC446B" w:rsidRPr="00436BC4">
        <w:t xml:space="preserve"> </w:t>
      </w:r>
      <w:bookmarkEnd w:id="57"/>
      <w:r w:rsidR="00AC446B" w:rsidRPr="00436BC4">
        <w:t xml:space="preserve">and </w:t>
      </w:r>
      <w:r w:rsidR="006B4FB1">
        <w:t xml:space="preserve">therefore </w:t>
      </w:r>
      <w:r w:rsidR="00AC446B" w:rsidRPr="00436BC4">
        <w:t>would</w:t>
      </w:r>
      <w:r w:rsidR="00C336BA" w:rsidRPr="00436BC4">
        <w:t xml:space="preserve"> </w:t>
      </w:r>
      <w:r w:rsidR="00AC446B" w:rsidRPr="00436BC4">
        <w:t>have been</w:t>
      </w:r>
      <w:r w:rsidR="00B30EED" w:rsidRPr="00436BC4">
        <w:t xml:space="preserve"> continuously</w:t>
      </w:r>
      <w:r w:rsidR="00AC446B" w:rsidRPr="00436BC4">
        <w:t xml:space="preserve"> adapted</w:t>
      </w:r>
      <w:r w:rsidR="006B4FB1">
        <w:t xml:space="preserve"> by various individuals</w:t>
      </w:r>
      <w:r w:rsidR="00AC446B" w:rsidRPr="00436BC4">
        <w:t xml:space="preserve"> over </w:t>
      </w:r>
      <w:r w:rsidR="006B4FB1">
        <w:t>many</w:t>
      </w:r>
      <w:r w:rsidR="00AC446B" w:rsidRPr="00436BC4">
        <w:t xml:space="preserve"> years before being written down.</w:t>
      </w:r>
      <w:r w:rsidR="00E93B11" w:rsidRPr="00436BC4">
        <w:rPr>
          <w:rStyle w:val="FootnoteReference"/>
        </w:rPr>
        <w:footnoteReference w:id="155"/>
      </w:r>
      <w:r w:rsidR="00AC446B" w:rsidRPr="00436BC4">
        <w:t xml:space="preserve"> In this case we see how the nature of the tales transgresses</w:t>
      </w:r>
      <w:r w:rsidR="00C20131">
        <w:t xml:space="preserve"> post-Renaissance</w:t>
      </w:r>
      <w:r w:rsidR="00AC446B" w:rsidRPr="00436BC4">
        <w:t xml:space="preserve"> </w:t>
      </w:r>
      <w:r w:rsidR="00C336BA" w:rsidRPr="00436BC4">
        <w:t>literary conventions,</w:t>
      </w:r>
      <w:r w:rsidR="00AC446B" w:rsidRPr="00436BC4">
        <w:t xml:space="preserve"> </w:t>
      </w:r>
      <w:r w:rsidR="00C336BA" w:rsidRPr="00436BC4">
        <w:t>problematising</w:t>
      </w:r>
      <w:r w:rsidR="00AC446B" w:rsidRPr="00436BC4">
        <w:t xml:space="preserve"> the nature of literature as </w:t>
      </w:r>
      <w:r w:rsidR="0098592E" w:rsidRPr="00436BC4">
        <w:t xml:space="preserve">distinct work stemming from the creative process of one individual. If we are to consider all </w:t>
      </w:r>
      <w:r w:rsidR="0098592E" w:rsidRPr="00436BC4">
        <w:rPr>
          <w:i/>
          <w:iCs/>
        </w:rPr>
        <w:t>Four Branches</w:t>
      </w:r>
      <w:r w:rsidR="0098592E" w:rsidRPr="00436BC4">
        <w:t xml:space="preserve"> </w:t>
      </w:r>
      <w:r w:rsidR="0005712B" w:rsidRPr="00436BC4">
        <w:t>as</w:t>
      </w:r>
      <w:r w:rsidR="0098592E" w:rsidRPr="00436BC4">
        <w:t xml:space="preserve"> a collective creative process </w:t>
      </w:r>
      <w:r w:rsidR="00A07983" w:rsidRPr="00436BC4">
        <w:t>involving many individuals spanning</w:t>
      </w:r>
      <w:r w:rsidR="0098592E" w:rsidRPr="00436BC4">
        <w:t xml:space="preserve"> both </w:t>
      </w:r>
      <w:r w:rsidR="00A07983" w:rsidRPr="00436BC4">
        <w:t>geographical space and time</w:t>
      </w:r>
      <w:r w:rsidR="0005712B" w:rsidRPr="00436BC4">
        <w:t>, then a</w:t>
      </w:r>
      <w:r w:rsidR="00F14271" w:rsidRPr="00436BC4">
        <w:t>n</w:t>
      </w:r>
      <w:r w:rsidR="0005712B" w:rsidRPr="00436BC4">
        <w:t xml:space="preserve"> </w:t>
      </w:r>
      <w:r w:rsidR="00EB6278" w:rsidRPr="00436BC4">
        <w:t>understanding of the nature</w:t>
      </w:r>
      <w:r w:rsidR="0098592E" w:rsidRPr="00436BC4">
        <w:t xml:space="preserve"> of the </w:t>
      </w:r>
      <w:r w:rsidR="00A07983" w:rsidRPr="00436BC4">
        <w:t>tales themselves</w:t>
      </w:r>
      <w:r w:rsidR="00F14271" w:rsidRPr="00436BC4">
        <w:t xml:space="preserve"> as a</w:t>
      </w:r>
      <w:r w:rsidR="00154AEB" w:rsidRPr="00436BC4">
        <w:t>n</w:t>
      </w:r>
      <w:r w:rsidR="00F14271" w:rsidRPr="00436BC4">
        <w:t xml:space="preserve"> indistinct, polymorphous</w:t>
      </w:r>
      <w:r w:rsidR="00A07983" w:rsidRPr="00436BC4">
        <w:t xml:space="preserve">, queer </w:t>
      </w:r>
      <w:r w:rsidR="00F14271" w:rsidRPr="00436BC4">
        <w:t>entity</w:t>
      </w:r>
      <w:r w:rsidR="0098592E" w:rsidRPr="00436BC4">
        <w:t xml:space="preserve"> is revealed. The versions in the Llyfrau Gwyn and Coch </w:t>
      </w:r>
      <w:r w:rsidR="00F14271" w:rsidRPr="00436BC4">
        <w:t>are</w:t>
      </w:r>
      <w:r w:rsidR="0098592E" w:rsidRPr="00436BC4">
        <w:t xml:space="preserve"> but a snapshot of the tales in their life as dynamic and constantly evolving entities. The notion of these </w:t>
      </w:r>
      <w:r w:rsidR="00D84D27" w:rsidRPr="00436BC4">
        <w:t xml:space="preserve">stories existing in multiple forms and being in a continuous process of becoming – responding, informing and being informed by social and cultural forces – parallels Judith Butler’s assertion concerning the </w:t>
      </w:r>
      <w:r w:rsidR="00C00668" w:rsidRPr="00436BC4">
        <w:t>creation of the gender</w:t>
      </w:r>
      <w:r w:rsidR="00CF6554">
        <w:t>ed</w:t>
      </w:r>
      <w:r w:rsidR="00C00668" w:rsidRPr="00436BC4">
        <w:t xml:space="preserve"> and the social body</w:t>
      </w:r>
      <w:r w:rsidR="00CF6554">
        <w:t xml:space="preserve"> as performative</w:t>
      </w:r>
      <w:r w:rsidR="00C00668" w:rsidRPr="00436BC4">
        <w:t xml:space="preserve">. Furthermore, the plurality of many generations of creators, without fixed source, and </w:t>
      </w:r>
      <w:r w:rsidR="00E36516" w:rsidRPr="00436BC4">
        <w:t xml:space="preserve">the fact </w:t>
      </w:r>
      <w:r w:rsidR="00C00668" w:rsidRPr="00436BC4">
        <w:t xml:space="preserve">that there may have been many versions of the </w:t>
      </w:r>
      <w:r w:rsidR="00C00668" w:rsidRPr="00436BC4">
        <w:rPr>
          <w:i/>
          <w:iCs/>
        </w:rPr>
        <w:t>Four Branches</w:t>
      </w:r>
      <w:r w:rsidR="00C00668" w:rsidRPr="00436BC4">
        <w:t xml:space="preserve"> in existence at any </w:t>
      </w:r>
      <w:r w:rsidR="00E36516" w:rsidRPr="00436BC4">
        <w:t>one time</w:t>
      </w:r>
      <w:r w:rsidR="00F14271" w:rsidRPr="00436BC4">
        <w:t>, again troubles</w:t>
      </w:r>
      <w:r w:rsidR="00C00668" w:rsidRPr="00436BC4">
        <w:t xml:space="preserve"> both the search for the original pagan narrative and a sing</w:t>
      </w:r>
      <w:r w:rsidR="00E36516" w:rsidRPr="00436BC4">
        <w:t>le</w:t>
      </w:r>
      <w:r w:rsidR="00C00668" w:rsidRPr="00436BC4">
        <w:t xml:space="preserve"> author.</w:t>
      </w:r>
      <w:r w:rsidR="00843D51" w:rsidRPr="00436BC4">
        <w:t xml:space="preserve"> </w:t>
      </w:r>
      <w:r w:rsidR="00D75486" w:rsidRPr="00436BC4">
        <w:t>Sioned Davies</w:t>
      </w:r>
      <w:r w:rsidR="009C495F">
        <w:t xml:space="preserve"> raises</w:t>
      </w:r>
      <w:r w:rsidR="00D75486" w:rsidRPr="00436BC4">
        <w:t xml:space="preserve"> further complicat</w:t>
      </w:r>
      <w:r w:rsidR="009C495F">
        <w:t>ions</w:t>
      </w:r>
      <w:r w:rsidR="00D75486" w:rsidRPr="00436BC4">
        <w:t xml:space="preserve"> by reiterating that the oral versions of these tales would have been performed in a public venue</w:t>
      </w:r>
      <w:r w:rsidR="009C495F">
        <w:t>,</w:t>
      </w:r>
      <w:r w:rsidR="00D75486" w:rsidRPr="00436BC4">
        <w:t xml:space="preserve"> very likely with high levels of audience participation and interaction. Even written versions of the text were most likely intended to be read aloud to an audience. This is clearly not how modern academics interact with the text in the present day, and so recognition of the non-literary life of the </w:t>
      </w:r>
      <w:r w:rsidR="00D75486" w:rsidRPr="00436BC4">
        <w:rPr>
          <w:i/>
          <w:iCs/>
        </w:rPr>
        <w:t>Four Branches</w:t>
      </w:r>
      <w:r w:rsidR="00D75486" w:rsidRPr="00436BC4">
        <w:t xml:space="preserve"> should not be neglected</w:t>
      </w:r>
      <w:r w:rsidR="000019DC" w:rsidRPr="00436BC4">
        <w:t>.</w:t>
      </w:r>
      <w:r w:rsidR="00FD194F" w:rsidRPr="00436BC4">
        <w:rPr>
          <w:rStyle w:val="FootnoteReference"/>
        </w:rPr>
        <w:footnoteReference w:id="156"/>
      </w:r>
      <w:r w:rsidR="000019DC" w:rsidRPr="00436BC4">
        <w:t xml:space="preserve"> </w:t>
      </w:r>
      <w:r w:rsidR="00352ADA" w:rsidRPr="00436BC4">
        <w:t xml:space="preserve">The tales </w:t>
      </w:r>
      <w:r w:rsidR="00352ADA" w:rsidRPr="00436BC4">
        <w:lastRenderedPageBreak/>
        <w:t xml:space="preserve">challenge the notion of what storytelling was in </w:t>
      </w:r>
      <w:r w:rsidR="00967EED">
        <w:t>m</w:t>
      </w:r>
      <w:r w:rsidR="00352ADA" w:rsidRPr="00436BC4">
        <w:t>edieval Wales, and show how it is different to today’s notions of art and literature</w:t>
      </w:r>
      <w:r w:rsidR="00352ADA">
        <w:t>.</w:t>
      </w:r>
    </w:p>
    <w:p w14:paraId="175D646A" w14:textId="77777777" w:rsidR="003D2994" w:rsidRPr="00436BC4" w:rsidRDefault="003D2994" w:rsidP="00161827">
      <w:pPr>
        <w:spacing w:line="480" w:lineRule="auto"/>
      </w:pPr>
    </w:p>
    <w:p w14:paraId="1A72A50F" w14:textId="7DB09C8A" w:rsidR="00424DB6" w:rsidRPr="00436BC4" w:rsidRDefault="00A47418" w:rsidP="00161827">
      <w:pPr>
        <w:spacing w:line="480" w:lineRule="auto"/>
      </w:pPr>
      <w:r w:rsidRPr="00436BC4">
        <w:t>This mode of</w:t>
      </w:r>
      <w:r w:rsidR="00B87DE0" w:rsidRPr="00436BC4">
        <w:t xml:space="preserve"> </w:t>
      </w:r>
      <w:r w:rsidR="00A5781D" w:rsidRPr="00436BC4">
        <w:t xml:space="preserve">critique </w:t>
      </w:r>
      <w:r w:rsidR="00B87DE0" w:rsidRPr="00436BC4">
        <w:t xml:space="preserve">of </w:t>
      </w:r>
      <w:r w:rsidRPr="00436BC4">
        <w:t>the</w:t>
      </w:r>
      <w:r w:rsidR="00B87DE0" w:rsidRPr="00436BC4">
        <w:t xml:space="preserve"> scholarship </w:t>
      </w:r>
      <w:r w:rsidR="00B965FF" w:rsidRPr="00436BC4">
        <w:t>highlight</w:t>
      </w:r>
      <w:r w:rsidRPr="00436BC4">
        <w:t>s</w:t>
      </w:r>
      <w:r w:rsidR="00B965FF" w:rsidRPr="00436BC4">
        <w:t xml:space="preserve"> the queerness </w:t>
      </w:r>
      <w:r w:rsidR="00DD0243" w:rsidRPr="00436BC4">
        <w:t xml:space="preserve">of </w:t>
      </w:r>
      <w:r w:rsidR="007020B8" w:rsidRPr="00436BC4">
        <w:t>m</w:t>
      </w:r>
      <w:r w:rsidR="00B965FF" w:rsidRPr="00436BC4">
        <w:t>edieval Welsh literature</w:t>
      </w:r>
      <w:r w:rsidR="00DD0243" w:rsidRPr="00436BC4">
        <w:t xml:space="preserve"> a</w:t>
      </w:r>
      <w:r w:rsidR="00B87DE0" w:rsidRPr="00436BC4">
        <w:t>nd what makes it a</w:t>
      </w:r>
      <w:r w:rsidR="00711B0A" w:rsidRPr="00436BC4">
        <w:t xml:space="preserve"> </w:t>
      </w:r>
      <w:r w:rsidR="00DD0243" w:rsidRPr="00436BC4">
        <w:t>distinct entity</w:t>
      </w:r>
      <w:r w:rsidR="00B965FF" w:rsidRPr="00436BC4">
        <w:t>,</w:t>
      </w:r>
      <w:r w:rsidR="00B87DE0" w:rsidRPr="00436BC4">
        <w:t xml:space="preserve"> </w:t>
      </w:r>
      <w:r w:rsidRPr="00436BC4">
        <w:t>ultimately revealing</w:t>
      </w:r>
      <w:r w:rsidR="00B87DE0" w:rsidRPr="00436BC4">
        <w:t xml:space="preserve"> how texts such as the </w:t>
      </w:r>
      <w:r w:rsidR="00B965FF" w:rsidRPr="00436BC4">
        <w:rPr>
          <w:i/>
          <w:iCs/>
        </w:rPr>
        <w:t>Four</w:t>
      </w:r>
      <w:r w:rsidR="00B87DE0" w:rsidRPr="00436BC4">
        <w:rPr>
          <w:i/>
          <w:iCs/>
        </w:rPr>
        <w:t>th</w:t>
      </w:r>
      <w:r w:rsidR="00B965FF" w:rsidRPr="00436BC4">
        <w:rPr>
          <w:i/>
          <w:iCs/>
        </w:rPr>
        <w:t xml:space="preserve"> Branch</w:t>
      </w:r>
      <w:r w:rsidR="00DD0243" w:rsidRPr="00436BC4">
        <w:t xml:space="preserve"> transgress</w:t>
      </w:r>
      <w:r w:rsidR="00B87DE0" w:rsidRPr="00436BC4">
        <w:t xml:space="preserve"> </w:t>
      </w:r>
      <w:r w:rsidR="001A065E">
        <w:t xml:space="preserve">contemporary </w:t>
      </w:r>
      <w:r w:rsidR="00B87DE0" w:rsidRPr="00436BC4">
        <w:t>hegemonic</w:t>
      </w:r>
      <w:r w:rsidR="00DD0243" w:rsidRPr="00436BC4">
        <w:t xml:space="preserve"> </w:t>
      </w:r>
      <w:r w:rsidR="00B87DE0" w:rsidRPr="00436BC4">
        <w:t>literary conventions</w:t>
      </w:r>
      <w:r w:rsidR="00DD0243" w:rsidRPr="00436BC4">
        <w:t>. Multiple storytellers, in a constant process of revision point to</w:t>
      </w:r>
      <w:r w:rsidR="00CC734A" w:rsidRPr="00436BC4">
        <w:t xml:space="preserve"> a messy process whereby the nature of the tales is in constant dialog</w:t>
      </w:r>
      <w:r w:rsidR="00711B0A" w:rsidRPr="00436BC4">
        <w:t>ue</w:t>
      </w:r>
      <w:r w:rsidR="00CC734A" w:rsidRPr="00436BC4">
        <w:t xml:space="preserve"> with the audience. Thinking beyond questions </w:t>
      </w:r>
      <w:r w:rsidR="00B7137A">
        <w:t>of</w:t>
      </w:r>
      <w:r w:rsidR="00CC734A" w:rsidRPr="00436BC4">
        <w:t xml:space="preserve"> a single origin</w:t>
      </w:r>
      <w:r w:rsidR="00B7137A">
        <w:t>al</w:t>
      </w:r>
      <w:r w:rsidR="00CC734A" w:rsidRPr="00436BC4">
        <w:t xml:space="preserve"> narrative as the work of one creative mind,</w:t>
      </w:r>
      <w:r w:rsidR="00603112" w:rsidRPr="00436BC4">
        <w:t xml:space="preserve"> </w:t>
      </w:r>
      <w:r w:rsidR="00CC734A" w:rsidRPr="00436BC4">
        <w:t>the notion that the tales are on a journey without destination</w:t>
      </w:r>
      <w:r w:rsidR="00603112" w:rsidRPr="00436BC4">
        <w:t>,</w:t>
      </w:r>
      <w:r w:rsidR="0062054F">
        <w:rPr>
          <w:rStyle w:val="FootnoteReference"/>
        </w:rPr>
        <w:footnoteReference w:id="157"/>
      </w:r>
      <w:r w:rsidR="00F31F60" w:rsidRPr="00436BC4">
        <w:t xml:space="preserve"> destabilises </w:t>
      </w:r>
      <w:r w:rsidR="00B7137A">
        <w:t>the supposed static nature of the tales</w:t>
      </w:r>
      <w:r w:rsidR="00F31F60" w:rsidRPr="00436BC4">
        <w:t>. As mentioned</w:t>
      </w:r>
      <w:r w:rsidR="007C6FA1" w:rsidRPr="00436BC4">
        <w:t xml:space="preserve">, </w:t>
      </w:r>
      <w:r w:rsidR="00F31F60" w:rsidRPr="00436BC4">
        <w:t xml:space="preserve">modern Welsh culture has taken the stories and reevaluated them, </w:t>
      </w:r>
      <w:r w:rsidR="00333E5D" w:rsidRPr="00436BC4">
        <w:t>building on the elements of the story and discounting others.</w:t>
      </w:r>
      <w:r w:rsidR="002F2FD1" w:rsidRPr="00436BC4">
        <w:t xml:space="preserve"> </w:t>
      </w:r>
      <w:r w:rsidR="00270E94" w:rsidRPr="00436BC4">
        <w:t xml:space="preserve">Scholars such as Dimitra Fimi have done valuable work in exploring the </w:t>
      </w:r>
      <w:r w:rsidR="00603112" w:rsidRPr="00436BC4">
        <w:t>r</w:t>
      </w:r>
      <w:r w:rsidR="00270E94" w:rsidRPr="00436BC4">
        <w:t xml:space="preserve">ole of the </w:t>
      </w:r>
      <w:r w:rsidR="00270E94" w:rsidRPr="00436BC4">
        <w:rPr>
          <w:i/>
          <w:iCs/>
        </w:rPr>
        <w:t>Mabinogion</w:t>
      </w:r>
      <w:r w:rsidR="00270E94" w:rsidRPr="00436BC4">
        <w:t xml:space="preserve"> in shaping </w:t>
      </w:r>
      <w:r w:rsidR="001D39FB" w:rsidRPr="00436BC4">
        <w:t xml:space="preserve">the </w:t>
      </w:r>
      <w:r w:rsidR="00270E94" w:rsidRPr="00436BC4">
        <w:t xml:space="preserve">modern </w:t>
      </w:r>
      <w:r w:rsidR="00ED1824" w:rsidRPr="00436BC4">
        <w:t>f</w:t>
      </w:r>
      <w:r w:rsidR="00270E94" w:rsidRPr="00436BC4">
        <w:t>antasy genre.</w:t>
      </w:r>
      <w:r w:rsidR="00270E94" w:rsidRPr="00436BC4">
        <w:rPr>
          <w:rStyle w:val="FootnoteReference"/>
        </w:rPr>
        <w:footnoteReference w:id="158"/>
      </w:r>
      <w:r w:rsidR="00ED1824" w:rsidRPr="00436BC4">
        <w:t xml:space="preserve"> However much of this modern analysis still frames these modern works as ‘inspired by’ the </w:t>
      </w:r>
      <w:r w:rsidR="00ED1824" w:rsidRPr="00436BC4">
        <w:rPr>
          <w:i/>
          <w:iCs/>
        </w:rPr>
        <w:t>Mabinogion</w:t>
      </w:r>
      <w:r w:rsidR="00ED1824" w:rsidRPr="00436BC4">
        <w:t xml:space="preserve"> rather than considering it </w:t>
      </w:r>
      <w:r w:rsidR="001D39FB" w:rsidRPr="00436BC4">
        <w:t xml:space="preserve">a </w:t>
      </w:r>
      <w:r w:rsidR="00ED1824" w:rsidRPr="00436BC4">
        <w:t xml:space="preserve">continuation of the tales themselves. </w:t>
      </w:r>
      <w:r w:rsidR="005C04CB" w:rsidRPr="00436BC4">
        <w:t xml:space="preserve">Queer theory </w:t>
      </w:r>
      <w:r w:rsidR="00603112" w:rsidRPr="00436BC4">
        <w:t xml:space="preserve">in this context therefore </w:t>
      </w:r>
      <w:r w:rsidR="005C04CB" w:rsidRPr="00436BC4">
        <w:t>provide</w:t>
      </w:r>
      <w:r w:rsidR="007C6FA1" w:rsidRPr="00436BC4">
        <w:t>s</w:t>
      </w:r>
      <w:r w:rsidR="005C04CB" w:rsidRPr="00436BC4">
        <w:t xml:space="preserve"> an opportunity to approach modern interaction</w:t>
      </w:r>
      <w:r w:rsidR="007C6FA1" w:rsidRPr="00436BC4">
        <w:t>s</w:t>
      </w:r>
      <w:r w:rsidR="005C04CB" w:rsidRPr="00436BC4">
        <w:t xml:space="preserve"> </w:t>
      </w:r>
      <w:r w:rsidR="00461BA8" w:rsidRPr="00436BC4">
        <w:t>w</w:t>
      </w:r>
      <w:r w:rsidR="005C04CB" w:rsidRPr="00436BC4">
        <w:t xml:space="preserve">ith the </w:t>
      </w:r>
      <w:r w:rsidR="005C04CB" w:rsidRPr="00436BC4">
        <w:rPr>
          <w:i/>
          <w:iCs/>
        </w:rPr>
        <w:t xml:space="preserve">Four Branches </w:t>
      </w:r>
      <w:r w:rsidR="005C04CB" w:rsidRPr="00436BC4">
        <w:t>beyond academia</w:t>
      </w:r>
      <w:r w:rsidR="007C6FA1" w:rsidRPr="00436BC4">
        <w:t>.</w:t>
      </w:r>
      <w:r w:rsidR="005C04CB" w:rsidRPr="00436BC4">
        <w:t xml:space="preserve"> </w:t>
      </w:r>
      <w:r w:rsidR="007C6FA1" w:rsidRPr="00436BC4">
        <w:t>I</w:t>
      </w:r>
      <w:r w:rsidR="00461BA8" w:rsidRPr="00436BC4">
        <w:t>n this new Foucauldian epoch</w:t>
      </w:r>
      <w:r w:rsidR="007C6FA1" w:rsidRPr="00436BC4">
        <w:t>,</w:t>
      </w:r>
      <w:r w:rsidR="00461BA8" w:rsidRPr="00436BC4">
        <w:t xml:space="preserve"> modern creatives that employ the tales in thei</w:t>
      </w:r>
      <w:r w:rsidR="006D4D18" w:rsidRPr="00436BC4">
        <w:t>r</w:t>
      </w:r>
      <w:r w:rsidR="00461BA8" w:rsidRPr="00436BC4">
        <w:t xml:space="preserve"> </w:t>
      </w:r>
      <w:r w:rsidR="007C6FA1" w:rsidRPr="00436BC4">
        <w:t>art</w:t>
      </w:r>
      <w:r w:rsidR="00461BA8" w:rsidRPr="00436BC4">
        <w:t xml:space="preserve">, are in connection with </w:t>
      </w:r>
      <w:r w:rsidR="00967EED">
        <w:t>m</w:t>
      </w:r>
      <w:r w:rsidR="00461BA8" w:rsidRPr="00436BC4">
        <w:t xml:space="preserve">edieval </w:t>
      </w:r>
      <w:r w:rsidR="00461BA8" w:rsidRPr="00436BC4">
        <w:rPr>
          <w:i/>
          <w:iCs/>
        </w:rPr>
        <w:t>cyfarwyddiad</w:t>
      </w:r>
      <w:r w:rsidR="007C6FA1" w:rsidRPr="00436BC4">
        <w:t xml:space="preserve">, through a process that arguably </w:t>
      </w:r>
      <w:r w:rsidR="00461BA8" w:rsidRPr="00436BC4">
        <w:t>more closely</w:t>
      </w:r>
      <w:r w:rsidR="00BF5C7E">
        <w:t xml:space="preserve"> reflects</w:t>
      </w:r>
      <w:r w:rsidR="00461BA8" w:rsidRPr="00436BC4">
        <w:t xml:space="preserve"> </w:t>
      </w:r>
      <w:r w:rsidR="00BF5C7E">
        <w:t>the</w:t>
      </w:r>
      <w:r w:rsidR="00461BA8" w:rsidRPr="00436BC4">
        <w:t xml:space="preserve"> relationship </w:t>
      </w:r>
      <w:r w:rsidR="007C6FA1" w:rsidRPr="00436BC4">
        <w:t>with the tales that the</w:t>
      </w:r>
      <w:r w:rsidR="00461BA8" w:rsidRPr="00436BC4">
        <w:t xml:space="preserve"> </w:t>
      </w:r>
      <w:r w:rsidR="007C6FA1" w:rsidRPr="00436BC4">
        <w:rPr>
          <w:i/>
          <w:iCs/>
        </w:rPr>
        <w:t xml:space="preserve">cyfarwyddiad </w:t>
      </w:r>
      <w:r w:rsidR="007C6FA1" w:rsidRPr="00436BC4">
        <w:t>would have had themselves</w:t>
      </w:r>
      <w:r w:rsidR="00461BA8" w:rsidRPr="00436BC4">
        <w:t xml:space="preserve">. </w:t>
      </w:r>
    </w:p>
    <w:p w14:paraId="7736F7EB" w14:textId="195D955F" w:rsidR="0015196D" w:rsidRDefault="00461BA8" w:rsidP="00161827">
      <w:pPr>
        <w:spacing w:line="480" w:lineRule="auto"/>
      </w:pPr>
      <w:r w:rsidRPr="00436BC4">
        <w:t>Quee</w:t>
      </w:r>
      <w:r w:rsidR="000C45FF" w:rsidRPr="00436BC4">
        <w:t xml:space="preserve">ring </w:t>
      </w:r>
      <w:r w:rsidRPr="00436BC4">
        <w:t xml:space="preserve">the scholarship of the </w:t>
      </w:r>
      <w:r w:rsidRPr="00436BC4">
        <w:rPr>
          <w:i/>
          <w:iCs/>
        </w:rPr>
        <w:t xml:space="preserve">Four Branches </w:t>
      </w:r>
      <w:r w:rsidRPr="00436BC4">
        <w:t xml:space="preserve">therefore </w:t>
      </w:r>
      <w:r w:rsidR="00603112" w:rsidRPr="00436BC4">
        <w:t>offers scholars</w:t>
      </w:r>
      <w:r w:rsidRPr="00436BC4">
        <w:t xml:space="preserve"> a means of seeing the tales as a whole creative process that is ongoing, revealing and providing means of undoing structural </w:t>
      </w:r>
      <w:r w:rsidR="007A60A8" w:rsidRPr="00436BC4">
        <w:t xml:space="preserve">boundaries that </w:t>
      </w:r>
      <w:r w:rsidR="008D4AA7">
        <w:t>twentieth</w:t>
      </w:r>
      <w:r w:rsidR="007A60A8" w:rsidRPr="00436BC4">
        <w:t xml:space="preserve"> century notion</w:t>
      </w:r>
      <w:r w:rsidR="001D39FB" w:rsidRPr="00436BC4">
        <w:t>s</w:t>
      </w:r>
      <w:r w:rsidR="007A60A8" w:rsidRPr="00436BC4">
        <w:t xml:space="preserve"> concerning the nature of authorship and literature may </w:t>
      </w:r>
      <w:r w:rsidR="007A60A8" w:rsidRPr="00436BC4">
        <w:lastRenderedPageBreak/>
        <w:t>place on them.</w:t>
      </w:r>
      <w:r w:rsidR="00B411E5" w:rsidRPr="00436BC4">
        <w:rPr>
          <w:rStyle w:val="FootnoteReference"/>
        </w:rPr>
        <w:footnoteReference w:id="159"/>
      </w:r>
      <w:r w:rsidR="007A60A8" w:rsidRPr="00436BC4">
        <w:t xml:space="preserve"> </w:t>
      </w:r>
      <w:r w:rsidR="0015196D" w:rsidRPr="00436BC4">
        <w:t>However</w:t>
      </w:r>
      <w:r w:rsidR="006E534D">
        <w:t>,</w:t>
      </w:r>
      <w:r w:rsidR="007A60A8" w:rsidRPr="00436BC4">
        <w:t xml:space="preserve"> it is also worth noting how </w:t>
      </w:r>
      <w:r w:rsidR="00967EED">
        <w:t>q</w:t>
      </w:r>
      <w:r w:rsidR="007A60A8" w:rsidRPr="00436BC4">
        <w:t xml:space="preserve">ueer theories can also </w:t>
      </w:r>
      <w:r w:rsidR="003C6F83" w:rsidRPr="00436BC4">
        <w:t>highlight</w:t>
      </w:r>
      <w:r w:rsidR="007A60A8" w:rsidRPr="00436BC4">
        <w:t xml:space="preserve"> the </w:t>
      </w:r>
      <w:r w:rsidR="007827C1" w:rsidRPr="00436BC4">
        <w:t>move within the scholarship to consider the content of the tales.</w:t>
      </w:r>
      <w:r w:rsidR="0015196D" w:rsidRPr="00436BC4">
        <w:t xml:space="preserve"> </w:t>
      </w:r>
      <w:r w:rsidR="007827C1" w:rsidRPr="00436BC4">
        <w:t>A</w:t>
      </w:r>
      <w:r w:rsidR="005C1C3B" w:rsidRPr="00436BC4">
        <w:t xml:space="preserve"> trend towards seeing the </w:t>
      </w:r>
      <w:r w:rsidR="005C1C3B" w:rsidRPr="00436BC4">
        <w:rPr>
          <w:i/>
          <w:iCs/>
        </w:rPr>
        <w:t xml:space="preserve">Mabinogi </w:t>
      </w:r>
      <w:r w:rsidR="005C1C3B" w:rsidRPr="00436BC4">
        <w:t xml:space="preserve">as they are – that is to say, an artistic work that drew on cultural narratives and spoke to audience preoccupations enough to be considered worthy of preserving – has increased with more scholarly energy directed to the </w:t>
      </w:r>
      <w:r w:rsidR="007827C1" w:rsidRPr="00436BC4">
        <w:t xml:space="preserve">content of the </w:t>
      </w:r>
      <w:r w:rsidR="005C1C3B" w:rsidRPr="00436BC4">
        <w:t>extant text</w:t>
      </w:r>
      <w:r w:rsidR="007827C1" w:rsidRPr="00436BC4">
        <w:t>.</w:t>
      </w:r>
      <w:r w:rsidR="005C1C3B" w:rsidRPr="00436BC4">
        <w:t xml:space="preserve"> </w:t>
      </w:r>
      <w:r w:rsidR="00603112" w:rsidRPr="00436BC4">
        <w:t xml:space="preserve">The assertion by Mary-Ann Constantine </w:t>
      </w:r>
      <w:r w:rsidR="00CE3B74" w:rsidRPr="00436BC4">
        <w:t xml:space="preserve">cited </w:t>
      </w:r>
      <w:r w:rsidR="00603112" w:rsidRPr="00436BC4">
        <w:t>at the beginning of this dissertation, th</w:t>
      </w:r>
      <w:r w:rsidR="007827C1" w:rsidRPr="00436BC4">
        <w:t xml:space="preserve">at the </w:t>
      </w:r>
      <w:r w:rsidR="002D0C9C" w:rsidRPr="00436BC4">
        <w:t xml:space="preserve">critique of the </w:t>
      </w:r>
      <w:r w:rsidR="002D0C9C" w:rsidRPr="00436BC4">
        <w:rPr>
          <w:i/>
          <w:iCs/>
        </w:rPr>
        <w:t>Mabinogi</w:t>
      </w:r>
      <w:r w:rsidR="002D0C9C" w:rsidRPr="00436BC4">
        <w:t xml:space="preserve"> </w:t>
      </w:r>
      <w:r w:rsidR="007827C1" w:rsidRPr="00436BC4">
        <w:t xml:space="preserve">as a work of literature in and of itself is </w:t>
      </w:r>
      <w:r w:rsidR="00CE3B74" w:rsidRPr="00436BC4">
        <w:t xml:space="preserve">a </w:t>
      </w:r>
      <w:r w:rsidR="007827C1" w:rsidRPr="00436BC4">
        <w:t>valid</w:t>
      </w:r>
      <w:r w:rsidR="002D0C9C" w:rsidRPr="00436BC4">
        <w:t xml:space="preserve"> </w:t>
      </w:r>
      <w:r w:rsidR="00CE3B74" w:rsidRPr="00436BC4">
        <w:t>way to gain deeper</w:t>
      </w:r>
      <w:r w:rsidR="007827C1" w:rsidRPr="00436BC4">
        <w:t xml:space="preserve"> understand</w:t>
      </w:r>
      <w:r w:rsidR="00CE3B74" w:rsidRPr="00436BC4">
        <w:t>ing of</w:t>
      </w:r>
      <w:r w:rsidR="007827C1" w:rsidRPr="00436BC4">
        <w:t xml:space="preserve"> the text</w:t>
      </w:r>
      <w:r w:rsidR="00603112" w:rsidRPr="00436BC4">
        <w:t>, is again pertinent</w:t>
      </w:r>
      <w:r w:rsidR="004E11B3" w:rsidRPr="00436BC4">
        <w:t>.</w:t>
      </w:r>
      <w:r w:rsidR="00C75148">
        <w:rPr>
          <w:rStyle w:val="FootnoteReference"/>
        </w:rPr>
        <w:footnoteReference w:id="160"/>
      </w:r>
    </w:p>
    <w:p w14:paraId="1A55EBAA" w14:textId="77777777" w:rsidR="003D2994" w:rsidRPr="00436BC4" w:rsidRDefault="003D2994" w:rsidP="00161827">
      <w:pPr>
        <w:spacing w:line="480" w:lineRule="auto"/>
      </w:pPr>
    </w:p>
    <w:p w14:paraId="297D964B" w14:textId="02C34C95" w:rsidR="00CA4363" w:rsidRPr="00436BC4" w:rsidRDefault="00973BCD" w:rsidP="00161827">
      <w:pPr>
        <w:spacing w:line="480" w:lineRule="auto"/>
      </w:pPr>
      <w:r w:rsidRPr="00436BC4">
        <w:t>The study of gender in Medieval Welsh sources has been until relatively recently the study of medieval wom</w:t>
      </w:r>
      <w:r w:rsidR="00154AEB" w:rsidRPr="00436BC4">
        <w:t>e</w:t>
      </w:r>
      <w:r w:rsidRPr="00436BC4">
        <w:t xml:space="preserve">n. Arguably this was the result of medieval women being a neglected category in terms of academic focus until the </w:t>
      </w:r>
      <w:r w:rsidR="00C850FF">
        <w:t>twentieth</w:t>
      </w:r>
      <w:r w:rsidRPr="00436BC4">
        <w:t xml:space="preserve"> century. </w:t>
      </w:r>
      <w:r w:rsidR="00944FA2" w:rsidRPr="00436BC4">
        <w:t xml:space="preserve">The first half of the century was content to continue the framing of Welsh women in the </w:t>
      </w:r>
      <w:r w:rsidR="00944FA2" w:rsidRPr="00436BC4">
        <w:rPr>
          <w:i/>
          <w:iCs/>
        </w:rPr>
        <w:t>Four Branches</w:t>
      </w:r>
      <w:r w:rsidR="00944FA2" w:rsidRPr="00436BC4">
        <w:t xml:space="preserve"> as ancient goddesses owing to the romantic sensibilities of the time. Not until Valente’s essay on the role of gender in the </w:t>
      </w:r>
      <w:r w:rsidR="00944FA2" w:rsidRPr="00436BC4">
        <w:rPr>
          <w:i/>
          <w:iCs/>
        </w:rPr>
        <w:t>Fourth Branch</w:t>
      </w:r>
      <w:r w:rsidR="00944FA2" w:rsidRPr="00436BC4">
        <w:t xml:space="preserve"> did the women of the </w:t>
      </w:r>
      <w:r w:rsidR="00944FA2" w:rsidRPr="00436BC4">
        <w:rPr>
          <w:i/>
          <w:iCs/>
        </w:rPr>
        <w:t>Mabinogi</w:t>
      </w:r>
      <w:r w:rsidR="00944FA2" w:rsidRPr="00436BC4">
        <w:t xml:space="preserve"> begin to be looked at as individuals, with motives and desires, rather than mythic archetypes.</w:t>
      </w:r>
      <w:r w:rsidR="00C75148">
        <w:rPr>
          <w:rStyle w:val="FootnoteReference"/>
        </w:rPr>
        <w:footnoteReference w:id="161"/>
      </w:r>
      <w:r w:rsidR="00944FA2" w:rsidRPr="00436BC4">
        <w:t xml:space="preserve"> </w:t>
      </w:r>
      <w:r w:rsidR="007F648E" w:rsidRPr="00436BC4">
        <w:t xml:space="preserve">Happening </w:t>
      </w:r>
      <w:r w:rsidR="000F3B0A" w:rsidRPr="00436BC4">
        <w:t>after</w:t>
      </w:r>
      <w:r w:rsidR="007F648E" w:rsidRPr="00436BC4">
        <w:t xml:space="preserve"> the ‘second wave feminist’ movement</w:t>
      </w:r>
      <w:r w:rsidR="000F3B0A" w:rsidRPr="00436BC4">
        <w:t xml:space="preserve"> of the 1960s-80s</w:t>
      </w:r>
      <w:r w:rsidR="007F648E" w:rsidRPr="00436BC4">
        <w:t xml:space="preserve">, the subsequent works of Fiona Winward, Marged Haycok, and Helen Fulton among others brought the personhoods of the women of the </w:t>
      </w:r>
      <w:r w:rsidR="007F648E" w:rsidRPr="00436BC4">
        <w:rPr>
          <w:i/>
          <w:iCs/>
        </w:rPr>
        <w:t>Mabinogion</w:t>
      </w:r>
      <w:r w:rsidR="007F648E" w:rsidRPr="00436BC4">
        <w:t xml:space="preserve"> to the fore for the first time in the history of the scholarship.</w:t>
      </w:r>
      <w:r w:rsidR="006E701B" w:rsidRPr="00436BC4">
        <w:rPr>
          <w:rStyle w:val="FootnoteReference"/>
        </w:rPr>
        <w:footnoteReference w:id="162"/>
      </w:r>
      <w:r w:rsidR="007F648E" w:rsidRPr="00436BC4">
        <w:t xml:space="preserve"> Work at this time </w:t>
      </w:r>
      <w:r w:rsidR="00AD2FF3" w:rsidRPr="00436BC4">
        <w:t>continues to be</w:t>
      </w:r>
      <w:r w:rsidR="003D2F2C" w:rsidRPr="00436BC4">
        <w:t xml:space="preserve"> illuminating in terms of bringing the social position and power of medieval Welsh women in to the discourse</w:t>
      </w:r>
      <w:r w:rsidR="007F648E" w:rsidRPr="00436BC4">
        <w:t>. Notions of femininity</w:t>
      </w:r>
      <w:r w:rsidR="00AD2FF3" w:rsidRPr="00436BC4">
        <w:t xml:space="preserve">/womanhood, female desire, sexuality, etc. in the </w:t>
      </w:r>
      <w:r w:rsidR="00AD2FF3" w:rsidRPr="00436BC4">
        <w:rPr>
          <w:i/>
          <w:iCs/>
        </w:rPr>
        <w:t>Four Branches</w:t>
      </w:r>
      <w:r w:rsidR="00AD2FF3" w:rsidRPr="00436BC4">
        <w:t xml:space="preserve"> are important areas of study.</w:t>
      </w:r>
      <w:r w:rsidR="00F12986" w:rsidRPr="00436BC4">
        <w:t xml:space="preserve"> However, a limitation with </w:t>
      </w:r>
      <w:r w:rsidR="00F12986" w:rsidRPr="00436BC4">
        <w:lastRenderedPageBreak/>
        <w:t>the feminist dialog</w:t>
      </w:r>
      <w:r w:rsidR="005113B7" w:rsidRPr="00436BC4">
        <w:t>ue</w:t>
      </w:r>
      <w:r w:rsidR="00F12986" w:rsidRPr="00436BC4">
        <w:t xml:space="preserve"> from this period is that the study of gender is exclusively the study of women. </w:t>
      </w:r>
      <w:r w:rsidR="00182314" w:rsidRPr="00436BC4">
        <w:t xml:space="preserve">On this point Kapphahn writes </w:t>
      </w:r>
    </w:p>
    <w:p w14:paraId="384BE46E" w14:textId="77777777" w:rsidR="00CA4363" w:rsidRPr="00436BC4" w:rsidRDefault="00182314" w:rsidP="00161827">
      <w:pPr>
        <w:spacing w:line="480" w:lineRule="auto"/>
        <w:ind w:left="720"/>
      </w:pPr>
      <w:r w:rsidRPr="00436BC4">
        <w:t>‘If feminist scholarship is a recent field, the study of masculinity is younger still. This is not to say that men have been at all excluded from studies of literature and history, but that maleness is assumed in the bulk of it – maleness, in conjunction with the dominant social, ethnic and economic majority, has provided the baseline for the study of most of human history’.</w:t>
      </w:r>
      <w:r w:rsidRPr="00436BC4">
        <w:rPr>
          <w:rStyle w:val="FootnoteReference"/>
        </w:rPr>
        <w:footnoteReference w:id="163"/>
      </w:r>
      <w:r w:rsidR="00E879CD" w:rsidRPr="00436BC4">
        <w:t xml:space="preserve"> </w:t>
      </w:r>
    </w:p>
    <w:p w14:paraId="14045DC7" w14:textId="4B4AF0A6" w:rsidR="009C10F2" w:rsidRDefault="00906739" w:rsidP="00161827">
      <w:pPr>
        <w:spacing w:line="480" w:lineRule="auto"/>
      </w:pPr>
      <w:r w:rsidRPr="00436BC4">
        <w:t xml:space="preserve">Kapphahn correctly observes that history is the study of men, not so </w:t>
      </w:r>
      <w:r w:rsidR="00882234" w:rsidRPr="00436BC4">
        <w:t>as to provide insight into this group, but as the dominant segment of society. Medieval studies</w:t>
      </w:r>
      <w:r w:rsidR="0095124E" w:rsidRPr="00436BC4">
        <w:t>,</w:t>
      </w:r>
      <w:r w:rsidR="00882234" w:rsidRPr="00436BC4">
        <w:t xml:space="preserve"> by acknowledging the focus on the histories of men, results in woman being an afterthought- a sub form of </w:t>
      </w:r>
      <w:r w:rsidR="00543B61" w:rsidRPr="00436BC4">
        <w:t xml:space="preserve">medieval </w:t>
      </w:r>
      <w:r w:rsidR="00882234" w:rsidRPr="00436BC4">
        <w:t xml:space="preserve">person </w:t>
      </w:r>
      <w:r w:rsidR="00141F87" w:rsidRPr="00436BC4">
        <w:t>who is different to the default (male) being</w:t>
      </w:r>
      <w:r w:rsidR="00882234" w:rsidRPr="00436BC4">
        <w:t xml:space="preserve">. Feminist scholars respond to this by spotlighting women, as can be seen in the case of the scholarship of the </w:t>
      </w:r>
      <w:r w:rsidR="00882234" w:rsidRPr="00436BC4">
        <w:rPr>
          <w:i/>
          <w:iCs/>
        </w:rPr>
        <w:t>Four Branches</w:t>
      </w:r>
      <w:r w:rsidR="00882234" w:rsidRPr="00436BC4">
        <w:t>.</w:t>
      </w:r>
      <w:r w:rsidR="005D339E" w:rsidRPr="00436BC4">
        <w:rPr>
          <w:rStyle w:val="FootnoteReference"/>
        </w:rPr>
        <w:footnoteReference w:id="164"/>
      </w:r>
      <w:r w:rsidR="00A91F6A" w:rsidRPr="00436BC4">
        <w:t xml:space="preserve"> </w:t>
      </w:r>
      <w:r w:rsidR="005A3B81" w:rsidRPr="00436BC4">
        <w:t xml:space="preserve">Kapphahn advocates for </w:t>
      </w:r>
      <w:r w:rsidR="00325555" w:rsidRPr="00436BC4">
        <w:t>a more holistic approach to the study of gender in the Welsh medieval texts by arguing that in order to understand medieval femininity, medieval masculinity must also be studied</w:t>
      </w:r>
      <w:r w:rsidR="002D16D8" w:rsidRPr="00436BC4">
        <w:t>. Specifically</w:t>
      </w:r>
      <w:r w:rsidR="003435DF" w:rsidRPr="00436BC4">
        <w:t>,</w:t>
      </w:r>
      <w:r w:rsidR="002D16D8" w:rsidRPr="00436BC4">
        <w:t xml:space="preserve"> the fact that the male body </w:t>
      </w:r>
      <w:r w:rsidR="002D16D8" w:rsidRPr="00436BC4">
        <w:rPr>
          <w:i/>
          <w:iCs/>
        </w:rPr>
        <w:t>is</w:t>
      </w:r>
      <w:r w:rsidR="002D16D8" w:rsidRPr="00436BC4">
        <w:t xml:space="preserve"> a historical </w:t>
      </w:r>
      <w:r w:rsidR="00CA666B" w:rsidRPr="00436BC4">
        <w:t>and</w:t>
      </w:r>
      <w:r w:rsidR="002D16D8" w:rsidRPr="00436BC4">
        <w:t xml:space="preserve"> literary standard of measurement.</w:t>
      </w:r>
      <w:r w:rsidR="002D16D8" w:rsidRPr="00436BC4">
        <w:rPr>
          <w:rStyle w:val="FootnoteReference"/>
        </w:rPr>
        <w:footnoteReference w:id="165"/>
      </w:r>
      <w:r w:rsidR="00014CB5" w:rsidRPr="00436BC4">
        <w:t xml:space="preserve"> </w:t>
      </w:r>
      <w:r w:rsidR="00134058" w:rsidRPr="00436BC4">
        <w:t xml:space="preserve">Kapphahn’s analysis does not address the </w:t>
      </w:r>
      <w:r w:rsidR="00134058" w:rsidRPr="00436BC4">
        <w:rPr>
          <w:i/>
          <w:iCs/>
        </w:rPr>
        <w:t>Fourth Branch</w:t>
      </w:r>
      <w:r w:rsidR="00134058" w:rsidRPr="00436BC4">
        <w:t xml:space="preserve"> specifically</w:t>
      </w:r>
      <w:r w:rsidR="00747BE7">
        <w:t>.</w:t>
      </w:r>
      <w:r w:rsidR="00134058" w:rsidRPr="00436BC4">
        <w:t xml:space="preserve"> I would </w:t>
      </w:r>
      <w:r w:rsidR="003435DF" w:rsidRPr="00436BC4">
        <w:t>argue</w:t>
      </w:r>
      <w:r w:rsidR="00134058" w:rsidRPr="00436BC4">
        <w:t xml:space="preserve"> that</w:t>
      </w:r>
      <w:r w:rsidR="00014CB5" w:rsidRPr="00436BC4">
        <w:t xml:space="preserve"> the innate mutability of the physical bodies in the </w:t>
      </w:r>
      <w:r w:rsidR="00014CB5" w:rsidRPr="00436BC4">
        <w:rPr>
          <w:i/>
          <w:iCs/>
        </w:rPr>
        <w:t>Fourth Branch</w:t>
      </w:r>
      <w:r w:rsidR="00014CB5" w:rsidRPr="00436BC4">
        <w:t xml:space="preserve"> should provide a problem for </w:t>
      </w:r>
      <w:r w:rsidR="00747BE7">
        <w:t>her</w:t>
      </w:r>
      <w:r w:rsidR="00014CB5" w:rsidRPr="00436BC4">
        <w:t xml:space="preserve"> approach</w:t>
      </w:r>
      <w:r w:rsidR="00134058" w:rsidRPr="00436BC4">
        <w:t xml:space="preserve">. The content of the </w:t>
      </w:r>
      <w:r w:rsidR="00134058" w:rsidRPr="00436BC4">
        <w:rPr>
          <w:i/>
          <w:iCs/>
        </w:rPr>
        <w:t xml:space="preserve">Fourth Branch </w:t>
      </w:r>
      <w:r w:rsidR="00134058" w:rsidRPr="00436BC4">
        <w:t xml:space="preserve">lends </w:t>
      </w:r>
      <w:r w:rsidR="002F37C8" w:rsidRPr="00436BC4">
        <w:t>itself</w:t>
      </w:r>
      <w:r w:rsidR="00134058" w:rsidRPr="00436BC4">
        <w:t xml:space="preserve"> to an anachronistic ‘gender fluid’ reading</w:t>
      </w:r>
      <w:r w:rsidR="003435DF" w:rsidRPr="00436BC4">
        <w:t>,</w:t>
      </w:r>
      <w:r w:rsidR="00134058" w:rsidRPr="00436BC4">
        <w:t xml:space="preserve"> whereby the characters are </w:t>
      </w:r>
      <w:r w:rsidR="00690432" w:rsidRPr="00436BC4">
        <w:t>not tethered to</w:t>
      </w:r>
      <w:r w:rsidR="00134058" w:rsidRPr="00436BC4">
        <w:t xml:space="preserve"> </w:t>
      </w:r>
      <w:r w:rsidR="00690432" w:rsidRPr="00436BC4">
        <w:t xml:space="preserve">both </w:t>
      </w:r>
      <w:r w:rsidR="00134058" w:rsidRPr="00436BC4">
        <w:t>their ‘fixed’ gender and sex identities</w:t>
      </w:r>
      <w:r w:rsidR="00690432" w:rsidRPr="00436BC4">
        <w:t>, either through physical transformation – Gwydion, Gilfaethwy</w:t>
      </w:r>
      <w:r w:rsidR="009C10F2" w:rsidRPr="00436BC4">
        <w:t xml:space="preserve"> – or societal – Aranrhod, Lleu.</w:t>
      </w:r>
    </w:p>
    <w:p w14:paraId="145A22AD" w14:textId="77777777" w:rsidR="003D2994" w:rsidRPr="00436BC4" w:rsidRDefault="003D2994" w:rsidP="00161827">
      <w:pPr>
        <w:spacing w:line="480" w:lineRule="auto"/>
      </w:pPr>
    </w:p>
    <w:p w14:paraId="7F8FDF7D" w14:textId="35D2640E" w:rsidR="00671FB3" w:rsidRDefault="005239B1" w:rsidP="00161827">
      <w:pPr>
        <w:spacing w:line="480" w:lineRule="auto"/>
      </w:pPr>
      <w:r>
        <w:lastRenderedPageBreak/>
        <w:t>This dissertation</w:t>
      </w:r>
      <w:r w:rsidR="00286C5C" w:rsidRPr="00436BC4">
        <w:t xml:space="preserve"> argue</w:t>
      </w:r>
      <w:r>
        <w:t>s</w:t>
      </w:r>
      <w:r w:rsidR="00286C5C" w:rsidRPr="00436BC4">
        <w:t xml:space="preserve"> that t</w:t>
      </w:r>
      <w:r w:rsidR="00977568" w:rsidRPr="00436BC4">
        <w:t xml:space="preserve">he suggestion that the study of </w:t>
      </w:r>
      <w:r w:rsidR="00084673" w:rsidRPr="00436BC4">
        <w:t xml:space="preserve">medieval </w:t>
      </w:r>
      <w:r w:rsidR="00977568" w:rsidRPr="00436BC4">
        <w:t xml:space="preserve">gender </w:t>
      </w:r>
      <w:r w:rsidR="00084673" w:rsidRPr="00436BC4">
        <w:t xml:space="preserve">should be conceptualised as the study of men </w:t>
      </w:r>
      <w:r w:rsidR="00084673" w:rsidRPr="00436BC4">
        <w:rPr>
          <w:i/>
          <w:iCs/>
        </w:rPr>
        <w:t>and women</w:t>
      </w:r>
      <w:r w:rsidR="00084673" w:rsidRPr="00436BC4">
        <w:t xml:space="preserve"> betrays the cisgender heteronormativity which the scholarship may fall into</w:t>
      </w:r>
      <w:r w:rsidR="00286C5C" w:rsidRPr="00436BC4">
        <w:t>,</w:t>
      </w:r>
      <w:r w:rsidR="00084673" w:rsidRPr="00436BC4">
        <w:t xml:space="preserve"> </w:t>
      </w:r>
      <w:r w:rsidR="00286C5C" w:rsidRPr="00436BC4">
        <w:t>should contemporary notions of the immutability of sex and gender be unconsciously applied</w:t>
      </w:r>
      <w:r w:rsidR="00084673" w:rsidRPr="00436BC4">
        <w:t xml:space="preserve">. </w:t>
      </w:r>
      <w:r w:rsidR="00477B49" w:rsidRPr="00436BC4">
        <w:t>As</w:t>
      </w:r>
      <w:r w:rsidR="00084673" w:rsidRPr="00436BC4">
        <w:t xml:space="preserve"> neither gender, nor sex is fixed in the </w:t>
      </w:r>
      <w:r w:rsidR="00084673" w:rsidRPr="00436BC4">
        <w:rPr>
          <w:i/>
          <w:iCs/>
        </w:rPr>
        <w:t>Fourth Branch</w:t>
      </w:r>
      <w:r w:rsidR="00084673" w:rsidRPr="00436BC4">
        <w:t xml:space="preserve">, coupled with far less knowledge of </w:t>
      </w:r>
      <w:r w:rsidR="00477B49" w:rsidRPr="00436BC4">
        <w:t>the biological mechanisms of sex</w:t>
      </w:r>
      <w:r w:rsidR="00286C5C" w:rsidRPr="00436BC4">
        <w:t xml:space="preserve"> during the medieval period, then to uncritically overlay these categories </w:t>
      </w:r>
      <w:r w:rsidR="00146B5D" w:rsidRPr="00436BC4">
        <w:t xml:space="preserve">on ambiguous medieval narratives is </w:t>
      </w:r>
      <w:r w:rsidR="00146B5D" w:rsidRPr="005239B1">
        <w:rPr>
          <w:i/>
          <w:iCs/>
        </w:rPr>
        <w:t>unconsciously</w:t>
      </w:r>
      <w:r w:rsidR="00146B5D" w:rsidRPr="00436BC4">
        <w:t xml:space="preserve"> anachronistic, something which general</w:t>
      </w:r>
      <w:r w:rsidR="001C5C1C" w:rsidRPr="00436BC4">
        <w:t>ly</w:t>
      </w:r>
      <w:r w:rsidR="00146B5D" w:rsidRPr="00436BC4">
        <w:t xml:space="preserve"> the historical method </w:t>
      </w:r>
      <w:r w:rsidR="0016243D" w:rsidRPr="00436BC4">
        <w:t>seeks</w:t>
      </w:r>
      <w:r w:rsidR="00146B5D" w:rsidRPr="00436BC4">
        <w:t xml:space="preserve"> to avoid.</w:t>
      </w:r>
      <w:r w:rsidR="004B04ED" w:rsidRPr="00436BC4">
        <w:t xml:space="preserve"> </w:t>
      </w:r>
      <w:r w:rsidR="004B04ED" w:rsidRPr="005239B1">
        <w:t xml:space="preserve">As has been explored in this work, </w:t>
      </w:r>
      <w:r w:rsidRPr="005239B1">
        <w:t xml:space="preserve">a </w:t>
      </w:r>
      <w:r w:rsidR="00C718D8" w:rsidRPr="005239B1">
        <w:t xml:space="preserve">method </w:t>
      </w:r>
      <w:r w:rsidRPr="005239B1">
        <w:t xml:space="preserve">similar to that </w:t>
      </w:r>
      <w:r w:rsidR="00C718D8" w:rsidRPr="005239B1">
        <w:t xml:space="preserve">of </w:t>
      </w:r>
      <w:r w:rsidRPr="005239B1">
        <w:t xml:space="preserve">Dinshaw’s </w:t>
      </w:r>
      <w:r w:rsidR="00C718D8" w:rsidRPr="005239B1">
        <w:t>‘touch historicism’ that employs elements of an anachronistic approach</w:t>
      </w:r>
      <w:r w:rsidR="004B04ED" w:rsidRPr="005239B1">
        <w:t xml:space="preserve"> can be a valid</w:t>
      </w:r>
      <w:r>
        <w:t xml:space="preserve"> and useful</w:t>
      </w:r>
      <w:r w:rsidR="004B04ED" w:rsidRPr="00436BC4">
        <w:t xml:space="preserve"> means of engaging with the </w:t>
      </w:r>
      <w:r>
        <w:rPr>
          <w:i/>
          <w:iCs/>
        </w:rPr>
        <w:t>Fourth Branch</w:t>
      </w:r>
      <w:r w:rsidR="004B04ED" w:rsidRPr="00436BC4">
        <w:t xml:space="preserve">. Discourse in LGBT+ communities and activists, as well as queer theory thinkers, provide new ways to approach </w:t>
      </w:r>
      <w:r w:rsidR="00DC7CE0" w:rsidRPr="00436BC4">
        <w:t>gender by providing a rainbow of alternative genders</w:t>
      </w:r>
      <w:r w:rsidR="004B2345" w:rsidRPr="00436BC4">
        <w:t>, sexualities</w:t>
      </w:r>
      <w:r w:rsidR="00DC7CE0" w:rsidRPr="00436BC4">
        <w:t xml:space="preserve"> and identities, b</w:t>
      </w:r>
      <w:r w:rsidR="004B2345" w:rsidRPr="00436BC4">
        <w:t xml:space="preserve">eyond the male – female binary where limited understanding of biology </w:t>
      </w:r>
      <w:r w:rsidR="00B33002" w:rsidRPr="00436BC4">
        <w:t xml:space="preserve">informs and equates to the social body. </w:t>
      </w:r>
      <w:r w:rsidR="00995BBE" w:rsidRPr="00436BC4">
        <w:t xml:space="preserve">The work of Foucault and Dinshaw encourage </w:t>
      </w:r>
      <w:r w:rsidR="00C44352" w:rsidRPr="00436BC4">
        <w:t>a ‘heterogenous, multiple and fundamentally indeterminate’</w:t>
      </w:r>
      <w:r w:rsidR="00C44352" w:rsidRPr="00436BC4">
        <w:rPr>
          <w:rStyle w:val="FootnoteReference"/>
        </w:rPr>
        <w:footnoteReference w:id="166"/>
      </w:r>
      <w:r w:rsidR="00C44352" w:rsidRPr="00436BC4">
        <w:t xml:space="preserve"> approach to </w:t>
      </w:r>
      <w:r w:rsidR="003B063D" w:rsidRPr="00436BC4">
        <w:t>the study of sex and gender, in way</w:t>
      </w:r>
      <w:r w:rsidR="008D5C69">
        <w:t>s</w:t>
      </w:r>
      <w:r w:rsidR="003B063D" w:rsidRPr="00436BC4">
        <w:t xml:space="preserve"> that speak to the ‘pervasive ambiguity’ of medieval monastic and spiritual texts,</w:t>
      </w:r>
      <w:r w:rsidR="00CD0C52" w:rsidRPr="00436BC4">
        <w:rPr>
          <w:rStyle w:val="FootnoteReference"/>
        </w:rPr>
        <w:footnoteReference w:id="167"/>
      </w:r>
      <w:r w:rsidR="003B063D" w:rsidRPr="00436BC4">
        <w:t xml:space="preserve"> and of course to the </w:t>
      </w:r>
      <w:r w:rsidR="003B063D" w:rsidRPr="00436BC4">
        <w:rPr>
          <w:i/>
          <w:iCs/>
        </w:rPr>
        <w:t>Fourth Branch.</w:t>
      </w:r>
      <w:r w:rsidR="003B063D" w:rsidRPr="00436BC4">
        <w:t xml:space="preserve"> </w:t>
      </w:r>
      <w:r w:rsidR="00DD3326" w:rsidRPr="00436BC4">
        <w:t xml:space="preserve">However, this anachronistic approach must be consciously carried out. My fear is that by approaching gender, power, identity and sex in the </w:t>
      </w:r>
      <w:r w:rsidR="00DD3326" w:rsidRPr="00436BC4">
        <w:rPr>
          <w:i/>
          <w:iCs/>
        </w:rPr>
        <w:t xml:space="preserve">Fourth Branch </w:t>
      </w:r>
      <w:r w:rsidR="00772285" w:rsidRPr="00436BC4">
        <w:t>u</w:t>
      </w:r>
      <w:r w:rsidR="00DD3326" w:rsidRPr="00436BC4">
        <w:t xml:space="preserve">sing a </w:t>
      </w:r>
      <w:r w:rsidR="00772285" w:rsidRPr="00436BC4">
        <w:t>‘</w:t>
      </w:r>
      <w:r w:rsidR="00DD3326" w:rsidRPr="00436BC4">
        <w:t xml:space="preserve">men </w:t>
      </w:r>
      <w:r w:rsidR="00DD3326" w:rsidRPr="00436BC4">
        <w:rPr>
          <w:i/>
          <w:iCs/>
        </w:rPr>
        <w:t xml:space="preserve">and </w:t>
      </w:r>
      <w:r w:rsidR="00DD3326" w:rsidRPr="00436BC4">
        <w:t>women</w:t>
      </w:r>
      <w:r w:rsidR="00772285" w:rsidRPr="00436BC4">
        <w:t>’</w:t>
      </w:r>
      <w:r w:rsidR="00DD3326" w:rsidRPr="00436BC4">
        <w:t xml:space="preserve"> approach is a move in the right direction but does not go far enough towards relinquishing implicit biases in the scholarship, and instead brings, unconsciously, much of the baggage of </w:t>
      </w:r>
      <w:r w:rsidR="00981C53" w:rsidRPr="00436BC4">
        <w:t>postmodern</w:t>
      </w:r>
      <w:r w:rsidR="00DD3326" w:rsidRPr="00436BC4">
        <w:t xml:space="preserve"> </w:t>
      </w:r>
      <w:r w:rsidR="00981C53" w:rsidRPr="00436BC4">
        <w:t>gender ideology.</w:t>
      </w:r>
      <w:r w:rsidR="00FF518B" w:rsidRPr="00436BC4">
        <w:t xml:space="preserve"> </w:t>
      </w:r>
      <w:r w:rsidR="00356AFD" w:rsidRPr="00436BC4">
        <w:t xml:space="preserve">The use of </w:t>
      </w:r>
      <w:r w:rsidR="00E40560">
        <w:t>q</w:t>
      </w:r>
      <w:r w:rsidR="00356AFD" w:rsidRPr="00436BC4">
        <w:t xml:space="preserve">ueer theory in this dissertation therefore demonstrates both the benefits </w:t>
      </w:r>
      <w:r>
        <w:t xml:space="preserve">elements </w:t>
      </w:r>
      <w:r w:rsidR="00356AFD" w:rsidRPr="00436BC4">
        <w:t xml:space="preserve">of an anachronistic approach when used consciously, and </w:t>
      </w:r>
      <w:r w:rsidR="000119A4" w:rsidRPr="00436BC4">
        <w:t>the potential for undermining research and scholarship when it does not.</w:t>
      </w:r>
      <w:bookmarkEnd w:id="52"/>
    </w:p>
    <w:p w14:paraId="1BB3E64E" w14:textId="77777777" w:rsidR="003D2994" w:rsidRPr="00436BC4" w:rsidRDefault="003D2994" w:rsidP="00161827">
      <w:pPr>
        <w:spacing w:line="480" w:lineRule="auto"/>
      </w:pPr>
    </w:p>
    <w:p w14:paraId="6183BD71" w14:textId="7478285F" w:rsidR="00671FB3" w:rsidRDefault="00671FB3" w:rsidP="008264D4">
      <w:pPr>
        <w:pStyle w:val="Heading2"/>
        <w:spacing w:line="480" w:lineRule="auto"/>
      </w:pPr>
      <w:bookmarkStart w:id="58" w:name="_Toc175312193"/>
      <w:bookmarkStart w:id="59" w:name="_Hlk156770808"/>
      <w:r w:rsidRPr="00436BC4">
        <w:lastRenderedPageBreak/>
        <w:t>Conclusion</w:t>
      </w:r>
      <w:bookmarkEnd w:id="58"/>
    </w:p>
    <w:p w14:paraId="72009C26" w14:textId="77777777" w:rsidR="00821CA6" w:rsidRPr="00821CA6" w:rsidRDefault="00821CA6" w:rsidP="00821CA6"/>
    <w:bookmarkEnd w:id="59"/>
    <w:p w14:paraId="6D604EEC" w14:textId="750A9398" w:rsidR="00C85351" w:rsidRPr="00436BC4" w:rsidRDefault="00C85351" w:rsidP="00161827">
      <w:pPr>
        <w:spacing w:line="480" w:lineRule="auto"/>
      </w:pPr>
      <w:r w:rsidRPr="00436BC4">
        <w:t>The use of queer theory in this dissertation has demonstrat</w:t>
      </w:r>
      <w:r w:rsidR="00FC058A" w:rsidRPr="00436BC4">
        <w:t>e</w:t>
      </w:r>
      <w:r w:rsidR="00AC4B4C" w:rsidRPr="00436BC4">
        <w:t>d</w:t>
      </w:r>
      <w:r w:rsidR="00FC058A" w:rsidRPr="00436BC4">
        <w:t xml:space="preserve"> </w:t>
      </w:r>
      <w:r w:rsidRPr="00436BC4">
        <w:t xml:space="preserve">how literary </w:t>
      </w:r>
      <w:r w:rsidR="00FC058A" w:rsidRPr="00436BC4">
        <w:t>theory</w:t>
      </w:r>
      <w:r w:rsidRPr="00436BC4">
        <w:t xml:space="preserve"> may be boldly applied to some of </w:t>
      </w:r>
      <w:r w:rsidR="00AC4B4C" w:rsidRPr="00436BC4">
        <w:t xml:space="preserve">medieval </w:t>
      </w:r>
      <w:r w:rsidR="00821CA6" w:rsidRPr="00436BC4">
        <w:t>Welsh studies</w:t>
      </w:r>
      <w:r w:rsidR="00AC4B4C" w:rsidRPr="00436BC4">
        <w:t>’</w:t>
      </w:r>
      <w:r w:rsidRPr="00436BC4">
        <w:t xml:space="preserve"> most </w:t>
      </w:r>
      <w:r w:rsidR="00D5699B">
        <w:t>thoroughly</w:t>
      </w:r>
      <w:r w:rsidRPr="00436BC4">
        <w:t xml:space="preserve"> examined texts</w:t>
      </w:r>
      <w:r w:rsidR="00363087" w:rsidRPr="00436BC4">
        <w:t>.</w:t>
      </w:r>
      <w:r w:rsidR="00821CA6">
        <w:t xml:space="preserve"> </w:t>
      </w:r>
      <w:r w:rsidRPr="00436BC4">
        <w:t xml:space="preserve">Specifically, it has been an experiment with the aim of offering to Celtic </w:t>
      </w:r>
      <w:r w:rsidR="00E817CB">
        <w:t>s</w:t>
      </w:r>
      <w:r w:rsidRPr="00436BC4">
        <w:t xml:space="preserve">tudies one of many readings of the </w:t>
      </w:r>
      <w:r w:rsidRPr="00436BC4">
        <w:rPr>
          <w:i/>
          <w:iCs/>
        </w:rPr>
        <w:t xml:space="preserve">Fourth Branch </w:t>
      </w:r>
      <w:r w:rsidRPr="00436BC4">
        <w:t xml:space="preserve">that may be generated from the point of view of sexual and gender minorities. </w:t>
      </w:r>
      <w:r w:rsidR="007B4C4C">
        <w:t>On the act of reading queerly,</w:t>
      </w:r>
      <w:r w:rsidRPr="00436BC4">
        <w:t xml:space="preserve"> Ramzi </w:t>
      </w:r>
      <w:r w:rsidR="007B4C4C">
        <w:t xml:space="preserve">Fawaz </w:t>
      </w:r>
      <w:r w:rsidRPr="00436BC4">
        <w:t xml:space="preserve">and Shanté Paradigm Smalls </w:t>
      </w:r>
      <w:r w:rsidR="00251947">
        <w:t>write</w:t>
      </w:r>
      <w:r w:rsidRPr="00436BC4">
        <w:t xml:space="preserve">: </w:t>
      </w:r>
    </w:p>
    <w:p w14:paraId="22C09F8F" w14:textId="6E9DABA5" w:rsidR="00C85351" w:rsidRPr="00436BC4" w:rsidRDefault="00C85351" w:rsidP="00161827">
      <w:pPr>
        <w:spacing w:line="480" w:lineRule="auto"/>
        <w:ind w:left="720"/>
      </w:pPr>
      <w:r w:rsidRPr="00436BC4">
        <w:t xml:space="preserve">One of </w:t>
      </w:r>
      <w:r w:rsidR="00FC058A" w:rsidRPr="00436BC4">
        <w:t>(</w:t>
      </w:r>
      <w:r w:rsidRPr="00436BC4">
        <w:t>queer theory’s</w:t>
      </w:r>
      <w:r w:rsidR="00FC058A" w:rsidRPr="00436BC4">
        <w:t>)</w:t>
      </w:r>
      <w:r w:rsidRPr="00436BC4">
        <w:t xml:space="preserve"> most ambitious projects has been to reveal the distinct perspective of LGBTQ subjectivity as potentially relevant for making sense of forms of cultural production, even those texts, objects, and performances that do not appear to </w:t>
      </w:r>
      <w:r w:rsidR="00D40519">
        <w:t xml:space="preserve">have </w:t>
      </w:r>
      <w:r w:rsidRPr="00436BC4">
        <w:t>any immediate relation to non-normative sexuality or desire.</w:t>
      </w:r>
      <w:r w:rsidRPr="00436BC4">
        <w:rPr>
          <w:rStyle w:val="FootnoteReference"/>
        </w:rPr>
        <w:footnoteReference w:id="168"/>
      </w:r>
      <w:r w:rsidRPr="00436BC4">
        <w:t xml:space="preserve">  </w:t>
      </w:r>
    </w:p>
    <w:p w14:paraId="52B5F31C" w14:textId="1D1CCEF6" w:rsidR="00C85351" w:rsidRPr="001327C9" w:rsidRDefault="00C85351" w:rsidP="00161827">
      <w:pPr>
        <w:spacing w:line="480" w:lineRule="auto"/>
      </w:pPr>
      <w:r w:rsidRPr="00436BC4">
        <w:t xml:space="preserve">The framing of the narrative through </w:t>
      </w:r>
      <w:r w:rsidR="00B97EA2">
        <w:t>a</w:t>
      </w:r>
      <w:r w:rsidRPr="00436BC4">
        <w:t xml:space="preserve"> queer theory lens does indeed provide a new perspective </w:t>
      </w:r>
      <w:r w:rsidR="00FC058A" w:rsidRPr="00436BC4">
        <w:t xml:space="preserve">on </w:t>
      </w:r>
      <w:r w:rsidRPr="00436BC4">
        <w:t xml:space="preserve">the events and characters in the </w:t>
      </w:r>
      <w:r w:rsidRPr="00436BC4">
        <w:rPr>
          <w:i/>
          <w:iCs/>
        </w:rPr>
        <w:t>Fourth Branch</w:t>
      </w:r>
      <w:r w:rsidRPr="00436BC4">
        <w:t>. The social politics of gender still play a pivotal role, as Valente asserted in 1988</w:t>
      </w:r>
      <w:r w:rsidR="00DD2196">
        <w:t>,</w:t>
      </w:r>
      <w:r w:rsidRPr="00436BC4">
        <w:rPr>
          <w:rStyle w:val="FootnoteReference"/>
        </w:rPr>
        <w:footnoteReference w:id="169"/>
      </w:r>
      <w:r w:rsidRPr="00436BC4">
        <w:t xml:space="preserve"> particularly concerning the function of fertility and who wields it. The central conflict between Aranrhod and Gwydion which drives the action in the second and third acts, however, is seen in a new light. Through Butler’s notion of gender as a social construct we see Aranrhod’s </w:t>
      </w:r>
      <w:r w:rsidR="009D1D87">
        <w:t>successful rebellion against</w:t>
      </w:r>
      <w:r w:rsidRPr="00436BC4">
        <w:t xml:space="preserve"> the labels </w:t>
      </w:r>
      <w:r w:rsidRPr="00436BC4">
        <w:rPr>
          <w:i/>
          <w:iCs/>
        </w:rPr>
        <w:t xml:space="preserve">twyllforwyn </w:t>
      </w:r>
      <w:r w:rsidRPr="00436BC4">
        <w:t>and mother to Lleu</w:t>
      </w:r>
      <w:r w:rsidR="009D1D87">
        <w:t>,</w:t>
      </w:r>
      <w:r w:rsidRPr="00436BC4">
        <w:t xml:space="preserve"> and the social consequences that come with both as the driver of the unresolved ‘</w:t>
      </w:r>
      <w:r w:rsidR="001327C9">
        <w:t xml:space="preserve">heteronormative </w:t>
      </w:r>
      <w:r w:rsidRPr="00436BC4">
        <w:t xml:space="preserve">tragedy’ of the </w:t>
      </w:r>
      <w:r w:rsidRPr="00436BC4">
        <w:rPr>
          <w:i/>
          <w:iCs/>
        </w:rPr>
        <w:t>Fourth Branch</w:t>
      </w:r>
      <w:r w:rsidRPr="00436BC4">
        <w:t>.</w:t>
      </w:r>
      <w:r w:rsidRPr="00436BC4">
        <w:rPr>
          <w:i/>
          <w:iCs/>
        </w:rPr>
        <w:t xml:space="preserve"> </w:t>
      </w:r>
      <w:r w:rsidRPr="00436BC4">
        <w:t xml:space="preserve">By queering the narrative through </w:t>
      </w:r>
      <w:r w:rsidR="001327C9">
        <w:t>this</w:t>
      </w:r>
      <w:r w:rsidRPr="00436BC4">
        <w:t xml:space="preserve"> </w:t>
      </w:r>
      <w:r w:rsidR="00500C9D" w:rsidRPr="00436BC4">
        <w:t>lens,</w:t>
      </w:r>
      <w:r w:rsidRPr="00436BC4">
        <w:t xml:space="preserve"> the full disruptive scope </w:t>
      </w:r>
      <w:r w:rsidR="00B97EA2">
        <w:t>embodied by Aranrhod</w:t>
      </w:r>
      <w:r w:rsidRPr="00436BC4">
        <w:t xml:space="preserve"> is revealed. </w:t>
      </w:r>
      <w:r w:rsidR="00B97EA2">
        <w:t>She</w:t>
      </w:r>
      <w:r w:rsidRPr="00436BC4">
        <w:t xml:space="preserve"> is the ‘unwoman’ who refuses to renounce her claims of body autonomy and independent agency by maintaining she is not a false</w:t>
      </w:r>
      <w:r w:rsidR="00A1048E">
        <w:t>-</w:t>
      </w:r>
      <w:r w:rsidRPr="00436BC4">
        <w:t>virgin. She retains the political and economic powers and independence of the virgin</w:t>
      </w:r>
      <w:r w:rsidR="00B1243A">
        <w:t xml:space="preserve">, </w:t>
      </w:r>
      <w:r w:rsidRPr="00436BC4">
        <w:t xml:space="preserve">as </w:t>
      </w:r>
      <w:r w:rsidRPr="00436BC4">
        <w:rPr>
          <w:i/>
          <w:iCs/>
        </w:rPr>
        <w:t>arglwydes</w:t>
      </w:r>
      <w:r w:rsidR="00B1243A">
        <w:t xml:space="preserve"> (Lady) </w:t>
      </w:r>
      <w:r w:rsidRPr="00436BC4">
        <w:t>of</w:t>
      </w:r>
      <w:r w:rsidR="00B1243A">
        <w:t xml:space="preserve"> </w:t>
      </w:r>
      <w:r w:rsidRPr="00436BC4">
        <w:t xml:space="preserve">her </w:t>
      </w:r>
      <w:r w:rsidR="002E7B0B" w:rsidRPr="00436BC4">
        <w:rPr>
          <w:i/>
          <w:iCs/>
        </w:rPr>
        <w:t>c</w:t>
      </w:r>
      <w:r w:rsidRPr="00436BC4">
        <w:rPr>
          <w:i/>
          <w:iCs/>
        </w:rPr>
        <w:t>aer</w:t>
      </w:r>
      <w:r w:rsidR="001327C9">
        <w:rPr>
          <w:i/>
          <w:iCs/>
        </w:rPr>
        <w:t>,</w:t>
      </w:r>
      <w:r w:rsidR="00B1243A">
        <w:rPr>
          <w:i/>
          <w:iCs/>
        </w:rPr>
        <w:t xml:space="preserve"> </w:t>
      </w:r>
      <w:r w:rsidR="00B1243A">
        <w:t>(</w:t>
      </w:r>
      <w:r w:rsidRPr="00436BC4">
        <w:t xml:space="preserve">and the lands surrounding it), despite birthing two children. Even if we are to believe that she is unaware of her </w:t>
      </w:r>
      <w:r w:rsidRPr="00436BC4">
        <w:lastRenderedPageBreak/>
        <w:t xml:space="preserve">sexual status, the Mary-Eve dichotomy of medieval womanhood is queered by the simultaneous evidence of Aranrhod’s </w:t>
      </w:r>
      <w:r w:rsidR="00066E6B">
        <w:t>fertility</w:t>
      </w:r>
      <w:r w:rsidRPr="00436BC4">
        <w:t>, and her maintenance of social sta</w:t>
      </w:r>
      <w:r w:rsidR="00B97EA2">
        <w:t xml:space="preserve">tus and </w:t>
      </w:r>
      <w:r w:rsidRPr="00436BC4">
        <w:t xml:space="preserve">lack of legal consequence for </w:t>
      </w:r>
      <w:r w:rsidR="00B97EA2">
        <w:t>her</w:t>
      </w:r>
      <w:r w:rsidRPr="00436BC4">
        <w:t xml:space="preserve"> action</w:t>
      </w:r>
      <w:r w:rsidR="00B97EA2">
        <w:t>s</w:t>
      </w:r>
      <w:r w:rsidRPr="00436BC4">
        <w:t xml:space="preserve">. Queer theory also offers a means to better understand Aranrhod’s motives through Bersani’s </w:t>
      </w:r>
      <w:r w:rsidRPr="00436BC4">
        <w:rPr>
          <w:i/>
          <w:iCs/>
        </w:rPr>
        <w:t>Anti-Social Thesis</w:t>
      </w:r>
      <w:r w:rsidRPr="00436BC4">
        <w:t xml:space="preserve"> and Ede</w:t>
      </w:r>
      <w:r w:rsidR="00CF021B" w:rsidRPr="00436BC4">
        <w:t>l</w:t>
      </w:r>
      <w:r w:rsidRPr="00436BC4">
        <w:t xml:space="preserve">man’s figure of </w:t>
      </w:r>
      <w:r w:rsidRPr="00436BC4">
        <w:rPr>
          <w:i/>
          <w:iCs/>
        </w:rPr>
        <w:t xml:space="preserve">the Child. </w:t>
      </w:r>
      <w:r w:rsidRPr="00436BC4">
        <w:t>By</w:t>
      </w:r>
      <w:r w:rsidRPr="00436BC4">
        <w:rPr>
          <w:i/>
          <w:iCs/>
        </w:rPr>
        <w:t xml:space="preserve"> </w:t>
      </w:r>
      <w:r w:rsidRPr="00436BC4">
        <w:t>reframing her rejection to comply to the expectations of normative gendered behaviour her queer</w:t>
      </w:r>
      <w:r w:rsidR="00066E6B">
        <w:t>,</w:t>
      </w:r>
      <w:r w:rsidRPr="00436BC4">
        <w:t xml:space="preserve"> </w:t>
      </w:r>
      <w:r w:rsidR="00700784" w:rsidRPr="00436BC4">
        <w:t>non-normative</w:t>
      </w:r>
      <w:r w:rsidRPr="00436BC4">
        <w:t xml:space="preserve">, non-virgin/non-non-virgin body is centred, the focus trained on her present context and wellbeing, in contrast to the perpetual deferring of present wellbeing that is required in Winnubst’s </w:t>
      </w:r>
      <w:r w:rsidRPr="00436BC4">
        <w:rPr>
          <w:i/>
          <w:iCs/>
        </w:rPr>
        <w:t>future anterior</w:t>
      </w:r>
      <w:r w:rsidRPr="00436BC4">
        <w:t xml:space="preserve">. </w:t>
      </w:r>
    </w:p>
    <w:p w14:paraId="4C653375" w14:textId="77777777" w:rsidR="003D2994" w:rsidRPr="00436BC4" w:rsidRDefault="003D2994" w:rsidP="00161827">
      <w:pPr>
        <w:spacing w:line="480" w:lineRule="auto"/>
      </w:pPr>
    </w:p>
    <w:p w14:paraId="50B3947F" w14:textId="066DB0B3" w:rsidR="00924AA4" w:rsidRPr="00F1732C" w:rsidRDefault="00C85351" w:rsidP="00161827">
      <w:pPr>
        <w:spacing w:line="480" w:lineRule="auto"/>
        <w:rPr>
          <w:b/>
          <w:bCs/>
        </w:rPr>
      </w:pPr>
      <w:r w:rsidRPr="00E602F0">
        <w:t xml:space="preserve">By using queer theory to highlight the crisis surrounding access to sex that is engendered by the queerness of Aranrhod’s </w:t>
      </w:r>
      <w:r w:rsidR="0036424E" w:rsidRPr="00E602F0">
        <w:t>status</w:t>
      </w:r>
      <w:r w:rsidRPr="00E602F0">
        <w:t xml:space="preserve"> as a mother wh</w:t>
      </w:r>
      <w:r w:rsidR="0036424E" w:rsidRPr="00E602F0">
        <w:t>o also</w:t>
      </w:r>
      <w:r w:rsidRPr="00E602F0">
        <w:t xml:space="preserve"> maintain</w:t>
      </w:r>
      <w:r w:rsidR="0036424E" w:rsidRPr="00E602F0">
        <w:t>s</w:t>
      </w:r>
      <w:r w:rsidRPr="00E602F0">
        <w:t xml:space="preserve"> the social and political power of a virgin,</w:t>
      </w:r>
      <w:r w:rsidRPr="00436BC4">
        <w:t xml:space="preserve"> new light is shed on Lleu’s narrative as the product of derailed reproductive futurism. Through Halberstam’s notion of queer childhoods his plight suddenly comes to the fore. In the patriarchal world of the </w:t>
      </w:r>
      <w:r w:rsidRPr="00436BC4">
        <w:rPr>
          <w:i/>
          <w:iCs/>
        </w:rPr>
        <w:t xml:space="preserve">Fourth Branch </w:t>
      </w:r>
      <w:r w:rsidRPr="00436BC4">
        <w:t>Lleu does not ‘grow up’, but does</w:t>
      </w:r>
      <w:r w:rsidR="002236BB">
        <w:t>,</w:t>
      </w:r>
      <w:r w:rsidRPr="00436BC4">
        <w:t xml:space="preserve"> as Bond Stockton says</w:t>
      </w:r>
      <w:r w:rsidR="00721854">
        <w:t>,</w:t>
      </w:r>
      <w:r w:rsidRPr="00436BC4">
        <w:t xml:space="preserve"> ‘grow sideways’, thwarted as he is in the breaking of Aranrhod’s last destiny upon him. Lleu is denied access to the heteronormative life expected of him. Though it is unclear whether motivated by Lleu’s supposed wellbeing, or by his own sense of malicious competition with his sister, by employing help to try (and notably failing) to make Lleu ‘straight’</w:t>
      </w:r>
      <w:r w:rsidR="00565B94">
        <w:t>,</w:t>
      </w:r>
      <w:r w:rsidRPr="00436BC4">
        <w:t xml:space="preserve"> Gwydion reveals the impulse to legitimise the social body of Lleu through valorised indicators of personhood and maturity. In this light, Lleu’s status as ‘proto-queer’ (‘proto-gay’ in the original words of Sedgwick) </w:t>
      </w:r>
      <w:r w:rsidRPr="00924AA4">
        <w:t xml:space="preserve">is revealed in hindsight, and calls into question the way that the </w:t>
      </w:r>
      <w:r w:rsidR="00565B94">
        <w:t>finale</w:t>
      </w:r>
      <w:r w:rsidRPr="00924AA4">
        <w:t xml:space="preserve"> of the </w:t>
      </w:r>
      <w:r w:rsidRPr="00924AA4">
        <w:rPr>
          <w:i/>
          <w:iCs/>
        </w:rPr>
        <w:t xml:space="preserve">Forth Branch </w:t>
      </w:r>
      <w:r w:rsidRPr="00924AA4">
        <w:t xml:space="preserve">is interpreted. </w:t>
      </w:r>
      <w:r w:rsidR="00E602F0" w:rsidRPr="00924AA4">
        <w:t>Q</w:t>
      </w:r>
      <w:r w:rsidR="00F9092D" w:rsidRPr="00924AA4">
        <w:t xml:space="preserve">ueer theory invites readings of the text that turn </w:t>
      </w:r>
      <w:r w:rsidR="00620F6C" w:rsidRPr="00924AA4">
        <w:t>the ‘</w:t>
      </w:r>
      <w:r w:rsidR="00FD6B8A" w:rsidRPr="00924AA4">
        <w:t xml:space="preserve">heteronormative </w:t>
      </w:r>
      <w:r w:rsidR="00620F6C" w:rsidRPr="00924AA4">
        <w:t xml:space="preserve">tragedy’ of the ending of the </w:t>
      </w:r>
      <w:r w:rsidR="00620F6C" w:rsidRPr="00924AA4">
        <w:rPr>
          <w:i/>
          <w:iCs/>
        </w:rPr>
        <w:t>Fourth Branch</w:t>
      </w:r>
      <w:r w:rsidR="00620F6C" w:rsidRPr="00924AA4">
        <w:t xml:space="preserve"> </w:t>
      </w:r>
      <w:r w:rsidR="00F9092D" w:rsidRPr="00924AA4">
        <w:t>on its head. Th</w:t>
      </w:r>
      <w:r w:rsidR="00FD6B8A" w:rsidRPr="00924AA4">
        <w:t xml:space="preserve">e fall of the ruling regime </w:t>
      </w:r>
      <w:r w:rsidR="00E602F0" w:rsidRPr="00924AA4">
        <w:t>making way</w:t>
      </w:r>
      <w:r w:rsidR="00FD6B8A" w:rsidRPr="00924AA4">
        <w:t xml:space="preserve"> </w:t>
      </w:r>
      <w:r w:rsidR="00E602F0" w:rsidRPr="00924AA4">
        <w:t>for</w:t>
      </w:r>
      <w:r w:rsidR="00F9092D" w:rsidRPr="00924AA4">
        <w:t xml:space="preserve"> </w:t>
      </w:r>
      <w:r w:rsidR="00E602F0" w:rsidRPr="00924AA4">
        <w:t>the potential of</w:t>
      </w:r>
      <w:r w:rsidR="00FD6B8A" w:rsidRPr="00924AA4">
        <w:t xml:space="preserve"> new </w:t>
      </w:r>
      <w:r w:rsidR="00F9092D" w:rsidRPr="00924AA4">
        <w:t xml:space="preserve">queer </w:t>
      </w:r>
      <w:r w:rsidR="00FD6B8A" w:rsidRPr="00924AA4">
        <w:t>social and societal configurations to be generated</w:t>
      </w:r>
      <w:r w:rsidR="00F9092D" w:rsidRPr="00924AA4">
        <w:t xml:space="preserve"> and the centring </w:t>
      </w:r>
      <w:r w:rsidR="00FD6B8A" w:rsidRPr="00924AA4">
        <w:t xml:space="preserve">of </w:t>
      </w:r>
      <w:r w:rsidR="00F9092D" w:rsidRPr="00924AA4">
        <w:t>new</w:t>
      </w:r>
      <w:r w:rsidR="00FD6B8A" w:rsidRPr="00924AA4">
        <w:t xml:space="preserve"> voices</w:t>
      </w:r>
      <w:r w:rsidR="00F9092D" w:rsidRPr="00924AA4">
        <w:t xml:space="preserve"> and narratives</w:t>
      </w:r>
      <w:r w:rsidR="00E602F0" w:rsidRPr="00924AA4">
        <w:t xml:space="preserve"> that have previously been maligned</w:t>
      </w:r>
      <w:r w:rsidR="00FD6B8A" w:rsidRPr="00924AA4">
        <w:t xml:space="preserve">. </w:t>
      </w:r>
      <w:r w:rsidR="00F9092D" w:rsidRPr="00924AA4">
        <w:t>In this light</w:t>
      </w:r>
      <w:r w:rsidR="00E602F0" w:rsidRPr="00924AA4">
        <w:t>,</w:t>
      </w:r>
      <w:r w:rsidR="00F9092D" w:rsidRPr="00924AA4">
        <w:t xml:space="preserve"> </w:t>
      </w:r>
      <w:r w:rsidR="00620F6C" w:rsidRPr="00924AA4">
        <w:t>Aranrhod</w:t>
      </w:r>
      <w:r w:rsidR="00FD6B8A">
        <w:t xml:space="preserve"> certainly seems to be triumphant, both in</w:t>
      </w:r>
      <w:r w:rsidR="00F9092D">
        <w:t xml:space="preserve"> </w:t>
      </w:r>
      <w:r w:rsidR="00FD6B8A">
        <w:t>terms of status and power</w:t>
      </w:r>
      <w:r w:rsidR="00E602F0">
        <w:t>,</w:t>
      </w:r>
      <w:r w:rsidR="00FD6B8A">
        <w:t xml:space="preserve"> and by having the last laugh o</w:t>
      </w:r>
      <w:r w:rsidR="00F9092D">
        <w:t>ver</w:t>
      </w:r>
      <w:r w:rsidR="00FD6B8A">
        <w:t xml:space="preserve"> Gwidion </w:t>
      </w:r>
      <w:r w:rsidR="00F9092D">
        <w:t>who</w:t>
      </w:r>
      <w:r w:rsidR="00FD6B8A">
        <w:t xml:space="preserve"> symbol</w:t>
      </w:r>
      <w:r w:rsidR="00F9092D">
        <w:t>ises</w:t>
      </w:r>
      <w:r w:rsidR="00FD6B8A">
        <w:t xml:space="preserve"> the old regime. It also asks us to consider the ambiguity </w:t>
      </w:r>
      <w:r w:rsidR="00FD6B8A">
        <w:lastRenderedPageBreak/>
        <w:t xml:space="preserve">of Lleu’s position and how scholars have interpreted it. An anachronistic </w:t>
      </w:r>
      <w:r w:rsidR="00742C44">
        <w:t xml:space="preserve">queer </w:t>
      </w:r>
      <w:r w:rsidR="00FD6B8A">
        <w:t xml:space="preserve">reading of Lleu as an </w:t>
      </w:r>
      <w:r w:rsidR="00F9092D">
        <w:t>A-</w:t>
      </w:r>
      <w:r w:rsidR="00FD6B8A">
        <w:t xml:space="preserve">sexual being for example could be possible as he </w:t>
      </w:r>
      <w:r w:rsidR="00500C9D">
        <w:t>seems</w:t>
      </w:r>
      <w:r w:rsidR="00FD6B8A">
        <w:t xml:space="preserve"> to be at best ambivalent to</w:t>
      </w:r>
      <w:r w:rsidR="00E602F0">
        <w:t xml:space="preserve"> his magical wife (described as the most beautiful woman in the world)</w:t>
      </w:r>
      <w:r w:rsidR="002D17C5">
        <w:t>,</w:t>
      </w:r>
      <w:r w:rsidR="00742C44">
        <w:rPr>
          <w:rStyle w:val="FootnoteReference"/>
        </w:rPr>
        <w:footnoteReference w:id="170"/>
      </w:r>
      <w:r w:rsidR="00FD6B8A">
        <w:t xml:space="preserve"> and notably</w:t>
      </w:r>
      <w:r w:rsidR="00F9092D">
        <w:t xml:space="preserve"> only seeks </w:t>
      </w:r>
      <w:r w:rsidR="00E602F0">
        <w:t xml:space="preserve">personal </w:t>
      </w:r>
      <w:r w:rsidR="00F9092D">
        <w:t>revenge on Gronw Pebr for his attempted assignation.</w:t>
      </w:r>
      <w:r w:rsidR="00565B94">
        <w:rPr>
          <w:rStyle w:val="FootnoteReference"/>
        </w:rPr>
        <w:footnoteReference w:id="171"/>
      </w:r>
      <w:r w:rsidR="00F9092D">
        <w:t xml:space="preserve"> </w:t>
      </w:r>
    </w:p>
    <w:p w14:paraId="2E4E956A" w14:textId="77777777" w:rsidR="00821CA6" w:rsidRPr="00436BC4" w:rsidRDefault="00821CA6" w:rsidP="00161827">
      <w:pPr>
        <w:spacing w:line="480" w:lineRule="auto"/>
      </w:pPr>
    </w:p>
    <w:p w14:paraId="0C857208" w14:textId="1833A892" w:rsidR="00C85351" w:rsidRDefault="00C85351" w:rsidP="00161827">
      <w:pPr>
        <w:spacing w:line="480" w:lineRule="auto"/>
      </w:pPr>
      <w:r w:rsidRPr="00436BC4">
        <w:t>Beyond a reading of the text itself, the benefit of queer theory is that its powers of analysis may also be turned to the scholarship.</w:t>
      </w:r>
      <w:r w:rsidR="00F51C49">
        <w:t xml:space="preserve"> As successful as queer theory is at bringing to light systems of power and oppression within the narrative of the </w:t>
      </w:r>
      <w:r w:rsidR="00F51C49">
        <w:rPr>
          <w:i/>
          <w:iCs/>
        </w:rPr>
        <w:t>Fourth Branch</w:t>
      </w:r>
      <w:r w:rsidR="00F51C49">
        <w:t>, so too does it reveal such patterns in the academic literature.</w:t>
      </w:r>
      <w:r w:rsidRPr="00436BC4">
        <w:t xml:space="preserve"> Though an in-depth investigation was beyond the scope of this dissertation, my hope is that Celticists moving forward will be as</w:t>
      </w:r>
      <w:r w:rsidR="00620F6C">
        <w:t xml:space="preserve"> increasingly</w:t>
      </w:r>
      <w:r w:rsidRPr="00436BC4">
        <w:t xml:space="preserve"> interested in the manner in which the </w:t>
      </w:r>
      <w:r w:rsidRPr="00436BC4">
        <w:rPr>
          <w:i/>
          <w:iCs/>
        </w:rPr>
        <w:t>Fourth Branch</w:t>
      </w:r>
      <w:r w:rsidRPr="00436BC4">
        <w:t xml:space="preserve">, the </w:t>
      </w:r>
      <w:r w:rsidRPr="00436BC4">
        <w:rPr>
          <w:i/>
          <w:iCs/>
        </w:rPr>
        <w:t>Mabinogion</w:t>
      </w:r>
      <w:r w:rsidRPr="00436BC4">
        <w:t>, and Welsh medieval literature in general has been studied</w:t>
      </w:r>
      <w:r w:rsidR="00620F6C">
        <w:t>, as they are in texts themselves</w:t>
      </w:r>
      <w:r w:rsidRPr="00436BC4">
        <w:t xml:space="preserve">. This self-reflection is </w:t>
      </w:r>
      <w:r w:rsidR="00F51C49">
        <w:t xml:space="preserve">complex and not commonly carried out </w:t>
      </w:r>
      <w:r w:rsidRPr="00436BC4">
        <w:t xml:space="preserve">in Celtic studies, however I </w:t>
      </w:r>
      <w:r w:rsidR="00056A05">
        <w:t>am optimistic</w:t>
      </w:r>
      <w:r w:rsidRPr="00436BC4">
        <w:t xml:space="preserve"> that by discussing </w:t>
      </w:r>
      <w:r w:rsidR="00F51C49">
        <w:t xml:space="preserve">here </w:t>
      </w:r>
      <w:r w:rsidRPr="00436BC4">
        <w:t xml:space="preserve">notions </w:t>
      </w:r>
      <w:r w:rsidR="00F51C49">
        <w:t xml:space="preserve">such </w:t>
      </w:r>
      <w:r w:rsidRPr="00436BC4">
        <w:t xml:space="preserve">as heteronormativity in the scholarship of the </w:t>
      </w:r>
      <w:r w:rsidRPr="00436BC4">
        <w:rPr>
          <w:i/>
          <w:iCs/>
        </w:rPr>
        <w:t>Fourth Branch</w:t>
      </w:r>
      <w:r w:rsidR="00F51C49">
        <w:rPr>
          <w:i/>
          <w:iCs/>
        </w:rPr>
        <w:t>,</w:t>
      </w:r>
      <w:r w:rsidRPr="00436BC4">
        <w:t xml:space="preserve"> that </w:t>
      </w:r>
      <w:r w:rsidR="00332A3A" w:rsidRPr="00436BC4">
        <w:t>bias and prejudice</w:t>
      </w:r>
      <w:r w:rsidRPr="00436BC4">
        <w:t xml:space="preserve"> in the literature </w:t>
      </w:r>
      <w:r w:rsidR="00F51C49">
        <w:t>can begin to be recognised</w:t>
      </w:r>
      <w:r w:rsidR="00332A3A" w:rsidRPr="00436BC4">
        <w:t xml:space="preserve"> and </w:t>
      </w:r>
      <w:r w:rsidRPr="00436BC4">
        <w:t>addre</w:t>
      </w:r>
      <w:r w:rsidR="00F51C49">
        <w:t>ssed</w:t>
      </w:r>
      <w:r w:rsidR="00056A05">
        <w:t xml:space="preserve">, allowing </w:t>
      </w:r>
      <w:r w:rsidR="00F51C49">
        <w:t>the identif</w:t>
      </w:r>
      <w:r w:rsidR="00724E9C">
        <w:t>ication</w:t>
      </w:r>
      <w:r w:rsidR="00F51C49">
        <w:t xml:space="preserve"> of areas study of that have hitherto been neglected or suppressed, and may now </w:t>
      </w:r>
      <w:r w:rsidR="00724E9C">
        <w:t xml:space="preserve">be recognised and perused. </w:t>
      </w:r>
    </w:p>
    <w:p w14:paraId="39F9220B" w14:textId="77777777" w:rsidR="003D2994" w:rsidRPr="00436BC4" w:rsidRDefault="003D2994" w:rsidP="00161827">
      <w:pPr>
        <w:spacing w:line="480" w:lineRule="auto"/>
      </w:pPr>
    </w:p>
    <w:p w14:paraId="5C0B032D" w14:textId="2AD142AB" w:rsidR="000C0A12" w:rsidRDefault="00332A3A" w:rsidP="00161827">
      <w:pPr>
        <w:spacing w:line="480" w:lineRule="auto"/>
      </w:pPr>
      <w:r w:rsidRPr="00436BC4">
        <w:t>T</w:t>
      </w:r>
      <w:r w:rsidR="00C85351" w:rsidRPr="00436BC4">
        <w:t xml:space="preserve">ouched on in this dissertation is that the </w:t>
      </w:r>
      <w:r w:rsidR="00C85351" w:rsidRPr="00436BC4">
        <w:rPr>
          <w:i/>
          <w:iCs/>
        </w:rPr>
        <w:t xml:space="preserve">Mabinogi </w:t>
      </w:r>
      <w:r w:rsidR="00C85351" w:rsidRPr="00436BC4">
        <w:t xml:space="preserve">and the </w:t>
      </w:r>
      <w:r w:rsidR="00C85351" w:rsidRPr="00436BC4">
        <w:rPr>
          <w:i/>
          <w:iCs/>
        </w:rPr>
        <w:t xml:space="preserve">Fourth Branch </w:t>
      </w:r>
      <w:r w:rsidR="00C85351" w:rsidRPr="00436BC4">
        <w:t>in particular is extremely well know</w:t>
      </w:r>
      <w:r w:rsidR="0036424E" w:rsidRPr="00436BC4">
        <w:t>n</w:t>
      </w:r>
      <w:r w:rsidR="00C85351" w:rsidRPr="00436BC4">
        <w:t xml:space="preserve"> and well-loved beyond academia. Interpretations and reinterpretations of the story and </w:t>
      </w:r>
      <w:r w:rsidR="00C85351" w:rsidRPr="00436BC4">
        <w:lastRenderedPageBreak/>
        <w:t xml:space="preserve">characters </w:t>
      </w:r>
      <w:r w:rsidRPr="00436BC4">
        <w:t>generated by artist</w:t>
      </w:r>
      <w:r w:rsidR="009B17DD" w:rsidRPr="00436BC4">
        <w:t>s</w:t>
      </w:r>
      <w:r w:rsidRPr="00436BC4">
        <w:t xml:space="preserve">, authors, musicians </w:t>
      </w:r>
      <w:r w:rsidR="00C85351" w:rsidRPr="00436BC4">
        <w:t>in the public sphere</w:t>
      </w:r>
      <w:r w:rsidRPr="00436BC4">
        <w:t xml:space="preserve"> reflect</w:t>
      </w:r>
      <w:r w:rsidR="00C85351" w:rsidRPr="00436BC4">
        <w:t xml:space="preserve"> the charisma of these tales</w:t>
      </w:r>
      <w:r w:rsidR="00620F6C">
        <w:t xml:space="preserve"> both within Wales and abroad</w:t>
      </w:r>
      <w:r w:rsidR="00C85351" w:rsidRPr="00436BC4">
        <w:t xml:space="preserve">. </w:t>
      </w:r>
      <w:r w:rsidRPr="00436BC4">
        <w:t xml:space="preserve">The value of this process happening beyond academic institutions should not be </w:t>
      </w:r>
      <w:r w:rsidR="00500C9D" w:rsidRPr="00436BC4">
        <w:t>underestimated</w:t>
      </w:r>
      <w:r w:rsidR="00C85351" w:rsidRPr="00436BC4">
        <w:t xml:space="preserve">. Queering the </w:t>
      </w:r>
      <w:r w:rsidR="00C85351" w:rsidRPr="00436BC4">
        <w:rPr>
          <w:i/>
          <w:iCs/>
        </w:rPr>
        <w:t xml:space="preserve">Fourth Branch </w:t>
      </w:r>
      <w:r w:rsidR="00C85351" w:rsidRPr="00436BC4">
        <w:t xml:space="preserve">invites us to remember that </w:t>
      </w:r>
      <w:r w:rsidR="00472C96">
        <w:t>the surviving text</w:t>
      </w:r>
      <w:r w:rsidR="00C85351" w:rsidRPr="00436BC4">
        <w:t xml:space="preserve"> is not</w:t>
      </w:r>
      <w:r w:rsidR="0036424E" w:rsidRPr="00436BC4">
        <w:t xml:space="preserve"> </w:t>
      </w:r>
      <w:r w:rsidR="00472C96">
        <w:t>a single</w:t>
      </w:r>
      <w:r w:rsidR="00C85351" w:rsidRPr="00436BC4">
        <w:t xml:space="preserve"> </w:t>
      </w:r>
      <w:r w:rsidR="00705863" w:rsidRPr="00436BC4">
        <w:t xml:space="preserve">fixed </w:t>
      </w:r>
      <w:r w:rsidR="00C85351" w:rsidRPr="00436BC4">
        <w:t xml:space="preserve">narrative that exists </w:t>
      </w:r>
      <w:r w:rsidR="0036424E" w:rsidRPr="00436BC4">
        <w:t>in static form</w:t>
      </w:r>
      <w:r w:rsidR="00C85351" w:rsidRPr="00436BC4">
        <w:t>, but</w:t>
      </w:r>
      <w:r w:rsidR="00472C96">
        <w:t xml:space="preserve"> the product of</w:t>
      </w:r>
      <w:r w:rsidR="0036424E" w:rsidRPr="00436BC4">
        <w:t xml:space="preserve"> many interweaving </w:t>
      </w:r>
      <w:r w:rsidR="0036424E" w:rsidRPr="00436BC4">
        <w:rPr>
          <w:i/>
          <w:iCs/>
        </w:rPr>
        <w:t>narratives</w:t>
      </w:r>
      <w:r w:rsidR="00472C96">
        <w:t xml:space="preserve"> that were, and continue to be, </w:t>
      </w:r>
      <w:r w:rsidR="00C85351" w:rsidRPr="00436BC4">
        <w:t>part of a dynamic tradition</w:t>
      </w:r>
      <w:r w:rsidR="0036424E" w:rsidRPr="00436BC4">
        <w:t xml:space="preserve"> of change, adaption and fluidity, as </w:t>
      </w:r>
      <w:r w:rsidR="00705863" w:rsidRPr="00436BC4">
        <w:t xml:space="preserve">pervasively </w:t>
      </w:r>
      <w:r w:rsidR="0036424E" w:rsidRPr="00436BC4">
        <w:t>ambiguous as the characters themselves.</w:t>
      </w:r>
    </w:p>
    <w:p w14:paraId="5D199CB3" w14:textId="77777777" w:rsidR="00FA7B2C" w:rsidRDefault="00FA7B2C" w:rsidP="00161827">
      <w:pPr>
        <w:spacing w:line="480" w:lineRule="auto"/>
      </w:pPr>
    </w:p>
    <w:p w14:paraId="423EA49F" w14:textId="77777777" w:rsidR="00FA7B2C" w:rsidRDefault="00FA7B2C" w:rsidP="00161827">
      <w:pPr>
        <w:spacing w:line="480" w:lineRule="auto"/>
      </w:pPr>
    </w:p>
    <w:p w14:paraId="4E15CB66" w14:textId="77777777" w:rsidR="00FA7B2C" w:rsidRDefault="00FA7B2C" w:rsidP="00161827">
      <w:pPr>
        <w:spacing w:line="480" w:lineRule="auto"/>
      </w:pPr>
    </w:p>
    <w:p w14:paraId="0E9E44E6" w14:textId="77777777" w:rsidR="00FA7B2C" w:rsidRDefault="00FA7B2C" w:rsidP="00161827">
      <w:pPr>
        <w:spacing w:line="480" w:lineRule="auto"/>
      </w:pPr>
    </w:p>
    <w:p w14:paraId="109302AC" w14:textId="77777777" w:rsidR="00FA7B2C" w:rsidRDefault="00FA7B2C" w:rsidP="00161827">
      <w:pPr>
        <w:spacing w:line="480" w:lineRule="auto"/>
      </w:pPr>
    </w:p>
    <w:p w14:paraId="064DF298" w14:textId="77777777" w:rsidR="00FA7B2C" w:rsidRDefault="00FA7B2C" w:rsidP="00161827">
      <w:pPr>
        <w:spacing w:line="480" w:lineRule="auto"/>
      </w:pPr>
    </w:p>
    <w:p w14:paraId="39FB6BC0" w14:textId="77777777" w:rsidR="00FA7B2C" w:rsidRDefault="00FA7B2C" w:rsidP="00161827">
      <w:pPr>
        <w:spacing w:line="480" w:lineRule="auto"/>
      </w:pPr>
    </w:p>
    <w:p w14:paraId="7839CA31" w14:textId="77777777" w:rsidR="00FA7B2C" w:rsidRDefault="00FA7B2C" w:rsidP="00161827">
      <w:pPr>
        <w:spacing w:line="480" w:lineRule="auto"/>
      </w:pPr>
    </w:p>
    <w:p w14:paraId="5DA77F53" w14:textId="77777777" w:rsidR="00FA7B2C" w:rsidRDefault="00FA7B2C" w:rsidP="00161827">
      <w:pPr>
        <w:spacing w:line="480" w:lineRule="auto"/>
      </w:pPr>
    </w:p>
    <w:p w14:paraId="79E3AD52" w14:textId="77777777" w:rsidR="00FA7B2C" w:rsidRDefault="00FA7B2C" w:rsidP="00161827">
      <w:pPr>
        <w:spacing w:line="480" w:lineRule="auto"/>
      </w:pPr>
    </w:p>
    <w:p w14:paraId="1C9EE873" w14:textId="77777777" w:rsidR="00FA7B2C" w:rsidRDefault="00FA7B2C" w:rsidP="00161827">
      <w:pPr>
        <w:spacing w:line="480" w:lineRule="auto"/>
      </w:pPr>
    </w:p>
    <w:p w14:paraId="52E7BF5F" w14:textId="77777777" w:rsidR="00FA7B2C" w:rsidRDefault="00FA7B2C" w:rsidP="00161827">
      <w:pPr>
        <w:spacing w:line="480" w:lineRule="auto"/>
      </w:pPr>
    </w:p>
    <w:p w14:paraId="35EC35B6" w14:textId="77777777" w:rsidR="00FA7B2C" w:rsidRDefault="00FA7B2C" w:rsidP="00161827">
      <w:pPr>
        <w:spacing w:line="480" w:lineRule="auto"/>
      </w:pPr>
    </w:p>
    <w:p w14:paraId="403700E7" w14:textId="77777777" w:rsidR="00FA7B2C" w:rsidRDefault="00FA7B2C" w:rsidP="00161827">
      <w:pPr>
        <w:spacing w:line="480" w:lineRule="auto"/>
      </w:pPr>
    </w:p>
    <w:p w14:paraId="72655854" w14:textId="77777777" w:rsidR="00FA7B2C" w:rsidRPr="001D6185" w:rsidRDefault="00FA7B2C" w:rsidP="00161827">
      <w:pPr>
        <w:spacing w:line="480" w:lineRule="auto"/>
      </w:pPr>
    </w:p>
    <w:p w14:paraId="11900578" w14:textId="38E6FA46" w:rsidR="00671FB3" w:rsidRPr="00436BC4" w:rsidRDefault="000C0A12" w:rsidP="000C0A12">
      <w:pPr>
        <w:pStyle w:val="Heading2"/>
        <w:rPr>
          <w:u w:val="single"/>
        </w:rPr>
      </w:pPr>
      <w:bookmarkStart w:id="60" w:name="_Toc175312194"/>
      <w:r w:rsidRPr="00436BC4">
        <w:rPr>
          <w:u w:val="single"/>
        </w:rPr>
        <w:lastRenderedPageBreak/>
        <w:t>Bibliography</w:t>
      </w:r>
      <w:bookmarkEnd w:id="60"/>
    </w:p>
    <w:p w14:paraId="27CB516D" w14:textId="77777777" w:rsidR="000C0A12" w:rsidRPr="00436BC4" w:rsidRDefault="000C0A12" w:rsidP="000C0A12"/>
    <w:p w14:paraId="036923F6" w14:textId="1DBB72DD" w:rsidR="001B320A" w:rsidRPr="00436BC4" w:rsidRDefault="001B320A" w:rsidP="000C0A12">
      <w:pPr>
        <w:ind w:hanging="480"/>
      </w:pPr>
      <w:r w:rsidRPr="00436BC4">
        <w:t xml:space="preserve">Barry, </w:t>
      </w:r>
      <w:r w:rsidR="00F47D2D" w:rsidRPr="00436BC4">
        <w:t>Peter</w:t>
      </w:r>
      <w:r w:rsidR="00F47D2D">
        <w:t>,</w:t>
      </w:r>
      <w:r w:rsidR="00F47D2D" w:rsidRPr="00436BC4">
        <w:rPr>
          <w:i/>
          <w:iCs/>
        </w:rPr>
        <w:t xml:space="preserve"> </w:t>
      </w:r>
      <w:r w:rsidRPr="00436BC4">
        <w:rPr>
          <w:i/>
          <w:iCs/>
        </w:rPr>
        <w:t>Beginning Theory: An Introduction to Literary and Cultural Theory</w:t>
      </w:r>
      <w:r w:rsidRPr="00436BC4">
        <w:t xml:space="preserve"> (Manchester University Press, 2002)</w:t>
      </w:r>
      <w:r w:rsidR="0044339E">
        <w:t>.</w:t>
      </w:r>
    </w:p>
    <w:p w14:paraId="5963A4CE" w14:textId="090E04F2" w:rsidR="0044339E" w:rsidRPr="0044339E" w:rsidRDefault="0044339E" w:rsidP="0044339E">
      <w:pPr>
        <w:ind w:hanging="480"/>
      </w:pPr>
      <w:r w:rsidRPr="0044339E">
        <w:t xml:space="preserve">Beard, Mary, ‘The Public Voice of Women’, </w:t>
      </w:r>
      <w:r w:rsidRPr="0044339E">
        <w:rPr>
          <w:i/>
          <w:iCs/>
        </w:rPr>
        <w:t>Women’s History Review</w:t>
      </w:r>
      <w:r w:rsidRPr="0044339E">
        <w:t>, 24.5 (2015), pp. 809–18, doi:</w:t>
      </w:r>
      <w:hyperlink r:id="rId11" w:history="1">
        <w:r w:rsidRPr="0044339E">
          <w:rPr>
            <w:rStyle w:val="Hyperlink"/>
          </w:rPr>
          <w:t>10.1080/09612025.2015.1023023</w:t>
        </w:r>
      </w:hyperlink>
      <w:r w:rsidR="00117854">
        <w:t>.</w:t>
      </w:r>
    </w:p>
    <w:p w14:paraId="5BF31279" w14:textId="3B3241D5" w:rsidR="000C0A12" w:rsidRPr="00436BC4" w:rsidRDefault="0032666C" w:rsidP="000C0A12">
      <w:pPr>
        <w:ind w:hanging="480"/>
      </w:pPr>
      <w:r w:rsidRPr="00436BC4">
        <w:t>———</w:t>
      </w:r>
      <w:r w:rsidR="000C0A12" w:rsidRPr="00436BC4">
        <w:t xml:space="preserve">, </w:t>
      </w:r>
      <w:r w:rsidR="000C0A12" w:rsidRPr="00436BC4">
        <w:rPr>
          <w:i/>
          <w:iCs/>
        </w:rPr>
        <w:t>Women &amp; Power: A Manifesto</w:t>
      </w:r>
      <w:r w:rsidR="000C0A12" w:rsidRPr="00436BC4">
        <w:t xml:space="preserve"> (Profile Books, 2018)</w:t>
      </w:r>
      <w:r w:rsidR="0044339E">
        <w:t>.</w:t>
      </w:r>
    </w:p>
    <w:p w14:paraId="171894C9" w14:textId="6918D877" w:rsidR="000C0A12" w:rsidRPr="00436BC4" w:rsidRDefault="000C0A12" w:rsidP="000C0A12">
      <w:pPr>
        <w:ind w:hanging="480"/>
      </w:pPr>
      <w:r w:rsidRPr="00436BC4">
        <w:t>Bennett, Anna, ‘“</w:t>
      </w:r>
      <w:r w:rsidR="00DE6D90" w:rsidRPr="00436BC4">
        <w:rPr>
          <w:i/>
          <w:iCs/>
        </w:rPr>
        <w:t>Because she Would not be Governed</w:t>
      </w:r>
      <w:r w:rsidRPr="00436BC4">
        <w:rPr>
          <w:i/>
          <w:iCs/>
        </w:rPr>
        <w:t>”:</w:t>
      </w:r>
      <w:r w:rsidR="00DE6D90" w:rsidRPr="00436BC4">
        <w:rPr>
          <w:i/>
          <w:iCs/>
        </w:rPr>
        <w:t xml:space="preserve"> Medieval Women, Power, and the Politicization of Witchcraft’,</w:t>
      </w:r>
      <w:r w:rsidR="000151B2" w:rsidRPr="00436BC4">
        <w:t xml:space="preserve"> </w:t>
      </w:r>
      <w:r w:rsidR="0044339E">
        <w:t>(unpublished m</w:t>
      </w:r>
      <w:r w:rsidR="000151B2" w:rsidRPr="00436BC4">
        <w:t>aster’s</w:t>
      </w:r>
      <w:r w:rsidR="0044339E">
        <w:t>,</w:t>
      </w:r>
      <w:r w:rsidR="000151B2" w:rsidRPr="00436BC4">
        <w:t xml:space="preserve"> </w:t>
      </w:r>
      <w:r w:rsidR="0044339E">
        <w:t>t</w:t>
      </w:r>
      <w:r w:rsidR="000151B2" w:rsidRPr="00436BC4">
        <w:t>hesis</w:t>
      </w:r>
      <w:r w:rsidRPr="00436BC4">
        <w:t xml:space="preserve"> University of Rhode Island, 2015)</w:t>
      </w:r>
      <w:r w:rsidR="00FC530C">
        <w:t>.</w:t>
      </w:r>
    </w:p>
    <w:p w14:paraId="25109AEB" w14:textId="2A5E04B7" w:rsidR="000C0A12" w:rsidRPr="00436BC4" w:rsidRDefault="000C0A12" w:rsidP="000C0A12">
      <w:pPr>
        <w:ind w:hanging="480"/>
      </w:pPr>
      <w:r w:rsidRPr="00436BC4">
        <w:t xml:space="preserve">Bersani, Leo, </w:t>
      </w:r>
      <w:r w:rsidRPr="00436BC4">
        <w:rPr>
          <w:i/>
          <w:iCs/>
        </w:rPr>
        <w:t>Homos</w:t>
      </w:r>
      <w:r w:rsidRPr="00436BC4">
        <w:t xml:space="preserve"> (Harvard University Press, 199</w:t>
      </w:r>
      <w:r w:rsidR="00DE6D90" w:rsidRPr="00436BC4">
        <w:t>6</w:t>
      </w:r>
      <w:r w:rsidRPr="00436BC4">
        <w:t>)</w:t>
      </w:r>
      <w:r w:rsidR="00DE6D90" w:rsidRPr="00436BC4">
        <w:t>.</w:t>
      </w:r>
      <w:r w:rsidRPr="00436BC4">
        <w:t xml:space="preserve"> </w:t>
      </w:r>
    </w:p>
    <w:p w14:paraId="0913F02F" w14:textId="70D35684" w:rsidR="000C0A12" w:rsidRPr="00436BC4" w:rsidRDefault="000C0A12" w:rsidP="000C0A12">
      <w:pPr>
        <w:ind w:hanging="480"/>
      </w:pPr>
      <w:r w:rsidRPr="00436BC4">
        <w:t xml:space="preserve">———, ‘Is the Rectum a Grave?’, </w:t>
      </w:r>
      <w:r w:rsidRPr="00436BC4">
        <w:rPr>
          <w:i/>
          <w:iCs/>
        </w:rPr>
        <w:t>October</w:t>
      </w:r>
      <w:r w:rsidRPr="00436BC4">
        <w:t xml:space="preserve">, 43 (1987), </w:t>
      </w:r>
      <w:r w:rsidR="00DE6D90" w:rsidRPr="00436BC4">
        <w:t xml:space="preserve">pp. </w:t>
      </w:r>
      <w:r w:rsidRPr="00436BC4">
        <w:t>197–222</w:t>
      </w:r>
      <w:r w:rsidR="00117854">
        <w:t xml:space="preserve">, </w:t>
      </w:r>
      <w:r w:rsidR="00117854" w:rsidRPr="006867DA">
        <w:t>doi:</w:t>
      </w:r>
      <w:hyperlink r:id="rId12" w:history="1">
        <w:r w:rsidR="00117854" w:rsidRPr="006867DA">
          <w:rPr>
            <w:rStyle w:val="Hyperlink"/>
          </w:rPr>
          <w:t>10.2307/3397574</w:t>
        </w:r>
      </w:hyperlink>
      <w:r w:rsidR="00DE6D90" w:rsidRPr="00436BC4">
        <w:t>.</w:t>
      </w:r>
      <w:r w:rsidRPr="00436BC4">
        <w:t xml:space="preserve"> </w:t>
      </w:r>
    </w:p>
    <w:p w14:paraId="4656E00B" w14:textId="66DF493B" w:rsidR="000C0A12" w:rsidRPr="00436BC4" w:rsidRDefault="000C0A12" w:rsidP="000C0A12">
      <w:pPr>
        <w:ind w:hanging="480"/>
      </w:pPr>
      <w:r w:rsidRPr="00436BC4">
        <w:t xml:space="preserve">Bond Stockton, Kathryn, </w:t>
      </w:r>
      <w:r w:rsidRPr="00436BC4">
        <w:rPr>
          <w:i/>
          <w:iCs/>
        </w:rPr>
        <w:t>The Queer Child, or Growing Sideways in the Twentieth Century</w:t>
      </w:r>
      <w:r w:rsidRPr="00436BC4">
        <w:t xml:space="preserve"> (Duke University Press, 2009)</w:t>
      </w:r>
      <w:r w:rsidR="00DE6D90" w:rsidRPr="00436BC4">
        <w:t>.</w:t>
      </w:r>
    </w:p>
    <w:p w14:paraId="067C33C4" w14:textId="6C76601C" w:rsidR="000C0A12" w:rsidRPr="00436BC4" w:rsidRDefault="000C0A12" w:rsidP="000C0A12">
      <w:pPr>
        <w:ind w:hanging="480"/>
      </w:pPr>
      <w:r w:rsidRPr="00436BC4">
        <w:t xml:space="preserve">Burgwinkle, Bill, ‘État </w:t>
      </w:r>
      <w:proofErr w:type="spellStart"/>
      <w:r w:rsidRPr="00436BC4">
        <w:t>Présent</w:t>
      </w:r>
      <w:proofErr w:type="spellEnd"/>
      <w:r w:rsidRPr="00436BC4">
        <w:t xml:space="preserve">; Queer Theory and the Middle Ages’, </w:t>
      </w:r>
      <w:r w:rsidRPr="00436BC4">
        <w:rPr>
          <w:i/>
          <w:iCs/>
        </w:rPr>
        <w:t>French Studies</w:t>
      </w:r>
      <w:r w:rsidRPr="00436BC4">
        <w:t>, LX</w:t>
      </w:r>
      <w:r w:rsidR="002E74C6" w:rsidRPr="00436BC4">
        <w:t>:</w:t>
      </w:r>
      <w:r w:rsidRPr="00436BC4">
        <w:t xml:space="preserve">1 (2006), </w:t>
      </w:r>
      <w:r w:rsidR="00DE6D90" w:rsidRPr="00436BC4">
        <w:t xml:space="preserve">pp. </w:t>
      </w:r>
      <w:r w:rsidRPr="00436BC4">
        <w:t>79–88</w:t>
      </w:r>
      <w:r w:rsidR="00462EF5">
        <w:t>,</w:t>
      </w:r>
      <w:r w:rsidR="00462EF5" w:rsidRPr="00A8639B">
        <w:t xml:space="preserve"> doi:</w:t>
      </w:r>
      <w:hyperlink r:id="rId13" w:history="1">
        <w:r w:rsidR="00462EF5" w:rsidRPr="00A8639B">
          <w:rPr>
            <w:rStyle w:val="Hyperlink"/>
          </w:rPr>
          <w:t>10.1093/fs/kni311</w:t>
        </w:r>
      </w:hyperlink>
      <w:r w:rsidR="00462EF5">
        <w:t>.</w:t>
      </w:r>
      <w:r w:rsidRPr="00436BC4">
        <w:t xml:space="preserve"> </w:t>
      </w:r>
    </w:p>
    <w:p w14:paraId="65DA9149" w14:textId="1321F709" w:rsidR="000C0A12" w:rsidRPr="00436BC4" w:rsidRDefault="000C0A12" w:rsidP="000C0A12">
      <w:pPr>
        <w:ind w:hanging="480"/>
      </w:pPr>
      <w:r w:rsidRPr="00436BC4">
        <w:t xml:space="preserve">Butler, Judith, </w:t>
      </w:r>
      <w:r w:rsidRPr="00436BC4">
        <w:rPr>
          <w:i/>
          <w:iCs/>
        </w:rPr>
        <w:t>Bodies That Matter: On the Discursive Limits of Sex</w:t>
      </w:r>
      <w:r w:rsidRPr="00436BC4">
        <w:t xml:space="preserve">, 1st </w:t>
      </w:r>
      <w:proofErr w:type="spellStart"/>
      <w:r w:rsidRPr="00436BC4">
        <w:t>edn</w:t>
      </w:r>
      <w:proofErr w:type="spellEnd"/>
      <w:r w:rsidR="008B631D">
        <w:t>,</w:t>
      </w:r>
      <w:r w:rsidRPr="00436BC4">
        <w:t xml:space="preserve"> (Routledge, 2011)</w:t>
      </w:r>
      <w:r w:rsidR="00DE6D90" w:rsidRPr="00436BC4">
        <w:t>.</w:t>
      </w:r>
    </w:p>
    <w:p w14:paraId="0D04885F" w14:textId="0BEF0414" w:rsidR="000C0A12" w:rsidRPr="00436BC4" w:rsidRDefault="000C0A12" w:rsidP="000C0A12">
      <w:pPr>
        <w:ind w:hanging="480"/>
      </w:pPr>
      <w:r w:rsidRPr="00436BC4">
        <w:t xml:space="preserve">———, ‘Critically Queer’, in </w:t>
      </w:r>
      <w:r w:rsidRPr="00436BC4">
        <w:rPr>
          <w:i/>
          <w:iCs/>
        </w:rPr>
        <w:t>Playing with Fire</w:t>
      </w:r>
      <w:r w:rsidR="00921309">
        <w:rPr>
          <w:i/>
          <w:iCs/>
        </w:rPr>
        <w:t>: Queer Politics, Queer Theories</w:t>
      </w:r>
      <w:r w:rsidR="000C31DD">
        <w:rPr>
          <w:i/>
          <w:iCs/>
        </w:rPr>
        <w:t xml:space="preserve">, </w:t>
      </w:r>
      <w:r w:rsidR="000C31DD">
        <w:t>ed. by</w:t>
      </w:r>
      <w:r w:rsidRPr="00436BC4">
        <w:t xml:space="preserve"> </w:t>
      </w:r>
      <w:r w:rsidR="000C31DD">
        <w:t xml:space="preserve">Phelan, Shane, </w:t>
      </w:r>
      <w:r w:rsidRPr="00436BC4">
        <w:t>(Routledge, 1997)</w:t>
      </w:r>
      <w:r w:rsidR="000C31DD">
        <w:t>, pp</w:t>
      </w:r>
      <w:r w:rsidR="00921309">
        <w:t>.</w:t>
      </w:r>
      <w:r w:rsidR="000C31DD">
        <w:t xml:space="preserve"> 11-30.</w:t>
      </w:r>
    </w:p>
    <w:p w14:paraId="01F058BE" w14:textId="366DA7E2" w:rsidR="000C0A12" w:rsidRPr="00436BC4" w:rsidRDefault="000C0A12" w:rsidP="00DE6D90">
      <w:pPr>
        <w:ind w:hanging="480"/>
        <w:rPr>
          <w:i/>
          <w:iCs/>
        </w:rPr>
      </w:pPr>
      <w:r w:rsidRPr="00436BC4">
        <w:t>———,</w:t>
      </w:r>
      <w:r w:rsidR="00F21383" w:rsidRPr="00436BC4">
        <w:rPr>
          <w:i/>
          <w:iCs/>
        </w:rPr>
        <w:t xml:space="preserve"> Gender Trouble: Feminism and the Subversion of Identity </w:t>
      </w:r>
      <w:r w:rsidR="00F21383" w:rsidRPr="00436BC4">
        <w:t>(Routledge, 1999)</w:t>
      </w:r>
      <w:r w:rsidR="00DE6D90" w:rsidRPr="00436BC4">
        <w:t>.</w:t>
      </w:r>
    </w:p>
    <w:p w14:paraId="7C891549" w14:textId="368FFB7F" w:rsidR="000C0A12" w:rsidRPr="00436BC4" w:rsidRDefault="000C0A12" w:rsidP="000C0A12">
      <w:pPr>
        <w:ind w:hanging="480"/>
      </w:pPr>
      <w:r w:rsidRPr="00436BC4">
        <w:t xml:space="preserve">———, </w:t>
      </w:r>
      <w:r w:rsidRPr="00436BC4">
        <w:rPr>
          <w:i/>
          <w:iCs/>
        </w:rPr>
        <w:t>Undoing Gender</w:t>
      </w:r>
      <w:r w:rsidRPr="00436BC4">
        <w:t xml:space="preserve">, 1st </w:t>
      </w:r>
      <w:proofErr w:type="spellStart"/>
      <w:r w:rsidRPr="00436BC4">
        <w:t>edn</w:t>
      </w:r>
      <w:proofErr w:type="spellEnd"/>
      <w:r w:rsidR="008B631D">
        <w:t>,</w:t>
      </w:r>
      <w:r w:rsidRPr="00436BC4">
        <w:t xml:space="preserve"> (Routledge, 2004)</w:t>
      </w:r>
      <w:r w:rsidR="00DE6D90" w:rsidRPr="00436BC4">
        <w:t>.</w:t>
      </w:r>
    </w:p>
    <w:p w14:paraId="32028E6E" w14:textId="4683AB9A" w:rsidR="000C0A12" w:rsidRPr="00436BC4" w:rsidRDefault="000C0A12" w:rsidP="000C0A12">
      <w:pPr>
        <w:ind w:hanging="480"/>
      </w:pPr>
      <w:r w:rsidRPr="00436BC4">
        <w:t xml:space="preserve">Byfield, Catherine, ‘Character and Conflict in the Four Branches of the Mabinogi’, </w:t>
      </w:r>
      <w:r w:rsidRPr="00436BC4">
        <w:rPr>
          <w:i/>
          <w:iCs/>
        </w:rPr>
        <w:t>Bulletin of the Board of Celtic Studies</w:t>
      </w:r>
      <w:r w:rsidRPr="00436BC4">
        <w:t xml:space="preserve">, 40 (1993), </w:t>
      </w:r>
      <w:r w:rsidR="00DE6D90" w:rsidRPr="00436BC4">
        <w:t xml:space="preserve">pp. </w:t>
      </w:r>
      <w:r w:rsidRPr="00436BC4">
        <w:t>51–72</w:t>
      </w:r>
      <w:r w:rsidR="00DE6D90" w:rsidRPr="00436BC4">
        <w:t>.</w:t>
      </w:r>
    </w:p>
    <w:p w14:paraId="271ED493" w14:textId="12145A8A" w:rsidR="000C0A12" w:rsidRPr="00436BC4" w:rsidRDefault="000C0A12" w:rsidP="000C0A12">
      <w:pPr>
        <w:ind w:hanging="480"/>
      </w:pPr>
      <w:r w:rsidRPr="00436BC4">
        <w:t xml:space="preserve">Bynum, Caroline Walker, </w:t>
      </w:r>
      <w:r w:rsidRPr="00436BC4">
        <w:rPr>
          <w:i/>
          <w:iCs/>
        </w:rPr>
        <w:t>Metamorphosis and Identity</w:t>
      </w:r>
      <w:r w:rsidRPr="00436BC4">
        <w:t xml:space="preserve"> (Zone Books, 2005)</w:t>
      </w:r>
      <w:r w:rsidR="00DE6D90" w:rsidRPr="00436BC4">
        <w:t>.</w:t>
      </w:r>
    </w:p>
    <w:p w14:paraId="64CDD13C" w14:textId="6CD5E24C" w:rsidR="000C0A12" w:rsidRPr="00436BC4" w:rsidRDefault="000C0A12" w:rsidP="000C0A12">
      <w:pPr>
        <w:ind w:hanging="480"/>
      </w:pPr>
      <w:r w:rsidRPr="00436BC4">
        <w:t xml:space="preserve">Cartwright, Jane, ‘Dead Virgins: Feminine Sanctity in Medieval Wales’, </w:t>
      </w:r>
      <w:r w:rsidRPr="00436BC4">
        <w:rPr>
          <w:i/>
          <w:iCs/>
        </w:rPr>
        <w:t>Medium Ævum</w:t>
      </w:r>
      <w:r w:rsidRPr="00436BC4">
        <w:t xml:space="preserve">, 71.1 (2002), </w:t>
      </w:r>
      <w:r w:rsidR="00DE6D90" w:rsidRPr="00436BC4">
        <w:t xml:space="preserve">pp. </w:t>
      </w:r>
      <w:r w:rsidRPr="00436BC4">
        <w:t>1–28</w:t>
      </w:r>
      <w:r w:rsidR="00DE6D90" w:rsidRPr="00436BC4">
        <w:t>.</w:t>
      </w:r>
    </w:p>
    <w:p w14:paraId="46E0CFBA" w14:textId="4EA92D9A" w:rsidR="000C0A12" w:rsidRPr="00436BC4" w:rsidRDefault="000C0A12" w:rsidP="000C0A12">
      <w:pPr>
        <w:ind w:hanging="480"/>
      </w:pPr>
      <w:r w:rsidRPr="00436BC4">
        <w:t>———, ‘Virginity and Chastity Tests in Medieval Welsh Prose’,</w:t>
      </w:r>
      <w:r w:rsidR="005F68FC">
        <w:t xml:space="preserve"> in</w:t>
      </w:r>
      <w:r w:rsidRPr="00436BC4">
        <w:t xml:space="preserve"> </w:t>
      </w:r>
      <w:r w:rsidRPr="00436BC4">
        <w:rPr>
          <w:i/>
          <w:iCs/>
        </w:rPr>
        <w:t>Medieval Virginities</w:t>
      </w:r>
      <w:r w:rsidRPr="00436BC4">
        <w:t xml:space="preserve">, ed. by </w:t>
      </w:r>
      <w:r w:rsidR="000C31DD" w:rsidRPr="00436BC4">
        <w:t>Anke Bernau</w:t>
      </w:r>
      <w:r w:rsidRPr="00436BC4">
        <w:t xml:space="preserve">, </w:t>
      </w:r>
      <w:r w:rsidR="000C31DD" w:rsidRPr="00436BC4">
        <w:t>Ruth Evans</w:t>
      </w:r>
      <w:r w:rsidRPr="00436BC4">
        <w:t xml:space="preserve">, and </w:t>
      </w:r>
      <w:r w:rsidR="000C31DD" w:rsidRPr="00436BC4">
        <w:t xml:space="preserve">Sarah Salih </w:t>
      </w:r>
      <w:r w:rsidRPr="00436BC4">
        <w:t>(University of Toronto Press, 2003)</w:t>
      </w:r>
      <w:r w:rsidR="000C31DD">
        <w:t>, pp. 56-79</w:t>
      </w:r>
      <w:r w:rsidR="00DE6D90" w:rsidRPr="00436BC4">
        <w:t>.</w:t>
      </w:r>
    </w:p>
    <w:p w14:paraId="0FD87367" w14:textId="2910AFB3" w:rsidR="00AF3D01" w:rsidRPr="00436BC4" w:rsidRDefault="00AF3D01" w:rsidP="00AF3D01">
      <w:pPr>
        <w:ind w:hanging="480"/>
      </w:pPr>
      <w:r w:rsidRPr="00436BC4">
        <w:t xml:space="preserve">Caserio, Robert </w:t>
      </w:r>
      <w:r w:rsidR="00560075">
        <w:t>and others</w:t>
      </w:r>
      <w:r w:rsidRPr="00436BC4">
        <w:t xml:space="preserve">, ‘PMLA Conference Debate: The Antisocial Thesis in Queer Theory’, in </w:t>
      </w:r>
      <w:r w:rsidRPr="00436BC4">
        <w:rPr>
          <w:i/>
          <w:iCs/>
        </w:rPr>
        <w:t>Modern Language Association Annual Conference</w:t>
      </w:r>
      <w:r w:rsidRPr="00436BC4">
        <w:t>, (2006), cxxi, pp. 819–28.</w:t>
      </w:r>
    </w:p>
    <w:p w14:paraId="398DDFBF" w14:textId="5B2D30D0" w:rsidR="000C0A12" w:rsidRPr="00436BC4" w:rsidRDefault="000C0A12" w:rsidP="000C0A12">
      <w:pPr>
        <w:ind w:hanging="480"/>
      </w:pPr>
      <w:r w:rsidRPr="00436BC4">
        <w:t xml:space="preserve">Charles-Edwards, T. M., </w:t>
      </w:r>
      <w:r w:rsidRPr="00436BC4">
        <w:rPr>
          <w:i/>
          <w:iCs/>
        </w:rPr>
        <w:t>Early Irish and Welsh Kinship</w:t>
      </w:r>
      <w:r w:rsidRPr="00436BC4">
        <w:t xml:space="preserve"> (Oxford University Press, 1993)</w:t>
      </w:r>
      <w:r w:rsidR="00DE6D90" w:rsidRPr="00436BC4">
        <w:t>.</w:t>
      </w:r>
    </w:p>
    <w:p w14:paraId="12CD7FAD" w14:textId="6FB68B94" w:rsidR="000C0A12" w:rsidRPr="00436BC4" w:rsidRDefault="000C0A12" w:rsidP="000C0A12">
      <w:pPr>
        <w:ind w:hanging="480"/>
      </w:pPr>
      <w:r w:rsidRPr="00436BC4">
        <w:t xml:space="preserve">Cichon, Michael, ‘Eros and Error: Gross Sexual Transgression in the Fourth Branch of the Mabinogi’, in </w:t>
      </w:r>
      <w:r w:rsidRPr="00436BC4">
        <w:rPr>
          <w:i/>
          <w:iCs/>
        </w:rPr>
        <w:t>The Erotic in the Literature of Medieval Britain</w:t>
      </w:r>
      <w:r w:rsidRPr="00436BC4">
        <w:t>, ed. by Amanda Hopkins</w:t>
      </w:r>
      <w:r w:rsidR="00647410">
        <w:t>,</w:t>
      </w:r>
      <w:r w:rsidRPr="00436BC4">
        <w:t xml:space="preserve"> and Cory James Rushton (Boydell &amp; Brewer, 2007), pp. 105–15</w:t>
      </w:r>
      <w:r w:rsidR="00DE6D90" w:rsidRPr="00436BC4">
        <w:t>.</w:t>
      </w:r>
    </w:p>
    <w:p w14:paraId="7EAB8844" w14:textId="49159BCF" w:rsidR="00E51AF7" w:rsidRDefault="000C0A12" w:rsidP="00E51AF7">
      <w:pPr>
        <w:ind w:hanging="480"/>
        <w:rPr>
          <w:rFonts w:ascii="Times New Roman" w:eastAsia="Times New Roman" w:hAnsi="Times New Roman" w:cs="Times New Roman"/>
          <w:kern w:val="0"/>
          <w:sz w:val="24"/>
          <w:szCs w:val="24"/>
          <w:lang w:eastAsia="en-GB"/>
          <w14:ligatures w14:val="none"/>
        </w:rPr>
      </w:pPr>
      <w:r w:rsidRPr="00436BC4">
        <w:t xml:space="preserve">Constantine, Mary-Ann, ‘The Battle for the “Battle of the Trees”’, in </w:t>
      </w:r>
      <w:r w:rsidRPr="00436BC4">
        <w:rPr>
          <w:i/>
          <w:iCs/>
        </w:rPr>
        <w:t>Graves and the Goddess: Essays on Robert Graves’s The White Goddess</w:t>
      </w:r>
      <w:r w:rsidRPr="00436BC4">
        <w:t xml:space="preserve">, ed. by Ian </w:t>
      </w:r>
      <w:proofErr w:type="spellStart"/>
      <w:r w:rsidRPr="00436BC4">
        <w:t>Firla</w:t>
      </w:r>
      <w:proofErr w:type="spellEnd"/>
      <w:r w:rsidR="00647410">
        <w:t>,</w:t>
      </w:r>
      <w:r w:rsidRPr="00436BC4">
        <w:t xml:space="preserve"> and Grevel Lindop (Susquehanna University Press, 2003), pp. 40–51</w:t>
      </w:r>
      <w:r w:rsidR="00DE6D90" w:rsidRPr="00436BC4">
        <w:t>.</w:t>
      </w:r>
      <w:r w:rsidR="00E51AF7" w:rsidRPr="00E51AF7">
        <w:rPr>
          <w:rFonts w:ascii="Times New Roman" w:eastAsia="Times New Roman" w:hAnsi="Times New Roman" w:cs="Times New Roman"/>
          <w:kern w:val="0"/>
          <w:sz w:val="24"/>
          <w:szCs w:val="24"/>
          <w:lang w:eastAsia="en-GB"/>
          <w14:ligatures w14:val="none"/>
        </w:rPr>
        <w:t xml:space="preserve"> </w:t>
      </w:r>
    </w:p>
    <w:p w14:paraId="4A83C125" w14:textId="77777777" w:rsidR="00025110" w:rsidRPr="00436BC4" w:rsidRDefault="00025110" w:rsidP="00025110">
      <w:pPr>
        <w:ind w:hanging="480"/>
      </w:pPr>
      <w:r w:rsidRPr="00436BC4">
        <w:lastRenderedPageBreak/>
        <w:t>‘Critical Theory</w:t>
      </w:r>
      <w:r>
        <w:t>’</w:t>
      </w:r>
      <w:r w:rsidRPr="00436BC4">
        <w:t xml:space="preserve">, </w:t>
      </w:r>
      <w:r w:rsidRPr="00436BC4">
        <w:rPr>
          <w:i/>
          <w:iCs/>
        </w:rPr>
        <w:t>Encyclopaedia Britannica</w:t>
      </w:r>
      <w:r w:rsidRPr="00436BC4">
        <w:t>, 2024 &lt;</w:t>
      </w:r>
      <w:hyperlink r:id="rId14" w:history="1">
        <w:r w:rsidRPr="00436BC4">
          <w:rPr>
            <w:rStyle w:val="Hyperlink"/>
          </w:rPr>
          <w:t>https://www.britannica.com/topic/critical-theory</w:t>
        </w:r>
      </w:hyperlink>
      <w:r w:rsidRPr="00436BC4">
        <w:t>&gt;</w:t>
      </w:r>
      <w:r>
        <w:t xml:space="preserve"> </w:t>
      </w:r>
      <w:r w:rsidRPr="00B65E50">
        <w:t xml:space="preserve">[accessed 1 </w:t>
      </w:r>
      <w:r>
        <w:t>June</w:t>
      </w:r>
      <w:r w:rsidRPr="00B65E50">
        <w:t xml:space="preserve"> 2024]</w:t>
      </w:r>
    </w:p>
    <w:p w14:paraId="70C26222" w14:textId="73871163" w:rsidR="000C0A12" w:rsidRPr="00436BC4" w:rsidRDefault="00E51AF7" w:rsidP="00E51AF7">
      <w:pPr>
        <w:ind w:hanging="480"/>
      </w:pPr>
      <w:r w:rsidRPr="00E51AF7">
        <w:t xml:space="preserve">Daniel, Iestyn, ‘The Date, Origin and Authorship of “The Mabinogion” in the Light of </w:t>
      </w:r>
      <w:proofErr w:type="spellStart"/>
      <w:r w:rsidRPr="00E51AF7">
        <w:t>Ymborth</w:t>
      </w:r>
      <w:proofErr w:type="spellEnd"/>
      <w:r w:rsidRPr="00E51AF7">
        <w:t xml:space="preserve"> Yr Enaid’, </w:t>
      </w:r>
      <w:r w:rsidRPr="00E51AF7">
        <w:rPr>
          <w:i/>
          <w:iCs/>
        </w:rPr>
        <w:t>Journal of Celtic Studies</w:t>
      </w:r>
      <w:r w:rsidRPr="00E51AF7">
        <w:t>, 4 (2004), pp. 117–52</w:t>
      </w:r>
      <w:r>
        <w:t>.</w:t>
      </w:r>
    </w:p>
    <w:p w14:paraId="5A52E2C4" w14:textId="1C00C0C2" w:rsidR="00FB513C" w:rsidRDefault="000C0A12" w:rsidP="000C0A12">
      <w:pPr>
        <w:ind w:hanging="480"/>
      </w:pPr>
      <w:r w:rsidRPr="00436BC4">
        <w:t xml:space="preserve">Davies, Sioned, </w:t>
      </w:r>
      <w:r w:rsidR="00FB513C" w:rsidRPr="00B7137A">
        <w:t>‘</w:t>
      </w:r>
      <w:proofErr w:type="spellStart"/>
      <w:r w:rsidR="00FB513C" w:rsidRPr="00B7137A">
        <w:t>Pedeir</w:t>
      </w:r>
      <w:proofErr w:type="spellEnd"/>
      <w:r w:rsidR="00FB513C" w:rsidRPr="00B7137A">
        <w:t xml:space="preserve"> </w:t>
      </w:r>
      <w:proofErr w:type="spellStart"/>
      <w:r w:rsidR="00FB513C" w:rsidRPr="00B7137A">
        <w:t>Keink</w:t>
      </w:r>
      <w:proofErr w:type="spellEnd"/>
      <w:r w:rsidR="00FB513C" w:rsidRPr="00B7137A">
        <w:t xml:space="preserve"> y Mabinogi: A Case for </w:t>
      </w:r>
      <w:proofErr w:type="spellStart"/>
      <w:r w:rsidR="00FB513C" w:rsidRPr="00B7137A">
        <w:t>Mutiple</w:t>
      </w:r>
      <w:proofErr w:type="spellEnd"/>
      <w:r w:rsidR="00FB513C" w:rsidRPr="00B7137A">
        <w:t xml:space="preserve"> Authorship’, in </w:t>
      </w:r>
      <w:r w:rsidR="00FB513C" w:rsidRPr="00B7137A">
        <w:rPr>
          <w:i/>
          <w:iCs/>
        </w:rPr>
        <w:t>Celtic Languages and Celtic Peoples: Proceedings of the First North American Congress of Celtic Studies</w:t>
      </w:r>
      <w:r w:rsidR="00FB513C" w:rsidRPr="00B7137A">
        <w:t xml:space="preserve">, ed. by </w:t>
      </w:r>
      <w:proofErr w:type="spellStart"/>
      <w:r w:rsidR="00FB513C" w:rsidRPr="00B7137A">
        <w:t>Maclennan</w:t>
      </w:r>
      <w:proofErr w:type="spellEnd"/>
      <w:r w:rsidR="00FB513C" w:rsidRPr="00B7137A">
        <w:t xml:space="preserve"> (University of Ottawa, 1988), pp. 443–59</w:t>
      </w:r>
      <w:r w:rsidR="00FB513C">
        <w:t>.</w:t>
      </w:r>
    </w:p>
    <w:p w14:paraId="46E7DE3B" w14:textId="568BFEDB" w:rsidR="000C0A12" w:rsidRPr="00436BC4" w:rsidRDefault="00FB513C" w:rsidP="000C0A12">
      <w:pPr>
        <w:ind w:hanging="480"/>
      </w:pPr>
      <w:r w:rsidRPr="00436BC4">
        <w:t>———,</w:t>
      </w:r>
      <w:r w:rsidRPr="00B7137A">
        <w:t xml:space="preserve"> </w:t>
      </w:r>
      <w:r w:rsidR="000C0A12" w:rsidRPr="00436BC4">
        <w:rPr>
          <w:i/>
          <w:iCs/>
        </w:rPr>
        <w:t xml:space="preserve">The Four Branches of the Mabinogi, </w:t>
      </w:r>
      <w:proofErr w:type="spellStart"/>
      <w:r w:rsidR="000C0A12" w:rsidRPr="00436BC4">
        <w:rPr>
          <w:i/>
          <w:iCs/>
        </w:rPr>
        <w:t>Pedeir</w:t>
      </w:r>
      <w:proofErr w:type="spellEnd"/>
      <w:r w:rsidR="000C0A12" w:rsidRPr="00436BC4">
        <w:rPr>
          <w:i/>
          <w:iCs/>
        </w:rPr>
        <w:t xml:space="preserve"> </w:t>
      </w:r>
      <w:proofErr w:type="spellStart"/>
      <w:r w:rsidR="000C0A12" w:rsidRPr="00436BC4">
        <w:rPr>
          <w:i/>
          <w:iCs/>
        </w:rPr>
        <w:t>Keinc</w:t>
      </w:r>
      <w:proofErr w:type="spellEnd"/>
      <w:r w:rsidR="000C0A12" w:rsidRPr="00436BC4">
        <w:rPr>
          <w:i/>
          <w:iCs/>
        </w:rPr>
        <w:t xml:space="preserve"> y Mabinogi</w:t>
      </w:r>
      <w:r w:rsidR="000C0A12" w:rsidRPr="00436BC4">
        <w:t xml:space="preserve"> (</w:t>
      </w:r>
      <w:proofErr w:type="spellStart"/>
      <w:r w:rsidR="000C0A12" w:rsidRPr="00436BC4">
        <w:t>Gwasg</w:t>
      </w:r>
      <w:proofErr w:type="spellEnd"/>
      <w:r w:rsidR="000C0A12" w:rsidRPr="00436BC4">
        <w:t xml:space="preserve"> Gomer, 1993)</w:t>
      </w:r>
      <w:r w:rsidR="00DE6D90" w:rsidRPr="00436BC4">
        <w:t>.</w:t>
      </w:r>
    </w:p>
    <w:p w14:paraId="48456B0E" w14:textId="6ED6E684" w:rsidR="000C0A12" w:rsidRPr="00436BC4" w:rsidRDefault="000C0A12" w:rsidP="000C0A12">
      <w:pPr>
        <w:ind w:hanging="480"/>
      </w:pPr>
      <w:r w:rsidRPr="00436BC4">
        <w:t xml:space="preserve">———, </w:t>
      </w:r>
      <w:r w:rsidRPr="00436BC4">
        <w:rPr>
          <w:i/>
          <w:iCs/>
        </w:rPr>
        <w:t>The Mabinogion</w:t>
      </w:r>
      <w:r w:rsidRPr="00436BC4">
        <w:t xml:space="preserve"> (Oxford University Press, 2007)</w:t>
      </w:r>
      <w:r w:rsidR="00DE6D90" w:rsidRPr="00436BC4">
        <w:t>.</w:t>
      </w:r>
    </w:p>
    <w:p w14:paraId="798BF3F7" w14:textId="670EF228" w:rsidR="000C0A12" w:rsidRDefault="004961C4" w:rsidP="000C0A12">
      <w:pPr>
        <w:ind w:hanging="480"/>
      </w:pPr>
      <w:r w:rsidRPr="00436BC4">
        <w:t>———</w:t>
      </w:r>
      <w:r w:rsidR="000C0A12" w:rsidRPr="00436BC4">
        <w:t>, ‘“Venerable Relics”? Re-Visiting the Mabinogi’,</w:t>
      </w:r>
      <w:r w:rsidR="00802A3A">
        <w:t xml:space="preserve"> in </w:t>
      </w:r>
      <w:r w:rsidR="00802A3A" w:rsidRPr="00802A3A">
        <w:rPr>
          <w:i/>
          <w:iCs/>
        </w:rPr>
        <w:t>W</w:t>
      </w:r>
      <w:r w:rsidR="00802A3A">
        <w:rPr>
          <w:i/>
          <w:iCs/>
        </w:rPr>
        <w:t>riting Down the Myths,</w:t>
      </w:r>
      <w:r w:rsidR="000C0A12" w:rsidRPr="00436BC4">
        <w:t xml:space="preserve"> ed. by Joseph Falaky Nagy (</w:t>
      </w:r>
      <w:proofErr w:type="spellStart"/>
      <w:r w:rsidR="000C0A12" w:rsidRPr="00436BC4">
        <w:t>Brepols</w:t>
      </w:r>
      <w:proofErr w:type="spellEnd"/>
      <w:r w:rsidR="000C0A12" w:rsidRPr="00436BC4">
        <w:t>, 2013), pp. 157–79</w:t>
      </w:r>
      <w:r w:rsidR="00DE6D90" w:rsidRPr="00436BC4">
        <w:t>.</w:t>
      </w:r>
      <w:r w:rsidR="000C0A12" w:rsidRPr="00436BC4">
        <w:t xml:space="preserve"> </w:t>
      </w:r>
    </w:p>
    <w:p w14:paraId="446D30AD" w14:textId="7E092AD0" w:rsidR="00093A84" w:rsidRPr="00093A84" w:rsidRDefault="00093A84" w:rsidP="00093A84">
      <w:pPr>
        <w:ind w:hanging="480"/>
      </w:pPr>
      <w:r w:rsidRPr="00093A84">
        <w:t xml:space="preserve">———, ‘Written Text as Performance: The Implications for Middle Welsh Prose Narratives’, in </w:t>
      </w:r>
      <w:r w:rsidRPr="00093A84">
        <w:rPr>
          <w:i/>
          <w:iCs/>
        </w:rPr>
        <w:t>Literacy in Medieval Celtic Societies</w:t>
      </w:r>
      <w:r w:rsidRPr="00093A84">
        <w:t>, ed. by Huw Pryce (Cambridge University Press, 1998), pp. 133–48</w:t>
      </w:r>
      <w:r>
        <w:t>.</w:t>
      </w:r>
    </w:p>
    <w:p w14:paraId="78ABD242" w14:textId="4C874FB2" w:rsidR="000C0A12" w:rsidRPr="00436BC4" w:rsidRDefault="000C0A12" w:rsidP="000C0A12">
      <w:pPr>
        <w:ind w:hanging="480"/>
      </w:pPr>
      <w:r w:rsidRPr="00436BC4">
        <w:t xml:space="preserve">Dinshaw, Carolyn, </w:t>
      </w:r>
      <w:r w:rsidRPr="00436BC4">
        <w:rPr>
          <w:i/>
          <w:iCs/>
        </w:rPr>
        <w:t>Getting Medieval: Sexualities and Communities, Pre- and Postmodern</w:t>
      </w:r>
      <w:r w:rsidRPr="00436BC4">
        <w:t xml:space="preserve"> (Duke University Press, 1999)</w:t>
      </w:r>
      <w:r w:rsidR="00DE6D90" w:rsidRPr="00436BC4">
        <w:t>.</w:t>
      </w:r>
    </w:p>
    <w:p w14:paraId="72AE281B" w14:textId="422B55C0" w:rsidR="000C0A12" w:rsidRPr="00436BC4" w:rsidRDefault="000C0A12" w:rsidP="000C0A12">
      <w:pPr>
        <w:ind w:hanging="480"/>
      </w:pPr>
      <w:r w:rsidRPr="00436BC4">
        <w:t xml:space="preserve">Edelman, Lee, </w:t>
      </w:r>
      <w:r w:rsidRPr="00436BC4">
        <w:rPr>
          <w:i/>
          <w:iCs/>
        </w:rPr>
        <w:t>No Future: Queer Theory and the Death Drive</w:t>
      </w:r>
      <w:r w:rsidR="008A45F3">
        <w:t xml:space="preserve"> </w:t>
      </w:r>
      <w:r w:rsidRPr="00436BC4">
        <w:t>(Duke University Press, 2004)</w:t>
      </w:r>
      <w:r w:rsidR="00DE6D90" w:rsidRPr="00436BC4">
        <w:t>.</w:t>
      </w:r>
    </w:p>
    <w:p w14:paraId="1E459703" w14:textId="7D3E4F54" w:rsidR="000C0A12" w:rsidRPr="00436BC4" w:rsidRDefault="000C0A12" w:rsidP="000C0A12">
      <w:pPr>
        <w:ind w:hanging="480"/>
      </w:pPr>
      <w:r w:rsidRPr="00436BC4">
        <w:t xml:space="preserve">Ellis, T. P., ‘Legal References, Terms and Conceptions in the Mabinogion’, </w:t>
      </w:r>
      <w:r w:rsidRPr="00436BC4">
        <w:rPr>
          <w:i/>
          <w:iCs/>
        </w:rPr>
        <w:t xml:space="preserve">Y </w:t>
      </w:r>
      <w:proofErr w:type="spellStart"/>
      <w:r w:rsidRPr="00436BC4">
        <w:rPr>
          <w:i/>
          <w:iCs/>
        </w:rPr>
        <w:t>Cymmrodor</w:t>
      </w:r>
      <w:proofErr w:type="spellEnd"/>
      <w:r w:rsidRPr="00436BC4">
        <w:t xml:space="preserve">, 39 (1928), </w:t>
      </w:r>
      <w:r w:rsidR="00DE6D90" w:rsidRPr="00436BC4">
        <w:t xml:space="preserve">pp. </w:t>
      </w:r>
      <w:r w:rsidRPr="00436BC4">
        <w:t>86–148</w:t>
      </w:r>
      <w:r w:rsidR="00DE6D90" w:rsidRPr="00436BC4">
        <w:t>.</w:t>
      </w:r>
    </w:p>
    <w:p w14:paraId="6EBF03A9" w14:textId="4F6FFA48" w:rsidR="000C0A12" w:rsidRPr="00436BC4" w:rsidRDefault="000C0A12" w:rsidP="000C0A12">
      <w:pPr>
        <w:ind w:hanging="480"/>
      </w:pPr>
      <w:r w:rsidRPr="00436BC4">
        <w:t>E</w:t>
      </w:r>
      <w:r w:rsidR="00421A45" w:rsidRPr="00436BC4">
        <w:t>rickson</w:t>
      </w:r>
      <w:r w:rsidRPr="00436BC4">
        <w:t>, B</w:t>
      </w:r>
      <w:r w:rsidR="00421A45" w:rsidRPr="00436BC4">
        <w:t>ruce</w:t>
      </w:r>
      <w:r w:rsidRPr="00436BC4">
        <w:t xml:space="preserve">, ‘“Fucking Close to Water”:’, in </w:t>
      </w:r>
      <w:r w:rsidRPr="00436BC4">
        <w:rPr>
          <w:i/>
          <w:iCs/>
        </w:rPr>
        <w:t>Queer Ecologies</w:t>
      </w:r>
      <w:r w:rsidRPr="00436BC4">
        <w:t>, ed. by Catriona Mortimer-Sandilands and Bruce Erickson</w:t>
      </w:r>
      <w:r w:rsidR="00663835">
        <w:t xml:space="preserve"> </w:t>
      </w:r>
      <w:r w:rsidRPr="00436BC4">
        <w:t>(Indiana University Press, 2010), pp. 309–30</w:t>
      </w:r>
      <w:r w:rsidR="0016646E" w:rsidRPr="00436BC4">
        <w:t>.</w:t>
      </w:r>
      <w:r w:rsidRPr="00436BC4">
        <w:t xml:space="preserve"> </w:t>
      </w:r>
    </w:p>
    <w:p w14:paraId="5B09A625" w14:textId="5D89EE02" w:rsidR="00D5699B" w:rsidRPr="00D5699B" w:rsidRDefault="00D5699B" w:rsidP="00D5699B">
      <w:pPr>
        <w:ind w:hanging="480"/>
      </w:pPr>
      <w:r w:rsidRPr="00D5699B">
        <w:t>Fawaz, Ramzi, and Smalls, Shanté Paradigm</w:t>
      </w:r>
      <w:r>
        <w:t>,</w:t>
      </w:r>
      <w:r w:rsidRPr="00D5699B">
        <w:t xml:space="preserve"> ‘Queers Read This!: LGBTQ Literature Now’, </w:t>
      </w:r>
      <w:r w:rsidRPr="00D5699B">
        <w:rPr>
          <w:i/>
          <w:iCs/>
        </w:rPr>
        <w:t>GLQ: A Journal of Lesbian and Gay Studies</w:t>
      </w:r>
      <w:r w:rsidRPr="00D5699B">
        <w:t>, 24.2–3 (2018), pp. 169–87</w:t>
      </w:r>
      <w:r>
        <w:t>.</w:t>
      </w:r>
      <w:r w:rsidRPr="00D5699B">
        <w:t xml:space="preserve"> </w:t>
      </w:r>
    </w:p>
    <w:p w14:paraId="5DD769CF" w14:textId="79068A3E" w:rsidR="000C0A12" w:rsidRPr="00436BC4" w:rsidRDefault="000C0A12" w:rsidP="000C0A12">
      <w:pPr>
        <w:ind w:hanging="480"/>
      </w:pPr>
      <w:r w:rsidRPr="00436BC4">
        <w:t xml:space="preserve">Foucault, Michel, </w:t>
      </w:r>
      <w:r w:rsidRPr="00436BC4">
        <w:rPr>
          <w:i/>
          <w:iCs/>
        </w:rPr>
        <w:t>Ethics: Subjectivity and Truth: Essential Works of Michel Foucault 1954-1984</w:t>
      </w:r>
      <w:r w:rsidR="00C81112">
        <w:t>, ed. by Paul Rabinow</w:t>
      </w:r>
      <w:r w:rsidRPr="00436BC4">
        <w:t xml:space="preserve"> (Penguin UK, 2019)</w:t>
      </w:r>
      <w:r w:rsidR="0016646E" w:rsidRPr="00436BC4">
        <w:t>.</w:t>
      </w:r>
    </w:p>
    <w:p w14:paraId="2C0310DA" w14:textId="36C1BF2B" w:rsidR="000C0A12" w:rsidRPr="00436BC4" w:rsidRDefault="000C0A12" w:rsidP="000C0A12">
      <w:pPr>
        <w:ind w:hanging="480"/>
      </w:pPr>
      <w:r w:rsidRPr="00436BC4">
        <w:t xml:space="preserve">———, </w:t>
      </w:r>
      <w:r w:rsidRPr="00436BC4">
        <w:rPr>
          <w:i/>
          <w:iCs/>
        </w:rPr>
        <w:t>The History of Sexuality: 1: The Will to Knowledge</w:t>
      </w:r>
      <w:r w:rsidRPr="00436BC4">
        <w:t>, trans. by Robert Hurley (Harmondsworth: Penguin, 1998)</w:t>
      </w:r>
      <w:r w:rsidR="0016646E" w:rsidRPr="00436BC4">
        <w:t>.</w:t>
      </w:r>
    </w:p>
    <w:p w14:paraId="65E89A75" w14:textId="733AEDCD" w:rsidR="00F7483C" w:rsidRPr="00436BC4" w:rsidRDefault="00F7483C" w:rsidP="00F7483C">
      <w:pPr>
        <w:ind w:hanging="480"/>
      </w:pPr>
      <w:r w:rsidRPr="00436BC4">
        <w:t xml:space="preserve">Freeman, Elizabeth, </w:t>
      </w:r>
      <w:r w:rsidRPr="00436BC4">
        <w:rPr>
          <w:i/>
          <w:iCs/>
        </w:rPr>
        <w:t>Time Binds: Queer Temporalities, Queer Histories</w:t>
      </w:r>
      <w:r w:rsidRPr="00436BC4">
        <w:t xml:space="preserve"> (Duke University Press, 2010)</w:t>
      </w:r>
      <w:r w:rsidR="0016646E" w:rsidRPr="00436BC4">
        <w:t>.</w:t>
      </w:r>
    </w:p>
    <w:p w14:paraId="7CACD607" w14:textId="621E3F7E" w:rsidR="000C0A12" w:rsidRPr="00436BC4" w:rsidRDefault="000C0A12" w:rsidP="000C0A12">
      <w:pPr>
        <w:ind w:hanging="480"/>
      </w:pPr>
      <w:r w:rsidRPr="00436BC4">
        <w:t xml:space="preserve">George, Jessica, ‘Contesting Narrative Over the Body of Blodeuwedd: Gender, Nation, and Language in Adaptations of the Fourth Branch of the Mabinogi’, in </w:t>
      </w:r>
      <w:r w:rsidRPr="00436BC4">
        <w:rPr>
          <w:i/>
          <w:iCs/>
        </w:rPr>
        <w:t>Talking Bodies Vol. II: Bodily Languages, Selfhood and Transgression</w:t>
      </w:r>
      <w:r w:rsidRPr="00436BC4">
        <w:t>, ed. by Bodie A. Ashton, Amy Bonsall, and Jonathan Hay (Springer International Publishing, 2020), pp. 17–40</w:t>
      </w:r>
      <w:r w:rsidR="0016646E" w:rsidRPr="00436BC4">
        <w:t>.</w:t>
      </w:r>
    </w:p>
    <w:p w14:paraId="783B9B22" w14:textId="10F29B46" w:rsidR="000C0A12" w:rsidRPr="00436BC4" w:rsidRDefault="000C0A12" w:rsidP="000C0A12">
      <w:pPr>
        <w:ind w:hanging="480"/>
      </w:pPr>
      <w:r w:rsidRPr="00436BC4">
        <w:t xml:space="preserve">Gruffydd, W. J., </w:t>
      </w:r>
      <w:r w:rsidRPr="00436BC4">
        <w:rPr>
          <w:i/>
          <w:iCs/>
        </w:rPr>
        <w:t xml:space="preserve">Math </w:t>
      </w:r>
      <w:proofErr w:type="spellStart"/>
      <w:r w:rsidRPr="00436BC4">
        <w:rPr>
          <w:i/>
          <w:iCs/>
        </w:rPr>
        <w:t>Vab</w:t>
      </w:r>
      <w:proofErr w:type="spellEnd"/>
      <w:r w:rsidRPr="00436BC4">
        <w:rPr>
          <w:i/>
          <w:iCs/>
        </w:rPr>
        <w:t xml:space="preserve"> Mathonwy: An Inquiry into the Origins and Development of the Fourth Branch of the Mabinogi with the Text and a Translation.</w:t>
      </w:r>
      <w:r w:rsidRPr="00436BC4">
        <w:t xml:space="preserve"> (Cardiff: University of Wales Press, 1928)</w:t>
      </w:r>
      <w:r w:rsidR="0016646E" w:rsidRPr="00436BC4">
        <w:t>.</w:t>
      </w:r>
    </w:p>
    <w:p w14:paraId="21BB5187" w14:textId="2AC2DF05" w:rsidR="000C0A12" w:rsidRPr="00436BC4" w:rsidRDefault="000C0A12" w:rsidP="000C0A12">
      <w:pPr>
        <w:ind w:hanging="480"/>
      </w:pPr>
      <w:r w:rsidRPr="00436BC4">
        <w:t xml:space="preserve">Halberstam, J. Jack, </w:t>
      </w:r>
      <w:r w:rsidRPr="00436BC4">
        <w:rPr>
          <w:i/>
          <w:iCs/>
        </w:rPr>
        <w:t>In a Queer Time and Place: Transgender Bodies, Subcultural Lives</w:t>
      </w:r>
      <w:r w:rsidRPr="00436BC4">
        <w:t xml:space="preserve"> (NYU Press, 2005)</w:t>
      </w:r>
      <w:r w:rsidR="0016646E" w:rsidRPr="00436BC4">
        <w:t>.</w:t>
      </w:r>
    </w:p>
    <w:p w14:paraId="76692D85" w14:textId="62D2119C" w:rsidR="00267139" w:rsidRPr="00436BC4" w:rsidRDefault="00267139" w:rsidP="00267139">
      <w:pPr>
        <w:ind w:hanging="480"/>
      </w:pPr>
      <w:r w:rsidRPr="00436BC4">
        <w:t xml:space="preserve">——— </w:t>
      </w:r>
      <w:r w:rsidR="00F32820">
        <w:t>,</w:t>
      </w:r>
      <w:r w:rsidRPr="00436BC4">
        <w:t xml:space="preserve">‘The Anti-Social Turn in Queer Studies’, </w:t>
      </w:r>
      <w:r w:rsidRPr="00436BC4">
        <w:rPr>
          <w:i/>
          <w:iCs/>
        </w:rPr>
        <w:t>Graduate Journal of Social Science</w:t>
      </w:r>
      <w:r w:rsidRPr="00436BC4">
        <w:t>, 5.2 (2008)</w:t>
      </w:r>
      <w:r w:rsidR="009A1A95">
        <w:t xml:space="preserve">, pp.140-156 </w:t>
      </w:r>
      <w:r w:rsidRPr="00436BC4">
        <w:t>.</w:t>
      </w:r>
    </w:p>
    <w:p w14:paraId="1183F563" w14:textId="372ABE31" w:rsidR="000C0A12" w:rsidRPr="00436BC4" w:rsidRDefault="000C0A12" w:rsidP="000C0A12">
      <w:pPr>
        <w:ind w:hanging="480"/>
      </w:pPr>
      <w:r w:rsidRPr="00436BC4">
        <w:t xml:space="preserve">Halperin, David, ‘The Normalization of Queer Theory’, </w:t>
      </w:r>
      <w:r w:rsidRPr="00436BC4">
        <w:rPr>
          <w:i/>
          <w:iCs/>
        </w:rPr>
        <w:t>Journal of Homosexuality</w:t>
      </w:r>
      <w:r w:rsidRPr="00436BC4">
        <w:t xml:space="preserve">, 45.2–4 (2003), </w:t>
      </w:r>
      <w:r w:rsidR="0016646E" w:rsidRPr="00436BC4">
        <w:t xml:space="preserve">pp. </w:t>
      </w:r>
      <w:r w:rsidRPr="00436BC4">
        <w:t>339</w:t>
      </w:r>
      <w:r w:rsidR="009A1A95">
        <w:t>-</w:t>
      </w:r>
      <w:r w:rsidRPr="00436BC4">
        <w:t>43</w:t>
      </w:r>
      <w:r w:rsidR="0016646E" w:rsidRPr="00436BC4">
        <w:t>.</w:t>
      </w:r>
      <w:r w:rsidRPr="00436BC4">
        <w:t xml:space="preserve"> </w:t>
      </w:r>
    </w:p>
    <w:p w14:paraId="0052F55A" w14:textId="2C911AEA" w:rsidR="000C0A12" w:rsidRPr="00436BC4" w:rsidRDefault="000C0A12" w:rsidP="000C0A12">
      <w:pPr>
        <w:ind w:hanging="480"/>
      </w:pPr>
      <w:r w:rsidRPr="00436BC4">
        <w:lastRenderedPageBreak/>
        <w:t>Hannah, Daniel, ‘Queer Loss: Felicia Hemans, (Trans)</w:t>
      </w:r>
      <w:r w:rsidR="007F7740">
        <w:t xml:space="preserve"> </w:t>
      </w:r>
      <w:r w:rsidRPr="00436BC4">
        <w:t xml:space="preserve">Nationalisms and the Welsh Bard’, in </w:t>
      </w:r>
      <w:r w:rsidRPr="00436BC4">
        <w:rPr>
          <w:i/>
          <w:iCs/>
        </w:rPr>
        <w:t>Queer Wales : The History, Culture and Politics of Queer Life in Wales</w:t>
      </w:r>
      <w:r w:rsidR="007F7740">
        <w:rPr>
          <w:i/>
          <w:iCs/>
        </w:rPr>
        <w:t xml:space="preserve">, </w:t>
      </w:r>
      <w:r w:rsidR="007F7740">
        <w:t>ed. by Huw Osborne</w:t>
      </w:r>
      <w:r w:rsidRPr="00436BC4">
        <w:t xml:space="preserve"> (University of Wales Press, 2016), pp. 15–28</w:t>
      </w:r>
      <w:r w:rsidR="0016646E" w:rsidRPr="00436BC4">
        <w:t>.</w:t>
      </w:r>
    </w:p>
    <w:p w14:paraId="725D6FDB" w14:textId="408E5345" w:rsidR="00C6564C" w:rsidRDefault="00C6564C" w:rsidP="00C6564C">
      <w:pPr>
        <w:ind w:hanging="480"/>
      </w:pPr>
      <w:r w:rsidRPr="00C6564C">
        <w:t xml:space="preserve">Hemming, Jessica, ‘Review of Breeze (1997)’, </w:t>
      </w:r>
      <w:r w:rsidRPr="00C6564C">
        <w:rPr>
          <w:i/>
          <w:iCs/>
        </w:rPr>
        <w:t>Early Medieval Europe</w:t>
      </w:r>
      <w:r w:rsidRPr="00C6564C">
        <w:t>, 8 (1999), pp. 149</w:t>
      </w:r>
      <w:r w:rsidR="00EB1191">
        <w:t>-</w:t>
      </w:r>
      <w:r w:rsidRPr="00C6564C">
        <w:t>50</w:t>
      </w:r>
      <w:r>
        <w:t>.</w:t>
      </w:r>
    </w:p>
    <w:p w14:paraId="492C0449" w14:textId="0DD64B73" w:rsidR="000C0A12" w:rsidRPr="00436BC4" w:rsidRDefault="000C0A12" w:rsidP="000C0A12">
      <w:pPr>
        <w:ind w:hanging="480"/>
      </w:pPr>
      <w:r w:rsidRPr="00436BC4">
        <w:t xml:space="preserve">Huws, Daniel, ‘Llyfr Gwyn Rhydderch’, in </w:t>
      </w:r>
      <w:r w:rsidRPr="00436BC4">
        <w:rPr>
          <w:i/>
          <w:iCs/>
        </w:rPr>
        <w:t>Medieval Welsh Manuscripts</w:t>
      </w:r>
      <w:r w:rsidRPr="00436BC4">
        <w:t xml:space="preserve"> </w:t>
      </w:r>
      <w:r w:rsidR="000E0B80" w:rsidRPr="00436BC4">
        <w:t>(</w:t>
      </w:r>
      <w:r w:rsidRPr="00436BC4">
        <w:t>2000</w:t>
      </w:r>
      <w:r w:rsidR="000E0B80" w:rsidRPr="00436BC4">
        <w:t>)</w:t>
      </w:r>
      <w:r w:rsidR="005E3ED8">
        <w:t>, pp. 227-268</w:t>
      </w:r>
      <w:r w:rsidR="0016646E" w:rsidRPr="00436BC4">
        <w:t>.</w:t>
      </w:r>
      <w:r w:rsidRPr="00436BC4">
        <w:t xml:space="preserve"> </w:t>
      </w:r>
    </w:p>
    <w:p w14:paraId="35923B9D" w14:textId="3CAAC5A9" w:rsidR="000C0A12" w:rsidRPr="00436BC4" w:rsidRDefault="000C0A12" w:rsidP="000C0A12">
      <w:pPr>
        <w:ind w:hanging="480"/>
      </w:pPr>
      <w:r w:rsidRPr="00436BC4">
        <w:t xml:space="preserve">Jenkins, Dafydd, </w:t>
      </w:r>
      <w:r w:rsidRPr="00436BC4">
        <w:rPr>
          <w:i/>
          <w:iCs/>
        </w:rPr>
        <w:t>The Law of Hywel Dda: Law Texts from Medieval Wales</w:t>
      </w:r>
      <w:r w:rsidRPr="00436BC4">
        <w:t xml:space="preserve"> (Gomer Press, 1986)</w:t>
      </w:r>
      <w:r w:rsidR="000E0B80" w:rsidRPr="00436BC4">
        <w:t>.</w:t>
      </w:r>
    </w:p>
    <w:p w14:paraId="34C7A61E" w14:textId="677A69AA" w:rsidR="000C0A12" w:rsidRPr="00436BC4" w:rsidRDefault="000C0A12" w:rsidP="000C0A12">
      <w:pPr>
        <w:ind w:hanging="480"/>
      </w:pPr>
      <w:r w:rsidRPr="00436BC4">
        <w:t>Kapphahn, K</w:t>
      </w:r>
      <w:r w:rsidR="00170937">
        <w:t>.</w:t>
      </w:r>
      <w:r w:rsidRPr="00436BC4">
        <w:t xml:space="preserve"> R</w:t>
      </w:r>
      <w:r w:rsidR="00170937">
        <w:t>.</w:t>
      </w:r>
      <w:r w:rsidRPr="00436BC4">
        <w:t xml:space="preserve"> L</w:t>
      </w:r>
      <w:r w:rsidR="00170937">
        <w:t>.</w:t>
      </w:r>
      <w:r w:rsidRPr="00436BC4">
        <w:t>, ‘Constructions of Gender in Medieval Welsh Literature’ (</w:t>
      </w:r>
      <w:r w:rsidR="003B54DB" w:rsidRPr="003B54DB">
        <w:t xml:space="preserve">unpublished </w:t>
      </w:r>
      <w:r w:rsidR="003B54DB">
        <w:t xml:space="preserve">master’s </w:t>
      </w:r>
      <w:r w:rsidR="003B54DB" w:rsidRPr="003B54DB">
        <w:t xml:space="preserve">thesis, University of </w:t>
      </w:r>
      <w:r w:rsidRPr="00436BC4">
        <w:t>Aberystwyth University, 2009)</w:t>
      </w:r>
      <w:r w:rsidR="000E0B80" w:rsidRPr="00436BC4">
        <w:t>.</w:t>
      </w:r>
    </w:p>
    <w:p w14:paraId="6A3CA8E8" w14:textId="501241FD" w:rsidR="000C0A12" w:rsidRPr="00436BC4" w:rsidRDefault="000C0A12" w:rsidP="000C0A12">
      <w:pPr>
        <w:ind w:hanging="480"/>
      </w:pPr>
      <w:r w:rsidRPr="00436BC4">
        <w:t xml:space="preserve"> </w:t>
      </w:r>
      <w:r w:rsidR="00124BA7" w:rsidRPr="00436BC4">
        <w:t xml:space="preserve">———, </w:t>
      </w:r>
      <w:r w:rsidRPr="00436BC4">
        <w:t>‘Gender and Genre in Welsh Arthurian Literature’ (</w:t>
      </w:r>
      <w:r w:rsidR="004C797B">
        <w:t xml:space="preserve">unpublished </w:t>
      </w:r>
      <w:r w:rsidR="003B54DB">
        <w:t>doctoral</w:t>
      </w:r>
      <w:r w:rsidR="003B54DB" w:rsidRPr="003B54DB">
        <w:t xml:space="preserve"> </w:t>
      </w:r>
      <w:r w:rsidR="004C797B">
        <w:t xml:space="preserve">thesis, University of </w:t>
      </w:r>
      <w:r w:rsidRPr="00436BC4">
        <w:t>Aberystwyth, 2015)</w:t>
      </w:r>
      <w:r w:rsidR="000E0B80" w:rsidRPr="00436BC4">
        <w:t>.</w:t>
      </w:r>
      <w:r w:rsidRPr="00436BC4">
        <w:t xml:space="preserve"> </w:t>
      </w:r>
    </w:p>
    <w:p w14:paraId="1C89FF1A" w14:textId="4DAB63E9" w:rsidR="000C0A12" w:rsidRPr="00436BC4" w:rsidRDefault="000C0A12" w:rsidP="000C0A12">
      <w:pPr>
        <w:ind w:hanging="480"/>
      </w:pPr>
      <w:r w:rsidRPr="00436BC4">
        <w:t xml:space="preserve">de Lauretis, Teresa, ‘Queer Theory: Lesbian and Gay Sexualities An Introduction’, </w:t>
      </w:r>
      <w:r w:rsidRPr="00436BC4">
        <w:rPr>
          <w:i/>
          <w:iCs/>
        </w:rPr>
        <w:t>Differences</w:t>
      </w:r>
      <w:r w:rsidRPr="00436BC4">
        <w:t>, 3.2 (1991), iii–xviii</w:t>
      </w:r>
      <w:r w:rsidR="000E0B80" w:rsidRPr="00436BC4">
        <w:t>.</w:t>
      </w:r>
    </w:p>
    <w:p w14:paraId="116A1D52" w14:textId="159462ED" w:rsidR="0016646E" w:rsidRPr="00436BC4" w:rsidRDefault="0016646E" w:rsidP="0016646E">
      <w:pPr>
        <w:ind w:hanging="480"/>
      </w:pPr>
      <w:r w:rsidRPr="00436BC4">
        <w:t>‘</w:t>
      </w:r>
      <w:proofErr w:type="spellStart"/>
      <w:r w:rsidRPr="00436BC4">
        <w:t>Llyfr</w:t>
      </w:r>
      <w:proofErr w:type="spellEnd"/>
      <w:r w:rsidRPr="00436BC4">
        <w:t xml:space="preserve"> Coch Hergest’, 1382, Jesus College, University of Oxford</w:t>
      </w:r>
      <w:r w:rsidR="00AA2EB4">
        <w:t>, MS 111,</w:t>
      </w:r>
      <w:r w:rsidRPr="00436BC4">
        <w:t xml:space="preserve"> &lt;</w:t>
      </w:r>
      <w:hyperlink r:id="rId15" w:history="1">
        <w:r w:rsidR="00CA7E84" w:rsidRPr="00901CB7">
          <w:rPr>
            <w:rStyle w:val="Hyperlink"/>
          </w:rPr>
          <w:t>https://digital.bodleian.ox.ac.uk/objects/9bf187bf-f862-4453-bc4f-851f6d3948af/</w:t>
        </w:r>
      </w:hyperlink>
      <w:r w:rsidR="00CA7E84">
        <w:t>&gt;</w:t>
      </w:r>
    </w:p>
    <w:p w14:paraId="4718088F" w14:textId="015F9545" w:rsidR="000E0B80" w:rsidRPr="00436BC4" w:rsidRDefault="000E0B80" w:rsidP="000E0B80">
      <w:pPr>
        <w:ind w:hanging="480"/>
      </w:pPr>
      <w:r w:rsidRPr="00436BC4">
        <w:t xml:space="preserve">‘Llyfr Gwyn Rhydderch’, 1325, </w:t>
      </w:r>
      <w:proofErr w:type="spellStart"/>
      <w:r w:rsidRPr="00436BC4">
        <w:t>Llyfrgell</w:t>
      </w:r>
      <w:proofErr w:type="spellEnd"/>
      <w:r w:rsidRPr="00436BC4">
        <w:t xml:space="preserve"> </w:t>
      </w:r>
      <w:proofErr w:type="spellStart"/>
      <w:r w:rsidRPr="00436BC4">
        <w:t>Genedlaethol</w:t>
      </w:r>
      <w:proofErr w:type="spellEnd"/>
      <w:r w:rsidRPr="00436BC4">
        <w:t xml:space="preserve"> Cymru – The National Library of Wales, </w:t>
      </w:r>
      <w:proofErr w:type="spellStart"/>
      <w:r w:rsidRPr="00436BC4">
        <w:t>Peniarth</w:t>
      </w:r>
      <w:proofErr w:type="spellEnd"/>
      <w:r w:rsidRPr="00436BC4">
        <w:t xml:space="preserve"> MS 4</w:t>
      </w:r>
      <w:r w:rsidR="00AA2EB4">
        <w:t xml:space="preserve">, </w:t>
      </w:r>
      <w:r w:rsidRPr="00436BC4">
        <w:t>&lt;</w:t>
      </w:r>
      <w:hyperlink r:id="rId16" w:history="1">
        <w:r w:rsidRPr="00436BC4">
          <w:rPr>
            <w:rStyle w:val="Hyperlink"/>
          </w:rPr>
          <w:t>http://hdl.handle.net/10107/4396205</w:t>
        </w:r>
      </w:hyperlink>
      <w:r w:rsidRPr="00436BC4">
        <w:t>&gt;</w:t>
      </w:r>
      <w:r w:rsidR="00CA7E84">
        <w:t xml:space="preserve"> </w:t>
      </w:r>
    </w:p>
    <w:p w14:paraId="4700B244" w14:textId="0B729DAF" w:rsidR="000C0A12" w:rsidRPr="00436BC4" w:rsidRDefault="000C0A12" w:rsidP="000C0A12">
      <w:pPr>
        <w:ind w:hanging="480"/>
      </w:pPr>
      <w:r w:rsidRPr="00436BC4">
        <w:t xml:space="preserve">Mac Cana, Proinsias, </w:t>
      </w:r>
      <w:r w:rsidRPr="00436BC4">
        <w:rPr>
          <w:i/>
          <w:iCs/>
        </w:rPr>
        <w:t>Branwen, Daughter of Llyr: A Study of the Irish Affinities and of the Composition of the Second Branch of the Mabinogi</w:t>
      </w:r>
      <w:r w:rsidRPr="00436BC4">
        <w:t xml:space="preserve"> (Cardiff: Wales UP, 1958)</w:t>
      </w:r>
      <w:r w:rsidR="000E0B80" w:rsidRPr="00436BC4">
        <w:t>.</w:t>
      </w:r>
    </w:p>
    <w:p w14:paraId="00C3A543" w14:textId="4324CEE4" w:rsidR="000C0A12" w:rsidRPr="00436BC4" w:rsidRDefault="000C0A12" w:rsidP="000C0A12">
      <w:pPr>
        <w:ind w:hanging="480"/>
      </w:pPr>
      <w:r w:rsidRPr="00436BC4">
        <w:t xml:space="preserve">———, </w:t>
      </w:r>
      <w:r w:rsidRPr="00436BC4">
        <w:rPr>
          <w:i/>
          <w:iCs/>
        </w:rPr>
        <w:t>The Mabinogi</w:t>
      </w:r>
      <w:r w:rsidRPr="00436BC4">
        <w:t>, Writers of Wales, 2nd ed. (Cardiff: University of Wales Press, 1992)</w:t>
      </w:r>
      <w:r w:rsidR="000E0B80" w:rsidRPr="00436BC4">
        <w:t>.</w:t>
      </w:r>
    </w:p>
    <w:p w14:paraId="527632AB" w14:textId="0DBA0057" w:rsidR="00820D21" w:rsidRPr="00820D21" w:rsidRDefault="00820D21" w:rsidP="00820D21">
      <w:pPr>
        <w:ind w:hanging="480"/>
      </w:pPr>
      <w:r w:rsidRPr="00820D21">
        <w:t xml:space="preserve">McCann, Hannah, </w:t>
      </w:r>
      <w:r w:rsidRPr="00820D21">
        <w:rPr>
          <w:i/>
          <w:iCs/>
        </w:rPr>
        <w:t xml:space="preserve">Queering </w:t>
      </w:r>
      <w:r w:rsidR="003D6E34" w:rsidRPr="00820D21">
        <w:rPr>
          <w:i/>
          <w:iCs/>
        </w:rPr>
        <w:t>Femininity</w:t>
      </w:r>
      <w:r w:rsidRPr="00820D21">
        <w:rPr>
          <w:i/>
          <w:iCs/>
        </w:rPr>
        <w:t>: Sexuality, Feminism and the Politics of Presentation</w:t>
      </w:r>
      <w:r w:rsidRPr="00820D21">
        <w:t xml:space="preserve"> (Routledge, 2018)</w:t>
      </w:r>
      <w:r>
        <w:t>.</w:t>
      </w:r>
    </w:p>
    <w:p w14:paraId="16308DEF" w14:textId="0A83BB7E" w:rsidR="000C0A12" w:rsidRPr="00436BC4" w:rsidRDefault="000C0A12" w:rsidP="000C0A12">
      <w:pPr>
        <w:ind w:hanging="480"/>
      </w:pPr>
      <w:r w:rsidRPr="00436BC4">
        <w:t>McCann, Hannah, and Monaghan</w:t>
      </w:r>
      <w:r w:rsidR="0032666C" w:rsidRPr="00436BC4">
        <w:t>, Whitney</w:t>
      </w:r>
      <w:r w:rsidRPr="00436BC4">
        <w:t xml:space="preserve">, </w:t>
      </w:r>
      <w:r w:rsidRPr="00436BC4">
        <w:rPr>
          <w:i/>
          <w:iCs/>
        </w:rPr>
        <w:t>Queer Theory Now: From Foundations to Futures</w:t>
      </w:r>
      <w:r w:rsidRPr="00436BC4">
        <w:t xml:space="preserve">, 1st ed. edition (Red Globe Press, </w:t>
      </w:r>
      <w:r w:rsidR="00CA7E84">
        <w:t>2020</w:t>
      </w:r>
      <w:r w:rsidRPr="00436BC4">
        <w:t>)</w:t>
      </w:r>
      <w:r w:rsidR="000E0B80" w:rsidRPr="00436BC4">
        <w:t>.</w:t>
      </w:r>
    </w:p>
    <w:p w14:paraId="2ACC5381" w14:textId="5833A41E" w:rsidR="000C0A12" w:rsidRPr="00436BC4" w:rsidRDefault="000C0A12" w:rsidP="000C0A12">
      <w:pPr>
        <w:ind w:hanging="480"/>
      </w:pPr>
      <w:r w:rsidRPr="00436BC4">
        <w:t xml:space="preserve">Millersdaughter, Katherine, ‘The Geopolitics of Incest: Sex, Gender and Violence in the Fourth Branch of the Mabinogi’, </w:t>
      </w:r>
      <w:proofErr w:type="spellStart"/>
      <w:r w:rsidRPr="00436BC4">
        <w:rPr>
          <w:i/>
          <w:iCs/>
        </w:rPr>
        <w:t>Exemplaria</w:t>
      </w:r>
      <w:proofErr w:type="spellEnd"/>
      <w:r w:rsidRPr="00436BC4">
        <w:t xml:space="preserve">, 14.2 (2002), </w:t>
      </w:r>
      <w:r w:rsidR="000E0B80" w:rsidRPr="00436BC4">
        <w:t xml:space="preserve">pp. </w:t>
      </w:r>
      <w:r w:rsidRPr="00436BC4">
        <w:t>271–316</w:t>
      </w:r>
      <w:r w:rsidR="000E0B80" w:rsidRPr="00436BC4">
        <w:t>.</w:t>
      </w:r>
      <w:r w:rsidRPr="00436BC4">
        <w:t xml:space="preserve"> </w:t>
      </w:r>
    </w:p>
    <w:p w14:paraId="23320956" w14:textId="681299AE" w:rsidR="006D42E1" w:rsidRDefault="000C0A12" w:rsidP="006D42E1">
      <w:pPr>
        <w:ind w:hanging="480"/>
      </w:pPr>
      <w:r w:rsidRPr="00436BC4">
        <w:t xml:space="preserve">Monaghan, Whitney, </w:t>
      </w:r>
      <w:r w:rsidRPr="00436BC4">
        <w:rPr>
          <w:i/>
          <w:iCs/>
        </w:rPr>
        <w:t>Queer Girls, Temporality and Screen Media: Not ‘Just a Phase’</w:t>
      </w:r>
      <w:r w:rsidRPr="00436BC4">
        <w:t>, 1st ed. (Palgrave Macmillan, 2016)</w:t>
      </w:r>
      <w:r w:rsidR="000E0B80" w:rsidRPr="00436BC4">
        <w:t>.</w:t>
      </w:r>
      <w:r w:rsidR="006D42E1" w:rsidRPr="006D42E1">
        <w:t xml:space="preserve"> </w:t>
      </w:r>
    </w:p>
    <w:p w14:paraId="7BAC35C8" w14:textId="519CDD84" w:rsidR="000C0A12" w:rsidRPr="00436BC4" w:rsidRDefault="006D42E1" w:rsidP="006D42E1">
      <w:pPr>
        <w:ind w:hanging="480"/>
      </w:pPr>
      <w:r w:rsidRPr="00436BC4">
        <w:t>Morgan, Prys</w:t>
      </w:r>
      <w:r>
        <w:t>,</w:t>
      </w:r>
      <w:r w:rsidRPr="00436BC4">
        <w:t xml:space="preserve"> ‘From a Death to a View: The Hunt for the Welsh Past in the Romantic Period’, in </w:t>
      </w:r>
      <w:r w:rsidRPr="00436BC4">
        <w:rPr>
          <w:i/>
          <w:iCs/>
        </w:rPr>
        <w:t>The Invention of Tradition</w:t>
      </w:r>
      <w:r w:rsidRPr="00436BC4">
        <w:t>, ed. by Eric Hobsbawm and Terence Ranger (Cambridge University Press, 2012), pp. 43–100.</w:t>
      </w:r>
    </w:p>
    <w:p w14:paraId="18982328" w14:textId="3C841116" w:rsidR="000C0A12" w:rsidRPr="00436BC4" w:rsidRDefault="000C0A12" w:rsidP="000C0A12">
      <w:pPr>
        <w:ind w:hanging="480"/>
      </w:pPr>
      <w:r w:rsidRPr="00436BC4">
        <w:t xml:space="preserve">Nagy, Joseph Falaky, ‘Medieval Welsh Literature. Andrew Breeze’, </w:t>
      </w:r>
      <w:r w:rsidRPr="00436BC4">
        <w:rPr>
          <w:i/>
          <w:iCs/>
        </w:rPr>
        <w:t>Speculum</w:t>
      </w:r>
      <w:r w:rsidRPr="00436BC4">
        <w:t>, 77.1 (2002), 146–47</w:t>
      </w:r>
      <w:r w:rsidR="000E0B80" w:rsidRPr="00436BC4">
        <w:t>.</w:t>
      </w:r>
    </w:p>
    <w:p w14:paraId="1F8985C8" w14:textId="120783A5" w:rsidR="000C0A12" w:rsidRPr="00436BC4" w:rsidRDefault="000C0A12" w:rsidP="000C0A12">
      <w:pPr>
        <w:ind w:hanging="480"/>
      </w:pPr>
      <w:r w:rsidRPr="00436BC4">
        <w:t xml:space="preserve">Owen, Morfydd E., ‘Shame and Reparation: Women’s Place in the Kin’, in </w:t>
      </w:r>
      <w:r w:rsidRPr="00436BC4">
        <w:rPr>
          <w:i/>
          <w:iCs/>
        </w:rPr>
        <w:t>The Welsh Law of Women</w:t>
      </w:r>
      <w:r w:rsidRPr="00436BC4">
        <w:t>, ed. by Dafydd Jenkins and Morfydd E. Owen (University of Wales Press, 1980), pp. 40–68</w:t>
      </w:r>
      <w:r w:rsidR="000E0B80" w:rsidRPr="00436BC4">
        <w:t>.</w:t>
      </w:r>
    </w:p>
    <w:p w14:paraId="575B4F75" w14:textId="4374790C" w:rsidR="000C0A12" w:rsidRPr="00436BC4" w:rsidRDefault="000C0A12" w:rsidP="000C0A12">
      <w:pPr>
        <w:ind w:hanging="480"/>
      </w:pPr>
      <w:r w:rsidRPr="00436BC4">
        <w:t xml:space="preserve">Pereira, Gabriela </w:t>
      </w:r>
      <w:proofErr w:type="spellStart"/>
      <w:r w:rsidRPr="00436BC4">
        <w:t>Pirotti</w:t>
      </w:r>
      <w:proofErr w:type="spellEnd"/>
      <w:r w:rsidRPr="00436BC4">
        <w:t xml:space="preserve">, ‘To Take On the Nature of Wild Animals: Elements of Biological Horror in the Fourth Branch of the Mabinogi’, </w:t>
      </w:r>
      <w:proofErr w:type="spellStart"/>
      <w:r w:rsidRPr="00436BC4">
        <w:rPr>
          <w:i/>
          <w:iCs/>
        </w:rPr>
        <w:t>Revista</w:t>
      </w:r>
      <w:proofErr w:type="spellEnd"/>
      <w:r w:rsidRPr="00436BC4">
        <w:rPr>
          <w:i/>
          <w:iCs/>
        </w:rPr>
        <w:t xml:space="preserve"> Da </w:t>
      </w:r>
      <w:proofErr w:type="spellStart"/>
      <w:r w:rsidRPr="00436BC4">
        <w:rPr>
          <w:i/>
          <w:iCs/>
        </w:rPr>
        <w:t>Anpoll</w:t>
      </w:r>
      <w:proofErr w:type="spellEnd"/>
      <w:r w:rsidRPr="00436BC4">
        <w:t xml:space="preserve">, 51.3 (2020), </w:t>
      </w:r>
      <w:r w:rsidR="000E0B80" w:rsidRPr="00436BC4">
        <w:t>pp.</w:t>
      </w:r>
      <w:r w:rsidRPr="00436BC4">
        <w:t>74–83</w:t>
      </w:r>
      <w:r w:rsidR="000E0B80" w:rsidRPr="00436BC4">
        <w:t>.</w:t>
      </w:r>
    </w:p>
    <w:p w14:paraId="2E067508" w14:textId="3BA9CE74" w:rsidR="000C0A12" w:rsidRPr="00436BC4" w:rsidRDefault="000C0A12" w:rsidP="000C0A12">
      <w:pPr>
        <w:ind w:hanging="480"/>
      </w:pPr>
      <w:r w:rsidRPr="00436BC4">
        <w:t>‘</w:t>
      </w:r>
      <w:r w:rsidRPr="00436BC4">
        <w:rPr>
          <w:i/>
          <w:iCs/>
        </w:rPr>
        <w:t>Queer</w:t>
      </w:r>
      <w:r w:rsidRPr="00436BC4">
        <w:t xml:space="preserve">’, </w:t>
      </w:r>
      <w:r w:rsidRPr="00436BC4">
        <w:rPr>
          <w:i/>
          <w:iCs/>
        </w:rPr>
        <w:t>Wikipedia</w:t>
      </w:r>
      <w:r w:rsidRPr="00436BC4">
        <w:t>, 2023 &lt;</w:t>
      </w:r>
      <w:hyperlink r:id="rId17" w:history="1">
        <w:r w:rsidRPr="00436BC4">
          <w:rPr>
            <w:rStyle w:val="Hyperlink"/>
          </w:rPr>
          <w:t>https://en.wikipedia.org/w/index.php?title=Queer&amp;oldid=1167989868</w:t>
        </w:r>
      </w:hyperlink>
      <w:r w:rsidRPr="00436BC4">
        <w:t xml:space="preserve">&gt; [accessed 11 </w:t>
      </w:r>
      <w:r w:rsidR="00025110">
        <w:t>June</w:t>
      </w:r>
      <w:r w:rsidRPr="00436BC4">
        <w:t xml:space="preserve"> 2023]</w:t>
      </w:r>
      <w:r w:rsidR="000E0B80" w:rsidRPr="00436BC4">
        <w:t>.</w:t>
      </w:r>
    </w:p>
    <w:p w14:paraId="48C48248" w14:textId="558EE88D" w:rsidR="000C0A12" w:rsidRPr="00436BC4" w:rsidRDefault="000C0A12" w:rsidP="000C0A12">
      <w:pPr>
        <w:ind w:hanging="480"/>
      </w:pPr>
      <w:r w:rsidRPr="00436BC4">
        <w:lastRenderedPageBreak/>
        <w:t xml:space="preserve">Russo, Luciana Cordo, ‘Sin, Punishment, and Magic: Changing Form in Medieval Welsh Literature’, in </w:t>
      </w:r>
      <w:r w:rsidRPr="00436BC4">
        <w:rPr>
          <w:i/>
          <w:iCs/>
        </w:rPr>
        <w:t>Shapeshifters in Medieval North Atlantic Literature</w:t>
      </w:r>
      <w:r w:rsidRPr="00436BC4">
        <w:t>, ed. by Luciana Cordo Russo and Santiago Barreiro (Amsterdam University Press, 2019), pp. 155–84</w:t>
      </w:r>
      <w:r w:rsidR="000E0B80" w:rsidRPr="00436BC4">
        <w:t>.</w:t>
      </w:r>
      <w:r w:rsidRPr="00436BC4">
        <w:t xml:space="preserve"> </w:t>
      </w:r>
    </w:p>
    <w:p w14:paraId="35C6DDD9" w14:textId="31840D96" w:rsidR="000C0A12" w:rsidRPr="00436BC4" w:rsidRDefault="000C0A12" w:rsidP="000C0A12">
      <w:pPr>
        <w:ind w:hanging="480"/>
      </w:pPr>
      <w:r w:rsidRPr="00436BC4">
        <w:t xml:space="preserve">Rutler, Tracy L, ‘Of No One Born: Queering Motherhood in Marivaux’s La Vie de Marianne’, </w:t>
      </w:r>
      <w:r w:rsidRPr="00436BC4">
        <w:rPr>
          <w:i/>
          <w:iCs/>
        </w:rPr>
        <w:t>French Studies</w:t>
      </w:r>
      <w:r w:rsidRPr="00436BC4">
        <w:t xml:space="preserve">, 76.4 (2022), </w:t>
      </w:r>
      <w:r w:rsidR="000E0B80" w:rsidRPr="00436BC4">
        <w:t xml:space="preserve">pp. </w:t>
      </w:r>
      <w:r w:rsidRPr="00436BC4">
        <w:t>538–53</w:t>
      </w:r>
      <w:r w:rsidR="000E0B80" w:rsidRPr="00436BC4">
        <w:t>,</w:t>
      </w:r>
      <w:r w:rsidRPr="00436BC4">
        <w:t xml:space="preserve"> </w:t>
      </w:r>
    </w:p>
    <w:p w14:paraId="29399192" w14:textId="48880DC4" w:rsidR="000C0A12" w:rsidRPr="00436BC4" w:rsidRDefault="000C0A12" w:rsidP="000C0A12">
      <w:pPr>
        <w:ind w:hanging="480"/>
      </w:pPr>
      <w:r w:rsidRPr="00436BC4">
        <w:t xml:space="preserve">Sandilands, Catriona, ‘Queer Life? Ecocriticism After the Fire’, </w:t>
      </w:r>
      <w:r w:rsidRPr="00436BC4">
        <w:rPr>
          <w:i/>
          <w:iCs/>
        </w:rPr>
        <w:t>Oxford Handbooks Online</w:t>
      </w:r>
      <w:r w:rsidRPr="00436BC4">
        <w:t xml:space="preserve">, </w:t>
      </w:r>
      <w:r w:rsidR="000E0B80" w:rsidRPr="00436BC4">
        <w:t>(</w:t>
      </w:r>
      <w:r w:rsidRPr="00436BC4">
        <w:t>2014</w:t>
      </w:r>
      <w:r w:rsidR="000E0B80" w:rsidRPr="00436BC4">
        <w:t>).</w:t>
      </w:r>
      <w:r w:rsidRPr="00436BC4">
        <w:t xml:space="preserve"> </w:t>
      </w:r>
    </w:p>
    <w:p w14:paraId="2092494F" w14:textId="7B40B258" w:rsidR="000C0A12" w:rsidRPr="00436BC4" w:rsidRDefault="000C0A12" w:rsidP="000C0A12">
      <w:pPr>
        <w:ind w:hanging="480"/>
      </w:pPr>
      <w:r w:rsidRPr="00436BC4">
        <w:t xml:space="preserve">Sheehan, Sarah, ‘Matrilineal Subjects: Ambiguity, Bodies, and Metamorphosis in the Fourth Branch of the Mabinogi’, </w:t>
      </w:r>
      <w:r w:rsidRPr="00436BC4">
        <w:rPr>
          <w:i/>
          <w:iCs/>
        </w:rPr>
        <w:t>Signs</w:t>
      </w:r>
      <w:r w:rsidRPr="00436BC4">
        <w:t xml:space="preserve">, 34.2 (2009), </w:t>
      </w:r>
      <w:r w:rsidR="000E0B80" w:rsidRPr="00436BC4">
        <w:t xml:space="preserve">pp. </w:t>
      </w:r>
      <w:r w:rsidRPr="00436BC4">
        <w:t>319–42</w:t>
      </w:r>
      <w:r w:rsidR="000E0B80" w:rsidRPr="00436BC4">
        <w:t>.</w:t>
      </w:r>
    </w:p>
    <w:p w14:paraId="25C00E58" w14:textId="63B2C316" w:rsidR="0068341D" w:rsidRPr="00436BC4" w:rsidRDefault="0068341D" w:rsidP="0068341D">
      <w:pPr>
        <w:ind w:hanging="480"/>
      </w:pPr>
      <w:proofErr w:type="spellStart"/>
      <w:r w:rsidRPr="00436BC4">
        <w:t>Shimpock</w:t>
      </w:r>
      <w:proofErr w:type="spellEnd"/>
      <w:r w:rsidRPr="00436BC4">
        <w:t>, Kathy E, ‘The “Unlikely Female” Characters of the Mabinogi’ (</w:t>
      </w:r>
      <w:r w:rsidR="00555AC3">
        <w:t xml:space="preserve">unpublished master’s thesis, </w:t>
      </w:r>
      <w:r w:rsidRPr="00436BC4">
        <w:t>University of Wales Trinity Saint David, 2017)</w:t>
      </w:r>
      <w:r w:rsidR="000E0B80" w:rsidRPr="00436BC4">
        <w:t>.</w:t>
      </w:r>
    </w:p>
    <w:p w14:paraId="43043844" w14:textId="305F4C8D" w:rsidR="000C0A12" w:rsidRPr="00436BC4" w:rsidRDefault="000C0A12" w:rsidP="000C0A12">
      <w:pPr>
        <w:ind w:hanging="480"/>
      </w:pPr>
      <w:r w:rsidRPr="00436BC4">
        <w:t>Stahuljak, Zrinka, ‘Errancy, Insanity, Morality: Finding “La Droite Voie” in Chretien de Troyes’</w:t>
      </w:r>
      <w:r w:rsidR="00555AC3">
        <w:t xml:space="preserve">, unpublished paper </w:t>
      </w:r>
      <w:r w:rsidRPr="00436BC4">
        <w:t xml:space="preserve">presented at </w:t>
      </w:r>
      <w:r w:rsidR="00555AC3">
        <w:t>‘T</w:t>
      </w:r>
      <w:r w:rsidRPr="00436BC4">
        <w:t>he French Medieval Seminar</w:t>
      </w:r>
      <w:r w:rsidR="00555AC3">
        <w:t>’</w:t>
      </w:r>
      <w:r w:rsidRPr="00436BC4">
        <w:t xml:space="preserve"> </w:t>
      </w:r>
      <w:r w:rsidR="00555AC3">
        <w:t>(</w:t>
      </w:r>
      <w:r w:rsidRPr="00436BC4">
        <w:t>Cambridge</w:t>
      </w:r>
      <w:r w:rsidR="00555AC3">
        <w:t xml:space="preserve"> University</w:t>
      </w:r>
      <w:r w:rsidRPr="00436BC4">
        <w:t>, 2005)</w:t>
      </w:r>
      <w:r w:rsidR="000E0B80" w:rsidRPr="00436BC4">
        <w:t>.</w:t>
      </w:r>
    </w:p>
    <w:p w14:paraId="13EF65D8" w14:textId="616723D6" w:rsidR="000C0A12" w:rsidRPr="00436BC4" w:rsidRDefault="000C0A12" w:rsidP="000C0A12">
      <w:pPr>
        <w:ind w:hanging="480"/>
      </w:pPr>
      <w:r w:rsidRPr="00436BC4">
        <w:t xml:space="preserve">Stockton, Will, </w:t>
      </w:r>
      <w:r w:rsidRPr="00436BC4">
        <w:rPr>
          <w:i/>
          <w:iCs/>
        </w:rPr>
        <w:t>An Introduction to Queer Literary Studies: Reading Queerly</w:t>
      </w:r>
      <w:r w:rsidRPr="00436BC4">
        <w:t xml:space="preserve"> (Routledge, 2022)</w:t>
      </w:r>
      <w:r w:rsidR="000E0B80" w:rsidRPr="00436BC4">
        <w:t>.</w:t>
      </w:r>
    </w:p>
    <w:p w14:paraId="79EEB369" w14:textId="65AF7544" w:rsidR="000C0A12" w:rsidRPr="00436BC4" w:rsidRDefault="000C0A12" w:rsidP="000C0A12">
      <w:pPr>
        <w:ind w:hanging="480"/>
      </w:pPr>
      <w:r w:rsidRPr="00436BC4">
        <w:t xml:space="preserve">Valente, Roberta, ‘Gwydion and Aranrhod: Crossing the Borders of Gender in Math’, </w:t>
      </w:r>
      <w:r w:rsidRPr="00436BC4">
        <w:rPr>
          <w:i/>
          <w:iCs/>
        </w:rPr>
        <w:t>Bulletin of the Board of Celtic Studies</w:t>
      </w:r>
      <w:r w:rsidRPr="00436BC4">
        <w:t xml:space="preserve">, 35 (1988), </w:t>
      </w:r>
      <w:r w:rsidR="000E0B80" w:rsidRPr="00436BC4">
        <w:t xml:space="preserve">pp. </w:t>
      </w:r>
      <w:r w:rsidRPr="00436BC4">
        <w:t>1–9</w:t>
      </w:r>
      <w:r w:rsidR="000E0B80" w:rsidRPr="00436BC4">
        <w:t>.</w:t>
      </w:r>
    </w:p>
    <w:p w14:paraId="5565C392" w14:textId="1732A4A5" w:rsidR="000C0A12" w:rsidRPr="00436BC4" w:rsidRDefault="00A15ECF" w:rsidP="000C0A12">
      <w:pPr>
        <w:ind w:hanging="480"/>
      </w:pPr>
      <w:r w:rsidRPr="00436BC4">
        <w:t>———,</w:t>
      </w:r>
      <w:r w:rsidR="000C0A12" w:rsidRPr="00436BC4">
        <w:t xml:space="preserve"> ‘</w:t>
      </w:r>
      <w:proofErr w:type="spellStart"/>
      <w:r w:rsidR="000C0A12" w:rsidRPr="00436BC4">
        <w:t>Merched</w:t>
      </w:r>
      <w:proofErr w:type="spellEnd"/>
      <w:r w:rsidR="000C0A12" w:rsidRPr="00436BC4">
        <w:t xml:space="preserve"> Y Mabinogi: Women and the Thematic Structure of the Four Branches’ (UMI Dissertation Information Service, 1988)</w:t>
      </w:r>
      <w:r w:rsidR="000E0B80" w:rsidRPr="00436BC4">
        <w:t>.</w:t>
      </w:r>
    </w:p>
    <w:p w14:paraId="15FFB311" w14:textId="7F634D61" w:rsidR="003C68E4" w:rsidRPr="00436BC4" w:rsidRDefault="003C68E4" w:rsidP="003C68E4">
      <w:pPr>
        <w:ind w:hanging="480"/>
      </w:pPr>
      <w:r w:rsidRPr="00436BC4">
        <w:t xml:space="preserve">Walton, Evangeline, </w:t>
      </w:r>
      <w:r w:rsidRPr="00436BC4">
        <w:rPr>
          <w:i/>
          <w:iCs/>
        </w:rPr>
        <w:t>Island of the Mighty</w:t>
      </w:r>
      <w:r w:rsidRPr="00436BC4">
        <w:t>, Reissue edition (Del Rey, 1979)</w:t>
      </w:r>
      <w:r w:rsidR="000E0B80" w:rsidRPr="00436BC4">
        <w:t>.</w:t>
      </w:r>
    </w:p>
    <w:p w14:paraId="4B33A02A" w14:textId="53E6D5B7" w:rsidR="000C0A12" w:rsidRPr="00436BC4" w:rsidRDefault="000C0A12" w:rsidP="000C0A12">
      <w:pPr>
        <w:ind w:hanging="480"/>
      </w:pPr>
      <w:r w:rsidRPr="00436BC4">
        <w:t xml:space="preserve">Warner, Michael, ‘Introduction: Fear of a Queer Planet’, </w:t>
      </w:r>
      <w:r w:rsidRPr="00436BC4">
        <w:rPr>
          <w:i/>
          <w:iCs/>
        </w:rPr>
        <w:t>Social Text</w:t>
      </w:r>
      <w:r w:rsidRPr="00436BC4">
        <w:t xml:space="preserve">, 29, </w:t>
      </w:r>
      <w:r w:rsidR="000E0B80" w:rsidRPr="00436BC4">
        <w:t>(</w:t>
      </w:r>
      <w:r w:rsidRPr="00436BC4">
        <w:t>1991</w:t>
      </w:r>
      <w:r w:rsidR="000E0B80" w:rsidRPr="00436BC4">
        <w:t>)</w:t>
      </w:r>
      <w:r w:rsidRPr="00436BC4">
        <w:t xml:space="preserve">, </w:t>
      </w:r>
      <w:r w:rsidR="000E0B80" w:rsidRPr="00436BC4">
        <w:t xml:space="preserve">pp. </w:t>
      </w:r>
      <w:r w:rsidRPr="00436BC4">
        <w:t>3–17</w:t>
      </w:r>
      <w:r w:rsidR="000E0B80" w:rsidRPr="00436BC4">
        <w:t>.</w:t>
      </w:r>
    </w:p>
    <w:p w14:paraId="1CC33237" w14:textId="2DC8B95D" w:rsidR="000C0A12" w:rsidRPr="00436BC4" w:rsidRDefault="000C0A12" w:rsidP="000C0A12">
      <w:pPr>
        <w:ind w:hanging="480"/>
      </w:pPr>
      <w:proofErr w:type="spellStart"/>
      <w:r w:rsidRPr="00436BC4">
        <w:t>Winnubst</w:t>
      </w:r>
      <w:proofErr w:type="spellEnd"/>
      <w:r w:rsidRPr="00436BC4">
        <w:t xml:space="preserve">, Shannon, </w:t>
      </w:r>
      <w:r w:rsidRPr="00436BC4">
        <w:rPr>
          <w:i/>
          <w:iCs/>
        </w:rPr>
        <w:t>Queering Freedom</w:t>
      </w:r>
      <w:r w:rsidRPr="00436BC4">
        <w:t xml:space="preserve"> (Indiana University Press, 2006)</w:t>
      </w:r>
      <w:r w:rsidR="000E0B80" w:rsidRPr="00436BC4">
        <w:t>.</w:t>
      </w:r>
    </w:p>
    <w:p w14:paraId="076A31F0" w14:textId="572603FE" w:rsidR="000C0A12" w:rsidRPr="00436BC4" w:rsidRDefault="000C0A12" w:rsidP="000C0A12">
      <w:pPr>
        <w:ind w:hanging="480"/>
      </w:pPr>
      <w:r w:rsidRPr="00436BC4">
        <w:t xml:space="preserve">Winward, Fiona, ‘Some Aspects of the Women in the Four Branches.’, </w:t>
      </w:r>
      <w:r w:rsidRPr="00436BC4">
        <w:rPr>
          <w:i/>
          <w:iCs/>
        </w:rPr>
        <w:t>Cambrian Medieval Celtic Studies</w:t>
      </w:r>
      <w:r w:rsidRPr="00436BC4">
        <w:t xml:space="preserve">, 34 (1997), </w:t>
      </w:r>
      <w:r w:rsidR="000E0B80" w:rsidRPr="00436BC4">
        <w:t xml:space="preserve">pp. </w:t>
      </w:r>
      <w:r w:rsidRPr="00436BC4">
        <w:t>77–106</w:t>
      </w:r>
      <w:r w:rsidR="000E0B80" w:rsidRPr="00436BC4">
        <w:t>.</w:t>
      </w:r>
    </w:p>
    <w:p w14:paraId="649F170F" w14:textId="77777777" w:rsidR="00066148" w:rsidRPr="00436BC4" w:rsidRDefault="00066148" w:rsidP="00066148">
      <w:pPr>
        <w:ind w:hanging="480"/>
      </w:pPr>
      <w:r w:rsidRPr="00436BC4">
        <w:rPr>
          <w:i/>
          <w:iCs/>
        </w:rPr>
        <w:t>Y Mabinogion</w:t>
      </w:r>
      <w:r>
        <w:rPr>
          <w:i/>
          <w:iCs/>
        </w:rPr>
        <w:t xml:space="preserve">, </w:t>
      </w:r>
      <w:r w:rsidRPr="00066148">
        <w:t>ed</w:t>
      </w:r>
      <w:r w:rsidRPr="00436BC4">
        <w:t xml:space="preserve"> Ifans, Rhiannon; Roberts, Brynley, and Ifans, Dafydd (</w:t>
      </w:r>
      <w:proofErr w:type="spellStart"/>
      <w:r w:rsidRPr="00436BC4">
        <w:t>Gwasg</w:t>
      </w:r>
      <w:proofErr w:type="spellEnd"/>
      <w:r w:rsidRPr="00436BC4">
        <w:t xml:space="preserve"> Gomer, 1980).</w:t>
      </w:r>
    </w:p>
    <w:p w14:paraId="100A8262" w14:textId="20C6ECBD" w:rsidR="000C0A12" w:rsidRPr="00436BC4" w:rsidRDefault="000C0A12" w:rsidP="000C0A12">
      <w:pPr>
        <w:ind w:hanging="480"/>
      </w:pPr>
      <w:r w:rsidRPr="00436BC4">
        <w:t xml:space="preserve">Zeikowitz, R., </w:t>
      </w:r>
      <w:r w:rsidRPr="00436BC4">
        <w:rPr>
          <w:i/>
          <w:iCs/>
        </w:rPr>
        <w:t>Homoeroticism and Chivalry: Discourses of Male Same-Sex Desire in the 14th Century</w:t>
      </w:r>
      <w:r w:rsidR="009234BC">
        <w:t xml:space="preserve"> </w:t>
      </w:r>
      <w:r w:rsidRPr="00436BC4">
        <w:t>(Palgrave Macmillan</w:t>
      </w:r>
      <w:r w:rsidR="009234BC">
        <w:t xml:space="preserve"> US</w:t>
      </w:r>
      <w:r w:rsidRPr="00436BC4">
        <w:t>, 2003)</w:t>
      </w:r>
      <w:r w:rsidR="000E0B80" w:rsidRPr="00436BC4">
        <w:t>.</w:t>
      </w:r>
    </w:p>
    <w:p w14:paraId="3DA464B3" w14:textId="77777777" w:rsidR="000C0A12" w:rsidRPr="000C0A12" w:rsidRDefault="000C0A12" w:rsidP="000C0A12"/>
    <w:sectPr w:rsidR="000C0A12" w:rsidRPr="000C0A12" w:rsidSect="006F2216">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36E955" w14:textId="77777777" w:rsidR="00420EBD" w:rsidRPr="00436BC4" w:rsidRDefault="00420EBD" w:rsidP="0003365A">
      <w:pPr>
        <w:spacing w:after="0" w:line="240" w:lineRule="auto"/>
      </w:pPr>
      <w:r w:rsidRPr="00436BC4">
        <w:separator/>
      </w:r>
    </w:p>
  </w:endnote>
  <w:endnote w:type="continuationSeparator" w:id="0">
    <w:p w14:paraId="0AF46065" w14:textId="77777777" w:rsidR="00420EBD" w:rsidRPr="00436BC4" w:rsidRDefault="00420EBD" w:rsidP="0003365A">
      <w:pPr>
        <w:spacing w:after="0" w:line="240" w:lineRule="auto"/>
      </w:pPr>
      <w:r w:rsidRPr="00436BC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2133983"/>
      <w:docPartObj>
        <w:docPartGallery w:val="Page Numbers (Bottom of Page)"/>
        <w:docPartUnique/>
      </w:docPartObj>
    </w:sdtPr>
    <w:sdtContent>
      <w:p w14:paraId="02E0E2E9" w14:textId="1C093B34" w:rsidR="0003365A" w:rsidRPr="00436BC4" w:rsidRDefault="0003365A">
        <w:pPr>
          <w:pStyle w:val="Footer"/>
          <w:jc w:val="center"/>
        </w:pPr>
        <w:r w:rsidRPr="00436BC4">
          <w:fldChar w:fldCharType="begin"/>
        </w:r>
        <w:r w:rsidRPr="00436BC4">
          <w:instrText xml:space="preserve"> PAGE   \* MERGEFORMAT </w:instrText>
        </w:r>
        <w:r w:rsidRPr="00436BC4">
          <w:fldChar w:fldCharType="separate"/>
        </w:r>
        <w:r w:rsidRPr="00436BC4">
          <w:t>2</w:t>
        </w:r>
        <w:r w:rsidRPr="00436BC4">
          <w:fldChar w:fldCharType="end"/>
        </w:r>
      </w:p>
    </w:sdtContent>
  </w:sdt>
  <w:p w14:paraId="47E26C72" w14:textId="77777777" w:rsidR="0003365A" w:rsidRPr="00436BC4" w:rsidRDefault="00033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E0CE52" w14:textId="77777777" w:rsidR="00420EBD" w:rsidRPr="00436BC4" w:rsidRDefault="00420EBD" w:rsidP="0003365A">
      <w:pPr>
        <w:spacing w:after="0" w:line="240" w:lineRule="auto"/>
      </w:pPr>
      <w:r w:rsidRPr="00436BC4">
        <w:separator/>
      </w:r>
    </w:p>
  </w:footnote>
  <w:footnote w:type="continuationSeparator" w:id="0">
    <w:p w14:paraId="14F176A0" w14:textId="77777777" w:rsidR="00420EBD" w:rsidRPr="00436BC4" w:rsidRDefault="00420EBD" w:rsidP="0003365A">
      <w:pPr>
        <w:spacing w:after="0" w:line="240" w:lineRule="auto"/>
      </w:pPr>
      <w:r w:rsidRPr="00436BC4">
        <w:continuationSeparator/>
      </w:r>
    </w:p>
  </w:footnote>
  <w:footnote w:id="1">
    <w:p w14:paraId="354FD526" w14:textId="174B1D19" w:rsidR="00886E28" w:rsidRPr="00436BC4" w:rsidRDefault="00886E28" w:rsidP="00886E28">
      <w:pPr>
        <w:pStyle w:val="FootnoteText"/>
      </w:pPr>
      <w:r w:rsidRPr="00436BC4">
        <w:rPr>
          <w:rStyle w:val="FootnoteReference"/>
        </w:rPr>
        <w:footnoteRef/>
      </w:r>
      <w:r w:rsidRPr="00436BC4">
        <w:t xml:space="preserve"> </w:t>
      </w:r>
      <w:r w:rsidR="00A17ECF" w:rsidRPr="00436BC4">
        <w:t xml:space="preserve">Such as: </w:t>
      </w:r>
      <w:r w:rsidR="00C52121" w:rsidRPr="00436BC4">
        <w:t xml:space="preserve">Alan Garner, </w:t>
      </w:r>
      <w:r w:rsidR="00A17ECF" w:rsidRPr="00436BC4">
        <w:rPr>
          <w:i/>
          <w:iCs/>
        </w:rPr>
        <w:t xml:space="preserve">The Owl Service </w:t>
      </w:r>
      <w:r w:rsidR="008913DD" w:rsidRPr="00436BC4">
        <w:t xml:space="preserve">(Book 1967, </w:t>
      </w:r>
      <w:r w:rsidR="00A17ECF" w:rsidRPr="00436BC4">
        <w:t>TV Mini Series 1969–1970)</w:t>
      </w:r>
      <w:r w:rsidR="008913DD" w:rsidRPr="00436BC4">
        <w:t>;</w:t>
      </w:r>
      <w:r w:rsidR="008913DD" w:rsidRPr="00436BC4">
        <w:rPr>
          <w:sz w:val="22"/>
          <w:szCs w:val="22"/>
        </w:rPr>
        <w:t xml:space="preserve"> </w:t>
      </w:r>
      <w:r w:rsidR="008913DD" w:rsidRPr="00436BC4">
        <w:t>Lloyd Alexander</w:t>
      </w:r>
      <w:r w:rsidR="00C52121" w:rsidRPr="00436BC4">
        <w:t>,</w:t>
      </w:r>
      <w:r w:rsidR="008913DD" w:rsidRPr="00436BC4">
        <w:t xml:space="preserve"> </w:t>
      </w:r>
      <w:r w:rsidR="008913DD" w:rsidRPr="00436BC4">
        <w:rPr>
          <w:i/>
          <w:iCs/>
        </w:rPr>
        <w:t>The Chronicles of Prydain</w:t>
      </w:r>
      <w:r w:rsidR="008913DD" w:rsidRPr="00436BC4">
        <w:t>, (Holt, Rinehart and Winston, 1964);</w:t>
      </w:r>
      <w:r w:rsidR="003C68E4" w:rsidRPr="00436BC4">
        <w:rPr>
          <w:sz w:val="22"/>
          <w:szCs w:val="22"/>
        </w:rPr>
        <w:t xml:space="preserve"> </w:t>
      </w:r>
      <w:r w:rsidR="00FA121E" w:rsidRPr="00436BC4">
        <w:t xml:space="preserve">Evangeline Walton, </w:t>
      </w:r>
      <w:r w:rsidR="00FA121E" w:rsidRPr="00436BC4">
        <w:rPr>
          <w:i/>
          <w:iCs/>
        </w:rPr>
        <w:t>Island of the Mighty</w:t>
      </w:r>
      <w:r w:rsidR="00FA121E" w:rsidRPr="00436BC4">
        <w:t xml:space="preserve">, Reissue edition (Del Rey, 1979); </w:t>
      </w:r>
      <w:r w:rsidR="008913DD" w:rsidRPr="00436BC4">
        <w:t xml:space="preserve">Gwyneth Lewis, </w:t>
      </w:r>
      <w:r w:rsidR="008913DD" w:rsidRPr="00436BC4">
        <w:rPr>
          <w:i/>
          <w:iCs/>
        </w:rPr>
        <w:t>The Meat Tree</w:t>
      </w:r>
      <w:r w:rsidR="008913DD" w:rsidRPr="00436BC4">
        <w:t xml:space="preserve"> (Seren, 2010);</w:t>
      </w:r>
      <w:r w:rsidR="008913DD" w:rsidRPr="00436BC4">
        <w:rPr>
          <w:sz w:val="22"/>
          <w:szCs w:val="22"/>
        </w:rPr>
        <w:t xml:space="preserve"> </w:t>
      </w:r>
      <w:r w:rsidR="003E62FA" w:rsidRPr="00436BC4">
        <w:t>‘Curious Under the Stars’, dir. by James Robinson (BBC Radio 4, 2015-present);</w:t>
      </w:r>
      <w:r w:rsidR="003E62FA" w:rsidRPr="00436BC4">
        <w:rPr>
          <w:sz w:val="22"/>
          <w:szCs w:val="22"/>
        </w:rPr>
        <w:t xml:space="preserve"> </w:t>
      </w:r>
      <w:r w:rsidR="00EC3E0B" w:rsidRPr="00436BC4">
        <w:t>‘Mabinogi’ (Nexon Korea, 2004).</w:t>
      </w:r>
    </w:p>
  </w:footnote>
  <w:footnote w:id="2">
    <w:p w14:paraId="08EB16BC" w14:textId="77777777" w:rsidR="00ED2843" w:rsidRPr="00436BC4" w:rsidRDefault="00ED2843" w:rsidP="00ED2843">
      <w:pPr>
        <w:pStyle w:val="FootnoteText"/>
      </w:pPr>
      <w:r w:rsidRPr="00436BC4">
        <w:rPr>
          <w:rStyle w:val="FootnoteReference"/>
        </w:rPr>
        <w:footnoteRef/>
      </w:r>
      <w:r w:rsidRPr="00436BC4">
        <w:t xml:space="preserve"> Sarah Sheehan, ‘Matrilineal Subjects: Ambiguity, Bodies, and Metamorphosis in the Fourth Branch of the Mabinogi’, </w:t>
      </w:r>
      <w:r w:rsidRPr="00436BC4">
        <w:rPr>
          <w:i/>
          <w:iCs/>
        </w:rPr>
        <w:t>Signs</w:t>
      </w:r>
      <w:r w:rsidRPr="00436BC4">
        <w:t>, 34.2 (2009), p.319.</w:t>
      </w:r>
    </w:p>
  </w:footnote>
  <w:footnote w:id="3">
    <w:p w14:paraId="08E75C94" w14:textId="3700ADFF" w:rsidR="007D5F51" w:rsidRPr="00436BC4" w:rsidRDefault="007D5F51">
      <w:pPr>
        <w:pStyle w:val="FootnoteText"/>
      </w:pPr>
      <w:r w:rsidRPr="00436BC4">
        <w:rPr>
          <w:rStyle w:val="FootnoteReference"/>
        </w:rPr>
        <w:footnoteRef/>
      </w:r>
      <w:r w:rsidRPr="00436BC4">
        <w:t xml:space="preserve"> </w:t>
      </w:r>
      <w:r w:rsidR="007B01B8" w:rsidRPr="00436BC4">
        <w:t xml:space="preserve">Roberta Valente, ‘Gwydion and Aranrhod: Crossing the Borders of Gender in Math’, </w:t>
      </w:r>
      <w:r w:rsidR="007B01B8" w:rsidRPr="00436BC4">
        <w:rPr>
          <w:i/>
          <w:iCs/>
        </w:rPr>
        <w:t>Bulletin of the Board of Celtic Studies</w:t>
      </w:r>
      <w:r w:rsidR="007B01B8" w:rsidRPr="00436BC4">
        <w:t>, 35 (1988), pp. 1–9.</w:t>
      </w:r>
    </w:p>
  </w:footnote>
  <w:footnote w:id="4">
    <w:p w14:paraId="1AA0C7EF" w14:textId="4D6487BC" w:rsidR="0014250E" w:rsidRPr="00436BC4" w:rsidRDefault="00B93553">
      <w:pPr>
        <w:pStyle w:val="FootnoteText"/>
      </w:pPr>
      <w:r w:rsidRPr="00436BC4">
        <w:rPr>
          <w:rStyle w:val="FootnoteReference"/>
        </w:rPr>
        <w:footnoteRef/>
      </w:r>
      <w:r w:rsidRPr="00436BC4">
        <w:t xml:space="preserve"> </w:t>
      </w:r>
      <w:r w:rsidR="0014250E" w:rsidRPr="00436BC4">
        <w:t xml:space="preserve">That is not to say that it has been wholly lacking. </w:t>
      </w:r>
      <w:r w:rsidR="00AC5D83" w:rsidRPr="00436BC4">
        <w:t xml:space="preserve">Interest in </w:t>
      </w:r>
      <w:r w:rsidR="00707A70" w:rsidRPr="00436BC4">
        <w:t xml:space="preserve">gender </w:t>
      </w:r>
      <w:r w:rsidR="00AC5D83" w:rsidRPr="00436BC4">
        <w:t xml:space="preserve">transgression in the </w:t>
      </w:r>
      <w:r w:rsidR="00AC5D83" w:rsidRPr="00436BC4">
        <w:rPr>
          <w:i/>
          <w:iCs/>
        </w:rPr>
        <w:t>Four Branches</w:t>
      </w:r>
      <w:r w:rsidR="00707A70" w:rsidRPr="00436BC4">
        <w:t xml:space="preserve"> has seen a</w:t>
      </w:r>
      <w:r w:rsidR="0062261C">
        <w:t xml:space="preserve">n increase </w:t>
      </w:r>
      <w:r w:rsidR="00707A70" w:rsidRPr="00436BC4">
        <w:t xml:space="preserve">in recent years. </w:t>
      </w:r>
      <w:r w:rsidR="00AC5D83" w:rsidRPr="00436BC4">
        <w:t xml:space="preserve">See: Cara Bartels-Bland, ‘“You Took My Spirit Captive among the Leaves”: The Creation of Blodeuwedd in Re-Imaginings of the Fourth Branch of the Mabinogi’, </w:t>
      </w:r>
      <w:r w:rsidR="00AC5D83" w:rsidRPr="00436BC4">
        <w:rPr>
          <w:i/>
          <w:iCs/>
        </w:rPr>
        <w:t>Pomegranate</w:t>
      </w:r>
      <w:r w:rsidR="00AC5D83" w:rsidRPr="00436BC4">
        <w:t xml:space="preserve">, 16.2 (2014), pp. 178–206; Luciana Cordo Russo, ‘Sin, Punishment, and Magic: Changing Form in Medieval Welsh Literature’, in </w:t>
      </w:r>
      <w:r w:rsidR="00AC5D83" w:rsidRPr="00436BC4">
        <w:rPr>
          <w:i/>
          <w:iCs/>
        </w:rPr>
        <w:t>Shapeshifters in Medieval North Atlantic Literature</w:t>
      </w:r>
      <w:r w:rsidR="00AC5D83" w:rsidRPr="00436BC4">
        <w:t xml:space="preserve">, ed. by Luciana Cordo Russo and Santiago Barreiro (Amsterdam University Press, 2019), pp. 155–84; Jessica George, ‘Contesting Narrative Over the Body of Blodeuwedd: Gender, Nation, and Language in Adaptations of the Fourth Branch of the Mabinogi’, in </w:t>
      </w:r>
      <w:r w:rsidR="00AC5D83" w:rsidRPr="00436BC4">
        <w:rPr>
          <w:i/>
          <w:iCs/>
        </w:rPr>
        <w:t>Talking Bodies Vol. II: Bodily Languages, Selfhood and Transgression</w:t>
      </w:r>
      <w:r w:rsidR="00AC5D83" w:rsidRPr="00436BC4">
        <w:t>, ed. by Bodie A. Ashton, Amy Bonsall, and Jonathan Hay (Springer International Publishing, 2020), pp. 17–40;</w:t>
      </w:r>
      <w:r w:rsidR="00AC5D83" w:rsidRPr="00436BC4">
        <w:rPr>
          <w:sz w:val="22"/>
          <w:szCs w:val="22"/>
        </w:rPr>
        <w:t xml:space="preserve"> </w:t>
      </w:r>
      <w:r w:rsidR="00AC5D83" w:rsidRPr="00436BC4">
        <w:t xml:space="preserve">Gabriela </w:t>
      </w:r>
      <w:proofErr w:type="spellStart"/>
      <w:r w:rsidR="00AC5D83" w:rsidRPr="00436BC4">
        <w:t>Pirotti</w:t>
      </w:r>
      <w:proofErr w:type="spellEnd"/>
      <w:r w:rsidR="00AC5D83" w:rsidRPr="00436BC4">
        <w:t xml:space="preserve"> Pereira, ‘To Take On the Nature of Wild Animals: Elements of Biological Horror in the Fourth Branch of the Mabinogi’, </w:t>
      </w:r>
      <w:proofErr w:type="spellStart"/>
      <w:r w:rsidR="00AC5D83" w:rsidRPr="00436BC4">
        <w:rPr>
          <w:i/>
          <w:iCs/>
        </w:rPr>
        <w:t>Revista</w:t>
      </w:r>
      <w:proofErr w:type="spellEnd"/>
      <w:r w:rsidR="00AC5D83" w:rsidRPr="00436BC4">
        <w:rPr>
          <w:i/>
          <w:iCs/>
        </w:rPr>
        <w:t xml:space="preserve"> Da </w:t>
      </w:r>
      <w:proofErr w:type="spellStart"/>
      <w:r w:rsidR="00AC5D83" w:rsidRPr="00436BC4">
        <w:rPr>
          <w:i/>
          <w:iCs/>
        </w:rPr>
        <w:t>Anpoll</w:t>
      </w:r>
      <w:proofErr w:type="spellEnd"/>
      <w:r w:rsidR="00AC5D83" w:rsidRPr="00436BC4">
        <w:t>, 51.3 (2020), pp. 74–83.</w:t>
      </w:r>
    </w:p>
  </w:footnote>
  <w:footnote w:id="5">
    <w:p w14:paraId="5BAC51C4" w14:textId="5EDD47B1" w:rsidR="000B0B70" w:rsidRPr="000B0B70" w:rsidRDefault="0010057D" w:rsidP="000B0B70">
      <w:pPr>
        <w:pStyle w:val="FootnoteText"/>
      </w:pPr>
      <w:r>
        <w:rPr>
          <w:rStyle w:val="FootnoteReference"/>
        </w:rPr>
        <w:footnoteRef/>
      </w:r>
      <w:r>
        <w:t xml:space="preserve"> </w:t>
      </w:r>
      <w:r w:rsidR="00290EDE" w:rsidRPr="00290EDE">
        <w:t xml:space="preserve">Carolyn Dinshaw, </w:t>
      </w:r>
      <w:r w:rsidR="00290EDE" w:rsidRPr="00290EDE">
        <w:rPr>
          <w:i/>
          <w:iCs/>
        </w:rPr>
        <w:t>Getting Medieval: Sexualities and Communities, Pre- and Postmodern</w:t>
      </w:r>
      <w:r w:rsidR="00290EDE" w:rsidRPr="00290EDE">
        <w:t xml:space="preserve"> (Duke University Press, 1999)</w:t>
      </w:r>
      <w:r w:rsidR="00290EDE">
        <w:t xml:space="preserve">, </w:t>
      </w:r>
      <w:r w:rsidRPr="0010057D">
        <w:t xml:space="preserve">R. Zeikowitz, </w:t>
      </w:r>
      <w:r w:rsidRPr="0010057D">
        <w:rPr>
          <w:i/>
          <w:iCs/>
        </w:rPr>
        <w:t>Homoeroticism and Chivalry: Discourses of Male Same-Sex Desire in the 14th Century</w:t>
      </w:r>
      <w:r w:rsidRPr="0010057D">
        <w:t>, 2003rd edition (Palgrave Macmillan, 2003)</w:t>
      </w:r>
      <w:r>
        <w:t>,</w:t>
      </w:r>
      <w:r w:rsidRPr="0010057D">
        <w:rPr>
          <w:sz w:val="22"/>
          <w:szCs w:val="22"/>
        </w:rPr>
        <w:t xml:space="preserve"> </w:t>
      </w:r>
      <w:r w:rsidR="000B0B70" w:rsidRPr="000B0B70">
        <w:t>Zrinka Stahuljak, ‘Errancy, Insanity, Morality: Finding “La Droite Voie” in Chretien de Troyes’, unpublished paper presented at ‘The French Medieval Seminar’ (Cambridge University, 2005).</w:t>
      </w:r>
    </w:p>
    <w:p w14:paraId="5608696C" w14:textId="7CC9AAE9" w:rsidR="0010057D" w:rsidRPr="0010057D" w:rsidRDefault="0010057D">
      <w:pPr>
        <w:pStyle w:val="FootnoteText"/>
        <w:rPr>
          <w:lang w:val="en-US"/>
        </w:rPr>
      </w:pPr>
    </w:p>
  </w:footnote>
  <w:footnote w:id="6">
    <w:p w14:paraId="4311BA4C" w14:textId="33C13ABE" w:rsidR="00010D49" w:rsidRPr="00436BC4" w:rsidRDefault="00010D49" w:rsidP="00010D49">
      <w:pPr>
        <w:pStyle w:val="FootnoteText"/>
      </w:pPr>
      <w:r w:rsidRPr="00436BC4">
        <w:rPr>
          <w:rStyle w:val="FootnoteReference"/>
        </w:rPr>
        <w:footnoteRef/>
      </w:r>
      <w:r w:rsidRPr="00436BC4">
        <w:t xml:space="preserve"> Sarah Sheehan, ‘Matrilineal Subjects</w:t>
      </w:r>
      <w:r w:rsidR="000B0B70">
        <w:t xml:space="preserve">’, </w:t>
      </w:r>
      <w:r w:rsidRPr="00436BC4">
        <w:t>p.320.</w:t>
      </w:r>
    </w:p>
  </w:footnote>
  <w:footnote w:id="7">
    <w:p w14:paraId="2C9645D6" w14:textId="6E740E4E" w:rsidR="00E34354" w:rsidRPr="00436BC4" w:rsidRDefault="00E34354">
      <w:pPr>
        <w:pStyle w:val="FootnoteText"/>
      </w:pPr>
      <w:r w:rsidRPr="00436BC4">
        <w:rPr>
          <w:rStyle w:val="FootnoteReference"/>
        </w:rPr>
        <w:footnoteRef/>
      </w:r>
      <w:r w:rsidRPr="00436BC4">
        <w:t xml:space="preserve"> </w:t>
      </w:r>
      <w:r w:rsidR="000B0B70" w:rsidRPr="000B0B70">
        <w:rPr>
          <w:i/>
          <w:iCs/>
        </w:rPr>
        <w:t>Ibid</w:t>
      </w:r>
      <w:r w:rsidR="000B0B70">
        <w:t xml:space="preserve">. </w:t>
      </w:r>
    </w:p>
  </w:footnote>
  <w:footnote w:id="8">
    <w:p w14:paraId="1BCD58C1" w14:textId="64324C93" w:rsidR="000C191D" w:rsidRPr="00436BC4" w:rsidRDefault="000C191D">
      <w:pPr>
        <w:pStyle w:val="FootnoteText"/>
      </w:pPr>
      <w:r w:rsidRPr="00436BC4">
        <w:rPr>
          <w:rStyle w:val="FootnoteReference"/>
        </w:rPr>
        <w:footnoteRef/>
      </w:r>
      <w:r w:rsidRPr="00436BC4">
        <w:t xml:space="preserve"> </w:t>
      </w:r>
      <w:r w:rsidR="00A6129B" w:rsidRPr="000B0B70">
        <w:rPr>
          <w:i/>
          <w:iCs/>
        </w:rPr>
        <w:t>Ibid</w:t>
      </w:r>
      <w:r w:rsidRPr="00436BC4">
        <w:t>.</w:t>
      </w:r>
      <w:r w:rsidR="00565E23" w:rsidRPr="00436BC4">
        <w:t xml:space="preserve"> Academics in other areas of Medieval studies are now beginning</w:t>
      </w:r>
      <w:r w:rsidR="005352D9" w:rsidRPr="00436BC4">
        <w:t xml:space="preserve"> to</w:t>
      </w:r>
      <w:r w:rsidR="00565E23" w:rsidRPr="00436BC4">
        <w:t xml:space="preserve"> employ the tools of queer theory to shed light on texts that have been described by scholars as complex and ambiguous, similar to how Sheenan describes the </w:t>
      </w:r>
      <w:r w:rsidR="00565E23" w:rsidRPr="00436BC4">
        <w:rPr>
          <w:i/>
          <w:iCs/>
        </w:rPr>
        <w:t>Fourth Branch.</w:t>
      </w:r>
      <w:r w:rsidR="00565E23" w:rsidRPr="00436BC4">
        <w:t xml:space="preserve"> The benefit of this approach is that that queer theory can leave the text ’tangled’ – this can be part of the way queerness can be seen in the text. Useful analysis using queer theory does not require it to be ‘untangled’.</w:t>
      </w:r>
    </w:p>
  </w:footnote>
  <w:footnote w:id="9">
    <w:p w14:paraId="4667EBA5" w14:textId="438B69D2" w:rsidR="00EC6930" w:rsidRPr="00EC6930" w:rsidRDefault="00EC6930">
      <w:pPr>
        <w:pStyle w:val="FootnoteText"/>
        <w:rPr>
          <w:lang w:val="en-US"/>
        </w:rPr>
      </w:pPr>
      <w:r>
        <w:rPr>
          <w:rStyle w:val="FootnoteReference"/>
        </w:rPr>
        <w:footnoteRef/>
      </w:r>
      <w:r>
        <w:t xml:space="preserve"> </w:t>
      </w:r>
      <w:r>
        <w:rPr>
          <w:lang w:val="en-US"/>
        </w:rPr>
        <w:t xml:space="preserve">Constantine writes in 2003 that there is a lack of annotated translations and ‘up to date guides to the field’ for medieval texts written in the Celtic languages, compounding the problem of multiple meanings that may be present in medieval literature. </w:t>
      </w:r>
      <w:r w:rsidRPr="00EC6930">
        <w:t xml:space="preserve">Mary-Ann Constantine, ‘The Battle for the “Battle of the Trees”’, in </w:t>
      </w:r>
      <w:r w:rsidRPr="005058FE">
        <w:rPr>
          <w:i/>
          <w:iCs/>
        </w:rPr>
        <w:t>Graves and the Goddess: Essays on Robert Graves’s The White Goddess</w:t>
      </w:r>
      <w:r w:rsidRPr="00EC6930">
        <w:t xml:space="preserve">, ed. by Ian </w:t>
      </w:r>
      <w:proofErr w:type="spellStart"/>
      <w:r w:rsidRPr="00EC6930">
        <w:t>Firla</w:t>
      </w:r>
      <w:proofErr w:type="spellEnd"/>
      <w:r w:rsidRPr="00EC6930">
        <w:t xml:space="preserve"> and Grevel Lindop (Susquehanna University Press, 2003), p. 47.</w:t>
      </w:r>
      <w:r w:rsidR="005058FE">
        <w:t xml:space="preserve"> The problem of lack of robust translations from medieval Celtic languages into modern English still exists today. </w:t>
      </w:r>
    </w:p>
  </w:footnote>
  <w:footnote w:id="10">
    <w:p w14:paraId="3BD122C3" w14:textId="63691DED" w:rsidR="00002BF0" w:rsidRPr="00436BC4" w:rsidRDefault="00002BF0">
      <w:pPr>
        <w:pStyle w:val="FootnoteText"/>
      </w:pPr>
      <w:r w:rsidRPr="00436BC4">
        <w:rPr>
          <w:rStyle w:val="FootnoteReference"/>
        </w:rPr>
        <w:footnoteRef/>
      </w:r>
      <w:r w:rsidRPr="00436BC4">
        <w:t xml:space="preserve"> Mary-Ann Constantine, ‘The Battle for the “Battle of the Trees”’, p. 47.</w:t>
      </w:r>
    </w:p>
  </w:footnote>
  <w:footnote w:id="11">
    <w:p w14:paraId="0F32AC2B" w14:textId="1AE0B1F1" w:rsidR="00873453" w:rsidRPr="00436BC4" w:rsidRDefault="00873453">
      <w:pPr>
        <w:pStyle w:val="FootnoteText"/>
      </w:pPr>
      <w:r w:rsidRPr="00436BC4">
        <w:rPr>
          <w:rStyle w:val="FootnoteReference"/>
        </w:rPr>
        <w:footnoteRef/>
      </w:r>
      <w:r w:rsidRPr="00436BC4">
        <w:t xml:space="preserve"> </w:t>
      </w:r>
      <w:r w:rsidR="00E31B5D" w:rsidRPr="00E31B5D">
        <w:t xml:space="preserve">‘Critical Theory’, </w:t>
      </w:r>
      <w:r w:rsidR="00E31B5D" w:rsidRPr="00E31B5D">
        <w:rPr>
          <w:i/>
          <w:iCs/>
        </w:rPr>
        <w:t>Encyclopaedia Britannica</w:t>
      </w:r>
      <w:r w:rsidR="00E31B5D" w:rsidRPr="00E31B5D">
        <w:t>, 2024 &lt;</w:t>
      </w:r>
      <w:hyperlink r:id="rId1" w:history="1">
        <w:r w:rsidR="00E31B5D" w:rsidRPr="00E31B5D">
          <w:rPr>
            <w:rStyle w:val="Hyperlink"/>
          </w:rPr>
          <w:t>https://www.britannica.com/topic/critical-theory</w:t>
        </w:r>
      </w:hyperlink>
      <w:r w:rsidR="00E31B5D" w:rsidRPr="00E31B5D">
        <w:t xml:space="preserve">&gt; </w:t>
      </w:r>
      <w:r w:rsidR="00E31B5D" w:rsidRPr="00B65E50">
        <w:t xml:space="preserve">[accessed 1 </w:t>
      </w:r>
      <w:r w:rsidR="00E31B5D" w:rsidRPr="00E31B5D">
        <w:t>June</w:t>
      </w:r>
      <w:r w:rsidR="00E31B5D" w:rsidRPr="00B65E50">
        <w:t xml:space="preserve"> 2024]</w:t>
      </w:r>
    </w:p>
  </w:footnote>
  <w:footnote w:id="12">
    <w:p w14:paraId="5AC3C04D" w14:textId="01CD8B22" w:rsidR="00251123" w:rsidRPr="00436BC4" w:rsidRDefault="00251123">
      <w:pPr>
        <w:pStyle w:val="FootnoteText"/>
      </w:pPr>
      <w:r w:rsidRPr="00436BC4">
        <w:rPr>
          <w:rStyle w:val="FootnoteReference"/>
        </w:rPr>
        <w:footnoteRef/>
      </w:r>
      <w:r w:rsidRPr="00436BC4">
        <w:t xml:space="preserve"> Peter Barry, </w:t>
      </w:r>
      <w:r w:rsidRPr="00436BC4">
        <w:rPr>
          <w:i/>
          <w:iCs/>
        </w:rPr>
        <w:t>Beginning Theory: An Introduction to Literary and Cultural Theory</w:t>
      </w:r>
      <w:r w:rsidRPr="00436BC4">
        <w:t xml:space="preserve"> (Manchester University Press, 2002), p.2.</w:t>
      </w:r>
    </w:p>
  </w:footnote>
  <w:footnote w:id="13">
    <w:p w14:paraId="51B22D09" w14:textId="2A126A1C" w:rsidR="00F86073" w:rsidRPr="00F86073" w:rsidRDefault="00F86073">
      <w:pPr>
        <w:pStyle w:val="FootnoteText"/>
        <w:rPr>
          <w:lang w:val="en-US"/>
        </w:rPr>
      </w:pPr>
      <w:r>
        <w:rPr>
          <w:rStyle w:val="FootnoteReference"/>
        </w:rPr>
        <w:footnoteRef/>
      </w:r>
      <w:r>
        <w:t xml:space="preserve"> </w:t>
      </w:r>
      <w:r w:rsidR="00100C2C" w:rsidRPr="00100C2C">
        <w:t xml:space="preserve">Fiona Winward, ‘Some Aspects of the Women in the Four Branches.’, </w:t>
      </w:r>
      <w:r w:rsidR="00100C2C" w:rsidRPr="00100C2C">
        <w:rPr>
          <w:i/>
          <w:iCs/>
        </w:rPr>
        <w:t>Cambrian Medieval Celtic Studies</w:t>
      </w:r>
      <w:r w:rsidR="00100C2C" w:rsidRPr="00100C2C">
        <w:t>, 34 (1997), pp. 77–106</w:t>
      </w:r>
      <w:r w:rsidR="002A5D89">
        <w:t>.</w:t>
      </w:r>
      <w:r w:rsidR="00100C2C">
        <w:t xml:space="preserve">, </w:t>
      </w:r>
      <w:r w:rsidR="00100C2C" w:rsidRPr="00100C2C">
        <w:t>Roberta Valente, ‘</w:t>
      </w:r>
      <w:proofErr w:type="spellStart"/>
      <w:r w:rsidR="00100C2C" w:rsidRPr="00100C2C">
        <w:t>Merched</w:t>
      </w:r>
      <w:proofErr w:type="spellEnd"/>
      <w:r w:rsidR="00100C2C" w:rsidRPr="00100C2C">
        <w:t xml:space="preserve"> Y Mabinogi: Women and the Thematic Structure of the Four Branches’ (UMI Dissertation Information Service, 1988)</w:t>
      </w:r>
      <w:r w:rsidR="002A5D89">
        <w:t>.</w:t>
      </w:r>
      <w:r w:rsidR="00100C2C">
        <w:t xml:space="preserve">, </w:t>
      </w:r>
      <w:r w:rsidR="00100C2C" w:rsidRPr="00100C2C">
        <w:t xml:space="preserve">Kathy E </w:t>
      </w:r>
      <w:proofErr w:type="spellStart"/>
      <w:r w:rsidR="00100C2C" w:rsidRPr="00100C2C">
        <w:t>Shimpock</w:t>
      </w:r>
      <w:proofErr w:type="spellEnd"/>
      <w:r w:rsidR="00100C2C" w:rsidRPr="00100C2C">
        <w:t xml:space="preserve">, </w:t>
      </w:r>
      <w:r w:rsidR="004F3126" w:rsidRPr="004F3126">
        <w:t>The “Unlikely Female” Characters of the Mabinogi’ (unpublished master’s thesis, University of Wales Trinity Saint David, 2017).</w:t>
      </w:r>
      <w:r w:rsidR="002A5D89">
        <w:t>,</w:t>
      </w:r>
      <w:r w:rsidR="002A5D89" w:rsidRPr="002A5D89">
        <w:rPr>
          <w:sz w:val="22"/>
          <w:szCs w:val="22"/>
        </w:rPr>
        <w:t xml:space="preserve"> </w:t>
      </w:r>
      <w:r w:rsidR="002A5D89" w:rsidRPr="002A5D89">
        <w:t xml:space="preserve">Catherine Byfield, ‘Character and Conflict in the Four Branches of the Mabinogi’, </w:t>
      </w:r>
      <w:r w:rsidR="002A5D89" w:rsidRPr="002A5D89">
        <w:rPr>
          <w:i/>
          <w:iCs/>
        </w:rPr>
        <w:t>Bulletin of the Board of Celtic Studies</w:t>
      </w:r>
      <w:r w:rsidR="002A5D89" w:rsidRPr="002A5D89">
        <w:t>, 40 (1993), pp. 51–72.</w:t>
      </w:r>
    </w:p>
  </w:footnote>
  <w:footnote w:id="14">
    <w:p w14:paraId="3A703593" w14:textId="549D67FE" w:rsidR="002306B6" w:rsidRPr="002306B6" w:rsidRDefault="002306B6">
      <w:pPr>
        <w:pStyle w:val="FootnoteText"/>
        <w:rPr>
          <w:lang w:val="en-US"/>
        </w:rPr>
      </w:pPr>
      <w:r>
        <w:rPr>
          <w:rStyle w:val="FootnoteReference"/>
        </w:rPr>
        <w:footnoteRef/>
      </w:r>
      <w:r>
        <w:t xml:space="preserve"> </w:t>
      </w:r>
      <w:bookmarkStart w:id="15" w:name="_Hlk174967779"/>
      <w:r w:rsidRPr="002306B6">
        <w:t xml:space="preserve">Michel Foucault, </w:t>
      </w:r>
      <w:r w:rsidRPr="002306B6">
        <w:rPr>
          <w:i/>
          <w:iCs/>
        </w:rPr>
        <w:t>The Order of Things: An Archaeology of the Human Sciences</w:t>
      </w:r>
      <w:r w:rsidRPr="002306B6">
        <w:t xml:space="preserve"> (Routledge, 2002).</w:t>
      </w:r>
      <w:bookmarkEnd w:id="15"/>
    </w:p>
  </w:footnote>
  <w:footnote w:id="15">
    <w:p w14:paraId="60B085D1" w14:textId="192A0EF1" w:rsidR="00B777C9" w:rsidRPr="00436BC4" w:rsidRDefault="00B777C9">
      <w:pPr>
        <w:pStyle w:val="FootnoteText"/>
      </w:pPr>
      <w:r w:rsidRPr="00436BC4">
        <w:rPr>
          <w:rStyle w:val="FootnoteReference"/>
        </w:rPr>
        <w:footnoteRef/>
      </w:r>
      <w:r w:rsidRPr="00436BC4">
        <w:t xml:space="preserve"> The most obvious and controversial </w:t>
      </w:r>
      <w:r w:rsidR="00C627E1">
        <w:t>work</w:t>
      </w:r>
      <w:r w:rsidR="00D11198">
        <w:t xml:space="preserve"> that </w:t>
      </w:r>
      <w:r w:rsidR="00C627E1">
        <w:t>demonstrated</w:t>
      </w:r>
      <w:r w:rsidR="00D11198">
        <w:t xml:space="preserve"> itself to be built on gender prejudice </w:t>
      </w:r>
      <w:r w:rsidR="006E1573">
        <w:t xml:space="preserve">in recent times </w:t>
      </w:r>
      <w:r w:rsidRPr="00436BC4">
        <w:t>is the work of Breeze and h</w:t>
      </w:r>
      <w:r w:rsidR="00FC09DF" w:rsidRPr="00436BC4">
        <w:t xml:space="preserve">is analysis of themes covered within the </w:t>
      </w:r>
      <w:r w:rsidR="00FC09DF" w:rsidRPr="00436BC4">
        <w:rPr>
          <w:i/>
          <w:iCs/>
        </w:rPr>
        <w:t xml:space="preserve">Four </w:t>
      </w:r>
      <w:r w:rsidR="00FC09DF" w:rsidRPr="00C627E1">
        <w:rPr>
          <w:i/>
          <w:iCs/>
        </w:rPr>
        <w:t>Branches</w:t>
      </w:r>
      <w:r w:rsidR="00FC09DF" w:rsidRPr="00436BC4">
        <w:t xml:space="preserve"> which he claimed ‘proved’</w:t>
      </w:r>
      <w:r w:rsidRPr="00436BC4">
        <w:t xml:space="preserve"> the</w:t>
      </w:r>
      <w:r w:rsidR="00FC09DF" w:rsidRPr="00436BC4">
        <w:t>y were written by a woman</w:t>
      </w:r>
      <w:r w:rsidR="00F677D6">
        <w:t xml:space="preserve">. The innate sexism in his argument was called ‘outdated’ </w:t>
      </w:r>
      <w:r w:rsidR="006E1573">
        <w:t>when he presented it suggesting the existence of a time when such reasoning was ‘in date’.</w:t>
      </w:r>
      <w:r w:rsidR="00FC09DF" w:rsidRPr="00436BC4">
        <w:t xml:space="preserve"> – A. Breeze, </w:t>
      </w:r>
      <w:r w:rsidR="00FC09DF" w:rsidRPr="00436BC4">
        <w:rPr>
          <w:i/>
          <w:iCs/>
        </w:rPr>
        <w:t>The Origins of the Four Branches of the Mabinogi</w:t>
      </w:r>
      <w:r w:rsidR="00FC09DF" w:rsidRPr="00436BC4">
        <w:t xml:space="preserve"> (</w:t>
      </w:r>
      <w:proofErr w:type="spellStart"/>
      <w:r w:rsidR="00FC09DF" w:rsidRPr="00436BC4">
        <w:t>Gracewing</w:t>
      </w:r>
      <w:proofErr w:type="spellEnd"/>
      <w:r w:rsidR="00FC09DF" w:rsidRPr="00436BC4">
        <w:t>, 2009)</w:t>
      </w:r>
      <w:r w:rsidR="00926178">
        <w:t>,</w:t>
      </w:r>
      <w:r w:rsidR="00926178" w:rsidRPr="00926178">
        <w:rPr>
          <w:sz w:val="22"/>
          <w:szCs w:val="22"/>
        </w:rPr>
        <w:t xml:space="preserve"> </w:t>
      </w:r>
      <w:r w:rsidR="00926178" w:rsidRPr="00926178">
        <w:t xml:space="preserve">Jessica Hemming, ‘Review of Breeze (1997)’, </w:t>
      </w:r>
      <w:r w:rsidR="00926178" w:rsidRPr="00926178">
        <w:rPr>
          <w:i/>
          <w:iCs/>
        </w:rPr>
        <w:t>Early Medieval Europe</w:t>
      </w:r>
      <w:r w:rsidR="00926178" w:rsidRPr="00926178">
        <w:t>, 8 (1999), pp. 149–50.</w:t>
      </w:r>
    </w:p>
  </w:footnote>
  <w:footnote w:id="16">
    <w:p w14:paraId="2281B42B" w14:textId="77777777" w:rsidR="0003365A" w:rsidRPr="00436BC4" w:rsidRDefault="0003365A" w:rsidP="0003365A">
      <w:pPr>
        <w:pStyle w:val="FootnoteText"/>
      </w:pPr>
      <w:r w:rsidRPr="00436BC4">
        <w:rPr>
          <w:rStyle w:val="FootnoteReference"/>
        </w:rPr>
        <w:footnoteRef/>
      </w:r>
      <w:r w:rsidRPr="00436BC4">
        <w:t xml:space="preserve"> ‘</w:t>
      </w:r>
      <w:r w:rsidRPr="00436BC4">
        <w:rPr>
          <w:i/>
          <w:iCs/>
        </w:rPr>
        <w:t>Queer</w:t>
      </w:r>
      <w:r w:rsidRPr="00436BC4">
        <w:t xml:space="preserve">’, </w:t>
      </w:r>
      <w:r w:rsidRPr="00436BC4">
        <w:rPr>
          <w:i/>
          <w:iCs/>
        </w:rPr>
        <w:t>Wikipedia</w:t>
      </w:r>
      <w:r w:rsidRPr="00436BC4">
        <w:t>, 2023 &lt;</w:t>
      </w:r>
      <w:hyperlink r:id="rId2" w:history="1">
        <w:r w:rsidRPr="00436BC4">
          <w:rPr>
            <w:rStyle w:val="Hyperlink"/>
          </w:rPr>
          <w:t>https://en.wikipedia.org/w/index.php?title=Queer&amp;oldid=1167989868</w:t>
        </w:r>
      </w:hyperlink>
      <w:r w:rsidRPr="00436BC4">
        <w:t>&gt;</w:t>
      </w:r>
    </w:p>
  </w:footnote>
  <w:footnote w:id="17">
    <w:p w14:paraId="64E9893F" w14:textId="598094E0" w:rsidR="0003365A" w:rsidRPr="0031666B" w:rsidRDefault="0003365A" w:rsidP="0003365A">
      <w:pPr>
        <w:pStyle w:val="FootnoteText"/>
        <w:rPr>
          <w:i/>
          <w:iCs/>
        </w:rPr>
      </w:pPr>
      <w:r w:rsidRPr="00436BC4">
        <w:rPr>
          <w:rStyle w:val="FootnoteReference"/>
        </w:rPr>
        <w:footnoteRef/>
      </w:r>
      <w:r w:rsidRPr="00436BC4">
        <w:t xml:space="preserve"> </w:t>
      </w:r>
      <w:r w:rsidR="0031666B">
        <w:rPr>
          <w:i/>
          <w:iCs/>
        </w:rPr>
        <w:t>Ibid.</w:t>
      </w:r>
    </w:p>
  </w:footnote>
  <w:footnote w:id="18">
    <w:p w14:paraId="2C15F656" w14:textId="5179F9DF" w:rsidR="00F733FD" w:rsidRPr="00436BC4" w:rsidRDefault="00F733FD" w:rsidP="00F733FD">
      <w:pPr>
        <w:pStyle w:val="FootnoteText"/>
      </w:pPr>
      <w:r w:rsidRPr="00436BC4">
        <w:rPr>
          <w:rStyle w:val="FootnoteReference"/>
        </w:rPr>
        <w:footnoteRef/>
      </w:r>
      <w:r w:rsidRPr="00436BC4">
        <w:t xml:space="preserve"> </w:t>
      </w:r>
      <w:bookmarkStart w:id="19" w:name="_Hlk175305788"/>
      <w:r w:rsidR="00416873" w:rsidRPr="00436BC4">
        <w:t xml:space="preserve">Hannah McCann and Whitney Monaghan, </w:t>
      </w:r>
      <w:r w:rsidR="00416873" w:rsidRPr="00436BC4">
        <w:rPr>
          <w:i/>
          <w:iCs/>
        </w:rPr>
        <w:t>Queer Theory Now: From Foundations to Futures</w:t>
      </w:r>
      <w:r w:rsidR="00416873" w:rsidRPr="00436BC4">
        <w:t>, 1st ed. (Red Globe Press, 20</w:t>
      </w:r>
      <w:r w:rsidR="00CA7E84">
        <w:t>20</w:t>
      </w:r>
      <w:r w:rsidR="00416873" w:rsidRPr="00436BC4">
        <w:t>)</w:t>
      </w:r>
      <w:bookmarkEnd w:id="19"/>
      <w:r w:rsidR="00416873" w:rsidRPr="00436BC4">
        <w:t xml:space="preserve">, </w:t>
      </w:r>
      <w:r w:rsidRPr="00436BC4">
        <w:t>pp.92-93.</w:t>
      </w:r>
    </w:p>
  </w:footnote>
  <w:footnote w:id="19">
    <w:p w14:paraId="1E9C7A49" w14:textId="750F10FD" w:rsidR="0003365A" w:rsidRPr="00436BC4" w:rsidRDefault="0003365A" w:rsidP="0003365A">
      <w:pPr>
        <w:pStyle w:val="FootnoteText"/>
      </w:pPr>
      <w:r w:rsidRPr="00436BC4">
        <w:rPr>
          <w:rStyle w:val="FootnoteReference"/>
        </w:rPr>
        <w:footnoteRef/>
      </w:r>
      <w:r w:rsidRPr="00436BC4">
        <w:t xml:space="preserve"> </w:t>
      </w:r>
      <w:r w:rsidR="0031666B">
        <w:rPr>
          <w:i/>
          <w:iCs/>
        </w:rPr>
        <w:t>Ibid.,</w:t>
      </w:r>
      <w:r w:rsidRPr="00436BC4">
        <w:t xml:space="preserve"> p.2.</w:t>
      </w:r>
    </w:p>
  </w:footnote>
  <w:footnote w:id="20">
    <w:p w14:paraId="09D29681" w14:textId="7CE0367D" w:rsidR="00F733FD" w:rsidRPr="00436BC4" w:rsidRDefault="00F733FD" w:rsidP="00F733FD">
      <w:pPr>
        <w:pStyle w:val="FootnoteText"/>
      </w:pPr>
      <w:r w:rsidRPr="00436BC4">
        <w:rPr>
          <w:rStyle w:val="FootnoteReference"/>
        </w:rPr>
        <w:footnoteRef/>
      </w:r>
      <w:r w:rsidRPr="00436BC4">
        <w:t xml:space="preserve"> </w:t>
      </w:r>
      <w:r w:rsidR="0031666B">
        <w:rPr>
          <w:i/>
          <w:iCs/>
        </w:rPr>
        <w:t>Ibid.,</w:t>
      </w:r>
      <w:r w:rsidR="00EB2AD3">
        <w:t xml:space="preserve"> </w:t>
      </w:r>
      <w:r w:rsidR="0031666B">
        <w:t>A</w:t>
      </w:r>
      <w:r w:rsidR="00EB2AD3" w:rsidRPr="00EB2AD3">
        <w:t>ctivism beginning in this period took many forms (sit-ins, boycotts, marches, art installations, public sphere takeovers, riots, etc), however civil disobedience on small and large scale in the face of systemic silencing of queer communities, sought to draw attention to the fatal consequences of homophobic inaction in public discourse, and as a second aim, to affirm gay pride – that is to say, pride in lives and bodies that fall outside of the “respectable” notions of heteronormativity.</w:t>
      </w:r>
    </w:p>
  </w:footnote>
  <w:footnote w:id="21">
    <w:p w14:paraId="740C1191" w14:textId="77777777" w:rsidR="0003365A" w:rsidRPr="00436BC4" w:rsidRDefault="0003365A" w:rsidP="0003365A">
      <w:pPr>
        <w:pStyle w:val="FootnoteText"/>
      </w:pPr>
      <w:r w:rsidRPr="00436BC4">
        <w:rPr>
          <w:rStyle w:val="FootnoteReference"/>
        </w:rPr>
        <w:footnoteRef/>
      </w:r>
      <w:r w:rsidRPr="00436BC4">
        <w:t xml:space="preserve"> David M. Halperin, ‘The Normalization of Queer Theory’, </w:t>
      </w:r>
      <w:r w:rsidRPr="00436BC4">
        <w:rPr>
          <w:i/>
          <w:iCs/>
        </w:rPr>
        <w:t>Journal of Homosexuality</w:t>
      </w:r>
      <w:r w:rsidRPr="00436BC4">
        <w:t>, 45.2–4 (2003), p.339.</w:t>
      </w:r>
    </w:p>
  </w:footnote>
  <w:footnote w:id="22">
    <w:p w14:paraId="0E0AD9B8" w14:textId="3C0CBB0B" w:rsidR="0003365A" w:rsidRPr="00436BC4" w:rsidRDefault="0003365A" w:rsidP="0003365A">
      <w:pPr>
        <w:pStyle w:val="FootnoteText"/>
      </w:pPr>
      <w:r w:rsidRPr="00436BC4">
        <w:rPr>
          <w:rStyle w:val="FootnoteReference"/>
        </w:rPr>
        <w:footnoteRef/>
      </w:r>
      <w:r w:rsidRPr="00436BC4">
        <w:t xml:space="preserve"> </w:t>
      </w:r>
      <w:r w:rsidR="00A16076">
        <w:rPr>
          <w:i/>
          <w:iCs/>
        </w:rPr>
        <w:t xml:space="preserve">Ibid., </w:t>
      </w:r>
      <w:r w:rsidRPr="00436BC4">
        <w:t>p.340.</w:t>
      </w:r>
    </w:p>
  </w:footnote>
  <w:footnote w:id="23">
    <w:p w14:paraId="774CA9E4" w14:textId="77777777" w:rsidR="00CD1126" w:rsidRPr="00436BC4" w:rsidRDefault="00CD1126" w:rsidP="00CD1126">
      <w:pPr>
        <w:pStyle w:val="FootnoteText"/>
      </w:pPr>
      <w:r w:rsidRPr="00436BC4">
        <w:rPr>
          <w:rStyle w:val="FootnoteReference"/>
        </w:rPr>
        <w:footnoteRef/>
      </w:r>
      <w:r w:rsidRPr="00436BC4">
        <w:t xml:space="preserve"> Judith Butler, </w:t>
      </w:r>
      <w:r w:rsidRPr="00436BC4">
        <w:rPr>
          <w:i/>
          <w:iCs/>
        </w:rPr>
        <w:t>Gender Trouble: Feminism and the Subversion of Identity</w:t>
      </w:r>
      <w:r w:rsidRPr="00436BC4">
        <w:t xml:space="preserve"> (Routledge, 1999).</w:t>
      </w:r>
    </w:p>
  </w:footnote>
  <w:footnote w:id="24">
    <w:p w14:paraId="531E7548" w14:textId="6391ECD8" w:rsidR="00CD1126" w:rsidRPr="00436BC4" w:rsidRDefault="00CD1126" w:rsidP="00CD1126">
      <w:pPr>
        <w:pStyle w:val="FootnoteText"/>
      </w:pPr>
      <w:r w:rsidRPr="00436BC4">
        <w:rPr>
          <w:rStyle w:val="FootnoteReference"/>
        </w:rPr>
        <w:footnoteRef/>
      </w:r>
      <w:r w:rsidRPr="00436BC4">
        <w:t xml:space="preserve"> </w:t>
      </w:r>
      <w:r w:rsidR="00A16076">
        <w:rPr>
          <w:i/>
          <w:iCs/>
        </w:rPr>
        <w:t>Ibid.</w:t>
      </w:r>
    </w:p>
  </w:footnote>
  <w:footnote w:id="25">
    <w:p w14:paraId="43C97868" w14:textId="77777777" w:rsidR="00D33E86" w:rsidRPr="00436BC4" w:rsidRDefault="00D33E86" w:rsidP="00D33E86">
      <w:pPr>
        <w:pStyle w:val="FootnoteText"/>
      </w:pPr>
      <w:r w:rsidRPr="00436BC4">
        <w:rPr>
          <w:rStyle w:val="FootnoteReference"/>
        </w:rPr>
        <w:footnoteRef/>
      </w:r>
      <w:r w:rsidRPr="00436BC4">
        <w:t xml:space="preserve"> Judith Butler, </w:t>
      </w:r>
      <w:r w:rsidRPr="00436BC4">
        <w:rPr>
          <w:i/>
          <w:iCs/>
        </w:rPr>
        <w:t>Gender Trouble: Feminism and the Subversion of Identity</w:t>
      </w:r>
      <w:r w:rsidRPr="00436BC4">
        <w:t xml:space="preserve"> (Routledge, 1999), pp. 32-33.</w:t>
      </w:r>
    </w:p>
  </w:footnote>
  <w:footnote w:id="26">
    <w:p w14:paraId="7EF59FED" w14:textId="68F1F0A2" w:rsidR="00CD1126" w:rsidRPr="00436BC4" w:rsidRDefault="00CD1126" w:rsidP="00CD1126">
      <w:pPr>
        <w:pStyle w:val="FootnoteText"/>
      </w:pPr>
      <w:r w:rsidRPr="00436BC4">
        <w:rPr>
          <w:rStyle w:val="FootnoteReference"/>
        </w:rPr>
        <w:footnoteRef/>
      </w:r>
      <w:r w:rsidRPr="00436BC4">
        <w:t xml:space="preserve"> </w:t>
      </w:r>
      <w:r w:rsidR="00A16076">
        <w:rPr>
          <w:i/>
          <w:iCs/>
        </w:rPr>
        <w:t xml:space="preserve">Ibid., </w:t>
      </w:r>
      <w:r w:rsidRPr="00436BC4">
        <w:t>pp. 32-33.</w:t>
      </w:r>
    </w:p>
  </w:footnote>
  <w:footnote w:id="27">
    <w:p w14:paraId="30054727" w14:textId="12CAD6F6" w:rsidR="00CD1126" w:rsidRPr="00436BC4" w:rsidRDefault="00CD1126" w:rsidP="00CD1126">
      <w:pPr>
        <w:pStyle w:val="FootnoteText"/>
      </w:pPr>
      <w:r w:rsidRPr="00436BC4">
        <w:rPr>
          <w:rStyle w:val="FootnoteReference"/>
        </w:rPr>
        <w:footnoteRef/>
      </w:r>
      <w:r w:rsidRPr="00436BC4">
        <w:t xml:space="preserve"> </w:t>
      </w:r>
      <w:r w:rsidR="00CA7E84" w:rsidRPr="00436BC4">
        <w:t xml:space="preserve">Hannah McCann and Whitney Monaghan, </w:t>
      </w:r>
      <w:r w:rsidR="00CA7E84" w:rsidRPr="00436BC4">
        <w:rPr>
          <w:i/>
          <w:iCs/>
        </w:rPr>
        <w:t>Queer Theory Now</w:t>
      </w:r>
      <w:r w:rsidR="00CA7E84">
        <w:t xml:space="preserve">, </w:t>
      </w:r>
      <w:r w:rsidRPr="00436BC4">
        <w:t>p.129.</w:t>
      </w:r>
    </w:p>
  </w:footnote>
  <w:footnote w:id="28">
    <w:p w14:paraId="558766FA" w14:textId="04C53F0E" w:rsidR="00CD1126" w:rsidRPr="00436BC4" w:rsidRDefault="00CD1126" w:rsidP="00CD1126">
      <w:pPr>
        <w:pStyle w:val="FootnoteText"/>
      </w:pPr>
      <w:r w:rsidRPr="00436BC4">
        <w:rPr>
          <w:rStyle w:val="FootnoteReference"/>
        </w:rPr>
        <w:footnoteRef/>
      </w:r>
      <w:r w:rsidRPr="00436BC4">
        <w:t xml:space="preserve"> </w:t>
      </w:r>
      <w:r w:rsidR="00A16076">
        <w:rPr>
          <w:i/>
          <w:iCs/>
        </w:rPr>
        <w:t>Ibid.</w:t>
      </w:r>
    </w:p>
  </w:footnote>
  <w:footnote w:id="29">
    <w:p w14:paraId="46866D6C" w14:textId="1D75F9F4" w:rsidR="00CD1126" w:rsidRPr="00436BC4" w:rsidRDefault="00CD1126" w:rsidP="00CD1126">
      <w:pPr>
        <w:pStyle w:val="FootnoteText"/>
      </w:pPr>
      <w:r w:rsidRPr="00436BC4">
        <w:rPr>
          <w:rStyle w:val="FootnoteReference"/>
        </w:rPr>
        <w:footnoteRef/>
      </w:r>
      <w:r w:rsidRPr="00436BC4">
        <w:t xml:space="preserve"> Judith Butler, </w:t>
      </w:r>
      <w:r w:rsidRPr="00436BC4">
        <w:rPr>
          <w:i/>
          <w:iCs/>
        </w:rPr>
        <w:t>Gender Trouble</w:t>
      </w:r>
      <w:r w:rsidRPr="00436BC4">
        <w:t>, p.158</w:t>
      </w:r>
    </w:p>
  </w:footnote>
  <w:footnote w:id="30">
    <w:p w14:paraId="514F2D00" w14:textId="77777777" w:rsidR="0003365A" w:rsidRPr="00436BC4" w:rsidRDefault="0003365A" w:rsidP="0003365A">
      <w:pPr>
        <w:pStyle w:val="FootnoteText"/>
      </w:pPr>
      <w:r w:rsidRPr="00436BC4">
        <w:rPr>
          <w:rStyle w:val="FootnoteReference"/>
        </w:rPr>
        <w:footnoteRef/>
      </w:r>
      <w:r w:rsidRPr="00436BC4">
        <w:t xml:space="preserve"> Michael Warner, ‘Introduction: Fear of a Queer Planet’, </w:t>
      </w:r>
      <w:r w:rsidRPr="00436BC4">
        <w:rPr>
          <w:i/>
          <w:iCs/>
        </w:rPr>
        <w:t>Social Text</w:t>
      </w:r>
      <w:r w:rsidRPr="00436BC4">
        <w:t>, 29, 1991, p.3.</w:t>
      </w:r>
    </w:p>
  </w:footnote>
  <w:footnote w:id="31">
    <w:p w14:paraId="657E4BF0" w14:textId="70674747" w:rsidR="0003365A" w:rsidRPr="00436BC4" w:rsidRDefault="0003365A" w:rsidP="0003365A">
      <w:pPr>
        <w:pStyle w:val="FootnoteText"/>
      </w:pPr>
      <w:r w:rsidRPr="00436BC4">
        <w:rPr>
          <w:rStyle w:val="FootnoteReference"/>
        </w:rPr>
        <w:footnoteRef/>
      </w:r>
      <w:r w:rsidRPr="00436BC4">
        <w:t xml:space="preserve"> </w:t>
      </w:r>
      <w:r w:rsidR="00936C86" w:rsidRPr="00436BC4">
        <w:t xml:space="preserve">Hannah McCann and Whitney Monaghan, </w:t>
      </w:r>
      <w:r w:rsidR="00936C86" w:rsidRPr="00436BC4">
        <w:rPr>
          <w:i/>
          <w:iCs/>
        </w:rPr>
        <w:t>Queer Theory Now</w:t>
      </w:r>
      <w:r w:rsidR="00936C86">
        <w:t xml:space="preserve">, </w:t>
      </w:r>
      <w:r w:rsidRPr="00436BC4">
        <w:t>p.4.</w:t>
      </w:r>
    </w:p>
  </w:footnote>
  <w:footnote w:id="32">
    <w:p w14:paraId="39342874" w14:textId="45266973" w:rsidR="0003365A" w:rsidRPr="00436BC4" w:rsidRDefault="0003365A" w:rsidP="0003365A">
      <w:pPr>
        <w:pStyle w:val="FootnoteText"/>
      </w:pPr>
      <w:r w:rsidRPr="00436BC4">
        <w:rPr>
          <w:rStyle w:val="FootnoteReference"/>
        </w:rPr>
        <w:footnoteRef/>
      </w:r>
      <w:r w:rsidRPr="00436BC4">
        <w:t xml:space="preserve"> Michel Foucault, </w:t>
      </w:r>
      <w:r w:rsidRPr="00436BC4">
        <w:rPr>
          <w:i/>
          <w:iCs/>
        </w:rPr>
        <w:t>The History of Sexuality: 1: The Will to Knowledge</w:t>
      </w:r>
      <w:r w:rsidRPr="00436BC4">
        <w:t>, trans. by Robert Hurley (Penguin, 1998).</w:t>
      </w:r>
    </w:p>
  </w:footnote>
  <w:footnote w:id="33">
    <w:p w14:paraId="2100C40F" w14:textId="2108D978" w:rsidR="0003365A" w:rsidRPr="00436BC4" w:rsidRDefault="0003365A" w:rsidP="0003365A">
      <w:pPr>
        <w:pStyle w:val="FootnoteText"/>
      </w:pPr>
      <w:r w:rsidRPr="00436BC4">
        <w:rPr>
          <w:rStyle w:val="FootnoteReference"/>
        </w:rPr>
        <w:footnoteRef/>
      </w:r>
      <w:r w:rsidRPr="00436BC4">
        <w:t xml:space="preserve"> </w:t>
      </w:r>
      <w:r w:rsidR="00030264">
        <w:rPr>
          <w:i/>
          <w:iCs/>
        </w:rPr>
        <w:t>Ibid.</w:t>
      </w:r>
    </w:p>
  </w:footnote>
  <w:footnote w:id="34">
    <w:p w14:paraId="69881823" w14:textId="38357473" w:rsidR="00BB7689" w:rsidRPr="00436BC4" w:rsidRDefault="00BB7689">
      <w:pPr>
        <w:pStyle w:val="FootnoteText"/>
      </w:pPr>
      <w:r w:rsidRPr="00436BC4">
        <w:rPr>
          <w:rStyle w:val="FootnoteReference"/>
        </w:rPr>
        <w:footnoteRef/>
      </w:r>
      <w:r w:rsidRPr="00436BC4">
        <w:t xml:space="preserve"> </w:t>
      </w:r>
      <w:r w:rsidR="0020210E" w:rsidRPr="00436BC4">
        <w:t xml:space="preserve">Hannah McCann and Whitney Monaghan, </w:t>
      </w:r>
      <w:r w:rsidR="0020210E" w:rsidRPr="00436BC4">
        <w:rPr>
          <w:i/>
          <w:iCs/>
        </w:rPr>
        <w:t>Queer Theory Now</w:t>
      </w:r>
      <w:r w:rsidR="0020210E">
        <w:t xml:space="preserve">, </w:t>
      </w:r>
      <w:r w:rsidRPr="00436BC4">
        <w:t>p.213.</w:t>
      </w:r>
    </w:p>
  </w:footnote>
  <w:footnote w:id="35">
    <w:p w14:paraId="455000BB" w14:textId="0F881BBC" w:rsidR="00A81B18" w:rsidRPr="00436BC4" w:rsidRDefault="00A81B18">
      <w:pPr>
        <w:pStyle w:val="FootnoteText"/>
      </w:pPr>
      <w:r w:rsidRPr="00436BC4">
        <w:rPr>
          <w:rStyle w:val="FootnoteReference"/>
        </w:rPr>
        <w:footnoteRef/>
      </w:r>
      <w:r w:rsidRPr="00436BC4">
        <w:t xml:space="preserve"> </w:t>
      </w:r>
      <w:r w:rsidR="0020210E" w:rsidRPr="00436BC4">
        <w:t xml:space="preserve">Hannah McCann and Whitney Monaghan, </w:t>
      </w:r>
      <w:r w:rsidR="0020210E" w:rsidRPr="00436BC4">
        <w:rPr>
          <w:i/>
          <w:iCs/>
        </w:rPr>
        <w:t>Queer Theory Now</w:t>
      </w:r>
      <w:r w:rsidR="0020210E">
        <w:t xml:space="preserve">, </w:t>
      </w:r>
      <w:r w:rsidRPr="00436BC4">
        <w:t>p.214.</w:t>
      </w:r>
    </w:p>
  </w:footnote>
  <w:footnote w:id="36">
    <w:p w14:paraId="717BFC57" w14:textId="5F8736C3" w:rsidR="00E6491D" w:rsidRPr="00E6491D" w:rsidRDefault="00E6491D">
      <w:pPr>
        <w:pStyle w:val="FootnoteText"/>
        <w:rPr>
          <w:lang w:val="en-US"/>
        </w:rPr>
      </w:pPr>
      <w:r>
        <w:rPr>
          <w:rStyle w:val="FootnoteReference"/>
        </w:rPr>
        <w:footnoteRef/>
      </w:r>
      <w:r>
        <w:t xml:space="preserve"> </w:t>
      </w:r>
      <w:r w:rsidR="00030264">
        <w:rPr>
          <w:i/>
          <w:iCs/>
        </w:rPr>
        <w:t>Ibid.</w:t>
      </w:r>
    </w:p>
  </w:footnote>
  <w:footnote w:id="37">
    <w:p w14:paraId="5208D1D7" w14:textId="7E229309" w:rsidR="00465587" w:rsidRPr="00436BC4" w:rsidRDefault="00465587">
      <w:pPr>
        <w:pStyle w:val="FootnoteText"/>
      </w:pPr>
      <w:r w:rsidRPr="00436BC4">
        <w:rPr>
          <w:rStyle w:val="FootnoteReference"/>
        </w:rPr>
        <w:footnoteRef/>
      </w:r>
      <w:r w:rsidRPr="00436BC4">
        <w:t xml:space="preserve"> Elizabeth Freeman, </w:t>
      </w:r>
      <w:r w:rsidRPr="00436BC4">
        <w:rPr>
          <w:i/>
          <w:iCs/>
        </w:rPr>
        <w:t>Time Binds: Queer Temporalities, Queer Histories</w:t>
      </w:r>
      <w:r w:rsidRPr="00436BC4">
        <w:t xml:space="preserve"> (Duke University Press, 2010).</w:t>
      </w:r>
    </w:p>
  </w:footnote>
  <w:footnote w:id="38">
    <w:p w14:paraId="52A0E600" w14:textId="147FF216" w:rsidR="004A6137" w:rsidRPr="00436BC4" w:rsidRDefault="004A6137">
      <w:pPr>
        <w:pStyle w:val="FootnoteText"/>
      </w:pPr>
      <w:r w:rsidRPr="00436BC4">
        <w:rPr>
          <w:rStyle w:val="FootnoteReference"/>
        </w:rPr>
        <w:footnoteRef/>
      </w:r>
      <w:r w:rsidRPr="00436BC4">
        <w:t xml:space="preserve"> </w:t>
      </w:r>
      <w:r w:rsidR="00795857" w:rsidRPr="00436BC4">
        <w:t xml:space="preserve">J. Jack Halberstam, </w:t>
      </w:r>
      <w:r w:rsidR="00795857" w:rsidRPr="00436BC4">
        <w:rPr>
          <w:i/>
          <w:iCs/>
        </w:rPr>
        <w:t>In a Queer Time and Place: Transgender Bodies, Subcultural Lives</w:t>
      </w:r>
      <w:r w:rsidR="00795857" w:rsidRPr="00436BC4">
        <w:t xml:space="preserve"> (NYU Press, 2005)</w:t>
      </w:r>
      <w:r w:rsidR="00030264">
        <w:t xml:space="preserve">, </w:t>
      </w:r>
      <w:r w:rsidRPr="00436BC4">
        <w:t>p.1.</w:t>
      </w:r>
    </w:p>
  </w:footnote>
  <w:footnote w:id="39">
    <w:p w14:paraId="009196B9" w14:textId="4DF50FF2" w:rsidR="00143BC8" w:rsidRPr="00436BC4" w:rsidRDefault="00143BC8">
      <w:pPr>
        <w:pStyle w:val="FootnoteText"/>
      </w:pPr>
      <w:r w:rsidRPr="00436BC4">
        <w:rPr>
          <w:rStyle w:val="FootnoteReference"/>
        </w:rPr>
        <w:footnoteRef/>
      </w:r>
      <w:r w:rsidRPr="00436BC4">
        <w:t xml:space="preserve"> </w:t>
      </w:r>
      <w:r w:rsidR="00030264">
        <w:rPr>
          <w:i/>
          <w:iCs/>
        </w:rPr>
        <w:t xml:space="preserve">Ibid., </w:t>
      </w:r>
      <w:r w:rsidRPr="00436BC4">
        <w:t>p.216.</w:t>
      </w:r>
    </w:p>
  </w:footnote>
  <w:footnote w:id="40">
    <w:p w14:paraId="2619ED4D" w14:textId="092D797C" w:rsidR="009C038D" w:rsidRPr="00436BC4" w:rsidRDefault="009C038D">
      <w:pPr>
        <w:pStyle w:val="FootnoteText"/>
      </w:pPr>
      <w:r w:rsidRPr="00436BC4">
        <w:rPr>
          <w:rStyle w:val="FootnoteReference"/>
        </w:rPr>
        <w:footnoteRef/>
      </w:r>
      <w:r w:rsidRPr="00436BC4">
        <w:t xml:space="preserve"> </w:t>
      </w:r>
      <w:r w:rsidR="00030264">
        <w:rPr>
          <w:i/>
          <w:iCs/>
        </w:rPr>
        <w:t xml:space="preserve">Ibid., </w:t>
      </w:r>
      <w:r w:rsidRPr="00436BC4">
        <w:t>p.5.</w:t>
      </w:r>
    </w:p>
  </w:footnote>
  <w:footnote w:id="41">
    <w:p w14:paraId="3E7B5821" w14:textId="6DC09ED1" w:rsidR="00B65D97" w:rsidRPr="00436BC4" w:rsidRDefault="00B65D97">
      <w:pPr>
        <w:pStyle w:val="FootnoteText"/>
      </w:pPr>
      <w:r w:rsidRPr="00436BC4">
        <w:rPr>
          <w:rStyle w:val="FootnoteReference"/>
        </w:rPr>
        <w:footnoteRef/>
      </w:r>
      <w:r w:rsidRPr="00436BC4">
        <w:t xml:space="preserve"> J. Jack Halberstam, </w:t>
      </w:r>
      <w:r w:rsidRPr="00436BC4">
        <w:rPr>
          <w:i/>
          <w:iCs/>
        </w:rPr>
        <w:t>In a Queer Time and Place</w:t>
      </w:r>
      <w:r w:rsidR="00030264">
        <w:rPr>
          <w:i/>
          <w:iCs/>
        </w:rPr>
        <w:t xml:space="preserve">, </w:t>
      </w:r>
      <w:r w:rsidRPr="00436BC4">
        <w:t xml:space="preserve">p.5., </w:t>
      </w:r>
      <w:bookmarkStart w:id="23" w:name="_Hlk173622280"/>
      <w:r w:rsidR="00E12A1E" w:rsidRPr="00436BC4">
        <w:t xml:space="preserve">Hannah McCann and Whitney Monaghan, </w:t>
      </w:r>
      <w:r w:rsidR="00E12A1E" w:rsidRPr="00436BC4">
        <w:rPr>
          <w:i/>
          <w:iCs/>
        </w:rPr>
        <w:t>Queer Theory Now</w:t>
      </w:r>
      <w:r w:rsidR="00E12A1E">
        <w:t xml:space="preserve">, </w:t>
      </w:r>
      <w:r w:rsidRPr="00436BC4">
        <w:t>p.21</w:t>
      </w:r>
      <w:r w:rsidR="00D1545B" w:rsidRPr="00436BC4">
        <w:t>6</w:t>
      </w:r>
      <w:r w:rsidRPr="00436BC4">
        <w:t>.</w:t>
      </w:r>
    </w:p>
    <w:bookmarkEnd w:id="23"/>
  </w:footnote>
  <w:footnote w:id="42">
    <w:p w14:paraId="28F0AF7E" w14:textId="4E60F1E4" w:rsidR="00D2003C" w:rsidRPr="00436BC4" w:rsidRDefault="00D2003C">
      <w:pPr>
        <w:pStyle w:val="FootnoteText"/>
      </w:pPr>
      <w:r w:rsidRPr="00436BC4">
        <w:rPr>
          <w:rStyle w:val="FootnoteReference"/>
        </w:rPr>
        <w:footnoteRef/>
      </w:r>
      <w:r w:rsidRPr="00436BC4">
        <w:t xml:space="preserve"> </w:t>
      </w:r>
      <w:r w:rsidR="00E12A1E" w:rsidRPr="00436BC4">
        <w:t xml:space="preserve">Hannah McCann and Whitney Monaghan, </w:t>
      </w:r>
      <w:r w:rsidR="00E12A1E" w:rsidRPr="00436BC4">
        <w:rPr>
          <w:i/>
          <w:iCs/>
        </w:rPr>
        <w:t>Queer Theory Now</w:t>
      </w:r>
      <w:r w:rsidR="00E12A1E">
        <w:t xml:space="preserve">, </w:t>
      </w:r>
      <w:r w:rsidRPr="00436BC4">
        <w:t>p.21</w:t>
      </w:r>
      <w:r w:rsidR="00D1545B" w:rsidRPr="00436BC4">
        <w:t>7</w:t>
      </w:r>
      <w:r w:rsidRPr="00436BC4">
        <w:t>.</w:t>
      </w:r>
    </w:p>
  </w:footnote>
  <w:footnote w:id="43">
    <w:p w14:paraId="66334C81" w14:textId="277F0510" w:rsidR="003D6E34" w:rsidRPr="001215FF" w:rsidRDefault="003D6E34" w:rsidP="003D6E34">
      <w:pPr>
        <w:pStyle w:val="FootnoteText"/>
        <w:rPr>
          <w:lang w:val="en-US"/>
        </w:rPr>
      </w:pPr>
      <w:r>
        <w:rPr>
          <w:rStyle w:val="FootnoteReference"/>
        </w:rPr>
        <w:footnoteRef/>
      </w:r>
      <w:r>
        <w:t xml:space="preserve"> </w:t>
      </w:r>
      <w:r w:rsidR="00E12A1E" w:rsidRPr="00436BC4">
        <w:t xml:space="preserve">Hannah McCann and Whitney Monaghan, </w:t>
      </w:r>
      <w:r w:rsidR="00E12A1E" w:rsidRPr="00436BC4">
        <w:rPr>
          <w:i/>
          <w:iCs/>
        </w:rPr>
        <w:t>Queer Theory Now</w:t>
      </w:r>
      <w:r w:rsidR="00E12A1E">
        <w:t xml:space="preserve">, </w:t>
      </w:r>
      <w:r w:rsidRPr="00436BC4">
        <w:t>p.217.</w:t>
      </w:r>
      <w:r>
        <w:t xml:space="preserve">, </w:t>
      </w:r>
      <w:r w:rsidRPr="001215FF">
        <w:t xml:space="preserve">Hannah McCann, </w:t>
      </w:r>
      <w:r w:rsidRPr="001215FF">
        <w:rPr>
          <w:i/>
          <w:iCs/>
        </w:rPr>
        <w:t>Queering Femininity: Sexuality, Feminism and the Politics of Presentation</w:t>
      </w:r>
      <w:r w:rsidRPr="001215FF">
        <w:t xml:space="preserve"> (Routledge, 2018)</w:t>
      </w:r>
      <w:r>
        <w:t>.</w:t>
      </w:r>
    </w:p>
  </w:footnote>
  <w:footnote w:id="44">
    <w:p w14:paraId="275045C0" w14:textId="36E98441" w:rsidR="008141A5" w:rsidRPr="00436BC4" w:rsidRDefault="008141A5">
      <w:pPr>
        <w:pStyle w:val="FootnoteText"/>
      </w:pPr>
      <w:r w:rsidRPr="00436BC4">
        <w:rPr>
          <w:rStyle w:val="FootnoteReference"/>
        </w:rPr>
        <w:footnoteRef/>
      </w:r>
      <w:r w:rsidRPr="00436BC4">
        <w:t xml:space="preserve"> </w:t>
      </w:r>
      <w:r w:rsidR="00F40676" w:rsidRPr="00436BC4">
        <w:t xml:space="preserve">Carolyn Dinshaw, </w:t>
      </w:r>
      <w:r w:rsidR="00F40676" w:rsidRPr="00436BC4">
        <w:rPr>
          <w:i/>
          <w:iCs/>
        </w:rPr>
        <w:t>Getting Medieval: Sexualities and Communities, Pre- and Postmodern</w:t>
      </w:r>
      <w:r w:rsidR="00F40676" w:rsidRPr="00436BC4">
        <w:t xml:space="preserve"> (Duke University Press, 1999), p.1, </w:t>
      </w:r>
      <w:r w:rsidR="004430D4" w:rsidRPr="004430D4">
        <w:t xml:space="preserve">Hannah McCann and Whitney Monaghan, </w:t>
      </w:r>
      <w:r w:rsidR="004430D4" w:rsidRPr="004430D4">
        <w:rPr>
          <w:i/>
          <w:iCs/>
        </w:rPr>
        <w:t>Queer Theory Now</w:t>
      </w:r>
      <w:r w:rsidR="004430D4">
        <w:t xml:space="preserve">, </w:t>
      </w:r>
      <w:r w:rsidRPr="00436BC4">
        <w:t>p.215</w:t>
      </w:r>
      <w:r w:rsidR="00F40676" w:rsidRPr="00436BC4">
        <w:t>.</w:t>
      </w:r>
    </w:p>
  </w:footnote>
  <w:footnote w:id="45">
    <w:p w14:paraId="5AB2A59B" w14:textId="7AC640F0" w:rsidR="00C56424" w:rsidRPr="00436BC4" w:rsidRDefault="00C56424" w:rsidP="00C56424">
      <w:pPr>
        <w:pStyle w:val="FootnoteText"/>
      </w:pPr>
      <w:r w:rsidRPr="00436BC4">
        <w:rPr>
          <w:rStyle w:val="FootnoteReference"/>
        </w:rPr>
        <w:footnoteRef/>
      </w:r>
      <w:r w:rsidRPr="00436BC4">
        <w:t xml:space="preserve"> </w:t>
      </w:r>
      <w:bookmarkStart w:id="24" w:name="_Hlk173618690"/>
      <w:r w:rsidR="00E97DB9" w:rsidRPr="00436BC4">
        <w:t xml:space="preserve">Carolyn Dinshaw, </w:t>
      </w:r>
      <w:r w:rsidR="00E97DB9" w:rsidRPr="00436BC4">
        <w:rPr>
          <w:i/>
          <w:iCs/>
        </w:rPr>
        <w:t>Getting Medieval</w:t>
      </w:r>
      <w:r w:rsidR="00E97DB9" w:rsidRPr="00436BC4">
        <w:t xml:space="preserve">, p.1, </w:t>
      </w:r>
      <w:r w:rsidR="004430D4" w:rsidRPr="00436BC4">
        <w:t xml:space="preserve">Hannah McCann and Whitney Monaghan, </w:t>
      </w:r>
      <w:r w:rsidR="004430D4" w:rsidRPr="00436BC4">
        <w:rPr>
          <w:i/>
          <w:iCs/>
        </w:rPr>
        <w:t>Queer Theory Now</w:t>
      </w:r>
      <w:r w:rsidR="004430D4">
        <w:t xml:space="preserve">, </w:t>
      </w:r>
      <w:r w:rsidR="00E97DB9" w:rsidRPr="00436BC4">
        <w:t>p.215.</w:t>
      </w:r>
      <w:bookmarkEnd w:id="24"/>
    </w:p>
  </w:footnote>
  <w:footnote w:id="46">
    <w:p w14:paraId="359DF11A" w14:textId="015FD2B2" w:rsidR="00E97DB9" w:rsidRPr="00436BC4" w:rsidRDefault="00E97DB9">
      <w:pPr>
        <w:pStyle w:val="FootnoteText"/>
      </w:pPr>
      <w:r w:rsidRPr="00436BC4">
        <w:rPr>
          <w:rStyle w:val="FootnoteReference"/>
        </w:rPr>
        <w:footnoteRef/>
      </w:r>
      <w:r w:rsidRPr="00436BC4">
        <w:t xml:space="preserve"> Carolyn Dinshaw, </w:t>
      </w:r>
      <w:r w:rsidRPr="00436BC4">
        <w:rPr>
          <w:i/>
          <w:iCs/>
        </w:rPr>
        <w:t>Getting Medieval</w:t>
      </w:r>
      <w:r w:rsidRPr="00436BC4">
        <w:t xml:space="preserve">, p.1, </w:t>
      </w:r>
      <w:r w:rsidR="004430D4" w:rsidRPr="00436BC4">
        <w:t xml:space="preserve">Hannah McCann and Whitney Monaghan, </w:t>
      </w:r>
      <w:r w:rsidR="004430D4" w:rsidRPr="00436BC4">
        <w:rPr>
          <w:i/>
          <w:iCs/>
        </w:rPr>
        <w:t>Queer Theory Now</w:t>
      </w:r>
      <w:r w:rsidR="004430D4">
        <w:t xml:space="preserve">, </w:t>
      </w:r>
      <w:r w:rsidRPr="00436BC4">
        <w:t>p.215.</w:t>
      </w:r>
    </w:p>
  </w:footnote>
  <w:footnote w:id="47">
    <w:p w14:paraId="128807D9" w14:textId="37784ED2" w:rsidR="00C56424" w:rsidRPr="00436BC4" w:rsidRDefault="00C56424" w:rsidP="00C56424">
      <w:pPr>
        <w:pStyle w:val="FootnoteText"/>
      </w:pPr>
      <w:r w:rsidRPr="00436BC4">
        <w:rPr>
          <w:rStyle w:val="FootnoteReference"/>
        </w:rPr>
        <w:footnoteRef/>
      </w:r>
      <w:r w:rsidRPr="00436BC4">
        <w:t xml:space="preserve"> Carolyn Dinshaw, </w:t>
      </w:r>
      <w:r w:rsidRPr="00436BC4">
        <w:rPr>
          <w:i/>
          <w:iCs/>
        </w:rPr>
        <w:t>Getting Medieval</w:t>
      </w:r>
      <w:r w:rsidRPr="00436BC4">
        <w:t>, p.1.</w:t>
      </w:r>
      <w:r w:rsidR="00D478AE" w:rsidRPr="00436BC4">
        <w:t xml:space="preserve"> – the influence of Foucault’s theory of episteme – unconscious, pervasive understandings of how the world works which are defined in history by big social-cultural breaks, – is evident here in Dinshaw’s rejection of</w:t>
      </w:r>
      <w:r w:rsidR="002A4719" w:rsidRPr="00436BC4">
        <w:t xml:space="preserve"> historicism’s</w:t>
      </w:r>
      <w:r w:rsidR="00D478AE" w:rsidRPr="00436BC4">
        <w:t xml:space="preserve"> </w:t>
      </w:r>
      <w:r w:rsidR="002A4719" w:rsidRPr="00436BC4">
        <w:t xml:space="preserve">assertion of </w:t>
      </w:r>
      <w:r w:rsidR="00D478AE" w:rsidRPr="00436BC4">
        <w:t>smooth continuous progression</w:t>
      </w:r>
      <w:r w:rsidR="002A4719" w:rsidRPr="00436BC4">
        <w:t xml:space="preserve"> of thought throughout history towards greater knowledge</w:t>
      </w:r>
      <w:r w:rsidR="00D478AE" w:rsidRPr="00436BC4">
        <w:t xml:space="preserve">.  </w:t>
      </w:r>
    </w:p>
  </w:footnote>
  <w:footnote w:id="48">
    <w:p w14:paraId="7AD58805" w14:textId="53FBBBAA" w:rsidR="002173FE" w:rsidRPr="00436BC4" w:rsidRDefault="002173FE">
      <w:pPr>
        <w:pStyle w:val="FootnoteText"/>
      </w:pPr>
      <w:r w:rsidRPr="00436BC4">
        <w:rPr>
          <w:rStyle w:val="FootnoteReference"/>
        </w:rPr>
        <w:footnoteRef/>
      </w:r>
      <w:r w:rsidRPr="00436BC4">
        <w:t xml:space="preserve"> </w:t>
      </w:r>
      <w:bookmarkStart w:id="26" w:name="_Hlk173622228"/>
      <w:r w:rsidRPr="00436BC4">
        <w:t xml:space="preserve">Leo Bersani, ‘Is the Rectum a Grave?’, </w:t>
      </w:r>
      <w:r w:rsidRPr="00436BC4">
        <w:rPr>
          <w:i/>
          <w:iCs/>
        </w:rPr>
        <w:t>October</w:t>
      </w:r>
      <w:r w:rsidRPr="00436BC4">
        <w:t>, 43 (1987), pp. 197–222.</w:t>
      </w:r>
      <w:bookmarkEnd w:id="26"/>
    </w:p>
  </w:footnote>
  <w:footnote w:id="49">
    <w:p w14:paraId="01E44056" w14:textId="284263B3" w:rsidR="003609D1" w:rsidRPr="00436BC4" w:rsidRDefault="00294938">
      <w:pPr>
        <w:pStyle w:val="FootnoteText"/>
      </w:pPr>
      <w:r w:rsidRPr="00436BC4">
        <w:rPr>
          <w:rStyle w:val="FootnoteReference"/>
        </w:rPr>
        <w:footnoteRef/>
      </w:r>
      <w:r w:rsidRPr="00436BC4">
        <w:t xml:space="preserve"> </w:t>
      </w:r>
      <w:bookmarkStart w:id="27" w:name="_Hlk173624240"/>
      <w:r w:rsidR="00C12ED9" w:rsidRPr="00436BC4">
        <w:t xml:space="preserve">Leo Bersani, ‘Is the Rectum a Grave?’, p.203., </w:t>
      </w:r>
      <w:r w:rsidR="008C727A" w:rsidRPr="008C727A">
        <w:t xml:space="preserve">Hannah McCann and Whitney Monaghan, </w:t>
      </w:r>
      <w:r w:rsidR="008C727A" w:rsidRPr="008C727A">
        <w:rPr>
          <w:i/>
          <w:iCs/>
        </w:rPr>
        <w:t>Queer Theory Now</w:t>
      </w:r>
      <w:r w:rsidR="00030264">
        <w:rPr>
          <w:i/>
          <w:iCs/>
        </w:rPr>
        <w:t xml:space="preserve">. </w:t>
      </w:r>
      <w:r w:rsidR="00C12ED9" w:rsidRPr="00436BC4">
        <w:t>p.218.</w:t>
      </w:r>
      <w:r w:rsidR="003609D1" w:rsidRPr="00436BC4">
        <w:t xml:space="preserve"> </w:t>
      </w:r>
      <w:bookmarkEnd w:id="27"/>
      <w:r w:rsidR="003609D1" w:rsidRPr="00436BC4">
        <w:t xml:space="preserve">– note that this </w:t>
      </w:r>
      <w:r w:rsidR="002F7A83" w:rsidRPr="00436BC4">
        <w:t>parallels</w:t>
      </w:r>
      <w:r w:rsidR="003609D1" w:rsidRPr="00436BC4">
        <w:t xml:space="preserve"> Foucault’s assertion </w:t>
      </w:r>
      <w:r w:rsidR="00154738" w:rsidRPr="00436BC4">
        <w:t xml:space="preserve">in a 1981 </w:t>
      </w:r>
      <w:r w:rsidR="002F7A83" w:rsidRPr="00436BC4">
        <w:t>in</w:t>
      </w:r>
      <w:r w:rsidR="00154738" w:rsidRPr="00436BC4">
        <w:t xml:space="preserve"> </w:t>
      </w:r>
      <w:r w:rsidR="00154738" w:rsidRPr="00436BC4">
        <w:rPr>
          <w:i/>
          <w:iCs/>
        </w:rPr>
        <w:t>Friendship as a Way of Life</w:t>
      </w:r>
      <w:r w:rsidR="00154738" w:rsidRPr="00436BC4">
        <w:t xml:space="preserve"> that ‘Homosexuality threatens people as a “way of life”, rather than as a way of having sex’</w:t>
      </w:r>
      <w:r w:rsidR="002F7A83" w:rsidRPr="00436BC4">
        <w:t xml:space="preserve">. – cited in J. Jack Halberstam, </w:t>
      </w:r>
      <w:r w:rsidR="002F7A83" w:rsidRPr="00436BC4">
        <w:rPr>
          <w:i/>
          <w:iCs/>
        </w:rPr>
        <w:t>In a Queer Time and Place</w:t>
      </w:r>
      <w:r w:rsidR="00030264">
        <w:rPr>
          <w:i/>
          <w:iCs/>
        </w:rPr>
        <w:t>,</w:t>
      </w:r>
      <w:r w:rsidR="002F7A83" w:rsidRPr="00436BC4">
        <w:t xml:space="preserve"> p.310.</w:t>
      </w:r>
    </w:p>
  </w:footnote>
  <w:footnote w:id="50">
    <w:p w14:paraId="6E7F27C3" w14:textId="321D4C9B" w:rsidR="00B57403" w:rsidRPr="00436BC4" w:rsidRDefault="00B57403">
      <w:pPr>
        <w:pStyle w:val="FootnoteText"/>
      </w:pPr>
      <w:r w:rsidRPr="00436BC4">
        <w:rPr>
          <w:rStyle w:val="FootnoteReference"/>
        </w:rPr>
        <w:footnoteRef/>
      </w:r>
      <w:r w:rsidRPr="00436BC4">
        <w:t xml:space="preserve"> Leo Bersani, </w:t>
      </w:r>
      <w:r w:rsidRPr="00436BC4">
        <w:rPr>
          <w:i/>
          <w:iCs/>
        </w:rPr>
        <w:t>Homos</w:t>
      </w:r>
      <w:r w:rsidRPr="00436BC4">
        <w:t xml:space="preserve"> (Harvard University Press, 1996), p.113</w:t>
      </w:r>
      <w:bookmarkStart w:id="28" w:name="_Hlk173625270"/>
      <w:r w:rsidRPr="00436BC4">
        <w:t xml:space="preserve">., </w:t>
      </w:r>
      <w:r w:rsidR="008C727A" w:rsidRPr="008C727A">
        <w:t xml:space="preserve">Hannah McCann and Whitney Monaghan, </w:t>
      </w:r>
      <w:r w:rsidR="008C727A" w:rsidRPr="008C727A">
        <w:rPr>
          <w:i/>
          <w:iCs/>
        </w:rPr>
        <w:t>Queer Theory Now</w:t>
      </w:r>
      <w:r w:rsidRPr="00436BC4">
        <w:t>, p.219.</w:t>
      </w:r>
      <w:bookmarkEnd w:id="28"/>
    </w:p>
  </w:footnote>
  <w:footnote w:id="51">
    <w:p w14:paraId="1389B857" w14:textId="378A1820" w:rsidR="008D7797" w:rsidRPr="00436BC4" w:rsidRDefault="008D7797">
      <w:pPr>
        <w:pStyle w:val="FootnoteText"/>
      </w:pPr>
      <w:r w:rsidRPr="00436BC4">
        <w:rPr>
          <w:rStyle w:val="FootnoteReference"/>
        </w:rPr>
        <w:footnoteRef/>
      </w:r>
      <w:r w:rsidR="00027563" w:rsidRPr="00436BC4">
        <w:t xml:space="preserve"> Robert L Caserio </w:t>
      </w:r>
      <w:r w:rsidR="0067367D">
        <w:t>and others</w:t>
      </w:r>
      <w:r w:rsidR="00027563" w:rsidRPr="00436BC4">
        <w:t xml:space="preserve">, ‘PMLA Conference Debate: The Antisocial Thesis in Queer Theory’, (2006), cxxi, p. 819., </w:t>
      </w:r>
      <w:r w:rsidR="007E4F63" w:rsidRPr="007E4F63">
        <w:t xml:space="preserve">Hannah McCann and Whitney Monaghan, </w:t>
      </w:r>
      <w:r w:rsidR="007E4F63" w:rsidRPr="007E4F63">
        <w:rPr>
          <w:i/>
          <w:iCs/>
        </w:rPr>
        <w:t>Queer Theory Now</w:t>
      </w:r>
      <w:r w:rsidR="00027563" w:rsidRPr="00436BC4">
        <w:t>, p.219.</w:t>
      </w:r>
    </w:p>
  </w:footnote>
  <w:footnote w:id="52">
    <w:p w14:paraId="0A6746F1" w14:textId="7E9CEBB0" w:rsidR="00C639C3" w:rsidRPr="00436BC4" w:rsidRDefault="00C639C3">
      <w:pPr>
        <w:pStyle w:val="FootnoteText"/>
      </w:pPr>
      <w:r w:rsidRPr="00436BC4">
        <w:rPr>
          <w:rStyle w:val="FootnoteReference"/>
        </w:rPr>
        <w:footnoteRef/>
      </w:r>
      <w:r w:rsidRPr="00436BC4">
        <w:t xml:space="preserve"> </w:t>
      </w:r>
      <w:bookmarkStart w:id="29" w:name="_Hlk173624346"/>
      <w:r w:rsidR="00734DC6" w:rsidRPr="00436BC4">
        <w:t xml:space="preserve">Lee Edelman, </w:t>
      </w:r>
      <w:r w:rsidR="00734DC6" w:rsidRPr="00436BC4">
        <w:rPr>
          <w:i/>
          <w:iCs/>
        </w:rPr>
        <w:t>No Future: Queer Theory and the Death Drive</w:t>
      </w:r>
      <w:r w:rsidR="00734DC6" w:rsidRPr="00436BC4">
        <w:t>, Series Q (Duke University Press, 2004).</w:t>
      </w:r>
      <w:r w:rsidR="003E511B" w:rsidRPr="00436BC4">
        <w:t xml:space="preserve"> </w:t>
      </w:r>
      <w:bookmarkEnd w:id="29"/>
    </w:p>
  </w:footnote>
  <w:footnote w:id="53">
    <w:p w14:paraId="66E94985" w14:textId="28F1B6B2" w:rsidR="00C639C3" w:rsidRPr="00436BC4" w:rsidRDefault="00C639C3">
      <w:pPr>
        <w:pStyle w:val="FootnoteText"/>
      </w:pPr>
      <w:r w:rsidRPr="00436BC4">
        <w:rPr>
          <w:rStyle w:val="FootnoteReference"/>
        </w:rPr>
        <w:footnoteRef/>
      </w:r>
      <w:r w:rsidRPr="00436BC4">
        <w:t xml:space="preserve"> Phrases such as ‘think of the children’ or ‘doing this for the children’ are abundant in these discourses and contemporary western family value politics, and </w:t>
      </w:r>
      <w:r w:rsidR="000F2E32" w:rsidRPr="00436BC4">
        <w:t>shapes the</w:t>
      </w:r>
      <w:r w:rsidRPr="00436BC4">
        <w:t xml:space="preserve"> </w:t>
      </w:r>
      <w:r w:rsidR="000F2E32" w:rsidRPr="00436BC4">
        <w:t>framing of</w:t>
      </w:r>
      <w:r w:rsidRPr="00436BC4">
        <w:t xml:space="preserve"> political debate </w:t>
      </w:r>
      <w:r w:rsidR="000F2E32" w:rsidRPr="00436BC4">
        <w:t>along the lines of</w:t>
      </w:r>
      <w:r w:rsidRPr="00436BC4">
        <w:t xml:space="preserve"> reproductive futurism</w:t>
      </w:r>
      <w:r w:rsidR="000F2E32" w:rsidRPr="00436BC4">
        <w:t>. The result is the</w:t>
      </w:r>
      <w:r w:rsidRPr="00436BC4">
        <w:t xml:space="preserve"> </w:t>
      </w:r>
      <w:r w:rsidR="000F2E32" w:rsidRPr="00436BC4">
        <w:t>establishment of</w:t>
      </w:r>
      <w:r w:rsidRPr="00436BC4">
        <w:t xml:space="preserve"> an ideological limit on political discourse,</w:t>
      </w:r>
      <w:r w:rsidR="000F2E32" w:rsidRPr="00436BC4">
        <w:t xml:space="preserve"> one which perpetuates the continuing</w:t>
      </w:r>
      <w:r w:rsidRPr="00436BC4">
        <w:t xml:space="preserve"> privilege of heteronormativity</w:t>
      </w:r>
      <w:r w:rsidR="000F2E32" w:rsidRPr="00436BC4">
        <w:t xml:space="preserve"> as the only legitimate and respectable way of being</w:t>
      </w:r>
      <w:r w:rsidRPr="00436BC4">
        <w:t>. ‘The</w:t>
      </w:r>
      <w:r w:rsidRPr="00436BC4">
        <w:rPr>
          <w:i/>
          <w:iCs/>
        </w:rPr>
        <w:t xml:space="preserve"> </w:t>
      </w:r>
      <w:r w:rsidRPr="00436BC4">
        <w:t xml:space="preserve">Child’ </w:t>
      </w:r>
      <w:r w:rsidR="00053762" w:rsidRPr="00436BC4">
        <w:t>is</w:t>
      </w:r>
      <w:r w:rsidRPr="00436BC4">
        <w:t xml:space="preserve"> a promise of a better tomorrow whilst at the same time </w:t>
      </w:r>
      <w:r w:rsidR="00053762" w:rsidRPr="00436BC4">
        <w:t>suppressing</w:t>
      </w:r>
      <w:r w:rsidRPr="00436BC4">
        <w:t xml:space="preserve"> queerness and other forms of relationality</w:t>
      </w:r>
      <w:r w:rsidR="00DF4668" w:rsidRPr="00436BC4">
        <w:t xml:space="preserve">, which </w:t>
      </w:r>
      <w:r w:rsidRPr="00436BC4">
        <w:t xml:space="preserve">represents a threat to the future by nature of its lack of biological reproductive potential. </w:t>
      </w:r>
    </w:p>
  </w:footnote>
  <w:footnote w:id="54">
    <w:p w14:paraId="0F652605" w14:textId="007DD3E5" w:rsidR="00670B2A" w:rsidRPr="00436BC4" w:rsidRDefault="00670B2A">
      <w:pPr>
        <w:pStyle w:val="FootnoteText"/>
      </w:pPr>
      <w:r w:rsidRPr="00436BC4">
        <w:rPr>
          <w:rStyle w:val="FootnoteReference"/>
        </w:rPr>
        <w:footnoteRef/>
      </w:r>
      <w:r w:rsidRPr="00436BC4">
        <w:t xml:space="preserve"> Shannon </w:t>
      </w:r>
      <w:proofErr w:type="spellStart"/>
      <w:r w:rsidRPr="00436BC4">
        <w:t>Winnubst</w:t>
      </w:r>
      <w:proofErr w:type="spellEnd"/>
      <w:r w:rsidRPr="00436BC4">
        <w:t xml:space="preserve">, </w:t>
      </w:r>
      <w:r w:rsidRPr="00436BC4">
        <w:rPr>
          <w:i/>
          <w:iCs/>
        </w:rPr>
        <w:t>Queering Freedom</w:t>
      </w:r>
      <w:r w:rsidRPr="00436BC4">
        <w:t xml:space="preserve"> (Indiana University Press, 2006). pp.185-194.</w:t>
      </w:r>
    </w:p>
  </w:footnote>
  <w:footnote w:id="55">
    <w:p w14:paraId="1CB9D87A" w14:textId="015C7985" w:rsidR="001F0EB7" w:rsidRPr="00436BC4" w:rsidRDefault="001F0EB7">
      <w:pPr>
        <w:pStyle w:val="FootnoteText"/>
      </w:pPr>
      <w:r w:rsidRPr="00436BC4">
        <w:rPr>
          <w:rStyle w:val="FootnoteReference"/>
        </w:rPr>
        <w:footnoteRef/>
      </w:r>
      <w:r w:rsidRPr="00436BC4">
        <w:t xml:space="preserve"> Shannon </w:t>
      </w:r>
      <w:proofErr w:type="spellStart"/>
      <w:r w:rsidRPr="00436BC4">
        <w:t>Winnubst</w:t>
      </w:r>
      <w:proofErr w:type="spellEnd"/>
      <w:r w:rsidRPr="00436BC4">
        <w:t xml:space="preserve">, </w:t>
      </w:r>
      <w:r w:rsidRPr="00436BC4">
        <w:rPr>
          <w:i/>
          <w:iCs/>
        </w:rPr>
        <w:t>Queering Freedom</w:t>
      </w:r>
      <w:r w:rsidR="001117AA">
        <w:rPr>
          <w:i/>
          <w:iCs/>
        </w:rPr>
        <w:t>,</w:t>
      </w:r>
      <w:r w:rsidRPr="00436BC4">
        <w:t xml:space="preserve"> p</w:t>
      </w:r>
      <w:r w:rsidR="00863677" w:rsidRPr="00436BC4">
        <w:t>p</w:t>
      </w:r>
      <w:r w:rsidRPr="00436BC4">
        <w:t>.1</w:t>
      </w:r>
      <w:r w:rsidR="00863677" w:rsidRPr="00436BC4">
        <w:t>85-191.</w:t>
      </w:r>
      <w:r w:rsidRPr="00436BC4">
        <w:t>.</w:t>
      </w:r>
    </w:p>
  </w:footnote>
  <w:footnote w:id="56">
    <w:p w14:paraId="217DC820" w14:textId="6A9122AE" w:rsidR="000C5819" w:rsidRPr="00436BC4" w:rsidRDefault="000C5819">
      <w:pPr>
        <w:pStyle w:val="FootnoteText"/>
      </w:pPr>
      <w:r w:rsidRPr="00436BC4">
        <w:rPr>
          <w:rStyle w:val="FootnoteReference"/>
        </w:rPr>
        <w:footnoteRef/>
      </w:r>
      <w:r w:rsidRPr="00436BC4">
        <w:t xml:space="preserve"> </w:t>
      </w:r>
      <w:r w:rsidR="00BC407D" w:rsidRPr="00436BC4">
        <w:t xml:space="preserve">J. Jack Halberstam, </w:t>
      </w:r>
      <w:r w:rsidR="00BC407D" w:rsidRPr="00436BC4">
        <w:rPr>
          <w:i/>
          <w:iCs/>
        </w:rPr>
        <w:t>In a Queer Time and Place</w:t>
      </w:r>
      <w:r w:rsidR="001117AA">
        <w:rPr>
          <w:i/>
          <w:iCs/>
        </w:rPr>
        <w:t xml:space="preserve">, </w:t>
      </w:r>
      <w:r w:rsidR="00BC407D" w:rsidRPr="00436BC4">
        <w:t>p.1.</w:t>
      </w:r>
    </w:p>
  </w:footnote>
  <w:footnote w:id="57">
    <w:p w14:paraId="22CB3696" w14:textId="2FB898B2" w:rsidR="00567DCA" w:rsidRPr="00436BC4" w:rsidRDefault="00567DCA">
      <w:pPr>
        <w:pStyle w:val="FootnoteText"/>
      </w:pPr>
      <w:r w:rsidRPr="00436BC4">
        <w:rPr>
          <w:rStyle w:val="FootnoteReference"/>
        </w:rPr>
        <w:footnoteRef/>
      </w:r>
      <w:r w:rsidRPr="00436BC4">
        <w:t xml:space="preserve"> </w:t>
      </w:r>
      <w:r w:rsidR="001117AA">
        <w:rPr>
          <w:i/>
          <w:iCs/>
        </w:rPr>
        <w:t>Ibid.</w:t>
      </w:r>
    </w:p>
  </w:footnote>
  <w:footnote w:id="58">
    <w:p w14:paraId="6F2A22AB" w14:textId="0D5993EA" w:rsidR="003E7A9E" w:rsidRPr="00436BC4" w:rsidRDefault="003E7A9E" w:rsidP="003E7A9E">
      <w:pPr>
        <w:pStyle w:val="FootnoteText"/>
      </w:pPr>
      <w:r w:rsidRPr="00436BC4">
        <w:rPr>
          <w:rStyle w:val="FootnoteReference"/>
        </w:rPr>
        <w:footnoteRef/>
      </w:r>
      <w:r w:rsidRPr="00436BC4">
        <w:t xml:space="preserve"> </w:t>
      </w:r>
      <w:r w:rsidR="001117AA">
        <w:rPr>
          <w:i/>
          <w:iCs/>
        </w:rPr>
        <w:t>Ibid.</w:t>
      </w:r>
    </w:p>
  </w:footnote>
  <w:footnote w:id="59">
    <w:p w14:paraId="13CE7276" w14:textId="26C0B867" w:rsidR="008112D6" w:rsidRPr="00436BC4" w:rsidRDefault="008112D6">
      <w:pPr>
        <w:pStyle w:val="FootnoteText"/>
      </w:pPr>
      <w:r w:rsidRPr="00436BC4">
        <w:rPr>
          <w:rStyle w:val="FootnoteReference"/>
        </w:rPr>
        <w:footnoteRef/>
      </w:r>
      <w:r w:rsidRPr="00436BC4">
        <w:t xml:space="preserve"> </w:t>
      </w:r>
      <w:r w:rsidR="00795857" w:rsidRPr="00436BC4">
        <w:t xml:space="preserve">J. Jack Halberstam, </w:t>
      </w:r>
      <w:r w:rsidR="00795857" w:rsidRPr="00436BC4">
        <w:rPr>
          <w:i/>
          <w:iCs/>
        </w:rPr>
        <w:t>In a Queer Time and Place</w:t>
      </w:r>
      <w:r w:rsidR="00BE7C66">
        <w:rPr>
          <w:i/>
          <w:iCs/>
        </w:rPr>
        <w:t>,</w:t>
      </w:r>
      <w:r w:rsidR="00795857" w:rsidRPr="00436BC4">
        <w:t xml:space="preserve"> </w:t>
      </w:r>
      <w:r w:rsidR="00092343" w:rsidRPr="00436BC4">
        <w:t>p.2.</w:t>
      </w:r>
    </w:p>
  </w:footnote>
  <w:footnote w:id="60">
    <w:p w14:paraId="197D728B" w14:textId="17CBC5F5" w:rsidR="008112D6" w:rsidRPr="00436BC4" w:rsidRDefault="008112D6">
      <w:pPr>
        <w:pStyle w:val="FootnoteText"/>
      </w:pPr>
      <w:r w:rsidRPr="00436BC4">
        <w:rPr>
          <w:rStyle w:val="FootnoteReference"/>
        </w:rPr>
        <w:footnoteRef/>
      </w:r>
      <w:r w:rsidRPr="00436BC4">
        <w:t xml:space="preserve"> </w:t>
      </w:r>
      <w:r w:rsidR="00A15170" w:rsidRPr="00436BC4">
        <w:t xml:space="preserve">Kathryn Bond Stockton, </w:t>
      </w:r>
      <w:r w:rsidR="00A15170" w:rsidRPr="00436BC4">
        <w:rPr>
          <w:i/>
          <w:iCs/>
        </w:rPr>
        <w:t>The Queer Child, or Growing Sideways in the Twentieth Century</w:t>
      </w:r>
      <w:r w:rsidR="00A15170" w:rsidRPr="00436BC4">
        <w:t xml:space="preserve"> (Duke University Press, 2009), p.</w:t>
      </w:r>
      <w:r w:rsidR="00D7628E" w:rsidRPr="00436BC4">
        <w:t>4</w:t>
      </w:r>
      <w:r w:rsidR="00A15170" w:rsidRPr="00436BC4">
        <w:t>.</w:t>
      </w:r>
    </w:p>
  </w:footnote>
  <w:footnote w:id="61">
    <w:p w14:paraId="261E1618" w14:textId="22678927" w:rsidR="008112D6" w:rsidRPr="00436BC4" w:rsidRDefault="008112D6">
      <w:pPr>
        <w:pStyle w:val="FootnoteText"/>
      </w:pPr>
      <w:r w:rsidRPr="00436BC4">
        <w:rPr>
          <w:rStyle w:val="FootnoteReference"/>
        </w:rPr>
        <w:footnoteRef/>
      </w:r>
      <w:r w:rsidRPr="00436BC4">
        <w:t xml:space="preserve"> </w:t>
      </w:r>
      <w:r w:rsidR="004C4899" w:rsidRPr="00436BC4">
        <w:t xml:space="preserve">Kathryn Bond Stockton, </w:t>
      </w:r>
      <w:r w:rsidR="004C4899" w:rsidRPr="00436BC4">
        <w:rPr>
          <w:i/>
          <w:iCs/>
        </w:rPr>
        <w:t>The Queer Child</w:t>
      </w:r>
      <w:r w:rsidR="004C4899" w:rsidRPr="00436BC4">
        <w:t>, p.3.</w:t>
      </w:r>
    </w:p>
  </w:footnote>
  <w:footnote w:id="62">
    <w:p w14:paraId="141F7E7D" w14:textId="0A0A7D21" w:rsidR="00AA36BA" w:rsidRPr="00436BC4" w:rsidRDefault="00AA36BA">
      <w:pPr>
        <w:pStyle w:val="FootnoteText"/>
      </w:pPr>
      <w:r w:rsidRPr="00436BC4">
        <w:rPr>
          <w:rStyle w:val="FootnoteReference"/>
        </w:rPr>
        <w:footnoteRef/>
      </w:r>
      <w:r w:rsidRPr="00436BC4">
        <w:t xml:space="preserve"> </w:t>
      </w:r>
      <w:r w:rsidR="00BE7C66">
        <w:rPr>
          <w:i/>
          <w:iCs/>
        </w:rPr>
        <w:t>Ibid</w:t>
      </w:r>
      <w:r w:rsidRPr="00436BC4">
        <w:t>.</w:t>
      </w:r>
      <w:r w:rsidR="008618CD" w:rsidRPr="00436BC4">
        <w:t xml:space="preserve">, </w:t>
      </w:r>
      <w:r w:rsidR="007E4F63" w:rsidRPr="007E4F63">
        <w:t xml:space="preserve">Hannah McCann and Whitney Monaghan, </w:t>
      </w:r>
      <w:r w:rsidR="007E4F63" w:rsidRPr="007E4F63">
        <w:rPr>
          <w:i/>
          <w:iCs/>
        </w:rPr>
        <w:t>Queer Theory Now</w:t>
      </w:r>
      <w:r w:rsidR="007E4F63">
        <w:t xml:space="preserve">, </w:t>
      </w:r>
      <w:r w:rsidR="008618CD" w:rsidRPr="00436BC4">
        <w:t>p.227.</w:t>
      </w:r>
    </w:p>
  </w:footnote>
  <w:footnote w:id="63">
    <w:p w14:paraId="28C4B13C" w14:textId="4F6F2099" w:rsidR="005121E6" w:rsidRPr="00436BC4" w:rsidRDefault="005121E6">
      <w:pPr>
        <w:pStyle w:val="FootnoteText"/>
      </w:pPr>
      <w:r w:rsidRPr="00436BC4">
        <w:rPr>
          <w:rStyle w:val="FootnoteReference"/>
        </w:rPr>
        <w:footnoteRef/>
      </w:r>
      <w:r w:rsidRPr="00436BC4">
        <w:t xml:space="preserve"> Kathryn Bond Stockton, </w:t>
      </w:r>
      <w:r w:rsidRPr="00436BC4">
        <w:rPr>
          <w:i/>
          <w:iCs/>
        </w:rPr>
        <w:t xml:space="preserve">The Queer Child, </w:t>
      </w:r>
      <w:r w:rsidRPr="00436BC4">
        <w:t>p.13.</w:t>
      </w:r>
    </w:p>
  </w:footnote>
  <w:footnote w:id="64">
    <w:p w14:paraId="3EDDA8F1" w14:textId="0E0DDCDA" w:rsidR="00407812" w:rsidRPr="00436BC4" w:rsidRDefault="00407812">
      <w:pPr>
        <w:pStyle w:val="FootnoteText"/>
      </w:pPr>
      <w:r w:rsidRPr="00436BC4">
        <w:rPr>
          <w:rStyle w:val="FootnoteReference"/>
        </w:rPr>
        <w:footnoteRef/>
      </w:r>
      <w:r w:rsidRPr="00436BC4">
        <w:t xml:space="preserve"> </w:t>
      </w:r>
      <w:r w:rsidR="007E4F63" w:rsidRPr="007E4F63">
        <w:t xml:space="preserve">Hannah McCann and Whitney Monaghan, </w:t>
      </w:r>
      <w:r w:rsidR="007E4F63" w:rsidRPr="007E4F63">
        <w:rPr>
          <w:i/>
          <w:iCs/>
        </w:rPr>
        <w:t>Queer Theory Now</w:t>
      </w:r>
      <w:r w:rsidRPr="00436BC4">
        <w:t>, p.227.</w:t>
      </w:r>
    </w:p>
  </w:footnote>
  <w:footnote w:id="65">
    <w:p w14:paraId="5BDF1049" w14:textId="665BC4B3" w:rsidR="00157534" w:rsidRPr="00436BC4" w:rsidRDefault="00157534">
      <w:pPr>
        <w:pStyle w:val="FootnoteText"/>
      </w:pPr>
      <w:r w:rsidRPr="00436BC4">
        <w:rPr>
          <w:rStyle w:val="FootnoteReference"/>
        </w:rPr>
        <w:footnoteRef/>
      </w:r>
      <w:r w:rsidRPr="00436BC4">
        <w:t xml:space="preserve"> Bill Burgwinkle, ‘État Présent; Queer Theory and the Middle Ages’, </w:t>
      </w:r>
      <w:r w:rsidRPr="00436BC4">
        <w:rPr>
          <w:i/>
          <w:iCs/>
        </w:rPr>
        <w:t>French Studies</w:t>
      </w:r>
      <w:r w:rsidRPr="00436BC4">
        <w:t>, LX.1 (2006), p.79.</w:t>
      </w:r>
    </w:p>
  </w:footnote>
  <w:footnote w:id="66">
    <w:p w14:paraId="16C3A2A3" w14:textId="62036F76" w:rsidR="00C23480" w:rsidRPr="00436BC4" w:rsidRDefault="00C23480">
      <w:pPr>
        <w:pStyle w:val="FootnoteText"/>
      </w:pPr>
      <w:r w:rsidRPr="00436BC4">
        <w:rPr>
          <w:rStyle w:val="FootnoteReference"/>
        </w:rPr>
        <w:footnoteRef/>
      </w:r>
      <w:r w:rsidRPr="00436BC4">
        <w:t xml:space="preserve"> </w:t>
      </w:r>
      <w:r w:rsidR="00F54A72" w:rsidRPr="00436BC4">
        <w:t xml:space="preserve">R. Zeikowitz, </w:t>
      </w:r>
      <w:r w:rsidR="00F54A72" w:rsidRPr="00436BC4">
        <w:rPr>
          <w:i/>
          <w:iCs/>
        </w:rPr>
        <w:t>Homoeroticism and Chivalry: Discourses of Male Same-Sex Desire in the 14th Century</w:t>
      </w:r>
      <w:r w:rsidR="00F54A72" w:rsidRPr="00436BC4">
        <w:t xml:space="preserve">, 2003rd edition (Palgrave Macmillan, 2003). Cited in </w:t>
      </w:r>
      <w:r w:rsidR="000030CE" w:rsidRPr="00436BC4">
        <w:t xml:space="preserve">Bill Burgwinkle, ‘État Présent; Queer Theory and the Middle Ages’, </w:t>
      </w:r>
      <w:r w:rsidR="000030CE" w:rsidRPr="00436BC4">
        <w:rPr>
          <w:i/>
          <w:iCs/>
        </w:rPr>
        <w:t>French Studies</w:t>
      </w:r>
      <w:r w:rsidR="000030CE" w:rsidRPr="00436BC4">
        <w:t>, LX.1 (2006), p.82.</w:t>
      </w:r>
    </w:p>
  </w:footnote>
  <w:footnote w:id="67">
    <w:p w14:paraId="3DC268D4" w14:textId="62E223B1" w:rsidR="00EC10FA" w:rsidRPr="00436BC4" w:rsidRDefault="00EC10FA">
      <w:pPr>
        <w:pStyle w:val="FootnoteText"/>
      </w:pPr>
      <w:r w:rsidRPr="00436BC4">
        <w:rPr>
          <w:rStyle w:val="FootnoteReference"/>
        </w:rPr>
        <w:footnoteRef/>
      </w:r>
      <w:r w:rsidRPr="00436BC4">
        <w:t xml:space="preserve"> </w:t>
      </w:r>
      <w:bookmarkStart w:id="33" w:name="_Hlk173676949"/>
      <w:r w:rsidR="00173E18" w:rsidRPr="00436BC4">
        <w:t>Bill Burgwinkle, ‘État Présent; Queer Theory and the Middle Ages’, p.79.</w:t>
      </w:r>
      <w:bookmarkEnd w:id="33"/>
    </w:p>
  </w:footnote>
  <w:footnote w:id="68">
    <w:p w14:paraId="7D156F2E" w14:textId="693EA34C" w:rsidR="0056583A" w:rsidRPr="00436BC4" w:rsidRDefault="0056583A">
      <w:pPr>
        <w:pStyle w:val="FootnoteText"/>
      </w:pPr>
      <w:r w:rsidRPr="00436BC4">
        <w:rPr>
          <w:rStyle w:val="FootnoteReference"/>
        </w:rPr>
        <w:footnoteRef/>
      </w:r>
      <w:r w:rsidRPr="00436BC4">
        <w:t xml:space="preserve"> </w:t>
      </w:r>
      <w:r w:rsidR="00CD18D0">
        <w:rPr>
          <w:i/>
          <w:iCs/>
        </w:rPr>
        <w:t>Ibid.</w:t>
      </w:r>
    </w:p>
  </w:footnote>
  <w:footnote w:id="69">
    <w:p w14:paraId="733AA5D3" w14:textId="0EBE3E1B" w:rsidR="00AF0146" w:rsidRPr="00436BC4" w:rsidRDefault="00AF0146" w:rsidP="00AF0146">
      <w:pPr>
        <w:pStyle w:val="FootnoteText"/>
      </w:pPr>
      <w:r w:rsidRPr="00436BC4">
        <w:rPr>
          <w:rStyle w:val="FootnoteReference"/>
        </w:rPr>
        <w:footnoteRef/>
      </w:r>
      <w:r w:rsidRPr="00436BC4">
        <w:t xml:space="preserve"> </w:t>
      </w:r>
      <w:r w:rsidR="00CD18D0">
        <w:rPr>
          <w:i/>
          <w:iCs/>
        </w:rPr>
        <w:t>Ibid.</w:t>
      </w:r>
      <w:r w:rsidR="00CD18D0">
        <w:t xml:space="preserve">, </w:t>
      </w:r>
      <w:r w:rsidRPr="00436BC4">
        <w:t>p.88.</w:t>
      </w:r>
    </w:p>
  </w:footnote>
  <w:footnote w:id="70">
    <w:p w14:paraId="2BF87F86" w14:textId="317797F7" w:rsidR="00AF0146" w:rsidRPr="00436BC4" w:rsidRDefault="00AF0146" w:rsidP="00AF0146">
      <w:pPr>
        <w:pStyle w:val="FootnoteText"/>
      </w:pPr>
      <w:r w:rsidRPr="00436BC4">
        <w:rPr>
          <w:rStyle w:val="FootnoteReference"/>
        </w:rPr>
        <w:footnoteRef/>
      </w:r>
      <w:r w:rsidRPr="00436BC4">
        <w:t xml:space="preserve"> Bill Burgwinkle, ‘État Présent; Queer Theory and the Middle Ages’, p.88.</w:t>
      </w:r>
    </w:p>
  </w:footnote>
  <w:footnote w:id="71">
    <w:p w14:paraId="3B01E3DF" w14:textId="037DC6CF" w:rsidR="00E37FD9" w:rsidRPr="00436BC4" w:rsidRDefault="00E37FD9">
      <w:pPr>
        <w:pStyle w:val="FootnoteText"/>
      </w:pPr>
      <w:r w:rsidRPr="00436BC4">
        <w:rPr>
          <w:rStyle w:val="FootnoteReference"/>
        </w:rPr>
        <w:footnoteRef/>
      </w:r>
      <w:r w:rsidRPr="00436BC4">
        <w:t xml:space="preserve"> </w:t>
      </w:r>
      <w:bookmarkStart w:id="34" w:name="_Hlk141435236"/>
      <w:r w:rsidRPr="00436BC4">
        <w:t xml:space="preserve">Zrinka Stahuljak, </w:t>
      </w:r>
      <w:r w:rsidR="00821B76" w:rsidRPr="00821B76">
        <w:t>‘Errancy, Insanity, Morality: Finding “La Droite Voie” in Chretien de Troyes’, unpublished paper presented at ‘The French Medieval Seminar’ (Cambridge University, 2005)</w:t>
      </w:r>
      <w:r w:rsidRPr="00436BC4">
        <w:t>. Cited in Bill Burgwinkle, ‘État Présent; Queer Theory and the Middle Ages’,</w:t>
      </w:r>
      <w:r w:rsidR="00821B76">
        <w:t xml:space="preserve"> </w:t>
      </w:r>
      <w:r w:rsidRPr="00436BC4">
        <w:t>p.87.</w:t>
      </w:r>
      <w:bookmarkEnd w:id="34"/>
    </w:p>
  </w:footnote>
  <w:footnote w:id="72">
    <w:p w14:paraId="2D573A53" w14:textId="7A39DF0D" w:rsidR="00913E1B" w:rsidRPr="00436BC4" w:rsidRDefault="00913E1B">
      <w:pPr>
        <w:pStyle w:val="FootnoteText"/>
      </w:pPr>
      <w:r w:rsidRPr="00436BC4">
        <w:rPr>
          <w:rStyle w:val="FootnoteReference"/>
        </w:rPr>
        <w:footnoteRef/>
      </w:r>
      <w:r w:rsidRPr="00436BC4">
        <w:t xml:space="preserve"> Zrinka Stahuljak, ‘Errancy, Insanity, Morality</w:t>
      </w:r>
      <w:r w:rsidR="000307C3">
        <w:t>’</w:t>
      </w:r>
      <w:r w:rsidRPr="00436BC4">
        <w:t>. Cited in Bill Burgwinkle, ‘État Présent; Queer Theory and the Middle Ages’, p.87.</w:t>
      </w:r>
    </w:p>
  </w:footnote>
  <w:footnote w:id="73">
    <w:p w14:paraId="2C1C7019" w14:textId="596C2756" w:rsidR="00402DAD" w:rsidRPr="00436BC4" w:rsidRDefault="00402DAD">
      <w:pPr>
        <w:pStyle w:val="FootnoteText"/>
      </w:pPr>
      <w:r w:rsidRPr="00436BC4">
        <w:rPr>
          <w:rStyle w:val="FootnoteReference"/>
        </w:rPr>
        <w:footnoteRef/>
      </w:r>
      <w:r w:rsidRPr="00436BC4">
        <w:t xml:space="preserve"> Stahuljak develops this point by noting how this period of insanity is integral to the adventure and yet it is generally not acknowledged </w:t>
      </w:r>
      <w:r w:rsidR="009F5B63" w:rsidRPr="00436BC4">
        <w:t>as a</w:t>
      </w:r>
      <w:r w:rsidRPr="00436BC4">
        <w:t xml:space="preserve"> sign </w:t>
      </w:r>
      <w:r w:rsidR="009F5B63" w:rsidRPr="00436BC4">
        <w:t>of a</w:t>
      </w:r>
      <w:r w:rsidRPr="00436BC4">
        <w:t xml:space="preserve"> period of personal trauma, and an ‘encoding of the social’ </w:t>
      </w:r>
      <w:r w:rsidR="009F5B63" w:rsidRPr="00436BC4">
        <w:t>(</w:t>
      </w:r>
      <w:r w:rsidRPr="00436BC4">
        <w:t xml:space="preserve">i.e. a dissolving of the knight’s self, his thoughts, actions, and mystical experiences into the fabric of culture and ideology </w:t>
      </w:r>
      <w:r w:rsidR="009F5B63" w:rsidRPr="00436BC4">
        <w:t>of</w:t>
      </w:r>
      <w:r w:rsidRPr="00436BC4">
        <w:t xml:space="preserve"> knight</w:t>
      </w:r>
      <w:r w:rsidR="009F5B63" w:rsidRPr="00436BC4">
        <w:t>hood),</w:t>
      </w:r>
      <w:r w:rsidRPr="00436BC4">
        <w:t xml:space="preserve"> and is instead celebrated as heroism. To separate the self from the tightly interwoven social tapestry </w:t>
      </w:r>
      <w:r w:rsidR="009F5B63" w:rsidRPr="00436BC4">
        <w:t xml:space="preserve">is </w:t>
      </w:r>
      <w:r w:rsidRPr="00436BC4">
        <w:t>transgressive</w:t>
      </w:r>
      <w:r w:rsidR="009F5B63" w:rsidRPr="00436BC4">
        <w:t>, b</w:t>
      </w:r>
      <w:r w:rsidR="007C3E38" w:rsidRPr="00436BC4">
        <w:t>ecause</w:t>
      </w:r>
      <w:r w:rsidRPr="00436BC4">
        <w:t xml:space="preserve"> the self </w:t>
      </w:r>
      <w:r w:rsidR="007C3E38" w:rsidRPr="00436BC4">
        <w:t xml:space="preserve">is so </w:t>
      </w:r>
      <w:r w:rsidRPr="00436BC4">
        <w:t>enmeshed with</w:t>
      </w:r>
      <w:r w:rsidR="007C3E38" w:rsidRPr="00436BC4">
        <w:t>in</w:t>
      </w:r>
      <w:r w:rsidRPr="00436BC4">
        <w:t xml:space="preserve"> the social that it can only </w:t>
      </w:r>
      <w:r w:rsidR="007C3E38" w:rsidRPr="00436BC4">
        <w:t xml:space="preserve">respond to </w:t>
      </w:r>
      <w:r w:rsidR="009F5B63" w:rsidRPr="00436BC4">
        <w:t>‘</w:t>
      </w:r>
      <w:r w:rsidR="007C3E38" w:rsidRPr="00436BC4">
        <w:t>primordial drives</w:t>
      </w:r>
      <w:r w:rsidR="009F5B63" w:rsidRPr="00436BC4">
        <w:t>’</w:t>
      </w:r>
      <w:r w:rsidR="007C3E38" w:rsidRPr="00436BC4">
        <w:t xml:space="preserve"> in a disguised form</w:t>
      </w:r>
      <w:r w:rsidRPr="00436BC4">
        <w:t xml:space="preserve">. Thus </w:t>
      </w:r>
      <w:r w:rsidR="00FC2254" w:rsidRPr="00436BC4">
        <w:t>‘madness’ or ‘insanity’ in these tales is an allegory for (queer) discomfort/reality, where the social self is stripped away leaving the knights lost and unsure of themselves and their place in the world. As</w:t>
      </w:r>
      <w:r w:rsidR="00F40D92" w:rsidRPr="00436BC4">
        <w:t xml:space="preserve"> </w:t>
      </w:r>
      <w:proofErr w:type="spellStart"/>
      <w:r w:rsidR="00F40D92" w:rsidRPr="00436BC4">
        <w:t>Stahulijak</w:t>
      </w:r>
      <w:proofErr w:type="spellEnd"/>
      <w:r w:rsidR="00FC2254" w:rsidRPr="00436BC4">
        <w:t xml:space="preserve"> says,</w:t>
      </w:r>
      <w:r w:rsidRPr="00436BC4">
        <w:t xml:space="preserve"> </w:t>
      </w:r>
      <w:r w:rsidR="00FC2254" w:rsidRPr="00436BC4">
        <w:t xml:space="preserve">Identity is only constructed in the perceivable gap </w:t>
      </w:r>
      <w:r w:rsidRPr="00436BC4">
        <w:t>where the self is revealed in opposition to the social</w:t>
      </w:r>
      <w:r w:rsidR="00F40D92" w:rsidRPr="00436BC4">
        <w:t xml:space="preserve"> body</w:t>
      </w:r>
      <w:r w:rsidRPr="00436BC4">
        <w:t>.</w:t>
      </w:r>
      <w:r w:rsidR="00BF026E" w:rsidRPr="00436BC4">
        <w:t xml:space="preserve"> - </w:t>
      </w:r>
      <w:r w:rsidR="00937C82" w:rsidRPr="00436BC4">
        <w:t>Zrinka Stahuljak, ‘Errancy, Insanity, Morality</w:t>
      </w:r>
      <w:r w:rsidR="000307C3">
        <w:t>’</w:t>
      </w:r>
      <w:r w:rsidR="00937C82" w:rsidRPr="00436BC4">
        <w:t>. Cited in Bill Burgwinkle, ‘État Présent; Queer Theory and the Middle Ages’</w:t>
      </w:r>
      <w:r w:rsidR="000307C3">
        <w:t xml:space="preserve">, </w:t>
      </w:r>
      <w:r w:rsidR="00937C82" w:rsidRPr="00436BC4">
        <w:t>p.</w:t>
      </w:r>
      <w:r w:rsidR="00123756" w:rsidRPr="00436BC4">
        <w:t xml:space="preserve"> </w:t>
      </w:r>
      <w:r w:rsidR="00937C82" w:rsidRPr="00436BC4">
        <w:t>88.</w:t>
      </w:r>
    </w:p>
  </w:footnote>
  <w:footnote w:id="74">
    <w:p w14:paraId="4EF47880" w14:textId="0A5A612E" w:rsidR="00EF04DF" w:rsidRPr="00436BC4" w:rsidRDefault="00EF04DF">
      <w:pPr>
        <w:pStyle w:val="FootnoteText"/>
      </w:pPr>
      <w:r w:rsidRPr="00436BC4">
        <w:rPr>
          <w:rStyle w:val="FootnoteReference"/>
        </w:rPr>
        <w:footnoteRef/>
      </w:r>
      <w:r w:rsidRPr="00436BC4">
        <w:t xml:space="preserve"> Carolyn Dinshaw, </w:t>
      </w:r>
      <w:r w:rsidRPr="00436BC4">
        <w:rPr>
          <w:i/>
          <w:iCs/>
        </w:rPr>
        <w:t>Getting Medieval</w:t>
      </w:r>
      <w:r w:rsidRPr="00436BC4">
        <w:t xml:space="preserve">, pp.148-149. </w:t>
      </w:r>
    </w:p>
  </w:footnote>
  <w:footnote w:id="75">
    <w:p w14:paraId="3089A645" w14:textId="41BA6B01" w:rsidR="003170BC" w:rsidRPr="00436BC4" w:rsidRDefault="003170BC">
      <w:pPr>
        <w:pStyle w:val="FootnoteText"/>
      </w:pPr>
      <w:r w:rsidRPr="00436BC4">
        <w:rPr>
          <w:rStyle w:val="FootnoteReference"/>
        </w:rPr>
        <w:footnoteRef/>
      </w:r>
      <w:r w:rsidRPr="00436BC4">
        <w:t xml:space="preserve"> And also citing lack of knowledge of context.</w:t>
      </w:r>
    </w:p>
  </w:footnote>
  <w:footnote w:id="76">
    <w:p w14:paraId="6E35884E" w14:textId="25B07EA1" w:rsidR="00486B68" w:rsidRPr="00436BC4" w:rsidRDefault="00486B68">
      <w:pPr>
        <w:pStyle w:val="FootnoteText"/>
      </w:pPr>
      <w:r w:rsidRPr="00436BC4">
        <w:rPr>
          <w:rStyle w:val="FootnoteReference"/>
        </w:rPr>
        <w:footnoteRef/>
      </w:r>
      <w:r w:rsidRPr="00436BC4">
        <w:t xml:space="preserve"> Above all because such terms did not exist.</w:t>
      </w:r>
    </w:p>
  </w:footnote>
  <w:footnote w:id="77">
    <w:p w14:paraId="33318050" w14:textId="550E6855" w:rsidR="00F1177E" w:rsidRPr="00436BC4" w:rsidRDefault="00F1177E">
      <w:pPr>
        <w:pStyle w:val="FootnoteText"/>
      </w:pPr>
      <w:r w:rsidRPr="00436BC4">
        <w:rPr>
          <w:rStyle w:val="FootnoteReference"/>
        </w:rPr>
        <w:footnoteRef/>
      </w:r>
      <w:r w:rsidRPr="00436BC4">
        <w:t xml:space="preserve"> Carolyn Dinshaw, </w:t>
      </w:r>
      <w:r w:rsidRPr="00436BC4">
        <w:rPr>
          <w:i/>
          <w:iCs/>
        </w:rPr>
        <w:t>Getting Medieval</w:t>
      </w:r>
      <w:r w:rsidRPr="00436BC4">
        <w:t>, p.149.</w:t>
      </w:r>
    </w:p>
  </w:footnote>
  <w:footnote w:id="78">
    <w:p w14:paraId="36B813A7" w14:textId="24FE171A" w:rsidR="002C0165" w:rsidRPr="00436BC4" w:rsidRDefault="00F07028">
      <w:pPr>
        <w:pStyle w:val="FootnoteText"/>
      </w:pPr>
      <w:r w:rsidRPr="00436BC4">
        <w:rPr>
          <w:rStyle w:val="FootnoteReference"/>
        </w:rPr>
        <w:footnoteRef/>
      </w:r>
      <w:r w:rsidRPr="00436BC4">
        <w:t xml:space="preserve"> </w:t>
      </w:r>
      <w:r w:rsidR="002C0165" w:rsidRPr="00436BC4">
        <w:t xml:space="preserve">Will Stockton, </w:t>
      </w:r>
      <w:r w:rsidR="002C0165" w:rsidRPr="00436BC4">
        <w:rPr>
          <w:i/>
          <w:iCs/>
        </w:rPr>
        <w:t>An Introduction to Queer Literary Studies: Reading Queerly</w:t>
      </w:r>
      <w:r w:rsidR="002C0165" w:rsidRPr="00436BC4">
        <w:t xml:space="preserve"> (Routledge, 2022), p.91.</w:t>
      </w:r>
    </w:p>
  </w:footnote>
  <w:footnote w:id="79">
    <w:p w14:paraId="6ECA3F9F" w14:textId="3F527A7E" w:rsidR="00E84DE8" w:rsidRPr="00436BC4" w:rsidRDefault="00E84DE8" w:rsidP="00E84DE8">
      <w:pPr>
        <w:pStyle w:val="FootnoteText"/>
      </w:pPr>
      <w:r w:rsidRPr="00436BC4">
        <w:rPr>
          <w:rStyle w:val="FootnoteReference"/>
        </w:rPr>
        <w:footnoteRef/>
      </w:r>
      <w:r w:rsidRPr="00436BC4">
        <w:t xml:space="preserve"> </w:t>
      </w:r>
      <w:bookmarkStart w:id="40" w:name="_Hlk140878847"/>
      <w:r w:rsidR="00961ACD">
        <w:t>‘”</w:t>
      </w:r>
      <w:r w:rsidRPr="00436BC4">
        <w:t>Lord</w:t>
      </w:r>
      <w:r w:rsidR="00961ACD">
        <w:t>”</w:t>
      </w:r>
      <w:r w:rsidRPr="00436BC4">
        <w:t xml:space="preserve">, said Goewin, </w:t>
      </w:r>
      <w:r w:rsidR="00961ACD">
        <w:t>“</w:t>
      </w:r>
      <w:r w:rsidRPr="00436BC4">
        <w:t>seek now a maiden to be under thy feet. I am a woman</w:t>
      </w:r>
      <w:r w:rsidR="00961ACD">
        <w:t>”</w:t>
      </w:r>
      <w:r w:rsidRPr="00436BC4">
        <w:t xml:space="preserve">’. Sioned Davies, </w:t>
      </w:r>
      <w:r w:rsidRPr="00436BC4">
        <w:rPr>
          <w:i/>
          <w:iCs/>
        </w:rPr>
        <w:t>The Mabinogion</w:t>
      </w:r>
      <w:r w:rsidRPr="00436BC4">
        <w:t xml:space="preserve"> (Oxford: University Press, 2007), p.52.</w:t>
      </w:r>
      <w:bookmarkEnd w:id="40"/>
    </w:p>
  </w:footnote>
  <w:footnote w:id="80">
    <w:p w14:paraId="4C255C88" w14:textId="0A7D3D46" w:rsidR="0040188C" w:rsidRPr="0040188C" w:rsidRDefault="0040188C">
      <w:pPr>
        <w:pStyle w:val="FootnoteText"/>
        <w:rPr>
          <w:lang w:val="en-US"/>
        </w:rPr>
      </w:pPr>
      <w:r>
        <w:rPr>
          <w:rStyle w:val="FootnoteReference"/>
        </w:rPr>
        <w:footnoteRef/>
      </w:r>
      <w:r>
        <w:t xml:space="preserve"> </w:t>
      </w:r>
      <w:r w:rsidR="00856494" w:rsidRPr="00436BC4">
        <w:t>‘</w:t>
      </w:r>
      <w:r w:rsidR="00856494">
        <w:t>That is my belief’</w:t>
      </w:r>
      <w:r w:rsidR="008A1C34">
        <w:t>.</w:t>
      </w:r>
      <w:r w:rsidR="00856494" w:rsidRPr="00436BC4">
        <w:t xml:space="preserve"> Sioned Davies, </w:t>
      </w:r>
      <w:r w:rsidR="00856494" w:rsidRPr="00436BC4">
        <w:rPr>
          <w:i/>
          <w:iCs/>
        </w:rPr>
        <w:t>The Mabinogion</w:t>
      </w:r>
      <w:r w:rsidR="00856494" w:rsidRPr="00436BC4">
        <w:t>, p.5</w:t>
      </w:r>
      <w:r w:rsidR="00856494">
        <w:t>4</w:t>
      </w:r>
      <w:r w:rsidR="00856494" w:rsidRPr="00436BC4">
        <w:t>.</w:t>
      </w:r>
      <w:r w:rsidR="00961ACD" w:rsidRPr="00961ACD">
        <w:rPr>
          <w:lang w:val="en-US"/>
        </w:rPr>
        <w:t xml:space="preserve"> </w:t>
      </w:r>
      <w:r w:rsidR="009C0696">
        <w:rPr>
          <w:lang w:val="en-US"/>
        </w:rPr>
        <w:t>T</w:t>
      </w:r>
      <w:r w:rsidR="0032383B">
        <w:rPr>
          <w:lang w:val="en-US"/>
        </w:rPr>
        <w:t xml:space="preserve">he implication of Aranrhod’s response to </w:t>
      </w:r>
      <w:r w:rsidR="008C319F">
        <w:rPr>
          <w:lang w:val="en-US"/>
        </w:rPr>
        <w:t>Math’s</w:t>
      </w:r>
      <w:r w:rsidR="0032383B">
        <w:rPr>
          <w:lang w:val="en-US"/>
        </w:rPr>
        <w:t xml:space="preserve"> questioning is that she </w:t>
      </w:r>
      <w:r w:rsidR="00961ACD">
        <w:rPr>
          <w:lang w:val="en-US"/>
        </w:rPr>
        <w:t>may be hiding the full truth.</w:t>
      </w:r>
    </w:p>
  </w:footnote>
  <w:footnote w:id="81">
    <w:p w14:paraId="6878C5EE" w14:textId="2B6EFB1E" w:rsidR="00DC5247" w:rsidRPr="00436BC4" w:rsidRDefault="00DC5247" w:rsidP="00DC5247">
      <w:pPr>
        <w:pStyle w:val="FootnoteText"/>
      </w:pPr>
      <w:r w:rsidRPr="00436BC4">
        <w:rPr>
          <w:rStyle w:val="FootnoteReference"/>
        </w:rPr>
        <w:footnoteRef/>
      </w:r>
      <w:r w:rsidRPr="00436BC4">
        <w:t xml:space="preserve"> He must stand with one foot on the edge of a tub by a river with a thatched roof above, whilst the other foot is on the back of a billy goat, and with a strike from a spear that takes a year to make during the hours of Sunday mass.</w:t>
      </w:r>
      <w:r w:rsidR="00347670">
        <w:t xml:space="preserve"> </w:t>
      </w:r>
      <w:bookmarkStart w:id="41" w:name="_Hlk175310773"/>
      <w:r w:rsidR="00347670" w:rsidRPr="00436BC4">
        <w:t xml:space="preserve">Sioned Davies, </w:t>
      </w:r>
      <w:r w:rsidR="00347670" w:rsidRPr="00436BC4">
        <w:rPr>
          <w:i/>
          <w:iCs/>
        </w:rPr>
        <w:t>The Mabinogion</w:t>
      </w:r>
      <w:r w:rsidR="00347670" w:rsidRPr="00436BC4">
        <w:t>, p.</w:t>
      </w:r>
      <w:r w:rsidR="00347670">
        <w:t>60.</w:t>
      </w:r>
      <w:bookmarkEnd w:id="41"/>
    </w:p>
  </w:footnote>
  <w:footnote w:id="82">
    <w:p w14:paraId="40D510D4" w14:textId="5FB668A0" w:rsidR="000D591D" w:rsidRPr="00436BC4" w:rsidRDefault="000D591D" w:rsidP="000D591D">
      <w:pPr>
        <w:pStyle w:val="FootnoteText"/>
      </w:pPr>
      <w:r w:rsidRPr="00436BC4">
        <w:rPr>
          <w:rStyle w:val="FootnoteReference"/>
        </w:rPr>
        <w:footnoteRef/>
      </w:r>
      <w:r w:rsidRPr="00436BC4">
        <w:t xml:space="preserve"> </w:t>
      </w:r>
      <w:bookmarkStart w:id="43" w:name="_Hlk140920094"/>
      <w:r w:rsidRPr="00436BC4">
        <w:t xml:space="preserve">Michael Cichon, ‘Eros and Error: Gross Sexual Transgression in the Fourth Branch of the Mabinogi’, in </w:t>
      </w:r>
      <w:r w:rsidRPr="00436BC4">
        <w:rPr>
          <w:i/>
          <w:iCs/>
        </w:rPr>
        <w:t>The Erotic in the Literature of Medieval Britain</w:t>
      </w:r>
      <w:r w:rsidRPr="00436BC4">
        <w:t>, ed. by Amanda Hopkins and Cory James Rushton (Boydell &amp; Brewer, 2007), p.105.</w:t>
      </w:r>
      <w:bookmarkEnd w:id="43"/>
    </w:p>
  </w:footnote>
  <w:footnote w:id="83">
    <w:p w14:paraId="48F37A3E" w14:textId="16607757" w:rsidR="000D591D" w:rsidRPr="00436BC4" w:rsidRDefault="000D591D" w:rsidP="000D591D">
      <w:pPr>
        <w:pStyle w:val="FootnoteText"/>
      </w:pPr>
      <w:r w:rsidRPr="00436BC4">
        <w:rPr>
          <w:rStyle w:val="FootnoteReference"/>
        </w:rPr>
        <w:footnoteRef/>
      </w:r>
      <w:r w:rsidRPr="00436BC4">
        <w:t xml:space="preserve"> Roberta Valente, ‘</w:t>
      </w:r>
      <w:proofErr w:type="spellStart"/>
      <w:r w:rsidRPr="00436BC4">
        <w:t>Merched</w:t>
      </w:r>
      <w:proofErr w:type="spellEnd"/>
      <w:r w:rsidRPr="00436BC4">
        <w:t xml:space="preserve"> Y Mabinogi</w:t>
      </w:r>
      <w:r w:rsidR="004070B3">
        <w:t>’</w:t>
      </w:r>
      <w:r w:rsidRPr="00436BC4">
        <w:t>, p.97. cited in Michael Cichon, ‘Eros and Error</w:t>
      </w:r>
      <w:r w:rsidR="004070B3">
        <w:t>’</w:t>
      </w:r>
      <w:r w:rsidRPr="00436BC4">
        <w:t>, p</w:t>
      </w:r>
      <w:r w:rsidR="003155E7" w:rsidRPr="00436BC4">
        <w:t>.</w:t>
      </w:r>
      <w:r w:rsidRPr="00436BC4">
        <w:t>105.</w:t>
      </w:r>
    </w:p>
  </w:footnote>
  <w:footnote w:id="84">
    <w:p w14:paraId="15A7DD84" w14:textId="40FC4885" w:rsidR="00215C7E" w:rsidRPr="00436BC4" w:rsidRDefault="00215C7E">
      <w:pPr>
        <w:pStyle w:val="FootnoteText"/>
      </w:pPr>
      <w:r w:rsidRPr="00436BC4">
        <w:rPr>
          <w:rStyle w:val="FootnoteReference"/>
        </w:rPr>
        <w:footnoteRef/>
      </w:r>
      <w:r w:rsidRPr="00436BC4">
        <w:t xml:space="preserve"> Fiona Winward, ‘Some Aspects of the Women in the Four Branches.’, p. </w:t>
      </w:r>
      <w:r w:rsidR="00683CE3" w:rsidRPr="00436BC4">
        <w:t>88.,</w:t>
      </w:r>
      <w:r w:rsidR="00683CE3" w:rsidRPr="00436BC4">
        <w:rPr>
          <w:sz w:val="22"/>
          <w:szCs w:val="22"/>
        </w:rPr>
        <w:t xml:space="preserve"> </w:t>
      </w:r>
      <w:r w:rsidR="00683CE3" w:rsidRPr="00436BC4">
        <w:t>Roberta Valente, ‘</w:t>
      </w:r>
      <w:proofErr w:type="spellStart"/>
      <w:r w:rsidR="00683CE3" w:rsidRPr="00436BC4">
        <w:t>Merched</w:t>
      </w:r>
      <w:proofErr w:type="spellEnd"/>
      <w:r w:rsidR="00683CE3" w:rsidRPr="00436BC4">
        <w:t xml:space="preserve"> Y Mabinogi</w:t>
      </w:r>
      <w:r w:rsidR="004070B3">
        <w:t>’</w:t>
      </w:r>
      <w:r w:rsidR="00683CE3" w:rsidRPr="00436BC4">
        <w:t>, pp. 259-260.</w:t>
      </w:r>
    </w:p>
  </w:footnote>
  <w:footnote w:id="85">
    <w:p w14:paraId="791E674E" w14:textId="77777777" w:rsidR="00E72A07" w:rsidRPr="00436BC4" w:rsidRDefault="00E72A07" w:rsidP="00E72A07">
      <w:pPr>
        <w:pStyle w:val="FootnoteText"/>
      </w:pPr>
      <w:r w:rsidRPr="00436BC4">
        <w:rPr>
          <w:rStyle w:val="FootnoteReference"/>
        </w:rPr>
        <w:footnoteRef/>
      </w:r>
      <w:r w:rsidRPr="00436BC4">
        <w:t xml:space="preserve"> Judith Butler, </w:t>
      </w:r>
      <w:r w:rsidRPr="00436BC4">
        <w:rPr>
          <w:i/>
          <w:iCs/>
        </w:rPr>
        <w:t>Undoing Gender</w:t>
      </w:r>
      <w:r w:rsidRPr="00436BC4">
        <w:t>, 1st edition (New York ; London: Routledge, 2004), p.41.</w:t>
      </w:r>
    </w:p>
  </w:footnote>
  <w:footnote w:id="86">
    <w:p w14:paraId="1E6E0A32" w14:textId="6C2FB2DC" w:rsidR="00E72A07" w:rsidRPr="00436BC4" w:rsidRDefault="00E72A07" w:rsidP="00E72A07">
      <w:pPr>
        <w:pStyle w:val="FootnoteText"/>
      </w:pPr>
      <w:r w:rsidRPr="00436BC4">
        <w:rPr>
          <w:rStyle w:val="FootnoteReference"/>
        </w:rPr>
        <w:footnoteRef/>
      </w:r>
      <w:r w:rsidRPr="00436BC4">
        <w:t xml:space="preserve"> </w:t>
      </w:r>
      <w:bookmarkStart w:id="44" w:name="_Hlk173848678"/>
      <w:r w:rsidR="004070B3">
        <w:rPr>
          <w:i/>
          <w:iCs/>
        </w:rPr>
        <w:t>Ibid.</w:t>
      </w:r>
      <w:r w:rsidR="004070B3">
        <w:t>,</w:t>
      </w:r>
      <w:r w:rsidRPr="00436BC4">
        <w:t xml:space="preserve"> </w:t>
      </w:r>
      <w:bookmarkEnd w:id="44"/>
      <w:r w:rsidRPr="00436BC4">
        <w:t>Cited in Bill Burgwinkle, ‘État Présent; Queer Theory and the Middle Ages’, p.83.</w:t>
      </w:r>
    </w:p>
  </w:footnote>
  <w:footnote w:id="87">
    <w:p w14:paraId="7E89DCC7" w14:textId="783839DC" w:rsidR="00E72A07" w:rsidRPr="00436BC4" w:rsidRDefault="00E72A07" w:rsidP="00E72A07">
      <w:pPr>
        <w:pStyle w:val="FootnoteText"/>
      </w:pPr>
      <w:r w:rsidRPr="00436BC4">
        <w:rPr>
          <w:rStyle w:val="FootnoteReference"/>
        </w:rPr>
        <w:footnoteRef/>
      </w:r>
      <w:r w:rsidRPr="00436BC4">
        <w:t xml:space="preserve"> Judith Butler, </w:t>
      </w:r>
      <w:r w:rsidRPr="00436BC4">
        <w:rPr>
          <w:i/>
          <w:iCs/>
        </w:rPr>
        <w:t>Undoing Gender</w:t>
      </w:r>
      <w:r w:rsidRPr="00436BC4">
        <w:t xml:space="preserve">, p.1. </w:t>
      </w:r>
    </w:p>
  </w:footnote>
  <w:footnote w:id="88">
    <w:p w14:paraId="09E7BC7A" w14:textId="2670AE2A" w:rsidR="00E72A07" w:rsidRPr="00436BC4" w:rsidRDefault="00E72A07" w:rsidP="00E72A07">
      <w:pPr>
        <w:pStyle w:val="FootnoteText"/>
      </w:pPr>
      <w:r w:rsidRPr="00436BC4">
        <w:rPr>
          <w:rStyle w:val="FootnoteReference"/>
        </w:rPr>
        <w:footnoteRef/>
      </w:r>
      <w:r w:rsidRPr="00436BC4">
        <w:t xml:space="preserve"> Bill Burgwinkle, ‘État Présent; Queer Theory and the Middle Ages’, p.83.</w:t>
      </w:r>
    </w:p>
  </w:footnote>
  <w:footnote w:id="89">
    <w:p w14:paraId="71A25359" w14:textId="534E81F0" w:rsidR="008F730F" w:rsidRPr="00436BC4" w:rsidRDefault="008F730F">
      <w:pPr>
        <w:pStyle w:val="FootnoteText"/>
      </w:pPr>
      <w:r w:rsidRPr="00436BC4">
        <w:rPr>
          <w:rStyle w:val="FootnoteReference"/>
        </w:rPr>
        <w:footnoteRef/>
      </w:r>
      <w:r w:rsidRPr="00436BC4">
        <w:t xml:space="preserve"> Roberta Valente, ‘Gwydion and Aranrhod</w:t>
      </w:r>
      <w:r w:rsidR="00CB5CC8">
        <w:t>’</w:t>
      </w:r>
      <w:r w:rsidRPr="00436BC4">
        <w:t>, p.2.</w:t>
      </w:r>
    </w:p>
  </w:footnote>
  <w:footnote w:id="90">
    <w:p w14:paraId="1EF86A2E" w14:textId="73D47317" w:rsidR="003E7D2E" w:rsidRPr="00436BC4" w:rsidRDefault="003E7D2E">
      <w:pPr>
        <w:pStyle w:val="FootnoteText"/>
      </w:pPr>
      <w:r w:rsidRPr="00436BC4">
        <w:rPr>
          <w:rStyle w:val="FootnoteReference"/>
        </w:rPr>
        <w:footnoteRef/>
      </w:r>
      <w:r w:rsidRPr="00436BC4">
        <w:t xml:space="preserve"> </w:t>
      </w:r>
      <w:r w:rsidR="00CB5CC8">
        <w:rPr>
          <w:i/>
          <w:iCs/>
        </w:rPr>
        <w:t>Ibid.</w:t>
      </w:r>
    </w:p>
  </w:footnote>
  <w:footnote w:id="91">
    <w:p w14:paraId="56C3AEED" w14:textId="1BD2AB21" w:rsidR="00261DD1" w:rsidRPr="00436BC4" w:rsidRDefault="00261DD1">
      <w:pPr>
        <w:pStyle w:val="FootnoteText"/>
      </w:pPr>
      <w:r w:rsidRPr="00436BC4">
        <w:rPr>
          <w:rStyle w:val="FootnoteReference"/>
        </w:rPr>
        <w:footnoteRef/>
      </w:r>
      <w:r w:rsidRPr="00436BC4">
        <w:t xml:space="preserve"> Morfydd E. Owen, ‘Shame and Reparation: Women’s Place in the Kin’, in </w:t>
      </w:r>
      <w:r w:rsidRPr="00436BC4">
        <w:rPr>
          <w:i/>
          <w:iCs/>
        </w:rPr>
        <w:t>The Welsh Law of Women</w:t>
      </w:r>
      <w:r w:rsidRPr="00436BC4">
        <w:t>, ed. by Dafydd Jenkins and Morfydd E. Owen (University of Wales Press, 1980), pp. 40–68.</w:t>
      </w:r>
    </w:p>
  </w:footnote>
  <w:footnote w:id="92">
    <w:p w14:paraId="3CF4DC33" w14:textId="5BAF2D46" w:rsidR="0003573E" w:rsidRPr="00436BC4" w:rsidRDefault="0003573E">
      <w:pPr>
        <w:pStyle w:val="FootnoteText"/>
      </w:pPr>
      <w:r w:rsidRPr="00436BC4">
        <w:rPr>
          <w:rStyle w:val="FootnoteReference"/>
        </w:rPr>
        <w:footnoteRef/>
      </w:r>
      <w:r w:rsidRPr="00436BC4">
        <w:t xml:space="preserve"> Morfydd E. Owen, ‘Shame and Reparation</w:t>
      </w:r>
      <w:r w:rsidR="009A7834">
        <w:t>’</w:t>
      </w:r>
      <w:r w:rsidRPr="00436BC4">
        <w:t>, p.40.</w:t>
      </w:r>
    </w:p>
  </w:footnote>
  <w:footnote w:id="93">
    <w:p w14:paraId="5A72B4A7" w14:textId="2AAA067B" w:rsidR="006D52CE" w:rsidRPr="00436BC4" w:rsidRDefault="006D52CE">
      <w:pPr>
        <w:pStyle w:val="FootnoteText"/>
      </w:pPr>
      <w:r w:rsidRPr="00436BC4">
        <w:rPr>
          <w:rStyle w:val="FootnoteReference"/>
        </w:rPr>
        <w:footnoteRef/>
      </w:r>
      <w:r w:rsidRPr="00436BC4">
        <w:t xml:space="preserve"> </w:t>
      </w:r>
      <w:r w:rsidR="0000295E" w:rsidRPr="00436BC4">
        <w:t xml:space="preserve">Both </w:t>
      </w:r>
      <w:r w:rsidR="0000295E" w:rsidRPr="00436BC4">
        <w:rPr>
          <w:i/>
          <w:iCs/>
        </w:rPr>
        <w:t xml:space="preserve">morwyn </w:t>
      </w:r>
      <w:r w:rsidR="0000295E" w:rsidRPr="00436BC4">
        <w:t>and</w:t>
      </w:r>
      <w:r w:rsidR="0000295E" w:rsidRPr="00436BC4">
        <w:rPr>
          <w:i/>
          <w:iCs/>
        </w:rPr>
        <w:t xml:space="preserve"> gwraig </w:t>
      </w:r>
      <w:r w:rsidR="0000295E" w:rsidRPr="00436BC4">
        <w:t>are legal terms</w:t>
      </w:r>
      <w:r w:rsidR="009C75FB" w:rsidRPr="00436BC4">
        <w:t xml:space="preserve"> –</w:t>
      </w:r>
      <w:r w:rsidR="0000295E" w:rsidRPr="00436BC4">
        <w:t xml:space="preserve"> </w:t>
      </w:r>
      <w:r w:rsidR="009C75FB" w:rsidRPr="00436BC4">
        <w:t>Morfydd E. Owen, ‘Shame and Reparation</w:t>
      </w:r>
      <w:r w:rsidR="009A7834">
        <w:t>’</w:t>
      </w:r>
      <w:r w:rsidR="009C75FB" w:rsidRPr="00436BC4">
        <w:t>, p.43.</w:t>
      </w:r>
    </w:p>
  </w:footnote>
  <w:footnote w:id="94">
    <w:p w14:paraId="3870808B" w14:textId="0F1881F7" w:rsidR="008B6E3E" w:rsidRPr="00436BC4" w:rsidRDefault="008B6E3E">
      <w:pPr>
        <w:pStyle w:val="FootnoteText"/>
      </w:pPr>
      <w:r w:rsidRPr="00436BC4">
        <w:rPr>
          <w:rStyle w:val="FootnoteReference"/>
        </w:rPr>
        <w:footnoteRef/>
      </w:r>
      <w:r w:rsidRPr="00436BC4">
        <w:t xml:space="preserve"> ‘Insult price’ paid as compensation to the victims whose </w:t>
      </w:r>
      <w:r w:rsidR="00FB5B2E" w:rsidRPr="00436BC4">
        <w:t>honour</w:t>
      </w:r>
      <w:r w:rsidRPr="00436BC4">
        <w:t xml:space="preserve"> has been damaged. – Morfydd E. Owen, ‘Shame and Reparation</w:t>
      </w:r>
      <w:r w:rsidR="00DA7D22">
        <w:t>’</w:t>
      </w:r>
      <w:r w:rsidRPr="00436BC4">
        <w:t xml:space="preserve">, p.41. </w:t>
      </w:r>
    </w:p>
  </w:footnote>
  <w:footnote w:id="95">
    <w:p w14:paraId="1870638F" w14:textId="6D75A8D0" w:rsidR="008B6E3E" w:rsidRPr="00436BC4" w:rsidRDefault="008B6E3E">
      <w:pPr>
        <w:pStyle w:val="FootnoteText"/>
      </w:pPr>
      <w:r w:rsidRPr="00436BC4">
        <w:rPr>
          <w:rStyle w:val="FootnoteReference"/>
        </w:rPr>
        <w:footnoteRef/>
      </w:r>
      <w:r w:rsidRPr="00436BC4">
        <w:t xml:space="preserve"> Morfydd E. Owen, ‘Shame and Reparation</w:t>
      </w:r>
      <w:r w:rsidR="00DA7D22">
        <w:t>’</w:t>
      </w:r>
      <w:r w:rsidRPr="00436BC4">
        <w:t>, p.43.</w:t>
      </w:r>
    </w:p>
  </w:footnote>
  <w:footnote w:id="96">
    <w:p w14:paraId="4C92A581" w14:textId="3768ADBB" w:rsidR="00C17CA5" w:rsidRPr="00436BC4" w:rsidRDefault="00C17CA5" w:rsidP="00C17CA5">
      <w:pPr>
        <w:pStyle w:val="FootnoteText"/>
      </w:pPr>
      <w:r w:rsidRPr="00436BC4">
        <w:rPr>
          <w:rStyle w:val="FootnoteReference"/>
        </w:rPr>
        <w:footnoteRef/>
      </w:r>
      <w:r w:rsidRPr="00436BC4">
        <w:t xml:space="preserve"> </w:t>
      </w:r>
      <w:r w:rsidR="002142A5" w:rsidRPr="00436BC4">
        <w:t xml:space="preserve">As it is specified that Math must have a virgin footholder when not at war, we can speculate that his life maybe in some way be threatened if he is without for too long. – </w:t>
      </w:r>
      <w:r w:rsidRPr="00436BC4">
        <w:t>Michael Cichon, ‘Eros and Error</w:t>
      </w:r>
      <w:r w:rsidR="00DA7D22">
        <w:t>’,</w:t>
      </w:r>
      <w:r w:rsidRPr="00436BC4">
        <w:t xml:space="preserve"> p.109.</w:t>
      </w:r>
    </w:p>
  </w:footnote>
  <w:footnote w:id="97">
    <w:p w14:paraId="3B928333" w14:textId="68D5CD4A" w:rsidR="00C17CA5" w:rsidRPr="00436BC4" w:rsidRDefault="00C17CA5" w:rsidP="00C17CA5">
      <w:pPr>
        <w:pStyle w:val="FootnoteText"/>
      </w:pPr>
      <w:r w:rsidRPr="00436BC4">
        <w:rPr>
          <w:rStyle w:val="FootnoteReference"/>
        </w:rPr>
        <w:footnoteRef/>
      </w:r>
      <w:r w:rsidRPr="00436BC4">
        <w:t xml:space="preserve"> Similarly, if a woman was discovered to be, or suspected of being a false</w:t>
      </w:r>
      <w:r w:rsidR="00A1048E">
        <w:t>-</w:t>
      </w:r>
      <w:r w:rsidRPr="00436BC4">
        <w:t xml:space="preserve">virgin on her wedding night, that Welsh medieval laws recommended that she be subjected to a public shaming ritual whereby the wedding guests were called into the room and the girl’s nightshirt would be severed to reveal her genitalia. – Jane Cartwright, ‘Virginity and Chastity Tests in Medieval Welsh Prose’, in </w:t>
      </w:r>
      <w:r w:rsidRPr="00436BC4">
        <w:rPr>
          <w:i/>
          <w:iCs/>
        </w:rPr>
        <w:t>Medieval Virginities</w:t>
      </w:r>
      <w:r w:rsidRPr="00436BC4">
        <w:t>, ed. by Ruth Evans, Sarah Salih, and Anke Bernau (University of Toronto Press, 2003), p</w:t>
      </w:r>
      <w:r w:rsidR="00050004" w:rsidRPr="00436BC4">
        <w:t>p</w:t>
      </w:r>
      <w:r w:rsidRPr="00436BC4">
        <w:t>.</w:t>
      </w:r>
      <w:r w:rsidR="00050004" w:rsidRPr="00436BC4">
        <w:t xml:space="preserve">59, </w:t>
      </w:r>
      <w:r w:rsidRPr="00436BC4">
        <w:t>63.</w:t>
      </w:r>
    </w:p>
  </w:footnote>
  <w:footnote w:id="98">
    <w:p w14:paraId="7EC01404" w14:textId="45DDAE48" w:rsidR="00C17CA5" w:rsidRPr="00436BC4" w:rsidRDefault="00C17CA5" w:rsidP="00C17CA5">
      <w:pPr>
        <w:pStyle w:val="FootnoteText"/>
      </w:pPr>
      <w:r w:rsidRPr="00436BC4">
        <w:rPr>
          <w:rStyle w:val="FootnoteReference"/>
        </w:rPr>
        <w:footnoteRef/>
      </w:r>
      <w:r w:rsidRPr="00436BC4">
        <w:t xml:space="preserve"> </w:t>
      </w:r>
      <w:r w:rsidR="00125401" w:rsidRPr="00436BC4">
        <w:t xml:space="preserve">The punishment hints at a kind of lewd symbolism that was meant to mock the woman in question </w:t>
      </w:r>
      <w:r w:rsidR="00354617" w:rsidRPr="00436BC4">
        <w:t xml:space="preserve">Jane Cartwright, ‘Virginity and Chastity Tests in Medieval Welsh Prose’, </w:t>
      </w:r>
      <w:r w:rsidRPr="00436BC4">
        <w:t>p</w:t>
      </w:r>
      <w:r w:rsidR="00354617" w:rsidRPr="00436BC4">
        <w:t>.</w:t>
      </w:r>
      <w:r w:rsidRPr="00436BC4">
        <w:t>64.</w:t>
      </w:r>
    </w:p>
  </w:footnote>
  <w:footnote w:id="99">
    <w:p w14:paraId="29CCCB26" w14:textId="529DDD91" w:rsidR="00C17CA5" w:rsidRPr="00436BC4" w:rsidRDefault="00C17CA5" w:rsidP="00C17CA5">
      <w:pPr>
        <w:pStyle w:val="FootnoteText"/>
      </w:pPr>
      <w:r w:rsidRPr="00436BC4">
        <w:rPr>
          <w:rStyle w:val="FootnoteReference"/>
        </w:rPr>
        <w:footnoteRef/>
      </w:r>
      <w:r w:rsidRPr="00436BC4">
        <w:t xml:space="preserve"> It is possible to argue that Aranrhod is publicly shamed in a similar way for her sexual independence by having to endure the test of her virginity and the subsequent public labour and birth after. However, no fine is paid by her or her kin and most importantly, there is no loss of status or power for her. She retains her lands and her castle and remains lord over them. In this way Aranrhod </w:t>
      </w:r>
      <w:r w:rsidR="004A39E2" w:rsidRPr="00436BC4">
        <w:t>could be described</w:t>
      </w:r>
      <w:r w:rsidRPr="00436BC4">
        <w:t xml:space="preserve"> less of an </w:t>
      </w:r>
      <w:r w:rsidR="004A39E2" w:rsidRPr="00436BC4">
        <w:t>E</w:t>
      </w:r>
      <w:r w:rsidRPr="00436BC4">
        <w:t>ve figure, and more of an inverse Mary – a miraculous birth followed by the rejection of motherhood.</w:t>
      </w:r>
    </w:p>
  </w:footnote>
  <w:footnote w:id="100">
    <w:p w14:paraId="52B57D1B" w14:textId="1113596C" w:rsidR="00C67D77" w:rsidRPr="00436BC4" w:rsidRDefault="00C67D77">
      <w:pPr>
        <w:pStyle w:val="FootnoteText"/>
      </w:pPr>
      <w:r w:rsidRPr="00436BC4">
        <w:rPr>
          <w:rStyle w:val="FootnoteReference"/>
        </w:rPr>
        <w:footnoteRef/>
      </w:r>
      <w:r w:rsidRPr="00436BC4">
        <w:t xml:space="preserve"> </w:t>
      </w:r>
      <w:r w:rsidR="00432E0B">
        <w:t>A</w:t>
      </w:r>
      <w:r w:rsidRPr="00436BC4">
        <w:t xml:space="preserve"> legal term and criminal offence in medieval Wales - Morfydd E. Owen, ‘Shame and Reparation</w:t>
      </w:r>
      <w:r w:rsidR="0084224C">
        <w:t>’</w:t>
      </w:r>
      <w:r w:rsidRPr="00436BC4">
        <w:t>, pp. 40-68.</w:t>
      </w:r>
    </w:p>
  </w:footnote>
  <w:footnote w:id="101">
    <w:p w14:paraId="628CB373" w14:textId="79278BA6" w:rsidR="00D24408" w:rsidRPr="00436BC4" w:rsidRDefault="00D24408">
      <w:pPr>
        <w:pStyle w:val="FootnoteText"/>
      </w:pPr>
      <w:r w:rsidRPr="00436BC4">
        <w:rPr>
          <w:rStyle w:val="FootnoteReference"/>
        </w:rPr>
        <w:footnoteRef/>
      </w:r>
      <w:r w:rsidRPr="00436BC4">
        <w:t xml:space="preserve"> Roberta Valente, ‘Gwydion and Aranrhod</w:t>
      </w:r>
      <w:r w:rsidR="0084224C">
        <w:t>’</w:t>
      </w:r>
      <w:r w:rsidRPr="00436BC4">
        <w:t>, p.3.</w:t>
      </w:r>
    </w:p>
  </w:footnote>
  <w:footnote w:id="102">
    <w:p w14:paraId="5B18B095" w14:textId="77777777" w:rsidR="00D62DCE" w:rsidRPr="00436BC4" w:rsidRDefault="00D62DCE" w:rsidP="00D62DCE">
      <w:pPr>
        <w:pStyle w:val="FootnoteText"/>
      </w:pPr>
      <w:r w:rsidRPr="00436BC4">
        <w:rPr>
          <w:rStyle w:val="FootnoteReference"/>
        </w:rPr>
        <w:footnoteRef/>
      </w:r>
      <w:r w:rsidRPr="00436BC4">
        <w:t xml:space="preserve"> Often virginity also inferred protective or healing powers.</w:t>
      </w:r>
    </w:p>
  </w:footnote>
  <w:footnote w:id="103">
    <w:p w14:paraId="5D3B3DBC" w14:textId="3FBEA5C8" w:rsidR="00D62DCE" w:rsidRPr="00436BC4" w:rsidRDefault="00D62DCE" w:rsidP="00D62DCE">
      <w:pPr>
        <w:pStyle w:val="FootnoteText"/>
        <w:rPr>
          <w:color w:val="FF0000"/>
        </w:rPr>
      </w:pPr>
      <w:r w:rsidRPr="00436BC4">
        <w:rPr>
          <w:rStyle w:val="FootnoteReference"/>
        </w:rPr>
        <w:footnoteRef/>
      </w:r>
      <w:r w:rsidRPr="00436BC4">
        <w:t xml:space="preserve"> </w:t>
      </w:r>
      <w:bookmarkStart w:id="46" w:name="_Hlk141632666"/>
      <w:r w:rsidRPr="00436BC4">
        <w:t>Jane Cartwright, ‘Virginity and Chastity Tests in Medieval Welsh Prose’, pp</w:t>
      </w:r>
      <w:r w:rsidR="00FA2C95">
        <w:t xml:space="preserve">. </w:t>
      </w:r>
      <w:r w:rsidRPr="00436BC4">
        <w:t>57-58, 60, 67</w:t>
      </w:r>
      <w:bookmarkEnd w:id="46"/>
      <w:r w:rsidRPr="00436BC4">
        <w:t xml:space="preserve">. </w:t>
      </w:r>
    </w:p>
  </w:footnote>
  <w:footnote w:id="104">
    <w:p w14:paraId="44160322" w14:textId="262A660A" w:rsidR="00E06464" w:rsidRPr="00436BC4" w:rsidRDefault="00E06464">
      <w:pPr>
        <w:pStyle w:val="FootnoteText"/>
      </w:pPr>
      <w:r w:rsidRPr="00436BC4">
        <w:rPr>
          <w:rStyle w:val="FootnoteReference"/>
        </w:rPr>
        <w:footnoteRef/>
      </w:r>
      <w:r w:rsidRPr="00436BC4">
        <w:t xml:space="preserve"> Lee Edelman, </w:t>
      </w:r>
      <w:r w:rsidRPr="00436BC4">
        <w:rPr>
          <w:i/>
          <w:iCs/>
        </w:rPr>
        <w:t>No Future: Queer Theory and the Death Drive</w:t>
      </w:r>
      <w:r w:rsidRPr="00436BC4">
        <w:t>, Series Q (Duke University Press, 2004).</w:t>
      </w:r>
    </w:p>
  </w:footnote>
  <w:footnote w:id="105">
    <w:p w14:paraId="65DE1826" w14:textId="093AF83C" w:rsidR="00147517" w:rsidRPr="00436BC4" w:rsidRDefault="00147517" w:rsidP="00147517">
      <w:pPr>
        <w:pStyle w:val="FootnoteText"/>
      </w:pPr>
      <w:r w:rsidRPr="00436BC4">
        <w:rPr>
          <w:rStyle w:val="FootnoteReference"/>
        </w:rPr>
        <w:footnoteRef/>
      </w:r>
      <w:r w:rsidRPr="00436BC4">
        <w:t xml:space="preserve"> Fiona Winward, ‘Some Aspects of the Women in the Four Branches.’, p.88.</w:t>
      </w:r>
    </w:p>
  </w:footnote>
  <w:footnote w:id="106">
    <w:p w14:paraId="0642A1A8" w14:textId="24733278" w:rsidR="00147517" w:rsidRPr="00436BC4" w:rsidRDefault="00147517" w:rsidP="00147517">
      <w:pPr>
        <w:pStyle w:val="FootnoteText"/>
      </w:pPr>
      <w:r w:rsidRPr="00436BC4">
        <w:rPr>
          <w:rStyle w:val="FootnoteReference"/>
        </w:rPr>
        <w:footnoteRef/>
      </w:r>
      <w:r w:rsidRPr="00436BC4">
        <w:t xml:space="preserve"> Fiona Winward, ‘Some Aspects of the Women in the Four Branches.’, p.88. Aranrhod also seems to be responsible for the </w:t>
      </w:r>
      <w:r w:rsidRPr="00FA2C95">
        <w:t>people of the cantref, expressing anger at Gwydion’s fake attack, and how ‘many a lad might have lost his life in the muster brought about’</w:t>
      </w:r>
      <w:r w:rsidR="00FA2C95" w:rsidRPr="00FA2C95">
        <w:t xml:space="preserve">- </w:t>
      </w:r>
      <w:r w:rsidR="00FA2C95" w:rsidRPr="00436BC4">
        <w:t xml:space="preserve">Sioned Davies, </w:t>
      </w:r>
      <w:r w:rsidR="00FA2C95" w:rsidRPr="00436BC4">
        <w:rPr>
          <w:i/>
          <w:iCs/>
        </w:rPr>
        <w:t>The Mabinogion</w:t>
      </w:r>
      <w:r w:rsidR="00FA2C95" w:rsidRPr="00436BC4">
        <w:t>, p</w:t>
      </w:r>
      <w:r w:rsidR="00FA2C95" w:rsidRPr="00FA2C95">
        <w:t>.58</w:t>
      </w:r>
      <w:r w:rsidRPr="00FA2C95">
        <w:t>.</w:t>
      </w:r>
    </w:p>
  </w:footnote>
  <w:footnote w:id="107">
    <w:p w14:paraId="0DB0D634" w14:textId="6F50C4F8" w:rsidR="00147517" w:rsidRPr="00436BC4" w:rsidRDefault="00147517" w:rsidP="00147517">
      <w:pPr>
        <w:pStyle w:val="FootnoteText"/>
      </w:pPr>
      <w:r w:rsidRPr="00436BC4">
        <w:rPr>
          <w:rStyle w:val="FootnoteReference"/>
        </w:rPr>
        <w:footnoteRef/>
      </w:r>
      <w:r w:rsidRPr="00436BC4">
        <w:t xml:space="preserve"> Roberta Valente, ‘Gwydion and Aranrhod</w:t>
      </w:r>
      <w:r w:rsidR="00FA2C95">
        <w:t>’</w:t>
      </w:r>
      <w:r w:rsidRPr="00436BC4">
        <w:t>, p.5.</w:t>
      </w:r>
    </w:p>
  </w:footnote>
  <w:footnote w:id="108">
    <w:p w14:paraId="54162FED" w14:textId="08A14965" w:rsidR="00147517" w:rsidRPr="00436BC4" w:rsidRDefault="00147517" w:rsidP="00147517">
      <w:pPr>
        <w:pStyle w:val="FootnoteText"/>
      </w:pPr>
      <w:r w:rsidRPr="00436BC4">
        <w:rPr>
          <w:rStyle w:val="FootnoteReference"/>
        </w:rPr>
        <w:footnoteRef/>
      </w:r>
      <w:r w:rsidRPr="00436BC4">
        <w:t xml:space="preserve"> A snake would have been a natural choice, and would be in keeping with religious motifs familiar to medieval audiences, and drawing a clear line between Aranrhod’s fall from purity with that of Eve’s.</w:t>
      </w:r>
    </w:p>
  </w:footnote>
  <w:footnote w:id="109">
    <w:p w14:paraId="4839457B" w14:textId="410234DF" w:rsidR="00D62DCE" w:rsidRPr="00436BC4" w:rsidRDefault="00D62DCE" w:rsidP="00D62DCE">
      <w:pPr>
        <w:pStyle w:val="FootnoteText"/>
      </w:pPr>
      <w:r w:rsidRPr="00436BC4">
        <w:rPr>
          <w:rStyle w:val="FootnoteReference"/>
        </w:rPr>
        <w:footnoteRef/>
      </w:r>
      <w:r w:rsidRPr="00436BC4">
        <w:t xml:space="preserve"> Lee Edelman, </w:t>
      </w:r>
      <w:r w:rsidRPr="00436BC4">
        <w:rPr>
          <w:i/>
          <w:iCs/>
        </w:rPr>
        <w:t>No Future</w:t>
      </w:r>
      <w:r w:rsidRPr="00436BC4">
        <w:t>, p.31.</w:t>
      </w:r>
    </w:p>
  </w:footnote>
  <w:footnote w:id="110">
    <w:p w14:paraId="79FB1387" w14:textId="10CE537F" w:rsidR="00E45C37" w:rsidRPr="00436BC4" w:rsidRDefault="00E45C37" w:rsidP="00E45C37">
      <w:pPr>
        <w:pStyle w:val="FootnoteText"/>
      </w:pPr>
      <w:r w:rsidRPr="00436BC4">
        <w:rPr>
          <w:rStyle w:val="FootnoteReference"/>
        </w:rPr>
        <w:footnoteRef/>
      </w:r>
      <w:r w:rsidRPr="00436BC4">
        <w:t xml:space="preserve"> Roberta Valente, ‘Gwydion and Aranrhod</w:t>
      </w:r>
      <w:r w:rsidR="0043491F">
        <w:t>’</w:t>
      </w:r>
      <w:r w:rsidRPr="00436BC4">
        <w:t>, pp. 1–9; Fiona Winward, ‘Some Aspects of the Women in the Four Branches.’, pp. 77–106; Catherine Byfield, ‘Character and Conflict in the Four Branches of the Mabinogi’, pp. 51–72; Michael Cichon, ‘Eros and Error</w:t>
      </w:r>
      <w:r w:rsidR="0043491F">
        <w:t>’</w:t>
      </w:r>
      <w:r w:rsidRPr="00436BC4">
        <w:t>, pp. 105–15; Jane Cartwright, ‘Virginity and Chastity Tests in Medieval Welsh Prose’, pp. 56–79;</w:t>
      </w:r>
      <w:r w:rsidRPr="00436BC4">
        <w:rPr>
          <w:sz w:val="22"/>
          <w:szCs w:val="22"/>
        </w:rPr>
        <w:t xml:space="preserve"> </w:t>
      </w:r>
      <w:r w:rsidRPr="00436BC4">
        <w:t xml:space="preserve">T. P. Ellis, ‘Legal References, Terms and Conceptions in the Mabinogion’, </w:t>
      </w:r>
      <w:r w:rsidRPr="00436BC4">
        <w:rPr>
          <w:i/>
          <w:iCs/>
        </w:rPr>
        <w:t xml:space="preserve">Y </w:t>
      </w:r>
      <w:proofErr w:type="spellStart"/>
      <w:r w:rsidRPr="00436BC4">
        <w:rPr>
          <w:i/>
          <w:iCs/>
        </w:rPr>
        <w:t>Cymmrodor</w:t>
      </w:r>
      <w:proofErr w:type="spellEnd"/>
      <w:r w:rsidRPr="00436BC4">
        <w:t>, 39 (1928), pp. 86–148.</w:t>
      </w:r>
    </w:p>
  </w:footnote>
  <w:footnote w:id="111">
    <w:p w14:paraId="302922B2" w14:textId="77777777" w:rsidR="00E45C37" w:rsidRPr="00436BC4" w:rsidRDefault="00E45C37" w:rsidP="00E45C37">
      <w:pPr>
        <w:pStyle w:val="FootnoteText"/>
      </w:pPr>
      <w:r w:rsidRPr="00436BC4">
        <w:rPr>
          <w:rStyle w:val="FootnoteReference"/>
        </w:rPr>
        <w:footnoteRef/>
      </w:r>
      <w:r w:rsidRPr="00436BC4">
        <w:t xml:space="preserve"> One that can be inferred to have been seen as proportional their crimes to a medieval audience. </w:t>
      </w:r>
    </w:p>
  </w:footnote>
  <w:footnote w:id="112">
    <w:p w14:paraId="0978E737" w14:textId="099C7A51" w:rsidR="000D591D" w:rsidRPr="00436BC4" w:rsidRDefault="000D591D" w:rsidP="000D591D">
      <w:pPr>
        <w:pStyle w:val="FootnoteText"/>
      </w:pPr>
      <w:r w:rsidRPr="00436BC4">
        <w:rPr>
          <w:rStyle w:val="FootnoteReference"/>
        </w:rPr>
        <w:footnoteRef/>
      </w:r>
      <w:r w:rsidRPr="00436BC4">
        <w:t xml:space="preserve"> </w:t>
      </w:r>
      <w:bookmarkStart w:id="49" w:name="_Hlk142506105"/>
      <w:r w:rsidRPr="00436BC4">
        <w:t xml:space="preserve">T. M. Charles-Edwards, </w:t>
      </w:r>
      <w:r w:rsidRPr="00436BC4">
        <w:rPr>
          <w:i/>
          <w:iCs/>
        </w:rPr>
        <w:t>Early Irish and Welsh Kinship</w:t>
      </w:r>
      <w:r w:rsidRPr="00436BC4">
        <w:t xml:space="preserve"> (Oxford University Press, 1993), pp.175-176.</w:t>
      </w:r>
      <w:bookmarkEnd w:id="49"/>
    </w:p>
  </w:footnote>
  <w:footnote w:id="113">
    <w:p w14:paraId="4A3C97BD" w14:textId="52C07007" w:rsidR="00074D7A" w:rsidRPr="00436BC4" w:rsidRDefault="00074D7A">
      <w:pPr>
        <w:pStyle w:val="FootnoteText"/>
      </w:pPr>
      <w:r w:rsidRPr="00436BC4">
        <w:rPr>
          <w:rStyle w:val="FootnoteReference"/>
        </w:rPr>
        <w:footnoteRef/>
      </w:r>
      <w:r w:rsidRPr="00436BC4">
        <w:t xml:space="preserve"> The link with kinship here is particularly interesting as it effectively severs the connection between Lleu and Aranrhod. This </w:t>
      </w:r>
      <w:r w:rsidR="00721566" w:rsidRPr="00436BC4">
        <w:t xml:space="preserve">is undoubtedly a means Aranrhod uses to </w:t>
      </w:r>
      <w:r w:rsidRPr="00436BC4">
        <w:t>distanc</w:t>
      </w:r>
      <w:r w:rsidR="00721566" w:rsidRPr="00436BC4">
        <w:t>e herself from consequence for the failed virginity test.</w:t>
      </w:r>
    </w:p>
  </w:footnote>
  <w:footnote w:id="114">
    <w:p w14:paraId="1706FC8D" w14:textId="5EDF4AE2" w:rsidR="000D591D" w:rsidRPr="00436BC4" w:rsidRDefault="000D591D" w:rsidP="000D591D">
      <w:pPr>
        <w:pStyle w:val="FootnoteText"/>
      </w:pPr>
      <w:r w:rsidRPr="00436BC4">
        <w:rPr>
          <w:rStyle w:val="FootnoteReference"/>
        </w:rPr>
        <w:footnoteRef/>
      </w:r>
      <w:r w:rsidRPr="00436BC4">
        <w:t xml:space="preserve"> Eve Kosofsky Sedgwick</w:t>
      </w:r>
      <w:r w:rsidR="001D00CB" w:rsidRPr="00436BC4">
        <w:t>,</w:t>
      </w:r>
      <w:r w:rsidRPr="00436BC4">
        <w:t xml:space="preserve"> </w:t>
      </w:r>
      <w:r w:rsidRPr="00436BC4">
        <w:rPr>
          <w:i/>
          <w:iCs/>
        </w:rPr>
        <w:t>How to Bring Your Kids Up Gay: The War against Effeminate Boys</w:t>
      </w:r>
      <w:r w:rsidRPr="00436BC4">
        <w:t xml:space="preserve"> (1991). Cited in Kathryn Bond Stockton, </w:t>
      </w:r>
      <w:r w:rsidRPr="00436BC4">
        <w:rPr>
          <w:i/>
          <w:iCs/>
        </w:rPr>
        <w:t>The Queer Child</w:t>
      </w:r>
      <w:r w:rsidRPr="00436BC4">
        <w:t>, p.14.</w:t>
      </w:r>
    </w:p>
  </w:footnote>
  <w:footnote w:id="115">
    <w:p w14:paraId="7E8A0C2C" w14:textId="0B386A9F" w:rsidR="00A61202" w:rsidRPr="00436BC4" w:rsidRDefault="00A61202">
      <w:pPr>
        <w:pStyle w:val="FootnoteText"/>
      </w:pPr>
      <w:r w:rsidRPr="00436BC4">
        <w:rPr>
          <w:rStyle w:val="FootnoteReference"/>
        </w:rPr>
        <w:footnoteRef/>
      </w:r>
      <w:r w:rsidRPr="00436BC4">
        <w:t xml:space="preserve"> </w:t>
      </w:r>
      <w:r w:rsidR="009602B2" w:rsidRPr="00436BC4">
        <w:t xml:space="preserve">Kathryn </w:t>
      </w:r>
      <w:r w:rsidR="00801F0C" w:rsidRPr="00436BC4">
        <w:t xml:space="preserve">Bond Stockton, </w:t>
      </w:r>
      <w:r w:rsidR="00801F0C" w:rsidRPr="00436BC4">
        <w:rPr>
          <w:i/>
          <w:iCs/>
        </w:rPr>
        <w:t>The Queer Child</w:t>
      </w:r>
      <w:r w:rsidR="00801F0C" w:rsidRPr="00436BC4">
        <w:t>.</w:t>
      </w:r>
    </w:p>
  </w:footnote>
  <w:footnote w:id="116">
    <w:p w14:paraId="251AF6EF" w14:textId="61E9AD24" w:rsidR="00105CEA" w:rsidRPr="007974B3" w:rsidRDefault="00105CEA" w:rsidP="00105CEA">
      <w:pPr>
        <w:pStyle w:val="FootnoteText"/>
        <w:rPr>
          <w:lang w:val="en-US"/>
        </w:rPr>
      </w:pPr>
      <w:r>
        <w:rPr>
          <w:rStyle w:val="FootnoteReference"/>
        </w:rPr>
        <w:footnoteRef/>
      </w:r>
      <w:r>
        <w:t xml:space="preserve"> </w:t>
      </w:r>
      <w:r w:rsidRPr="007974B3">
        <w:t xml:space="preserve">Judith Butler, </w:t>
      </w:r>
      <w:r w:rsidRPr="007974B3">
        <w:rPr>
          <w:i/>
          <w:iCs/>
        </w:rPr>
        <w:t>Gender Trouble</w:t>
      </w:r>
      <w:r w:rsidRPr="007974B3">
        <w:t>.</w:t>
      </w:r>
    </w:p>
  </w:footnote>
  <w:footnote w:id="117">
    <w:p w14:paraId="021376BB" w14:textId="188C9C8E" w:rsidR="000D591D" w:rsidRPr="00436BC4" w:rsidRDefault="000D591D" w:rsidP="000D591D">
      <w:pPr>
        <w:pStyle w:val="FootnoteText"/>
      </w:pPr>
      <w:r w:rsidRPr="00436BC4">
        <w:rPr>
          <w:rStyle w:val="FootnoteReference"/>
        </w:rPr>
        <w:footnoteRef/>
      </w:r>
      <w:r w:rsidRPr="00436BC4">
        <w:t xml:space="preserve"> T. M. </w:t>
      </w:r>
      <w:bookmarkStart w:id="50" w:name="_Hlk174031025"/>
      <w:r w:rsidRPr="00436BC4">
        <w:t>Charles-Edwards</w:t>
      </w:r>
      <w:bookmarkEnd w:id="50"/>
      <w:r w:rsidRPr="00436BC4">
        <w:t xml:space="preserve">, </w:t>
      </w:r>
      <w:r w:rsidRPr="00436BC4">
        <w:rPr>
          <w:i/>
          <w:iCs/>
        </w:rPr>
        <w:t>Early Irish and Welsh Kinship</w:t>
      </w:r>
      <w:r w:rsidRPr="00436BC4">
        <w:t>, p.178.</w:t>
      </w:r>
    </w:p>
  </w:footnote>
  <w:footnote w:id="118">
    <w:p w14:paraId="3FBE9EAD" w14:textId="24C229FF" w:rsidR="000D591D" w:rsidRPr="00436BC4" w:rsidRDefault="000D591D" w:rsidP="000D591D">
      <w:pPr>
        <w:pStyle w:val="FootnoteText"/>
      </w:pPr>
      <w:r w:rsidRPr="00436BC4">
        <w:rPr>
          <w:rStyle w:val="FootnoteReference"/>
        </w:rPr>
        <w:footnoteRef/>
      </w:r>
      <w:r w:rsidRPr="00436BC4">
        <w:t xml:space="preserve"> </w:t>
      </w:r>
      <w:r w:rsidR="00F70F37" w:rsidRPr="00436BC4">
        <w:rPr>
          <w:color w:val="000000" w:themeColor="text1"/>
        </w:rPr>
        <w:t>Roberta Valente, ‘Gwydion and Aranrhod</w:t>
      </w:r>
      <w:r w:rsidR="00A55A56">
        <w:rPr>
          <w:color w:val="000000" w:themeColor="text1"/>
        </w:rPr>
        <w:t>’</w:t>
      </w:r>
      <w:r w:rsidR="00F70F37" w:rsidRPr="00436BC4">
        <w:rPr>
          <w:color w:val="000000" w:themeColor="text1"/>
        </w:rPr>
        <w:t>, p.9.</w:t>
      </w:r>
    </w:p>
  </w:footnote>
  <w:footnote w:id="119">
    <w:p w14:paraId="4D10FBB7" w14:textId="3A89572E" w:rsidR="005F324B" w:rsidRPr="00436BC4" w:rsidRDefault="005F324B" w:rsidP="005F324B">
      <w:pPr>
        <w:pStyle w:val="FootnoteText"/>
      </w:pPr>
      <w:r w:rsidRPr="00436BC4">
        <w:rPr>
          <w:rStyle w:val="FootnoteReference"/>
        </w:rPr>
        <w:footnoteRef/>
      </w:r>
      <w:r w:rsidRPr="00436BC4">
        <w:t xml:space="preserve"> Judith Butler, </w:t>
      </w:r>
      <w:r w:rsidRPr="00436BC4">
        <w:rPr>
          <w:i/>
          <w:iCs/>
        </w:rPr>
        <w:t>Undoing Gender</w:t>
      </w:r>
      <w:r w:rsidRPr="00436BC4">
        <w:t>, p.41.</w:t>
      </w:r>
    </w:p>
  </w:footnote>
  <w:footnote w:id="120">
    <w:p w14:paraId="441EEB77" w14:textId="2FF45D9B" w:rsidR="005A5B80" w:rsidRPr="00436BC4" w:rsidRDefault="005A5B80">
      <w:pPr>
        <w:pStyle w:val="FootnoteText"/>
      </w:pPr>
      <w:r w:rsidRPr="00436BC4">
        <w:rPr>
          <w:rStyle w:val="FootnoteReference"/>
        </w:rPr>
        <w:footnoteRef/>
      </w:r>
      <w:r w:rsidRPr="00436BC4">
        <w:t xml:space="preserve"> Reformed through his punishment and reconciliation with Math.</w:t>
      </w:r>
    </w:p>
  </w:footnote>
  <w:footnote w:id="121">
    <w:p w14:paraId="7D25BCC4" w14:textId="2B0E6EA6" w:rsidR="0096268D" w:rsidRPr="00436BC4" w:rsidRDefault="0096268D">
      <w:pPr>
        <w:pStyle w:val="FootnoteText"/>
      </w:pPr>
      <w:r w:rsidRPr="00436BC4">
        <w:rPr>
          <w:rStyle w:val="FootnoteReference"/>
        </w:rPr>
        <w:footnoteRef/>
      </w:r>
      <w:r w:rsidRPr="00436BC4">
        <w:t xml:space="preserve"> Lee Edelman, </w:t>
      </w:r>
      <w:r w:rsidRPr="00436BC4">
        <w:rPr>
          <w:i/>
          <w:iCs/>
        </w:rPr>
        <w:t>No Future</w:t>
      </w:r>
      <w:r w:rsidRPr="00436BC4">
        <w:t xml:space="preserve">. </w:t>
      </w:r>
    </w:p>
  </w:footnote>
  <w:footnote w:id="122">
    <w:p w14:paraId="1B3CDFCD" w14:textId="76AD7FAC" w:rsidR="00347670" w:rsidRPr="00347670" w:rsidRDefault="00347670">
      <w:pPr>
        <w:pStyle w:val="FootnoteText"/>
        <w:rPr>
          <w:lang w:val="en-US"/>
        </w:rPr>
      </w:pPr>
      <w:r>
        <w:rPr>
          <w:rStyle w:val="FootnoteReference"/>
        </w:rPr>
        <w:footnoteRef/>
      </w:r>
      <w:r>
        <w:t xml:space="preserve"> </w:t>
      </w:r>
      <w:r w:rsidR="00E26CA0">
        <w:rPr>
          <w:lang w:val="en-US"/>
        </w:rPr>
        <w:t>Though this is the ‘final straw’</w:t>
      </w:r>
      <w:r w:rsidR="00FA2915">
        <w:rPr>
          <w:lang w:val="en-US"/>
        </w:rPr>
        <w:t xml:space="preserve"> regarding Lleu’s chances of integrating into the hegemonic patriarchal society of the </w:t>
      </w:r>
      <w:r w:rsidR="00FA2915">
        <w:rPr>
          <w:i/>
          <w:iCs/>
          <w:lang w:val="en-US"/>
        </w:rPr>
        <w:t>Fourth Branch</w:t>
      </w:r>
      <w:r w:rsidR="00FA2915">
        <w:rPr>
          <w:lang w:val="en-US"/>
        </w:rPr>
        <w:t>,</w:t>
      </w:r>
      <w:r w:rsidR="00E26CA0">
        <w:rPr>
          <w:lang w:val="en-US"/>
        </w:rPr>
        <w:t xml:space="preserve"> </w:t>
      </w:r>
      <w:r w:rsidR="00924450">
        <w:rPr>
          <w:lang w:val="en-US"/>
        </w:rPr>
        <w:t xml:space="preserve">the compounding evidence of </w:t>
      </w:r>
      <w:r>
        <w:rPr>
          <w:lang w:val="en-US"/>
        </w:rPr>
        <w:t xml:space="preserve">Lleu’s </w:t>
      </w:r>
      <w:r w:rsidR="00924450">
        <w:rPr>
          <w:lang w:val="en-US"/>
        </w:rPr>
        <w:t xml:space="preserve">innate </w:t>
      </w:r>
      <w:r w:rsidR="00E26CA0">
        <w:rPr>
          <w:lang w:val="en-US"/>
        </w:rPr>
        <w:t>‘</w:t>
      </w:r>
      <w:r>
        <w:rPr>
          <w:lang w:val="en-US"/>
        </w:rPr>
        <w:t>otherness</w:t>
      </w:r>
      <w:r w:rsidR="00E26CA0">
        <w:rPr>
          <w:lang w:val="en-US"/>
        </w:rPr>
        <w:t>’</w:t>
      </w:r>
      <w:r>
        <w:rPr>
          <w:lang w:val="en-US"/>
        </w:rPr>
        <w:t xml:space="preserve"> can be found </w:t>
      </w:r>
      <w:r w:rsidR="00E26CA0">
        <w:rPr>
          <w:lang w:val="en-US"/>
        </w:rPr>
        <w:t>littered throughout the</w:t>
      </w:r>
      <w:r w:rsidR="004A646F">
        <w:rPr>
          <w:lang w:val="en-US"/>
        </w:rPr>
        <w:t xml:space="preserve"> narrative</w:t>
      </w:r>
      <w:r w:rsidR="00924450">
        <w:rPr>
          <w:i/>
          <w:iCs/>
          <w:lang w:val="en-US"/>
        </w:rPr>
        <w:t>.</w:t>
      </w:r>
      <w:r w:rsidR="00E26CA0">
        <w:rPr>
          <w:i/>
          <w:iCs/>
          <w:lang w:val="en-US"/>
        </w:rPr>
        <w:t xml:space="preserve"> </w:t>
      </w:r>
      <w:r w:rsidR="00924450">
        <w:rPr>
          <w:lang w:val="en-US"/>
        </w:rPr>
        <w:t>F</w:t>
      </w:r>
      <w:r w:rsidR="00E26CA0">
        <w:rPr>
          <w:lang w:val="en-US"/>
        </w:rPr>
        <w:t>rom</w:t>
      </w:r>
      <w:r w:rsidR="00FA2915">
        <w:rPr>
          <w:lang w:val="en-US"/>
        </w:rPr>
        <w:t xml:space="preserve"> the manner of his birth and</w:t>
      </w:r>
      <w:r w:rsidR="00E26CA0">
        <w:rPr>
          <w:lang w:val="en-US"/>
        </w:rPr>
        <w:t xml:space="preserve"> </w:t>
      </w:r>
      <w:r w:rsidR="00E26CA0" w:rsidRPr="00E26CA0">
        <w:t xml:space="preserve">the quick rate that he grew as a child, </w:t>
      </w:r>
      <w:r w:rsidR="00924450">
        <w:t xml:space="preserve">to </w:t>
      </w:r>
      <w:r w:rsidR="00E26CA0" w:rsidRPr="00E26CA0">
        <w:t>the fates placed upon him</w:t>
      </w:r>
      <w:r w:rsidR="00FA2915">
        <w:t xml:space="preserve"> as he matures, </w:t>
      </w:r>
      <w:r w:rsidR="00924450">
        <w:t xml:space="preserve">and </w:t>
      </w:r>
      <w:r w:rsidR="00FA2915">
        <w:t>the</w:t>
      </w:r>
      <w:r w:rsidR="00E26CA0" w:rsidRPr="00E26CA0">
        <w:t xml:space="preserve"> </w:t>
      </w:r>
      <w:r w:rsidRPr="00E26CA0">
        <w:t>very strange and particular</w:t>
      </w:r>
      <w:r w:rsidR="00E26CA0">
        <w:t xml:space="preserve"> circumstances </w:t>
      </w:r>
      <w:r w:rsidR="00E26CA0">
        <w:rPr>
          <w:lang w:val="en-US"/>
        </w:rPr>
        <w:t xml:space="preserve">needed </w:t>
      </w:r>
      <w:r w:rsidR="00E26CA0" w:rsidRPr="00E26CA0">
        <w:rPr>
          <w:lang w:val="en-US"/>
        </w:rPr>
        <w:t>for him to be killed</w:t>
      </w:r>
      <w:r w:rsidRPr="00E26CA0">
        <w:t xml:space="preserve">. </w:t>
      </w:r>
      <w:r w:rsidR="00924450">
        <w:t xml:space="preserve">The evidence suggests that Lleu never had a chance at actualising the normative life proscribed to him. </w:t>
      </w:r>
      <w:r w:rsidR="004A646F">
        <w:t>Thus, w</w:t>
      </w:r>
      <w:r w:rsidR="00924450">
        <w:t xml:space="preserve">e </w:t>
      </w:r>
      <w:r w:rsidRPr="00E26CA0">
        <w:t>may describe him euphemistically as ‘not being like other boys’</w:t>
      </w:r>
      <w:r w:rsidR="00924450">
        <w:t xml:space="preserve"> since the moment of his birth</w:t>
      </w:r>
      <w:r w:rsidRPr="00E26CA0">
        <w:t>.</w:t>
      </w:r>
    </w:p>
  </w:footnote>
  <w:footnote w:id="123">
    <w:p w14:paraId="17DEAAFE" w14:textId="7DA8C68C" w:rsidR="00342712" w:rsidRPr="00436BC4" w:rsidRDefault="00342712">
      <w:pPr>
        <w:pStyle w:val="FootnoteText"/>
      </w:pPr>
      <w:r w:rsidRPr="00436BC4">
        <w:rPr>
          <w:rStyle w:val="FootnoteReference"/>
        </w:rPr>
        <w:footnoteRef/>
      </w:r>
      <w:r w:rsidRPr="00436BC4">
        <w:t xml:space="preserve"> J. Jack Halberstam, </w:t>
      </w:r>
      <w:r w:rsidRPr="00436BC4">
        <w:rPr>
          <w:i/>
          <w:iCs/>
        </w:rPr>
        <w:t>In a Queer Time and Place</w:t>
      </w:r>
      <w:r w:rsidR="004A2E90">
        <w:t>,</w:t>
      </w:r>
      <w:r w:rsidR="00506EF6">
        <w:t xml:space="preserve"> </w:t>
      </w:r>
      <w:r w:rsidRPr="00436BC4">
        <w:t>p.1.</w:t>
      </w:r>
    </w:p>
  </w:footnote>
  <w:footnote w:id="124">
    <w:p w14:paraId="35A451EA" w14:textId="35293492" w:rsidR="00A6722E" w:rsidRPr="00436BC4" w:rsidRDefault="00A6722E" w:rsidP="00A6722E">
      <w:pPr>
        <w:pStyle w:val="FootnoteText"/>
      </w:pPr>
      <w:r w:rsidRPr="00436BC4">
        <w:rPr>
          <w:rStyle w:val="FootnoteReference"/>
        </w:rPr>
        <w:footnoteRef/>
      </w:r>
      <w:r w:rsidRPr="00436BC4">
        <w:t xml:space="preserve"> Sioned Davies, ‘“Venerable Relics”? Re-Visiting the Mabinogi’, ed. by Joseph Falaky Nagy (</w:t>
      </w:r>
      <w:proofErr w:type="spellStart"/>
      <w:r w:rsidRPr="00436BC4">
        <w:t>Brepols</w:t>
      </w:r>
      <w:proofErr w:type="spellEnd"/>
      <w:r w:rsidRPr="00436BC4">
        <w:t>, 2013), p.173. cited in Luciana Cordo Russo, ‘Sin, Punishment, and Magic</w:t>
      </w:r>
      <w:r w:rsidR="00506EF6">
        <w:t>’</w:t>
      </w:r>
      <w:r w:rsidRPr="00436BC4">
        <w:t>, p.170.</w:t>
      </w:r>
    </w:p>
  </w:footnote>
  <w:footnote w:id="125">
    <w:p w14:paraId="7F71517D" w14:textId="58B55F73" w:rsidR="00A6722E" w:rsidRPr="00436BC4" w:rsidRDefault="00A6722E" w:rsidP="00A6722E">
      <w:pPr>
        <w:pStyle w:val="FootnoteText"/>
      </w:pPr>
      <w:r w:rsidRPr="00436BC4">
        <w:rPr>
          <w:rStyle w:val="FootnoteReference"/>
        </w:rPr>
        <w:footnoteRef/>
      </w:r>
      <w:r w:rsidRPr="00436BC4">
        <w:t xml:space="preserve"> </w:t>
      </w:r>
      <w:bookmarkStart w:id="53" w:name="_Hlk175259076"/>
      <w:r w:rsidRPr="00436BC4">
        <w:t xml:space="preserve">Sioned Davies, </w:t>
      </w:r>
      <w:r w:rsidRPr="00436BC4">
        <w:rPr>
          <w:i/>
          <w:iCs/>
        </w:rPr>
        <w:t>The Mabinogion</w:t>
      </w:r>
      <w:r w:rsidRPr="00436BC4">
        <w:t xml:space="preserve"> (</w:t>
      </w:r>
      <w:r w:rsidR="00B33220">
        <w:t xml:space="preserve">Oxford </w:t>
      </w:r>
      <w:r w:rsidRPr="00436BC4">
        <w:t>University Press, 2007), p.242.</w:t>
      </w:r>
      <w:bookmarkEnd w:id="53"/>
    </w:p>
  </w:footnote>
  <w:footnote w:id="126">
    <w:p w14:paraId="237369E8" w14:textId="19C0FE1B" w:rsidR="00A6722E" w:rsidRPr="00436BC4" w:rsidRDefault="00A6722E" w:rsidP="00A6722E">
      <w:pPr>
        <w:pStyle w:val="FootnoteText"/>
      </w:pPr>
      <w:r w:rsidRPr="00436BC4">
        <w:rPr>
          <w:rStyle w:val="FootnoteReference"/>
        </w:rPr>
        <w:footnoteRef/>
      </w:r>
      <w:r w:rsidRPr="00436BC4">
        <w:t xml:space="preserve"> R. Zeikowitz, </w:t>
      </w:r>
      <w:r w:rsidRPr="00436BC4">
        <w:rPr>
          <w:i/>
          <w:iCs/>
        </w:rPr>
        <w:t>Homoeroticism and Chivalry</w:t>
      </w:r>
      <w:r w:rsidRPr="00436BC4">
        <w:t xml:space="preserve">, cited in Bill Burgwinkle, ‘État Présent; Queer Theory and the Middle Ages’, p.84. </w:t>
      </w:r>
    </w:p>
  </w:footnote>
  <w:footnote w:id="127">
    <w:p w14:paraId="1DB29DBC" w14:textId="13D35F65" w:rsidR="00A6722E" w:rsidRPr="00436BC4" w:rsidRDefault="00A6722E" w:rsidP="00A6722E">
      <w:pPr>
        <w:pStyle w:val="FootnoteText"/>
      </w:pPr>
      <w:r w:rsidRPr="00436BC4">
        <w:rPr>
          <w:rStyle w:val="FootnoteReference"/>
        </w:rPr>
        <w:footnoteRef/>
      </w:r>
      <w:r w:rsidRPr="00436BC4">
        <w:t xml:space="preserve"> R. Zeikowitz, </w:t>
      </w:r>
      <w:r w:rsidRPr="00436BC4">
        <w:rPr>
          <w:i/>
          <w:iCs/>
        </w:rPr>
        <w:t>Homoeroticism and Chivalry</w:t>
      </w:r>
      <w:r w:rsidRPr="00436BC4">
        <w:t>, p.14.</w:t>
      </w:r>
    </w:p>
  </w:footnote>
  <w:footnote w:id="128">
    <w:p w14:paraId="6859EE77" w14:textId="2B40388E" w:rsidR="00A6722E" w:rsidRPr="00436BC4" w:rsidRDefault="00A6722E" w:rsidP="00A6722E">
      <w:pPr>
        <w:pStyle w:val="FootnoteText"/>
      </w:pPr>
      <w:r w:rsidRPr="00436BC4">
        <w:rPr>
          <w:rStyle w:val="FootnoteReference"/>
        </w:rPr>
        <w:footnoteRef/>
      </w:r>
      <w:r w:rsidRPr="00436BC4">
        <w:t xml:space="preserve"> Bill Burgwinkle, ‘État Présent; Queer Theory and the Middle Ages’,</w:t>
      </w:r>
      <w:r w:rsidR="00B33220">
        <w:t xml:space="preserve"> </w:t>
      </w:r>
      <w:r w:rsidRPr="00436BC4">
        <w:t>p.84.</w:t>
      </w:r>
    </w:p>
  </w:footnote>
  <w:footnote w:id="129">
    <w:p w14:paraId="6AD7EAF7" w14:textId="59C66B56" w:rsidR="00DB00AB" w:rsidRPr="00436BC4" w:rsidRDefault="00DB00AB" w:rsidP="00DB00AB">
      <w:pPr>
        <w:pStyle w:val="FootnoteText"/>
      </w:pPr>
      <w:r w:rsidRPr="00436BC4">
        <w:rPr>
          <w:rStyle w:val="FootnoteReference"/>
        </w:rPr>
        <w:footnoteRef/>
      </w:r>
      <w:r w:rsidRPr="00436BC4">
        <w:t xml:space="preserve"> Caroline Walker Bynum, </w:t>
      </w:r>
      <w:r w:rsidRPr="00436BC4">
        <w:rPr>
          <w:i/>
          <w:iCs/>
        </w:rPr>
        <w:t>Metamorphosis and Identity, Illustrated edition</w:t>
      </w:r>
      <w:r w:rsidRPr="00436BC4">
        <w:t xml:space="preserve"> (Zone Books – MIT, 2005), p.32.</w:t>
      </w:r>
    </w:p>
  </w:footnote>
  <w:footnote w:id="130">
    <w:p w14:paraId="785E08C7" w14:textId="1EAEBD41" w:rsidR="00DB00AB" w:rsidRPr="00436BC4" w:rsidRDefault="00DB00AB" w:rsidP="00DB00AB">
      <w:pPr>
        <w:pStyle w:val="FootnoteText"/>
      </w:pPr>
      <w:r w:rsidRPr="00436BC4">
        <w:rPr>
          <w:rStyle w:val="FootnoteReference"/>
        </w:rPr>
        <w:footnoteRef/>
      </w:r>
      <w:r w:rsidRPr="00436BC4">
        <w:t xml:space="preserve"> </w:t>
      </w:r>
      <w:r w:rsidR="00817C51" w:rsidRPr="00436BC4">
        <w:t xml:space="preserve">Miranda </w:t>
      </w:r>
      <w:r w:rsidRPr="00436BC4">
        <w:t xml:space="preserve">Green, </w:t>
      </w:r>
      <w:r w:rsidRPr="00436BC4">
        <w:rPr>
          <w:i/>
          <w:iCs/>
        </w:rPr>
        <w:t>Animals in Celtic Life and Myth</w:t>
      </w:r>
      <w:r w:rsidRPr="00436BC4">
        <w:t xml:space="preserve"> (London and New York: Routledge, </w:t>
      </w:r>
    </w:p>
    <w:p w14:paraId="4A83AEA8" w14:textId="15EA4462" w:rsidR="00DB00AB" w:rsidRPr="00436BC4" w:rsidRDefault="00DB00AB" w:rsidP="00DB00AB">
      <w:pPr>
        <w:pStyle w:val="FootnoteText"/>
      </w:pPr>
      <w:r w:rsidRPr="00436BC4">
        <w:t>1992)</w:t>
      </w:r>
      <w:r w:rsidR="00817C51">
        <w:t>.</w:t>
      </w:r>
      <w:r w:rsidRPr="00436BC4">
        <w:t>, Cited in Luciana Cordo Russo, ‘Sin, Punishment, and Magic</w:t>
      </w:r>
      <w:r w:rsidR="00B33220">
        <w:t>’</w:t>
      </w:r>
      <w:r w:rsidRPr="00436BC4">
        <w:t>, p.170.</w:t>
      </w:r>
    </w:p>
  </w:footnote>
  <w:footnote w:id="131">
    <w:p w14:paraId="5B2CFB63" w14:textId="474316B0" w:rsidR="008264D4" w:rsidRPr="00436BC4" w:rsidRDefault="008264D4" w:rsidP="008264D4">
      <w:pPr>
        <w:pStyle w:val="FootnoteText"/>
      </w:pPr>
      <w:r w:rsidRPr="00436BC4">
        <w:rPr>
          <w:rStyle w:val="FootnoteReference"/>
        </w:rPr>
        <w:footnoteRef/>
      </w:r>
      <w:r w:rsidRPr="00436BC4">
        <w:t xml:space="preserve"> Michael Cichon, ‘Eros and Error</w:t>
      </w:r>
      <w:r w:rsidR="00E211BA">
        <w:t>’</w:t>
      </w:r>
      <w:r w:rsidRPr="00436BC4">
        <w:t>, p.115.</w:t>
      </w:r>
    </w:p>
  </w:footnote>
  <w:footnote w:id="132">
    <w:p w14:paraId="52C74678" w14:textId="5A352D40" w:rsidR="00A70964" w:rsidRPr="00436BC4" w:rsidRDefault="00A70964" w:rsidP="00A70964">
      <w:pPr>
        <w:pStyle w:val="FootnoteText"/>
      </w:pPr>
      <w:r w:rsidRPr="00436BC4">
        <w:rPr>
          <w:rStyle w:val="FootnoteReference"/>
        </w:rPr>
        <w:footnoteRef/>
      </w:r>
      <w:r w:rsidRPr="00436BC4">
        <w:t xml:space="preserve"> </w:t>
      </w:r>
      <w:r w:rsidR="00E211BA">
        <w:rPr>
          <w:i/>
          <w:iCs/>
        </w:rPr>
        <w:t xml:space="preserve">Ibid., </w:t>
      </w:r>
      <w:r w:rsidRPr="00436BC4">
        <w:t>p.108.</w:t>
      </w:r>
    </w:p>
  </w:footnote>
  <w:footnote w:id="133">
    <w:p w14:paraId="41E73B31" w14:textId="6AF5A55C" w:rsidR="00A70964" w:rsidRPr="00436BC4" w:rsidRDefault="00A70964" w:rsidP="00A70964">
      <w:pPr>
        <w:pStyle w:val="FootnoteText"/>
      </w:pPr>
      <w:r w:rsidRPr="00436BC4">
        <w:rPr>
          <w:rStyle w:val="FootnoteReference"/>
        </w:rPr>
        <w:footnoteRef/>
      </w:r>
      <w:r w:rsidRPr="00436BC4">
        <w:t xml:space="preserve"> </w:t>
      </w:r>
      <w:r w:rsidR="00E211BA">
        <w:rPr>
          <w:i/>
          <w:iCs/>
        </w:rPr>
        <w:t>Ibid.,</w:t>
      </w:r>
      <w:r w:rsidRPr="00436BC4">
        <w:t xml:space="preserve"> pp.114-115.</w:t>
      </w:r>
    </w:p>
  </w:footnote>
  <w:footnote w:id="134">
    <w:p w14:paraId="485A35F7" w14:textId="1115A3FA" w:rsidR="008264D4" w:rsidRPr="00436BC4" w:rsidRDefault="008264D4" w:rsidP="008264D4">
      <w:pPr>
        <w:pStyle w:val="FootnoteText"/>
      </w:pPr>
      <w:r w:rsidRPr="00436BC4">
        <w:rPr>
          <w:rStyle w:val="FootnoteReference"/>
        </w:rPr>
        <w:footnoteRef/>
      </w:r>
      <w:r w:rsidRPr="00436BC4">
        <w:t xml:space="preserve"> Luciana Cordo Russo, ‘Sin, Punishment, and Magic</w:t>
      </w:r>
      <w:r w:rsidR="00E211BA">
        <w:t>’</w:t>
      </w:r>
      <w:r w:rsidRPr="00436BC4">
        <w:t>, p.170.</w:t>
      </w:r>
    </w:p>
  </w:footnote>
  <w:footnote w:id="135">
    <w:p w14:paraId="47D51222" w14:textId="13D510BF" w:rsidR="008264D4" w:rsidRPr="00436BC4" w:rsidRDefault="008264D4" w:rsidP="008264D4">
      <w:pPr>
        <w:pStyle w:val="FootnoteText"/>
      </w:pPr>
      <w:r w:rsidRPr="00436BC4">
        <w:rPr>
          <w:rStyle w:val="FootnoteReference"/>
        </w:rPr>
        <w:footnoteRef/>
      </w:r>
      <w:r w:rsidRPr="00436BC4">
        <w:t xml:space="preserve"> Luciana Cordo Russo, ‘Sin, Punishment, and Magic</w:t>
      </w:r>
      <w:r w:rsidR="0074650D">
        <w:t>’</w:t>
      </w:r>
      <w:r w:rsidRPr="00436BC4">
        <w:t>, pp.168-169.</w:t>
      </w:r>
    </w:p>
  </w:footnote>
  <w:footnote w:id="136">
    <w:p w14:paraId="54256E2E" w14:textId="77777777" w:rsidR="008264D4" w:rsidRPr="00436BC4" w:rsidRDefault="008264D4" w:rsidP="008264D4">
      <w:pPr>
        <w:pStyle w:val="FootnoteText"/>
      </w:pPr>
      <w:r w:rsidRPr="00436BC4">
        <w:rPr>
          <w:rStyle w:val="FootnoteReference"/>
        </w:rPr>
        <w:footnoteRef/>
      </w:r>
      <w:r w:rsidRPr="00436BC4">
        <w:t xml:space="preserve"> Katherine Millersdaughter, ‘The Geopolitics of Incest: Sex, Gender and Violence in the Fourth Branch of the Mabinogi’, </w:t>
      </w:r>
      <w:proofErr w:type="spellStart"/>
      <w:r w:rsidRPr="00436BC4">
        <w:rPr>
          <w:i/>
          <w:iCs/>
        </w:rPr>
        <w:t>Exemplaria</w:t>
      </w:r>
      <w:proofErr w:type="spellEnd"/>
      <w:r w:rsidRPr="00436BC4">
        <w:t>, 14.2 (2002), p.299.</w:t>
      </w:r>
    </w:p>
  </w:footnote>
  <w:footnote w:id="137">
    <w:p w14:paraId="247D864F" w14:textId="15C5D6CD" w:rsidR="008B7F51" w:rsidRPr="00436BC4" w:rsidRDefault="008B7F51">
      <w:pPr>
        <w:pStyle w:val="FootnoteText"/>
      </w:pPr>
      <w:r w:rsidRPr="00436BC4">
        <w:rPr>
          <w:rStyle w:val="FootnoteReference"/>
        </w:rPr>
        <w:footnoteRef/>
      </w:r>
      <w:r w:rsidRPr="00436BC4">
        <w:t xml:space="preserve"> </w:t>
      </w:r>
      <w:r w:rsidR="00316F9E" w:rsidRPr="00436BC4">
        <w:t xml:space="preserve">Jeffrey Gantz, </w:t>
      </w:r>
      <w:r w:rsidR="00316F9E" w:rsidRPr="00436BC4">
        <w:rPr>
          <w:i/>
          <w:iCs/>
        </w:rPr>
        <w:t>The</w:t>
      </w:r>
      <w:r w:rsidR="00316F9E" w:rsidRPr="00436BC4">
        <w:t xml:space="preserve"> </w:t>
      </w:r>
      <w:r w:rsidR="00316F9E" w:rsidRPr="00436BC4">
        <w:rPr>
          <w:i/>
          <w:iCs/>
        </w:rPr>
        <w:t>Mabinogion</w:t>
      </w:r>
      <w:r w:rsidR="00316F9E" w:rsidRPr="00436BC4">
        <w:t>, (Penguin Classics, 1976), p.104. cited in Katherine Millersdaughter, ‘The Geopolitics of Incest</w:t>
      </w:r>
      <w:r w:rsidR="0074650D">
        <w:t>’</w:t>
      </w:r>
      <w:r w:rsidR="00316F9E" w:rsidRPr="00436BC4">
        <w:t>, p.299.</w:t>
      </w:r>
    </w:p>
  </w:footnote>
  <w:footnote w:id="138">
    <w:p w14:paraId="2412E2CB" w14:textId="4AE7D1F3" w:rsidR="008264D4" w:rsidRPr="00436BC4" w:rsidRDefault="008264D4" w:rsidP="008264D4">
      <w:pPr>
        <w:pStyle w:val="FootnoteText"/>
      </w:pPr>
      <w:r w:rsidRPr="00436BC4">
        <w:rPr>
          <w:rStyle w:val="FootnoteReference"/>
        </w:rPr>
        <w:footnoteRef/>
      </w:r>
      <w:r w:rsidRPr="00436BC4">
        <w:t xml:space="preserve"> Katherine Millersdaughter, ‘The Geopolitics of Incest, p.299.</w:t>
      </w:r>
    </w:p>
  </w:footnote>
  <w:footnote w:id="139">
    <w:p w14:paraId="03935AA5" w14:textId="3B864AE2" w:rsidR="008264D4" w:rsidRPr="00436BC4" w:rsidRDefault="008264D4" w:rsidP="008264D4">
      <w:pPr>
        <w:pStyle w:val="FootnoteText"/>
      </w:pPr>
      <w:r w:rsidRPr="00436BC4">
        <w:rPr>
          <w:rStyle w:val="FootnoteReference"/>
        </w:rPr>
        <w:footnoteRef/>
      </w:r>
      <w:r w:rsidRPr="00436BC4">
        <w:t xml:space="preserve"> </w:t>
      </w:r>
      <w:r w:rsidR="0074650D">
        <w:rPr>
          <w:i/>
          <w:iCs/>
        </w:rPr>
        <w:t>Ibid.,</w:t>
      </w:r>
      <w:r w:rsidRPr="00436BC4">
        <w:t xml:space="preserve"> p.311.</w:t>
      </w:r>
    </w:p>
  </w:footnote>
  <w:footnote w:id="140">
    <w:p w14:paraId="5582ECC8" w14:textId="23441CD2" w:rsidR="00B8313D" w:rsidRPr="00436BC4" w:rsidRDefault="00B8313D">
      <w:pPr>
        <w:pStyle w:val="FootnoteText"/>
      </w:pPr>
      <w:r w:rsidRPr="00436BC4">
        <w:rPr>
          <w:rStyle w:val="FootnoteReference"/>
        </w:rPr>
        <w:footnoteRef/>
      </w:r>
      <w:r w:rsidRPr="00436BC4">
        <w:t xml:space="preserve"> Note that Blodeuedd, as a being created by Gwidion and Math through magic, has no kinship ties other than to the family she was created to marry into.</w:t>
      </w:r>
      <w:r w:rsidR="002D0EBA" w:rsidRPr="00436BC4">
        <w:t xml:space="preserve"> Being </w:t>
      </w:r>
      <w:r w:rsidR="00674564" w:rsidRPr="00436BC4">
        <w:t>married</w:t>
      </w:r>
      <w:r w:rsidR="002D0EBA" w:rsidRPr="00436BC4">
        <w:t xml:space="preserve"> to Lleu she also lacks the individual autonomy that Aranrhod has</w:t>
      </w:r>
      <w:r w:rsidR="00674564" w:rsidRPr="00436BC4">
        <w:t xml:space="preserve">. She has no lands or </w:t>
      </w:r>
      <w:r w:rsidR="00674564" w:rsidRPr="00436BC4">
        <w:rPr>
          <w:i/>
          <w:iCs/>
        </w:rPr>
        <w:t>caer</w:t>
      </w:r>
      <w:r w:rsidR="00674564" w:rsidRPr="00436BC4">
        <w:t xml:space="preserve"> of her own.</w:t>
      </w:r>
      <w:r w:rsidR="002D0EBA" w:rsidRPr="00436BC4">
        <w:t xml:space="preserve"> </w:t>
      </w:r>
      <w:r w:rsidRPr="00436BC4">
        <w:t xml:space="preserve">She therefore is in a significantly depowered </w:t>
      </w:r>
      <w:r w:rsidR="00824642" w:rsidRPr="00436BC4">
        <w:t>position, even compared with other women</w:t>
      </w:r>
      <w:r w:rsidR="00674564" w:rsidRPr="00436BC4">
        <w:t xml:space="preserve"> </w:t>
      </w:r>
      <w:r w:rsidR="00674564" w:rsidRPr="00436BC4">
        <w:rPr>
          <w:i/>
          <w:iCs/>
        </w:rPr>
        <w:t>Mabinogi</w:t>
      </w:r>
      <w:r w:rsidR="00824642" w:rsidRPr="00436BC4">
        <w:t xml:space="preserve">, as </w:t>
      </w:r>
      <w:r w:rsidR="00421E65" w:rsidRPr="00436BC4">
        <w:t xml:space="preserve">there is no one to vouch for her </w:t>
      </w:r>
      <w:r w:rsidR="0074650D" w:rsidRPr="00436BC4">
        <w:t>honour</w:t>
      </w:r>
      <w:r w:rsidR="00421E65" w:rsidRPr="00436BC4">
        <w:t xml:space="preserve"> as per the Welsh medieval law discussed above.</w:t>
      </w:r>
    </w:p>
  </w:footnote>
  <w:footnote w:id="141">
    <w:p w14:paraId="7ADFBD7B" w14:textId="15A9B8B8" w:rsidR="00A03A5B" w:rsidRPr="00436BC4" w:rsidRDefault="00A03A5B">
      <w:pPr>
        <w:pStyle w:val="FootnoteText"/>
      </w:pPr>
      <w:r w:rsidRPr="00436BC4">
        <w:rPr>
          <w:rStyle w:val="FootnoteReference"/>
        </w:rPr>
        <w:footnoteRef/>
      </w:r>
      <w:r w:rsidRPr="00436BC4">
        <w:t xml:space="preserve"> </w:t>
      </w:r>
      <w:r w:rsidRPr="00436BC4">
        <w:rPr>
          <w:iCs/>
        </w:rPr>
        <w:t>Note that this is an overview of the English language literature. A fully robust analysis would benefit from a combined overview including the Welsh language literature on the subject and a discussion o</w:t>
      </w:r>
      <w:r w:rsidR="000451B4" w:rsidRPr="00436BC4">
        <w:rPr>
          <w:iCs/>
        </w:rPr>
        <w:t>n</w:t>
      </w:r>
      <w:r w:rsidRPr="00436BC4">
        <w:rPr>
          <w:iCs/>
        </w:rPr>
        <w:t xml:space="preserve"> how the two linguistic fields may differ in their conception of the </w:t>
      </w:r>
      <w:r w:rsidRPr="00436BC4">
        <w:rPr>
          <w:i/>
        </w:rPr>
        <w:t>Fourth Branch</w:t>
      </w:r>
      <w:r w:rsidRPr="00436BC4">
        <w:rPr>
          <w:iCs/>
        </w:rPr>
        <w:t xml:space="preserve">. However this is beyond the capacity of this dissertation. The discussion </w:t>
      </w:r>
      <w:r w:rsidR="00D22C24">
        <w:rPr>
          <w:iCs/>
        </w:rPr>
        <w:t>here</w:t>
      </w:r>
      <w:r w:rsidRPr="00436BC4">
        <w:rPr>
          <w:iCs/>
        </w:rPr>
        <w:t xml:space="preserve"> hopes to be a beginning point for such future analysis.</w:t>
      </w:r>
    </w:p>
  </w:footnote>
  <w:footnote w:id="142">
    <w:p w14:paraId="52347054" w14:textId="0D77AA00" w:rsidR="00271FF8" w:rsidRPr="00271FF8" w:rsidRDefault="00271FF8">
      <w:pPr>
        <w:pStyle w:val="FootnoteText"/>
        <w:rPr>
          <w:lang w:val="en-US"/>
        </w:rPr>
      </w:pPr>
      <w:r>
        <w:rPr>
          <w:rStyle w:val="FootnoteReference"/>
        </w:rPr>
        <w:footnoteRef/>
      </w:r>
      <w:r>
        <w:t xml:space="preserve"> The ending of this can be broadly equated with </w:t>
      </w:r>
      <w:r w:rsidRPr="00271FF8">
        <w:t>Proinsias</w:t>
      </w:r>
      <w:r w:rsidRPr="00271FF8">
        <w:rPr>
          <w:i/>
          <w:iCs/>
        </w:rPr>
        <w:t xml:space="preserve"> </w:t>
      </w:r>
      <w:r w:rsidRPr="00271FF8">
        <w:t>Mac Cana</w:t>
      </w:r>
      <w:r>
        <w:t xml:space="preserve">’s volume on the </w:t>
      </w:r>
      <w:r>
        <w:rPr>
          <w:i/>
          <w:iCs/>
        </w:rPr>
        <w:t xml:space="preserve">Mabinogi </w:t>
      </w:r>
      <w:r>
        <w:t xml:space="preserve">and its </w:t>
      </w:r>
      <w:r w:rsidR="00B368CC">
        <w:t xml:space="preserve">associated literature, the first edition of which was published in </w:t>
      </w:r>
      <w:r w:rsidRPr="00271FF8">
        <w:t>19</w:t>
      </w:r>
      <w:r>
        <w:t>77.</w:t>
      </w:r>
    </w:p>
  </w:footnote>
  <w:footnote w:id="143">
    <w:p w14:paraId="6B44A6B7" w14:textId="2824A3E1" w:rsidR="005D36BE" w:rsidRPr="00436BC4" w:rsidRDefault="005D36BE" w:rsidP="004812D5">
      <w:pPr>
        <w:spacing w:after="0"/>
        <w:rPr>
          <w:sz w:val="20"/>
          <w:szCs w:val="20"/>
        </w:rPr>
      </w:pPr>
      <w:r w:rsidRPr="00436BC4">
        <w:rPr>
          <w:rStyle w:val="FootnoteReference"/>
          <w:sz w:val="20"/>
          <w:szCs w:val="20"/>
        </w:rPr>
        <w:footnoteRef/>
      </w:r>
      <w:r w:rsidRPr="00436BC4">
        <w:rPr>
          <w:sz w:val="20"/>
          <w:szCs w:val="20"/>
        </w:rPr>
        <w:t xml:space="preserve"> This attitude can be seen in many of the great Celtic scholars of the 19</w:t>
      </w:r>
      <w:r w:rsidRPr="00436BC4">
        <w:rPr>
          <w:sz w:val="20"/>
          <w:szCs w:val="20"/>
          <w:vertAlign w:val="superscript"/>
        </w:rPr>
        <w:t>th</w:t>
      </w:r>
      <w:r w:rsidRPr="00436BC4">
        <w:rPr>
          <w:sz w:val="20"/>
          <w:szCs w:val="20"/>
        </w:rPr>
        <w:t xml:space="preserve"> and 20</w:t>
      </w:r>
      <w:r w:rsidRPr="00436BC4">
        <w:rPr>
          <w:sz w:val="20"/>
          <w:szCs w:val="20"/>
          <w:vertAlign w:val="superscript"/>
        </w:rPr>
        <w:t>th</w:t>
      </w:r>
      <w:r w:rsidRPr="00436BC4">
        <w:rPr>
          <w:sz w:val="20"/>
          <w:szCs w:val="20"/>
        </w:rPr>
        <w:t xml:space="preserve"> centuries. Proinsias Mac Cana, Kenneth Jackson, W. J. Gruffydd etc. </w:t>
      </w:r>
      <w:r w:rsidR="004812D5" w:rsidRPr="00436BC4">
        <w:rPr>
          <w:sz w:val="20"/>
          <w:szCs w:val="20"/>
        </w:rPr>
        <w:t>A quot</w:t>
      </w:r>
      <w:r w:rsidR="000451B4" w:rsidRPr="00436BC4">
        <w:rPr>
          <w:sz w:val="20"/>
          <w:szCs w:val="20"/>
        </w:rPr>
        <w:t>ation</w:t>
      </w:r>
      <w:r w:rsidR="004812D5" w:rsidRPr="00436BC4">
        <w:rPr>
          <w:sz w:val="20"/>
          <w:szCs w:val="20"/>
        </w:rPr>
        <w:t xml:space="preserve"> from Mathew Arnold’s </w:t>
      </w:r>
      <w:r w:rsidR="004812D5" w:rsidRPr="00436BC4">
        <w:rPr>
          <w:i/>
          <w:iCs/>
          <w:sz w:val="20"/>
          <w:szCs w:val="20"/>
        </w:rPr>
        <w:t xml:space="preserve">On the study of Celtic literature and other Essays </w:t>
      </w:r>
      <w:r w:rsidR="00E864AC" w:rsidRPr="00436BC4">
        <w:rPr>
          <w:sz w:val="20"/>
          <w:szCs w:val="20"/>
        </w:rPr>
        <w:t xml:space="preserve">originally </w:t>
      </w:r>
      <w:r w:rsidR="004812D5" w:rsidRPr="00436BC4">
        <w:rPr>
          <w:sz w:val="20"/>
          <w:szCs w:val="20"/>
        </w:rPr>
        <w:t>published in 1</w:t>
      </w:r>
      <w:r w:rsidR="000451B4" w:rsidRPr="00436BC4">
        <w:rPr>
          <w:sz w:val="20"/>
          <w:szCs w:val="20"/>
        </w:rPr>
        <w:t>867</w:t>
      </w:r>
      <w:r w:rsidR="004812D5" w:rsidRPr="00436BC4">
        <w:rPr>
          <w:sz w:val="20"/>
          <w:szCs w:val="20"/>
        </w:rPr>
        <w:t xml:space="preserve"> </w:t>
      </w:r>
      <w:r w:rsidR="00271FF8">
        <w:rPr>
          <w:sz w:val="20"/>
          <w:szCs w:val="20"/>
        </w:rPr>
        <w:t xml:space="preserve">can be seen at the beginning this </w:t>
      </w:r>
      <w:r w:rsidR="00466EA6">
        <w:rPr>
          <w:sz w:val="20"/>
          <w:szCs w:val="20"/>
        </w:rPr>
        <w:t>movement</w:t>
      </w:r>
      <w:r w:rsidR="00271FF8">
        <w:rPr>
          <w:sz w:val="20"/>
          <w:szCs w:val="20"/>
        </w:rPr>
        <w:t>, stating</w:t>
      </w:r>
      <w:r w:rsidR="004812D5" w:rsidRPr="00436BC4">
        <w:rPr>
          <w:sz w:val="20"/>
          <w:szCs w:val="20"/>
        </w:rPr>
        <w:t xml:space="preserve"> 'The first thing that strikes one, in reading the </w:t>
      </w:r>
      <w:r w:rsidR="004812D5" w:rsidRPr="00436BC4">
        <w:rPr>
          <w:i/>
          <w:iCs/>
          <w:sz w:val="20"/>
          <w:szCs w:val="20"/>
        </w:rPr>
        <w:t>Mabinogion</w:t>
      </w:r>
      <w:r w:rsidR="004812D5" w:rsidRPr="00436BC4">
        <w:rPr>
          <w:sz w:val="20"/>
          <w:szCs w:val="20"/>
        </w:rPr>
        <w:t>, is how evidently the medieval story-teller is pillaging an antiquity of which he does not fully possess the secret; he is like a peasant building his hut on the site of Halicarnassus or Ephesus; he builds, but what he builds is full of materials of which he knows not the secret, or knows by a glimmering tradition merely.'</w:t>
      </w:r>
      <w:r w:rsidR="00AB1EA1" w:rsidRPr="00436BC4">
        <w:t xml:space="preserve"> </w:t>
      </w:r>
      <w:r w:rsidR="00AB1EA1" w:rsidRPr="00436BC4">
        <w:rPr>
          <w:sz w:val="20"/>
          <w:szCs w:val="20"/>
        </w:rPr>
        <w:t xml:space="preserve">Matthew Arnold, </w:t>
      </w:r>
      <w:r w:rsidR="00AB1EA1" w:rsidRPr="00436BC4">
        <w:rPr>
          <w:i/>
          <w:iCs/>
          <w:sz w:val="20"/>
          <w:szCs w:val="20"/>
        </w:rPr>
        <w:t>On the Study of Celtic Literature</w:t>
      </w:r>
      <w:r w:rsidR="00AB1EA1" w:rsidRPr="00436BC4">
        <w:rPr>
          <w:sz w:val="20"/>
          <w:szCs w:val="20"/>
        </w:rPr>
        <w:t xml:space="preserve"> (London, Smith, Elder and Co., 1867),</w:t>
      </w:r>
      <w:r w:rsidR="004812D5" w:rsidRPr="00436BC4">
        <w:rPr>
          <w:sz w:val="20"/>
          <w:szCs w:val="20"/>
        </w:rPr>
        <w:t xml:space="preserve"> p.54</w:t>
      </w:r>
      <w:r w:rsidR="00AB1EA1" w:rsidRPr="00436BC4">
        <w:rPr>
          <w:sz w:val="20"/>
          <w:szCs w:val="20"/>
        </w:rPr>
        <w:t>.</w:t>
      </w:r>
    </w:p>
  </w:footnote>
  <w:footnote w:id="144">
    <w:p w14:paraId="4C6877CE" w14:textId="1F38D506" w:rsidR="00FC52FB" w:rsidRPr="00436BC4" w:rsidRDefault="0018732B">
      <w:pPr>
        <w:pStyle w:val="FootnoteText"/>
      </w:pPr>
      <w:r w:rsidRPr="00436BC4">
        <w:rPr>
          <w:rStyle w:val="FootnoteReference"/>
        </w:rPr>
        <w:footnoteRef/>
      </w:r>
      <w:r w:rsidRPr="00436BC4">
        <w:t xml:space="preserve"> </w:t>
      </w:r>
      <w:bookmarkStart w:id="56" w:name="_Hlk174968063"/>
      <w:r w:rsidRPr="00436BC4">
        <w:t xml:space="preserve">This reworking was speculated by most academics to have been carried out </w:t>
      </w:r>
      <w:r w:rsidR="00FC52FB" w:rsidRPr="00436BC4">
        <w:t>by Medieval scribes. Due to access to literary education during the period, these were most likely to be men living as monks or priests in one of several monasteries in Wales at the time.</w:t>
      </w:r>
    </w:p>
    <w:bookmarkEnd w:id="56"/>
  </w:footnote>
  <w:footnote w:id="145">
    <w:p w14:paraId="3EB94671" w14:textId="4CEAE244" w:rsidR="00086994" w:rsidRPr="00086994" w:rsidRDefault="00086994">
      <w:pPr>
        <w:pStyle w:val="FootnoteText"/>
        <w:rPr>
          <w:lang w:val="en-US"/>
        </w:rPr>
      </w:pPr>
      <w:r>
        <w:rPr>
          <w:rStyle w:val="FootnoteReference"/>
        </w:rPr>
        <w:footnoteRef/>
      </w:r>
      <w:r>
        <w:t xml:space="preserve"> Apart from ‘Is the Rectum a Grave’ cited above, </w:t>
      </w:r>
      <w:r>
        <w:rPr>
          <w:lang w:val="en-US"/>
        </w:rPr>
        <w:t xml:space="preserve">Leo Bersani has also written from a modernist perspective about scholars identifying a text as ‘sick’ and seeking to restore it in </w:t>
      </w:r>
      <w:r>
        <w:rPr>
          <w:i/>
          <w:iCs/>
          <w:lang w:val="en-US"/>
        </w:rPr>
        <w:t>The Death of Stéphane Mallarmé</w:t>
      </w:r>
      <w:r>
        <w:rPr>
          <w:lang w:val="en-US"/>
        </w:rPr>
        <w:t xml:space="preserve"> in 1982, highlighting this trend in academia beyond Welsh medieval studies. </w:t>
      </w:r>
    </w:p>
  </w:footnote>
  <w:footnote w:id="146">
    <w:p w14:paraId="60E4F38D" w14:textId="0CD91002" w:rsidR="006D2CED" w:rsidRPr="006D2CED" w:rsidRDefault="006D2CED">
      <w:pPr>
        <w:pStyle w:val="FootnoteText"/>
        <w:rPr>
          <w:lang w:val="en-US"/>
        </w:rPr>
      </w:pPr>
      <w:r>
        <w:rPr>
          <w:rStyle w:val="FootnoteReference"/>
        </w:rPr>
        <w:footnoteRef/>
      </w:r>
      <w:r>
        <w:t xml:space="preserve"> </w:t>
      </w:r>
      <w:r w:rsidR="0079410A" w:rsidRPr="0079410A">
        <w:t xml:space="preserve">Michel Foucault, </w:t>
      </w:r>
      <w:r w:rsidR="0079410A" w:rsidRPr="0079410A">
        <w:rPr>
          <w:i/>
          <w:iCs/>
        </w:rPr>
        <w:t>The Order of Thing</w:t>
      </w:r>
      <w:r w:rsidR="00A63F31">
        <w:rPr>
          <w:i/>
          <w:iCs/>
        </w:rPr>
        <w:t>s</w:t>
      </w:r>
      <w:r w:rsidR="0079410A">
        <w:t>,</w:t>
      </w:r>
      <w:r w:rsidR="00D6157C" w:rsidRPr="00D6157C">
        <w:rPr>
          <w:sz w:val="22"/>
          <w:szCs w:val="22"/>
        </w:rPr>
        <w:t xml:space="preserve"> </w:t>
      </w:r>
      <w:r w:rsidR="00D6157C" w:rsidRPr="00D6157C">
        <w:t xml:space="preserve">Judith Butler, </w:t>
      </w:r>
      <w:r w:rsidR="00D6157C" w:rsidRPr="00D6157C">
        <w:rPr>
          <w:i/>
          <w:iCs/>
        </w:rPr>
        <w:t>Gender Trouble</w:t>
      </w:r>
      <w:r w:rsidR="00D6157C" w:rsidRPr="00D6157C">
        <w:t>.</w:t>
      </w:r>
    </w:p>
  </w:footnote>
  <w:footnote w:id="147">
    <w:p w14:paraId="65ED6864" w14:textId="77777777" w:rsidR="00DF61A7" w:rsidRPr="00DF61A7" w:rsidRDefault="0079410A" w:rsidP="00DF61A7">
      <w:pPr>
        <w:pStyle w:val="FootnoteText"/>
      </w:pPr>
      <w:r>
        <w:rPr>
          <w:rStyle w:val="FootnoteReference"/>
        </w:rPr>
        <w:footnoteRef/>
      </w:r>
      <w:r>
        <w:t xml:space="preserve"> </w:t>
      </w:r>
      <w:r w:rsidR="00DF61A7" w:rsidRPr="00DF61A7">
        <w:t>This reworking was speculated by most academics to have been carried out by Medieval scribes. Due to access to literary education during the period, these were most likely to be men living as monks or priests in one of several monasteries in Wales at the time.</w:t>
      </w:r>
    </w:p>
    <w:p w14:paraId="7EE58814" w14:textId="3695DE5D" w:rsidR="0079410A" w:rsidRPr="0079410A" w:rsidRDefault="00DF61A7" w:rsidP="00DF61A7">
      <w:pPr>
        <w:pStyle w:val="FootnoteText"/>
        <w:rPr>
          <w:lang w:val="en-US"/>
        </w:rPr>
      </w:pPr>
      <w:r w:rsidRPr="00DF61A7">
        <w:rPr>
          <w:vertAlign w:val="superscript"/>
        </w:rPr>
        <w:footnoteRef/>
      </w:r>
      <w:r w:rsidRPr="00DF61A7">
        <w:t xml:space="preserve"> To quote Constantine ‘Every reading is thus a kind of reconstruction. It is not totally arbitrary of course: any single line might be debatable, but accumulated readings and translations do overlap enough to make up a poem. Yet it is a disconcerting business, like impressionist painting: the thing looks convincing enough from a distance, but at short range the shapes dissolve, break up. Close textual criticism is not easy under such circumstances; some texts seem to hold together by an act of collective will’. </w:t>
      </w:r>
      <w:r w:rsidR="0079410A" w:rsidRPr="0079410A">
        <w:t>Mary-Ann Constantine, ‘The Battle for the “Battle of the Trees”’, p.4</w:t>
      </w:r>
      <w:r w:rsidR="006D42E1">
        <w:t>1</w:t>
      </w:r>
      <w:r w:rsidR="0079410A" w:rsidRPr="0079410A">
        <w:t>.</w:t>
      </w:r>
    </w:p>
  </w:footnote>
  <w:footnote w:id="148">
    <w:p w14:paraId="4B03FC0D" w14:textId="5AFA841A" w:rsidR="00FF2143" w:rsidRPr="00B34158" w:rsidRDefault="00FF2143">
      <w:pPr>
        <w:pStyle w:val="FootnoteText"/>
      </w:pPr>
      <w:r w:rsidRPr="00436BC4">
        <w:rPr>
          <w:rStyle w:val="FootnoteReference"/>
        </w:rPr>
        <w:footnoteRef/>
      </w:r>
      <w:r w:rsidRPr="00436BC4">
        <w:t xml:space="preserve"> </w:t>
      </w:r>
      <w:r w:rsidR="00CC64C1" w:rsidRPr="00436BC4">
        <w:t xml:space="preserve">Such arguments can be found in </w:t>
      </w:r>
      <w:r w:rsidR="000F2733" w:rsidRPr="00436BC4">
        <w:t xml:space="preserve">Carey, John. 1991. “A British Myth of Origins?” </w:t>
      </w:r>
      <w:r w:rsidR="000F2733" w:rsidRPr="00436BC4">
        <w:rPr>
          <w:i/>
          <w:iCs/>
        </w:rPr>
        <w:t>History of Religions</w:t>
      </w:r>
      <w:r w:rsidR="000F2733" w:rsidRPr="00436BC4">
        <w:t xml:space="preserve"> 31(1):24–38.</w:t>
      </w:r>
      <w:r w:rsidR="008A53A5">
        <w:t>,</w:t>
      </w:r>
      <w:r w:rsidR="00B34158">
        <w:t xml:space="preserve"> and of course in the continued popularity of </w:t>
      </w:r>
      <w:r w:rsidR="00B34158">
        <w:rPr>
          <w:i/>
          <w:iCs/>
        </w:rPr>
        <w:t xml:space="preserve">The White Goddess </w:t>
      </w:r>
      <w:r w:rsidR="00B34158">
        <w:t>by Robert Graves.</w:t>
      </w:r>
    </w:p>
  </w:footnote>
  <w:footnote w:id="149">
    <w:p w14:paraId="524E4E16" w14:textId="0CB0210F" w:rsidR="00B927F5" w:rsidRPr="00436BC4" w:rsidRDefault="00B927F5">
      <w:pPr>
        <w:pStyle w:val="FootnoteText"/>
      </w:pPr>
      <w:r w:rsidRPr="00436BC4">
        <w:rPr>
          <w:rStyle w:val="FootnoteReference"/>
        </w:rPr>
        <w:footnoteRef/>
      </w:r>
      <w:r w:rsidRPr="00436BC4">
        <w:t xml:space="preserve"> Arguably this is still the case today.</w:t>
      </w:r>
    </w:p>
  </w:footnote>
  <w:footnote w:id="150">
    <w:p w14:paraId="2AFE8C7B" w14:textId="2E8059AC" w:rsidR="006715D9" w:rsidRPr="00436BC4" w:rsidRDefault="006715D9">
      <w:pPr>
        <w:pStyle w:val="FootnoteText"/>
      </w:pPr>
      <w:r w:rsidRPr="00436BC4">
        <w:rPr>
          <w:rStyle w:val="FootnoteReference"/>
        </w:rPr>
        <w:footnoteRef/>
      </w:r>
      <w:r w:rsidRPr="00436BC4">
        <w:t xml:space="preserve"> An example of these sentiments in action is the popularity of the national tale that sprung up during the period</w:t>
      </w:r>
      <w:r w:rsidR="001911EA" w:rsidRPr="00436BC4">
        <w:t xml:space="preserve">, </w:t>
      </w:r>
      <w:r w:rsidR="00F913C5" w:rsidRPr="00436BC4">
        <w:t xml:space="preserve">a classic example being Sydney Owenson’s </w:t>
      </w:r>
      <w:r w:rsidR="00F913C5" w:rsidRPr="00436BC4">
        <w:rPr>
          <w:i/>
          <w:iCs/>
        </w:rPr>
        <w:t>the Wild Irish Girl</w:t>
      </w:r>
      <w:r w:rsidR="00F913C5" w:rsidRPr="00436BC4">
        <w:t xml:space="preserve"> published in 1806</w:t>
      </w:r>
      <w:r w:rsidRPr="00436BC4">
        <w:t xml:space="preserve">. The format of these novels reliably followed a </w:t>
      </w:r>
      <w:r w:rsidR="00F913C5" w:rsidRPr="00436BC4">
        <w:t>s</w:t>
      </w:r>
      <w:r w:rsidR="007103AF" w:rsidRPr="00436BC4">
        <w:t>c</w:t>
      </w:r>
      <w:r w:rsidR="00F913C5" w:rsidRPr="00436BC4">
        <w:t>eptical</w:t>
      </w:r>
      <w:r w:rsidRPr="00436BC4">
        <w:t xml:space="preserve"> English (male) protagonist’s travels in an exoticized ‘Celtic’ country where over time he comes to respect the beauty of the rural and uncultured local inhabitants</w:t>
      </w:r>
      <w:r w:rsidR="001911EA" w:rsidRPr="00436BC4">
        <w:t xml:space="preserve"> traditional yet </w:t>
      </w:r>
      <w:r w:rsidR="001911EA" w:rsidRPr="00436BC4">
        <w:rPr>
          <w:i/>
          <w:iCs/>
        </w:rPr>
        <w:t>dying</w:t>
      </w:r>
      <w:r w:rsidRPr="00436BC4">
        <w:t xml:space="preserve"> way</w:t>
      </w:r>
      <w:r w:rsidR="001911EA" w:rsidRPr="00436BC4">
        <w:t xml:space="preserve"> of life. Often a courtship or marriage occurs between the protagonist and a formally ‘wild’, now ‘tamed’ local woman serving as a metaphor for English goodwill, but necessary domination over their Celtic </w:t>
      </w:r>
      <w:r w:rsidR="00D44D79" w:rsidRPr="00436BC4">
        <w:t>neighbours</w:t>
      </w:r>
      <w:r w:rsidR="001911EA" w:rsidRPr="00436BC4">
        <w:t>, and by doing so, releasing them from their own progress-inhibiting, and ‘primitive’ local culture.</w:t>
      </w:r>
    </w:p>
  </w:footnote>
  <w:footnote w:id="151">
    <w:p w14:paraId="3F0C0BEA" w14:textId="59D11193" w:rsidR="00E11FC1" w:rsidRPr="00436BC4" w:rsidRDefault="00E11FC1">
      <w:pPr>
        <w:pStyle w:val="FootnoteText"/>
      </w:pPr>
      <w:r w:rsidRPr="00436BC4">
        <w:rPr>
          <w:rStyle w:val="FootnoteReference"/>
        </w:rPr>
        <w:footnoteRef/>
      </w:r>
      <w:r w:rsidRPr="00436BC4">
        <w:t xml:space="preserve"> Prys Morgan, ‘From a Death to a View: The Hunt for the Welsh Past in the Romantic Period’, in </w:t>
      </w:r>
      <w:r w:rsidRPr="00436BC4">
        <w:rPr>
          <w:i/>
          <w:iCs/>
        </w:rPr>
        <w:t>The Invention of Tradition</w:t>
      </w:r>
      <w:r w:rsidRPr="00436BC4">
        <w:t>, ed. by Eric Hobsbawm and Terence Ranger (Cambridge University Press, 2012), p</w:t>
      </w:r>
      <w:r w:rsidR="002C10D5">
        <w:t>p</w:t>
      </w:r>
      <w:r w:rsidRPr="00436BC4">
        <w:t>.</w:t>
      </w:r>
      <w:r w:rsidR="002C10D5">
        <w:t xml:space="preserve"> 53, </w:t>
      </w:r>
      <w:r w:rsidRPr="00436BC4">
        <w:t>56.</w:t>
      </w:r>
    </w:p>
  </w:footnote>
  <w:footnote w:id="152">
    <w:p w14:paraId="08E708E6" w14:textId="67B8BA40" w:rsidR="007D42A9" w:rsidRPr="00436BC4" w:rsidRDefault="007D42A9">
      <w:pPr>
        <w:pStyle w:val="FootnoteText"/>
      </w:pPr>
      <w:r w:rsidRPr="00436BC4">
        <w:rPr>
          <w:rStyle w:val="FootnoteReference"/>
        </w:rPr>
        <w:footnoteRef/>
      </w:r>
      <w:r w:rsidRPr="00436BC4">
        <w:t xml:space="preserve"> ‘Llyfr Gwyn Rhydderch’, 1325, </w:t>
      </w:r>
      <w:proofErr w:type="spellStart"/>
      <w:r w:rsidRPr="00436BC4">
        <w:t>Llyfrgell</w:t>
      </w:r>
      <w:proofErr w:type="spellEnd"/>
      <w:r w:rsidRPr="00436BC4">
        <w:t xml:space="preserve"> </w:t>
      </w:r>
      <w:proofErr w:type="spellStart"/>
      <w:r w:rsidRPr="00436BC4">
        <w:t>Genedlaethol</w:t>
      </w:r>
      <w:proofErr w:type="spellEnd"/>
      <w:r w:rsidRPr="00436BC4">
        <w:t xml:space="preserve"> Cymru – The National Library of Wales, </w:t>
      </w:r>
      <w:proofErr w:type="spellStart"/>
      <w:r w:rsidRPr="00436BC4">
        <w:t>Peniarth</w:t>
      </w:r>
      <w:proofErr w:type="spellEnd"/>
      <w:r w:rsidRPr="00436BC4">
        <w:t xml:space="preserve"> MS 4. &lt;</w:t>
      </w:r>
      <w:hyperlink r:id="rId3" w:history="1">
        <w:r w:rsidRPr="00436BC4">
          <w:rPr>
            <w:rStyle w:val="Hyperlink"/>
          </w:rPr>
          <w:t>http://hdl.handle.net/10107/4396205</w:t>
        </w:r>
      </w:hyperlink>
      <w:r w:rsidRPr="00436BC4">
        <w:t xml:space="preserve">&gt;, ‘Llyfr Coch Hergest’, 1382, Jesus College, </w:t>
      </w:r>
      <w:r w:rsidR="00A01427" w:rsidRPr="00A01427">
        <w:t>University of Oxford, MS 111, &lt;</w:t>
      </w:r>
      <w:hyperlink r:id="rId4" w:history="1">
        <w:r w:rsidR="00A01427" w:rsidRPr="00A01427">
          <w:rPr>
            <w:rStyle w:val="Hyperlink"/>
          </w:rPr>
          <w:t>https://digital.bodleian.ox.ac.uk/objects/9bf187bf-f862-4453-bc4f-851f6d3948af/</w:t>
        </w:r>
      </w:hyperlink>
      <w:r w:rsidR="00A01427" w:rsidRPr="00A01427">
        <w:t>&gt;</w:t>
      </w:r>
      <w:r w:rsidR="00A01427">
        <w:t>.</w:t>
      </w:r>
    </w:p>
  </w:footnote>
  <w:footnote w:id="153">
    <w:p w14:paraId="216855FD" w14:textId="2C442DDE" w:rsidR="0084630D" w:rsidRPr="00436BC4" w:rsidRDefault="0084630D">
      <w:pPr>
        <w:pStyle w:val="FootnoteText"/>
      </w:pPr>
      <w:r w:rsidRPr="00436BC4">
        <w:rPr>
          <w:rStyle w:val="FootnoteReference"/>
        </w:rPr>
        <w:footnoteRef/>
      </w:r>
      <w:r w:rsidRPr="00436BC4">
        <w:t xml:space="preserve"> </w:t>
      </w:r>
      <w:r w:rsidR="004C250B" w:rsidRPr="00436BC4">
        <w:t xml:space="preserve">Andrew Breeze’s hypothesis that the author could have been Gwenllian </w:t>
      </w:r>
      <w:proofErr w:type="spellStart"/>
      <w:r w:rsidR="004C250B" w:rsidRPr="00436BC4">
        <w:t>ferch</w:t>
      </w:r>
      <w:proofErr w:type="spellEnd"/>
      <w:r w:rsidR="004C250B" w:rsidRPr="00436BC4">
        <w:t xml:space="preserve"> Gruffudd ap Cynan wrote </w:t>
      </w:r>
      <w:r w:rsidR="001547A0" w:rsidRPr="00436BC4">
        <w:t>is based on</w:t>
      </w:r>
      <w:r w:rsidR="004C250B" w:rsidRPr="00436BC4">
        <w:t xml:space="preserve"> very dated ideas on what themes interest women</w:t>
      </w:r>
      <w:r w:rsidR="00FC09DF" w:rsidRPr="00436BC4">
        <w:t>.</w:t>
      </w:r>
      <w:r w:rsidR="004C250B" w:rsidRPr="00436BC4">
        <w:t xml:space="preserve"> However, Iestyn Daniel in 1997 suggested that the author could have been the monk </w:t>
      </w:r>
      <w:proofErr w:type="spellStart"/>
      <w:r w:rsidR="004C250B" w:rsidRPr="00436BC4">
        <w:t>Cnep</w:t>
      </w:r>
      <w:proofErr w:type="spellEnd"/>
      <w:r w:rsidR="004C250B" w:rsidRPr="00436BC4">
        <w:t xml:space="preserve"> </w:t>
      </w:r>
      <w:proofErr w:type="spellStart"/>
      <w:r w:rsidR="004C250B" w:rsidRPr="00436BC4">
        <w:t>Gwerthrynion</w:t>
      </w:r>
      <w:proofErr w:type="spellEnd"/>
      <w:r w:rsidR="004C250B" w:rsidRPr="00436BC4">
        <w:t xml:space="preserve">, based on the detailed knowledge of the geography of North Wales found in the </w:t>
      </w:r>
      <w:r w:rsidR="004C250B" w:rsidRPr="00436BC4">
        <w:rPr>
          <w:i/>
          <w:iCs/>
        </w:rPr>
        <w:t>Mabinogi</w:t>
      </w:r>
      <w:r w:rsidR="004C250B" w:rsidRPr="00436BC4">
        <w:t>, and earlier in 1988 Sioned Davies also proposed a case for a collaborative authorship involving several individuals, before later changing her position on the matter.</w:t>
      </w:r>
      <w:r w:rsidR="008C5342" w:rsidRPr="008C5342">
        <w:t xml:space="preserve"> </w:t>
      </w:r>
      <w:r w:rsidR="008C5342" w:rsidRPr="00436BC4">
        <w:t xml:space="preserve">A. Breeze, </w:t>
      </w:r>
      <w:r w:rsidR="008C5342" w:rsidRPr="00436BC4">
        <w:rPr>
          <w:i/>
          <w:iCs/>
        </w:rPr>
        <w:t>The Origins of the Four Branches of the Mabinogi</w:t>
      </w:r>
      <w:r w:rsidR="008C5342" w:rsidRPr="00436BC4">
        <w:t xml:space="preserve"> (</w:t>
      </w:r>
      <w:proofErr w:type="spellStart"/>
      <w:r w:rsidR="008C5342" w:rsidRPr="00436BC4">
        <w:t>Gracewing</w:t>
      </w:r>
      <w:proofErr w:type="spellEnd"/>
      <w:r w:rsidR="008C5342" w:rsidRPr="00436BC4">
        <w:t>, 2009</w:t>
      </w:r>
      <w:r w:rsidR="008C5342">
        <w:t xml:space="preserve">), </w:t>
      </w:r>
      <w:r w:rsidR="008C5342" w:rsidRPr="008C5342">
        <w:t xml:space="preserve">Iestyn Daniel, ‘The Date, Origin and Authorship of “The Mabinogion” in the Light of </w:t>
      </w:r>
      <w:proofErr w:type="spellStart"/>
      <w:r w:rsidR="008C5342" w:rsidRPr="008C5342">
        <w:t>Ymborth</w:t>
      </w:r>
      <w:proofErr w:type="spellEnd"/>
      <w:r w:rsidR="008C5342" w:rsidRPr="008C5342">
        <w:t xml:space="preserve"> Yr Enaid’, </w:t>
      </w:r>
      <w:r w:rsidR="008C5342" w:rsidRPr="008C5342">
        <w:rPr>
          <w:i/>
          <w:iCs/>
        </w:rPr>
        <w:t>Journal of Celtic Studies</w:t>
      </w:r>
      <w:r w:rsidR="008C5342" w:rsidRPr="008C5342">
        <w:t>, 4 (2004), pp. 117–52.</w:t>
      </w:r>
      <w:r w:rsidR="008C5342">
        <w:t xml:space="preserve">, </w:t>
      </w:r>
      <w:r w:rsidR="008C5342" w:rsidRPr="008C5342">
        <w:t>Sioned Davies, ‘</w:t>
      </w:r>
      <w:proofErr w:type="spellStart"/>
      <w:r w:rsidR="008C5342" w:rsidRPr="008C5342">
        <w:t>Pedeir</w:t>
      </w:r>
      <w:proofErr w:type="spellEnd"/>
      <w:r w:rsidR="008C5342" w:rsidRPr="008C5342">
        <w:t xml:space="preserve"> </w:t>
      </w:r>
      <w:proofErr w:type="spellStart"/>
      <w:r w:rsidR="008C5342" w:rsidRPr="008C5342">
        <w:t>Keink</w:t>
      </w:r>
      <w:proofErr w:type="spellEnd"/>
      <w:r w:rsidR="008C5342" w:rsidRPr="008C5342">
        <w:t xml:space="preserve"> y Mabinogi: A Case for </w:t>
      </w:r>
      <w:proofErr w:type="spellStart"/>
      <w:r w:rsidR="008C5342" w:rsidRPr="008C5342">
        <w:t>Mutiple</w:t>
      </w:r>
      <w:proofErr w:type="spellEnd"/>
      <w:r w:rsidR="008C5342" w:rsidRPr="008C5342">
        <w:t xml:space="preserve"> Authorship’, in </w:t>
      </w:r>
      <w:r w:rsidR="008C5342" w:rsidRPr="008C5342">
        <w:rPr>
          <w:i/>
          <w:iCs/>
        </w:rPr>
        <w:t>Celtic Languages and Celtic Peoples: Proceedings of the First North American Congress of Celtic Studies</w:t>
      </w:r>
      <w:r w:rsidR="008C5342" w:rsidRPr="008C5342">
        <w:t xml:space="preserve">, ed. by </w:t>
      </w:r>
      <w:proofErr w:type="spellStart"/>
      <w:r w:rsidR="008C5342" w:rsidRPr="008C5342">
        <w:t>Maclennan</w:t>
      </w:r>
      <w:proofErr w:type="spellEnd"/>
      <w:r w:rsidR="008C5342" w:rsidRPr="008C5342">
        <w:t xml:space="preserve"> (Chair of Celtic Studies, University of Ottawa, 1988), pp. 443–59.</w:t>
      </w:r>
    </w:p>
  </w:footnote>
  <w:footnote w:id="154">
    <w:p w14:paraId="43558FC1" w14:textId="11270CCA" w:rsidR="008F7C89" w:rsidRPr="008F7C89" w:rsidRDefault="008F7C89">
      <w:pPr>
        <w:pStyle w:val="FootnoteText"/>
        <w:rPr>
          <w:lang w:val="en-US"/>
        </w:rPr>
      </w:pPr>
      <w:r>
        <w:rPr>
          <w:rStyle w:val="FootnoteReference"/>
        </w:rPr>
        <w:footnoteRef/>
      </w:r>
      <w:r>
        <w:t xml:space="preserve"> Professional storyteller in medieval Wales.</w:t>
      </w:r>
    </w:p>
  </w:footnote>
  <w:footnote w:id="155">
    <w:p w14:paraId="5F5ACE38" w14:textId="2E203A60" w:rsidR="00E93B11" w:rsidRPr="00436BC4" w:rsidRDefault="00E93B11">
      <w:pPr>
        <w:pStyle w:val="FootnoteText"/>
      </w:pPr>
      <w:r w:rsidRPr="00436BC4">
        <w:rPr>
          <w:rStyle w:val="FootnoteReference"/>
        </w:rPr>
        <w:footnoteRef/>
      </w:r>
      <w:r w:rsidRPr="00436BC4">
        <w:t xml:space="preserve"> </w:t>
      </w:r>
      <w:r w:rsidR="00A01427" w:rsidRPr="00A01427">
        <w:t xml:space="preserve">Sioned Davies, </w:t>
      </w:r>
      <w:r w:rsidR="00A01427" w:rsidRPr="00A01427">
        <w:rPr>
          <w:i/>
          <w:iCs/>
        </w:rPr>
        <w:t>The Mabinogion</w:t>
      </w:r>
      <w:r w:rsidR="00A01427" w:rsidRPr="00A01427">
        <w:t>,</w:t>
      </w:r>
      <w:r w:rsidR="00A01427">
        <w:t xml:space="preserve"> </w:t>
      </w:r>
      <w:r w:rsidRPr="00436BC4">
        <w:t>p. xiii.</w:t>
      </w:r>
    </w:p>
  </w:footnote>
  <w:footnote w:id="156">
    <w:p w14:paraId="6F9B29DC" w14:textId="2F5BFD13" w:rsidR="00FD194F" w:rsidRPr="00436BC4" w:rsidRDefault="00FD194F" w:rsidP="00FD194F">
      <w:pPr>
        <w:pStyle w:val="FootnoteText"/>
      </w:pPr>
      <w:r w:rsidRPr="00436BC4">
        <w:rPr>
          <w:rStyle w:val="FootnoteReference"/>
        </w:rPr>
        <w:footnoteRef/>
      </w:r>
      <w:r w:rsidRPr="00436BC4">
        <w:t xml:space="preserve"> </w:t>
      </w:r>
      <w:r w:rsidR="00D75486">
        <w:t>Sioned</w:t>
      </w:r>
      <w:r w:rsidRPr="00436BC4">
        <w:t xml:space="preserve"> Davies, ‘Written Text as Performance: The Implications for Middle Welsh Prose Narratives’, in </w:t>
      </w:r>
      <w:r w:rsidRPr="00436BC4">
        <w:rPr>
          <w:i/>
          <w:iCs/>
        </w:rPr>
        <w:t>Literacy in Medieval Celtic Societies</w:t>
      </w:r>
      <w:r w:rsidRPr="00436BC4">
        <w:t>, ed. by Huw Pryce (Cambridge University Press, 1998), pp. 133–48, pp. 135-136.</w:t>
      </w:r>
    </w:p>
  </w:footnote>
  <w:footnote w:id="157">
    <w:p w14:paraId="56238ADB" w14:textId="5DF1466D" w:rsidR="0062054F" w:rsidRPr="0062054F" w:rsidRDefault="0062054F">
      <w:pPr>
        <w:pStyle w:val="FootnoteText"/>
        <w:rPr>
          <w:lang w:val="en-US"/>
        </w:rPr>
      </w:pPr>
      <w:r>
        <w:rPr>
          <w:rStyle w:val="FootnoteReference"/>
        </w:rPr>
        <w:footnoteRef/>
      </w:r>
      <w:r>
        <w:t xml:space="preserve"> One w</w:t>
      </w:r>
      <w:r w:rsidRPr="0062054F">
        <w:t>hich continues only as long as there is a willingness to find meaning and recognition in them</w:t>
      </w:r>
      <w:r>
        <w:t>.</w:t>
      </w:r>
    </w:p>
  </w:footnote>
  <w:footnote w:id="158">
    <w:p w14:paraId="79ACEB0E" w14:textId="3C158B8B" w:rsidR="00270E94" w:rsidRPr="00436BC4" w:rsidRDefault="00270E94">
      <w:pPr>
        <w:pStyle w:val="FootnoteText"/>
      </w:pPr>
      <w:r w:rsidRPr="00436BC4">
        <w:rPr>
          <w:rStyle w:val="FootnoteReference"/>
        </w:rPr>
        <w:footnoteRef/>
      </w:r>
      <w:r w:rsidRPr="00436BC4">
        <w:t xml:space="preserve"> Dimitra Fimi, </w:t>
      </w:r>
      <w:r w:rsidRPr="00436BC4">
        <w:rPr>
          <w:i/>
          <w:iCs/>
        </w:rPr>
        <w:t>Celtic Myth in Contemporary Children’s Fantasy: Idealization, Identity, Ideology</w:t>
      </w:r>
      <w:r w:rsidRPr="00436BC4">
        <w:t xml:space="preserve"> (Springer, 2017).</w:t>
      </w:r>
    </w:p>
  </w:footnote>
  <w:footnote w:id="159">
    <w:p w14:paraId="2D6C2119" w14:textId="609EE03B" w:rsidR="00B411E5" w:rsidRPr="00436BC4" w:rsidRDefault="00B411E5">
      <w:pPr>
        <w:pStyle w:val="FootnoteText"/>
      </w:pPr>
      <w:r w:rsidRPr="00436BC4">
        <w:rPr>
          <w:rStyle w:val="FootnoteReference"/>
        </w:rPr>
        <w:footnoteRef/>
      </w:r>
      <w:r w:rsidRPr="00436BC4">
        <w:t xml:space="preserve"> </w:t>
      </w:r>
      <w:r w:rsidR="007A6C23">
        <w:t>Notably,</w:t>
      </w:r>
      <w:r w:rsidRPr="00436BC4">
        <w:t xml:space="preserve"> 20</w:t>
      </w:r>
      <w:r w:rsidRPr="00436BC4">
        <w:rPr>
          <w:vertAlign w:val="superscript"/>
        </w:rPr>
        <w:t>th</w:t>
      </w:r>
      <w:r w:rsidRPr="00436BC4">
        <w:t xml:space="preserve"> century ideas of authorship have a long history in Western thought beginning in the Renaissance period, and then becoming foundational during the Romantic era. </w:t>
      </w:r>
      <w:r w:rsidR="007A6C23">
        <w:t xml:space="preserve">However, </w:t>
      </w:r>
      <w:r w:rsidRPr="00436BC4">
        <w:t xml:space="preserve">Importantly this long history is not as old as the </w:t>
      </w:r>
      <w:r w:rsidRPr="00436BC4">
        <w:rPr>
          <w:i/>
          <w:iCs/>
        </w:rPr>
        <w:t>Four Branches</w:t>
      </w:r>
      <w:r w:rsidRPr="00436BC4">
        <w:t xml:space="preserve"> themselves. </w:t>
      </w:r>
    </w:p>
  </w:footnote>
  <w:footnote w:id="160">
    <w:p w14:paraId="36381B8E" w14:textId="1E8B6191" w:rsidR="00C75148" w:rsidRPr="00C75148" w:rsidRDefault="00C75148">
      <w:pPr>
        <w:pStyle w:val="FootnoteText"/>
        <w:rPr>
          <w:lang w:val="en-US"/>
        </w:rPr>
      </w:pPr>
      <w:r>
        <w:rPr>
          <w:rStyle w:val="FootnoteReference"/>
        </w:rPr>
        <w:footnoteRef/>
      </w:r>
      <w:r>
        <w:t xml:space="preserve"> </w:t>
      </w:r>
      <w:r w:rsidRPr="00C75148">
        <w:t>Mary-Ann Constantine, ‘The Battle for the “Battle of the Trees”’, p. 47.</w:t>
      </w:r>
    </w:p>
  </w:footnote>
  <w:footnote w:id="161">
    <w:p w14:paraId="26A968EF" w14:textId="4BF93000" w:rsidR="00C75148" w:rsidRPr="00C75148" w:rsidRDefault="00C75148">
      <w:pPr>
        <w:pStyle w:val="FootnoteText"/>
        <w:rPr>
          <w:lang w:val="en-US"/>
        </w:rPr>
      </w:pPr>
      <w:r>
        <w:rPr>
          <w:rStyle w:val="FootnoteReference"/>
        </w:rPr>
        <w:footnoteRef/>
      </w:r>
      <w:r>
        <w:t xml:space="preserve"> </w:t>
      </w:r>
      <w:r w:rsidRPr="00C75148">
        <w:t>Roberta Valente, ‘Gwydion and Aranrhod’, pp. 1–9.</w:t>
      </w:r>
    </w:p>
  </w:footnote>
  <w:footnote w:id="162">
    <w:p w14:paraId="2C1BE773" w14:textId="36F72214" w:rsidR="006E701B" w:rsidRPr="00436BC4" w:rsidRDefault="006E701B">
      <w:pPr>
        <w:pStyle w:val="FootnoteText"/>
      </w:pPr>
      <w:r w:rsidRPr="00436BC4">
        <w:rPr>
          <w:rStyle w:val="FootnoteReference"/>
        </w:rPr>
        <w:footnoteRef/>
      </w:r>
      <w:r w:rsidR="000F3B0A" w:rsidRPr="00436BC4">
        <w:t xml:space="preserve"> </w:t>
      </w:r>
      <w:r w:rsidR="00CC2167" w:rsidRPr="00436BC4">
        <w:t xml:space="preserve">See </w:t>
      </w:r>
      <w:r w:rsidR="00557C4B" w:rsidRPr="00436BC4">
        <w:t>Fiona Winward, ‘Some Aspects of the Women in the Four Branches.’, pp. 77–106</w:t>
      </w:r>
      <w:r w:rsidR="008F5CF8" w:rsidRPr="00436BC4">
        <w:t>; Marged Haycock, '“</w:t>
      </w:r>
      <w:proofErr w:type="spellStart"/>
      <w:r w:rsidR="008F5CF8" w:rsidRPr="00436BC4">
        <w:t>Defnydd</w:t>
      </w:r>
      <w:proofErr w:type="spellEnd"/>
      <w:r w:rsidR="008F5CF8" w:rsidRPr="00436BC4">
        <w:t xml:space="preserve"> </w:t>
      </w:r>
      <w:proofErr w:type="spellStart"/>
      <w:r w:rsidR="008F5CF8" w:rsidRPr="00436BC4">
        <w:t>hyd</w:t>
      </w:r>
      <w:proofErr w:type="spellEnd"/>
      <w:r w:rsidR="008F5CF8" w:rsidRPr="00436BC4">
        <w:t xml:space="preserve"> </w:t>
      </w:r>
      <w:proofErr w:type="spellStart"/>
      <w:r w:rsidR="008F5CF8" w:rsidRPr="00436BC4">
        <w:t>Ddydd</w:t>
      </w:r>
      <w:proofErr w:type="spellEnd"/>
      <w:r w:rsidR="008F5CF8" w:rsidRPr="00436BC4">
        <w:t xml:space="preserve"> Brawd”: </w:t>
      </w:r>
      <w:proofErr w:type="spellStart"/>
      <w:r w:rsidR="008F5CF8" w:rsidRPr="00436BC4">
        <w:t>rhai</w:t>
      </w:r>
      <w:proofErr w:type="spellEnd"/>
      <w:r w:rsidR="008F5CF8" w:rsidRPr="00436BC4">
        <w:t xml:space="preserve"> </w:t>
      </w:r>
      <w:proofErr w:type="spellStart"/>
      <w:r w:rsidR="008F5CF8" w:rsidRPr="00436BC4">
        <w:t>agweddau</w:t>
      </w:r>
      <w:proofErr w:type="spellEnd"/>
      <w:r w:rsidR="008F5CF8" w:rsidRPr="00436BC4">
        <w:t xml:space="preserve"> </w:t>
      </w:r>
      <w:proofErr w:type="spellStart"/>
      <w:r w:rsidR="008F5CF8" w:rsidRPr="00436BC4">
        <w:t>ar</w:t>
      </w:r>
      <w:proofErr w:type="spellEnd"/>
      <w:r w:rsidR="008F5CF8" w:rsidRPr="00436BC4">
        <w:t xml:space="preserve"> y </w:t>
      </w:r>
      <w:proofErr w:type="spellStart"/>
      <w:r w:rsidR="008F5CF8" w:rsidRPr="00436BC4">
        <w:t>ferch</w:t>
      </w:r>
      <w:proofErr w:type="spellEnd"/>
      <w:r w:rsidR="008F5CF8" w:rsidRPr="00436BC4">
        <w:t xml:space="preserve"> </w:t>
      </w:r>
      <w:proofErr w:type="spellStart"/>
      <w:r w:rsidR="008F5CF8" w:rsidRPr="00436BC4">
        <w:t>ym</w:t>
      </w:r>
      <w:proofErr w:type="spellEnd"/>
      <w:r w:rsidR="008F5CF8" w:rsidRPr="00436BC4">
        <w:t xml:space="preserve"> </w:t>
      </w:r>
      <w:proofErr w:type="spellStart"/>
      <w:r w:rsidR="008F5CF8" w:rsidRPr="00436BC4">
        <w:t>marddoniaeth</w:t>
      </w:r>
      <w:proofErr w:type="spellEnd"/>
      <w:r w:rsidR="008F5CF8" w:rsidRPr="00436BC4">
        <w:t xml:space="preserve"> yr </w:t>
      </w:r>
      <w:proofErr w:type="spellStart"/>
      <w:r w:rsidR="008F5CF8" w:rsidRPr="00436BC4">
        <w:t>oesoedd</w:t>
      </w:r>
      <w:proofErr w:type="spellEnd"/>
      <w:r w:rsidR="008F5CF8" w:rsidRPr="00436BC4">
        <w:t xml:space="preserve"> </w:t>
      </w:r>
      <w:proofErr w:type="spellStart"/>
      <w:r w:rsidR="008F5CF8" w:rsidRPr="00436BC4">
        <w:t>canol</w:t>
      </w:r>
      <w:proofErr w:type="spellEnd"/>
      <w:r w:rsidR="008F5CF8" w:rsidRPr="00436BC4">
        <w:t xml:space="preserve">', </w:t>
      </w:r>
      <w:r w:rsidR="008F5CF8" w:rsidRPr="00436BC4">
        <w:rPr>
          <w:i/>
          <w:iCs/>
        </w:rPr>
        <w:t xml:space="preserve">Cymru </w:t>
      </w:r>
      <w:proofErr w:type="spellStart"/>
      <w:r w:rsidR="008F5CF8" w:rsidRPr="00436BC4">
        <w:rPr>
          <w:i/>
          <w:iCs/>
        </w:rPr>
        <w:t>a'r</w:t>
      </w:r>
      <w:proofErr w:type="spellEnd"/>
      <w:r w:rsidR="008F5CF8" w:rsidRPr="00436BC4">
        <w:rPr>
          <w:i/>
          <w:iCs/>
        </w:rPr>
        <w:t xml:space="preserve"> Cymry 2000: </w:t>
      </w:r>
      <w:proofErr w:type="spellStart"/>
      <w:r w:rsidR="008F5CF8" w:rsidRPr="00436BC4">
        <w:rPr>
          <w:i/>
          <w:iCs/>
        </w:rPr>
        <w:t>Trafodion</w:t>
      </w:r>
      <w:proofErr w:type="spellEnd"/>
      <w:r w:rsidR="008F5CF8" w:rsidRPr="00436BC4">
        <w:rPr>
          <w:i/>
          <w:iCs/>
        </w:rPr>
        <w:t xml:space="preserve"> </w:t>
      </w:r>
      <w:proofErr w:type="spellStart"/>
      <w:r w:rsidR="008F5CF8" w:rsidRPr="00436BC4">
        <w:rPr>
          <w:i/>
          <w:iCs/>
        </w:rPr>
        <w:t>Cynhadledd</w:t>
      </w:r>
      <w:proofErr w:type="spellEnd"/>
      <w:r w:rsidR="008F5CF8" w:rsidRPr="00436BC4">
        <w:rPr>
          <w:i/>
          <w:iCs/>
        </w:rPr>
        <w:t xml:space="preserve"> </w:t>
      </w:r>
      <w:proofErr w:type="spellStart"/>
      <w:r w:rsidR="008F5CF8" w:rsidRPr="00436BC4">
        <w:rPr>
          <w:i/>
          <w:iCs/>
        </w:rPr>
        <w:t>Milflwyddiant</w:t>
      </w:r>
      <w:proofErr w:type="spellEnd"/>
      <w:r w:rsidR="008F5CF8" w:rsidRPr="00436BC4">
        <w:rPr>
          <w:i/>
          <w:iCs/>
        </w:rPr>
        <w:t xml:space="preserve"> </w:t>
      </w:r>
      <w:proofErr w:type="spellStart"/>
      <w:r w:rsidR="008F5CF8" w:rsidRPr="00436BC4">
        <w:rPr>
          <w:i/>
          <w:iCs/>
        </w:rPr>
        <w:t>Canolfan</w:t>
      </w:r>
      <w:proofErr w:type="spellEnd"/>
      <w:r w:rsidR="008F5CF8" w:rsidRPr="00436BC4">
        <w:rPr>
          <w:i/>
          <w:iCs/>
        </w:rPr>
        <w:t xml:space="preserve"> </w:t>
      </w:r>
      <w:proofErr w:type="spellStart"/>
      <w:r w:rsidR="008F5CF8" w:rsidRPr="00436BC4">
        <w:rPr>
          <w:i/>
          <w:iCs/>
        </w:rPr>
        <w:t>Uwchefrydiau</w:t>
      </w:r>
      <w:proofErr w:type="spellEnd"/>
      <w:r w:rsidR="008F5CF8" w:rsidRPr="00436BC4">
        <w:rPr>
          <w:i/>
          <w:iCs/>
        </w:rPr>
        <w:t xml:space="preserve"> </w:t>
      </w:r>
      <w:proofErr w:type="spellStart"/>
      <w:r w:rsidR="008F5CF8" w:rsidRPr="00436BC4">
        <w:rPr>
          <w:i/>
          <w:iCs/>
        </w:rPr>
        <w:t>Cymreig</w:t>
      </w:r>
      <w:proofErr w:type="spellEnd"/>
      <w:r w:rsidR="008F5CF8" w:rsidRPr="00436BC4">
        <w:rPr>
          <w:i/>
          <w:iCs/>
        </w:rPr>
        <w:t xml:space="preserve"> a </w:t>
      </w:r>
      <w:proofErr w:type="spellStart"/>
      <w:r w:rsidR="008F5CF8" w:rsidRPr="00436BC4">
        <w:rPr>
          <w:i/>
          <w:iCs/>
        </w:rPr>
        <w:t>Cheltaidd</w:t>
      </w:r>
      <w:proofErr w:type="spellEnd"/>
      <w:r w:rsidR="008F5CF8" w:rsidRPr="00436BC4">
        <w:rPr>
          <w:i/>
          <w:iCs/>
        </w:rPr>
        <w:t xml:space="preserve"> </w:t>
      </w:r>
      <w:proofErr w:type="spellStart"/>
      <w:r w:rsidR="008F5CF8" w:rsidRPr="00436BC4">
        <w:rPr>
          <w:i/>
          <w:iCs/>
        </w:rPr>
        <w:t>Prifysgol</w:t>
      </w:r>
      <w:proofErr w:type="spellEnd"/>
      <w:r w:rsidR="008F5CF8" w:rsidRPr="00436BC4">
        <w:rPr>
          <w:i/>
          <w:iCs/>
        </w:rPr>
        <w:t xml:space="preserve"> Cymru</w:t>
      </w:r>
      <w:r w:rsidR="008F5CF8" w:rsidRPr="00436BC4">
        <w:t xml:space="preserve">, Geraint Jenkins, ed. (Aberystwyth 2001) pp. 41-70; Helen Fulton, 'A Woman's place: Guinevere in the Welsh and French romances,' Quondam et </w:t>
      </w:r>
      <w:proofErr w:type="spellStart"/>
      <w:r w:rsidR="008F5CF8" w:rsidRPr="00436BC4">
        <w:t>Futurus</w:t>
      </w:r>
      <w:proofErr w:type="spellEnd"/>
      <w:r w:rsidR="008F5CF8" w:rsidRPr="00436BC4">
        <w:t xml:space="preserve"> 3:2 (1993), pp. 1-25.</w:t>
      </w:r>
    </w:p>
  </w:footnote>
  <w:footnote w:id="163">
    <w:p w14:paraId="03B9667C" w14:textId="2AF0C413" w:rsidR="00182314" w:rsidRPr="00436BC4" w:rsidRDefault="00182314">
      <w:pPr>
        <w:pStyle w:val="FootnoteText"/>
      </w:pPr>
      <w:r w:rsidRPr="00436BC4">
        <w:rPr>
          <w:rStyle w:val="FootnoteReference"/>
        </w:rPr>
        <w:footnoteRef/>
      </w:r>
      <w:r w:rsidRPr="00436BC4">
        <w:t xml:space="preserve"> Krista R. L Kapphahn, ‘Gender and Genre in Welsh Arthurian Literature’ (</w:t>
      </w:r>
      <w:r w:rsidR="003E42B2" w:rsidRPr="003E42B2">
        <w:t>unpublished master’s thesis</w:t>
      </w:r>
      <w:r w:rsidR="003E42B2">
        <w:t>,</w:t>
      </w:r>
      <w:r w:rsidR="003E42B2" w:rsidRPr="003E42B2">
        <w:t xml:space="preserve"> </w:t>
      </w:r>
      <w:r w:rsidRPr="00436BC4">
        <w:t>Aberystwyth, 2015)</w:t>
      </w:r>
      <w:r w:rsidR="008F5CF8" w:rsidRPr="00436BC4">
        <w:t>,</w:t>
      </w:r>
      <w:r w:rsidRPr="00436BC4">
        <w:t xml:space="preserve"> pp.2-3</w:t>
      </w:r>
      <w:r w:rsidR="00093A84">
        <w:t>.</w:t>
      </w:r>
    </w:p>
  </w:footnote>
  <w:footnote w:id="164">
    <w:p w14:paraId="077BB789" w14:textId="1866755B" w:rsidR="005D339E" w:rsidRPr="00436BC4" w:rsidRDefault="005D339E">
      <w:pPr>
        <w:pStyle w:val="FootnoteText"/>
      </w:pPr>
      <w:r w:rsidRPr="00436BC4">
        <w:rPr>
          <w:rStyle w:val="FootnoteReference"/>
        </w:rPr>
        <w:footnoteRef/>
      </w:r>
      <w:r w:rsidRPr="00436BC4">
        <w:t xml:space="preserve"> For further examples see Fiona Winward, ‘Some Aspects of the Women in the Four Branches.’, pp. 77–106; Kathy E </w:t>
      </w:r>
      <w:proofErr w:type="spellStart"/>
      <w:r w:rsidRPr="00436BC4">
        <w:t>Shimpock</w:t>
      </w:r>
      <w:proofErr w:type="spellEnd"/>
      <w:r w:rsidRPr="00436BC4">
        <w:t>, ‘The “Unlikely Female” Characters of the Mabinogi’;</w:t>
      </w:r>
      <w:r w:rsidRPr="00436BC4">
        <w:rPr>
          <w:sz w:val="22"/>
          <w:szCs w:val="22"/>
        </w:rPr>
        <w:t xml:space="preserve"> </w:t>
      </w:r>
      <w:r w:rsidRPr="00436BC4">
        <w:t>Jane Cartwright, ‘Virginity and Chastity Tests in Medieval Welsh Prose’, pp. 56–79.</w:t>
      </w:r>
    </w:p>
  </w:footnote>
  <w:footnote w:id="165">
    <w:p w14:paraId="76B61DF9" w14:textId="2DB0F2BC" w:rsidR="002D16D8" w:rsidRPr="00436BC4" w:rsidRDefault="002D16D8">
      <w:pPr>
        <w:pStyle w:val="FootnoteText"/>
      </w:pPr>
      <w:r w:rsidRPr="00436BC4">
        <w:rPr>
          <w:rStyle w:val="FootnoteReference"/>
        </w:rPr>
        <w:footnoteRef/>
      </w:r>
      <w:r w:rsidRPr="00436BC4">
        <w:t xml:space="preserve"> </w:t>
      </w:r>
      <w:r w:rsidR="005D339E" w:rsidRPr="00436BC4">
        <w:t>Krista R. L Kapphahn, ‘Gender and Genre in Welsh Arthurian Literature’, pp.2-3</w:t>
      </w:r>
      <w:r w:rsidR="00FB0D70">
        <w:t>.</w:t>
      </w:r>
    </w:p>
  </w:footnote>
  <w:footnote w:id="166">
    <w:p w14:paraId="2355D85B" w14:textId="0EC42C15" w:rsidR="00C44352" w:rsidRPr="00436BC4" w:rsidRDefault="00C44352">
      <w:pPr>
        <w:pStyle w:val="FootnoteText"/>
      </w:pPr>
      <w:r w:rsidRPr="00436BC4">
        <w:rPr>
          <w:rStyle w:val="FootnoteReference"/>
        </w:rPr>
        <w:footnoteRef/>
      </w:r>
      <w:r w:rsidRPr="00436BC4">
        <w:t xml:space="preserve"> Hannah McCann and Whitney Monaghan, Queer Theory Now, p.</w:t>
      </w:r>
      <w:r w:rsidR="00356AFD" w:rsidRPr="00436BC4">
        <w:t>215.</w:t>
      </w:r>
    </w:p>
  </w:footnote>
  <w:footnote w:id="167">
    <w:p w14:paraId="1631638A" w14:textId="0BDCEF3B" w:rsidR="00CD0C52" w:rsidRPr="00436BC4" w:rsidRDefault="00CD0C52" w:rsidP="00CD0C52">
      <w:pPr>
        <w:pStyle w:val="FootnoteText"/>
      </w:pPr>
      <w:r w:rsidRPr="00436BC4">
        <w:rPr>
          <w:rStyle w:val="FootnoteReference"/>
        </w:rPr>
        <w:footnoteRef/>
      </w:r>
      <w:r w:rsidRPr="00436BC4">
        <w:t xml:space="preserve"> Sarah Sheehan, ‘Matrilineal Subjects</w:t>
      </w:r>
      <w:r w:rsidR="00FB0D70">
        <w:t>’</w:t>
      </w:r>
      <w:r w:rsidRPr="00436BC4">
        <w:t>, p.319.</w:t>
      </w:r>
    </w:p>
  </w:footnote>
  <w:footnote w:id="168">
    <w:p w14:paraId="4DB5E509" w14:textId="77777777" w:rsidR="00C85351" w:rsidRPr="00436BC4" w:rsidRDefault="00C85351" w:rsidP="00C85351">
      <w:pPr>
        <w:pStyle w:val="FootnoteText"/>
      </w:pPr>
      <w:r w:rsidRPr="00436BC4">
        <w:rPr>
          <w:rStyle w:val="FootnoteReference"/>
        </w:rPr>
        <w:footnoteRef/>
      </w:r>
      <w:r w:rsidRPr="00436BC4">
        <w:t xml:space="preserve"> Ramzi Fawaz and Shanté Paradigm Smalls, ‘Queers Read This!: LGBTQ Literature Now’, </w:t>
      </w:r>
      <w:r w:rsidRPr="00436BC4">
        <w:rPr>
          <w:i/>
          <w:iCs/>
        </w:rPr>
        <w:t>GLQ: A Journal of Lesbian and Gay Studies</w:t>
      </w:r>
      <w:r w:rsidRPr="00436BC4">
        <w:t>, p. 171.</w:t>
      </w:r>
    </w:p>
  </w:footnote>
  <w:footnote w:id="169">
    <w:p w14:paraId="56205C2A" w14:textId="6A1B199D" w:rsidR="00C85351" w:rsidRPr="00BB35B1" w:rsidRDefault="00C85351" w:rsidP="00C85351">
      <w:pPr>
        <w:pStyle w:val="FootnoteText"/>
        <w:rPr>
          <w:lang w:val="en-US"/>
        </w:rPr>
      </w:pPr>
      <w:r w:rsidRPr="00436BC4">
        <w:rPr>
          <w:rStyle w:val="FootnoteReference"/>
        </w:rPr>
        <w:footnoteRef/>
      </w:r>
      <w:r w:rsidRPr="00436BC4">
        <w:t xml:space="preserve"> Roberta Valente, ‘Gwydion and Aranrhod</w:t>
      </w:r>
      <w:r w:rsidR="00D243B6">
        <w:t>’</w:t>
      </w:r>
      <w:r w:rsidRPr="00436BC4">
        <w:t>,</w:t>
      </w:r>
      <w:r w:rsidR="00D243B6">
        <w:t xml:space="preserve"> pp.</w:t>
      </w:r>
      <w:r w:rsidRPr="00436BC4">
        <w:t xml:space="preserve"> 1–9.</w:t>
      </w:r>
    </w:p>
  </w:footnote>
  <w:footnote w:id="170">
    <w:p w14:paraId="256CF9AA" w14:textId="0D2599DE" w:rsidR="00742C44" w:rsidRPr="00742C44" w:rsidRDefault="00742C44">
      <w:pPr>
        <w:pStyle w:val="FootnoteText"/>
        <w:rPr>
          <w:lang w:val="en-US"/>
        </w:rPr>
      </w:pPr>
      <w:r>
        <w:rPr>
          <w:rStyle w:val="FootnoteReference"/>
        </w:rPr>
        <w:footnoteRef/>
      </w:r>
      <w:r>
        <w:t xml:space="preserve"> </w:t>
      </w:r>
      <w:r w:rsidRPr="00742C44">
        <w:t xml:space="preserve">Sioned Davies, </w:t>
      </w:r>
      <w:r w:rsidRPr="00742C44">
        <w:rPr>
          <w:i/>
          <w:iCs/>
        </w:rPr>
        <w:t>The Mabinogion</w:t>
      </w:r>
      <w:r w:rsidRPr="00742C44">
        <w:t>, p.</w:t>
      </w:r>
      <w:r>
        <w:t>58.</w:t>
      </w:r>
    </w:p>
  </w:footnote>
  <w:footnote w:id="171">
    <w:p w14:paraId="51E69F8D" w14:textId="48556351" w:rsidR="00565B94" w:rsidRPr="00565B94" w:rsidRDefault="00565B94">
      <w:pPr>
        <w:pStyle w:val="FootnoteText"/>
        <w:rPr>
          <w:lang w:val="en-US"/>
        </w:rPr>
      </w:pPr>
      <w:r>
        <w:rPr>
          <w:rStyle w:val="FootnoteReference"/>
        </w:rPr>
        <w:footnoteRef/>
      </w:r>
      <w:r>
        <w:t xml:space="preserve"> </w:t>
      </w:r>
      <w:r w:rsidRPr="00565B94">
        <w:t xml:space="preserve">Blodeuedd herself could not be covered in this dissertation but also provides an attractive subject for examination via a queer lens. This ‘trans-floral-human-avian being’ has already began to provoke questions regarding the nature of purpose, creation, artificiality, and personhood by the troubling of the human/non-human boundary in the </w:t>
      </w:r>
      <w:r w:rsidRPr="00565B94">
        <w:rPr>
          <w:i/>
          <w:iCs/>
        </w:rPr>
        <w:t>Fourth Branch,</w:t>
      </w:r>
      <w:r w:rsidRPr="00565B94">
        <w:t xml:space="preserve"> </w:t>
      </w:r>
      <w:r>
        <w:t>(i</w:t>
      </w:r>
      <w:r w:rsidRPr="00742C44">
        <w:t>n a different way to Gwidion and Gilfaethwy</w:t>
      </w:r>
      <w:r>
        <w:t xml:space="preserve"> </w:t>
      </w:r>
      <w:r w:rsidR="00F96DEE">
        <w:t>who</w:t>
      </w:r>
      <w:r>
        <w:t xml:space="preserve"> start as humans and then return to human form, Blodeuedd </w:t>
      </w:r>
      <w:r w:rsidR="002E77D3">
        <w:t>is originally</w:t>
      </w:r>
      <w:r>
        <w:t xml:space="preserve"> non-human </w:t>
      </w:r>
      <w:r w:rsidR="002E77D3">
        <w:t>and seems to be considered a different species from humans even when she is transformed</w:t>
      </w:r>
      <w:r>
        <w:t xml:space="preserve">) </w:t>
      </w:r>
      <w:r w:rsidR="002E77D3">
        <w:t>prompting</w:t>
      </w:r>
      <w:r w:rsidRPr="00565B94">
        <w:t xml:space="preserve"> discussions </w:t>
      </w:r>
      <w:r w:rsidR="002E77D3">
        <w:t>that make comparisons with</w:t>
      </w:r>
      <w:r w:rsidRPr="00565B94">
        <w:t xml:space="preserve"> AI and </w:t>
      </w:r>
      <w:r w:rsidR="002E77D3" w:rsidRPr="00565B94">
        <w:t xml:space="preserve">relations </w:t>
      </w:r>
      <w:r w:rsidR="002E77D3">
        <w:t>with other ‘alien’ beings</w:t>
      </w:r>
      <w:r w:rsidRPr="00565B94">
        <w:t xml:space="preserve"> in the modern day</w:t>
      </w:r>
      <w:r>
        <w:t xml:space="preserve">. See </w:t>
      </w:r>
      <w:r w:rsidRPr="00C44032">
        <w:t xml:space="preserve">Cara Bartels-Bland, ‘“You Took My Spirit Captive among the Leaves”: The Creation of Blodeuwedd in Re-Imaginings of the Fourth Branch of the Mabinogi’, </w:t>
      </w:r>
      <w:r w:rsidRPr="00C44032">
        <w:rPr>
          <w:i/>
          <w:iCs/>
        </w:rPr>
        <w:t>Pomegranate</w:t>
      </w:r>
      <w:r w:rsidRPr="00C44032">
        <w:t>, 16.2 (2014), pp. 178–206</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352D1" w14:textId="2AFF8DB1" w:rsidR="0003365A" w:rsidRPr="00436BC4" w:rsidRDefault="0003365A">
    <w:pPr>
      <w:pStyle w:val="Header"/>
      <w:jc w:val="center"/>
    </w:pPr>
  </w:p>
  <w:p w14:paraId="5005D2D1" w14:textId="77777777" w:rsidR="0003365A" w:rsidRPr="00436BC4" w:rsidRDefault="000336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F0B1E"/>
    <w:multiLevelType w:val="hybridMultilevel"/>
    <w:tmpl w:val="39AA90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F69BE"/>
    <w:multiLevelType w:val="hybridMultilevel"/>
    <w:tmpl w:val="95F8B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44435"/>
    <w:multiLevelType w:val="hybridMultilevel"/>
    <w:tmpl w:val="6D7ED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64025"/>
    <w:multiLevelType w:val="hybridMultilevel"/>
    <w:tmpl w:val="E0247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574BE"/>
    <w:multiLevelType w:val="hybridMultilevel"/>
    <w:tmpl w:val="FE58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15CF5"/>
    <w:multiLevelType w:val="multilevel"/>
    <w:tmpl w:val="F0AC8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F41DBD"/>
    <w:multiLevelType w:val="hybridMultilevel"/>
    <w:tmpl w:val="0494EB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3D2AA4"/>
    <w:multiLevelType w:val="hybridMultilevel"/>
    <w:tmpl w:val="04D0F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692419"/>
    <w:multiLevelType w:val="hybridMultilevel"/>
    <w:tmpl w:val="F2286BB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FA4326C"/>
    <w:multiLevelType w:val="hybridMultilevel"/>
    <w:tmpl w:val="10FCE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60678F"/>
    <w:multiLevelType w:val="hybridMultilevel"/>
    <w:tmpl w:val="278C83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B06AA"/>
    <w:multiLevelType w:val="hybridMultilevel"/>
    <w:tmpl w:val="C5861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01083D"/>
    <w:multiLevelType w:val="hybridMultilevel"/>
    <w:tmpl w:val="B40E2DFA"/>
    <w:lvl w:ilvl="0" w:tplc="54DAA7F2">
      <w:start w:val="1"/>
      <w:numFmt w:val="decimal"/>
      <w:lvlText w:val="%1."/>
      <w:lvlJc w:val="left"/>
      <w:pPr>
        <w:ind w:left="643"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1B4B40"/>
    <w:multiLevelType w:val="hybridMultilevel"/>
    <w:tmpl w:val="D884DBAE"/>
    <w:lvl w:ilvl="0" w:tplc="46A4781E">
      <w:start w:val="1"/>
      <w:numFmt w:val="bullet"/>
      <w:lvlText w:val=""/>
      <w:lvlJc w:val="left"/>
      <w:pPr>
        <w:ind w:left="1440" w:hanging="360"/>
      </w:pPr>
      <w:rPr>
        <w:rFonts w:ascii="Symbol" w:hAnsi="Symbol"/>
      </w:rPr>
    </w:lvl>
    <w:lvl w:ilvl="1" w:tplc="4844A978">
      <w:start w:val="1"/>
      <w:numFmt w:val="bullet"/>
      <w:lvlText w:val=""/>
      <w:lvlJc w:val="left"/>
      <w:pPr>
        <w:ind w:left="2160" w:hanging="360"/>
      </w:pPr>
      <w:rPr>
        <w:rFonts w:ascii="Symbol" w:hAnsi="Symbol"/>
      </w:rPr>
    </w:lvl>
    <w:lvl w:ilvl="2" w:tplc="B0785DC6">
      <w:start w:val="1"/>
      <w:numFmt w:val="bullet"/>
      <w:lvlText w:val=""/>
      <w:lvlJc w:val="left"/>
      <w:pPr>
        <w:ind w:left="1440" w:hanging="360"/>
      </w:pPr>
      <w:rPr>
        <w:rFonts w:ascii="Symbol" w:hAnsi="Symbol"/>
      </w:rPr>
    </w:lvl>
    <w:lvl w:ilvl="3" w:tplc="FF6A2026">
      <w:start w:val="1"/>
      <w:numFmt w:val="bullet"/>
      <w:lvlText w:val=""/>
      <w:lvlJc w:val="left"/>
      <w:pPr>
        <w:ind w:left="1440" w:hanging="360"/>
      </w:pPr>
      <w:rPr>
        <w:rFonts w:ascii="Symbol" w:hAnsi="Symbol"/>
      </w:rPr>
    </w:lvl>
    <w:lvl w:ilvl="4" w:tplc="D4AC6482">
      <w:start w:val="1"/>
      <w:numFmt w:val="bullet"/>
      <w:lvlText w:val=""/>
      <w:lvlJc w:val="left"/>
      <w:pPr>
        <w:ind w:left="1440" w:hanging="360"/>
      </w:pPr>
      <w:rPr>
        <w:rFonts w:ascii="Symbol" w:hAnsi="Symbol"/>
      </w:rPr>
    </w:lvl>
    <w:lvl w:ilvl="5" w:tplc="2A8A59AE">
      <w:start w:val="1"/>
      <w:numFmt w:val="bullet"/>
      <w:lvlText w:val=""/>
      <w:lvlJc w:val="left"/>
      <w:pPr>
        <w:ind w:left="1440" w:hanging="360"/>
      </w:pPr>
      <w:rPr>
        <w:rFonts w:ascii="Symbol" w:hAnsi="Symbol"/>
      </w:rPr>
    </w:lvl>
    <w:lvl w:ilvl="6" w:tplc="EE140C5C">
      <w:start w:val="1"/>
      <w:numFmt w:val="bullet"/>
      <w:lvlText w:val=""/>
      <w:lvlJc w:val="left"/>
      <w:pPr>
        <w:ind w:left="1440" w:hanging="360"/>
      </w:pPr>
      <w:rPr>
        <w:rFonts w:ascii="Symbol" w:hAnsi="Symbol"/>
      </w:rPr>
    </w:lvl>
    <w:lvl w:ilvl="7" w:tplc="702487F2">
      <w:start w:val="1"/>
      <w:numFmt w:val="bullet"/>
      <w:lvlText w:val=""/>
      <w:lvlJc w:val="left"/>
      <w:pPr>
        <w:ind w:left="1440" w:hanging="360"/>
      </w:pPr>
      <w:rPr>
        <w:rFonts w:ascii="Symbol" w:hAnsi="Symbol"/>
      </w:rPr>
    </w:lvl>
    <w:lvl w:ilvl="8" w:tplc="EC2260E0">
      <w:start w:val="1"/>
      <w:numFmt w:val="bullet"/>
      <w:lvlText w:val=""/>
      <w:lvlJc w:val="left"/>
      <w:pPr>
        <w:ind w:left="1440" w:hanging="360"/>
      </w:pPr>
      <w:rPr>
        <w:rFonts w:ascii="Symbol" w:hAnsi="Symbol"/>
      </w:rPr>
    </w:lvl>
  </w:abstractNum>
  <w:abstractNum w:abstractNumId="14" w15:restartNumberingAfterBreak="0">
    <w:nsid w:val="63D951E3"/>
    <w:multiLevelType w:val="hybridMultilevel"/>
    <w:tmpl w:val="E85CC72A"/>
    <w:lvl w:ilvl="0" w:tplc="43081D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000123"/>
    <w:multiLevelType w:val="hybridMultilevel"/>
    <w:tmpl w:val="56CE8F18"/>
    <w:lvl w:ilvl="0" w:tplc="0BE83F44">
      <w:start w:val="1"/>
      <w:numFmt w:val="bullet"/>
      <w:lvlText w:val=""/>
      <w:lvlJc w:val="left"/>
      <w:pPr>
        <w:ind w:left="1440" w:hanging="360"/>
      </w:pPr>
      <w:rPr>
        <w:rFonts w:ascii="Symbol" w:hAnsi="Symbol"/>
      </w:rPr>
    </w:lvl>
    <w:lvl w:ilvl="1" w:tplc="5C50D718">
      <w:start w:val="1"/>
      <w:numFmt w:val="bullet"/>
      <w:lvlText w:val=""/>
      <w:lvlJc w:val="left"/>
      <w:pPr>
        <w:ind w:left="2160" w:hanging="360"/>
      </w:pPr>
      <w:rPr>
        <w:rFonts w:ascii="Symbol" w:hAnsi="Symbol"/>
      </w:rPr>
    </w:lvl>
    <w:lvl w:ilvl="2" w:tplc="24A07BF0">
      <w:start w:val="1"/>
      <w:numFmt w:val="bullet"/>
      <w:lvlText w:val=""/>
      <w:lvlJc w:val="left"/>
      <w:pPr>
        <w:ind w:left="2880" w:hanging="360"/>
      </w:pPr>
      <w:rPr>
        <w:rFonts w:ascii="Symbol" w:hAnsi="Symbol"/>
      </w:rPr>
    </w:lvl>
    <w:lvl w:ilvl="3" w:tplc="4590FC1E">
      <w:start w:val="1"/>
      <w:numFmt w:val="bullet"/>
      <w:lvlText w:val=""/>
      <w:lvlJc w:val="left"/>
      <w:pPr>
        <w:ind w:left="1440" w:hanging="360"/>
      </w:pPr>
      <w:rPr>
        <w:rFonts w:ascii="Symbol" w:hAnsi="Symbol"/>
      </w:rPr>
    </w:lvl>
    <w:lvl w:ilvl="4" w:tplc="9160BBFC">
      <w:start w:val="1"/>
      <w:numFmt w:val="bullet"/>
      <w:lvlText w:val=""/>
      <w:lvlJc w:val="left"/>
      <w:pPr>
        <w:ind w:left="1440" w:hanging="360"/>
      </w:pPr>
      <w:rPr>
        <w:rFonts w:ascii="Symbol" w:hAnsi="Symbol"/>
      </w:rPr>
    </w:lvl>
    <w:lvl w:ilvl="5" w:tplc="4BDEF11A">
      <w:start w:val="1"/>
      <w:numFmt w:val="bullet"/>
      <w:lvlText w:val=""/>
      <w:lvlJc w:val="left"/>
      <w:pPr>
        <w:ind w:left="1440" w:hanging="360"/>
      </w:pPr>
      <w:rPr>
        <w:rFonts w:ascii="Symbol" w:hAnsi="Symbol"/>
      </w:rPr>
    </w:lvl>
    <w:lvl w:ilvl="6" w:tplc="1046C4F0">
      <w:start w:val="1"/>
      <w:numFmt w:val="bullet"/>
      <w:lvlText w:val=""/>
      <w:lvlJc w:val="left"/>
      <w:pPr>
        <w:ind w:left="1440" w:hanging="360"/>
      </w:pPr>
      <w:rPr>
        <w:rFonts w:ascii="Symbol" w:hAnsi="Symbol"/>
      </w:rPr>
    </w:lvl>
    <w:lvl w:ilvl="7" w:tplc="AC360E5A">
      <w:start w:val="1"/>
      <w:numFmt w:val="bullet"/>
      <w:lvlText w:val=""/>
      <w:lvlJc w:val="left"/>
      <w:pPr>
        <w:ind w:left="1440" w:hanging="360"/>
      </w:pPr>
      <w:rPr>
        <w:rFonts w:ascii="Symbol" w:hAnsi="Symbol"/>
      </w:rPr>
    </w:lvl>
    <w:lvl w:ilvl="8" w:tplc="E7625B3E">
      <w:start w:val="1"/>
      <w:numFmt w:val="bullet"/>
      <w:lvlText w:val=""/>
      <w:lvlJc w:val="left"/>
      <w:pPr>
        <w:ind w:left="1440" w:hanging="360"/>
      </w:pPr>
      <w:rPr>
        <w:rFonts w:ascii="Symbol" w:hAnsi="Symbol"/>
      </w:rPr>
    </w:lvl>
  </w:abstractNum>
  <w:abstractNum w:abstractNumId="16" w15:restartNumberingAfterBreak="0">
    <w:nsid w:val="713A1452"/>
    <w:multiLevelType w:val="hybridMultilevel"/>
    <w:tmpl w:val="CDD881EC"/>
    <w:lvl w:ilvl="0" w:tplc="66C88C8C">
      <w:start w:val="1"/>
      <w:numFmt w:val="bullet"/>
      <w:lvlText w:val=""/>
      <w:lvlJc w:val="left"/>
      <w:pPr>
        <w:ind w:left="1440" w:hanging="360"/>
      </w:pPr>
      <w:rPr>
        <w:rFonts w:ascii="Symbol" w:hAnsi="Symbol"/>
      </w:rPr>
    </w:lvl>
    <w:lvl w:ilvl="1" w:tplc="C7E8B13A">
      <w:start w:val="1"/>
      <w:numFmt w:val="bullet"/>
      <w:lvlText w:val=""/>
      <w:lvlJc w:val="left"/>
      <w:pPr>
        <w:ind w:left="2160" w:hanging="360"/>
      </w:pPr>
      <w:rPr>
        <w:rFonts w:ascii="Symbol" w:hAnsi="Symbol"/>
      </w:rPr>
    </w:lvl>
    <w:lvl w:ilvl="2" w:tplc="08981DBC">
      <w:start w:val="1"/>
      <w:numFmt w:val="bullet"/>
      <w:lvlText w:val=""/>
      <w:lvlJc w:val="left"/>
      <w:pPr>
        <w:ind w:left="1440" w:hanging="360"/>
      </w:pPr>
      <w:rPr>
        <w:rFonts w:ascii="Symbol" w:hAnsi="Symbol"/>
      </w:rPr>
    </w:lvl>
    <w:lvl w:ilvl="3" w:tplc="1A908A40">
      <w:start w:val="1"/>
      <w:numFmt w:val="bullet"/>
      <w:lvlText w:val=""/>
      <w:lvlJc w:val="left"/>
      <w:pPr>
        <w:ind w:left="1440" w:hanging="360"/>
      </w:pPr>
      <w:rPr>
        <w:rFonts w:ascii="Symbol" w:hAnsi="Symbol"/>
      </w:rPr>
    </w:lvl>
    <w:lvl w:ilvl="4" w:tplc="3E3A89B8">
      <w:start w:val="1"/>
      <w:numFmt w:val="bullet"/>
      <w:lvlText w:val=""/>
      <w:lvlJc w:val="left"/>
      <w:pPr>
        <w:ind w:left="1440" w:hanging="360"/>
      </w:pPr>
      <w:rPr>
        <w:rFonts w:ascii="Symbol" w:hAnsi="Symbol"/>
      </w:rPr>
    </w:lvl>
    <w:lvl w:ilvl="5" w:tplc="E02C95BE">
      <w:start w:val="1"/>
      <w:numFmt w:val="bullet"/>
      <w:lvlText w:val=""/>
      <w:lvlJc w:val="left"/>
      <w:pPr>
        <w:ind w:left="1440" w:hanging="360"/>
      </w:pPr>
      <w:rPr>
        <w:rFonts w:ascii="Symbol" w:hAnsi="Symbol"/>
      </w:rPr>
    </w:lvl>
    <w:lvl w:ilvl="6" w:tplc="0452F85E">
      <w:start w:val="1"/>
      <w:numFmt w:val="bullet"/>
      <w:lvlText w:val=""/>
      <w:lvlJc w:val="left"/>
      <w:pPr>
        <w:ind w:left="1440" w:hanging="360"/>
      </w:pPr>
      <w:rPr>
        <w:rFonts w:ascii="Symbol" w:hAnsi="Symbol"/>
      </w:rPr>
    </w:lvl>
    <w:lvl w:ilvl="7" w:tplc="BB80B5C6">
      <w:start w:val="1"/>
      <w:numFmt w:val="bullet"/>
      <w:lvlText w:val=""/>
      <w:lvlJc w:val="left"/>
      <w:pPr>
        <w:ind w:left="1440" w:hanging="360"/>
      </w:pPr>
      <w:rPr>
        <w:rFonts w:ascii="Symbol" w:hAnsi="Symbol"/>
      </w:rPr>
    </w:lvl>
    <w:lvl w:ilvl="8" w:tplc="08F4D240">
      <w:start w:val="1"/>
      <w:numFmt w:val="bullet"/>
      <w:lvlText w:val=""/>
      <w:lvlJc w:val="left"/>
      <w:pPr>
        <w:ind w:left="1440" w:hanging="360"/>
      </w:pPr>
      <w:rPr>
        <w:rFonts w:ascii="Symbol" w:hAnsi="Symbol"/>
      </w:rPr>
    </w:lvl>
  </w:abstractNum>
  <w:abstractNum w:abstractNumId="17" w15:restartNumberingAfterBreak="0">
    <w:nsid w:val="726260AD"/>
    <w:multiLevelType w:val="hybridMultilevel"/>
    <w:tmpl w:val="5106D524"/>
    <w:lvl w:ilvl="0" w:tplc="466C18A0">
      <w:start w:val="1"/>
      <w:numFmt w:val="bullet"/>
      <w:lvlText w:val=""/>
      <w:lvlJc w:val="left"/>
      <w:pPr>
        <w:ind w:left="1440" w:hanging="360"/>
      </w:pPr>
      <w:rPr>
        <w:rFonts w:ascii="Symbol" w:hAnsi="Symbol"/>
      </w:rPr>
    </w:lvl>
    <w:lvl w:ilvl="1" w:tplc="088058D4">
      <w:start w:val="1"/>
      <w:numFmt w:val="bullet"/>
      <w:lvlText w:val=""/>
      <w:lvlJc w:val="left"/>
      <w:pPr>
        <w:ind w:left="1440" w:hanging="360"/>
      </w:pPr>
      <w:rPr>
        <w:rFonts w:ascii="Symbol" w:hAnsi="Symbol"/>
      </w:rPr>
    </w:lvl>
    <w:lvl w:ilvl="2" w:tplc="19900132">
      <w:start w:val="1"/>
      <w:numFmt w:val="bullet"/>
      <w:lvlText w:val=""/>
      <w:lvlJc w:val="left"/>
      <w:pPr>
        <w:ind w:left="1440" w:hanging="360"/>
      </w:pPr>
      <w:rPr>
        <w:rFonts w:ascii="Symbol" w:hAnsi="Symbol"/>
      </w:rPr>
    </w:lvl>
    <w:lvl w:ilvl="3" w:tplc="22E88544">
      <w:start w:val="1"/>
      <w:numFmt w:val="bullet"/>
      <w:lvlText w:val=""/>
      <w:lvlJc w:val="left"/>
      <w:pPr>
        <w:ind w:left="1440" w:hanging="360"/>
      </w:pPr>
      <w:rPr>
        <w:rFonts w:ascii="Symbol" w:hAnsi="Symbol"/>
      </w:rPr>
    </w:lvl>
    <w:lvl w:ilvl="4" w:tplc="01E4FC54">
      <w:start w:val="1"/>
      <w:numFmt w:val="bullet"/>
      <w:lvlText w:val=""/>
      <w:lvlJc w:val="left"/>
      <w:pPr>
        <w:ind w:left="1440" w:hanging="360"/>
      </w:pPr>
      <w:rPr>
        <w:rFonts w:ascii="Symbol" w:hAnsi="Symbol"/>
      </w:rPr>
    </w:lvl>
    <w:lvl w:ilvl="5" w:tplc="C4A4601E">
      <w:start w:val="1"/>
      <w:numFmt w:val="bullet"/>
      <w:lvlText w:val=""/>
      <w:lvlJc w:val="left"/>
      <w:pPr>
        <w:ind w:left="1440" w:hanging="360"/>
      </w:pPr>
      <w:rPr>
        <w:rFonts w:ascii="Symbol" w:hAnsi="Symbol"/>
      </w:rPr>
    </w:lvl>
    <w:lvl w:ilvl="6" w:tplc="D6B467C2">
      <w:start w:val="1"/>
      <w:numFmt w:val="bullet"/>
      <w:lvlText w:val=""/>
      <w:lvlJc w:val="left"/>
      <w:pPr>
        <w:ind w:left="1440" w:hanging="360"/>
      </w:pPr>
      <w:rPr>
        <w:rFonts w:ascii="Symbol" w:hAnsi="Symbol"/>
      </w:rPr>
    </w:lvl>
    <w:lvl w:ilvl="7" w:tplc="F6129678">
      <w:start w:val="1"/>
      <w:numFmt w:val="bullet"/>
      <w:lvlText w:val=""/>
      <w:lvlJc w:val="left"/>
      <w:pPr>
        <w:ind w:left="1440" w:hanging="360"/>
      </w:pPr>
      <w:rPr>
        <w:rFonts w:ascii="Symbol" w:hAnsi="Symbol"/>
      </w:rPr>
    </w:lvl>
    <w:lvl w:ilvl="8" w:tplc="05B0809A">
      <w:start w:val="1"/>
      <w:numFmt w:val="bullet"/>
      <w:lvlText w:val=""/>
      <w:lvlJc w:val="left"/>
      <w:pPr>
        <w:ind w:left="1440" w:hanging="360"/>
      </w:pPr>
      <w:rPr>
        <w:rFonts w:ascii="Symbol" w:hAnsi="Symbol"/>
      </w:rPr>
    </w:lvl>
  </w:abstractNum>
  <w:abstractNum w:abstractNumId="18" w15:restartNumberingAfterBreak="0">
    <w:nsid w:val="78650C1D"/>
    <w:multiLevelType w:val="hybridMultilevel"/>
    <w:tmpl w:val="173CC1D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4B0AF3"/>
    <w:multiLevelType w:val="hybridMultilevel"/>
    <w:tmpl w:val="12EC5A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487CFE"/>
    <w:multiLevelType w:val="hybridMultilevel"/>
    <w:tmpl w:val="D7B28454"/>
    <w:lvl w:ilvl="0" w:tplc="153C1B30">
      <w:start w:val="1"/>
      <w:numFmt w:val="bullet"/>
      <w:lvlText w:val=""/>
      <w:lvlJc w:val="left"/>
      <w:pPr>
        <w:ind w:left="1440" w:hanging="360"/>
      </w:pPr>
      <w:rPr>
        <w:rFonts w:ascii="Symbol" w:hAnsi="Symbol"/>
      </w:rPr>
    </w:lvl>
    <w:lvl w:ilvl="1" w:tplc="85464C66">
      <w:start w:val="1"/>
      <w:numFmt w:val="bullet"/>
      <w:lvlText w:val=""/>
      <w:lvlJc w:val="left"/>
      <w:pPr>
        <w:ind w:left="1440" w:hanging="360"/>
      </w:pPr>
      <w:rPr>
        <w:rFonts w:ascii="Symbol" w:hAnsi="Symbol"/>
      </w:rPr>
    </w:lvl>
    <w:lvl w:ilvl="2" w:tplc="3B049230">
      <w:start w:val="1"/>
      <w:numFmt w:val="bullet"/>
      <w:lvlText w:val=""/>
      <w:lvlJc w:val="left"/>
      <w:pPr>
        <w:ind w:left="1440" w:hanging="360"/>
      </w:pPr>
      <w:rPr>
        <w:rFonts w:ascii="Symbol" w:hAnsi="Symbol"/>
      </w:rPr>
    </w:lvl>
    <w:lvl w:ilvl="3" w:tplc="B478184A">
      <w:start w:val="1"/>
      <w:numFmt w:val="bullet"/>
      <w:lvlText w:val=""/>
      <w:lvlJc w:val="left"/>
      <w:pPr>
        <w:ind w:left="1440" w:hanging="360"/>
      </w:pPr>
      <w:rPr>
        <w:rFonts w:ascii="Symbol" w:hAnsi="Symbol"/>
      </w:rPr>
    </w:lvl>
    <w:lvl w:ilvl="4" w:tplc="30F4844C">
      <w:start w:val="1"/>
      <w:numFmt w:val="bullet"/>
      <w:lvlText w:val=""/>
      <w:lvlJc w:val="left"/>
      <w:pPr>
        <w:ind w:left="1440" w:hanging="360"/>
      </w:pPr>
      <w:rPr>
        <w:rFonts w:ascii="Symbol" w:hAnsi="Symbol"/>
      </w:rPr>
    </w:lvl>
    <w:lvl w:ilvl="5" w:tplc="EB0835F0">
      <w:start w:val="1"/>
      <w:numFmt w:val="bullet"/>
      <w:lvlText w:val=""/>
      <w:lvlJc w:val="left"/>
      <w:pPr>
        <w:ind w:left="1440" w:hanging="360"/>
      </w:pPr>
      <w:rPr>
        <w:rFonts w:ascii="Symbol" w:hAnsi="Symbol"/>
      </w:rPr>
    </w:lvl>
    <w:lvl w:ilvl="6" w:tplc="C4A8D5AE">
      <w:start w:val="1"/>
      <w:numFmt w:val="bullet"/>
      <w:lvlText w:val=""/>
      <w:lvlJc w:val="left"/>
      <w:pPr>
        <w:ind w:left="1440" w:hanging="360"/>
      </w:pPr>
      <w:rPr>
        <w:rFonts w:ascii="Symbol" w:hAnsi="Symbol"/>
      </w:rPr>
    </w:lvl>
    <w:lvl w:ilvl="7" w:tplc="3684B06A">
      <w:start w:val="1"/>
      <w:numFmt w:val="bullet"/>
      <w:lvlText w:val=""/>
      <w:lvlJc w:val="left"/>
      <w:pPr>
        <w:ind w:left="1440" w:hanging="360"/>
      </w:pPr>
      <w:rPr>
        <w:rFonts w:ascii="Symbol" w:hAnsi="Symbol"/>
      </w:rPr>
    </w:lvl>
    <w:lvl w:ilvl="8" w:tplc="3DC8B592">
      <w:start w:val="1"/>
      <w:numFmt w:val="bullet"/>
      <w:lvlText w:val=""/>
      <w:lvlJc w:val="left"/>
      <w:pPr>
        <w:ind w:left="1440" w:hanging="360"/>
      </w:pPr>
      <w:rPr>
        <w:rFonts w:ascii="Symbol" w:hAnsi="Symbol"/>
      </w:rPr>
    </w:lvl>
  </w:abstractNum>
  <w:num w:numId="1" w16cid:durableId="701245965">
    <w:abstractNumId w:val="4"/>
  </w:num>
  <w:num w:numId="2" w16cid:durableId="1250848357">
    <w:abstractNumId w:val="2"/>
  </w:num>
  <w:num w:numId="3" w16cid:durableId="680203149">
    <w:abstractNumId w:val="9"/>
  </w:num>
  <w:num w:numId="4" w16cid:durableId="1546982392">
    <w:abstractNumId w:val="10"/>
  </w:num>
  <w:num w:numId="5" w16cid:durableId="1700936286">
    <w:abstractNumId w:val="19"/>
  </w:num>
  <w:num w:numId="6" w16cid:durableId="1066806086">
    <w:abstractNumId w:val="8"/>
  </w:num>
  <w:num w:numId="7" w16cid:durableId="2048211390">
    <w:abstractNumId w:val="6"/>
  </w:num>
  <w:num w:numId="8" w16cid:durableId="2116290727">
    <w:abstractNumId w:val="14"/>
  </w:num>
  <w:num w:numId="9" w16cid:durableId="1590694682">
    <w:abstractNumId w:val="15"/>
  </w:num>
  <w:num w:numId="10" w16cid:durableId="1992319956">
    <w:abstractNumId w:val="12"/>
  </w:num>
  <w:num w:numId="11" w16cid:durableId="314917978">
    <w:abstractNumId w:val="3"/>
  </w:num>
  <w:num w:numId="12" w16cid:durableId="201139739">
    <w:abstractNumId w:val="18"/>
  </w:num>
  <w:num w:numId="13" w16cid:durableId="150417275">
    <w:abstractNumId w:val="20"/>
  </w:num>
  <w:num w:numId="14" w16cid:durableId="195630450">
    <w:abstractNumId w:val="17"/>
  </w:num>
  <w:num w:numId="15" w16cid:durableId="2052607623">
    <w:abstractNumId w:val="13"/>
  </w:num>
  <w:num w:numId="16" w16cid:durableId="906454172">
    <w:abstractNumId w:val="16"/>
  </w:num>
  <w:num w:numId="17" w16cid:durableId="421072696">
    <w:abstractNumId w:val="0"/>
  </w:num>
  <w:num w:numId="18" w16cid:durableId="395010986">
    <w:abstractNumId w:val="7"/>
  </w:num>
  <w:num w:numId="19" w16cid:durableId="1203250968">
    <w:abstractNumId w:val="1"/>
  </w:num>
  <w:num w:numId="20" w16cid:durableId="2146467456">
    <w:abstractNumId w:val="5"/>
  </w:num>
  <w:num w:numId="21" w16cid:durableId="125123148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ctiveWritingStyle w:appName="MSWord" w:lang="en-GB" w:vendorID="64" w:dllVersion="0" w:nlCheck="1" w:checkStyle="0"/>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8A4"/>
    <w:rsid w:val="000019DC"/>
    <w:rsid w:val="00001C71"/>
    <w:rsid w:val="0000295E"/>
    <w:rsid w:val="00002BF0"/>
    <w:rsid w:val="000030CE"/>
    <w:rsid w:val="00003993"/>
    <w:rsid w:val="00003A6B"/>
    <w:rsid w:val="00004FD4"/>
    <w:rsid w:val="00006AE2"/>
    <w:rsid w:val="000106E2"/>
    <w:rsid w:val="00010ABC"/>
    <w:rsid w:val="00010D49"/>
    <w:rsid w:val="00011677"/>
    <w:rsid w:val="000119A4"/>
    <w:rsid w:val="00012EF3"/>
    <w:rsid w:val="0001339E"/>
    <w:rsid w:val="00013F8C"/>
    <w:rsid w:val="00014BC0"/>
    <w:rsid w:val="00014CB5"/>
    <w:rsid w:val="000151B2"/>
    <w:rsid w:val="00015E58"/>
    <w:rsid w:val="000161CC"/>
    <w:rsid w:val="00016ECB"/>
    <w:rsid w:val="000174A1"/>
    <w:rsid w:val="00017B92"/>
    <w:rsid w:val="00022778"/>
    <w:rsid w:val="0002363D"/>
    <w:rsid w:val="000239CE"/>
    <w:rsid w:val="00023AE1"/>
    <w:rsid w:val="00023C28"/>
    <w:rsid w:val="00025110"/>
    <w:rsid w:val="00025A87"/>
    <w:rsid w:val="00027563"/>
    <w:rsid w:val="00030264"/>
    <w:rsid w:val="000307C3"/>
    <w:rsid w:val="0003260C"/>
    <w:rsid w:val="0003365A"/>
    <w:rsid w:val="0003573E"/>
    <w:rsid w:val="00036B00"/>
    <w:rsid w:val="00037B48"/>
    <w:rsid w:val="00041DB1"/>
    <w:rsid w:val="0004210F"/>
    <w:rsid w:val="000427FA"/>
    <w:rsid w:val="00043042"/>
    <w:rsid w:val="0004352D"/>
    <w:rsid w:val="00043AA7"/>
    <w:rsid w:val="0004471A"/>
    <w:rsid w:val="000451B4"/>
    <w:rsid w:val="00046B5C"/>
    <w:rsid w:val="0004706D"/>
    <w:rsid w:val="00050004"/>
    <w:rsid w:val="00050E9F"/>
    <w:rsid w:val="00053762"/>
    <w:rsid w:val="000561FA"/>
    <w:rsid w:val="00056A05"/>
    <w:rsid w:val="0005712B"/>
    <w:rsid w:val="00057A0E"/>
    <w:rsid w:val="00057BCD"/>
    <w:rsid w:val="00060438"/>
    <w:rsid w:val="00060842"/>
    <w:rsid w:val="00061F0D"/>
    <w:rsid w:val="00062426"/>
    <w:rsid w:val="00063383"/>
    <w:rsid w:val="00064557"/>
    <w:rsid w:val="000648FB"/>
    <w:rsid w:val="000649E6"/>
    <w:rsid w:val="00064C7B"/>
    <w:rsid w:val="0006513C"/>
    <w:rsid w:val="00065C18"/>
    <w:rsid w:val="00066148"/>
    <w:rsid w:val="00066616"/>
    <w:rsid w:val="00066E6B"/>
    <w:rsid w:val="0007008C"/>
    <w:rsid w:val="00070265"/>
    <w:rsid w:val="00072495"/>
    <w:rsid w:val="000724E9"/>
    <w:rsid w:val="00073ABB"/>
    <w:rsid w:val="00074D7A"/>
    <w:rsid w:val="00076E3F"/>
    <w:rsid w:val="00076E57"/>
    <w:rsid w:val="00077015"/>
    <w:rsid w:val="0007790D"/>
    <w:rsid w:val="00077EB8"/>
    <w:rsid w:val="00084673"/>
    <w:rsid w:val="00084CBE"/>
    <w:rsid w:val="00084EE7"/>
    <w:rsid w:val="00085DCD"/>
    <w:rsid w:val="000866F7"/>
    <w:rsid w:val="00086994"/>
    <w:rsid w:val="00090800"/>
    <w:rsid w:val="000911EC"/>
    <w:rsid w:val="00092343"/>
    <w:rsid w:val="00092446"/>
    <w:rsid w:val="00093A84"/>
    <w:rsid w:val="00093D61"/>
    <w:rsid w:val="00095E0E"/>
    <w:rsid w:val="00095E8D"/>
    <w:rsid w:val="0009616B"/>
    <w:rsid w:val="00096341"/>
    <w:rsid w:val="000965C3"/>
    <w:rsid w:val="00096FD1"/>
    <w:rsid w:val="00097032"/>
    <w:rsid w:val="00097BC9"/>
    <w:rsid w:val="000A0760"/>
    <w:rsid w:val="000A1E7F"/>
    <w:rsid w:val="000A2FC4"/>
    <w:rsid w:val="000A3341"/>
    <w:rsid w:val="000A47AF"/>
    <w:rsid w:val="000A5BA3"/>
    <w:rsid w:val="000A5FD5"/>
    <w:rsid w:val="000B017B"/>
    <w:rsid w:val="000B0B31"/>
    <w:rsid w:val="000B0B70"/>
    <w:rsid w:val="000B1D6B"/>
    <w:rsid w:val="000B2A44"/>
    <w:rsid w:val="000B2DEE"/>
    <w:rsid w:val="000B380B"/>
    <w:rsid w:val="000B439B"/>
    <w:rsid w:val="000B6EF8"/>
    <w:rsid w:val="000C05B4"/>
    <w:rsid w:val="000C07CE"/>
    <w:rsid w:val="000C0A12"/>
    <w:rsid w:val="000C191D"/>
    <w:rsid w:val="000C31DD"/>
    <w:rsid w:val="000C41BB"/>
    <w:rsid w:val="000C45FF"/>
    <w:rsid w:val="000C5819"/>
    <w:rsid w:val="000C6DE8"/>
    <w:rsid w:val="000D0351"/>
    <w:rsid w:val="000D2326"/>
    <w:rsid w:val="000D3D92"/>
    <w:rsid w:val="000D54EF"/>
    <w:rsid w:val="000D591D"/>
    <w:rsid w:val="000D623C"/>
    <w:rsid w:val="000D6DC3"/>
    <w:rsid w:val="000D7291"/>
    <w:rsid w:val="000D7DB9"/>
    <w:rsid w:val="000E02DB"/>
    <w:rsid w:val="000E0465"/>
    <w:rsid w:val="000E0A78"/>
    <w:rsid w:val="000E0B80"/>
    <w:rsid w:val="000E3C99"/>
    <w:rsid w:val="000E692E"/>
    <w:rsid w:val="000E7FAC"/>
    <w:rsid w:val="000F06C2"/>
    <w:rsid w:val="000F1D7B"/>
    <w:rsid w:val="000F2733"/>
    <w:rsid w:val="000F2AED"/>
    <w:rsid w:val="000F2E32"/>
    <w:rsid w:val="000F3B0A"/>
    <w:rsid w:val="000F3C73"/>
    <w:rsid w:val="000F4197"/>
    <w:rsid w:val="000F509B"/>
    <w:rsid w:val="000F7215"/>
    <w:rsid w:val="0010057D"/>
    <w:rsid w:val="00100C2C"/>
    <w:rsid w:val="00104D2E"/>
    <w:rsid w:val="001050F2"/>
    <w:rsid w:val="00105CEA"/>
    <w:rsid w:val="001117AA"/>
    <w:rsid w:val="00116A0D"/>
    <w:rsid w:val="0011746D"/>
    <w:rsid w:val="001174B1"/>
    <w:rsid w:val="00117854"/>
    <w:rsid w:val="00117B4B"/>
    <w:rsid w:val="00117DD3"/>
    <w:rsid w:val="00120583"/>
    <w:rsid w:val="00121543"/>
    <w:rsid w:val="001215FF"/>
    <w:rsid w:val="001230B1"/>
    <w:rsid w:val="00123756"/>
    <w:rsid w:val="00124BA7"/>
    <w:rsid w:val="00124C07"/>
    <w:rsid w:val="00125401"/>
    <w:rsid w:val="001256FE"/>
    <w:rsid w:val="001301CD"/>
    <w:rsid w:val="00131544"/>
    <w:rsid w:val="001327C9"/>
    <w:rsid w:val="00133E2A"/>
    <w:rsid w:val="00134058"/>
    <w:rsid w:val="0013410B"/>
    <w:rsid w:val="001348CB"/>
    <w:rsid w:val="00134A24"/>
    <w:rsid w:val="00134CDF"/>
    <w:rsid w:val="001354FA"/>
    <w:rsid w:val="0013654A"/>
    <w:rsid w:val="00137103"/>
    <w:rsid w:val="00141F87"/>
    <w:rsid w:val="0014250E"/>
    <w:rsid w:val="0014316C"/>
    <w:rsid w:val="00143BC8"/>
    <w:rsid w:val="00143DF4"/>
    <w:rsid w:val="00145E9A"/>
    <w:rsid w:val="00146B5D"/>
    <w:rsid w:val="001473F4"/>
    <w:rsid w:val="00147517"/>
    <w:rsid w:val="0015028E"/>
    <w:rsid w:val="00150E6D"/>
    <w:rsid w:val="0015162C"/>
    <w:rsid w:val="0015196D"/>
    <w:rsid w:val="0015231D"/>
    <w:rsid w:val="001532C1"/>
    <w:rsid w:val="00154738"/>
    <w:rsid w:val="001547A0"/>
    <w:rsid w:val="00154AEB"/>
    <w:rsid w:val="0015506A"/>
    <w:rsid w:val="00157534"/>
    <w:rsid w:val="00157BCC"/>
    <w:rsid w:val="001610CA"/>
    <w:rsid w:val="00161827"/>
    <w:rsid w:val="00161D93"/>
    <w:rsid w:val="0016243D"/>
    <w:rsid w:val="0016400D"/>
    <w:rsid w:val="00164101"/>
    <w:rsid w:val="00164FF3"/>
    <w:rsid w:val="0016646E"/>
    <w:rsid w:val="001668DE"/>
    <w:rsid w:val="00167A1B"/>
    <w:rsid w:val="00170142"/>
    <w:rsid w:val="00170937"/>
    <w:rsid w:val="00170F50"/>
    <w:rsid w:val="00172B12"/>
    <w:rsid w:val="00172D95"/>
    <w:rsid w:val="00173DDE"/>
    <w:rsid w:val="00173E18"/>
    <w:rsid w:val="00175EAD"/>
    <w:rsid w:val="001767D7"/>
    <w:rsid w:val="0017752E"/>
    <w:rsid w:val="001800DC"/>
    <w:rsid w:val="00181253"/>
    <w:rsid w:val="00182314"/>
    <w:rsid w:val="001824CB"/>
    <w:rsid w:val="00182640"/>
    <w:rsid w:val="001839A0"/>
    <w:rsid w:val="00185368"/>
    <w:rsid w:val="001854BB"/>
    <w:rsid w:val="00185C82"/>
    <w:rsid w:val="00185F85"/>
    <w:rsid w:val="00186D56"/>
    <w:rsid w:val="0018732B"/>
    <w:rsid w:val="00187926"/>
    <w:rsid w:val="001911EA"/>
    <w:rsid w:val="001932BA"/>
    <w:rsid w:val="00193D52"/>
    <w:rsid w:val="001945E5"/>
    <w:rsid w:val="001964D8"/>
    <w:rsid w:val="001967B6"/>
    <w:rsid w:val="001969E8"/>
    <w:rsid w:val="00197C49"/>
    <w:rsid w:val="001A065E"/>
    <w:rsid w:val="001A2680"/>
    <w:rsid w:val="001A2999"/>
    <w:rsid w:val="001A2EFA"/>
    <w:rsid w:val="001A45FE"/>
    <w:rsid w:val="001B133A"/>
    <w:rsid w:val="001B1896"/>
    <w:rsid w:val="001B22B6"/>
    <w:rsid w:val="001B320A"/>
    <w:rsid w:val="001B48D0"/>
    <w:rsid w:val="001B5E43"/>
    <w:rsid w:val="001B676E"/>
    <w:rsid w:val="001B69C9"/>
    <w:rsid w:val="001B6E84"/>
    <w:rsid w:val="001C09D1"/>
    <w:rsid w:val="001C47C0"/>
    <w:rsid w:val="001C5C1C"/>
    <w:rsid w:val="001C6307"/>
    <w:rsid w:val="001C67D8"/>
    <w:rsid w:val="001D00CB"/>
    <w:rsid w:val="001D39FB"/>
    <w:rsid w:val="001D4CAC"/>
    <w:rsid w:val="001D6185"/>
    <w:rsid w:val="001E2FB2"/>
    <w:rsid w:val="001E3F1C"/>
    <w:rsid w:val="001E415A"/>
    <w:rsid w:val="001E460C"/>
    <w:rsid w:val="001E6C31"/>
    <w:rsid w:val="001E75F8"/>
    <w:rsid w:val="001E7D78"/>
    <w:rsid w:val="001F0EB7"/>
    <w:rsid w:val="001F3881"/>
    <w:rsid w:val="001F5951"/>
    <w:rsid w:val="001F59C8"/>
    <w:rsid w:val="001F796C"/>
    <w:rsid w:val="00200863"/>
    <w:rsid w:val="0020210E"/>
    <w:rsid w:val="00202EF4"/>
    <w:rsid w:val="00203223"/>
    <w:rsid w:val="00203557"/>
    <w:rsid w:val="00203C63"/>
    <w:rsid w:val="00203F9F"/>
    <w:rsid w:val="0020440B"/>
    <w:rsid w:val="0020465D"/>
    <w:rsid w:val="002058D5"/>
    <w:rsid w:val="00205C45"/>
    <w:rsid w:val="0020635E"/>
    <w:rsid w:val="00207885"/>
    <w:rsid w:val="00211237"/>
    <w:rsid w:val="00213366"/>
    <w:rsid w:val="002142A5"/>
    <w:rsid w:val="00214A0D"/>
    <w:rsid w:val="00215172"/>
    <w:rsid w:val="00215234"/>
    <w:rsid w:val="00215C7E"/>
    <w:rsid w:val="002165BB"/>
    <w:rsid w:val="002173FE"/>
    <w:rsid w:val="00220781"/>
    <w:rsid w:val="00221B58"/>
    <w:rsid w:val="00222E68"/>
    <w:rsid w:val="00222FEE"/>
    <w:rsid w:val="002236BB"/>
    <w:rsid w:val="002271BD"/>
    <w:rsid w:val="00227429"/>
    <w:rsid w:val="00227482"/>
    <w:rsid w:val="002276AA"/>
    <w:rsid w:val="002306B6"/>
    <w:rsid w:val="00230B8E"/>
    <w:rsid w:val="00231746"/>
    <w:rsid w:val="0023214C"/>
    <w:rsid w:val="0023256C"/>
    <w:rsid w:val="0023373C"/>
    <w:rsid w:val="00234DDF"/>
    <w:rsid w:val="002361CF"/>
    <w:rsid w:val="0023765A"/>
    <w:rsid w:val="00240A23"/>
    <w:rsid w:val="00241184"/>
    <w:rsid w:val="00241F67"/>
    <w:rsid w:val="00242F68"/>
    <w:rsid w:val="00244A36"/>
    <w:rsid w:val="00245A33"/>
    <w:rsid w:val="00245F25"/>
    <w:rsid w:val="00247620"/>
    <w:rsid w:val="00247EE0"/>
    <w:rsid w:val="0025046B"/>
    <w:rsid w:val="00250A25"/>
    <w:rsid w:val="00251123"/>
    <w:rsid w:val="00251947"/>
    <w:rsid w:val="00252D86"/>
    <w:rsid w:val="00253D2A"/>
    <w:rsid w:val="00253F55"/>
    <w:rsid w:val="00254699"/>
    <w:rsid w:val="002560C1"/>
    <w:rsid w:val="00256502"/>
    <w:rsid w:val="002568F3"/>
    <w:rsid w:val="002614E5"/>
    <w:rsid w:val="00261DD1"/>
    <w:rsid w:val="00262579"/>
    <w:rsid w:val="00263E9D"/>
    <w:rsid w:val="00265246"/>
    <w:rsid w:val="0026680C"/>
    <w:rsid w:val="00267139"/>
    <w:rsid w:val="00267638"/>
    <w:rsid w:val="002706BE"/>
    <w:rsid w:val="00270BD0"/>
    <w:rsid w:val="00270E94"/>
    <w:rsid w:val="00271FF8"/>
    <w:rsid w:val="00272E68"/>
    <w:rsid w:val="00274B8F"/>
    <w:rsid w:val="00276080"/>
    <w:rsid w:val="002766E3"/>
    <w:rsid w:val="00277B44"/>
    <w:rsid w:val="00280316"/>
    <w:rsid w:val="002815DC"/>
    <w:rsid w:val="00281805"/>
    <w:rsid w:val="00283042"/>
    <w:rsid w:val="00284C36"/>
    <w:rsid w:val="00286C5C"/>
    <w:rsid w:val="002902A5"/>
    <w:rsid w:val="00290EDE"/>
    <w:rsid w:val="002913BC"/>
    <w:rsid w:val="002940A2"/>
    <w:rsid w:val="00294938"/>
    <w:rsid w:val="00294A1E"/>
    <w:rsid w:val="00294BA6"/>
    <w:rsid w:val="0029531B"/>
    <w:rsid w:val="00297897"/>
    <w:rsid w:val="002A049D"/>
    <w:rsid w:val="002A4719"/>
    <w:rsid w:val="002A501D"/>
    <w:rsid w:val="002A5649"/>
    <w:rsid w:val="002A5D89"/>
    <w:rsid w:val="002A658A"/>
    <w:rsid w:val="002A6950"/>
    <w:rsid w:val="002B177A"/>
    <w:rsid w:val="002B1AE6"/>
    <w:rsid w:val="002B219E"/>
    <w:rsid w:val="002B4B18"/>
    <w:rsid w:val="002B7235"/>
    <w:rsid w:val="002B7965"/>
    <w:rsid w:val="002C0165"/>
    <w:rsid w:val="002C0EFE"/>
    <w:rsid w:val="002C1016"/>
    <w:rsid w:val="002C10D5"/>
    <w:rsid w:val="002C11B8"/>
    <w:rsid w:val="002C1E77"/>
    <w:rsid w:val="002C2234"/>
    <w:rsid w:val="002C32F2"/>
    <w:rsid w:val="002C3D7C"/>
    <w:rsid w:val="002C4044"/>
    <w:rsid w:val="002C4F6E"/>
    <w:rsid w:val="002C6E64"/>
    <w:rsid w:val="002D051B"/>
    <w:rsid w:val="002D0531"/>
    <w:rsid w:val="002D081F"/>
    <w:rsid w:val="002D0C9C"/>
    <w:rsid w:val="002D0EBA"/>
    <w:rsid w:val="002D16D8"/>
    <w:rsid w:val="002D17C5"/>
    <w:rsid w:val="002D2671"/>
    <w:rsid w:val="002D5CBE"/>
    <w:rsid w:val="002D5DED"/>
    <w:rsid w:val="002D652B"/>
    <w:rsid w:val="002E088C"/>
    <w:rsid w:val="002E1BCA"/>
    <w:rsid w:val="002E21A1"/>
    <w:rsid w:val="002E3BA5"/>
    <w:rsid w:val="002E45BB"/>
    <w:rsid w:val="002E4DA7"/>
    <w:rsid w:val="002E573D"/>
    <w:rsid w:val="002E74C6"/>
    <w:rsid w:val="002E77D3"/>
    <w:rsid w:val="002E7B0B"/>
    <w:rsid w:val="002F01EF"/>
    <w:rsid w:val="002F11F4"/>
    <w:rsid w:val="002F215C"/>
    <w:rsid w:val="002F2955"/>
    <w:rsid w:val="002F2F31"/>
    <w:rsid w:val="002F2FD1"/>
    <w:rsid w:val="002F37C8"/>
    <w:rsid w:val="002F6903"/>
    <w:rsid w:val="002F6D14"/>
    <w:rsid w:val="002F7A83"/>
    <w:rsid w:val="00305AE6"/>
    <w:rsid w:val="00306671"/>
    <w:rsid w:val="003110A4"/>
    <w:rsid w:val="003111E3"/>
    <w:rsid w:val="00313519"/>
    <w:rsid w:val="003152F0"/>
    <w:rsid w:val="003155E7"/>
    <w:rsid w:val="003160BA"/>
    <w:rsid w:val="0031666B"/>
    <w:rsid w:val="00316717"/>
    <w:rsid w:val="00316F9E"/>
    <w:rsid w:val="003170BC"/>
    <w:rsid w:val="003175F9"/>
    <w:rsid w:val="00320447"/>
    <w:rsid w:val="0032072D"/>
    <w:rsid w:val="003214E4"/>
    <w:rsid w:val="00323713"/>
    <w:rsid w:val="0032376F"/>
    <w:rsid w:val="0032383B"/>
    <w:rsid w:val="0032400A"/>
    <w:rsid w:val="00324BF7"/>
    <w:rsid w:val="00325555"/>
    <w:rsid w:val="0032635C"/>
    <w:rsid w:val="0032666C"/>
    <w:rsid w:val="00332A3A"/>
    <w:rsid w:val="00332C8C"/>
    <w:rsid w:val="003331C5"/>
    <w:rsid w:val="00333B36"/>
    <w:rsid w:val="00333E5D"/>
    <w:rsid w:val="00333ED4"/>
    <w:rsid w:val="00334368"/>
    <w:rsid w:val="00335AA2"/>
    <w:rsid w:val="00335C5A"/>
    <w:rsid w:val="00337368"/>
    <w:rsid w:val="003405EA"/>
    <w:rsid w:val="00342712"/>
    <w:rsid w:val="003428EF"/>
    <w:rsid w:val="003435DF"/>
    <w:rsid w:val="00345E49"/>
    <w:rsid w:val="00346777"/>
    <w:rsid w:val="00347670"/>
    <w:rsid w:val="00351DCF"/>
    <w:rsid w:val="0035225F"/>
    <w:rsid w:val="00352601"/>
    <w:rsid w:val="00352ADA"/>
    <w:rsid w:val="003544D0"/>
    <w:rsid w:val="00354617"/>
    <w:rsid w:val="003550A7"/>
    <w:rsid w:val="00356AFD"/>
    <w:rsid w:val="003609D1"/>
    <w:rsid w:val="00360CC0"/>
    <w:rsid w:val="00362F67"/>
    <w:rsid w:val="00363087"/>
    <w:rsid w:val="0036424E"/>
    <w:rsid w:val="00364D81"/>
    <w:rsid w:val="003666FC"/>
    <w:rsid w:val="00367544"/>
    <w:rsid w:val="003705CB"/>
    <w:rsid w:val="00370B2A"/>
    <w:rsid w:val="00370DDF"/>
    <w:rsid w:val="0037143C"/>
    <w:rsid w:val="003714CC"/>
    <w:rsid w:val="003717DC"/>
    <w:rsid w:val="00372B8A"/>
    <w:rsid w:val="00373F7C"/>
    <w:rsid w:val="0037480F"/>
    <w:rsid w:val="00374CB7"/>
    <w:rsid w:val="003762AB"/>
    <w:rsid w:val="00376B37"/>
    <w:rsid w:val="0038057F"/>
    <w:rsid w:val="00382341"/>
    <w:rsid w:val="00386070"/>
    <w:rsid w:val="00386B4A"/>
    <w:rsid w:val="00390557"/>
    <w:rsid w:val="0039232B"/>
    <w:rsid w:val="003925AF"/>
    <w:rsid w:val="00392E73"/>
    <w:rsid w:val="0039578C"/>
    <w:rsid w:val="00395853"/>
    <w:rsid w:val="003960B0"/>
    <w:rsid w:val="00397387"/>
    <w:rsid w:val="00397A18"/>
    <w:rsid w:val="003A16AC"/>
    <w:rsid w:val="003A4379"/>
    <w:rsid w:val="003A5512"/>
    <w:rsid w:val="003B0622"/>
    <w:rsid w:val="003B063D"/>
    <w:rsid w:val="003B0A7C"/>
    <w:rsid w:val="003B0B59"/>
    <w:rsid w:val="003B3521"/>
    <w:rsid w:val="003B3A93"/>
    <w:rsid w:val="003B54DB"/>
    <w:rsid w:val="003B5657"/>
    <w:rsid w:val="003B56CC"/>
    <w:rsid w:val="003B66E1"/>
    <w:rsid w:val="003B6984"/>
    <w:rsid w:val="003B7E3C"/>
    <w:rsid w:val="003C0365"/>
    <w:rsid w:val="003C1B3A"/>
    <w:rsid w:val="003C2880"/>
    <w:rsid w:val="003C4F13"/>
    <w:rsid w:val="003C574D"/>
    <w:rsid w:val="003C60FF"/>
    <w:rsid w:val="003C68E4"/>
    <w:rsid w:val="003C6F83"/>
    <w:rsid w:val="003D1329"/>
    <w:rsid w:val="003D2364"/>
    <w:rsid w:val="003D2994"/>
    <w:rsid w:val="003D2F2C"/>
    <w:rsid w:val="003D3769"/>
    <w:rsid w:val="003D4C99"/>
    <w:rsid w:val="003D5224"/>
    <w:rsid w:val="003D5B36"/>
    <w:rsid w:val="003D6E34"/>
    <w:rsid w:val="003E0C9C"/>
    <w:rsid w:val="003E0F06"/>
    <w:rsid w:val="003E1782"/>
    <w:rsid w:val="003E3875"/>
    <w:rsid w:val="003E3F53"/>
    <w:rsid w:val="003E42B2"/>
    <w:rsid w:val="003E511B"/>
    <w:rsid w:val="003E5EA5"/>
    <w:rsid w:val="003E62FA"/>
    <w:rsid w:val="003E6B47"/>
    <w:rsid w:val="003E7A9E"/>
    <w:rsid w:val="003E7D2E"/>
    <w:rsid w:val="003F0406"/>
    <w:rsid w:val="003F27FC"/>
    <w:rsid w:val="003F3267"/>
    <w:rsid w:val="003F3533"/>
    <w:rsid w:val="003F4D47"/>
    <w:rsid w:val="003F513C"/>
    <w:rsid w:val="003F6BBE"/>
    <w:rsid w:val="003F7820"/>
    <w:rsid w:val="0040121B"/>
    <w:rsid w:val="004016CE"/>
    <w:rsid w:val="0040188C"/>
    <w:rsid w:val="004026E5"/>
    <w:rsid w:val="00402D03"/>
    <w:rsid w:val="00402DAD"/>
    <w:rsid w:val="0040592B"/>
    <w:rsid w:val="00406A04"/>
    <w:rsid w:val="004070B3"/>
    <w:rsid w:val="00407812"/>
    <w:rsid w:val="00407B35"/>
    <w:rsid w:val="00412552"/>
    <w:rsid w:val="00413164"/>
    <w:rsid w:val="00413CA4"/>
    <w:rsid w:val="00414BFD"/>
    <w:rsid w:val="00415A46"/>
    <w:rsid w:val="00416812"/>
    <w:rsid w:val="00416873"/>
    <w:rsid w:val="004170EE"/>
    <w:rsid w:val="0042041C"/>
    <w:rsid w:val="00420EBD"/>
    <w:rsid w:val="00421A45"/>
    <w:rsid w:val="00421E65"/>
    <w:rsid w:val="00423D71"/>
    <w:rsid w:val="00424DB6"/>
    <w:rsid w:val="00430A19"/>
    <w:rsid w:val="00432147"/>
    <w:rsid w:val="00432E0B"/>
    <w:rsid w:val="004332E0"/>
    <w:rsid w:val="004334A8"/>
    <w:rsid w:val="00433902"/>
    <w:rsid w:val="0043491F"/>
    <w:rsid w:val="00436BC4"/>
    <w:rsid w:val="004377AB"/>
    <w:rsid w:val="00440BE6"/>
    <w:rsid w:val="00441CB2"/>
    <w:rsid w:val="004430D4"/>
    <w:rsid w:val="0044339E"/>
    <w:rsid w:val="00443492"/>
    <w:rsid w:val="004443D2"/>
    <w:rsid w:val="004454D5"/>
    <w:rsid w:val="0044579A"/>
    <w:rsid w:val="00445909"/>
    <w:rsid w:val="00447A7E"/>
    <w:rsid w:val="00447B78"/>
    <w:rsid w:val="00451B91"/>
    <w:rsid w:val="00452B49"/>
    <w:rsid w:val="00461258"/>
    <w:rsid w:val="00461BA8"/>
    <w:rsid w:val="00462EF5"/>
    <w:rsid w:val="004637AD"/>
    <w:rsid w:val="004646A6"/>
    <w:rsid w:val="00465587"/>
    <w:rsid w:val="00466726"/>
    <w:rsid w:val="00466EA6"/>
    <w:rsid w:val="00467574"/>
    <w:rsid w:val="00467B63"/>
    <w:rsid w:val="0047290D"/>
    <w:rsid w:val="00472C96"/>
    <w:rsid w:val="00473A32"/>
    <w:rsid w:val="00475B1C"/>
    <w:rsid w:val="00475CE6"/>
    <w:rsid w:val="00477B49"/>
    <w:rsid w:val="004812D5"/>
    <w:rsid w:val="00481A5B"/>
    <w:rsid w:val="00481ECC"/>
    <w:rsid w:val="0048670C"/>
    <w:rsid w:val="00486AFF"/>
    <w:rsid w:val="00486B68"/>
    <w:rsid w:val="00486E9D"/>
    <w:rsid w:val="00487928"/>
    <w:rsid w:val="00487CF2"/>
    <w:rsid w:val="00487D5E"/>
    <w:rsid w:val="00490ED3"/>
    <w:rsid w:val="00493FE9"/>
    <w:rsid w:val="004961C4"/>
    <w:rsid w:val="00496734"/>
    <w:rsid w:val="00496FE9"/>
    <w:rsid w:val="004978CA"/>
    <w:rsid w:val="004A052A"/>
    <w:rsid w:val="004A0BA8"/>
    <w:rsid w:val="004A0F50"/>
    <w:rsid w:val="004A2232"/>
    <w:rsid w:val="004A283A"/>
    <w:rsid w:val="004A2E90"/>
    <w:rsid w:val="004A39E2"/>
    <w:rsid w:val="004A6137"/>
    <w:rsid w:val="004A646F"/>
    <w:rsid w:val="004A657C"/>
    <w:rsid w:val="004B0191"/>
    <w:rsid w:val="004B04ED"/>
    <w:rsid w:val="004B0ECD"/>
    <w:rsid w:val="004B0FC7"/>
    <w:rsid w:val="004B2345"/>
    <w:rsid w:val="004B3CCF"/>
    <w:rsid w:val="004B5311"/>
    <w:rsid w:val="004B5CBA"/>
    <w:rsid w:val="004B6AEE"/>
    <w:rsid w:val="004C05C9"/>
    <w:rsid w:val="004C1254"/>
    <w:rsid w:val="004C250B"/>
    <w:rsid w:val="004C444F"/>
    <w:rsid w:val="004C4899"/>
    <w:rsid w:val="004C5FD9"/>
    <w:rsid w:val="004C62E1"/>
    <w:rsid w:val="004C73A7"/>
    <w:rsid w:val="004C797B"/>
    <w:rsid w:val="004D15DD"/>
    <w:rsid w:val="004D1932"/>
    <w:rsid w:val="004D78C0"/>
    <w:rsid w:val="004E0852"/>
    <w:rsid w:val="004E0F73"/>
    <w:rsid w:val="004E11B3"/>
    <w:rsid w:val="004E2059"/>
    <w:rsid w:val="004E2086"/>
    <w:rsid w:val="004E2B82"/>
    <w:rsid w:val="004E3141"/>
    <w:rsid w:val="004E3E9E"/>
    <w:rsid w:val="004E4595"/>
    <w:rsid w:val="004E636C"/>
    <w:rsid w:val="004E6D57"/>
    <w:rsid w:val="004E7F4F"/>
    <w:rsid w:val="004F085F"/>
    <w:rsid w:val="004F1033"/>
    <w:rsid w:val="004F28D7"/>
    <w:rsid w:val="004F2A75"/>
    <w:rsid w:val="004F2D0D"/>
    <w:rsid w:val="004F3126"/>
    <w:rsid w:val="004F3801"/>
    <w:rsid w:val="004F43EF"/>
    <w:rsid w:val="004F467A"/>
    <w:rsid w:val="004F478B"/>
    <w:rsid w:val="004F6D66"/>
    <w:rsid w:val="004F7447"/>
    <w:rsid w:val="00500124"/>
    <w:rsid w:val="005002A9"/>
    <w:rsid w:val="00500408"/>
    <w:rsid w:val="00500C9D"/>
    <w:rsid w:val="005058FE"/>
    <w:rsid w:val="00505950"/>
    <w:rsid w:val="00506EF6"/>
    <w:rsid w:val="005113B7"/>
    <w:rsid w:val="0051184C"/>
    <w:rsid w:val="005121E6"/>
    <w:rsid w:val="00513164"/>
    <w:rsid w:val="0051489D"/>
    <w:rsid w:val="005153F7"/>
    <w:rsid w:val="00515B37"/>
    <w:rsid w:val="00516503"/>
    <w:rsid w:val="00516DB0"/>
    <w:rsid w:val="00520D5B"/>
    <w:rsid w:val="00521214"/>
    <w:rsid w:val="00523274"/>
    <w:rsid w:val="005234CE"/>
    <w:rsid w:val="005239B1"/>
    <w:rsid w:val="00524049"/>
    <w:rsid w:val="00530513"/>
    <w:rsid w:val="005317FF"/>
    <w:rsid w:val="00531847"/>
    <w:rsid w:val="00532244"/>
    <w:rsid w:val="00532AA6"/>
    <w:rsid w:val="0053395C"/>
    <w:rsid w:val="00534F60"/>
    <w:rsid w:val="005352D9"/>
    <w:rsid w:val="00536551"/>
    <w:rsid w:val="00537300"/>
    <w:rsid w:val="0054032F"/>
    <w:rsid w:val="00541202"/>
    <w:rsid w:val="00541BF6"/>
    <w:rsid w:val="00542987"/>
    <w:rsid w:val="00543B61"/>
    <w:rsid w:val="00543D42"/>
    <w:rsid w:val="00547B29"/>
    <w:rsid w:val="0055161A"/>
    <w:rsid w:val="00552759"/>
    <w:rsid w:val="0055417A"/>
    <w:rsid w:val="00555AC3"/>
    <w:rsid w:val="005567BF"/>
    <w:rsid w:val="00556AA5"/>
    <w:rsid w:val="00557C4B"/>
    <w:rsid w:val="00560075"/>
    <w:rsid w:val="005628B1"/>
    <w:rsid w:val="00562A2A"/>
    <w:rsid w:val="00563BE4"/>
    <w:rsid w:val="00563C20"/>
    <w:rsid w:val="005645C0"/>
    <w:rsid w:val="00565723"/>
    <w:rsid w:val="0056583A"/>
    <w:rsid w:val="00565B94"/>
    <w:rsid w:val="00565E23"/>
    <w:rsid w:val="0056666D"/>
    <w:rsid w:val="00567DCA"/>
    <w:rsid w:val="005717FA"/>
    <w:rsid w:val="005767DA"/>
    <w:rsid w:val="00580281"/>
    <w:rsid w:val="0058137C"/>
    <w:rsid w:val="0058322E"/>
    <w:rsid w:val="005832C5"/>
    <w:rsid w:val="0058385B"/>
    <w:rsid w:val="005844BA"/>
    <w:rsid w:val="00585E61"/>
    <w:rsid w:val="0059163F"/>
    <w:rsid w:val="005921A5"/>
    <w:rsid w:val="00595C10"/>
    <w:rsid w:val="00597F77"/>
    <w:rsid w:val="005A12C2"/>
    <w:rsid w:val="005A21F9"/>
    <w:rsid w:val="005A3B81"/>
    <w:rsid w:val="005A5B80"/>
    <w:rsid w:val="005A5F14"/>
    <w:rsid w:val="005A7214"/>
    <w:rsid w:val="005A7BF6"/>
    <w:rsid w:val="005B0155"/>
    <w:rsid w:val="005B09FF"/>
    <w:rsid w:val="005B136B"/>
    <w:rsid w:val="005B1BC6"/>
    <w:rsid w:val="005B1CF7"/>
    <w:rsid w:val="005B26B5"/>
    <w:rsid w:val="005B2B58"/>
    <w:rsid w:val="005B2B5E"/>
    <w:rsid w:val="005B642C"/>
    <w:rsid w:val="005C04CB"/>
    <w:rsid w:val="005C0D4B"/>
    <w:rsid w:val="005C1C3B"/>
    <w:rsid w:val="005C25CE"/>
    <w:rsid w:val="005C5B01"/>
    <w:rsid w:val="005C6A49"/>
    <w:rsid w:val="005C7625"/>
    <w:rsid w:val="005C79DA"/>
    <w:rsid w:val="005C7CE9"/>
    <w:rsid w:val="005D1E32"/>
    <w:rsid w:val="005D2B4D"/>
    <w:rsid w:val="005D339E"/>
    <w:rsid w:val="005D36BE"/>
    <w:rsid w:val="005D3EEB"/>
    <w:rsid w:val="005D4054"/>
    <w:rsid w:val="005D4873"/>
    <w:rsid w:val="005D4CA4"/>
    <w:rsid w:val="005D536A"/>
    <w:rsid w:val="005D5D00"/>
    <w:rsid w:val="005E0AB1"/>
    <w:rsid w:val="005E3ED8"/>
    <w:rsid w:val="005E3F70"/>
    <w:rsid w:val="005E769B"/>
    <w:rsid w:val="005F17BD"/>
    <w:rsid w:val="005F19B5"/>
    <w:rsid w:val="005F20E9"/>
    <w:rsid w:val="005F324B"/>
    <w:rsid w:val="005F46F8"/>
    <w:rsid w:val="005F61E8"/>
    <w:rsid w:val="005F68FC"/>
    <w:rsid w:val="00602CCA"/>
    <w:rsid w:val="00603112"/>
    <w:rsid w:val="006031DB"/>
    <w:rsid w:val="00604B95"/>
    <w:rsid w:val="0060733B"/>
    <w:rsid w:val="0060766A"/>
    <w:rsid w:val="00607F4D"/>
    <w:rsid w:val="00610855"/>
    <w:rsid w:val="0061087C"/>
    <w:rsid w:val="00611315"/>
    <w:rsid w:val="00612953"/>
    <w:rsid w:val="00615B62"/>
    <w:rsid w:val="006177FD"/>
    <w:rsid w:val="00617DF9"/>
    <w:rsid w:val="0062054F"/>
    <w:rsid w:val="0062096D"/>
    <w:rsid w:val="00620AA8"/>
    <w:rsid w:val="00620F6C"/>
    <w:rsid w:val="00621476"/>
    <w:rsid w:val="0062261C"/>
    <w:rsid w:val="00622E8D"/>
    <w:rsid w:val="0062348F"/>
    <w:rsid w:val="00623F0E"/>
    <w:rsid w:val="00624E4C"/>
    <w:rsid w:val="006268F5"/>
    <w:rsid w:val="006328BF"/>
    <w:rsid w:val="00637E98"/>
    <w:rsid w:val="00640A90"/>
    <w:rsid w:val="00640B6F"/>
    <w:rsid w:val="00642158"/>
    <w:rsid w:val="00643422"/>
    <w:rsid w:val="00644C53"/>
    <w:rsid w:val="00647410"/>
    <w:rsid w:val="00650F6B"/>
    <w:rsid w:val="0065298D"/>
    <w:rsid w:val="00652E4C"/>
    <w:rsid w:val="00652F08"/>
    <w:rsid w:val="00652F48"/>
    <w:rsid w:val="006546CA"/>
    <w:rsid w:val="006562D6"/>
    <w:rsid w:val="00657937"/>
    <w:rsid w:val="0065797C"/>
    <w:rsid w:val="006629E2"/>
    <w:rsid w:val="0066366B"/>
    <w:rsid w:val="00663835"/>
    <w:rsid w:val="00664060"/>
    <w:rsid w:val="00666DDC"/>
    <w:rsid w:val="00667164"/>
    <w:rsid w:val="006676A9"/>
    <w:rsid w:val="00670B2A"/>
    <w:rsid w:val="006715D9"/>
    <w:rsid w:val="00671FB3"/>
    <w:rsid w:val="0067367D"/>
    <w:rsid w:val="00674230"/>
    <w:rsid w:val="00674564"/>
    <w:rsid w:val="006750BB"/>
    <w:rsid w:val="00675189"/>
    <w:rsid w:val="00677FAE"/>
    <w:rsid w:val="006807FB"/>
    <w:rsid w:val="0068116F"/>
    <w:rsid w:val="006816D4"/>
    <w:rsid w:val="00681751"/>
    <w:rsid w:val="00683347"/>
    <w:rsid w:val="0068341D"/>
    <w:rsid w:val="00683CE3"/>
    <w:rsid w:val="00685678"/>
    <w:rsid w:val="00686E7A"/>
    <w:rsid w:val="00690432"/>
    <w:rsid w:val="006906BB"/>
    <w:rsid w:val="006915EA"/>
    <w:rsid w:val="00691DD6"/>
    <w:rsid w:val="00692256"/>
    <w:rsid w:val="006922ED"/>
    <w:rsid w:val="00692AB6"/>
    <w:rsid w:val="00694486"/>
    <w:rsid w:val="00694A6F"/>
    <w:rsid w:val="00695CF3"/>
    <w:rsid w:val="00695D67"/>
    <w:rsid w:val="00696E00"/>
    <w:rsid w:val="006A0859"/>
    <w:rsid w:val="006A0994"/>
    <w:rsid w:val="006A0A95"/>
    <w:rsid w:val="006A17F3"/>
    <w:rsid w:val="006A2BE2"/>
    <w:rsid w:val="006A3C29"/>
    <w:rsid w:val="006A42C7"/>
    <w:rsid w:val="006A48E4"/>
    <w:rsid w:val="006A4978"/>
    <w:rsid w:val="006A51DC"/>
    <w:rsid w:val="006B04E4"/>
    <w:rsid w:val="006B1437"/>
    <w:rsid w:val="006B31B4"/>
    <w:rsid w:val="006B36DB"/>
    <w:rsid w:val="006B3931"/>
    <w:rsid w:val="006B3C86"/>
    <w:rsid w:val="006B4FB1"/>
    <w:rsid w:val="006B5AD9"/>
    <w:rsid w:val="006B62B3"/>
    <w:rsid w:val="006C0881"/>
    <w:rsid w:val="006C14DC"/>
    <w:rsid w:val="006C25BE"/>
    <w:rsid w:val="006C3898"/>
    <w:rsid w:val="006C4583"/>
    <w:rsid w:val="006C4CD4"/>
    <w:rsid w:val="006C5280"/>
    <w:rsid w:val="006C5A24"/>
    <w:rsid w:val="006C6D5F"/>
    <w:rsid w:val="006C6FF2"/>
    <w:rsid w:val="006D0035"/>
    <w:rsid w:val="006D0E6B"/>
    <w:rsid w:val="006D0F11"/>
    <w:rsid w:val="006D158A"/>
    <w:rsid w:val="006D2CED"/>
    <w:rsid w:val="006D2D92"/>
    <w:rsid w:val="006D3586"/>
    <w:rsid w:val="006D42E1"/>
    <w:rsid w:val="006D4D18"/>
    <w:rsid w:val="006D52CE"/>
    <w:rsid w:val="006D6A9D"/>
    <w:rsid w:val="006D7DA7"/>
    <w:rsid w:val="006E1084"/>
    <w:rsid w:val="006E1573"/>
    <w:rsid w:val="006E534D"/>
    <w:rsid w:val="006E58AF"/>
    <w:rsid w:val="006E6452"/>
    <w:rsid w:val="006E645C"/>
    <w:rsid w:val="006E701B"/>
    <w:rsid w:val="006E7E91"/>
    <w:rsid w:val="006F00D4"/>
    <w:rsid w:val="006F086C"/>
    <w:rsid w:val="006F0929"/>
    <w:rsid w:val="006F0F2D"/>
    <w:rsid w:val="006F2216"/>
    <w:rsid w:val="006F2B63"/>
    <w:rsid w:val="006F31C9"/>
    <w:rsid w:val="006F48EA"/>
    <w:rsid w:val="006F4D66"/>
    <w:rsid w:val="006F4F6E"/>
    <w:rsid w:val="006F64E1"/>
    <w:rsid w:val="006F69D3"/>
    <w:rsid w:val="006F7274"/>
    <w:rsid w:val="007001E6"/>
    <w:rsid w:val="00700398"/>
    <w:rsid w:val="00700784"/>
    <w:rsid w:val="00701178"/>
    <w:rsid w:val="00701589"/>
    <w:rsid w:val="007020B8"/>
    <w:rsid w:val="00703915"/>
    <w:rsid w:val="00703D88"/>
    <w:rsid w:val="007045A8"/>
    <w:rsid w:val="00704B51"/>
    <w:rsid w:val="00705863"/>
    <w:rsid w:val="007059EF"/>
    <w:rsid w:val="00706334"/>
    <w:rsid w:val="007063D0"/>
    <w:rsid w:val="00707A70"/>
    <w:rsid w:val="007103AF"/>
    <w:rsid w:val="00711B0A"/>
    <w:rsid w:val="00711F07"/>
    <w:rsid w:val="00714D4F"/>
    <w:rsid w:val="00716EC4"/>
    <w:rsid w:val="00717486"/>
    <w:rsid w:val="00720F08"/>
    <w:rsid w:val="00721566"/>
    <w:rsid w:val="00721854"/>
    <w:rsid w:val="00721C9A"/>
    <w:rsid w:val="00723599"/>
    <w:rsid w:val="00724E9C"/>
    <w:rsid w:val="00724F4C"/>
    <w:rsid w:val="00725377"/>
    <w:rsid w:val="00727329"/>
    <w:rsid w:val="00727AAB"/>
    <w:rsid w:val="007333B6"/>
    <w:rsid w:val="0073348A"/>
    <w:rsid w:val="0073453B"/>
    <w:rsid w:val="0073485E"/>
    <w:rsid w:val="00734DC6"/>
    <w:rsid w:val="00735170"/>
    <w:rsid w:val="007357A3"/>
    <w:rsid w:val="00736AD7"/>
    <w:rsid w:val="0073708E"/>
    <w:rsid w:val="007371A4"/>
    <w:rsid w:val="00737D7C"/>
    <w:rsid w:val="00740403"/>
    <w:rsid w:val="007409E8"/>
    <w:rsid w:val="00740B55"/>
    <w:rsid w:val="00741E93"/>
    <w:rsid w:val="00742C44"/>
    <w:rsid w:val="0074650D"/>
    <w:rsid w:val="0074653E"/>
    <w:rsid w:val="00746B21"/>
    <w:rsid w:val="00747BE7"/>
    <w:rsid w:val="00752631"/>
    <w:rsid w:val="00752BE8"/>
    <w:rsid w:val="00752EFA"/>
    <w:rsid w:val="00754959"/>
    <w:rsid w:val="0075715C"/>
    <w:rsid w:val="00760735"/>
    <w:rsid w:val="0076259D"/>
    <w:rsid w:val="00762B07"/>
    <w:rsid w:val="00762EAA"/>
    <w:rsid w:val="007642D3"/>
    <w:rsid w:val="007645C7"/>
    <w:rsid w:val="00765354"/>
    <w:rsid w:val="00765A60"/>
    <w:rsid w:val="0076687B"/>
    <w:rsid w:val="00766D15"/>
    <w:rsid w:val="007673F7"/>
    <w:rsid w:val="00771D14"/>
    <w:rsid w:val="007720D1"/>
    <w:rsid w:val="00772285"/>
    <w:rsid w:val="00772360"/>
    <w:rsid w:val="00774D5C"/>
    <w:rsid w:val="007757E5"/>
    <w:rsid w:val="007765D0"/>
    <w:rsid w:val="007827C1"/>
    <w:rsid w:val="00782FAA"/>
    <w:rsid w:val="00784FFE"/>
    <w:rsid w:val="0078551A"/>
    <w:rsid w:val="00790BFC"/>
    <w:rsid w:val="007919EE"/>
    <w:rsid w:val="00793552"/>
    <w:rsid w:val="0079410A"/>
    <w:rsid w:val="00795857"/>
    <w:rsid w:val="007964B4"/>
    <w:rsid w:val="00797082"/>
    <w:rsid w:val="007974B3"/>
    <w:rsid w:val="007A153F"/>
    <w:rsid w:val="007A2D04"/>
    <w:rsid w:val="007A39A8"/>
    <w:rsid w:val="007A60A8"/>
    <w:rsid w:val="007A66DF"/>
    <w:rsid w:val="007A6C23"/>
    <w:rsid w:val="007B01B8"/>
    <w:rsid w:val="007B189D"/>
    <w:rsid w:val="007B1AD0"/>
    <w:rsid w:val="007B1FD4"/>
    <w:rsid w:val="007B327B"/>
    <w:rsid w:val="007B4261"/>
    <w:rsid w:val="007B4B92"/>
    <w:rsid w:val="007B4C4C"/>
    <w:rsid w:val="007B7FD3"/>
    <w:rsid w:val="007C1725"/>
    <w:rsid w:val="007C1A2D"/>
    <w:rsid w:val="007C3266"/>
    <w:rsid w:val="007C3E38"/>
    <w:rsid w:val="007C3F4A"/>
    <w:rsid w:val="007C46E8"/>
    <w:rsid w:val="007C55D0"/>
    <w:rsid w:val="007C58F6"/>
    <w:rsid w:val="007C69B9"/>
    <w:rsid w:val="007C6CC9"/>
    <w:rsid w:val="007C6FA1"/>
    <w:rsid w:val="007D18A8"/>
    <w:rsid w:val="007D42A9"/>
    <w:rsid w:val="007D45FB"/>
    <w:rsid w:val="007D4B9C"/>
    <w:rsid w:val="007D5158"/>
    <w:rsid w:val="007D55E2"/>
    <w:rsid w:val="007D5F51"/>
    <w:rsid w:val="007D77CF"/>
    <w:rsid w:val="007D784E"/>
    <w:rsid w:val="007E04C1"/>
    <w:rsid w:val="007E0E06"/>
    <w:rsid w:val="007E2A1B"/>
    <w:rsid w:val="007E479E"/>
    <w:rsid w:val="007E4F63"/>
    <w:rsid w:val="007E6650"/>
    <w:rsid w:val="007F180D"/>
    <w:rsid w:val="007F3E9B"/>
    <w:rsid w:val="007F446E"/>
    <w:rsid w:val="007F491A"/>
    <w:rsid w:val="007F5AF6"/>
    <w:rsid w:val="007F648E"/>
    <w:rsid w:val="007F7740"/>
    <w:rsid w:val="00800A87"/>
    <w:rsid w:val="00801E46"/>
    <w:rsid w:val="00801F0C"/>
    <w:rsid w:val="00802A3A"/>
    <w:rsid w:val="0080445D"/>
    <w:rsid w:val="00805C3D"/>
    <w:rsid w:val="008065D4"/>
    <w:rsid w:val="00806839"/>
    <w:rsid w:val="008073BB"/>
    <w:rsid w:val="00807F78"/>
    <w:rsid w:val="008100DB"/>
    <w:rsid w:val="008112D6"/>
    <w:rsid w:val="00811410"/>
    <w:rsid w:val="00811831"/>
    <w:rsid w:val="008130B7"/>
    <w:rsid w:val="00813804"/>
    <w:rsid w:val="00813F89"/>
    <w:rsid w:val="008141A5"/>
    <w:rsid w:val="00815A80"/>
    <w:rsid w:val="00817C51"/>
    <w:rsid w:val="008203CE"/>
    <w:rsid w:val="00820672"/>
    <w:rsid w:val="00820D21"/>
    <w:rsid w:val="00821B76"/>
    <w:rsid w:val="00821CA6"/>
    <w:rsid w:val="00821CC9"/>
    <w:rsid w:val="008221F6"/>
    <w:rsid w:val="008223AE"/>
    <w:rsid w:val="008228A4"/>
    <w:rsid w:val="00822DBF"/>
    <w:rsid w:val="00824642"/>
    <w:rsid w:val="00824C8B"/>
    <w:rsid w:val="008264D4"/>
    <w:rsid w:val="00827046"/>
    <w:rsid w:val="008314B7"/>
    <w:rsid w:val="00831B91"/>
    <w:rsid w:val="008335F8"/>
    <w:rsid w:val="00835406"/>
    <w:rsid w:val="00835417"/>
    <w:rsid w:val="00836CC1"/>
    <w:rsid w:val="008374C6"/>
    <w:rsid w:val="008377D5"/>
    <w:rsid w:val="00840252"/>
    <w:rsid w:val="00840B4A"/>
    <w:rsid w:val="0084224C"/>
    <w:rsid w:val="00842EAA"/>
    <w:rsid w:val="00843599"/>
    <w:rsid w:val="008436B9"/>
    <w:rsid w:val="00843755"/>
    <w:rsid w:val="00843972"/>
    <w:rsid w:val="00843D51"/>
    <w:rsid w:val="008458FB"/>
    <w:rsid w:val="0084630D"/>
    <w:rsid w:val="00847F43"/>
    <w:rsid w:val="008545F4"/>
    <w:rsid w:val="00854A27"/>
    <w:rsid w:val="00856494"/>
    <w:rsid w:val="0086071C"/>
    <w:rsid w:val="008618CD"/>
    <w:rsid w:val="00863677"/>
    <w:rsid w:val="00864BFE"/>
    <w:rsid w:val="008655B2"/>
    <w:rsid w:val="00867D39"/>
    <w:rsid w:val="00867DF8"/>
    <w:rsid w:val="0087008E"/>
    <w:rsid w:val="00871EFD"/>
    <w:rsid w:val="00872BB5"/>
    <w:rsid w:val="00872CEC"/>
    <w:rsid w:val="00873453"/>
    <w:rsid w:val="008736EE"/>
    <w:rsid w:val="00875E4E"/>
    <w:rsid w:val="008768A3"/>
    <w:rsid w:val="00881C6D"/>
    <w:rsid w:val="00882234"/>
    <w:rsid w:val="008831AE"/>
    <w:rsid w:val="00883461"/>
    <w:rsid w:val="008834D2"/>
    <w:rsid w:val="0088457E"/>
    <w:rsid w:val="0088549B"/>
    <w:rsid w:val="008855A9"/>
    <w:rsid w:val="008859CC"/>
    <w:rsid w:val="00885D65"/>
    <w:rsid w:val="008860FC"/>
    <w:rsid w:val="00886E28"/>
    <w:rsid w:val="00887B24"/>
    <w:rsid w:val="008911B2"/>
    <w:rsid w:val="008913DD"/>
    <w:rsid w:val="008917D9"/>
    <w:rsid w:val="00892D5E"/>
    <w:rsid w:val="00893147"/>
    <w:rsid w:val="00893A06"/>
    <w:rsid w:val="008946DE"/>
    <w:rsid w:val="00895AD5"/>
    <w:rsid w:val="0089697F"/>
    <w:rsid w:val="00896A34"/>
    <w:rsid w:val="008A1C34"/>
    <w:rsid w:val="008A1CC9"/>
    <w:rsid w:val="008A264E"/>
    <w:rsid w:val="008A27AB"/>
    <w:rsid w:val="008A29DD"/>
    <w:rsid w:val="008A3E71"/>
    <w:rsid w:val="008A42B5"/>
    <w:rsid w:val="008A45F3"/>
    <w:rsid w:val="008A53A5"/>
    <w:rsid w:val="008A59F3"/>
    <w:rsid w:val="008B0C33"/>
    <w:rsid w:val="008B0D9C"/>
    <w:rsid w:val="008B582D"/>
    <w:rsid w:val="008B6065"/>
    <w:rsid w:val="008B631D"/>
    <w:rsid w:val="008B685C"/>
    <w:rsid w:val="008B6E3E"/>
    <w:rsid w:val="008B6EE8"/>
    <w:rsid w:val="008B74B7"/>
    <w:rsid w:val="008B78B6"/>
    <w:rsid w:val="008B7F51"/>
    <w:rsid w:val="008C20D2"/>
    <w:rsid w:val="008C267A"/>
    <w:rsid w:val="008C319F"/>
    <w:rsid w:val="008C45D0"/>
    <w:rsid w:val="008C5342"/>
    <w:rsid w:val="008C727A"/>
    <w:rsid w:val="008D2904"/>
    <w:rsid w:val="008D2A1B"/>
    <w:rsid w:val="008D31AF"/>
    <w:rsid w:val="008D3A58"/>
    <w:rsid w:val="008D3ADB"/>
    <w:rsid w:val="008D3CDD"/>
    <w:rsid w:val="008D3EEC"/>
    <w:rsid w:val="008D4A29"/>
    <w:rsid w:val="008D4AA7"/>
    <w:rsid w:val="008D5C69"/>
    <w:rsid w:val="008D67A1"/>
    <w:rsid w:val="008D6DF4"/>
    <w:rsid w:val="008D7797"/>
    <w:rsid w:val="008E230F"/>
    <w:rsid w:val="008E24D1"/>
    <w:rsid w:val="008E2904"/>
    <w:rsid w:val="008E2B4F"/>
    <w:rsid w:val="008E2EBD"/>
    <w:rsid w:val="008E3784"/>
    <w:rsid w:val="008E3980"/>
    <w:rsid w:val="008E53E0"/>
    <w:rsid w:val="008F008D"/>
    <w:rsid w:val="008F0B18"/>
    <w:rsid w:val="008F5CF8"/>
    <w:rsid w:val="008F730F"/>
    <w:rsid w:val="008F77C0"/>
    <w:rsid w:val="008F7C89"/>
    <w:rsid w:val="00904B6C"/>
    <w:rsid w:val="00904E21"/>
    <w:rsid w:val="00906739"/>
    <w:rsid w:val="00906C91"/>
    <w:rsid w:val="00907BA9"/>
    <w:rsid w:val="009110B4"/>
    <w:rsid w:val="009126F3"/>
    <w:rsid w:val="00913C52"/>
    <w:rsid w:val="00913E1B"/>
    <w:rsid w:val="009150F1"/>
    <w:rsid w:val="009156C2"/>
    <w:rsid w:val="00915C55"/>
    <w:rsid w:val="009203FC"/>
    <w:rsid w:val="00921309"/>
    <w:rsid w:val="00921D5F"/>
    <w:rsid w:val="009234BC"/>
    <w:rsid w:val="0092394A"/>
    <w:rsid w:val="00923EAD"/>
    <w:rsid w:val="00924450"/>
    <w:rsid w:val="00924AA4"/>
    <w:rsid w:val="00925A89"/>
    <w:rsid w:val="00925D4F"/>
    <w:rsid w:val="00926178"/>
    <w:rsid w:val="00926FEB"/>
    <w:rsid w:val="00930E25"/>
    <w:rsid w:val="00933040"/>
    <w:rsid w:val="00936076"/>
    <w:rsid w:val="00936C86"/>
    <w:rsid w:val="00937A13"/>
    <w:rsid w:val="00937C82"/>
    <w:rsid w:val="009407ED"/>
    <w:rsid w:val="00940CF8"/>
    <w:rsid w:val="00940FDC"/>
    <w:rsid w:val="0094214C"/>
    <w:rsid w:val="00944FA2"/>
    <w:rsid w:val="0095124E"/>
    <w:rsid w:val="00951827"/>
    <w:rsid w:val="009518B0"/>
    <w:rsid w:val="00952C85"/>
    <w:rsid w:val="00953D4D"/>
    <w:rsid w:val="00956B99"/>
    <w:rsid w:val="00957752"/>
    <w:rsid w:val="009602B2"/>
    <w:rsid w:val="00961ACD"/>
    <w:rsid w:val="00961FE1"/>
    <w:rsid w:val="0096268D"/>
    <w:rsid w:val="00962DDE"/>
    <w:rsid w:val="0096446B"/>
    <w:rsid w:val="00964A82"/>
    <w:rsid w:val="00966B9F"/>
    <w:rsid w:val="009670E4"/>
    <w:rsid w:val="00967EED"/>
    <w:rsid w:val="0097359F"/>
    <w:rsid w:val="00973BCD"/>
    <w:rsid w:val="00973BF6"/>
    <w:rsid w:val="00975A34"/>
    <w:rsid w:val="009763AA"/>
    <w:rsid w:val="00976523"/>
    <w:rsid w:val="00976706"/>
    <w:rsid w:val="00977568"/>
    <w:rsid w:val="00981C53"/>
    <w:rsid w:val="00981E83"/>
    <w:rsid w:val="009831EA"/>
    <w:rsid w:val="00983DA5"/>
    <w:rsid w:val="009848E7"/>
    <w:rsid w:val="0098491B"/>
    <w:rsid w:val="0098574D"/>
    <w:rsid w:val="0098592E"/>
    <w:rsid w:val="00987017"/>
    <w:rsid w:val="00987058"/>
    <w:rsid w:val="0098777C"/>
    <w:rsid w:val="009914F2"/>
    <w:rsid w:val="0099216C"/>
    <w:rsid w:val="009927C5"/>
    <w:rsid w:val="009942F9"/>
    <w:rsid w:val="009950DA"/>
    <w:rsid w:val="00995BBE"/>
    <w:rsid w:val="009A01AB"/>
    <w:rsid w:val="009A01B3"/>
    <w:rsid w:val="009A07F9"/>
    <w:rsid w:val="009A1A95"/>
    <w:rsid w:val="009A213B"/>
    <w:rsid w:val="009A2CAA"/>
    <w:rsid w:val="009A44ED"/>
    <w:rsid w:val="009A452F"/>
    <w:rsid w:val="009A57C7"/>
    <w:rsid w:val="009A5B70"/>
    <w:rsid w:val="009A638B"/>
    <w:rsid w:val="009A727E"/>
    <w:rsid w:val="009A7374"/>
    <w:rsid w:val="009A7834"/>
    <w:rsid w:val="009B0E37"/>
    <w:rsid w:val="009B17DD"/>
    <w:rsid w:val="009B2330"/>
    <w:rsid w:val="009B2ABC"/>
    <w:rsid w:val="009B3E2E"/>
    <w:rsid w:val="009B42C4"/>
    <w:rsid w:val="009C038D"/>
    <w:rsid w:val="009C0696"/>
    <w:rsid w:val="009C099F"/>
    <w:rsid w:val="009C0F38"/>
    <w:rsid w:val="009C10F2"/>
    <w:rsid w:val="009C3D83"/>
    <w:rsid w:val="009C408F"/>
    <w:rsid w:val="009C495F"/>
    <w:rsid w:val="009C50FE"/>
    <w:rsid w:val="009C5523"/>
    <w:rsid w:val="009C75FB"/>
    <w:rsid w:val="009D0A2F"/>
    <w:rsid w:val="009D1D87"/>
    <w:rsid w:val="009D332F"/>
    <w:rsid w:val="009D4381"/>
    <w:rsid w:val="009D53D6"/>
    <w:rsid w:val="009D5C17"/>
    <w:rsid w:val="009D7B8F"/>
    <w:rsid w:val="009D7CA5"/>
    <w:rsid w:val="009D7E35"/>
    <w:rsid w:val="009E04F1"/>
    <w:rsid w:val="009E0CCB"/>
    <w:rsid w:val="009E2D28"/>
    <w:rsid w:val="009E398F"/>
    <w:rsid w:val="009E3E6B"/>
    <w:rsid w:val="009E4805"/>
    <w:rsid w:val="009E4C42"/>
    <w:rsid w:val="009E4D16"/>
    <w:rsid w:val="009E599A"/>
    <w:rsid w:val="009E696B"/>
    <w:rsid w:val="009E6C54"/>
    <w:rsid w:val="009E7BCA"/>
    <w:rsid w:val="009F160D"/>
    <w:rsid w:val="009F1BA3"/>
    <w:rsid w:val="009F1CF5"/>
    <w:rsid w:val="009F263F"/>
    <w:rsid w:val="009F2B66"/>
    <w:rsid w:val="009F4C6E"/>
    <w:rsid w:val="009F4DDB"/>
    <w:rsid w:val="009F5B63"/>
    <w:rsid w:val="009F5E1F"/>
    <w:rsid w:val="00A00808"/>
    <w:rsid w:val="00A01427"/>
    <w:rsid w:val="00A01752"/>
    <w:rsid w:val="00A0251A"/>
    <w:rsid w:val="00A0328F"/>
    <w:rsid w:val="00A03A5B"/>
    <w:rsid w:val="00A048E1"/>
    <w:rsid w:val="00A054B7"/>
    <w:rsid w:val="00A057F7"/>
    <w:rsid w:val="00A05CBB"/>
    <w:rsid w:val="00A075C3"/>
    <w:rsid w:val="00A07983"/>
    <w:rsid w:val="00A07C91"/>
    <w:rsid w:val="00A1048E"/>
    <w:rsid w:val="00A11706"/>
    <w:rsid w:val="00A12554"/>
    <w:rsid w:val="00A15170"/>
    <w:rsid w:val="00A15ECF"/>
    <w:rsid w:val="00A16076"/>
    <w:rsid w:val="00A17E15"/>
    <w:rsid w:val="00A17ECF"/>
    <w:rsid w:val="00A20870"/>
    <w:rsid w:val="00A20D22"/>
    <w:rsid w:val="00A2150B"/>
    <w:rsid w:val="00A2154A"/>
    <w:rsid w:val="00A220F5"/>
    <w:rsid w:val="00A2319C"/>
    <w:rsid w:val="00A2538C"/>
    <w:rsid w:val="00A258CA"/>
    <w:rsid w:val="00A25B14"/>
    <w:rsid w:val="00A3079E"/>
    <w:rsid w:val="00A3087B"/>
    <w:rsid w:val="00A31AB1"/>
    <w:rsid w:val="00A324E2"/>
    <w:rsid w:val="00A35CF5"/>
    <w:rsid w:val="00A37645"/>
    <w:rsid w:val="00A37E4F"/>
    <w:rsid w:val="00A401E2"/>
    <w:rsid w:val="00A40809"/>
    <w:rsid w:val="00A4094C"/>
    <w:rsid w:val="00A4133B"/>
    <w:rsid w:val="00A42E87"/>
    <w:rsid w:val="00A44A94"/>
    <w:rsid w:val="00A44E03"/>
    <w:rsid w:val="00A46C52"/>
    <w:rsid w:val="00A47418"/>
    <w:rsid w:val="00A54A88"/>
    <w:rsid w:val="00A55A56"/>
    <w:rsid w:val="00A561B2"/>
    <w:rsid w:val="00A5781D"/>
    <w:rsid w:val="00A608B3"/>
    <w:rsid w:val="00A61202"/>
    <w:rsid w:val="00A6129B"/>
    <w:rsid w:val="00A6153E"/>
    <w:rsid w:val="00A62B83"/>
    <w:rsid w:val="00A63692"/>
    <w:rsid w:val="00A63F31"/>
    <w:rsid w:val="00A641DA"/>
    <w:rsid w:val="00A6722E"/>
    <w:rsid w:val="00A67D61"/>
    <w:rsid w:val="00A70964"/>
    <w:rsid w:val="00A71DE7"/>
    <w:rsid w:val="00A72450"/>
    <w:rsid w:val="00A73F56"/>
    <w:rsid w:val="00A743DF"/>
    <w:rsid w:val="00A80800"/>
    <w:rsid w:val="00A81AEC"/>
    <w:rsid w:val="00A81B18"/>
    <w:rsid w:val="00A81E36"/>
    <w:rsid w:val="00A84C88"/>
    <w:rsid w:val="00A85806"/>
    <w:rsid w:val="00A85C9F"/>
    <w:rsid w:val="00A86523"/>
    <w:rsid w:val="00A87D72"/>
    <w:rsid w:val="00A90551"/>
    <w:rsid w:val="00A914CB"/>
    <w:rsid w:val="00A91F6A"/>
    <w:rsid w:val="00A9467F"/>
    <w:rsid w:val="00A967D4"/>
    <w:rsid w:val="00A971F7"/>
    <w:rsid w:val="00AA208A"/>
    <w:rsid w:val="00AA2EB4"/>
    <w:rsid w:val="00AA3092"/>
    <w:rsid w:val="00AA345D"/>
    <w:rsid w:val="00AA36BA"/>
    <w:rsid w:val="00AA42D6"/>
    <w:rsid w:val="00AA5115"/>
    <w:rsid w:val="00AA6026"/>
    <w:rsid w:val="00AA7758"/>
    <w:rsid w:val="00AA7AB2"/>
    <w:rsid w:val="00AA7F52"/>
    <w:rsid w:val="00AB0695"/>
    <w:rsid w:val="00AB18E4"/>
    <w:rsid w:val="00AB1EA1"/>
    <w:rsid w:val="00AB36B2"/>
    <w:rsid w:val="00AB41FA"/>
    <w:rsid w:val="00AB47D1"/>
    <w:rsid w:val="00AB4F13"/>
    <w:rsid w:val="00AB5A9D"/>
    <w:rsid w:val="00AB7776"/>
    <w:rsid w:val="00AC0814"/>
    <w:rsid w:val="00AC0D60"/>
    <w:rsid w:val="00AC27FA"/>
    <w:rsid w:val="00AC2B6F"/>
    <w:rsid w:val="00AC314B"/>
    <w:rsid w:val="00AC339C"/>
    <w:rsid w:val="00AC34D3"/>
    <w:rsid w:val="00AC3A51"/>
    <w:rsid w:val="00AC446B"/>
    <w:rsid w:val="00AC48B0"/>
    <w:rsid w:val="00AC48B2"/>
    <w:rsid w:val="00AC4B4C"/>
    <w:rsid w:val="00AC51C6"/>
    <w:rsid w:val="00AC5D83"/>
    <w:rsid w:val="00AC67C0"/>
    <w:rsid w:val="00AD2FF3"/>
    <w:rsid w:val="00AD300E"/>
    <w:rsid w:val="00AD3D1F"/>
    <w:rsid w:val="00AD6172"/>
    <w:rsid w:val="00AE00B8"/>
    <w:rsid w:val="00AE06A6"/>
    <w:rsid w:val="00AE231F"/>
    <w:rsid w:val="00AE4849"/>
    <w:rsid w:val="00AE5A37"/>
    <w:rsid w:val="00AE6B80"/>
    <w:rsid w:val="00AE6BC9"/>
    <w:rsid w:val="00AE6C6C"/>
    <w:rsid w:val="00AF0146"/>
    <w:rsid w:val="00AF2A3E"/>
    <w:rsid w:val="00AF3D01"/>
    <w:rsid w:val="00AF4A9A"/>
    <w:rsid w:val="00AF6CC0"/>
    <w:rsid w:val="00AF72CC"/>
    <w:rsid w:val="00AF7A4F"/>
    <w:rsid w:val="00B007C5"/>
    <w:rsid w:val="00B00AB0"/>
    <w:rsid w:val="00B00FA3"/>
    <w:rsid w:val="00B01535"/>
    <w:rsid w:val="00B01A54"/>
    <w:rsid w:val="00B03565"/>
    <w:rsid w:val="00B04B27"/>
    <w:rsid w:val="00B05E90"/>
    <w:rsid w:val="00B11D4E"/>
    <w:rsid w:val="00B1243A"/>
    <w:rsid w:val="00B12823"/>
    <w:rsid w:val="00B141E9"/>
    <w:rsid w:val="00B14553"/>
    <w:rsid w:val="00B17061"/>
    <w:rsid w:val="00B20478"/>
    <w:rsid w:val="00B20799"/>
    <w:rsid w:val="00B21887"/>
    <w:rsid w:val="00B21E04"/>
    <w:rsid w:val="00B22E24"/>
    <w:rsid w:val="00B25146"/>
    <w:rsid w:val="00B27632"/>
    <w:rsid w:val="00B307AC"/>
    <w:rsid w:val="00B30EED"/>
    <w:rsid w:val="00B31A56"/>
    <w:rsid w:val="00B32AB6"/>
    <w:rsid w:val="00B33002"/>
    <w:rsid w:val="00B33220"/>
    <w:rsid w:val="00B33D8E"/>
    <w:rsid w:val="00B34158"/>
    <w:rsid w:val="00B367CD"/>
    <w:rsid w:val="00B368CC"/>
    <w:rsid w:val="00B409DD"/>
    <w:rsid w:val="00B410DC"/>
    <w:rsid w:val="00B411E5"/>
    <w:rsid w:val="00B41D06"/>
    <w:rsid w:val="00B428FB"/>
    <w:rsid w:val="00B43F51"/>
    <w:rsid w:val="00B45296"/>
    <w:rsid w:val="00B50093"/>
    <w:rsid w:val="00B5020E"/>
    <w:rsid w:val="00B5028C"/>
    <w:rsid w:val="00B507BE"/>
    <w:rsid w:val="00B51E8B"/>
    <w:rsid w:val="00B5329D"/>
    <w:rsid w:val="00B539F4"/>
    <w:rsid w:val="00B5567F"/>
    <w:rsid w:val="00B57403"/>
    <w:rsid w:val="00B61ED5"/>
    <w:rsid w:val="00B62185"/>
    <w:rsid w:val="00B6276A"/>
    <w:rsid w:val="00B644B0"/>
    <w:rsid w:val="00B65184"/>
    <w:rsid w:val="00B65B89"/>
    <w:rsid w:val="00B65D97"/>
    <w:rsid w:val="00B70B8E"/>
    <w:rsid w:val="00B70DAF"/>
    <w:rsid w:val="00B71353"/>
    <w:rsid w:val="00B7137A"/>
    <w:rsid w:val="00B7241A"/>
    <w:rsid w:val="00B72C62"/>
    <w:rsid w:val="00B777C9"/>
    <w:rsid w:val="00B80249"/>
    <w:rsid w:val="00B802A9"/>
    <w:rsid w:val="00B81F39"/>
    <w:rsid w:val="00B8313D"/>
    <w:rsid w:val="00B84203"/>
    <w:rsid w:val="00B86478"/>
    <w:rsid w:val="00B87DE0"/>
    <w:rsid w:val="00B927F5"/>
    <w:rsid w:val="00B93553"/>
    <w:rsid w:val="00B93AAF"/>
    <w:rsid w:val="00B9440F"/>
    <w:rsid w:val="00B94A14"/>
    <w:rsid w:val="00B95FAF"/>
    <w:rsid w:val="00B965FF"/>
    <w:rsid w:val="00B975EC"/>
    <w:rsid w:val="00B977F4"/>
    <w:rsid w:val="00B97EA2"/>
    <w:rsid w:val="00BA09DD"/>
    <w:rsid w:val="00BA29F0"/>
    <w:rsid w:val="00BA48EB"/>
    <w:rsid w:val="00BA5518"/>
    <w:rsid w:val="00BB0494"/>
    <w:rsid w:val="00BB3434"/>
    <w:rsid w:val="00BB4614"/>
    <w:rsid w:val="00BB55E2"/>
    <w:rsid w:val="00BB58A2"/>
    <w:rsid w:val="00BB5FEF"/>
    <w:rsid w:val="00BB7689"/>
    <w:rsid w:val="00BB7E8F"/>
    <w:rsid w:val="00BC407D"/>
    <w:rsid w:val="00BC4809"/>
    <w:rsid w:val="00BC4C70"/>
    <w:rsid w:val="00BC4EB4"/>
    <w:rsid w:val="00BC54B5"/>
    <w:rsid w:val="00BC5711"/>
    <w:rsid w:val="00BD234C"/>
    <w:rsid w:val="00BD242D"/>
    <w:rsid w:val="00BD27BB"/>
    <w:rsid w:val="00BD5077"/>
    <w:rsid w:val="00BD607C"/>
    <w:rsid w:val="00BD69E3"/>
    <w:rsid w:val="00BD7A55"/>
    <w:rsid w:val="00BE2F7E"/>
    <w:rsid w:val="00BE5115"/>
    <w:rsid w:val="00BE6F8A"/>
    <w:rsid w:val="00BE7AB7"/>
    <w:rsid w:val="00BE7C66"/>
    <w:rsid w:val="00BF026E"/>
    <w:rsid w:val="00BF22CA"/>
    <w:rsid w:val="00BF292E"/>
    <w:rsid w:val="00BF3927"/>
    <w:rsid w:val="00BF5C7E"/>
    <w:rsid w:val="00BF5FB1"/>
    <w:rsid w:val="00BF6D1E"/>
    <w:rsid w:val="00BF71BD"/>
    <w:rsid w:val="00C0030A"/>
    <w:rsid w:val="00C00668"/>
    <w:rsid w:val="00C028C1"/>
    <w:rsid w:val="00C04411"/>
    <w:rsid w:val="00C0465B"/>
    <w:rsid w:val="00C04CF4"/>
    <w:rsid w:val="00C0551F"/>
    <w:rsid w:val="00C06452"/>
    <w:rsid w:val="00C06617"/>
    <w:rsid w:val="00C06AF9"/>
    <w:rsid w:val="00C10E6A"/>
    <w:rsid w:val="00C1117F"/>
    <w:rsid w:val="00C12ED9"/>
    <w:rsid w:val="00C1449F"/>
    <w:rsid w:val="00C14D83"/>
    <w:rsid w:val="00C1570B"/>
    <w:rsid w:val="00C15D2B"/>
    <w:rsid w:val="00C16133"/>
    <w:rsid w:val="00C16B59"/>
    <w:rsid w:val="00C171E2"/>
    <w:rsid w:val="00C17CA5"/>
    <w:rsid w:val="00C20131"/>
    <w:rsid w:val="00C22304"/>
    <w:rsid w:val="00C22351"/>
    <w:rsid w:val="00C23335"/>
    <w:rsid w:val="00C23480"/>
    <w:rsid w:val="00C23EF3"/>
    <w:rsid w:val="00C2472F"/>
    <w:rsid w:val="00C26CDA"/>
    <w:rsid w:val="00C26EDA"/>
    <w:rsid w:val="00C27D39"/>
    <w:rsid w:val="00C30822"/>
    <w:rsid w:val="00C30C38"/>
    <w:rsid w:val="00C31C47"/>
    <w:rsid w:val="00C332FD"/>
    <w:rsid w:val="00C336BA"/>
    <w:rsid w:val="00C402CA"/>
    <w:rsid w:val="00C413F0"/>
    <w:rsid w:val="00C44032"/>
    <w:rsid w:val="00C442B6"/>
    <w:rsid w:val="00C44352"/>
    <w:rsid w:val="00C4464A"/>
    <w:rsid w:val="00C453BC"/>
    <w:rsid w:val="00C458F9"/>
    <w:rsid w:val="00C4721C"/>
    <w:rsid w:val="00C510B3"/>
    <w:rsid w:val="00C5166D"/>
    <w:rsid w:val="00C52121"/>
    <w:rsid w:val="00C521E4"/>
    <w:rsid w:val="00C528F2"/>
    <w:rsid w:val="00C534E9"/>
    <w:rsid w:val="00C54DDE"/>
    <w:rsid w:val="00C562B1"/>
    <w:rsid w:val="00C56424"/>
    <w:rsid w:val="00C56460"/>
    <w:rsid w:val="00C569D7"/>
    <w:rsid w:val="00C569F8"/>
    <w:rsid w:val="00C57253"/>
    <w:rsid w:val="00C57A18"/>
    <w:rsid w:val="00C607B2"/>
    <w:rsid w:val="00C61067"/>
    <w:rsid w:val="00C61C03"/>
    <w:rsid w:val="00C61F65"/>
    <w:rsid w:val="00C627AB"/>
    <w:rsid w:val="00C627E1"/>
    <w:rsid w:val="00C62EA6"/>
    <w:rsid w:val="00C639C3"/>
    <w:rsid w:val="00C6564C"/>
    <w:rsid w:val="00C668A4"/>
    <w:rsid w:val="00C6698B"/>
    <w:rsid w:val="00C67B56"/>
    <w:rsid w:val="00C67D77"/>
    <w:rsid w:val="00C67DBB"/>
    <w:rsid w:val="00C71140"/>
    <w:rsid w:val="00C718D8"/>
    <w:rsid w:val="00C72D7F"/>
    <w:rsid w:val="00C73F22"/>
    <w:rsid w:val="00C75148"/>
    <w:rsid w:val="00C75F1F"/>
    <w:rsid w:val="00C77147"/>
    <w:rsid w:val="00C80552"/>
    <w:rsid w:val="00C80FFA"/>
    <w:rsid w:val="00C81112"/>
    <w:rsid w:val="00C81941"/>
    <w:rsid w:val="00C832B9"/>
    <w:rsid w:val="00C83DCF"/>
    <w:rsid w:val="00C8492E"/>
    <w:rsid w:val="00C850FF"/>
    <w:rsid w:val="00C85351"/>
    <w:rsid w:val="00C86C98"/>
    <w:rsid w:val="00C8730D"/>
    <w:rsid w:val="00C90F32"/>
    <w:rsid w:val="00C92FEA"/>
    <w:rsid w:val="00C948BD"/>
    <w:rsid w:val="00C949C0"/>
    <w:rsid w:val="00C976CB"/>
    <w:rsid w:val="00CA16A4"/>
    <w:rsid w:val="00CA343D"/>
    <w:rsid w:val="00CA3832"/>
    <w:rsid w:val="00CA4363"/>
    <w:rsid w:val="00CA47CA"/>
    <w:rsid w:val="00CA5076"/>
    <w:rsid w:val="00CA520E"/>
    <w:rsid w:val="00CA666B"/>
    <w:rsid w:val="00CA7E84"/>
    <w:rsid w:val="00CB0B86"/>
    <w:rsid w:val="00CB0C99"/>
    <w:rsid w:val="00CB2D3D"/>
    <w:rsid w:val="00CB3A0C"/>
    <w:rsid w:val="00CB5CC8"/>
    <w:rsid w:val="00CB62EE"/>
    <w:rsid w:val="00CB65C1"/>
    <w:rsid w:val="00CB6EB1"/>
    <w:rsid w:val="00CB7200"/>
    <w:rsid w:val="00CC0776"/>
    <w:rsid w:val="00CC18B8"/>
    <w:rsid w:val="00CC1B41"/>
    <w:rsid w:val="00CC1C0A"/>
    <w:rsid w:val="00CC2167"/>
    <w:rsid w:val="00CC23C1"/>
    <w:rsid w:val="00CC592C"/>
    <w:rsid w:val="00CC64C1"/>
    <w:rsid w:val="00CC6BB7"/>
    <w:rsid w:val="00CC734A"/>
    <w:rsid w:val="00CC7E81"/>
    <w:rsid w:val="00CD09D8"/>
    <w:rsid w:val="00CD0C52"/>
    <w:rsid w:val="00CD1126"/>
    <w:rsid w:val="00CD1733"/>
    <w:rsid w:val="00CD18D0"/>
    <w:rsid w:val="00CD1FFE"/>
    <w:rsid w:val="00CD2DFB"/>
    <w:rsid w:val="00CD35B1"/>
    <w:rsid w:val="00CD3B9E"/>
    <w:rsid w:val="00CD3BBF"/>
    <w:rsid w:val="00CD6527"/>
    <w:rsid w:val="00CD75D0"/>
    <w:rsid w:val="00CE2D8C"/>
    <w:rsid w:val="00CE34D8"/>
    <w:rsid w:val="00CE3B74"/>
    <w:rsid w:val="00CE6EF9"/>
    <w:rsid w:val="00CE77B1"/>
    <w:rsid w:val="00CF01DF"/>
    <w:rsid w:val="00CF021B"/>
    <w:rsid w:val="00CF1985"/>
    <w:rsid w:val="00CF2064"/>
    <w:rsid w:val="00CF213C"/>
    <w:rsid w:val="00CF2CBC"/>
    <w:rsid w:val="00CF3306"/>
    <w:rsid w:val="00CF4354"/>
    <w:rsid w:val="00CF61AC"/>
    <w:rsid w:val="00CF62A4"/>
    <w:rsid w:val="00CF6554"/>
    <w:rsid w:val="00CF7C62"/>
    <w:rsid w:val="00CF7E73"/>
    <w:rsid w:val="00D01CBB"/>
    <w:rsid w:val="00D01F21"/>
    <w:rsid w:val="00D024F3"/>
    <w:rsid w:val="00D0277D"/>
    <w:rsid w:val="00D02843"/>
    <w:rsid w:val="00D02894"/>
    <w:rsid w:val="00D06A80"/>
    <w:rsid w:val="00D10B48"/>
    <w:rsid w:val="00D10F7C"/>
    <w:rsid w:val="00D11198"/>
    <w:rsid w:val="00D11425"/>
    <w:rsid w:val="00D129E0"/>
    <w:rsid w:val="00D13B0D"/>
    <w:rsid w:val="00D1456B"/>
    <w:rsid w:val="00D14FFB"/>
    <w:rsid w:val="00D1545B"/>
    <w:rsid w:val="00D159AD"/>
    <w:rsid w:val="00D15C40"/>
    <w:rsid w:val="00D16F18"/>
    <w:rsid w:val="00D170A8"/>
    <w:rsid w:val="00D174E7"/>
    <w:rsid w:val="00D17FBA"/>
    <w:rsid w:val="00D2003C"/>
    <w:rsid w:val="00D20F11"/>
    <w:rsid w:val="00D2173D"/>
    <w:rsid w:val="00D219BB"/>
    <w:rsid w:val="00D22C24"/>
    <w:rsid w:val="00D23099"/>
    <w:rsid w:val="00D243B6"/>
    <w:rsid w:val="00D24408"/>
    <w:rsid w:val="00D259E8"/>
    <w:rsid w:val="00D26736"/>
    <w:rsid w:val="00D335B1"/>
    <w:rsid w:val="00D33E86"/>
    <w:rsid w:val="00D34133"/>
    <w:rsid w:val="00D35258"/>
    <w:rsid w:val="00D352B2"/>
    <w:rsid w:val="00D35B9E"/>
    <w:rsid w:val="00D366B0"/>
    <w:rsid w:val="00D40519"/>
    <w:rsid w:val="00D4067E"/>
    <w:rsid w:val="00D41F76"/>
    <w:rsid w:val="00D423F8"/>
    <w:rsid w:val="00D42D06"/>
    <w:rsid w:val="00D44D79"/>
    <w:rsid w:val="00D466CB"/>
    <w:rsid w:val="00D47710"/>
    <w:rsid w:val="00D478AE"/>
    <w:rsid w:val="00D47B4C"/>
    <w:rsid w:val="00D51DDD"/>
    <w:rsid w:val="00D52541"/>
    <w:rsid w:val="00D541BA"/>
    <w:rsid w:val="00D5468F"/>
    <w:rsid w:val="00D557BB"/>
    <w:rsid w:val="00D5699B"/>
    <w:rsid w:val="00D56BA5"/>
    <w:rsid w:val="00D56EE7"/>
    <w:rsid w:val="00D5788F"/>
    <w:rsid w:val="00D57F03"/>
    <w:rsid w:val="00D60164"/>
    <w:rsid w:val="00D60A24"/>
    <w:rsid w:val="00D613DD"/>
    <w:rsid w:val="00D6157C"/>
    <w:rsid w:val="00D61EF1"/>
    <w:rsid w:val="00D62805"/>
    <w:rsid w:val="00D62DCE"/>
    <w:rsid w:val="00D67C91"/>
    <w:rsid w:val="00D70249"/>
    <w:rsid w:val="00D70291"/>
    <w:rsid w:val="00D72E48"/>
    <w:rsid w:val="00D73428"/>
    <w:rsid w:val="00D740FA"/>
    <w:rsid w:val="00D74E0C"/>
    <w:rsid w:val="00D75486"/>
    <w:rsid w:val="00D7628E"/>
    <w:rsid w:val="00D803F1"/>
    <w:rsid w:val="00D8085B"/>
    <w:rsid w:val="00D84D27"/>
    <w:rsid w:val="00D84E34"/>
    <w:rsid w:val="00D87619"/>
    <w:rsid w:val="00D87EF9"/>
    <w:rsid w:val="00D90392"/>
    <w:rsid w:val="00D951ED"/>
    <w:rsid w:val="00D974E8"/>
    <w:rsid w:val="00DA0C3A"/>
    <w:rsid w:val="00DA218F"/>
    <w:rsid w:val="00DA4305"/>
    <w:rsid w:val="00DA67AA"/>
    <w:rsid w:val="00DA7D22"/>
    <w:rsid w:val="00DB00AB"/>
    <w:rsid w:val="00DB3F25"/>
    <w:rsid w:val="00DB59DD"/>
    <w:rsid w:val="00DB5B19"/>
    <w:rsid w:val="00DB5F44"/>
    <w:rsid w:val="00DC2782"/>
    <w:rsid w:val="00DC5247"/>
    <w:rsid w:val="00DC536D"/>
    <w:rsid w:val="00DC7CE0"/>
    <w:rsid w:val="00DD0243"/>
    <w:rsid w:val="00DD0C88"/>
    <w:rsid w:val="00DD1718"/>
    <w:rsid w:val="00DD186B"/>
    <w:rsid w:val="00DD1A39"/>
    <w:rsid w:val="00DD2196"/>
    <w:rsid w:val="00DD260F"/>
    <w:rsid w:val="00DD3283"/>
    <w:rsid w:val="00DD3326"/>
    <w:rsid w:val="00DD3A6B"/>
    <w:rsid w:val="00DD6144"/>
    <w:rsid w:val="00DE049F"/>
    <w:rsid w:val="00DE1398"/>
    <w:rsid w:val="00DE2401"/>
    <w:rsid w:val="00DE3A2C"/>
    <w:rsid w:val="00DE42A2"/>
    <w:rsid w:val="00DE649E"/>
    <w:rsid w:val="00DE6B3E"/>
    <w:rsid w:val="00DE6D90"/>
    <w:rsid w:val="00DE7BDD"/>
    <w:rsid w:val="00DF03AC"/>
    <w:rsid w:val="00DF094C"/>
    <w:rsid w:val="00DF1124"/>
    <w:rsid w:val="00DF1D96"/>
    <w:rsid w:val="00DF295D"/>
    <w:rsid w:val="00DF3438"/>
    <w:rsid w:val="00DF4668"/>
    <w:rsid w:val="00DF5E0E"/>
    <w:rsid w:val="00DF61A7"/>
    <w:rsid w:val="00DF715C"/>
    <w:rsid w:val="00DF7AB0"/>
    <w:rsid w:val="00E00DEF"/>
    <w:rsid w:val="00E01A66"/>
    <w:rsid w:val="00E055A6"/>
    <w:rsid w:val="00E06464"/>
    <w:rsid w:val="00E0763C"/>
    <w:rsid w:val="00E07EC1"/>
    <w:rsid w:val="00E1163D"/>
    <w:rsid w:val="00E118AC"/>
    <w:rsid w:val="00E11E2A"/>
    <w:rsid w:val="00E11FC1"/>
    <w:rsid w:val="00E12A1E"/>
    <w:rsid w:val="00E139E5"/>
    <w:rsid w:val="00E1419A"/>
    <w:rsid w:val="00E14CA9"/>
    <w:rsid w:val="00E16D73"/>
    <w:rsid w:val="00E17781"/>
    <w:rsid w:val="00E205E5"/>
    <w:rsid w:val="00E211BA"/>
    <w:rsid w:val="00E2187C"/>
    <w:rsid w:val="00E23417"/>
    <w:rsid w:val="00E247D1"/>
    <w:rsid w:val="00E26CA0"/>
    <w:rsid w:val="00E27171"/>
    <w:rsid w:val="00E300A7"/>
    <w:rsid w:val="00E301CE"/>
    <w:rsid w:val="00E30EBE"/>
    <w:rsid w:val="00E31B5D"/>
    <w:rsid w:val="00E32461"/>
    <w:rsid w:val="00E32E74"/>
    <w:rsid w:val="00E34354"/>
    <w:rsid w:val="00E36516"/>
    <w:rsid w:val="00E36859"/>
    <w:rsid w:val="00E36C40"/>
    <w:rsid w:val="00E37FD9"/>
    <w:rsid w:val="00E40560"/>
    <w:rsid w:val="00E405CD"/>
    <w:rsid w:val="00E43187"/>
    <w:rsid w:val="00E44796"/>
    <w:rsid w:val="00E44D9C"/>
    <w:rsid w:val="00E45C37"/>
    <w:rsid w:val="00E510A1"/>
    <w:rsid w:val="00E51AF7"/>
    <w:rsid w:val="00E52FF7"/>
    <w:rsid w:val="00E54559"/>
    <w:rsid w:val="00E602F0"/>
    <w:rsid w:val="00E60ABD"/>
    <w:rsid w:val="00E61633"/>
    <w:rsid w:val="00E629B8"/>
    <w:rsid w:val="00E6491D"/>
    <w:rsid w:val="00E65F12"/>
    <w:rsid w:val="00E66B89"/>
    <w:rsid w:val="00E67B46"/>
    <w:rsid w:val="00E67D73"/>
    <w:rsid w:val="00E67F2E"/>
    <w:rsid w:val="00E71B31"/>
    <w:rsid w:val="00E72A07"/>
    <w:rsid w:val="00E73089"/>
    <w:rsid w:val="00E73BF4"/>
    <w:rsid w:val="00E75A9E"/>
    <w:rsid w:val="00E7696D"/>
    <w:rsid w:val="00E76BF3"/>
    <w:rsid w:val="00E801EE"/>
    <w:rsid w:val="00E80A33"/>
    <w:rsid w:val="00E80E81"/>
    <w:rsid w:val="00E81496"/>
    <w:rsid w:val="00E817AF"/>
    <w:rsid w:val="00E817CB"/>
    <w:rsid w:val="00E84DE8"/>
    <w:rsid w:val="00E850D2"/>
    <w:rsid w:val="00E86412"/>
    <w:rsid w:val="00E864AC"/>
    <w:rsid w:val="00E879CD"/>
    <w:rsid w:val="00E90694"/>
    <w:rsid w:val="00E911C4"/>
    <w:rsid w:val="00E91BCD"/>
    <w:rsid w:val="00E9346C"/>
    <w:rsid w:val="00E93B11"/>
    <w:rsid w:val="00E96092"/>
    <w:rsid w:val="00E9621E"/>
    <w:rsid w:val="00E96400"/>
    <w:rsid w:val="00E97DB9"/>
    <w:rsid w:val="00EA10E7"/>
    <w:rsid w:val="00EA1454"/>
    <w:rsid w:val="00EA17D9"/>
    <w:rsid w:val="00EA1E72"/>
    <w:rsid w:val="00EA24D4"/>
    <w:rsid w:val="00EA2595"/>
    <w:rsid w:val="00EA41CA"/>
    <w:rsid w:val="00EA520A"/>
    <w:rsid w:val="00EA63C3"/>
    <w:rsid w:val="00EB0EA3"/>
    <w:rsid w:val="00EB1191"/>
    <w:rsid w:val="00EB2111"/>
    <w:rsid w:val="00EB29EE"/>
    <w:rsid w:val="00EB2AD3"/>
    <w:rsid w:val="00EB40FE"/>
    <w:rsid w:val="00EB6278"/>
    <w:rsid w:val="00EB62E0"/>
    <w:rsid w:val="00EB693A"/>
    <w:rsid w:val="00EB7AA3"/>
    <w:rsid w:val="00EC0FA6"/>
    <w:rsid w:val="00EC10FA"/>
    <w:rsid w:val="00EC18A6"/>
    <w:rsid w:val="00EC3A3C"/>
    <w:rsid w:val="00EC3AF1"/>
    <w:rsid w:val="00EC3E0B"/>
    <w:rsid w:val="00EC67C5"/>
    <w:rsid w:val="00EC6930"/>
    <w:rsid w:val="00EC6CD9"/>
    <w:rsid w:val="00EC77B5"/>
    <w:rsid w:val="00ED1824"/>
    <w:rsid w:val="00ED2843"/>
    <w:rsid w:val="00ED29F0"/>
    <w:rsid w:val="00ED518B"/>
    <w:rsid w:val="00ED752C"/>
    <w:rsid w:val="00ED75B2"/>
    <w:rsid w:val="00ED783F"/>
    <w:rsid w:val="00ED7E3A"/>
    <w:rsid w:val="00EE0DEB"/>
    <w:rsid w:val="00EE18C5"/>
    <w:rsid w:val="00EE2D0A"/>
    <w:rsid w:val="00EE3703"/>
    <w:rsid w:val="00EE3F77"/>
    <w:rsid w:val="00EE5698"/>
    <w:rsid w:val="00EE59F7"/>
    <w:rsid w:val="00EE67CE"/>
    <w:rsid w:val="00EE6BFA"/>
    <w:rsid w:val="00EE7F95"/>
    <w:rsid w:val="00EF04DF"/>
    <w:rsid w:val="00EF205B"/>
    <w:rsid w:val="00EF3789"/>
    <w:rsid w:val="00EF4AB3"/>
    <w:rsid w:val="00EF5610"/>
    <w:rsid w:val="00EF5CB2"/>
    <w:rsid w:val="00EF60A2"/>
    <w:rsid w:val="00F01458"/>
    <w:rsid w:val="00F01AF8"/>
    <w:rsid w:val="00F01CA4"/>
    <w:rsid w:val="00F07028"/>
    <w:rsid w:val="00F07D35"/>
    <w:rsid w:val="00F108EA"/>
    <w:rsid w:val="00F1177E"/>
    <w:rsid w:val="00F11F52"/>
    <w:rsid w:val="00F12986"/>
    <w:rsid w:val="00F13516"/>
    <w:rsid w:val="00F13592"/>
    <w:rsid w:val="00F14271"/>
    <w:rsid w:val="00F1608B"/>
    <w:rsid w:val="00F16EAA"/>
    <w:rsid w:val="00F1732C"/>
    <w:rsid w:val="00F21383"/>
    <w:rsid w:val="00F22721"/>
    <w:rsid w:val="00F22E8A"/>
    <w:rsid w:val="00F23501"/>
    <w:rsid w:val="00F236B0"/>
    <w:rsid w:val="00F23AB6"/>
    <w:rsid w:val="00F26724"/>
    <w:rsid w:val="00F27685"/>
    <w:rsid w:val="00F27C29"/>
    <w:rsid w:val="00F3039B"/>
    <w:rsid w:val="00F31F60"/>
    <w:rsid w:val="00F32820"/>
    <w:rsid w:val="00F33211"/>
    <w:rsid w:val="00F34307"/>
    <w:rsid w:val="00F3436E"/>
    <w:rsid w:val="00F35B23"/>
    <w:rsid w:val="00F3631D"/>
    <w:rsid w:val="00F37E3F"/>
    <w:rsid w:val="00F40387"/>
    <w:rsid w:val="00F40676"/>
    <w:rsid w:val="00F40D92"/>
    <w:rsid w:val="00F4140E"/>
    <w:rsid w:val="00F42F9C"/>
    <w:rsid w:val="00F437DA"/>
    <w:rsid w:val="00F45DF8"/>
    <w:rsid w:val="00F463EB"/>
    <w:rsid w:val="00F47D2D"/>
    <w:rsid w:val="00F516A5"/>
    <w:rsid w:val="00F51C49"/>
    <w:rsid w:val="00F52091"/>
    <w:rsid w:val="00F54A72"/>
    <w:rsid w:val="00F55269"/>
    <w:rsid w:val="00F555AB"/>
    <w:rsid w:val="00F55C7C"/>
    <w:rsid w:val="00F560C2"/>
    <w:rsid w:val="00F57D06"/>
    <w:rsid w:val="00F57FCE"/>
    <w:rsid w:val="00F6135B"/>
    <w:rsid w:val="00F61F54"/>
    <w:rsid w:val="00F62987"/>
    <w:rsid w:val="00F65051"/>
    <w:rsid w:val="00F6599E"/>
    <w:rsid w:val="00F66946"/>
    <w:rsid w:val="00F673D9"/>
    <w:rsid w:val="00F677D6"/>
    <w:rsid w:val="00F70C57"/>
    <w:rsid w:val="00F70F37"/>
    <w:rsid w:val="00F70F82"/>
    <w:rsid w:val="00F716C2"/>
    <w:rsid w:val="00F733FD"/>
    <w:rsid w:val="00F7483C"/>
    <w:rsid w:val="00F75053"/>
    <w:rsid w:val="00F807A6"/>
    <w:rsid w:val="00F83679"/>
    <w:rsid w:val="00F83917"/>
    <w:rsid w:val="00F83D42"/>
    <w:rsid w:val="00F84E28"/>
    <w:rsid w:val="00F85B01"/>
    <w:rsid w:val="00F85BFE"/>
    <w:rsid w:val="00F86073"/>
    <w:rsid w:val="00F86F21"/>
    <w:rsid w:val="00F9092D"/>
    <w:rsid w:val="00F913C5"/>
    <w:rsid w:val="00F91CE5"/>
    <w:rsid w:val="00F9212A"/>
    <w:rsid w:val="00F9375B"/>
    <w:rsid w:val="00F942FD"/>
    <w:rsid w:val="00F948E9"/>
    <w:rsid w:val="00F95F88"/>
    <w:rsid w:val="00F96B69"/>
    <w:rsid w:val="00F96DEE"/>
    <w:rsid w:val="00F97DDC"/>
    <w:rsid w:val="00FA07A7"/>
    <w:rsid w:val="00FA087E"/>
    <w:rsid w:val="00FA121E"/>
    <w:rsid w:val="00FA2483"/>
    <w:rsid w:val="00FA2915"/>
    <w:rsid w:val="00FA2C95"/>
    <w:rsid w:val="00FA50B9"/>
    <w:rsid w:val="00FA55E0"/>
    <w:rsid w:val="00FA5A78"/>
    <w:rsid w:val="00FA7550"/>
    <w:rsid w:val="00FA7B2C"/>
    <w:rsid w:val="00FA7BA8"/>
    <w:rsid w:val="00FB0D70"/>
    <w:rsid w:val="00FB513C"/>
    <w:rsid w:val="00FB5B2E"/>
    <w:rsid w:val="00FB5EA2"/>
    <w:rsid w:val="00FB6276"/>
    <w:rsid w:val="00FB6334"/>
    <w:rsid w:val="00FB6469"/>
    <w:rsid w:val="00FB7DD4"/>
    <w:rsid w:val="00FC058A"/>
    <w:rsid w:val="00FC09DF"/>
    <w:rsid w:val="00FC0A95"/>
    <w:rsid w:val="00FC0FE7"/>
    <w:rsid w:val="00FC1BDE"/>
    <w:rsid w:val="00FC2254"/>
    <w:rsid w:val="00FC2FD1"/>
    <w:rsid w:val="00FC33CF"/>
    <w:rsid w:val="00FC4FDA"/>
    <w:rsid w:val="00FC52FB"/>
    <w:rsid w:val="00FC530C"/>
    <w:rsid w:val="00FC55B1"/>
    <w:rsid w:val="00FC5804"/>
    <w:rsid w:val="00FC6C62"/>
    <w:rsid w:val="00FC6D79"/>
    <w:rsid w:val="00FC7C9E"/>
    <w:rsid w:val="00FC7F6C"/>
    <w:rsid w:val="00FD00E2"/>
    <w:rsid w:val="00FD0D08"/>
    <w:rsid w:val="00FD194F"/>
    <w:rsid w:val="00FD248E"/>
    <w:rsid w:val="00FD3868"/>
    <w:rsid w:val="00FD39E3"/>
    <w:rsid w:val="00FD3A37"/>
    <w:rsid w:val="00FD508E"/>
    <w:rsid w:val="00FD550A"/>
    <w:rsid w:val="00FD5888"/>
    <w:rsid w:val="00FD5FD7"/>
    <w:rsid w:val="00FD6B8A"/>
    <w:rsid w:val="00FE02AF"/>
    <w:rsid w:val="00FE0BE8"/>
    <w:rsid w:val="00FE12B9"/>
    <w:rsid w:val="00FE1E9F"/>
    <w:rsid w:val="00FE34DF"/>
    <w:rsid w:val="00FE4585"/>
    <w:rsid w:val="00FE4DEF"/>
    <w:rsid w:val="00FE5938"/>
    <w:rsid w:val="00FE598D"/>
    <w:rsid w:val="00FE79C7"/>
    <w:rsid w:val="00FF2143"/>
    <w:rsid w:val="00FF3163"/>
    <w:rsid w:val="00FF3759"/>
    <w:rsid w:val="00FF45C1"/>
    <w:rsid w:val="00FF518B"/>
    <w:rsid w:val="00FF5EBE"/>
    <w:rsid w:val="00FF624F"/>
    <w:rsid w:val="00FF736F"/>
    <w:rsid w:val="00FF7570"/>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A1F82B"/>
  <w15:chartTrackingRefBased/>
  <w15:docId w15:val="{427AA050-BF2A-4D68-897F-39862E621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65A"/>
  </w:style>
  <w:style w:type="paragraph" w:styleId="Heading1">
    <w:name w:val="heading 1"/>
    <w:basedOn w:val="Normal"/>
    <w:next w:val="Normal"/>
    <w:link w:val="Heading1Char"/>
    <w:uiPriority w:val="9"/>
    <w:qFormat/>
    <w:rsid w:val="00033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2F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2F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52FF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3365A"/>
    <w:pPr>
      <w:spacing w:after="0" w:line="240" w:lineRule="auto"/>
    </w:pPr>
    <w:rPr>
      <w:sz w:val="20"/>
      <w:szCs w:val="20"/>
    </w:rPr>
  </w:style>
  <w:style w:type="character" w:customStyle="1" w:styleId="FootnoteTextChar">
    <w:name w:val="Footnote Text Char"/>
    <w:basedOn w:val="DefaultParagraphFont"/>
    <w:link w:val="FootnoteText"/>
    <w:uiPriority w:val="99"/>
    <w:qFormat/>
    <w:rsid w:val="0003365A"/>
    <w:rPr>
      <w:sz w:val="20"/>
      <w:szCs w:val="20"/>
    </w:rPr>
  </w:style>
  <w:style w:type="character" w:styleId="FootnoteReference">
    <w:name w:val="footnote reference"/>
    <w:basedOn w:val="DefaultParagraphFont"/>
    <w:uiPriority w:val="99"/>
    <w:semiHidden/>
    <w:unhideWhenUsed/>
    <w:rsid w:val="0003365A"/>
    <w:rPr>
      <w:vertAlign w:val="superscript"/>
    </w:rPr>
  </w:style>
  <w:style w:type="character" w:styleId="Hyperlink">
    <w:name w:val="Hyperlink"/>
    <w:basedOn w:val="DefaultParagraphFont"/>
    <w:uiPriority w:val="99"/>
    <w:unhideWhenUsed/>
    <w:rsid w:val="0003365A"/>
    <w:rPr>
      <w:color w:val="0563C1" w:themeColor="hyperlink"/>
      <w:u w:val="single"/>
    </w:rPr>
  </w:style>
  <w:style w:type="character" w:customStyle="1" w:styleId="Heading1Char">
    <w:name w:val="Heading 1 Char"/>
    <w:basedOn w:val="DefaultParagraphFont"/>
    <w:link w:val="Heading1"/>
    <w:uiPriority w:val="9"/>
    <w:rsid w:val="000336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365A"/>
    <w:pPr>
      <w:outlineLvl w:val="9"/>
    </w:pPr>
    <w:rPr>
      <w:kern w:val="0"/>
      <w:lang w:val="en-US"/>
      <w14:ligatures w14:val="none"/>
    </w:rPr>
  </w:style>
  <w:style w:type="paragraph" w:styleId="ListParagraph">
    <w:name w:val="List Paragraph"/>
    <w:basedOn w:val="Normal"/>
    <w:uiPriority w:val="34"/>
    <w:qFormat/>
    <w:rsid w:val="0003365A"/>
    <w:pPr>
      <w:ind w:left="720"/>
      <w:contextualSpacing/>
    </w:pPr>
  </w:style>
  <w:style w:type="paragraph" w:styleId="Header">
    <w:name w:val="header"/>
    <w:basedOn w:val="Normal"/>
    <w:link w:val="HeaderChar"/>
    <w:uiPriority w:val="99"/>
    <w:unhideWhenUsed/>
    <w:rsid w:val="00033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65A"/>
  </w:style>
  <w:style w:type="paragraph" w:styleId="Footer">
    <w:name w:val="footer"/>
    <w:basedOn w:val="Normal"/>
    <w:link w:val="FooterChar"/>
    <w:uiPriority w:val="99"/>
    <w:unhideWhenUsed/>
    <w:rsid w:val="00033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65A"/>
  </w:style>
  <w:style w:type="paragraph" w:styleId="TOC1">
    <w:name w:val="toc 1"/>
    <w:basedOn w:val="Normal"/>
    <w:next w:val="Normal"/>
    <w:autoRedefine/>
    <w:uiPriority w:val="39"/>
    <w:unhideWhenUsed/>
    <w:rsid w:val="00E52FF7"/>
    <w:pPr>
      <w:spacing w:after="100"/>
    </w:pPr>
  </w:style>
  <w:style w:type="character" w:customStyle="1" w:styleId="Heading2Char">
    <w:name w:val="Heading 2 Char"/>
    <w:basedOn w:val="DefaultParagraphFont"/>
    <w:link w:val="Heading2"/>
    <w:uiPriority w:val="9"/>
    <w:rsid w:val="00E52FF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52FF7"/>
    <w:pPr>
      <w:spacing w:after="100"/>
      <w:ind w:left="220"/>
    </w:pPr>
  </w:style>
  <w:style w:type="character" w:customStyle="1" w:styleId="Heading3Char">
    <w:name w:val="Heading 3 Char"/>
    <w:basedOn w:val="DefaultParagraphFont"/>
    <w:link w:val="Heading3"/>
    <w:uiPriority w:val="9"/>
    <w:rsid w:val="00E52FF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52FF7"/>
    <w:pPr>
      <w:spacing w:after="100"/>
      <w:ind w:left="440"/>
    </w:pPr>
  </w:style>
  <w:style w:type="character" w:customStyle="1" w:styleId="Heading4Char">
    <w:name w:val="Heading 4 Char"/>
    <w:basedOn w:val="DefaultParagraphFont"/>
    <w:link w:val="Heading4"/>
    <w:uiPriority w:val="9"/>
    <w:rsid w:val="00E52FF7"/>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A81AEC"/>
    <w:rPr>
      <w:sz w:val="16"/>
      <w:szCs w:val="16"/>
    </w:rPr>
  </w:style>
  <w:style w:type="paragraph" w:styleId="CommentText">
    <w:name w:val="annotation text"/>
    <w:basedOn w:val="Normal"/>
    <w:link w:val="CommentTextChar"/>
    <w:uiPriority w:val="99"/>
    <w:unhideWhenUsed/>
    <w:rsid w:val="00A81AEC"/>
    <w:pPr>
      <w:spacing w:line="240" w:lineRule="auto"/>
    </w:pPr>
    <w:rPr>
      <w:sz w:val="20"/>
      <w:szCs w:val="20"/>
    </w:rPr>
  </w:style>
  <w:style w:type="character" w:customStyle="1" w:styleId="CommentTextChar">
    <w:name w:val="Comment Text Char"/>
    <w:basedOn w:val="DefaultParagraphFont"/>
    <w:link w:val="CommentText"/>
    <w:uiPriority w:val="99"/>
    <w:rsid w:val="00A81AEC"/>
    <w:rPr>
      <w:sz w:val="20"/>
      <w:szCs w:val="20"/>
    </w:rPr>
  </w:style>
  <w:style w:type="paragraph" w:styleId="CommentSubject">
    <w:name w:val="annotation subject"/>
    <w:basedOn w:val="CommentText"/>
    <w:next w:val="CommentText"/>
    <w:link w:val="CommentSubjectChar"/>
    <w:uiPriority w:val="99"/>
    <w:semiHidden/>
    <w:unhideWhenUsed/>
    <w:rsid w:val="00A81AEC"/>
    <w:rPr>
      <w:b/>
      <w:bCs/>
    </w:rPr>
  </w:style>
  <w:style w:type="character" w:customStyle="1" w:styleId="CommentSubjectChar">
    <w:name w:val="Comment Subject Char"/>
    <w:basedOn w:val="CommentTextChar"/>
    <w:link w:val="CommentSubject"/>
    <w:uiPriority w:val="99"/>
    <w:semiHidden/>
    <w:rsid w:val="00A81AEC"/>
    <w:rPr>
      <w:b/>
      <w:bCs/>
      <w:sz w:val="20"/>
      <w:szCs w:val="20"/>
    </w:rPr>
  </w:style>
  <w:style w:type="paragraph" w:styleId="Revision">
    <w:name w:val="Revision"/>
    <w:hidden/>
    <w:uiPriority w:val="99"/>
    <w:semiHidden/>
    <w:rsid w:val="00C80FFA"/>
    <w:pPr>
      <w:spacing w:after="0" w:line="240" w:lineRule="auto"/>
    </w:pPr>
  </w:style>
  <w:style w:type="paragraph" w:styleId="EndnoteText">
    <w:name w:val="endnote text"/>
    <w:basedOn w:val="Normal"/>
    <w:link w:val="EndnoteTextChar"/>
    <w:uiPriority w:val="99"/>
    <w:semiHidden/>
    <w:unhideWhenUsed/>
    <w:rsid w:val="008112D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112D6"/>
    <w:rPr>
      <w:sz w:val="20"/>
      <w:szCs w:val="20"/>
    </w:rPr>
  </w:style>
  <w:style w:type="character" w:styleId="EndnoteReference">
    <w:name w:val="endnote reference"/>
    <w:basedOn w:val="DefaultParagraphFont"/>
    <w:uiPriority w:val="99"/>
    <w:semiHidden/>
    <w:unhideWhenUsed/>
    <w:rsid w:val="008112D6"/>
    <w:rPr>
      <w:vertAlign w:val="superscript"/>
    </w:rPr>
  </w:style>
  <w:style w:type="paragraph" w:styleId="NoSpacing">
    <w:name w:val="No Spacing"/>
    <w:link w:val="NoSpacingChar"/>
    <w:uiPriority w:val="1"/>
    <w:qFormat/>
    <w:rsid w:val="0053395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3395C"/>
    <w:rPr>
      <w:rFonts w:eastAsiaTheme="minorEastAsia"/>
      <w:kern w:val="0"/>
      <w:lang w:val="en-US"/>
      <w14:ligatures w14:val="none"/>
    </w:rPr>
  </w:style>
  <w:style w:type="character" w:styleId="UnresolvedMention">
    <w:name w:val="Unresolved Mention"/>
    <w:basedOn w:val="DefaultParagraphFont"/>
    <w:uiPriority w:val="99"/>
    <w:semiHidden/>
    <w:unhideWhenUsed/>
    <w:rsid w:val="002D2671"/>
    <w:rPr>
      <w:color w:val="605E5C"/>
      <w:shd w:val="clear" w:color="auto" w:fill="E1DFDD"/>
    </w:rPr>
  </w:style>
  <w:style w:type="paragraph" w:customStyle="1" w:styleId="pf0">
    <w:name w:val="pf0"/>
    <w:basedOn w:val="Normal"/>
    <w:rsid w:val="001E7D78"/>
    <w:pPr>
      <w:spacing w:before="100" w:beforeAutospacing="1" w:after="100" w:afterAutospacing="1" w:line="240" w:lineRule="auto"/>
      <w:ind w:left="720"/>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1E7D78"/>
    <w:rPr>
      <w:rFonts w:ascii="Segoe UI" w:hAnsi="Segoe UI" w:cs="Segoe UI" w:hint="default"/>
      <w:sz w:val="18"/>
      <w:szCs w:val="18"/>
    </w:rPr>
  </w:style>
  <w:style w:type="character" w:styleId="FollowedHyperlink">
    <w:name w:val="FollowedHyperlink"/>
    <w:basedOn w:val="DefaultParagraphFont"/>
    <w:uiPriority w:val="99"/>
    <w:semiHidden/>
    <w:unhideWhenUsed/>
    <w:rsid w:val="00AA2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3531">
      <w:bodyDiv w:val="1"/>
      <w:marLeft w:val="0"/>
      <w:marRight w:val="0"/>
      <w:marTop w:val="0"/>
      <w:marBottom w:val="0"/>
      <w:divBdr>
        <w:top w:val="none" w:sz="0" w:space="0" w:color="auto"/>
        <w:left w:val="none" w:sz="0" w:space="0" w:color="auto"/>
        <w:bottom w:val="none" w:sz="0" w:space="0" w:color="auto"/>
        <w:right w:val="none" w:sz="0" w:space="0" w:color="auto"/>
      </w:divBdr>
      <w:divsChild>
        <w:div w:id="97415002">
          <w:marLeft w:val="480"/>
          <w:marRight w:val="0"/>
          <w:marTop w:val="0"/>
          <w:marBottom w:val="0"/>
          <w:divBdr>
            <w:top w:val="none" w:sz="0" w:space="0" w:color="auto"/>
            <w:left w:val="none" w:sz="0" w:space="0" w:color="auto"/>
            <w:bottom w:val="none" w:sz="0" w:space="0" w:color="auto"/>
            <w:right w:val="none" w:sz="0" w:space="0" w:color="auto"/>
          </w:divBdr>
          <w:divsChild>
            <w:div w:id="152281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07049">
      <w:bodyDiv w:val="1"/>
      <w:marLeft w:val="0"/>
      <w:marRight w:val="0"/>
      <w:marTop w:val="0"/>
      <w:marBottom w:val="0"/>
      <w:divBdr>
        <w:top w:val="none" w:sz="0" w:space="0" w:color="auto"/>
        <w:left w:val="none" w:sz="0" w:space="0" w:color="auto"/>
        <w:bottom w:val="none" w:sz="0" w:space="0" w:color="auto"/>
        <w:right w:val="none" w:sz="0" w:space="0" w:color="auto"/>
      </w:divBdr>
      <w:divsChild>
        <w:div w:id="1436057556">
          <w:marLeft w:val="480"/>
          <w:marRight w:val="0"/>
          <w:marTop w:val="0"/>
          <w:marBottom w:val="0"/>
          <w:divBdr>
            <w:top w:val="none" w:sz="0" w:space="0" w:color="auto"/>
            <w:left w:val="none" w:sz="0" w:space="0" w:color="auto"/>
            <w:bottom w:val="none" w:sz="0" w:space="0" w:color="auto"/>
            <w:right w:val="none" w:sz="0" w:space="0" w:color="auto"/>
          </w:divBdr>
          <w:divsChild>
            <w:div w:id="143701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23695">
      <w:bodyDiv w:val="1"/>
      <w:marLeft w:val="0"/>
      <w:marRight w:val="0"/>
      <w:marTop w:val="0"/>
      <w:marBottom w:val="0"/>
      <w:divBdr>
        <w:top w:val="none" w:sz="0" w:space="0" w:color="auto"/>
        <w:left w:val="none" w:sz="0" w:space="0" w:color="auto"/>
        <w:bottom w:val="none" w:sz="0" w:space="0" w:color="auto"/>
        <w:right w:val="none" w:sz="0" w:space="0" w:color="auto"/>
      </w:divBdr>
      <w:divsChild>
        <w:div w:id="532231896">
          <w:marLeft w:val="480"/>
          <w:marRight w:val="0"/>
          <w:marTop w:val="0"/>
          <w:marBottom w:val="0"/>
          <w:divBdr>
            <w:top w:val="none" w:sz="0" w:space="0" w:color="auto"/>
            <w:left w:val="none" w:sz="0" w:space="0" w:color="auto"/>
            <w:bottom w:val="none" w:sz="0" w:space="0" w:color="auto"/>
            <w:right w:val="none" w:sz="0" w:space="0" w:color="auto"/>
          </w:divBdr>
          <w:divsChild>
            <w:div w:id="56676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704841">
      <w:bodyDiv w:val="1"/>
      <w:marLeft w:val="0"/>
      <w:marRight w:val="0"/>
      <w:marTop w:val="0"/>
      <w:marBottom w:val="0"/>
      <w:divBdr>
        <w:top w:val="none" w:sz="0" w:space="0" w:color="auto"/>
        <w:left w:val="none" w:sz="0" w:space="0" w:color="auto"/>
        <w:bottom w:val="none" w:sz="0" w:space="0" w:color="auto"/>
        <w:right w:val="none" w:sz="0" w:space="0" w:color="auto"/>
      </w:divBdr>
      <w:divsChild>
        <w:div w:id="1709866453">
          <w:marLeft w:val="480"/>
          <w:marRight w:val="0"/>
          <w:marTop w:val="0"/>
          <w:marBottom w:val="0"/>
          <w:divBdr>
            <w:top w:val="none" w:sz="0" w:space="0" w:color="auto"/>
            <w:left w:val="none" w:sz="0" w:space="0" w:color="auto"/>
            <w:bottom w:val="none" w:sz="0" w:space="0" w:color="auto"/>
            <w:right w:val="none" w:sz="0" w:space="0" w:color="auto"/>
          </w:divBdr>
          <w:divsChild>
            <w:div w:id="165171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445426">
      <w:bodyDiv w:val="1"/>
      <w:marLeft w:val="0"/>
      <w:marRight w:val="0"/>
      <w:marTop w:val="0"/>
      <w:marBottom w:val="0"/>
      <w:divBdr>
        <w:top w:val="none" w:sz="0" w:space="0" w:color="auto"/>
        <w:left w:val="none" w:sz="0" w:space="0" w:color="auto"/>
        <w:bottom w:val="none" w:sz="0" w:space="0" w:color="auto"/>
        <w:right w:val="none" w:sz="0" w:space="0" w:color="auto"/>
      </w:divBdr>
      <w:divsChild>
        <w:div w:id="1511947630">
          <w:marLeft w:val="480"/>
          <w:marRight w:val="0"/>
          <w:marTop w:val="0"/>
          <w:marBottom w:val="0"/>
          <w:divBdr>
            <w:top w:val="none" w:sz="0" w:space="0" w:color="auto"/>
            <w:left w:val="none" w:sz="0" w:space="0" w:color="auto"/>
            <w:bottom w:val="none" w:sz="0" w:space="0" w:color="auto"/>
            <w:right w:val="none" w:sz="0" w:space="0" w:color="auto"/>
          </w:divBdr>
          <w:divsChild>
            <w:div w:id="145309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187537">
      <w:bodyDiv w:val="1"/>
      <w:marLeft w:val="0"/>
      <w:marRight w:val="0"/>
      <w:marTop w:val="0"/>
      <w:marBottom w:val="0"/>
      <w:divBdr>
        <w:top w:val="none" w:sz="0" w:space="0" w:color="auto"/>
        <w:left w:val="none" w:sz="0" w:space="0" w:color="auto"/>
        <w:bottom w:val="none" w:sz="0" w:space="0" w:color="auto"/>
        <w:right w:val="none" w:sz="0" w:space="0" w:color="auto"/>
      </w:divBdr>
      <w:divsChild>
        <w:div w:id="1996451338">
          <w:marLeft w:val="480"/>
          <w:marRight w:val="0"/>
          <w:marTop w:val="0"/>
          <w:marBottom w:val="0"/>
          <w:divBdr>
            <w:top w:val="none" w:sz="0" w:space="0" w:color="auto"/>
            <w:left w:val="none" w:sz="0" w:space="0" w:color="auto"/>
            <w:bottom w:val="none" w:sz="0" w:space="0" w:color="auto"/>
            <w:right w:val="none" w:sz="0" w:space="0" w:color="auto"/>
          </w:divBdr>
          <w:divsChild>
            <w:div w:id="172382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864029">
      <w:bodyDiv w:val="1"/>
      <w:marLeft w:val="0"/>
      <w:marRight w:val="0"/>
      <w:marTop w:val="0"/>
      <w:marBottom w:val="0"/>
      <w:divBdr>
        <w:top w:val="none" w:sz="0" w:space="0" w:color="auto"/>
        <w:left w:val="none" w:sz="0" w:space="0" w:color="auto"/>
        <w:bottom w:val="none" w:sz="0" w:space="0" w:color="auto"/>
        <w:right w:val="none" w:sz="0" w:space="0" w:color="auto"/>
      </w:divBdr>
      <w:divsChild>
        <w:div w:id="657657921">
          <w:marLeft w:val="480"/>
          <w:marRight w:val="0"/>
          <w:marTop w:val="0"/>
          <w:marBottom w:val="0"/>
          <w:divBdr>
            <w:top w:val="none" w:sz="0" w:space="0" w:color="auto"/>
            <w:left w:val="none" w:sz="0" w:space="0" w:color="auto"/>
            <w:bottom w:val="none" w:sz="0" w:space="0" w:color="auto"/>
            <w:right w:val="none" w:sz="0" w:space="0" w:color="auto"/>
          </w:divBdr>
          <w:divsChild>
            <w:div w:id="35377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617926">
      <w:bodyDiv w:val="1"/>
      <w:marLeft w:val="0"/>
      <w:marRight w:val="0"/>
      <w:marTop w:val="0"/>
      <w:marBottom w:val="0"/>
      <w:divBdr>
        <w:top w:val="none" w:sz="0" w:space="0" w:color="auto"/>
        <w:left w:val="none" w:sz="0" w:space="0" w:color="auto"/>
        <w:bottom w:val="none" w:sz="0" w:space="0" w:color="auto"/>
        <w:right w:val="none" w:sz="0" w:space="0" w:color="auto"/>
      </w:divBdr>
      <w:divsChild>
        <w:div w:id="1729305776">
          <w:marLeft w:val="480"/>
          <w:marRight w:val="0"/>
          <w:marTop w:val="0"/>
          <w:marBottom w:val="0"/>
          <w:divBdr>
            <w:top w:val="none" w:sz="0" w:space="0" w:color="auto"/>
            <w:left w:val="none" w:sz="0" w:space="0" w:color="auto"/>
            <w:bottom w:val="none" w:sz="0" w:space="0" w:color="auto"/>
            <w:right w:val="none" w:sz="0" w:space="0" w:color="auto"/>
          </w:divBdr>
          <w:divsChild>
            <w:div w:id="135102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238111">
      <w:bodyDiv w:val="1"/>
      <w:marLeft w:val="0"/>
      <w:marRight w:val="0"/>
      <w:marTop w:val="0"/>
      <w:marBottom w:val="0"/>
      <w:divBdr>
        <w:top w:val="none" w:sz="0" w:space="0" w:color="auto"/>
        <w:left w:val="none" w:sz="0" w:space="0" w:color="auto"/>
        <w:bottom w:val="none" w:sz="0" w:space="0" w:color="auto"/>
        <w:right w:val="none" w:sz="0" w:space="0" w:color="auto"/>
      </w:divBdr>
      <w:divsChild>
        <w:div w:id="843475369">
          <w:marLeft w:val="480"/>
          <w:marRight w:val="0"/>
          <w:marTop w:val="0"/>
          <w:marBottom w:val="0"/>
          <w:divBdr>
            <w:top w:val="none" w:sz="0" w:space="0" w:color="auto"/>
            <w:left w:val="none" w:sz="0" w:space="0" w:color="auto"/>
            <w:bottom w:val="none" w:sz="0" w:space="0" w:color="auto"/>
            <w:right w:val="none" w:sz="0" w:space="0" w:color="auto"/>
          </w:divBdr>
          <w:divsChild>
            <w:div w:id="205607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430197">
      <w:bodyDiv w:val="1"/>
      <w:marLeft w:val="0"/>
      <w:marRight w:val="0"/>
      <w:marTop w:val="0"/>
      <w:marBottom w:val="0"/>
      <w:divBdr>
        <w:top w:val="none" w:sz="0" w:space="0" w:color="auto"/>
        <w:left w:val="none" w:sz="0" w:space="0" w:color="auto"/>
        <w:bottom w:val="none" w:sz="0" w:space="0" w:color="auto"/>
        <w:right w:val="none" w:sz="0" w:space="0" w:color="auto"/>
      </w:divBdr>
    </w:div>
    <w:div w:id="677973751">
      <w:bodyDiv w:val="1"/>
      <w:marLeft w:val="0"/>
      <w:marRight w:val="0"/>
      <w:marTop w:val="0"/>
      <w:marBottom w:val="0"/>
      <w:divBdr>
        <w:top w:val="none" w:sz="0" w:space="0" w:color="auto"/>
        <w:left w:val="none" w:sz="0" w:space="0" w:color="auto"/>
        <w:bottom w:val="none" w:sz="0" w:space="0" w:color="auto"/>
        <w:right w:val="none" w:sz="0" w:space="0" w:color="auto"/>
      </w:divBdr>
      <w:divsChild>
        <w:div w:id="1069381928">
          <w:marLeft w:val="480"/>
          <w:marRight w:val="0"/>
          <w:marTop w:val="0"/>
          <w:marBottom w:val="0"/>
          <w:divBdr>
            <w:top w:val="none" w:sz="0" w:space="0" w:color="auto"/>
            <w:left w:val="none" w:sz="0" w:space="0" w:color="auto"/>
            <w:bottom w:val="none" w:sz="0" w:space="0" w:color="auto"/>
            <w:right w:val="none" w:sz="0" w:space="0" w:color="auto"/>
          </w:divBdr>
          <w:divsChild>
            <w:div w:id="140837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486647">
      <w:bodyDiv w:val="1"/>
      <w:marLeft w:val="0"/>
      <w:marRight w:val="0"/>
      <w:marTop w:val="0"/>
      <w:marBottom w:val="0"/>
      <w:divBdr>
        <w:top w:val="none" w:sz="0" w:space="0" w:color="auto"/>
        <w:left w:val="none" w:sz="0" w:space="0" w:color="auto"/>
        <w:bottom w:val="none" w:sz="0" w:space="0" w:color="auto"/>
        <w:right w:val="none" w:sz="0" w:space="0" w:color="auto"/>
      </w:divBdr>
      <w:divsChild>
        <w:div w:id="1029835754">
          <w:marLeft w:val="480"/>
          <w:marRight w:val="0"/>
          <w:marTop w:val="0"/>
          <w:marBottom w:val="0"/>
          <w:divBdr>
            <w:top w:val="none" w:sz="0" w:space="0" w:color="auto"/>
            <w:left w:val="none" w:sz="0" w:space="0" w:color="auto"/>
            <w:bottom w:val="none" w:sz="0" w:space="0" w:color="auto"/>
            <w:right w:val="none" w:sz="0" w:space="0" w:color="auto"/>
          </w:divBdr>
          <w:divsChild>
            <w:div w:id="15048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356483">
      <w:bodyDiv w:val="1"/>
      <w:marLeft w:val="0"/>
      <w:marRight w:val="0"/>
      <w:marTop w:val="0"/>
      <w:marBottom w:val="0"/>
      <w:divBdr>
        <w:top w:val="none" w:sz="0" w:space="0" w:color="auto"/>
        <w:left w:val="none" w:sz="0" w:space="0" w:color="auto"/>
        <w:bottom w:val="none" w:sz="0" w:space="0" w:color="auto"/>
        <w:right w:val="none" w:sz="0" w:space="0" w:color="auto"/>
      </w:divBdr>
      <w:divsChild>
        <w:div w:id="1101074481">
          <w:marLeft w:val="480"/>
          <w:marRight w:val="0"/>
          <w:marTop w:val="0"/>
          <w:marBottom w:val="0"/>
          <w:divBdr>
            <w:top w:val="none" w:sz="0" w:space="0" w:color="auto"/>
            <w:left w:val="none" w:sz="0" w:space="0" w:color="auto"/>
            <w:bottom w:val="none" w:sz="0" w:space="0" w:color="auto"/>
            <w:right w:val="none" w:sz="0" w:space="0" w:color="auto"/>
          </w:divBdr>
          <w:divsChild>
            <w:div w:id="53400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57104">
      <w:bodyDiv w:val="1"/>
      <w:marLeft w:val="0"/>
      <w:marRight w:val="0"/>
      <w:marTop w:val="0"/>
      <w:marBottom w:val="0"/>
      <w:divBdr>
        <w:top w:val="none" w:sz="0" w:space="0" w:color="auto"/>
        <w:left w:val="none" w:sz="0" w:space="0" w:color="auto"/>
        <w:bottom w:val="none" w:sz="0" w:space="0" w:color="auto"/>
        <w:right w:val="none" w:sz="0" w:space="0" w:color="auto"/>
      </w:divBdr>
      <w:divsChild>
        <w:div w:id="1840120970">
          <w:marLeft w:val="480"/>
          <w:marRight w:val="0"/>
          <w:marTop w:val="0"/>
          <w:marBottom w:val="0"/>
          <w:divBdr>
            <w:top w:val="none" w:sz="0" w:space="0" w:color="auto"/>
            <w:left w:val="none" w:sz="0" w:space="0" w:color="auto"/>
            <w:bottom w:val="none" w:sz="0" w:space="0" w:color="auto"/>
            <w:right w:val="none" w:sz="0" w:space="0" w:color="auto"/>
          </w:divBdr>
          <w:divsChild>
            <w:div w:id="3073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808312">
      <w:bodyDiv w:val="1"/>
      <w:marLeft w:val="0"/>
      <w:marRight w:val="0"/>
      <w:marTop w:val="0"/>
      <w:marBottom w:val="0"/>
      <w:divBdr>
        <w:top w:val="none" w:sz="0" w:space="0" w:color="auto"/>
        <w:left w:val="none" w:sz="0" w:space="0" w:color="auto"/>
        <w:bottom w:val="none" w:sz="0" w:space="0" w:color="auto"/>
        <w:right w:val="none" w:sz="0" w:space="0" w:color="auto"/>
      </w:divBdr>
      <w:divsChild>
        <w:div w:id="1764260814">
          <w:marLeft w:val="480"/>
          <w:marRight w:val="0"/>
          <w:marTop w:val="0"/>
          <w:marBottom w:val="0"/>
          <w:divBdr>
            <w:top w:val="none" w:sz="0" w:space="0" w:color="auto"/>
            <w:left w:val="none" w:sz="0" w:space="0" w:color="auto"/>
            <w:bottom w:val="none" w:sz="0" w:space="0" w:color="auto"/>
            <w:right w:val="none" w:sz="0" w:space="0" w:color="auto"/>
          </w:divBdr>
          <w:divsChild>
            <w:div w:id="4622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177130">
      <w:bodyDiv w:val="1"/>
      <w:marLeft w:val="0"/>
      <w:marRight w:val="0"/>
      <w:marTop w:val="0"/>
      <w:marBottom w:val="0"/>
      <w:divBdr>
        <w:top w:val="none" w:sz="0" w:space="0" w:color="auto"/>
        <w:left w:val="none" w:sz="0" w:space="0" w:color="auto"/>
        <w:bottom w:val="none" w:sz="0" w:space="0" w:color="auto"/>
        <w:right w:val="none" w:sz="0" w:space="0" w:color="auto"/>
      </w:divBdr>
      <w:divsChild>
        <w:div w:id="1156069108">
          <w:marLeft w:val="480"/>
          <w:marRight w:val="0"/>
          <w:marTop w:val="0"/>
          <w:marBottom w:val="0"/>
          <w:divBdr>
            <w:top w:val="none" w:sz="0" w:space="0" w:color="auto"/>
            <w:left w:val="none" w:sz="0" w:space="0" w:color="auto"/>
            <w:bottom w:val="none" w:sz="0" w:space="0" w:color="auto"/>
            <w:right w:val="none" w:sz="0" w:space="0" w:color="auto"/>
          </w:divBdr>
          <w:divsChild>
            <w:div w:id="158337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424907">
      <w:bodyDiv w:val="1"/>
      <w:marLeft w:val="0"/>
      <w:marRight w:val="0"/>
      <w:marTop w:val="0"/>
      <w:marBottom w:val="0"/>
      <w:divBdr>
        <w:top w:val="none" w:sz="0" w:space="0" w:color="auto"/>
        <w:left w:val="none" w:sz="0" w:space="0" w:color="auto"/>
        <w:bottom w:val="none" w:sz="0" w:space="0" w:color="auto"/>
        <w:right w:val="none" w:sz="0" w:space="0" w:color="auto"/>
      </w:divBdr>
    </w:div>
    <w:div w:id="1006324020">
      <w:bodyDiv w:val="1"/>
      <w:marLeft w:val="0"/>
      <w:marRight w:val="0"/>
      <w:marTop w:val="0"/>
      <w:marBottom w:val="0"/>
      <w:divBdr>
        <w:top w:val="none" w:sz="0" w:space="0" w:color="auto"/>
        <w:left w:val="none" w:sz="0" w:space="0" w:color="auto"/>
        <w:bottom w:val="none" w:sz="0" w:space="0" w:color="auto"/>
        <w:right w:val="none" w:sz="0" w:space="0" w:color="auto"/>
      </w:divBdr>
      <w:divsChild>
        <w:div w:id="1347948513">
          <w:marLeft w:val="480"/>
          <w:marRight w:val="0"/>
          <w:marTop w:val="0"/>
          <w:marBottom w:val="0"/>
          <w:divBdr>
            <w:top w:val="none" w:sz="0" w:space="0" w:color="auto"/>
            <w:left w:val="none" w:sz="0" w:space="0" w:color="auto"/>
            <w:bottom w:val="none" w:sz="0" w:space="0" w:color="auto"/>
            <w:right w:val="none" w:sz="0" w:space="0" w:color="auto"/>
          </w:divBdr>
          <w:divsChild>
            <w:div w:id="153310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929171">
      <w:bodyDiv w:val="1"/>
      <w:marLeft w:val="0"/>
      <w:marRight w:val="0"/>
      <w:marTop w:val="0"/>
      <w:marBottom w:val="0"/>
      <w:divBdr>
        <w:top w:val="none" w:sz="0" w:space="0" w:color="auto"/>
        <w:left w:val="none" w:sz="0" w:space="0" w:color="auto"/>
        <w:bottom w:val="none" w:sz="0" w:space="0" w:color="auto"/>
        <w:right w:val="none" w:sz="0" w:space="0" w:color="auto"/>
      </w:divBdr>
      <w:divsChild>
        <w:div w:id="67384625">
          <w:marLeft w:val="480"/>
          <w:marRight w:val="0"/>
          <w:marTop w:val="0"/>
          <w:marBottom w:val="0"/>
          <w:divBdr>
            <w:top w:val="none" w:sz="0" w:space="0" w:color="auto"/>
            <w:left w:val="none" w:sz="0" w:space="0" w:color="auto"/>
            <w:bottom w:val="none" w:sz="0" w:space="0" w:color="auto"/>
            <w:right w:val="none" w:sz="0" w:space="0" w:color="auto"/>
          </w:divBdr>
          <w:divsChild>
            <w:div w:id="92060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325948">
      <w:bodyDiv w:val="1"/>
      <w:marLeft w:val="0"/>
      <w:marRight w:val="0"/>
      <w:marTop w:val="0"/>
      <w:marBottom w:val="0"/>
      <w:divBdr>
        <w:top w:val="none" w:sz="0" w:space="0" w:color="auto"/>
        <w:left w:val="none" w:sz="0" w:space="0" w:color="auto"/>
        <w:bottom w:val="none" w:sz="0" w:space="0" w:color="auto"/>
        <w:right w:val="none" w:sz="0" w:space="0" w:color="auto"/>
      </w:divBdr>
      <w:divsChild>
        <w:div w:id="233321210">
          <w:marLeft w:val="480"/>
          <w:marRight w:val="0"/>
          <w:marTop w:val="0"/>
          <w:marBottom w:val="0"/>
          <w:divBdr>
            <w:top w:val="none" w:sz="0" w:space="0" w:color="auto"/>
            <w:left w:val="none" w:sz="0" w:space="0" w:color="auto"/>
            <w:bottom w:val="none" w:sz="0" w:space="0" w:color="auto"/>
            <w:right w:val="none" w:sz="0" w:space="0" w:color="auto"/>
          </w:divBdr>
          <w:divsChild>
            <w:div w:id="37559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471807">
      <w:bodyDiv w:val="1"/>
      <w:marLeft w:val="0"/>
      <w:marRight w:val="0"/>
      <w:marTop w:val="0"/>
      <w:marBottom w:val="0"/>
      <w:divBdr>
        <w:top w:val="none" w:sz="0" w:space="0" w:color="auto"/>
        <w:left w:val="none" w:sz="0" w:space="0" w:color="auto"/>
        <w:bottom w:val="none" w:sz="0" w:space="0" w:color="auto"/>
        <w:right w:val="none" w:sz="0" w:space="0" w:color="auto"/>
      </w:divBdr>
    </w:div>
    <w:div w:id="1298754925">
      <w:bodyDiv w:val="1"/>
      <w:marLeft w:val="0"/>
      <w:marRight w:val="0"/>
      <w:marTop w:val="0"/>
      <w:marBottom w:val="0"/>
      <w:divBdr>
        <w:top w:val="none" w:sz="0" w:space="0" w:color="auto"/>
        <w:left w:val="none" w:sz="0" w:space="0" w:color="auto"/>
        <w:bottom w:val="none" w:sz="0" w:space="0" w:color="auto"/>
        <w:right w:val="none" w:sz="0" w:space="0" w:color="auto"/>
      </w:divBdr>
      <w:divsChild>
        <w:div w:id="197087783">
          <w:marLeft w:val="480"/>
          <w:marRight w:val="0"/>
          <w:marTop w:val="0"/>
          <w:marBottom w:val="0"/>
          <w:divBdr>
            <w:top w:val="none" w:sz="0" w:space="0" w:color="auto"/>
            <w:left w:val="none" w:sz="0" w:space="0" w:color="auto"/>
            <w:bottom w:val="none" w:sz="0" w:space="0" w:color="auto"/>
            <w:right w:val="none" w:sz="0" w:space="0" w:color="auto"/>
          </w:divBdr>
          <w:divsChild>
            <w:div w:id="135483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141106">
      <w:bodyDiv w:val="1"/>
      <w:marLeft w:val="0"/>
      <w:marRight w:val="0"/>
      <w:marTop w:val="0"/>
      <w:marBottom w:val="0"/>
      <w:divBdr>
        <w:top w:val="none" w:sz="0" w:space="0" w:color="auto"/>
        <w:left w:val="none" w:sz="0" w:space="0" w:color="auto"/>
        <w:bottom w:val="none" w:sz="0" w:space="0" w:color="auto"/>
        <w:right w:val="none" w:sz="0" w:space="0" w:color="auto"/>
      </w:divBdr>
      <w:divsChild>
        <w:div w:id="1980989394">
          <w:marLeft w:val="480"/>
          <w:marRight w:val="0"/>
          <w:marTop w:val="0"/>
          <w:marBottom w:val="0"/>
          <w:divBdr>
            <w:top w:val="none" w:sz="0" w:space="0" w:color="auto"/>
            <w:left w:val="none" w:sz="0" w:space="0" w:color="auto"/>
            <w:bottom w:val="none" w:sz="0" w:space="0" w:color="auto"/>
            <w:right w:val="none" w:sz="0" w:space="0" w:color="auto"/>
          </w:divBdr>
          <w:divsChild>
            <w:div w:id="92303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834579">
      <w:bodyDiv w:val="1"/>
      <w:marLeft w:val="0"/>
      <w:marRight w:val="0"/>
      <w:marTop w:val="0"/>
      <w:marBottom w:val="0"/>
      <w:divBdr>
        <w:top w:val="none" w:sz="0" w:space="0" w:color="auto"/>
        <w:left w:val="none" w:sz="0" w:space="0" w:color="auto"/>
        <w:bottom w:val="none" w:sz="0" w:space="0" w:color="auto"/>
        <w:right w:val="none" w:sz="0" w:space="0" w:color="auto"/>
      </w:divBdr>
      <w:divsChild>
        <w:div w:id="1988363694">
          <w:marLeft w:val="480"/>
          <w:marRight w:val="0"/>
          <w:marTop w:val="0"/>
          <w:marBottom w:val="0"/>
          <w:divBdr>
            <w:top w:val="none" w:sz="0" w:space="0" w:color="auto"/>
            <w:left w:val="none" w:sz="0" w:space="0" w:color="auto"/>
            <w:bottom w:val="none" w:sz="0" w:space="0" w:color="auto"/>
            <w:right w:val="none" w:sz="0" w:space="0" w:color="auto"/>
          </w:divBdr>
          <w:divsChild>
            <w:div w:id="754740271">
              <w:marLeft w:val="0"/>
              <w:marRight w:val="0"/>
              <w:marTop w:val="0"/>
              <w:marBottom w:val="240"/>
              <w:divBdr>
                <w:top w:val="none" w:sz="0" w:space="0" w:color="auto"/>
                <w:left w:val="none" w:sz="0" w:space="0" w:color="auto"/>
                <w:bottom w:val="none" w:sz="0" w:space="0" w:color="auto"/>
                <w:right w:val="none" w:sz="0" w:space="0" w:color="auto"/>
              </w:divBdr>
            </w:div>
            <w:div w:id="1733036359">
              <w:marLeft w:val="0"/>
              <w:marRight w:val="0"/>
              <w:marTop w:val="0"/>
              <w:marBottom w:val="240"/>
              <w:divBdr>
                <w:top w:val="none" w:sz="0" w:space="0" w:color="auto"/>
                <w:left w:val="none" w:sz="0" w:space="0" w:color="auto"/>
                <w:bottom w:val="none" w:sz="0" w:space="0" w:color="auto"/>
                <w:right w:val="none" w:sz="0" w:space="0" w:color="auto"/>
              </w:divBdr>
            </w:div>
            <w:div w:id="47002139">
              <w:marLeft w:val="0"/>
              <w:marRight w:val="0"/>
              <w:marTop w:val="0"/>
              <w:marBottom w:val="240"/>
              <w:divBdr>
                <w:top w:val="none" w:sz="0" w:space="0" w:color="auto"/>
                <w:left w:val="none" w:sz="0" w:space="0" w:color="auto"/>
                <w:bottom w:val="none" w:sz="0" w:space="0" w:color="auto"/>
                <w:right w:val="none" w:sz="0" w:space="0" w:color="auto"/>
              </w:divBdr>
            </w:div>
            <w:div w:id="1313291383">
              <w:marLeft w:val="0"/>
              <w:marRight w:val="0"/>
              <w:marTop w:val="0"/>
              <w:marBottom w:val="240"/>
              <w:divBdr>
                <w:top w:val="none" w:sz="0" w:space="0" w:color="auto"/>
                <w:left w:val="none" w:sz="0" w:space="0" w:color="auto"/>
                <w:bottom w:val="none" w:sz="0" w:space="0" w:color="auto"/>
                <w:right w:val="none" w:sz="0" w:space="0" w:color="auto"/>
              </w:divBdr>
            </w:div>
            <w:div w:id="804159425">
              <w:marLeft w:val="0"/>
              <w:marRight w:val="0"/>
              <w:marTop w:val="0"/>
              <w:marBottom w:val="240"/>
              <w:divBdr>
                <w:top w:val="none" w:sz="0" w:space="0" w:color="auto"/>
                <w:left w:val="none" w:sz="0" w:space="0" w:color="auto"/>
                <w:bottom w:val="none" w:sz="0" w:space="0" w:color="auto"/>
                <w:right w:val="none" w:sz="0" w:space="0" w:color="auto"/>
              </w:divBdr>
            </w:div>
            <w:div w:id="832531919">
              <w:marLeft w:val="0"/>
              <w:marRight w:val="0"/>
              <w:marTop w:val="0"/>
              <w:marBottom w:val="240"/>
              <w:divBdr>
                <w:top w:val="none" w:sz="0" w:space="0" w:color="auto"/>
                <w:left w:val="none" w:sz="0" w:space="0" w:color="auto"/>
                <w:bottom w:val="none" w:sz="0" w:space="0" w:color="auto"/>
                <w:right w:val="none" w:sz="0" w:space="0" w:color="auto"/>
              </w:divBdr>
            </w:div>
            <w:div w:id="921062306">
              <w:marLeft w:val="0"/>
              <w:marRight w:val="0"/>
              <w:marTop w:val="0"/>
              <w:marBottom w:val="240"/>
              <w:divBdr>
                <w:top w:val="none" w:sz="0" w:space="0" w:color="auto"/>
                <w:left w:val="none" w:sz="0" w:space="0" w:color="auto"/>
                <w:bottom w:val="none" w:sz="0" w:space="0" w:color="auto"/>
                <w:right w:val="none" w:sz="0" w:space="0" w:color="auto"/>
              </w:divBdr>
            </w:div>
            <w:div w:id="598102555">
              <w:marLeft w:val="0"/>
              <w:marRight w:val="0"/>
              <w:marTop w:val="0"/>
              <w:marBottom w:val="240"/>
              <w:divBdr>
                <w:top w:val="none" w:sz="0" w:space="0" w:color="auto"/>
                <w:left w:val="none" w:sz="0" w:space="0" w:color="auto"/>
                <w:bottom w:val="none" w:sz="0" w:space="0" w:color="auto"/>
                <w:right w:val="none" w:sz="0" w:space="0" w:color="auto"/>
              </w:divBdr>
            </w:div>
            <w:div w:id="1851406181">
              <w:marLeft w:val="0"/>
              <w:marRight w:val="0"/>
              <w:marTop w:val="0"/>
              <w:marBottom w:val="240"/>
              <w:divBdr>
                <w:top w:val="none" w:sz="0" w:space="0" w:color="auto"/>
                <w:left w:val="none" w:sz="0" w:space="0" w:color="auto"/>
                <w:bottom w:val="none" w:sz="0" w:space="0" w:color="auto"/>
                <w:right w:val="none" w:sz="0" w:space="0" w:color="auto"/>
              </w:divBdr>
            </w:div>
            <w:div w:id="760874590">
              <w:marLeft w:val="0"/>
              <w:marRight w:val="0"/>
              <w:marTop w:val="0"/>
              <w:marBottom w:val="240"/>
              <w:divBdr>
                <w:top w:val="none" w:sz="0" w:space="0" w:color="auto"/>
                <w:left w:val="none" w:sz="0" w:space="0" w:color="auto"/>
                <w:bottom w:val="none" w:sz="0" w:space="0" w:color="auto"/>
                <w:right w:val="none" w:sz="0" w:space="0" w:color="auto"/>
              </w:divBdr>
            </w:div>
            <w:div w:id="1045328222">
              <w:marLeft w:val="0"/>
              <w:marRight w:val="0"/>
              <w:marTop w:val="0"/>
              <w:marBottom w:val="240"/>
              <w:divBdr>
                <w:top w:val="none" w:sz="0" w:space="0" w:color="auto"/>
                <w:left w:val="none" w:sz="0" w:space="0" w:color="auto"/>
                <w:bottom w:val="none" w:sz="0" w:space="0" w:color="auto"/>
                <w:right w:val="none" w:sz="0" w:space="0" w:color="auto"/>
              </w:divBdr>
            </w:div>
            <w:div w:id="1063212506">
              <w:marLeft w:val="0"/>
              <w:marRight w:val="0"/>
              <w:marTop w:val="0"/>
              <w:marBottom w:val="240"/>
              <w:divBdr>
                <w:top w:val="none" w:sz="0" w:space="0" w:color="auto"/>
                <w:left w:val="none" w:sz="0" w:space="0" w:color="auto"/>
                <w:bottom w:val="none" w:sz="0" w:space="0" w:color="auto"/>
                <w:right w:val="none" w:sz="0" w:space="0" w:color="auto"/>
              </w:divBdr>
            </w:div>
            <w:div w:id="1036008334">
              <w:marLeft w:val="0"/>
              <w:marRight w:val="0"/>
              <w:marTop w:val="0"/>
              <w:marBottom w:val="240"/>
              <w:divBdr>
                <w:top w:val="none" w:sz="0" w:space="0" w:color="auto"/>
                <w:left w:val="none" w:sz="0" w:space="0" w:color="auto"/>
                <w:bottom w:val="none" w:sz="0" w:space="0" w:color="auto"/>
                <w:right w:val="none" w:sz="0" w:space="0" w:color="auto"/>
              </w:divBdr>
            </w:div>
            <w:div w:id="1395616630">
              <w:marLeft w:val="0"/>
              <w:marRight w:val="0"/>
              <w:marTop w:val="0"/>
              <w:marBottom w:val="240"/>
              <w:divBdr>
                <w:top w:val="none" w:sz="0" w:space="0" w:color="auto"/>
                <w:left w:val="none" w:sz="0" w:space="0" w:color="auto"/>
                <w:bottom w:val="none" w:sz="0" w:space="0" w:color="auto"/>
                <w:right w:val="none" w:sz="0" w:space="0" w:color="auto"/>
              </w:divBdr>
            </w:div>
            <w:div w:id="1091127518">
              <w:marLeft w:val="0"/>
              <w:marRight w:val="0"/>
              <w:marTop w:val="0"/>
              <w:marBottom w:val="240"/>
              <w:divBdr>
                <w:top w:val="none" w:sz="0" w:space="0" w:color="auto"/>
                <w:left w:val="none" w:sz="0" w:space="0" w:color="auto"/>
                <w:bottom w:val="none" w:sz="0" w:space="0" w:color="auto"/>
                <w:right w:val="none" w:sz="0" w:space="0" w:color="auto"/>
              </w:divBdr>
            </w:div>
            <w:div w:id="415055946">
              <w:marLeft w:val="0"/>
              <w:marRight w:val="0"/>
              <w:marTop w:val="0"/>
              <w:marBottom w:val="240"/>
              <w:divBdr>
                <w:top w:val="none" w:sz="0" w:space="0" w:color="auto"/>
                <w:left w:val="none" w:sz="0" w:space="0" w:color="auto"/>
                <w:bottom w:val="none" w:sz="0" w:space="0" w:color="auto"/>
                <w:right w:val="none" w:sz="0" w:space="0" w:color="auto"/>
              </w:divBdr>
            </w:div>
            <w:div w:id="1750887083">
              <w:marLeft w:val="0"/>
              <w:marRight w:val="0"/>
              <w:marTop w:val="0"/>
              <w:marBottom w:val="240"/>
              <w:divBdr>
                <w:top w:val="none" w:sz="0" w:space="0" w:color="auto"/>
                <w:left w:val="none" w:sz="0" w:space="0" w:color="auto"/>
                <w:bottom w:val="none" w:sz="0" w:space="0" w:color="auto"/>
                <w:right w:val="none" w:sz="0" w:space="0" w:color="auto"/>
              </w:divBdr>
            </w:div>
            <w:div w:id="1093283552">
              <w:marLeft w:val="0"/>
              <w:marRight w:val="0"/>
              <w:marTop w:val="0"/>
              <w:marBottom w:val="240"/>
              <w:divBdr>
                <w:top w:val="none" w:sz="0" w:space="0" w:color="auto"/>
                <w:left w:val="none" w:sz="0" w:space="0" w:color="auto"/>
                <w:bottom w:val="none" w:sz="0" w:space="0" w:color="auto"/>
                <w:right w:val="none" w:sz="0" w:space="0" w:color="auto"/>
              </w:divBdr>
            </w:div>
            <w:div w:id="1851069191">
              <w:marLeft w:val="0"/>
              <w:marRight w:val="0"/>
              <w:marTop w:val="0"/>
              <w:marBottom w:val="240"/>
              <w:divBdr>
                <w:top w:val="none" w:sz="0" w:space="0" w:color="auto"/>
                <w:left w:val="none" w:sz="0" w:space="0" w:color="auto"/>
                <w:bottom w:val="none" w:sz="0" w:space="0" w:color="auto"/>
                <w:right w:val="none" w:sz="0" w:space="0" w:color="auto"/>
              </w:divBdr>
            </w:div>
            <w:div w:id="274025113">
              <w:marLeft w:val="0"/>
              <w:marRight w:val="0"/>
              <w:marTop w:val="0"/>
              <w:marBottom w:val="240"/>
              <w:divBdr>
                <w:top w:val="none" w:sz="0" w:space="0" w:color="auto"/>
                <w:left w:val="none" w:sz="0" w:space="0" w:color="auto"/>
                <w:bottom w:val="none" w:sz="0" w:space="0" w:color="auto"/>
                <w:right w:val="none" w:sz="0" w:space="0" w:color="auto"/>
              </w:divBdr>
            </w:div>
            <w:div w:id="1779444566">
              <w:marLeft w:val="0"/>
              <w:marRight w:val="0"/>
              <w:marTop w:val="0"/>
              <w:marBottom w:val="240"/>
              <w:divBdr>
                <w:top w:val="none" w:sz="0" w:space="0" w:color="auto"/>
                <w:left w:val="none" w:sz="0" w:space="0" w:color="auto"/>
                <w:bottom w:val="none" w:sz="0" w:space="0" w:color="auto"/>
                <w:right w:val="none" w:sz="0" w:space="0" w:color="auto"/>
              </w:divBdr>
            </w:div>
            <w:div w:id="193661767">
              <w:marLeft w:val="0"/>
              <w:marRight w:val="0"/>
              <w:marTop w:val="0"/>
              <w:marBottom w:val="240"/>
              <w:divBdr>
                <w:top w:val="none" w:sz="0" w:space="0" w:color="auto"/>
                <w:left w:val="none" w:sz="0" w:space="0" w:color="auto"/>
                <w:bottom w:val="none" w:sz="0" w:space="0" w:color="auto"/>
                <w:right w:val="none" w:sz="0" w:space="0" w:color="auto"/>
              </w:divBdr>
            </w:div>
            <w:div w:id="872183868">
              <w:marLeft w:val="0"/>
              <w:marRight w:val="0"/>
              <w:marTop w:val="0"/>
              <w:marBottom w:val="240"/>
              <w:divBdr>
                <w:top w:val="none" w:sz="0" w:space="0" w:color="auto"/>
                <w:left w:val="none" w:sz="0" w:space="0" w:color="auto"/>
                <w:bottom w:val="none" w:sz="0" w:space="0" w:color="auto"/>
                <w:right w:val="none" w:sz="0" w:space="0" w:color="auto"/>
              </w:divBdr>
            </w:div>
            <w:div w:id="1100447663">
              <w:marLeft w:val="0"/>
              <w:marRight w:val="0"/>
              <w:marTop w:val="0"/>
              <w:marBottom w:val="240"/>
              <w:divBdr>
                <w:top w:val="none" w:sz="0" w:space="0" w:color="auto"/>
                <w:left w:val="none" w:sz="0" w:space="0" w:color="auto"/>
                <w:bottom w:val="none" w:sz="0" w:space="0" w:color="auto"/>
                <w:right w:val="none" w:sz="0" w:space="0" w:color="auto"/>
              </w:divBdr>
            </w:div>
            <w:div w:id="22024394">
              <w:marLeft w:val="0"/>
              <w:marRight w:val="0"/>
              <w:marTop w:val="0"/>
              <w:marBottom w:val="240"/>
              <w:divBdr>
                <w:top w:val="none" w:sz="0" w:space="0" w:color="auto"/>
                <w:left w:val="none" w:sz="0" w:space="0" w:color="auto"/>
                <w:bottom w:val="none" w:sz="0" w:space="0" w:color="auto"/>
                <w:right w:val="none" w:sz="0" w:space="0" w:color="auto"/>
              </w:divBdr>
            </w:div>
            <w:div w:id="828596294">
              <w:marLeft w:val="0"/>
              <w:marRight w:val="0"/>
              <w:marTop w:val="0"/>
              <w:marBottom w:val="240"/>
              <w:divBdr>
                <w:top w:val="none" w:sz="0" w:space="0" w:color="auto"/>
                <w:left w:val="none" w:sz="0" w:space="0" w:color="auto"/>
                <w:bottom w:val="none" w:sz="0" w:space="0" w:color="auto"/>
                <w:right w:val="none" w:sz="0" w:space="0" w:color="auto"/>
              </w:divBdr>
            </w:div>
            <w:div w:id="259069581">
              <w:marLeft w:val="0"/>
              <w:marRight w:val="0"/>
              <w:marTop w:val="0"/>
              <w:marBottom w:val="240"/>
              <w:divBdr>
                <w:top w:val="none" w:sz="0" w:space="0" w:color="auto"/>
                <w:left w:val="none" w:sz="0" w:space="0" w:color="auto"/>
                <w:bottom w:val="none" w:sz="0" w:space="0" w:color="auto"/>
                <w:right w:val="none" w:sz="0" w:space="0" w:color="auto"/>
              </w:divBdr>
            </w:div>
            <w:div w:id="658996319">
              <w:marLeft w:val="0"/>
              <w:marRight w:val="0"/>
              <w:marTop w:val="0"/>
              <w:marBottom w:val="240"/>
              <w:divBdr>
                <w:top w:val="none" w:sz="0" w:space="0" w:color="auto"/>
                <w:left w:val="none" w:sz="0" w:space="0" w:color="auto"/>
                <w:bottom w:val="none" w:sz="0" w:space="0" w:color="auto"/>
                <w:right w:val="none" w:sz="0" w:space="0" w:color="auto"/>
              </w:divBdr>
            </w:div>
            <w:div w:id="1859851720">
              <w:marLeft w:val="0"/>
              <w:marRight w:val="0"/>
              <w:marTop w:val="0"/>
              <w:marBottom w:val="240"/>
              <w:divBdr>
                <w:top w:val="none" w:sz="0" w:space="0" w:color="auto"/>
                <w:left w:val="none" w:sz="0" w:space="0" w:color="auto"/>
                <w:bottom w:val="none" w:sz="0" w:space="0" w:color="auto"/>
                <w:right w:val="none" w:sz="0" w:space="0" w:color="auto"/>
              </w:divBdr>
            </w:div>
            <w:div w:id="374891394">
              <w:marLeft w:val="0"/>
              <w:marRight w:val="0"/>
              <w:marTop w:val="0"/>
              <w:marBottom w:val="240"/>
              <w:divBdr>
                <w:top w:val="none" w:sz="0" w:space="0" w:color="auto"/>
                <w:left w:val="none" w:sz="0" w:space="0" w:color="auto"/>
                <w:bottom w:val="none" w:sz="0" w:space="0" w:color="auto"/>
                <w:right w:val="none" w:sz="0" w:space="0" w:color="auto"/>
              </w:divBdr>
            </w:div>
            <w:div w:id="436870539">
              <w:marLeft w:val="0"/>
              <w:marRight w:val="0"/>
              <w:marTop w:val="0"/>
              <w:marBottom w:val="240"/>
              <w:divBdr>
                <w:top w:val="none" w:sz="0" w:space="0" w:color="auto"/>
                <w:left w:val="none" w:sz="0" w:space="0" w:color="auto"/>
                <w:bottom w:val="none" w:sz="0" w:space="0" w:color="auto"/>
                <w:right w:val="none" w:sz="0" w:space="0" w:color="auto"/>
              </w:divBdr>
            </w:div>
            <w:div w:id="1718430475">
              <w:marLeft w:val="0"/>
              <w:marRight w:val="0"/>
              <w:marTop w:val="0"/>
              <w:marBottom w:val="240"/>
              <w:divBdr>
                <w:top w:val="none" w:sz="0" w:space="0" w:color="auto"/>
                <w:left w:val="none" w:sz="0" w:space="0" w:color="auto"/>
                <w:bottom w:val="none" w:sz="0" w:space="0" w:color="auto"/>
                <w:right w:val="none" w:sz="0" w:space="0" w:color="auto"/>
              </w:divBdr>
            </w:div>
            <w:div w:id="1455516247">
              <w:marLeft w:val="0"/>
              <w:marRight w:val="0"/>
              <w:marTop w:val="0"/>
              <w:marBottom w:val="240"/>
              <w:divBdr>
                <w:top w:val="none" w:sz="0" w:space="0" w:color="auto"/>
                <w:left w:val="none" w:sz="0" w:space="0" w:color="auto"/>
                <w:bottom w:val="none" w:sz="0" w:space="0" w:color="auto"/>
                <w:right w:val="none" w:sz="0" w:space="0" w:color="auto"/>
              </w:divBdr>
            </w:div>
            <w:div w:id="702053655">
              <w:marLeft w:val="0"/>
              <w:marRight w:val="0"/>
              <w:marTop w:val="0"/>
              <w:marBottom w:val="240"/>
              <w:divBdr>
                <w:top w:val="none" w:sz="0" w:space="0" w:color="auto"/>
                <w:left w:val="none" w:sz="0" w:space="0" w:color="auto"/>
                <w:bottom w:val="none" w:sz="0" w:space="0" w:color="auto"/>
                <w:right w:val="none" w:sz="0" w:space="0" w:color="auto"/>
              </w:divBdr>
            </w:div>
            <w:div w:id="209266344">
              <w:marLeft w:val="0"/>
              <w:marRight w:val="0"/>
              <w:marTop w:val="0"/>
              <w:marBottom w:val="240"/>
              <w:divBdr>
                <w:top w:val="none" w:sz="0" w:space="0" w:color="auto"/>
                <w:left w:val="none" w:sz="0" w:space="0" w:color="auto"/>
                <w:bottom w:val="none" w:sz="0" w:space="0" w:color="auto"/>
                <w:right w:val="none" w:sz="0" w:space="0" w:color="auto"/>
              </w:divBdr>
            </w:div>
            <w:div w:id="2100633515">
              <w:marLeft w:val="0"/>
              <w:marRight w:val="0"/>
              <w:marTop w:val="0"/>
              <w:marBottom w:val="240"/>
              <w:divBdr>
                <w:top w:val="none" w:sz="0" w:space="0" w:color="auto"/>
                <w:left w:val="none" w:sz="0" w:space="0" w:color="auto"/>
                <w:bottom w:val="none" w:sz="0" w:space="0" w:color="auto"/>
                <w:right w:val="none" w:sz="0" w:space="0" w:color="auto"/>
              </w:divBdr>
            </w:div>
            <w:div w:id="1775779699">
              <w:marLeft w:val="0"/>
              <w:marRight w:val="0"/>
              <w:marTop w:val="0"/>
              <w:marBottom w:val="240"/>
              <w:divBdr>
                <w:top w:val="none" w:sz="0" w:space="0" w:color="auto"/>
                <w:left w:val="none" w:sz="0" w:space="0" w:color="auto"/>
                <w:bottom w:val="none" w:sz="0" w:space="0" w:color="auto"/>
                <w:right w:val="none" w:sz="0" w:space="0" w:color="auto"/>
              </w:divBdr>
            </w:div>
            <w:div w:id="1266772594">
              <w:marLeft w:val="0"/>
              <w:marRight w:val="0"/>
              <w:marTop w:val="0"/>
              <w:marBottom w:val="240"/>
              <w:divBdr>
                <w:top w:val="none" w:sz="0" w:space="0" w:color="auto"/>
                <w:left w:val="none" w:sz="0" w:space="0" w:color="auto"/>
                <w:bottom w:val="none" w:sz="0" w:space="0" w:color="auto"/>
                <w:right w:val="none" w:sz="0" w:space="0" w:color="auto"/>
              </w:divBdr>
            </w:div>
            <w:div w:id="1365129278">
              <w:marLeft w:val="0"/>
              <w:marRight w:val="0"/>
              <w:marTop w:val="0"/>
              <w:marBottom w:val="240"/>
              <w:divBdr>
                <w:top w:val="none" w:sz="0" w:space="0" w:color="auto"/>
                <w:left w:val="none" w:sz="0" w:space="0" w:color="auto"/>
                <w:bottom w:val="none" w:sz="0" w:space="0" w:color="auto"/>
                <w:right w:val="none" w:sz="0" w:space="0" w:color="auto"/>
              </w:divBdr>
            </w:div>
            <w:div w:id="931474592">
              <w:marLeft w:val="0"/>
              <w:marRight w:val="0"/>
              <w:marTop w:val="0"/>
              <w:marBottom w:val="240"/>
              <w:divBdr>
                <w:top w:val="none" w:sz="0" w:space="0" w:color="auto"/>
                <w:left w:val="none" w:sz="0" w:space="0" w:color="auto"/>
                <w:bottom w:val="none" w:sz="0" w:space="0" w:color="auto"/>
                <w:right w:val="none" w:sz="0" w:space="0" w:color="auto"/>
              </w:divBdr>
            </w:div>
            <w:div w:id="27144733">
              <w:marLeft w:val="0"/>
              <w:marRight w:val="0"/>
              <w:marTop w:val="0"/>
              <w:marBottom w:val="240"/>
              <w:divBdr>
                <w:top w:val="none" w:sz="0" w:space="0" w:color="auto"/>
                <w:left w:val="none" w:sz="0" w:space="0" w:color="auto"/>
                <w:bottom w:val="none" w:sz="0" w:space="0" w:color="auto"/>
                <w:right w:val="none" w:sz="0" w:space="0" w:color="auto"/>
              </w:divBdr>
            </w:div>
            <w:div w:id="452870377">
              <w:marLeft w:val="0"/>
              <w:marRight w:val="0"/>
              <w:marTop w:val="0"/>
              <w:marBottom w:val="240"/>
              <w:divBdr>
                <w:top w:val="none" w:sz="0" w:space="0" w:color="auto"/>
                <w:left w:val="none" w:sz="0" w:space="0" w:color="auto"/>
                <w:bottom w:val="none" w:sz="0" w:space="0" w:color="auto"/>
                <w:right w:val="none" w:sz="0" w:space="0" w:color="auto"/>
              </w:divBdr>
            </w:div>
            <w:div w:id="1244922531">
              <w:marLeft w:val="0"/>
              <w:marRight w:val="0"/>
              <w:marTop w:val="0"/>
              <w:marBottom w:val="240"/>
              <w:divBdr>
                <w:top w:val="none" w:sz="0" w:space="0" w:color="auto"/>
                <w:left w:val="none" w:sz="0" w:space="0" w:color="auto"/>
                <w:bottom w:val="none" w:sz="0" w:space="0" w:color="auto"/>
                <w:right w:val="none" w:sz="0" w:space="0" w:color="auto"/>
              </w:divBdr>
            </w:div>
            <w:div w:id="1102804440">
              <w:marLeft w:val="0"/>
              <w:marRight w:val="0"/>
              <w:marTop w:val="0"/>
              <w:marBottom w:val="240"/>
              <w:divBdr>
                <w:top w:val="none" w:sz="0" w:space="0" w:color="auto"/>
                <w:left w:val="none" w:sz="0" w:space="0" w:color="auto"/>
                <w:bottom w:val="none" w:sz="0" w:space="0" w:color="auto"/>
                <w:right w:val="none" w:sz="0" w:space="0" w:color="auto"/>
              </w:divBdr>
            </w:div>
            <w:div w:id="108209106">
              <w:marLeft w:val="0"/>
              <w:marRight w:val="0"/>
              <w:marTop w:val="0"/>
              <w:marBottom w:val="240"/>
              <w:divBdr>
                <w:top w:val="none" w:sz="0" w:space="0" w:color="auto"/>
                <w:left w:val="none" w:sz="0" w:space="0" w:color="auto"/>
                <w:bottom w:val="none" w:sz="0" w:space="0" w:color="auto"/>
                <w:right w:val="none" w:sz="0" w:space="0" w:color="auto"/>
              </w:divBdr>
            </w:div>
            <w:div w:id="1346519266">
              <w:marLeft w:val="0"/>
              <w:marRight w:val="0"/>
              <w:marTop w:val="0"/>
              <w:marBottom w:val="240"/>
              <w:divBdr>
                <w:top w:val="none" w:sz="0" w:space="0" w:color="auto"/>
                <w:left w:val="none" w:sz="0" w:space="0" w:color="auto"/>
                <w:bottom w:val="none" w:sz="0" w:space="0" w:color="auto"/>
                <w:right w:val="none" w:sz="0" w:space="0" w:color="auto"/>
              </w:divBdr>
            </w:div>
            <w:div w:id="1030841509">
              <w:marLeft w:val="0"/>
              <w:marRight w:val="0"/>
              <w:marTop w:val="0"/>
              <w:marBottom w:val="240"/>
              <w:divBdr>
                <w:top w:val="none" w:sz="0" w:space="0" w:color="auto"/>
                <w:left w:val="none" w:sz="0" w:space="0" w:color="auto"/>
                <w:bottom w:val="none" w:sz="0" w:space="0" w:color="auto"/>
                <w:right w:val="none" w:sz="0" w:space="0" w:color="auto"/>
              </w:divBdr>
            </w:div>
            <w:div w:id="1084110963">
              <w:marLeft w:val="0"/>
              <w:marRight w:val="0"/>
              <w:marTop w:val="0"/>
              <w:marBottom w:val="240"/>
              <w:divBdr>
                <w:top w:val="none" w:sz="0" w:space="0" w:color="auto"/>
                <w:left w:val="none" w:sz="0" w:space="0" w:color="auto"/>
                <w:bottom w:val="none" w:sz="0" w:space="0" w:color="auto"/>
                <w:right w:val="none" w:sz="0" w:space="0" w:color="auto"/>
              </w:divBdr>
            </w:div>
            <w:div w:id="630290083">
              <w:marLeft w:val="0"/>
              <w:marRight w:val="0"/>
              <w:marTop w:val="0"/>
              <w:marBottom w:val="240"/>
              <w:divBdr>
                <w:top w:val="none" w:sz="0" w:space="0" w:color="auto"/>
                <w:left w:val="none" w:sz="0" w:space="0" w:color="auto"/>
                <w:bottom w:val="none" w:sz="0" w:space="0" w:color="auto"/>
                <w:right w:val="none" w:sz="0" w:space="0" w:color="auto"/>
              </w:divBdr>
            </w:div>
            <w:div w:id="2145073898">
              <w:marLeft w:val="0"/>
              <w:marRight w:val="0"/>
              <w:marTop w:val="0"/>
              <w:marBottom w:val="240"/>
              <w:divBdr>
                <w:top w:val="none" w:sz="0" w:space="0" w:color="auto"/>
                <w:left w:val="none" w:sz="0" w:space="0" w:color="auto"/>
                <w:bottom w:val="none" w:sz="0" w:space="0" w:color="auto"/>
                <w:right w:val="none" w:sz="0" w:space="0" w:color="auto"/>
              </w:divBdr>
            </w:div>
            <w:div w:id="1230847654">
              <w:marLeft w:val="0"/>
              <w:marRight w:val="0"/>
              <w:marTop w:val="0"/>
              <w:marBottom w:val="240"/>
              <w:divBdr>
                <w:top w:val="none" w:sz="0" w:space="0" w:color="auto"/>
                <w:left w:val="none" w:sz="0" w:space="0" w:color="auto"/>
                <w:bottom w:val="none" w:sz="0" w:space="0" w:color="auto"/>
                <w:right w:val="none" w:sz="0" w:space="0" w:color="auto"/>
              </w:divBdr>
            </w:div>
            <w:div w:id="329219981">
              <w:marLeft w:val="0"/>
              <w:marRight w:val="0"/>
              <w:marTop w:val="0"/>
              <w:marBottom w:val="240"/>
              <w:divBdr>
                <w:top w:val="none" w:sz="0" w:space="0" w:color="auto"/>
                <w:left w:val="none" w:sz="0" w:space="0" w:color="auto"/>
                <w:bottom w:val="none" w:sz="0" w:space="0" w:color="auto"/>
                <w:right w:val="none" w:sz="0" w:space="0" w:color="auto"/>
              </w:divBdr>
            </w:div>
            <w:div w:id="2068722342">
              <w:marLeft w:val="0"/>
              <w:marRight w:val="0"/>
              <w:marTop w:val="0"/>
              <w:marBottom w:val="240"/>
              <w:divBdr>
                <w:top w:val="none" w:sz="0" w:space="0" w:color="auto"/>
                <w:left w:val="none" w:sz="0" w:space="0" w:color="auto"/>
                <w:bottom w:val="none" w:sz="0" w:space="0" w:color="auto"/>
                <w:right w:val="none" w:sz="0" w:space="0" w:color="auto"/>
              </w:divBdr>
            </w:div>
            <w:div w:id="523440420">
              <w:marLeft w:val="0"/>
              <w:marRight w:val="0"/>
              <w:marTop w:val="0"/>
              <w:marBottom w:val="240"/>
              <w:divBdr>
                <w:top w:val="none" w:sz="0" w:space="0" w:color="auto"/>
                <w:left w:val="none" w:sz="0" w:space="0" w:color="auto"/>
                <w:bottom w:val="none" w:sz="0" w:space="0" w:color="auto"/>
                <w:right w:val="none" w:sz="0" w:space="0" w:color="auto"/>
              </w:divBdr>
            </w:div>
            <w:div w:id="516623938">
              <w:marLeft w:val="0"/>
              <w:marRight w:val="0"/>
              <w:marTop w:val="0"/>
              <w:marBottom w:val="240"/>
              <w:divBdr>
                <w:top w:val="none" w:sz="0" w:space="0" w:color="auto"/>
                <w:left w:val="none" w:sz="0" w:space="0" w:color="auto"/>
                <w:bottom w:val="none" w:sz="0" w:space="0" w:color="auto"/>
                <w:right w:val="none" w:sz="0" w:space="0" w:color="auto"/>
              </w:divBdr>
            </w:div>
            <w:div w:id="198444651">
              <w:marLeft w:val="0"/>
              <w:marRight w:val="0"/>
              <w:marTop w:val="0"/>
              <w:marBottom w:val="240"/>
              <w:divBdr>
                <w:top w:val="none" w:sz="0" w:space="0" w:color="auto"/>
                <w:left w:val="none" w:sz="0" w:space="0" w:color="auto"/>
                <w:bottom w:val="none" w:sz="0" w:space="0" w:color="auto"/>
                <w:right w:val="none" w:sz="0" w:space="0" w:color="auto"/>
              </w:divBdr>
            </w:div>
            <w:div w:id="1092092757">
              <w:marLeft w:val="0"/>
              <w:marRight w:val="0"/>
              <w:marTop w:val="0"/>
              <w:marBottom w:val="240"/>
              <w:divBdr>
                <w:top w:val="none" w:sz="0" w:space="0" w:color="auto"/>
                <w:left w:val="none" w:sz="0" w:space="0" w:color="auto"/>
                <w:bottom w:val="none" w:sz="0" w:space="0" w:color="auto"/>
                <w:right w:val="none" w:sz="0" w:space="0" w:color="auto"/>
              </w:divBdr>
            </w:div>
            <w:div w:id="1652442959">
              <w:marLeft w:val="0"/>
              <w:marRight w:val="0"/>
              <w:marTop w:val="0"/>
              <w:marBottom w:val="240"/>
              <w:divBdr>
                <w:top w:val="none" w:sz="0" w:space="0" w:color="auto"/>
                <w:left w:val="none" w:sz="0" w:space="0" w:color="auto"/>
                <w:bottom w:val="none" w:sz="0" w:space="0" w:color="auto"/>
                <w:right w:val="none" w:sz="0" w:space="0" w:color="auto"/>
              </w:divBdr>
            </w:div>
            <w:div w:id="1341348668">
              <w:marLeft w:val="0"/>
              <w:marRight w:val="0"/>
              <w:marTop w:val="0"/>
              <w:marBottom w:val="240"/>
              <w:divBdr>
                <w:top w:val="none" w:sz="0" w:space="0" w:color="auto"/>
                <w:left w:val="none" w:sz="0" w:space="0" w:color="auto"/>
                <w:bottom w:val="none" w:sz="0" w:space="0" w:color="auto"/>
                <w:right w:val="none" w:sz="0" w:space="0" w:color="auto"/>
              </w:divBdr>
            </w:div>
            <w:div w:id="1087073540">
              <w:marLeft w:val="0"/>
              <w:marRight w:val="0"/>
              <w:marTop w:val="0"/>
              <w:marBottom w:val="240"/>
              <w:divBdr>
                <w:top w:val="none" w:sz="0" w:space="0" w:color="auto"/>
                <w:left w:val="none" w:sz="0" w:space="0" w:color="auto"/>
                <w:bottom w:val="none" w:sz="0" w:space="0" w:color="auto"/>
                <w:right w:val="none" w:sz="0" w:space="0" w:color="auto"/>
              </w:divBdr>
            </w:div>
            <w:div w:id="1501198602">
              <w:marLeft w:val="0"/>
              <w:marRight w:val="0"/>
              <w:marTop w:val="0"/>
              <w:marBottom w:val="240"/>
              <w:divBdr>
                <w:top w:val="none" w:sz="0" w:space="0" w:color="auto"/>
                <w:left w:val="none" w:sz="0" w:space="0" w:color="auto"/>
                <w:bottom w:val="none" w:sz="0" w:space="0" w:color="auto"/>
                <w:right w:val="none" w:sz="0" w:space="0" w:color="auto"/>
              </w:divBdr>
            </w:div>
            <w:div w:id="844052147">
              <w:marLeft w:val="0"/>
              <w:marRight w:val="0"/>
              <w:marTop w:val="0"/>
              <w:marBottom w:val="240"/>
              <w:divBdr>
                <w:top w:val="none" w:sz="0" w:space="0" w:color="auto"/>
                <w:left w:val="none" w:sz="0" w:space="0" w:color="auto"/>
                <w:bottom w:val="none" w:sz="0" w:space="0" w:color="auto"/>
                <w:right w:val="none" w:sz="0" w:space="0" w:color="auto"/>
              </w:divBdr>
            </w:div>
            <w:div w:id="397941263">
              <w:marLeft w:val="0"/>
              <w:marRight w:val="0"/>
              <w:marTop w:val="0"/>
              <w:marBottom w:val="240"/>
              <w:divBdr>
                <w:top w:val="none" w:sz="0" w:space="0" w:color="auto"/>
                <w:left w:val="none" w:sz="0" w:space="0" w:color="auto"/>
                <w:bottom w:val="none" w:sz="0" w:space="0" w:color="auto"/>
                <w:right w:val="none" w:sz="0" w:space="0" w:color="auto"/>
              </w:divBdr>
            </w:div>
            <w:div w:id="1283152165">
              <w:marLeft w:val="0"/>
              <w:marRight w:val="0"/>
              <w:marTop w:val="0"/>
              <w:marBottom w:val="240"/>
              <w:divBdr>
                <w:top w:val="none" w:sz="0" w:space="0" w:color="auto"/>
                <w:left w:val="none" w:sz="0" w:space="0" w:color="auto"/>
                <w:bottom w:val="none" w:sz="0" w:space="0" w:color="auto"/>
                <w:right w:val="none" w:sz="0" w:space="0" w:color="auto"/>
              </w:divBdr>
            </w:div>
            <w:div w:id="120540767">
              <w:marLeft w:val="0"/>
              <w:marRight w:val="0"/>
              <w:marTop w:val="0"/>
              <w:marBottom w:val="240"/>
              <w:divBdr>
                <w:top w:val="none" w:sz="0" w:space="0" w:color="auto"/>
                <w:left w:val="none" w:sz="0" w:space="0" w:color="auto"/>
                <w:bottom w:val="none" w:sz="0" w:space="0" w:color="auto"/>
                <w:right w:val="none" w:sz="0" w:space="0" w:color="auto"/>
              </w:divBdr>
            </w:div>
            <w:div w:id="1097755475">
              <w:marLeft w:val="0"/>
              <w:marRight w:val="0"/>
              <w:marTop w:val="0"/>
              <w:marBottom w:val="240"/>
              <w:divBdr>
                <w:top w:val="none" w:sz="0" w:space="0" w:color="auto"/>
                <w:left w:val="none" w:sz="0" w:space="0" w:color="auto"/>
                <w:bottom w:val="none" w:sz="0" w:space="0" w:color="auto"/>
                <w:right w:val="none" w:sz="0" w:space="0" w:color="auto"/>
              </w:divBdr>
            </w:div>
            <w:div w:id="12150699">
              <w:marLeft w:val="0"/>
              <w:marRight w:val="0"/>
              <w:marTop w:val="0"/>
              <w:marBottom w:val="240"/>
              <w:divBdr>
                <w:top w:val="none" w:sz="0" w:space="0" w:color="auto"/>
                <w:left w:val="none" w:sz="0" w:space="0" w:color="auto"/>
                <w:bottom w:val="none" w:sz="0" w:space="0" w:color="auto"/>
                <w:right w:val="none" w:sz="0" w:space="0" w:color="auto"/>
              </w:divBdr>
            </w:div>
            <w:div w:id="641810215">
              <w:marLeft w:val="0"/>
              <w:marRight w:val="0"/>
              <w:marTop w:val="0"/>
              <w:marBottom w:val="240"/>
              <w:divBdr>
                <w:top w:val="none" w:sz="0" w:space="0" w:color="auto"/>
                <w:left w:val="none" w:sz="0" w:space="0" w:color="auto"/>
                <w:bottom w:val="none" w:sz="0" w:space="0" w:color="auto"/>
                <w:right w:val="none" w:sz="0" w:space="0" w:color="auto"/>
              </w:divBdr>
            </w:div>
            <w:div w:id="1726374576">
              <w:marLeft w:val="0"/>
              <w:marRight w:val="0"/>
              <w:marTop w:val="0"/>
              <w:marBottom w:val="240"/>
              <w:divBdr>
                <w:top w:val="none" w:sz="0" w:space="0" w:color="auto"/>
                <w:left w:val="none" w:sz="0" w:space="0" w:color="auto"/>
                <w:bottom w:val="none" w:sz="0" w:space="0" w:color="auto"/>
                <w:right w:val="none" w:sz="0" w:space="0" w:color="auto"/>
              </w:divBdr>
            </w:div>
            <w:div w:id="281158778">
              <w:marLeft w:val="0"/>
              <w:marRight w:val="0"/>
              <w:marTop w:val="0"/>
              <w:marBottom w:val="240"/>
              <w:divBdr>
                <w:top w:val="none" w:sz="0" w:space="0" w:color="auto"/>
                <w:left w:val="none" w:sz="0" w:space="0" w:color="auto"/>
                <w:bottom w:val="none" w:sz="0" w:space="0" w:color="auto"/>
                <w:right w:val="none" w:sz="0" w:space="0" w:color="auto"/>
              </w:divBdr>
            </w:div>
            <w:div w:id="2075658429">
              <w:marLeft w:val="0"/>
              <w:marRight w:val="0"/>
              <w:marTop w:val="0"/>
              <w:marBottom w:val="240"/>
              <w:divBdr>
                <w:top w:val="none" w:sz="0" w:space="0" w:color="auto"/>
                <w:left w:val="none" w:sz="0" w:space="0" w:color="auto"/>
                <w:bottom w:val="none" w:sz="0" w:space="0" w:color="auto"/>
                <w:right w:val="none" w:sz="0" w:space="0" w:color="auto"/>
              </w:divBdr>
            </w:div>
            <w:div w:id="1024549983">
              <w:marLeft w:val="0"/>
              <w:marRight w:val="0"/>
              <w:marTop w:val="0"/>
              <w:marBottom w:val="240"/>
              <w:divBdr>
                <w:top w:val="none" w:sz="0" w:space="0" w:color="auto"/>
                <w:left w:val="none" w:sz="0" w:space="0" w:color="auto"/>
                <w:bottom w:val="none" w:sz="0" w:space="0" w:color="auto"/>
                <w:right w:val="none" w:sz="0" w:space="0" w:color="auto"/>
              </w:divBdr>
            </w:div>
            <w:div w:id="1059669351">
              <w:marLeft w:val="0"/>
              <w:marRight w:val="0"/>
              <w:marTop w:val="0"/>
              <w:marBottom w:val="240"/>
              <w:divBdr>
                <w:top w:val="none" w:sz="0" w:space="0" w:color="auto"/>
                <w:left w:val="none" w:sz="0" w:space="0" w:color="auto"/>
                <w:bottom w:val="none" w:sz="0" w:space="0" w:color="auto"/>
                <w:right w:val="none" w:sz="0" w:space="0" w:color="auto"/>
              </w:divBdr>
            </w:div>
            <w:div w:id="457066368">
              <w:marLeft w:val="0"/>
              <w:marRight w:val="0"/>
              <w:marTop w:val="0"/>
              <w:marBottom w:val="240"/>
              <w:divBdr>
                <w:top w:val="none" w:sz="0" w:space="0" w:color="auto"/>
                <w:left w:val="none" w:sz="0" w:space="0" w:color="auto"/>
                <w:bottom w:val="none" w:sz="0" w:space="0" w:color="auto"/>
                <w:right w:val="none" w:sz="0" w:space="0" w:color="auto"/>
              </w:divBdr>
            </w:div>
            <w:div w:id="260534294">
              <w:marLeft w:val="0"/>
              <w:marRight w:val="0"/>
              <w:marTop w:val="0"/>
              <w:marBottom w:val="240"/>
              <w:divBdr>
                <w:top w:val="none" w:sz="0" w:space="0" w:color="auto"/>
                <w:left w:val="none" w:sz="0" w:space="0" w:color="auto"/>
                <w:bottom w:val="none" w:sz="0" w:space="0" w:color="auto"/>
                <w:right w:val="none" w:sz="0" w:space="0" w:color="auto"/>
              </w:divBdr>
            </w:div>
            <w:div w:id="540093788">
              <w:marLeft w:val="0"/>
              <w:marRight w:val="0"/>
              <w:marTop w:val="0"/>
              <w:marBottom w:val="240"/>
              <w:divBdr>
                <w:top w:val="none" w:sz="0" w:space="0" w:color="auto"/>
                <w:left w:val="none" w:sz="0" w:space="0" w:color="auto"/>
                <w:bottom w:val="none" w:sz="0" w:space="0" w:color="auto"/>
                <w:right w:val="none" w:sz="0" w:space="0" w:color="auto"/>
              </w:divBdr>
            </w:div>
            <w:div w:id="799342641">
              <w:marLeft w:val="0"/>
              <w:marRight w:val="0"/>
              <w:marTop w:val="0"/>
              <w:marBottom w:val="240"/>
              <w:divBdr>
                <w:top w:val="none" w:sz="0" w:space="0" w:color="auto"/>
                <w:left w:val="none" w:sz="0" w:space="0" w:color="auto"/>
                <w:bottom w:val="none" w:sz="0" w:space="0" w:color="auto"/>
                <w:right w:val="none" w:sz="0" w:space="0" w:color="auto"/>
              </w:divBdr>
            </w:div>
            <w:div w:id="1394353195">
              <w:marLeft w:val="0"/>
              <w:marRight w:val="0"/>
              <w:marTop w:val="0"/>
              <w:marBottom w:val="240"/>
              <w:divBdr>
                <w:top w:val="none" w:sz="0" w:space="0" w:color="auto"/>
                <w:left w:val="none" w:sz="0" w:space="0" w:color="auto"/>
                <w:bottom w:val="none" w:sz="0" w:space="0" w:color="auto"/>
                <w:right w:val="none" w:sz="0" w:space="0" w:color="auto"/>
              </w:divBdr>
            </w:div>
            <w:div w:id="721056781">
              <w:marLeft w:val="0"/>
              <w:marRight w:val="0"/>
              <w:marTop w:val="0"/>
              <w:marBottom w:val="240"/>
              <w:divBdr>
                <w:top w:val="none" w:sz="0" w:space="0" w:color="auto"/>
                <w:left w:val="none" w:sz="0" w:space="0" w:color="auto"/>
                <w:bottom w:val="none" w:sz="0" w:space="0" w:color="auto"/>
                <w:right w:val="none" w:sz="0" w:space="0" w:color="auto"/>
              </w:divBdr>
            </w:div>
            <w:div w:id="908656918">
              <w:marLeft w:val="0"/>
              <w:marRight w:val="0"/>
              <w:marTop w:val="0"/>
              <w:marBottom w:val="240"/>
              <w:divBdr>
                <w:top w:val="none" w:sz="0" w:space="0" w:color="auto"/>
                <w:left w:val="none" w:sz="0" w:space="0" w:color="auto"/>
                <w:bottom w:val="none" w:sz="0" w:space="0" w:color="auto"/>
                <w:right w:val="none" w:sz="0" w:space="0" w:color="auto"/>
              </w:divBdr>
            </w:div>
            <w:div w:id="893202228">
              <w:marLeft w:val="0"/>
              <w:marRight w:val="0"/>
              <w:marTop w:val="0"/>
              <w:marBottom w:val="240"/>
              <w:divBdr>
                <w:top w:val="none" w:sz="0" w:space="0" w:color="auto"/>
                <w:left w:val="none" w:sz="0" w:space="0" w:color="auto"/>
                <w:bottom w:val="none" w:sz="0" w:space="0" w:color="auto"/>
                <w:right w:val="none" w:sz="0" w:space="0" w:color="auto"/>
              </w:divBdr>
            </w:div>
            <w:div w:id="1801146060">
              <w:marLeft w:val="0"/>
              <w:marRight w:val="0"/>
              <w:marTop w:val="0"/>
              <w:marBottom w:val="240"/>
              <w:divBdr>
                <w:top w:val="none" w:sz="0" w:space="0" w:color="auto"/>
                <w:left w:val="none" w:sz="0" w:space="0" w:color="auto"/>
                <w:bottom w:val="none" w:sz="0" w:space="0" w:color="auto"/>
                <w:right w:val="none" w:sz="0" w:space="0" w:color="auto"/>
              </w:divBdr>
            </w:div>
            <w:div w:id="102307542">
              <w:marLeft w:val="0"/>
              <w:marRight w:val="0"/>
              <w:marTop w:val="0"/>
              <w:marBottom w:val="240"/>
              <w:divBdr>
                <w:top w:val="none" w:sz="0" w:space="0" w:color="auto"/>
                <w:left w:val="none" w:sz="0" w:space="0" w:color="auto"/>
                <w:bottom w:val="none" w:sz="0" w:space="0" w:color="auto"/>
                <w:right w:val="none" w:sz="0" w:space="0" w:color="auto"/>
              </w:divBdr>
            </w:div>
            <w:div w:id="237204680">
              <w:marLeft w:val="0"/>
              <w:marRight w:val="0"/>
              <w:marTop w:val="0"/>
              <w:marBottom w:val="240"/>
              <w:divBdr>
                <w:top w:val="none" w:sz="0" w:space="0" w:color="auto"/>
                <w:left w:val="none" w:sz="0" w:space="0" w:color="auto"/>
                <w:bottom w:val="none" w:sz="0" w:space="0" w:color="auto"/>
                <w:right w:val="none" w:sz="0" w:space="0" w:color="auto"/>
              </w:divBdr>
            </w:div>
            <w:div w:id="1120487835">
              <w:marLeft w:val="0"/>
              <w:marRight w:val="0"/>
              <w:marTop w:val="0"/>
              <w:marBottom w:val="240"/>
              <w:divBdr>
                <w:top w:val="none" w:sz="0" w:space="0" w:color="auto"/>
                <w:left w:val="none" w:sz="0" w:space="0" w:color="auto"/>
                <w:bottom w:val="none" w:sz="0" w:space="0" w:color="auto"/>
                <w:right w:val="none" w:sz="0" w:space="0" w:color="auto"/>
              </w:divBdr>
            </w:div>
            <w:div w:id="1819346150">
              <w:marLeft w:val="0"/>
              <w:marRight w:val="0"/>
              <w:marTop w:val="0"/>
              <w:marBottom w:val="240"/>
              <w:divBdr>
                <w:top w:val="none" w:sz="0" w:space="0" w:color="auto"/>
                <w:left w:val="none" w:sz="0" w:space="0" w:color="auto"/>
                <w:bottom w:val="none" w:sz="0" w:space="0" w:color="auto"/>
                <w:right w:val="none" w:sz="0" w:space="0" w:color="auto"/>
              </w:divBdr>
            </w:div>
            <w:div w:id="130291433">
              <w:marLeft w:val="0"/>
              <w:marRight w:val="0"/>
              <w:marTop w:val="0"/>
              <w:marBottom w:val="240"/>
              <w:divBdr>
                <w:top w:val="none" w:sz="0" w:space="0" w:color="auto"/>
                <w:left w:val="none" w:sz="0" w:space="0" w:color="auto"/>
                <w:bottom w:val="none" w:sz="0" w:space="0" w:color="auto"/>
                <w:right w:val="none" w:sz="0" w:space="0" w:color="auto"/>
              </w:divBdr>
            </w:div>
            <w:div w:id="2014993415">
              <w:marLeft w:val="0"/>
              <w:marRight w:val="0"/>
              <w:marTop w:val="0"/>
              <w:marBottom w:val="240"/>
              <w:divBdr>
                <w:top w:val="none" w:sz="0" w:space="0" w:color="auto"/>
                <w:left w:val="none" w:sz="0" w:space="0" w:color="auto"/>
                <w:bottom w:val="none" w:sz="0" w:space="0" w:color="auto"/>
                <w:right w:val="none" w:sz="0" w:space="0" w:color="auto"/>
              </w:divBdr>
            </w:div>
            <w:div w:id="701126638">
              <w:marLeft w:val="0"/>
              <w:marRight w:val="0"/>
              <w:marTop w:val="0"/>
              <w:marBottom w:val="240"/>
              <w:divBdr>
                <w:top w:val="none" w:sz="0" w:space="0" w:color="auto"/>
                <w:left w:val="none" w:sz="0" w:space="0" w:color="auto"/>
                <w:bottom w:val="none" w:sz="0" w:space="0" w:color="auto"/>
                <w:right w:val="none" w:sz="0" w:space="0" w:color="auto"/>
              </w:divBdr>
            </w:div>
            <w:div w:id="2053726758">
              <w:marLeft w:val="0"/>
              <w:marRight w:val="0"/>
              <w:marTop w:val="0"/>
              <w:marBottom w:val="240"/>
              <w:divBdr>
                <w:top w:val="none" w:sz="0" w:space="0" w:color="auto"/>
                <w:left w:val="none" w:sz="0" w:space="0" w:color="auto"/>
                <w:bottom w:val="none" w:sz="0" w:space="0" w:color="auto"/>
                <w:right w:val="none" w:sz="0" w:space="0" w:color="auto"/>
              </w:divBdr>
            </w:div>
            <w:div w:id="2016180467">
              <w:marLeft w:val="0"/>
              <w:marRight w:val="0"/>
              <w:marTop w:val="0"/>
              <w:marBottom w:val="240"/>
              <w:divBdr>
                <w:top w:val="none" w:sz="0" w:space="0" w:color="auto"/>
                <w:left w:val="none" w:sz="0" w:space="0" w:color="auto"/>
                <w:bottom w:val="none" w:sz="0" w:space="0" w:color="auto"/>
                <w:right w:val="none" w:sz="0" w:space="0" w:color="auto"/>
              </w:divBdr>
            </w:div>
            <w:div w:id="948856654">
              <w:marLeft w:val="0"/>
              <w:marRight w:val="0"/>
              <w:marTop w:val="0"/>
              <w:marBottom w:val="240"/>
              <w:divBdr>
                <w:top w:val="none" w:sz="0" w:space="0" w:color="auto"/>
                <w:left w:val="none" w:sz="0" w:space="0" w:color="auto"/>
                <w:bottom w:val="none" w:sz="0" w:space="0" w:color="auto"/>
                <w:right w:val="none" w:sz="0" w:space="0" w:color="auto"/>
              </w:divBdr>
            </w:div>
            <w:div w:id="1180268510">
              <w:marLeft w:val="0"/>
              <w:marRight w:val="0"/>
              <w:marTop w:val="0"/>
              <w:marBottom w:val="240"/>
              <w:divBdr>
                <w:top w:val="none" w:sz="0" w:space="0" w:color="auto"/>
                <w:left w:val="none" w:sz="0" w:space="0" w:color="auto"/>
                <w:bottom w:val="none" w:sz="0" w:space="0" w:color="auto"/>
                <w:right w:val="none" w:sz="0" w:space="0" w:color="auto"/>
              </w:divBdr>
            </w:div>
            <w:div w:id="589123292">
              <w:marLeft w:val="0"/>
              <w:marRight w:val="0"/>
              <w:marTop w:val="0"/>
              <w:marBottom w:val="240"/>
              <w:divBdr>
                <w:top w:val="none" w:sz="0" w:space="0" w:color="auto"/>
                <w:left w:val="none" w:sz="0" w:space="0" w:color="auto"/>
                <w:bottom w:val="none" w:sz="0" w:space="0" w:color="auto"/>
                <w:right w:val="none" w:sz="0" w:space="0" w:color="auto"/>
              </w:divBdr>
            </w:div>
            <w:div w:id="1801024364">
              <w:marLeft w:val="0"/>
              <w:marRight w:val="0"/>
              <w:marTop w:val="0"/>
              <w:marBottom w:val="240"/>
              <w:divBdr>
                <w:top w:val="none" w:sz="0" w:space="0" w:color="auto"/>
                <w:left w:val="none" w:sz="0" w:space="0" w:color="auto"/>
                <w:bottom w:val="none" w:sz="0" w:space="0" w:color="auto"/>
                <w:right w:val="none" w:sz="0" w:space="0" w:color="auto"/>
              </w:divBdr>
            </w:div>
            <w:div w:id="454909718">
              <w:marLeft w:val="0"/>
              <w:marRight w:val="0"/>
              <w:marTop w:val="0"/>
              <w:marBottom w:val="240"/>
              <w:divBdr>
                <w:top w:val="none" w:sz="0" w:space="0" w:color="auto"/>
                <w:left w:val="none" w:sz="0" w:space="0" w:color="auto"/>
                <w:bottom w:val="none" w:sz="0" w:space="0" w:color="auto"/>
                <w:right w:val="none" w:sz="0" w:space="0" w:color="auto"/>
              </w:divBdr>
            </w:div>
            <w:div w:id="1764034207">
              <w:marLeft w:val="0"/>
              <w:marRight w:val="0"/>
              <w:marTop w:val="0"/>
              <w:marBottom w:val="240"/>
              <w:divBdr>
                <w:top w:val="none" w:sz="0" w:space="0" w:color="auto"/>
                <w:left w:val="none" w:sz="0" w:space="0" w:color="auto"/>
                <w:bottom w:val="none" w:sz="0" w:space="0" w:color="auto"/>
                <w:right w:val="none" w:sz="0" w:space="0" w:color="auto"/>
              </w:divBdr>
            </w:div>
            <w:div w:id="37097448">
              <w:marLeft w:val="0"/>
              <w:marRight w:val="0"/>
              <w:marTop w:val="0"/>
              <w:marBottom w:val="240"/>
              <w:divBdr>
                <w:top w:val="none" w:sz="0" w:space="0" w:color="auto"/>
                <w:left w:val="none" w:sz="0" w:space="0" w:color="auto"/>
                <w:bottom w:val="none" w:sz="0" w:space="0" w:color="auto"/>
                <w:right w:val="none" w:sz="0" w:space="0" w:color="auto"/>
              </w:divBdr>
            </w:div>
            <w:div w:id="853960135">
              <w:marLeft w:val="0"/>
              <w:marRight w:val="0"/>
              <w:marTop w:val="0"/>
              <w:marBottom w:val="240"/>
              <w:divBdr>
                <w:top w:val="none" w:sz="0" w:space="0" w:color="auto"/>
                <w:left w:val="none" w:sz="0" w:space="0" w:color="auto"/>
                <w:bottom w:val="none" w:sz="0" w:space="0" w:color="auto"/>
                <w:right w:val="none" w:sz="0" w:space="0" w:color="auto"/>
              </w:divBdr>
            </w:div>
            <w:div w:id="386609697">
              <w:marLeft w:val="0"/>
              <w:marRight w:val="0"/>
              <w:marTop w:val="0"/>
              <w:marBottom w:val="240"/>
              <w:divBdr>
                <w:top w:val="none" w:sz="0" w:space="0" w:color="auto"/>
                <w:left w:val="none" w:sz="0" w:space="0" w:color="auto"/>
                <w:bottom w:val="none" w:sz="0" w:space="0" w:color="auto"/>
                <w:right w:val="none" w:sz="0" w:space="0" w:color="auto"/>
              </w:divBdr>
            </w:div>
            <w:div w:id="1087196403">
              <w:marLeft w:val="0"/>
              <w:marRight w:val="0"/>
              <w:marTop w:val="0"/>
              <w:marBottom w:val="240"/>
              <w:divBdr>
                <w:top w:val="none" w:sz="0" w:space="0" w:color="auto"/>
                <w:left w:val="none" w:sz="0" w:space="0" w:color="auto"/>
                <w:bottom w:val="none" w:sz="0" w:space="0" w:color="auto"/>
                <w:right w:val="none" w:sz="0" w:space="0" w:color="auto"/>
              </w:divBdr>
            </w:div>
            <w:div w:id="730924248">
              <w:marLeft w:val="0"/>
              <w:marRight w:val="0"/>
              <w:marTop w:val="0"/>
              <w:marBottom w:val="240"/>
              <w:divBdr>
                <w:top w:val="none" w:sz="0" w:space="0" w:color="auto"/>
                <w:left w:val="none" w:sz="0" w:space="0" w:color="auto"/>
                <w:bottom w:val="none" w:sz="0" w:space="0" w:color="auto"/>
                <w:right w:val="none" w:sz="0" w:space="0" w:color="auto"/>
              </w:divBdr>
            </w:div>
            <w:div w:id="1389497501">
              <w:marLeft w:val="0"/>
              <w:marRight w:val="0"/>
              <w:marTop w:val="0"/>
              <w:marBottom w:val="240"/>
              <w:divBdr>
                <w:top w:val="none" w:sz="0" w:space="0" w:color="auto"/>
                <w:left w:val="none" w:sz="0" w:space="0" w:color="auto"/>
                <w:bottom w:val="none" w:sz="0" w:space="0" w:color="auto"/>
                <w:right w:val="none" w:sz="0" w:space="0" w:color="auto"/>
              </w:divBdr>
            </w:div>
            <w:div w:id="1899054532">
              <w:marLeft w:val="0"/>
              <w:marRight w:val="0"/>
              <w:marTop w:val="0"/>
              <w:marBottom w:val="240"/>
              <w:divBdr>
                <w:top w:val="none" w:sz="0" w:space="0" w:color="auto"/>
                <w:left w:val="none" w:sz="0" w:space="0" w:color="auto"/>
                <w:bottom w:val="none" w:sz="0" w:space="0" w:color="auto"/>
                <w:right w:val="none" w:sz="0" w:space="0" w:color="auto"/>
              </w:divBdr>
            </w:div>
            <w:div w:id="13697980">
              <w:marLeft w:val="0"/>
              <w:marRight w:val="0"/>
              <w:marTop w:val="0"/>
              <w:marBottom w:val="240"/>
              <w:divBdr>
                <w:top w:val="none" w:sz="0" w:space="0" w:color="auto"/>
                <w:left w:val="none" w:sz="0" w:space="0" w:color="auto"/>
                <w:bottom w:val="none" w:sz="0" w:space="0" w:color="auto"/>
                <w:right w:val="none" w:sz="0" w:space="0" w:color="auto"/>
              </w:divBdr>
            </w:div>
            <w:div w:id="1549683301">
              <w:marLeft w:val="0"/>
              <w:marRight w:val="0"/>
              <w:marTop w:val="0"/>
              <w:marBottom w:val="240"/>
              <w:divBdr>
                <w:top w:val="none" w:sz="0" w:space="0" w:color="auto"/>
                <w:left w:val="none" w:sz="0" w:space="0" w:color="auto"/>
                <w:bottom w:val="none" w:sz="0" w:space="0" w:color="auto"/>
                <w:right w:val="none" w:sz="0" w:space="0" w:color="auto"/>
              </w:divBdr>
            </w:div>
            <w:div w:id="50293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763089">
      <w:bodyDiv w:val="1"/>
      <w:marLeft w:val="0"/>
      <w:marRight w:val="0"/>
      <w:marTop w:val="0"/>
      <w:marBottom w:val="0"/>
      <w:divBdr>
        <w:top w:val="none" w:sz="0" w:space="0" w:color="auto"/>
        <w:left w:val="none" w:sz="0" w:space="0" w:color="auto"/>
        <w:bottom w:val="none" w:sz="0" w:space="0" w:color="auto"/>
        <w:right w:val="none" w:sz="0" w:space="0" w:color="auto"/>
      </w:divBdr>
      <w:divsChild>
        <w:div w:id="244191980">
          <w:marLeft w:val="480"/>
          <w:marRight w:val="0"/>
          <w:marTop w:val="0"/>
          <w:marBottom w:val="0"/>
          <w:divBdr>
            <w:top w:val="none" w:sz="0" w:space="0" w:color="auto"/>
            <w:left w:val="none" w:sz="0" w:space="0" w:color="auto"/>
            <w:bottom w:val="none" w:sz="0" w:space="0" w:color="auto"/>
            <w:right w:val="none" w:sz="0" w:space="0" w:color="auto"/>
          </w:divBdr>
          <w:divsChild>
            <w:div w:id="96812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180193">
      <w:bodyDiv w:val="1"/>
      <w:marLeft w:val="0"/>
      <w:marRight w:val="0"/>
      <w:marTop w:val="0"/>
      <w:marBottom w:val="0"/>
      <w:divBdr>
        <w:top w:val="none" w:sz="0" w:space="0" w:color="auto"/>
        <w:left w:val="none" w:sz="0" w:space="0" w:color="auto"/>
        <w:bottom w:val="none" w:sz="0" w:space="0" w:color="auto"/>
        <w:right w:val="none" w:sz="0" w:space="0" w:color="auto"/>
      </w:divBdr>
    </w:div>
    <w:div w:id="1908565604">
      <w:bodyDiv w:val="1"/>
      <w:marLeft w:val="0"/>
      <w:marRight w:val="0"/>
      <w:marTop w:val="0"/>
      <w:marBottom w:val="0"/>
      <w:divBdr>
        <w:top w:val="none" w:sz="0" w:space="0" w:color="auto"/>
        <w:left w:val="none" w:sz="0" w:space="0" w:color="auto"/>
        <w:bottom w:val="none" w:sz="0" w:space="0" w:color="auto"/>
        <w:right w:val="none" w:sz="0" w:space="0" w:color="auto"/>
      </w:divBdr>
      <w:divsChild>
        <w:div w:id="2098595883">
          <w:marLeft w:val="480"/>
          <w:marRight w:val="0"/>
          <w:marTop w:val="0"/>
          <w:marBottom w:val="0"/>
          <w:divBdr>
            <w:top w:val="none" w:sz="0" w:space="0" w:color="auto"/>
            <w:left w:val="none" w:sz="0" w:space="0" w:color="auto"/>
            <w:bottom w:val="none" w:sz="0" w:space="0" w:color="auto"/>
            <w:right w:val="none" w:sz="0" w:space="0" w:color="auto"/>
          </w:divBdr>
          <w:divsChild>
            <w:div w:id="155716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601802">
      <w:bodyDiv w:val="1"/>
      <w:marLeft w:val="0"/>
      <w:marRight w:val="0"/>
      <w:marTop w:val="0"/>
      <w:marBottom w:val="0"/>
      <w:divBdr>
        <w:top w:val="none" w:sz="0" w:space="0" w:color="auto"/>
        <w:left w:val="none" w:sz="0" w:space="0" w:color="auto"/>
        <w:bottom w:val="none" w:sz="0" w:space="0" w:color="auto"/>
        <w:right w:val="none" w:sz="0" w:space="0" w:color="auto"/>
      </w:divBdr>
      <w:divsChild>
        <w:div w:id="767581957">
          <w:marLeft w:val="480"/>
          <w:marRight w:val="0"/>
          <w:marTop w:val="0"/>
          <w:marBottom w:val="0"/>
          <w:divBdr>
            <w:top w:val="none" w:sz="0" w:space="0" w:color="auto"/>
            <w:left w:val="none" w:sz="0" w:space="0" w:color="auto"/>
            <w:bottom w:val="none" w:sz="0" w:space="0" w:color="auto"/>
            <w:right w:val="none" w:sz="0" w:space="0" w:color="auto"/>
          </w:divBdr>
          <w:divsChild>
            <w:div w:id="7729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346708">
      <w:bodyDiv w:val="1"/>
      <w:marLeft w:val="0"/>
      <w:marRight w:val="0"/>
      <w:marTop w:val="0"/>
      <w:marBottom w:val="0"/>
      <w:divBdr>
        <w:top w:val="none" w:sz="0" w:space="0" w:color="auto"/>
        <w:left w:val="none" w:sz="0" w:space="0" w:color="auto"/>
        <w:bottom w:val="none" w:sz="0" w:space="0" w:color="auto"/>
        <w:right w:val="none" w:sz="0" w:space="0" w:color="auto"/>
      </w:divBdr>
      <w:divsChild>
        <w:div w:id="1313942521">
          <w:marLeft w:val="480"/>
          <w:marRight w:val="0"/>
          <w:marTop w:val="0"/>
          <w:marBottom w:val="0"/>
          <w:divBdr>
            <w:top w:val="none" w:sz="0" w:space="0" w:color="auto"/>
            <w:left w:val="none" w:sz="0" w:space="0" w:color="auto"/>
            <w:bottom w:val="none" w:sz="0" w:space="0" w:color="auto"/>
            <w:right w:val="none" w:sz="0" w:space="0" w:color="auto"/>
          </w:divBdr>
          <w:divsChild>
            <w:div w:id="11549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078046">
      <w:bodyDiv w:val="1"/>
      <w:marLeft w:val="0"/>
      <w:marRight w:val="0"/>
      <w:marTop w:val="0"/>
      <w:marBottom w:val="0"/>
      <w:divBdr>
        <w:top w:val="none" w:sz="0" w:space="0" w:color="auto"/>
        <w:left w:val="none" w:sz="0" w:space="0" w:color="auto"/>
        <w:bottom w:val="none" w:sz="0" w:space="0" w:color="auto"/>
        <w:right w:val="none" w:sz="0" w:space="0" w:color="auto"/>
      </w:divBdr>
      <w:divsChild>
        <w:div w:id="2008172866">
          <w:marLeft w:val="480"/>
          <w:marRight w:val="0"/>
          <w:marTop w:val="0"/>
          <w:marBottom w:val="0"/>
          <w:divBdr>
            <w:top w:val="none" w:sz="0" w:space="0" w:color="auto"/>
            <w:left w:val="none" w:sz="0" w:space="0" w:color="auto"/>
            <w:bottom w:val="none" w:sz="0" w:space="0" w:color="auto"/>
            <w:right w:val="none" w:sz="0" w:space="0" w:color="auto"/>
          </w:divBdr>
          <w:divsChild>
            <w:div w:id="177308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fs/kni311"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doi.org/10.2307/3397574" TargetMode="External"/><Relationship Id="rId17" Type="http://schemas.openxmlformats.org/officeDocument/2006/relationships/hyperlink" Target="https://en.wikipedia.org/w/index.php?title=Queer&amp;oldid=1167989868" TargetMode="External"/><Relationship Id="rId2" Type="http://schemas.openxmlformats.org/officeDocument/2006/relationships/numbering" Target="numbering.xml"/><Relationship Id="rId16" Type="http://schemas.openxmlformats.org/officeDocument/2006/relationships/hyperlink" Target="http://hdl.handle.net/10107/439620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612025.2015.1023023" TargetMode="External"/><Relationship Id="rId5" Type="http://schemas.openxmlformats.org/officeDocument/2006/relationships/webSettings" Target="webSettings.xml"/><Relationship Id="rId15" Type="http://schemas.openxmlformats.org/officeDocument/2006/relationships/hyperlink" Target="https://digital.bodleian.ox.ac.uk/objects/9bf187bf-f862-4453-bc4f-851f6d3948af/"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topic/critical-theory"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hdl.handle.net/10107/4396205" TargetMode="External"/><Relationship Id="rId2" Type="http://schemas.openxmlformats.org/officeDocument/2006/relationships/hyperlink" Target="https://en.wikipedia.org/w/index.php?title=Queer&amp;oldid=1167989868" TargetMode="External"/><Relationship Id="rId1" Type="http://schemas.openxmlformats.org/officeDocument/2006/relationships/hyperlink" Target="https://www.britannica.com/topic/critical-theory" TargetMode="External"/><Relationship Id="rId4" Type="http://schemas.openxmlformats.org/officeDocument/2006/relationships/hyperlink" Target="https://digital.bodleian.ox.ac.uk/objects/9bf187bf-f862-4453-bc4f-851f6d3948a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DDA31F211434785B60DEC4AD8716CB6"/>
        <w:category>
          <w:name w:val="General"/>
          <w:gallery w:val="placeholder"/>
        </w:category>
        <w:types>
          <w:type w:val="bbPlcHdr"/>
        </w:types>
        <w:behaviors>
          <w:behavior w:val="content"/>
        </w:behaviors>
        <w:guid w:val="{151608AF-F445-4189-8685-AB2FAD18F5B2}"/>
      </w:docPartPr>
      <w:docPartBody>
        <w:p w:rsidR="003C7650" w:rsidRDefault="00176998" w:rsidP="00176998">
          <w:pPr>
            <w:pStyle w:val="9DDA31F211434785B60DEC4AD8716CB6"/>
          </w:pPr>
          <w:r>
            <w:rPr>
              <w:rFonts w:asciiTheme="majorHAnsi" w:eastAsiaTheme="majorEastAsia" w:hAnsiTheme="majorHAnsi" w:cstheme="majorBidi"/>
              <w:caps/>
              <w:color w:val="156082" w:themeColor="accent1"/>
              <w:sz w:val="80"/>
              <w:szCs w:val="80"/>
            </w:rPr>
            <w:t>[Document title]</w:t>
          </w:r>
        </w:p>
      </w:docPartBody>
    </w:docPart>
    <w:docPart>
      <w:docPartPr>
        <w:name w:val="FB625C96178D4550894CC8D6DF450CB3"/>
        <w:category>
          <w:name w:val="General"/>
          <w:gallery w:val="placeholder"/>
        </w:category>
        <w:types>
          <w:type w:val="bbPlcHdr"/>
        </w:types>
        <w:behaviors>
          <w:behavior w:val="content"/>
        </w:behaviors>
        <w:guid w:val="{9248B2D6-01E1-4379-A09A-02DDE083DDA2}"/>
      </w:docPartPr>
      <w:docPartBody>
        <w:p w:rsidR="003C7650" w:rsidRDefault="00176998" w:rsidP="00176998">
          <w:pPr>
            <w:pStyle w:val="FB625C96178D4550894CC8D6DF450CB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998"/>
    <w:rsid w:val="00043013"/>
    <w:rsid w:val="000432E5"/>
    <w:rsid w:val="000469C3"/>
    <w:rsid w:val="00047664"/>
    <w:rsid w:val="000564B5"/>
    <w:rsid w:val="0006207B"/>
    <w:rsid w:val="00077EB8"/>
    <w:rsid w:val="00090C11"/>
    <w:rsid w:val="000922D2"/>
    <w:rsid w:val="00095E8D"/>
    <w:rsid w:val="000D2326"/>
    <w:rsid w:val="000E3C99"/>
    <w:rsid w:val="00100AFA"/>
    <w:rsid w:val="001021A2"/>
    <w:rsid w:val="00176998"/>
    <w:rsid w:val="00182D61"/>
    <w:rsid w:val="00186476"/>
    <w:rsid w:val="001969E8"/>
    <w:rsid w:val="001A5CDC"/>
    <w:rsid w:val="001B0BC4"/>
    <w:rsid w:val="001D7DF4"/>
    <w:rsid w:val="001E5C5F"/>
    <w:rsid w:val="00233505"/>
    <w:rsid w:val="00241184"/>
    <w:rsid w:val="00246F1D"/>
    <w:rsid w:val="00273848"/>
    <w:rsid w:val="00281AD3"/>
    <w:rsid w:val="002A7918"/>
    <w:rsid w:val="002E3936"/>
    <w:rsid w:val="002E622B"/>
    <w:rsid w:val="002E7FF1"/>
    <w:rsid w:val="00310D2F"/>
    <w:rsid w:val="00324A37"/>
    <w:rsid w:val="00332434"/>
    <w:rsid w:val="00352E22"/>
    <w:rsid w:val="003762AB"/>
    <w:rsid w:val="003B3939"/>
    <w:rsid w:val="003B415B"/>
    <w:rsid w:val="003C7650"/>
    <w:rsid w:val="003D1329"/>
    <w:rsid w:val="003E1FE6"/>
    <w:rsid w:val="003F23FD"/>
    <w:rsid w:val="00410831"/>
    <w:rsid w:val="00423DAE"/>
    <w:rsid w:val="00433154"/>
    <w:rsid w:val="00447B78"/>
    <w:rsid w:val="00457874"/>
    <w:rsid w:val="00475CE6"/>
    <w:rsid w:val="004B6D96"/>
    <w:rsid w:val="004B76A5"/>
    <w:rsid w:val="004C3D6E"/>
    <w:rsid w:val="004F296D"/>
    <w:rsid w:val="00532AF3"/>
    <w:rsid w:val="005513AA"/>
    <w:rsid w:val="0055161A"/>
    <w:rsid w:val="00555B40"/>
    <w:rsid w:val="00587C31"/>
    <w:rsid w:val="005A048D"/>
    <w:rsid w:val="005A7214"/>
    <w:rsid w:val="005C6832"/>
    <w:rsid w:val="005D3216"/>
    <w:rsid w:val="005F4AED"/>
    <w:rsid w:val="00611F40"/>
    <w:rsid w:val="006505BA"/>
    <w:rsid w:val="00652F48"/>
    <w:rsid w:val="00661B80"/>
    <w:rsid w:val="00664704"/>
    <w:rsid w:val="0067402B"/>
    <w:rsid w:val="00677FAE"/>
    <w:rsid w:val="006A48E4"/>
    <w:rsid w:val="006A6434"/>
    <w:rsid w:val="006E42DE"/>
    <w:rsid w:val="006E6043"/>
    <w:rsid w:val="00716069"/>
    <w:rsid w:val="00717361"/>
    <w:rsid w:val="00717C7A"/>
    <w:rsid w:val="007305BA"/>
    <w:rsid w:val="00731ED6"/>
    <w:rsid w:val="00772360"/>
    <w:rsid w:val="00773392"/>
    <w:rsid w:val="007B2927"/>
    <w:rsid w:val="007C23EF"/>
    <w:rsid w:val="007C46E8"/>
    <w:rsid w:val="007D18A8"/>
    <w:rsid w:val="007E314D"/>
    <w:rsid w:val="007E6D77"/>
    <w:rsid w:val="00811410"/>
    <w:rsid w:val="00812687"/>
    <w:rsid w:val="00820672"/>
    <w:rsid w:val="00834B39"/>
    <w:rsid w:val="0086071C"/>
    <w:rsid w:val="00864C66"/>
    <w:rsid w:val="00871B37"/>
    <w:rsid w:val="00890F47"/>
    <w:rsid w:val="008F756D"/>
    <w:rsid w:val="00913A94"/>
    <w:rsid w:val="00924D1D"/>
    <w:rsid w:val="00925A89"/>
    <w:rsid w:val="00940CF8"/>
    <w:rsid w:val="009434E1"/>
    <w:rsid w:val="0097501B"/>
    <w:rsid w:val="00981E83"/>
    <w:rsid w:val="00983476"/>
    <w:rsid w:val="009B2ABC"/>
    <w:rsid w:val="009B4A71"/>
    <w:rsid w:val="009C1A0D"/>
    <w:rsid w:val="009C2D37"/>
    <w:rsid w:val="009E7BCA"/>
    <w:rsid w:val="009F0F48"/>
    <w:rsid w:val="009F6D71"/>
    <w:rsid w:val="00A2148F"/>
    <w:rsid w:val="00A36354"/>
    <w:rsid w:val="00A55CA8"/>
    <w:rsid w:val="00A649B0"/>
    <w:rsid w:val="00A67E15"/>
    <w:rsid w:val="00AB238D"/>
    <w:rsid w:val="00AB7776"/>
    <w:rsid w:val="00AC1FCF"/>
    <w:rsid w:val="00AE0B24"/>
    <w:rsid w:val="00B23391"/>
    <w:rsid w:val="00B410DC"/>
    <w:rsid w:val="00B46AED"/>
    <w:rsid w:val="00B5068C"/>
    <w:rsid w:val="00B67BEF"/>
    <w:rsid w:val="00B72AC1"/>
    <w:rsid w:val="00B80249"/>
    <w:rsid w:val="00BD05DD"/>
    <w:rsid w:val="00BD5879"/>
    <w:rsid w:val="00C222F5"/>
    <w:rsid w:val="00C4721C"/>
    <w:rsid w:val="00C510B3"/>
    <w:rsid w:val="00C562B1"/>
    <w:rsid w:val="00C72D7F"/>
    <w:rsid w:val="00C837E4"/>
    <w:rsid w:val="00CC1AFC"/>
    <w:rsid w:val="00CC7835"/>
    <w:rsid w:val="00CF42DB"/>
    <w:rsid w:val="00D340C1"/>
    <w:rsid w:val="00D475F5"/>
    <w:rsid w:val="00D47710"/>
    <w:rsid w:val="00D5089A"/>
    <w:rsid w:val="00D51CC5"/>
    <w:rsid w:val="00D56BA5"/>
    <w:rsid w:val="00D60164"/>
    <w:rsid w:val="00D613DD"/>
    <w:rsid w:val="00DA0C63"/>
    <w:rsid w:val="00DE19D2"/>
    <w:rsid w:val="00DE72EB"/>
    <w:rsid w:val="00DF0777"/>
    <w:rsid w:val="00E33D02"/>
    <w:rsid w:val="00E504F4"/>
    <w:rsid w:val="00E60ABD"/>
    <w:rsid w:val="00E7359D"/>
    <w:rsid w:val="00E76BF3"/>
    <w:rsid w:val="00E80B8B"/>
    <w:rsid w:val="00E9371F"/>
    <w:rsid w:val="00E951B3"/>
    <w:rsid w:val="00EA021D"/>
    <w:rsid w:val="00EC2477"/>
    <w:rsid w:val="00EC7C55"/>
    <w:rsid w:val="00ED4DD8"/>
    <w:rsid w:val="00EE18C5"/>
    <w:rsid w:val="00EF0AF5"/>
    <w:rsid w:val="00F41084"/>
    <w:rsid w:val="00F54261"/>
    <w:rsid w:val="00F7305C"/>
    <w:rsid w:val="00F816F7"/>
    <w:rsid w:val="00F9375B"/>
    <w:rsid w:val="00F95890"/>
    <w:rsid w:val="00FA0FD5"/>
    <w:rsid w:val="00FA1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DA31F211434785B60DEC4AD8716CB6">
    <w:name w:val="9DDA31F211434785B60DEC4AD8716CB6"/>
    <w:rsid w:val="00176998"/>
  </w:style>
  <w:style w:type="paragraph" w:customStyle="1" w:styleId="FB625C96178D4550894CC8D6DF450CB3">
    <w:name w:val="FB625C96178D4550894CC8D6DF450CB3"/>
    <w:rsid w:val="001769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078E8-3C1E-4CA3-AE59-31FC20D38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17033</Words>
  <Characters>97089</Characters>
  <Application>Microsoft Office Word</Application>
  <DocSecurity>0</DocSecurity>
  <Lines>809</Lines>
  <Paragraphs>227</Paragraphs>
  <ScaleCrop>false</ScaleCrop>
  <HeadingPairs>
    <vt:vector size="2" baseType="variant">
      <vt:variant>
        <vt:lpstr>Title</vt:lpstr>
      </vt:variant>
      <vt:variant>
        <vt:i4>1</vt:i4>
      </vt:variant>
    </vt:vector>
  </HeadingPairs>
  <TitlesOfParts>
    <vt:vector size="1" baseType="lpstr">
      <vt:lpstr>‘QUEERING’ THE FOURTH BRANCH: AN APPROACH TO ANALYSING THE FOURTH BRANCH OF THE MABINOGI USING QUEER Theory</vt:lpstr>
    </vt:vector>
  </TitlesOfParts>
  <Company>A dissertation submitted to the University of Wales Trinity St David in partial fulfilment of the requirements for the degree of MA Celtic Studies, 2024</Company>
  <LinksUpToDate>false</LinksUpToDate>
  <CharactersWithSpaces>113895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‘QueeriNG’ THE FOURTH BRANCH: AN APPROACH TO ANALYSING THE FOURTH BRANCH OF THE MABINOGI USING QUEER Theory</dc:title>
  <dc:subject>Colin Audigé-Soutter 1903773</dc:subject>
  <dc:creator>Colin Audige-Soutter</dc:creator>
  <cp:keywords/>
  <dc:description/>
  <cp:lastModifiedBy>Colin Audige-Soutter (1904908)</cp:lastModifiedBy>
  <cp:revision>47</cp:revision>
  <dcterms:created xsi:type="dcterms:W3CDTF">2024-08-23T11:12:00Z</dcterms:created>
  <dcterms:modified xsi:type="dcterms:W3CDTF">2024-08-23T14:03:00Z</dcterms:modified>
</cp:coreProperties>
</file>