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23603" w14:textId="55D8D5FF" w:rsidR="00453E34" w:rsidRDefault="00453E34" w:rsidP="00A4238A">
      <w:pPr>
        <w:jc w:val="both"/>
        <w:rPr>
          <w:rFonts w:ascii="Arial" w:hAnsi="Arial" w:cs="Arial"/>
          <w:b/>
          <w:bCs/>
        </w:rPr>
      </w:pPr>
      <w:r>
        <w:rPr>
          <w:noProof/>
        </w:rPr>
        <w:drawing>
          <wp:inline distT="0" distB="0" distL="0" distR="0" wp14:anchorId="7A968C5F" wp14:editId="078F19AF">
            <wp:extent cx="2827020" cy="1114063"/>
            <wp:effectExtent l="0" t="0" r="0" b="0"/>
            <wp:docPr id="566637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637765" name=""/>
                    <pic:cNvPicPr/>
                  </pic:nvPicPr>
                  <pic:blipFill>
                    <a:blip r:embed="rId8"/>
                    <a:stretch>
                      <a:fillRect/>
                    </a:stretch>
                  </pic:blipFill>
                  <pic:spPr>
                    <a:xfrm>
                      <a:off x="0" y="0"/>
                      <a:ext cx="2847876" cy="1122282"/>
                    </a:xfrm>
                    <a:prstGeom prst="rect">
                      <a:avLst/>
                    </a:prstGeom>
                  </pic:spPr>
                </pic:pic>
              </a:graphicData>
            </a:graphic>
          </wp:inline>
        </w:drawing>
      </w:r>
    </w:p>
    <w:p w14:paraId="7511FAB0" w14:textId="77777777" w:rsidR="00453E34" w:rsidRDefault="00453E34" w:rsidP="00A4238A">
      <w:pPr>
        <w:jc w:val="both"/>
        <w:rPr>
          <w:rFonts w:ascii="Arial" w:hAnsi="Arial" w:cs="Arial"/>
          <w:b/>
          <w:bCs/>
        </w:rPr>
      </w:pPr>
    </w:p>
    <w:p w14:paraId="05EDD0A9" w14:textId="77777777" w:rsidR="00453E34" w:rsidRDefault="00453E34" w:rsidP="00A4238A">
      <w:pPr>
        <w:jc w:val="both"/>
        <w:rPr>
          <w:rFonts w:ascii="Arial" w:hAnsi="Arial" w:cs="Arial"/>
          <w:b/>
          <w:bCs/>
        </w:rPr>
      </w:pPr>
    </w:p>
    <w:p w14:paraId="3E2DEA0D" w14:textId="77777777" w:rsidR="00453E34" w:rsidRDefault="00453E34" w:rsidP="00A4238A">
      <w:pPr>
        <w:jc w:val="both"/>
        <w:rPr>
          <w:rFonts w:ascii="Arial" w:hAnsi="Arial" w:cs="Arial"/>
          <w:b/>
          <w:bCs/>
        </w:rPr>
      </w:pPr>
    </w:p>
    <w:p w14:paraId="6D49169F" w14:textId="77777777" w:rsidR="00453E34" w:rsidRDefault="00453E34" w:rsidP="00A4238A">
      <w:pPr>
        <w:jc w:val="both"/>
        <w:rPr>
          <w:rFonts w:ascii="Arial" w:hAnsi="Arial" w:cs="Arial"/>
          <w:b/>
          <w:bCs/>
        </w:rPr>
      </w:pPr>
    </w:p>
    <w:p w14:paraId="1D3151A6" w14:textId="77777777" w:rsidR="00453E34" w:rsidRDefault="00453E34" w:rsidP="00B60632">
      <w:pPr>
        <w:jc w:val="center"/>
        <w:rPr>
          <w:rFonts w:ascii="Arial" w:hAnsi="Arial" w:cs="Arial"/>
          <w:b/>
          <w:bCs/>
        </w:rPr>
      </w:pPr>
    </w:p>
    <w:p w14:paraId="0852CD5E" w14:textId="04CD3D9C" w:rsidR="00453E34" w:rsidRPr="00244802" w:rsidRDefault="00453E34" w:rsidP="00B60632">
      <w:pPr>
        <w:jc w:val="center"/>
        <w:rPr>
          <w:rFonts w:ascii="Arial" w:hAnsi="Arial" w:cs="Arial"/>
          <w:b/>
          <w:bCs/>
          <w:sz w:val="48"/>
          <w:szCs w:val="48"/>
        </w:rPr>
      </w:pPr>
      <w:r w:rsidRPr="00244802">
        <w:rPr>
          <w:rFonts w:ascii="Arial" w:hAnsi="Arial" w:cs="Arial"/>
          <w:b/>
          <w:bCs/>
          <w:sz w:val="48"/>
          <w:szCs w:val="48"/>
        </w:rPr>
        <w:t>Integration</w:t>
      </w:r>
      <w:r w:rsidR="00244802" w:rsidRPr="00244802">
        <w:rPr>
          <w:rFonts w:ascii="Arial" w:hAnsi="Arial" w:cs="Arial"/>
          <w:b/>
          <w:bCs/>
          <w:sz w:val="48"/>
          <w:szCs w:val="48"/>
        </w:rPr>
        <w:t xml:space="preserve"> </w:t>
      </w:r>
      <w:r w:rsidRPr="00244802">
        <w:rPr>
          <w:rFonts w:ascii="Arial" w:hAnsi="Arial" w:cs="Arial"/>
          <w:b/>
          <w:bCs/>
          <w:sz w:val="48"/>
          <w:szCs w:val="48"/>
        </w:rPr>
        <w:t>of Health, Wellbeing and Sustainable Development in Health and Social Care</w:t>
      </w:r>
    </w:p>
    <w:p w14:paraId="0AA1AAD8" w14:textId="77777777" w:rsidR="00453E34" w:rsidRPr="00244802" w:rsidRDefault="00453E34" w:rsidP="00A4238A">
      <w:pPr>
        <w:jc w:val="both"/>
        <w:rPr>
          <w:rFonts w:ascii="Arial" w:hAnsi="Arial" w:cs="Arial"/>
          <w:b/>
          <w:bCs/>
          <w:sz w:val="32"/>
          <w:szCs w:val="32"/>
        </w:rPr>
      </w:pPr>
    </w:p>
    <w:p w14:paraId="0EB2D8FE" w14:textId="77777777" w:rsidR="00244802" w:rsidRDefault="00244802" w:rsidP="00453E34">
      <w:pPr>
        <w:jc w:val="both"/>
        <w:rPr>
          <w:rFonts w:ascii="Arial" w:hAnsi="Arial" w:cs="Arial"/>
          <w:b/>
          <w:bCs/>
          <w:sz w:val="36"/>
          <w:szCs w:val="36"/>
          <w:lang w:bidi="en-GB"/>
        </w:rPr>
      </w:pPr>
    </w:p>
    <w:p w14:paraId="65527F5C" w14:textId="77777777" w:rsidR="00B60632" w:rsidRDefault="00B60632" w:rsidP="00453E34">
      <w:pPr>
        <w:jc w:val="both"/>
        <w:rPr>
          <w:rFonts w:ascii="Arial" w:hAnsi="Arial" w:cs="Arial"/>
          <w:b/>
          <w:bCs/>
          <w:sz w:val="36"/>
          <w:szCs w:val="36"/>
          <w:lang w:bidi="en-GB"/>
        </w:rPr>
      </w:pPr>
    </w:p>
    <w:p w14:paraId="3FB27A78" w14:textId="77777777" w:rsidR="00244802" w:rsidRDefault="00244802" w:rsidP="00B60632">
      <w:pPr>
        <w:rPr>
          <w:rFonts w:ascii="Arial" w:hAnsi="Arial" w:cs="Arial"/>
          <w:b/>
          <w:bCs/>
          <w:sz w:val="36"/>
          <w:szCs w:val="36"/>
          <w:lang w:bidi="en-GB"/>
        </w:rPr>
      </w:pPr>
    </w:p>
    <w:p w14:paraId="4C38985B" w14:textId="7E3B3022" w:rsidR="00453E34" w:rsidRPr="00244802" w:rsidRDefault="00453E34" w:rsidP="00B60632">
      <w:pPr>
        <w:rPr>
          <w:rFonts w:ascii="Arial" w:hAnsi="Arial" w:cs="Arial"/>
          <w:b/>
          <w:bCs/>
          <w:sz w:val="36"/>
          <w:szCs w:val="36"/>
          <w:lang w:bidi="en-GB"/>
        </w:rPr>
      </w:pPr>
      <w:r w:rsidRPr="00244802">
        <w:rPr>
          <w:rFonts w:ascii="Arial" w:hAnsi="Arial" w:cs="Arial"/>
          <w:b/>
          <w:bCs/>
          <w:sz w:val="36"/>
          <w:szCs w:val="36"/>
          <w:lang w:bidi="en-GB"/>
        </w:rPr>
        <w:t>Programme: BSc (Hons) Health and Social Care</w:t>
      </w:r>
    </w:p>
    <w:p w14:paraId="6A4833F3" w14:textId="63A46564" w:rsidR="00453E34" w:rsidRPr="00244802" w:rsidRDefault="00453E34" w:rsidP="00B60632">
      <w:pPr>
        <w:rPr>
          <w:rFonts w:ascii="Arial" w:hAnsi="Arial" w:cs="Arial"/>
          <w:b/>
          <w:bCs/>
          <w:sz w:val="36"/>
          <w:szCs w:val="36"/>
          <w:lang w:bidi="en-GB"/>
        </w:rPr>
      </w:pPr>
      <w:r w:rsidRPr="00244802">
        <w:rPr>
          <w:rFonts w:ascii="Arial" w:hAnsi="Arial" w:cs="Arial"/>
          <w:b/>
          <w:bCs/>
          <w:color w:val="0D0D0D" w:themeColor="text1" w:themeTint="F2"/>
          <w:sz w:val="36"/>
          <w:szCs w:val="36"/>
          <w:lang w:bidi="en-GB"/>
        </w:rPr>
        <w:t xml:space="preserve">Module code: </w:t>
      </w:r>
      <w:r w:rsidRPr="00244802">
        <w:rPr>
          <w:rFonts w:ascii="Arial" w:eastAsia="+mj-ea" w:hAnsi="Arial" w:cs="Arial"/>
          <w:b/>
          <w:bCs/>
          <w:color w:val="0D0D0D" w:themeColor="text1" w:themeTint="F2"/>
          <w:kern w:val="24"/>
          <w:sz w:val="36"/>
          <w:szCs w:val="36"/>
        </w:rPr>
        <w:t>BMHP6030_LON</w:t>
      </w:r>
    </w:p>
    <w:p w14:paraId="6EFDE125" w14:textId="1072166D" w:rsidR="00453E34" w:rsidRPr="00244802" w:rsidRDefault="00453E34" w:rsidP="00B60632">
      <w:pPr>
        <w:rPr>
          <w:rFonts w:ascii="Arial" w:hAnsi="Arial" w:cs="Arial"/>
          <w:b/>
          <w:bCs/>
          <w:sz w:val="36"/>
          <w:szCs w:val="36"/>
          <w:lang w:bidi="en-GB"/>
        </w:rPr>
      </w:pPr>
      <w:r w:rsidRPr="00244802">
        <w:rPr>
          <w:rFonts w:ascii="Arial" w:hAnsi="Arial" w:cs="Arial"/>
          <w:b/>
          <w:bCs/>
          <w:sz w:val="36"/>
          <w:szCs w:val="36"/>
          <w:lang w:bidi="en-GB"/>
        </w:rPr>
        <w:t>Student Name: Ioana Popa</w:t>
      </w:r>
    </w:p>
    <w:p w14:paraId="4AAFF371" w14:textId="77777777" w:rsidR="00244802" w:rsidRPr="00244802" w:rsidRDefault="00453E34" w:rsidP="00B60632">
      <w:pPr>
        <w:rPr>
          <w:rFonts w:ascii="Arial" w:hAnsi="Arial" w:cs="Arial"/>
          <w:b/>
          <w:bCs/>
          <w:sz w:val="36"/>
          <w:szCs w:val="36"/>
          <w:lang w:bidi="en-GB"/>
        </w:rPr>
      </w:pPr>
      <w:r w:rsidRPr="00244802">
        <w:rPr>
          <w:rFonts w:ascii="Arial" w:hAnsi="Arial" w:cs="Arial"/>
          <w:b/>
          <w:bCs/>
          <w:sz w:val="36"/>
          <w:szCs w:val="36"/>
        </w:rPr>
        <w:t>Student ID:2313594</w:t>
      </w:r>
    </w:p>
    <w:p w14:paraId="3A44A92E" w14:textId="77777777" w:rsidR="00B60632" w:rsidRDefault="00453E34" w:rsidP="00B60632">
      <w:pPr>
        <w:rPr>
          <w:rFonts w:ascii="Arial" w:hAnsi="Arial" w:cs="Arial"/>
          <w:b/>
          <w:bCs/>
          <w:sz w:val="36"/>
          <w:szCs w:val="36"/>
          <w:lang w:bidi="en-GB"/>
        </w:rPr>
      </w:pPr>
      <w:r w:rsidRPr="00244802">
        <w:rPr>
          <w:rFonts w:ascii="Arial" w:hAnsi="Arial" w:cs="Arial"/>
          <w:b/>
          <w:bCs/>
          <w:sz w:val="36"/>
          <w:szCs w:val="36"/>
          <w:lang w:bidi="en-GB"/>
        </w:rPr>
        <w:t xml:space="preserve">Supervisor’s name: </w:t>
      </w:r>
      <w:proofErr w:type="spellStart"/>
      <w:r w:rsidRPr="00244802">
        <w:rPr>
          <w:rFonts w:ascii="Arial" w:hAnsi="Arial" w:cs="Arial"/>
          <w:b/>
          <w:bCs/>
          <w:sz w:val="36"/>
          <w:szCs w:val="36"/>
          <w:lang w:bidi="en-GB"/>
        </w:rPr>
        <w:t>Itse</w:t>
      </w:r>
      <w:proofErr w:type="spellEnd"/>
      <w:r w:rsidRPr="00244802">
        <w:rPr>
          <w:rFonts w:ascii="Arial" w:hAnsi="Arial" w:cs="Arial"/>
          <w:b/>
          <w:bCs/>
          <w:sz w:val="36"/>
          <w:szCs w:val="36"/>
          <w:lang w:bidi="en-GB"/>
        </w:rPr>
        <w:t xml:space="preserve"> Olaoye</w:t>
      </w:r>
    </w:p>
    <w:p w14:paraId="3BE6BCC0" w14:textId="2A87E40E" w:rsidR="00453E34" w:rsidRPr="00244802" w:rsidRDefault="00244802" w:rsidP="00B60632">
      <w:pPr>
        <w:rPr>
          <w:rFonts w:ascii="Arial" w:hAnsi="Arial" w:cs="Arial"/>
          <w:b/>
          <w:bCs/>
          <w:sz w:val="36"/>
          <w:szCs w:val="36"/>
          <w:lang w:bidi="en-GB"/>
        </w:rPr>
      </w:pPr>
      <w:r>
        <w:rPr>
          <w:rFonts w:ascii="Arial" w:hAnsi="Arial" w:cs="Arial"/>
          <w:b/>
          <w:bCs/>
          <w:sz w:val="36"/>
          <w:szCs w:val="36"/>
        </w:rPr>
        <w:t xml:space="preserve"> </w:t>
      </w:r>
      <w:r w:rsidRPr="00244802">
        <w:rPr>
          <w:rFonts w:ascii="Arial" w:hAnsi="Arial" w:cs="Arial"/>
          <w:b/>
          <w:bCs/>
          <w:sz w:val="36"/>
          <w:szCs w:val="36"/>
        </w:rPr>
        <w:t>August 2026</w:t>
      </w:r>
    </w:p>
    <w:p w14:paraId="49762CAF" w14:textId="77777777" w:rsidR="00453E34" w:rsidRPr="00244802" w:rsidRDefault="00453E34" w:rsidP="00B60632">
      <w:pPr>
        <w:rPr>
          <w:rFonts w:ascii="Arial" w:hAnsi="Arial" w:cs="Arial"/>
          <w:b/>
          <w:bCs/>
          <w:sz w:val="36"/>
          <w:szCs w:val="36"/>
        </w:rPr>
      </w:pPr>
    </w:p>
    <w:p w14:paraId="152EB5B6" w14:textId="77777777" w:rsidR="00244802" w:rsidRDefault="00244802" w:rsidP="00A4238A">
      <w:pPr>
        <w:jc w:val="both"/>
        <w:rPr>
          <w:rFonts w:ascii="Arial" w:hAnsi="Arial" w:cs="Arial"/>
          <w:b/>
          <w:bCs/>
        </w:rPr>
      </w:pPr>
    </w:p>
    <w:sdt>
      <w:sdtPr>
        <w:rPr>
          <w:rFonts w:asciiTheme="minorHAnsi" w:eastAsiaTheme="minorEastAsia" w:hAnsiTheme="minorHAnsi" w:cstheme="minorBidi"/>
          <w:color w:val="auto"/>
          <w:kern w:val="2"/>
          <w:sz w:val="24"/>
          <w:szCs w:val="24"/>
          <w:lang w:val="en-GB" w:eastAsia="zh-CN"/>
          <w14:ligatures w14:val="standardContextual"/>
        </w:rPr>
        <w:id w:val="1560591809"/>
        <w:docPartObj>
          <w:docPartGallery w:val="Table of Contents"/>
          <w:docPartUnique/>
        </w:docPartObj>
      </w:sdtPr>
      <w:sdtEndPr>
        <w:rPr>
          <w:b/>
          <w:bCs/>
          <w:noProof/>
        </w:rPr>
      </w:sdtEndPr>
      <w:sdtContent>
        <w:p w14:paraId="3ED6B6DE" w14:textId="7394CCD2" w:rsidR="0062127D" w:rsidRDefault="0062127D">
          <w:pPr>
            <w:pStyle w:val="TOCHeading"/>
          </w:pPr>
          <w:r>
            <w:t>Contents</w:t>
          </w:r>
        </w:p>
        <w:p w14:paraId="14D231DE" w14:textId="1DCB0019" w:rsidR="00BF27C6" w:rsidRDefault="0062127D">
          <w:pPr>
            <w:pStyle w:val="TOC1"/>
            <w:tabs>
              <w:tab w:val="right" w:leader="dot" w:pos="9016"/>
            </w:tabs>
            <w:rPr>
              <w:noProof/>
              <w:lang w:eastAsia="en-GB"/>
            </w:rPr>
          </w:pPr>
          <w:r>
            <w:fldChar w:fldCharType="begin"/>
          </w:r>
          <w:r>
            <w:instrText xml:space="preserve"> TOC \o "1-3" \h \z \u </w:instrText>
          </w:r>
          <w:r>
            <w:fldChar w:fldCharType="separate"/>
          </w:r>
          <w:hyperlink w:anchor="_Toc236743584" w:history="1">
            <w:r w:rsidR="00BF27C6" w:rsidRPr="004C755B">
              <w:rPr>
                <w:rStyle w:val="Hyperlink"/>
                <w:rFonts w:ascii="Arial" w:hAnsi="Arial" w:cs="Arial"/>
                <w:noProof/>
              </w:rPr>
              <w:t>Introduction</w:t>
            </w:r>
            <w:r w:rsidR="00BF27C6">
              <w:rPr>
                <w:noProof/>
                <w:webHidden/>
              </w:rPr>
              <w:tab/>
            </w:r>
            <w:r w:rsidR="00BF27C6">
              <w:rPr>
                <w:noProof/>
                <w:webHidden/>
              </w:rPr>
              <w:fldChar w:fldCharType="begin"/>
            </w:r>
            <w:r w:rsidR="00BF27C6">
              <w:rPr>
                <w:noProof/>
                <w:webHidden/>
              </w:rPr>
              <w:instrText xml:space="preserve"> PAGEREF _Toc236743584 \h </w:instrText>
            </w:r>
            <w:r w:rsidR="00BF27C6">
              <w:rPr>
                <w:noProof/>
                <w:webHidden/>
              </w:rPr>
            </w:r>
            <w:r w:rsidR="00BF27C6">
              <w:rPr>
                <w:noProof/>
                <w:webHidden/>
              </w:rPr>
              <w:fldChar w:fldCharType="separate"/>
            </w:r>
            <w:r w:rsidR="00BF27C6">
              <w:rPr>
                <w:noProof/>
                <w:webHidden/>
              </w:rPr>
              <w:t>2</w:t>
            </w:r>
            <w:r w:rsidR="00BF27C6">
              <w:rPr>
                <w:noProof/>
                <w:webHidden/>
              </w:rPr>
              <w:fldChar w:fldCharType="end"/>
            </w:r>
          </w:hyperlink>
        </w:p>
        <w:p w14:paraId="5ECFD528" w14:textId="287E1AAD" w:rsidR="00BF27C6" w:rsidRDefault="00BF27C6">
          <w:pPr>
            <w:pStyle w:val="TOC1"/>
            <w:tabs>
              <w:tab w:val="right" w:leader="dot" w:pos="9016"/>
            </w:tabs>
            <w:rPr>
              <w:noProof/>
              <w:lang w:eastAsia="en-GB"/>
            </w:rPr>
          </w:pPr>
          <w:hyperlink w:anchor="_Toc236743585" w:history="1">
            <w:r w:rsidRPr="004C755B">
              <w:rPr>
                <w:rStyle w:val="Hyperlink"/>
                <w:rFonts w:ascii="Arial" w:hAnsi="Arial" w:cs="Arial"/>
                <w:noProof/>
              </w:rPr>
              <w:t>Sustainable Development Goal 3 (SDG 3): Good Health and Wellbeing</w:t>
            </w:r>
            <w:r>
              <w:rPr>
                <w:noProof/>
                <w:webHidden/>
              </w:rPr>
              <w:tab/>
            </w:r>
            <w:r>
              <w:rPr>
                <w:noProof/>
                <w:webHidden/>
              </w:rPr>
              <w:fldChar w:fldCharType="begin"/>
            </w:r>
            <w:r>
              <w:rPr>
                <w:noProof/>
                <w:webHidden/>
              </w:rPr>
              <w:instrText xml:space="preserve"> PAGEREF _Toc236743585 \h </w:instrText>
            </w:r>
            <w:r>
              <w:rPr>
                <w:noProof/>
                <w:webHidden/>
              </w:rPr>
            </w:r>
            <w:r>
              <w:rPr>
                <w:noProof/>
                <w:webHidden/>
              </w:rPr>
              <w:fldChar w:fldCharType="separate"/>
            </w:r>
            <w:r>
              <w:rPr>
                <w:noProof/>
                <w:webHidden/>
              </w:rPr>
              <w:t>3</w:t>
            </w:r>
            <w:r>
              <w:rPr>
                <w:noProof/>
                <w:webHidden/>
              </w:rPr>
              <w:fldChar w:fldCharType="end"/>
            </w:r>
          </w:hyperlink>
        </w:p>
        <w:p w14:paraId="6631529E" w14:textId="03CCEA00" w:rsidR="00BF27C6" w:rsidRDefault="00BF27C6">
          <w:pPr>
            <w:pStyle w:val="TOC1"/>
            <w:tabs>
              <w:tab w:val="right" w:leader="dot" w:pos="9016"/>
            </w:tabs>
            <w:rPr>
              <w:noProof/>
              <w:lang w:eastAsia="en-GB"/>
            </w:rPr>
          </w:pPr>
          <w:hyperlink w:anchor="_Toc236743586" w:history="1">
            <w:r w:rsidRPr="004C755B">
              <w:rPr>
                <w:rStyle w:val="Hyperlink"/>
                <w:rFonts w:ascii="Arial" w:hAnsi="Arial" w:cs="Arial"/>
                <w:noProof/>
              </w:rPr>
              <w:t>Sustainable Development Goal 11: Sustainable Cities and Communities</w:t>
            </w:r>
            <w:r>
              <w:rPr>
                <w:noProof/>
                <w:webHidden/>
              </w:rPr>
              <w:tab/>
            </w:r>
            <w:r>
              <w:rPr>
                <w:noProof/>
                <w:webHidden/>
              </w:rPr>
              <w:fldChar w:fldCharType="begin"/>
            </w:r>
            <w:r>
              <w:rPr>
                <w:noProof/>
                <w:webHidden/>
              </w:rPr>
              <w:instrText xml:space="preserve"> PAGEREF _Toc236743586 \h </w:instrText>
            </w:r>
            <w:r>
              <w:rPr>
                <w:noProof/>
                <w:webHidden/>
              </w:rPr>
            </w:r>
            <w:r>
              <w:rPr>
                <w:noProof/>
                <w:webHidden/>
              </w:rPr>
              <w:fldChar w:fldCharType="separate"/>
            </w:r>
            <w:r>
              <w:rPr>
                <w:noProof/>
                <w:webHidden/>
              </w:rPr>
              <w:t>5</w:t>
            </w:r>
            <w:r>
              <w:rPr>
                <w:noProof/>
                <w:webHidden/>
              </w:rPr>
              <w:fldChar w:fldCharType="end"/>
            </w:r>
          </w:hyperlink>
        </w:p>
        <w:p w14:paraId="0D3B779B" w14:textId="2DBCE66E" w:rsidR="00BF27C6" w:rsidRDefault="00BF27C6">
          <w:pPr>
            <w:pStyle w:val="TOC1"/>
            <w:tabs>
              <w:tab w:val="right" w:leader="dot" w:pos="9016"/>
            </w:tabs>
            <w:rPr>
              <w:noProof/>
              <w:lang w:eastAsia="en-GB"/>
            </w:rPr>
          </w:pPr>
          <w:hyperlink w:anchor="_Toc236743587" w:history="1">
            <w:r w:rsidRPr="004C755B">
              <w:rPr>
                <w:rStyle w:val="Hyperlink"/>
                <w:rFonts w:ascii="Arial" w:hAnsi="Arial" w:cs="Arial"/>
                <w:noProof/>
              </w:rPr>
              <w:t>National Wellbeing Initiatives: Evaluation and Recommendations</w:t>
            </w:r>
            <w:r>
              <w:rPr>
                <w:noProof/>
                <w:webHidden/>
              </w:rPr>
              <w:tab/>
            </w:r>
            <w:r>
              <w:rPr>
                <w:noProof/>
                <w:webHidden/>
              </w:rPr>
              <w:fldChar w:fldCharType="begin"/>
            </w:r>
            <w:r>
              <w:rPr>
                <w:noProof/>
                <w:webHidden/>
              </w:rPr>
              <w:instrText xml:space="preserve"> PAGEREF _Toc236743587 \h </w:instrText>
            </w:r>
            <w:r>
              <w:rPr>
                <w:noProof/>
                <w:webHidden/>
              </w:rPr>
            </w:r>
            <w:r>
              <w:rPr>
                <w:noProof/>
                <w:webHidden/>
              </w:rPr>
              <w:fldChar w:fldCharType="separate"/>
            </w:r>
            <w:r>
              <w:rPr>
                <w:noProof/>
                <w:webHidden/>
              </w:rPr>
              <w:t>6</w:t>
            </w:r>
            <w:r>
              <w:rPr>
                <w:noProof/>
                <w:webHidden/>
              </w:rPr>
              <w:fldChar w:fldCharType="end"/>
            </w:r>
          </w:hyperlink>
        </w:p>
        <w:p w14:paraId="3D68209E" w14:textId="4808E739" w:rsidR="00BF27C6" w:rsidRDefault="00BF27C6">
          <w:pPr>
            <w:pStyle w:val="TOC2"/>
            <w:tabs>
              <w:tab w:val="right" w:leader="dot" w:pos="9016"/>
            </w:tabs>
            <w:rPr>
              <w:noProof/>
              <w:lang w:eastAsia="en-GB"/>
            </w:rPr>
          </w:pPr>
          <w:hyperlink w:anchor="_Toc236743588" w:history="1">
            <w:r w:rsidRPr="004C755B">
              <w:rPr>
                <w:rStyle w:val="Hyperlink"/>
                <w:rFonts w:ascii="Arial" w:hAnsi="Arial" w:cs="Arial"/>
                <w:noProof/>
                <w:lang w:eastAsia="en-GB"/>
              </w:rPr>
              <w:t>Recommendations for Improvement</w:t>
            </w:r>
            <w:r>
              <w:rPr>
                <w:noProof/>
                <w:webHidden/>
              </w:rPr>
              <w:tab/>
            </w:r>
            <w:r>
              <w:rPr>
                <w:noProof/>
                <w:webHidden/>
              </w:rPr>
              <w:fldChar w:fldCharType="begin"/>
            </w:r>
            <w:r>
              <w:rPr>
                <w:noProof/>
                <w:webHidden/>
              </w:rPr>
              <w:instrText xml:space="preserve"> PAGEREF _Toc236743588 \h </w:instrText>
            </w:r>
            <w:r>
              <w:rPr>
                <w:noProof/>
                <w:webHidden/>
              </w:rPr>
            </w:r>
            <w:r>
              <w:rPr>
                <w:noProof/>
                <w:webHidden/>
              </w:rPr>
              <w:fldChar w:fldCharType="separate"/>
            </w:r>
            <w:r>
              <w:rPr>
                <w:noProof/>
                <w:webHidden/>
              </w:rPr>
              <w:t>7</w:t>
            </w:r>
            <w:r>
              <w:rPr>
                <w:noProof/>
                <w:webHidden/>
              </w:rPr>
              <w:fldChar w:fldCharType="end"/>
            </w:r>
          </w:hyperlink>
        </w:p>
        <w:p w14:paraId="5EB826C9" w14:textId="197E1D14" w:rsidR="00BF27C6" w:rsidRDefault="00BF27C6">
          <w:pPr>
            <w:pStyle w:val="TOC1"/>
            <w:tabs>
              <w:tab w:val="right" w:leader="dot" w:pos="9016"/>
            </w:tabs>
            <w:rPr>
              <w:noProof/>
              <w:lang w:eastAsia="en-GB"/>
            </w:rPr>
          </w:pPr>
          <w:hyperlink w:anchor="_Toc236743589" w:history="1">
            <w:r w:rsidRPr="004C755B">
              <w:rPr>
                <w:rStyle w:val="Hyperlink"/>
                <w:rFonts w:ascii="Arial" w:eastAsia="Times New Roman" w:hAnsi="Arial" w:cs="Arial"/>
                <w:b/>
                <w:bCs/>
                <w:noProof/>
                <w:kern w:val="0"/>
                <w:lang w:eastAsia="en-GB"/>
                <w14:ligatures w14:val="none"/>
              </w:rPr>
              <w:t>Local Wellbeing Initiatives: Evaluation and Recommendations</w:t>
            </w:r>
            <w:r>
              <w:rPr>
                <w:noProof/>
                <w:webHidden/>
              </w:rPr>
              <w:tab/>
            </w:r>
            <w:r>
              <w:rPr>
                <w:noProof/>
                <w:webHidden/>
              </w:rPr>
              <w:fldChar w:fldCharType="begin"/>
            </w:r>
            <w:r>
              <w:rPr>
                <w:noProof/>
                <w:webHidden/>
              </w:rPr>
              <w:instrText xml:space="preserve"> PAGEREF _Toc236743589 \h </w:instrText>
            </w:r>
            <w:r>
              <w:rPr>
                <w:noProof/>
                <w:webHidden/>
              </w:rPr>
            </w:r>
            <w:r>
              <w:rPr>
                <w:noProof/>
                <w:webHidden/>
              </w:rPr>
              <w:fldChar w:fldCharType="separate"/>
            </w:r>
            <w:r>
              <w:rPr>
                <w:noProof/>
                <w:webHidden/>
              </w:rPr>
              <w:t>7</w:t>
            </w:r>
            <w:r>
              <w:rPr>
                <w:noProof/>
                <w:webHidden/>
              </w:rPr>
              <w:fldChar w:fldCharType="end"/>
            </w:r>
          </w:hyperlink>
        </w:p>
        <w:p w14:paraId="59B4E19B" w14:textId="06691D31" w:rsidR="00BF27C6" w:rsidRDefault="00BF27C6">
          <w:pPr>
            <w:pStyle w:val="TOC2"/>
            <w:tabs>
              <w:tab w:val="right" w:leader="dot" w:pos="9016"/>
            </w:tabs>
            <w:rPr>
              <w:noProof/>
              <w:lang w:eastAsia="en-GB"/>
            </w:rPr>
          </w:pPr>
          <w:hyperlink w:anchor="_Toc236743590" w:history="1">
            <w:r w:rsidRPr="004C755B">
              <w:rPr>
                <w:rStyle w:val="Hyperlink"/>
                <w:rFonts w:ascii="Arial" w:hAnsi="Arial" w:cs="Arial"/>
                <w:noProof/>
                <w:lang w:eastAsia="en-GB"/>
              </w:rPr>
              <w:t>Recommendations for Improvement</w:t>
            </w:r>
            <w:r>
              <w:rPr>
                <w:noProof/>
                <w:webHidden/>
              </w:rPr>
              <w:tab/>
            </w:r>
            <w:r>
              <w:rPr>
                <w:noProof/>
                <w:webHidden/>
              </w:rPr>
              <w:fldChar w:fldCharType="begin"/>
            </w:r>
            <w:r>
              <w:rPr>
                <w:noProof/>
                <w:webHidden/>
              </w:rPr>
              <w:instrText xml:space="preserve"> PAGEREF _Toc236743590 \h </w:instrText>
            </w:r>
            <w:r>
              <w:rPr>
                <w:noProof/>
                <w:webHidden/>
              </w:rPr>
            </w:r>
            <w:r>
              <w:rPr>
                <w:noProof/>
                <w:webHidden/>
              </w:rPr>
              <w:fldChar w:fldCharType="separate"/>
            </w:r>
            <w:r>
              <w:rPr>
                <w:noProof/>
                <w:webHidden/>
              </w:rPr>
              <w:t>8</w:t>
            </w:r>
            <w:r>
              <w:rPr>
                <w:noProof/>
                <w:webHidden/>
              </w:rPr>
              <w:fldChar w:fldCharType="end"/>
            </w:r>
          </w:hyperlink>
        </w:p>
        <w:p w14:paraId="0B3FE96E" w14:textId="304E60D6" w:rsidR="00BF27C6" w:rsidRDefault="00BF27C6">
          <w:pPr>
            <w:pStyle w:val="TOC1"/>
            <w:tabs>
              <w:tab w:val="right" w:leader="dot" w:pos="9016"/>
            </w:tabs>
            <w:rPr>
              <w:noProof/>
              <w:lang w:eastAsia="en-GB"/>
            </w:rPr>
          </w:pPr>
          <w:hyperlink w:anchor="_Toc236743591" w:history="1">
            <w:r w:rsidRPr="004C755B">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_Toc236743591 \h </w:instrText>
            </w:r>
            <w:r>
              <w:rPr>
                <w:noProof/>
                <w:webHidden/>
              </w:rPr>
            </w:r>
            <w:r>
              <w:rPr>
                <w:noProof/>
                <w:webHidden/>
              </w:rPr>
              <w:fldChar w:fldCharType="separate"/>
            </w:r>
            <w:r>
              <w:rPr>
                <w:noProof/>
                <w:webHidden/>
              </w:rPr>
              <w:t>9</w:t>
            </w:r>
            <w:r>
              <w:rPr>
                <w:noProof/>
                <w:webHidden/>
              </w:rPr>
              <w:fldChar w:fldCharType="end"/>
            </w:r>
          </w:hyperlink>
        </w:p>
        <w:p w14:paraId="2DEAC694" w14:textId="1063BD6F" w:rsidR="00BF27C6" w:rsidRDefault="00BF27C6">
          <w:pPr>
            <w:pStyle w:val="TOC1"/>
            <w:tabs>
              <w:tab w:val="right" w:leader="dot" w:pos="9016"/>
            </w:tabs>
            <w:rPr>
              <w:noProof/>
              <w:lang w:eastAsia="en-GB"/>
            </w:rPr>
          </w:pPr>
          <w:hyperlink w:anchor="_Toc236743592" w:history="1">
            <w:r w:rsidRPr="004C755B">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_Toc236743592 \h </w:instrText>
            </w:r>
            <w:r>
              <w:rPr>
                <w:noProof/>
                <w:webHidden/>
              </w:rPr>
            </w:r>
            <w:r>
              <w:rPr>
                <w:noProof/>
                <w:webHidden/>
              </w:rPr>
              <w:fldChar w:fldCharType="separate"/>
            </w:r>
            <w:r>
              <w:rPr>
                <w:noProof/>
                <w:webHidden/>
              </w:rPr>
              <w:t>9</w:t>
            </w:r>
            <w:r>
              <w:rPr>
                <w:noProof/>
                <w:webHidden/>
              </w:rPr>
              <w:fldChar w:fldCharType="end"/>
            </w:r>
          </w:hyperlink>
        </w:p>
        <w:p w14:paraId="4E323957" w14:textId="22D0D649" w:rsidR="0062127D" w:rsidRDefault="0062127D">
          <w:r>
            <w:rPr>
              <w:b/>
              <w:bCs/>
              <w:noProof/>
            </w:rPr>
            <w:fldChar w:fldCharType="end"/>
          </w:r>
        </w:p>
      </w:sdtContent>
    </w:sdt>
    <w:p w14:paraId="18AE2C27" w14:textId="77777777" w:rsidR="00971587" w:rsidRDefault="00971587" w:rsidP="0002199C">
      <w:pPr>
        <w:pStyle w:val="NoSpacing"/>
      </w:pPr>
    </w:p>
    <w:p w14:paraId="007DCB8D" w14:textId="77777777" w:rsidR="00971587" w:rsidRDefault="00971587" w:rsidP="0002199C">
      <w:pPr>
        <w:pStyle w:val="NoSpacing"/>
      </w:pPr>
    </w:p>
    <w:p w14:paraId="7E2A64F0" w14:textId="6CE0A098" w:rsidR="00B60632" w:rsidRDefault="004F29CB" w:rsidP="0002199C">
      <w:pPr>
        <w:pStyle w:val="NoSpacing"/>
      </w:pPr>
      <w:r w:rsidRPr="002B0D21">
        <w:t>Introduction</w:t>
      </w:r>
    </w:p>
    <w:p w14:paraId="1E24A00B" w14:textId="77777777" w:rsidR="0002199C" w:rsidRPr="002B0D21" w:rsidRDefault="0002199C" w:rsidP="0002199C">
      <w:pPr>
        <w:pStyle w:val="NoSpacing"/>
      </w:pPr>
    </w:p>
    <w:p w14:paraId="3B4193F2" w14:textId="651E268A" w:rsidR="0062127D" w:rsidRDefault="001E3359" w:rsidP="0002199C">
      <w:pPr>
        <w:pStyle w:val="NoSpacing"/>
      </w:pPr>
      <w:r w:rsidRPr="002B0D21">
        <w:t xml:space="preserve">The report examines how national governments design and </w:t>
      </w:r>
      <w:proofErr w:type="gramStart"/>
      <w:r w:rsidRPr="002B0D21">
        <w:t>implement</w:t>
      </w:r>
      <w:proofErr w:type="gramEnd"/>
      <w:r w:rsidRPr="002B0D21">
        <w:t xml:space="preserve"> wellbeing and sustainable development initiatives, highlighting the shift from traditional economic indicators to broader measures of societal progress (Stiglitz et al., 2009). It evaluates two major national frameworks, analysing their effectiveness, limitations, and contributions to improving population wellbeing and advancing sustainable development goals (OECD, 2023). By reviewing current evidence, policy alignment, and implementation challenges, the report identifies both the strengths and shortcomings of these initiatives, offering targeted recommendations to strengthen measurement systems and enhance policy responsiveness (Smith &amp; Wallace, 2021).</w:t>
      </w:r>
    </w:p>
    <w:p w14:paraId="0DAB01D3" w14:textId="77777777" w:rsidR="00637815" w:rsidRPr="002B0D21" w:rsidRDefault="00637815" w:rsidP="0002199C">
      <w:pPr>
        <w:pStyle w:val="NoSpacing"/>
      </w:pPr>
    </w:p>
    <w:p w14:paraId="67A55B35" w14:textId="77777777" w:rsidR="005B0793" w:rsidRDefault="008A6E7B" w:rsidP="0002199C">
      <w:pPr>
        <w:pStyle w:val="NoSpacing"/>
      </w:pPr>
      <w:r w:rsidRPr="002B0D21">
        <w:t>Sustainable Development Goal 3 (SDG 3): Good Health and Wellbeing</w:t>
      </w:r>
    </w:p>
    <w:p w14:paraId="4AFEB824" w14:textId="77777777" w:rsidR="00637815" w:rsidRPr="002B0D21" w:rsidRDefault="00637815" w:rsidP="0002199C">
      <w:pPr>
        <w:pStyle w:val="NoSpacing"/>
      </w:pPr>
    </w:p>
    <w:p w14:paraId="2892CBA6" w14:textId="56C53C41" w:rsidR="008A6E7B" w:rsidRPr="002B0D21" w:rsidRDefault="008A6E7B" w:rsidP="0002199C">
      <w:pPr>
        <w:pStyle w:val="NoSpacing"/>
      </w:pPr>
      <w:r w:rsidRPr="002B0D21">
        <w:t>SDG 3 aims to “ensure healthy lives and promote wellbeing for all at all ages” (Attached Document, 2026, p.1). It is described as one of the most expansive goals within the 2030 Agenda, recognising health as both a human right and a prerequisite for sustainable development. The goal covers maternal and child mortality, communicable diseases, mental health, non</w:t>
      </w:r>
      <w:r w:rsidRPr="002B0D21">
        <w:noBreakHyphen/>
        <w:t>communicable diseases (NCDs), health system strengthening, and universal access to quality healthcare (Attached Document, 2026).</w:t>
      </w:r>
    </w:p>
    <w:p w14:paraId="229B7A7F" w14:textId="77777777" w:rsidR="008A6E7B" w:rsidRPr="002B0D21" w:rsidRDefault="008A6E7B" w:rsidP="0002199C">
      <w:pPr>
        <w:pStyle w:val="NoSpacing"/>
      </w:pPr>
      <w:r w:rsidRPr="002B0D21">
        <w:t>A central construct is Universal Health Coverage (UHC), which emphasises equitable access to essential services “without financial hardship” and includes preventive, curative, rehabilitative, and palliative care (Attached Document, 2026, p.1). SDG 3 also prioritises disease prevention through vaccination, sexual and reproductive health, and reducing behavioural risks such as tobacco use and harmful alcohol consumption.</w:t>
      </w:r>
    </w:p>
    <w:p w14:paraId="41B70FC9" w14:textId="77777777" w:rsidR="008A6E7B" w:rsidRPr="002B0D21" w:rsidRDefault="008A6E7B" w:rsidP="0002199C">
      <w:pPr>
        <w:pStyle w:val="NoSpacing"/>
      </w:pPr>
      <w:r w:rsidRPr="002B0D21">
        <w:t xml:space="preserve">The document highlights that NCDs are “responsible for over 70% of global deaths,” demonstrating the importance of policies targeting diet, exercise, and early diagnosis (Attached Document, 2026, p.2). Mental health is also emphasised, with SDG 3 </w:t>
      </w:r>
      <w:r w:rsidRPr="002B0D21">
        <w:lastRenderedPageBreak/>
        <w:t>encouraging investment in services, suicide prevention, and community</w:t>
      </w:r>
      <w:r w:rsidRPr="002B0D21">
        <w:noBreakHyphen/>
        <w:t>based support to reduce stigma and promote inclusion.</w:t>
      </w:r>
    </w:p>
    <w:p w14:paraId="6840952E" w14:textId="77777777" w:rsidR="00754928" w:rsidRPr="002B0D21" w:rsidRDefault="008A6E7B" w:rsidP="0002199C">
      <w:pPr>
        <w:pStyle w:val="NoSpacing"/>
      </w:pPr>
      <w:r w:rsidRPr="002B0D21">
        <w:t>Environmental determinants such as air pollution and road traffic injuries directly influence wellbeing, with cleaner air reducing respiratory and cardiovascular diseases (Attached Document, 2026). The COVID</w:t>
      </w:r>
      <w:r w:rsidRPr="002B0D21">
        <w:noBreakHyphen/>
        <w:t>19 pandemic further underscored the need for resilient health systems capable of maintaining continuity of care and protecting vulnerable populations (Attached Document, 2026).</w:t>
      </w:r>
      <w:bookmarkStart w:id="0" w:name="_Toc236743586"/>
    </w:p>
    <w:p w14:paraId="4C8FD7E0" w14:textId="77777777" w:rsidR="00914C3E" w:rsidRPr="002B0D21" w:rsidRDefault="00914C3E" w:rsidP="0002199C">
      <w:pPr>
        <w:pStyle w:val="NoSpacing"/>
      </w:pPr>
    </w:p>
    <w:p w14:paraId="4C927979" w14:textId="77777777" w:rsidR="00971587" w:rsidRDefault="00117995" w:rsidP="0002199C">
      <w:pPr>
        <w:pStyle w:val="NoSpacing"/>
      </w:pPr>
      <w:r w:rsidRPr="002B0D21">
        <w:t>Sustainable Development Goal 11: Sustainable Cities and Communities</w:t>
      </w:r>
      <w:bookmarkEnd w:id="0"/>
    </w:p>
    <w:p w14:paraId="0D8CB182" w14:textId="2698BCDF" w:rsidR="00117995" w:rsidRPr="002B0D21" w:rsidRDefault="00117995" w:rsidP="0002199C">
      <w:pPr>
        <w:pStyle w:val="NoSpacing"/>
      </w:pPr>
      <w:r w:rsidRPr="002B0D21">
        <w:t xml:space="preserve"> </w:t>
      </w:r>
    </w:p>
    <w:p w14:paraId="141552AA" w14:textId="77777777" w:rsidR="00A15AE0" w:rsidRPr="002B0D21" w:rsidRDefault="00A15AE0" w:rsidP="0002199C">
      <w:pPr>
        <w:pStyle w:val="NoSpacing"/>
      </w:pPr>
      <w:r w:rsidRPr="002B0D21">
        <w:t>SDG 11 aims to “make cities and human settlements inclusive, safe, resilient and sustainable” (Attached Document, 2026, p.3). As more than half of the global population lives in urban areas, the document emphasises that urban environments strongly shape health, wellbeing, and life opportunities.</w:t>
      </w:r>
    </w:p>
    <w:p w14:paraId="111105C6" w14:textId="77777777" w:rsidR="00A15AE0" w:rsidRPr="002B0D21" w:rsidRDefault="00A15AE0" w:rsidP="0002199C">
      <w:pPr>
        <w:pStyle w:val="NoSpacing"/>
      </w:pPr>
      <w:r w:rsidRPr="002B0D21">
        <w:t>Adequate housing is a core construct. Poor housing conditions such as overcrowding, damp, and insecure tenure are associated with respiratory illness, chronic stress, and reduced mental wellbeing (Attached Document, 2026). Sustainable transport systems improve access to healthcare, education, and employment, while active travel infrastructure reduces risks of cardiovascular disease, obesity, and mental health conditions (Attached Document, 2026).</w:t>
      </w:r>
    </w:p>
    <w:p w14:paraId="55173161" w14:textId="77777777" w:rsidR="00A15AE0" w:rsidRPr="002B0D21" w:rsidRDefault="00A15AE0" w:rsidP="0002199C">
      <w:pPr>
        <w:pStyle w:val="NoSpacing"/>
      </w:pPr>
      <w:r w:rsidRPr="002B0D21">
        <w:t>Environmental sustainability is another key dimension. Air pollution is described as “one of the most significant urban health threats,” contributing to millions of premature deaths globally (Attached Document, 2026, p.4). Green spaces support recreation, social interaction, and stress reduction.</w:t>
      </w:r>
    </w:p>
    <w:p w14:paraId="75CE35C5" w14:textId="77777777" w:rsidR="00A15AE0" w:rsidRPr="002B0D21" w:rsidRDefault="00A15AE0" w:rsidP="0002199C">
      <w:pPr>
        <w:pStyle w:val="NoSpacing"/>
      </w:pPr>
      <w:r w:rsidRPr="002B0D21">
        <w:t>Disaster resilience is increasingly important as cities face rising risks from floods, heatwaves, and storms. The document notes that heatwaves disproportionately affect older adults and those with chronic illnesses, and highlights the value of cooling centres, shaded areas, and green roofs (Attached Document, 2026).</w:t>
      </w:r>
    </w:p>
    <w:p w14:paraId="02F1B71D" w14:textId="77777777" w:rsidR="00A15AE0" w:rsidRPr="002B0D21" w:rsidRDefault="00A15AE0" w:rsidP="0002199C">
      <w:pPr>
        <w:pStyle w:val="NoSpacing"/>
      </w:pPr>
      <w:r w:rsidRPr="002B0D21">
        <w:t>Inclusive public spaces foster social cohesion, reduce crime, and support mental health, ensuring vulnerable groups can participate fully in civic life (Attached Document, 2026).</w:t>
      </w:r>
    </w:p>
    <w:p w14:paraId="6E60B425" w14:textId="77777777" w:rsidR="00311164" w:rsidRPr="002B0D21" w:rsidRDefault="00311164" w:rsidP="0002199C">
      <w:pPr>
        <w:pStyle w:val="NoSpacing"/>
      </w:pPr>
    </w:p>
    <w:p w14:paraId="26F4A199" w14:textId="77777777" w:rsidR="00C7566C" w:rsidRPr="002B0D21" w:rsidRDefault="00C7566C" w:rsidP="0002199C">
      <w:pPr>
        <w:pStyle w:val="NoSpacing"/>
      </w:pPr>
      <w:r w:rsidRPr="002B0D21">
        <w:t>Sustainable Development Goal 11 (SDG 11) aims to “make cities and human settlements inclusive, safe, resilient and sustainable” (Attached Document, 2026, p.3). As more than half of the world’s population now lives in urban areas, SDG 11 recognises that the quality of urban environments directly shapes citizens’ health, wellbeing, and life opportunities (Attached Document, 2026). The goal encompasses several core constructs, including access to adequate housing, sustainable transport, reduced environmental risks, inclusive public spaces, and strengthened resilience to disasters, reflecting the understanding that wellbeing is influenced by social, physical, and environmental conditions (Attached Document, 2026).</w:t>
      </w:r>
    </w:p>
    <w:p w14:paraId="11E8222F" w14:textId="77777777" w:rsidR="00C7566C" w:rsidRPr="002B0D21" w:rsidRDefault="00C7566C" w:rsidP="0002199C">
      <w:pPr>
        <w:pStyle w:val="NoSpacing"/>
      </w:pPr>
      <w:r w:rsidRPr="002B0D21">
        <w:t xml:space="preserve">A central construct of SDG 11 is access to safe, affordable, and adequate housing. Poor housing conditions such as overcrowding, damp, inadequate heating, or insecure tenure are “strongly associated with respiratory illnesses, chronic stress, and reduced mental wellbeing” (Attached Document, 2026, p.3). By promoting affordable housing and upgrading informal settlements, SDG 11 supports healthier living environments and reduces inequalities. Secure housing also enhances psychological stability, enabling </w:t>
      </w:r>
      <w:r w:rsidRPr="002B0D21">
        <w:lastRenderedPageBreak/>
        <w:t>individuals to participate more fully in education, employment, and community life (Attached Document, 2026).</w:t>
      </w:r>
    </w:p>
    <w:p w14:paraId="11741003" w14:textId="77777777" w:rsidR="00C7566C" w:rsidRPr="002B0D21" w:rsidRDefault="00C7566C" w:rsidP="0002199C">
      <w:pPr>
        <w:pStyle w:val="NoSpacing"/>
      </w:pPr>
      <w:r w:rsidRPr="002B0D21">
        <w:t>Another major construct is sustainable transport and mobility. SDG 11 encourages investment in accessible, low</w:t>
      </w:r>
      <w:r w:rsidRPr="002B0D21">
        <w:noBreakHyphen/>
        <w:t>emission public transport systems and infrastructure for walking and cycling (Attached Document, 2026). Reliable transport improves access to healthcare, education, and employment, directly influencing social wellbeing. Active travel infrastructure supports physical activity, reducing risks of cardiovascular disease, obesity, and mental health conditions. Reduced reliance on private vehicles also lowers air pollution, improving respiratory and cardiovascular health for urban residents (Attached Document, 2026).</w:t>
      </w:r>
    </w:p>
    <w:p w14:paraId="2C96F9A4" w14:textId="77777777" w:rsidR="00C7566C" w:rsidRPr="002B0D21" w:rsidRDefault="00C7566C" w:rsidP="0002199C">
      <w:pPr>
        <w:pStyle w:val="NoSpacing"/>
      </w:pPr>
      <w:r w:rsidRPr="002B0D21">
        <w:t>Environmental sustainability is another key dimension. SDG 11 includes targets to reduce air pollution, improve waste management, and expand green spaces. Air pollution is described as “one of the most significant urban health threats, contributing to millions of premature deaths globally” (Attached Document, 2026, p.4). By promoting cleaner energy, sustainable waste systems, and urban greenery, SDG 11 helps create environments that support physical and mental wellbeing. Green spaces also provide areas for recreation, social interaction, and stress reduction, enhancing quality of life (Attached Document, 2026).</w:t>
      </w:r>
    </w:p>
    <w:p w14:paraId="36F3C50C" w14:textId="77777777" w:rsidR="00C7566C" w:rsidRPr="002B0D21" w:rsidRDefault="00C7566C" w:rsidP="0002199C">
      <w:pPr>
        <w:pStyle w:val="NoSpacing"/>
      </w:pPr>
      <w:r w:rsidRPr="002B0D21">
        <w:t>A further construct is disaster resilience and climate adaptation. Cities face increasing risks from floods, heatwaves, and storms. Strengthening infrastructure, emergency planning, and community preparedness protects lives and reduces long</w:t>
      </w:r>
      <w:r w:rsidRPr="002B0D21">
        <w:noBreakHyphen/>
        <w:t>term health impacts (Attached Document, 2026). Heatwaves disproportionately affect older adults and those with chronic illnesses; resilient urban design such as cooling centres, shaded public areas, and green roofs can significantly reduce mortality and improve wellbeing (Attached Document, 2026).</w:t>
      </w:r>
    </w:p>
    <w:p w14:paraId="40DB273D" w14:textId="77777777" w:rsidR="00C7566C" w:rsidRPr="002B0D21" w:rsidRDefault="00C7566C" w:rsidP="0002199C">
      <w:pPr>
        <w:pStyle w:val="NoSpacing"/>
      </w:pPr>
      <w:r w:rsidRPr="002B0D21">
        <w:t xml:space="preserve">Finally, SDG 11 emphasises inclusive, safe, and accessible public spaces. </w:t>
      </w:r>
      <w:proofErr w:type="gramStart"/>
      <w:r w:rsidRPr="002B0D21">
        <w:t>Well</w:t>
      </w:r>
      <w:proofErr w:type="gramEnd"/>
      <w:r w:rsidRPr="002B0D21">
        <w:noBreakHyphen/>
        <w:t>designed public areas foster social cohesion, reduce crime, and support mental health by encouraging community interaction (Attached Document, 2026). Inclusive urban planning ensures that vulnerable groups, including children, older adults, and people with disabilities, can participate fully in civic life, enhancing overall societal wellbeing (Attached Document, 2026).</w:t>
      </w:r>
    </w:p>
    <w:p w14:paraId="327D2CBF" w14:textId="77777777" w:rsidR="00C7566C" w:rsidRPr="002B0D21" w:rsidRDefault="00C7566C" w:rsidP="0002199C">
      <w:pPr>
        <w:pStyle w:val="NoSpacing"/>
      </w:pPr>
      <w:r w:rsidRPr="002B0D21">
        <w:t>Overall, SDG 11 has a substantial impact on citizens’ health and wellbeing by shaping the physical, social, and environmental conditions of urban living. By improving housing, transport, environmental quality, and resilience, it supports healthier, more equitable, and more sustainable communities (Attached Document, 2026).</w:t>
      </w:r>
    </w:p>
    <w:p w14:paraId="2213D011" w14:textId="77777777" w:rsidR="00C7566C" w:rsidRPr="002B0D21" w:rsidRDefault="00C7566C" w:rsidP="0002199C">
      <w:pPr>
        <w:pStyle w:val="NoSpacing"/>
      </w:pPr>
    </w:p>
    <w:p w14:paraId="753274F9" w14:textId="77777777" w:rsidR="00A15AE0" w:rsidRPr="002B0D21" w:rsidRDefault="00A15AE0" w:rsidP="0002199C">
      <w:pPr>
        <w:pStyle w:val="NoSpacing"/>
      </w:pPr>
    </w:p>
    <w:p w14:paraId="40682923" w14:textId="339829CB" w:rsidR="00117995" w:rsidRDefault="00117995" w:rsidP="0002199C">
      <w:pPr>
        <w:pStyle w:val="NoSpacing"/>
      </w:pPr>
      <w:bookmarkStart w:id="1" w:name="_Toc236743587"/>
      <w:r w:rsidRPr="002B0D21">
        <w:t>National Wellbeing Initiatives: Evaluation and Recommendations</w:t>
      </w:r>
      <w:bookmarkEnd w:id="1"/>
      <w:r w:rsidRPr="002B0D21">
        <w:t xml:space="preserve"> </w:t>
      </w:r>
    </w:p>
    <w:p w14:paraId="3B278EB9" w14:textId="77777777" w:rsidR="00573579" w:rsidRPr="002B0D21" w:rsidRDefault="00573579" w:rsidP="0002199C">
      <w:pPr>
        <w:pStyle w:val="NoSpacing"/>
      </w:pPr>
    </w:p>
    <w:p w14:paraId="278B4432" w14:textId="77777777" w:rsidR="00CE58C8" w:rsidRPr="002B0D21" w:rsidRDefault="00CE58C8" w:rsidP="0002199C">
      <w:pPr>
        <w:pStyle w:val="NoSpacing"/>
      </w:pPr>
      <w:r w:rsidRPr="002B0D21">
        <w:t xml:space="preserve">National wellbeing initiatives are increasingly used to assess societal progress beyond economic growth, offering governments a more holistic understanding of </w:t>
      </w:r>
      <w:proofErr w:type="gramStart"/>
      <w:r w:rsidRPr="002B0D21">
        <w:t>citizens’</w:t>
      </w:r>
      <w:proofErr w:type="gramEnd"/>
      <w:r w:rsidRPr="002B0D21">
        <w:t xml:space="preserve"> lived experiences (Buckinghamshire Council, 2026). Two major UK initiatives, the Office for National Statistics (ONS) Measures of National Wellbeing (MNW) and the Beyond GDP Headline Indicators, illustrate both advancements and persistent limitations in national wellbeing monitoring (ONS, 2024; Health Foundation, 2024).</w:t>
      </w:r>
    </w:p>
    <w:p w14:paraId="24C3FBE6" w14:textId="77777777" w:rsidR="00CE58C8" w:rsidRPr="002B0D21" w:rsidRDefault="00CE58C8" w:rsidP="0002199C">
      <w:pPr>
        <w:pStyle w:val="NoSpacing"/>
      </w:pPr>
      <w:r w:rsidRPr="002B0D21">
        <w:t xml:space="preserve">The MNW framework is one of the most comprehensive wellbeing measurement systems globally. It covers ten domains, including personal wellbeing, health, </w:t>
      </w:r>
      <w:r w:rsidRPr="002B0D21">
        <w:lastRenderedPageBreak/>
        <w:t>relationships, the environment, economic security, and governance (Buckinghamshire Healthcare NHS Trust, 2026). Its multidimensional structure allows policymakers to identify inequalities, track long</w:t>
      </w:r>
      <w:r w:rsidRPr="002B0D21">
        <w:noBreakHyphen/>
        <w:t>term trends, and understand how different determinants interact to shape wellbeing. A key strength of MNW is its integration of subjective wellbeing indicators, which provide insight into citizens’ life satisfaction, anxiety levels, and sense of purpose (NHS England, 2023). However, the framework’s effectiveness is constrained by its slow reporting cycle. Annual updates limit its ability to capture rapid changes in wellbeing, particularly during periods of economic volatility, public health emergencies, or environmental shocks (Health Foundation, 2024). Additionally, although MNW highlights areas of concern—such as declining mental health or widening financial insecurity—translation into coordinated policy action remains inconsistent (Buckinghamshire Council, 2026). The framework identifies problems effectively but does not always drive cross</w:t>
      </w:r>
      <w:r w:rsidRPr="002B0D21">
        <w:noBreakHyphen/>
        <w:t>government accountability or targeted intervention.</w:t>
      </w:r>
    </w:p>
    <w:p w14:paraId="0DA366D9" w14:textId="77777777" w:rsidR="00CE58C8" w:rsidRPr="002B0D21" w:rsidRDefault="00CE58C8" w:rsidP="0002199C">
      <w:pPr>
        <w:pStyle w:val="NoSpacing"/>
      </w:pPr>
      <w:r w:rsidRPr="002B0D21">
        <w:t>The Beyond GDP Headline Indicators were introduced to address the need for more timely and accessible wellbeing data. By providing quarterly updates on core indicators such as life satisfaction, trust in government, financial resilience, and health status, this initiative enhances responsiveness and public visibility (NHS Employers, 2023). Its concise structure makes wellbeing trends easier to communicate and integrate into short</w:t>
      </w:r>
      <w:r w:rsidRPr="002B0D21">
        <w:noBreakHyphen/>
        <w:t>term policy decisions. However, the narrow focus of the headline set risks oversimplifying complex wellbeing dynamics. Important domains such as environmental quality, community cohesion, and inequalities are not consistently represented, meaning deeper structural issues may be overlooked (Public Health England, 2023). While the initiative improves timeliness, it sacrifices the multidimensional depth required for comprehensive wellbeing analysis (Buckinghamshire Council, 2026).</w:t>
      </w:r>
    </w:p>
    <w:p w14:paraId="50AD4076" w14:textId="77777777" w:rsidR="00CE58C8" w:rsidRPr="002B0D21" w:rsidRDefault="00CE58C8" w:rsidP="0002199C">
      <w:pPr>
        <w:pStyle w:val="NoSpacing"/>
      </w:pPr>
      <w:r w:rsidRPr="002B0D21">
        <w:t>Together, these initiatives represent meaningful progress in embedding wellbeing within national policy frameworks. Yet gaps remain in integration, timeliness, and policy linkage (Buckinghamshire Healthcare NHS Trust, 2026).</w:t>
      </w:r>
    </w:p>
    <w:p w14:paraId="37F769B5" w14:textId="77777777" w:rsidR="00117995" w:rsidRPr="002B0D21" w:rsidRDefault="00117995" w:rsidP="0002199C">
      <w:pPr>
        <w:pStyle w:val="NoSpacing"/>
        <w:rPr>
          <w:lang w:eastAsia="en-GB"/>
        </w:rPr>
      </w:pPr>
      <w:bookmarkStart w:id="2" w:name="_Toc236743588"/>
      <w:r w:rsidRPr="002B0D21">
        <w:rPr>
          <w:lang w:eastAsia="en-GB"/>
        </w:rPr>
        <w:t>Recommendations for Improvement</w:t>
      </w:r>
      <w:bookmarkEnd w:id="2"/>
    </w:p>
    <w:p w14:paraId="4E27CBFA" w14:textId="12E0B0DB" w:rsidR="006244FD" w:rsidRPr="002B0D21" w:rsidRDefault="006244FD" w:rsidP="0002199C">
      <w:pPr>
        <w:pStyle w:val="NoSpacing"/>
        <w:rPr>
          <w:lang w:eastAsia="en-GB"/>
        </w:rPr>
      </w:pPr>
      <w:r w:rsidRPr="002B0D21">
        <w:rPr>
          <w:lang w:eastAsia="en-GB"/>
        </w:rPr>
        <w:t>Developing a unified wellbeing monitoring system that combines the breadth of the MNW framework with the quarterly frequency of the Beyond GDP Headline Indicators would improve both depth and timeliness of wellbeing reporting (ONS, 2024; NHS Employers, 2023). Strengthening policy accountability by embedding wellbeing targets within departmental strategies and budget planning is essential, particularly as current frameworks highlight issues such as declining mental health and widening financial insecurity without consistently driving coordinated government action (Buckinghamshire Council, 2026). Expanding mental health and environmental indicators would support more granular, region</w:t>
      </w:r>
      <w:r w:rsidRPr="002B0D21">
        <w:rPr>
          <w:lang w:eastAsia="en-GB"/>
        </w:rPr>
        <w:noBreakHyphen/>
        <w:t>specific interventions, addressing gaps identified in national reporting and local health strategies (Health Foundation, 2024; Buckinghamshire Healthcare NHS Trust, 2026). Increasing public engagement through citizen panels and participatory data collection would enhance legitimacy and trust, aligning with evidence that community involvement improves uptake and responsiveness of wellbeing initiatives (Buckinghamshire Council, 2026).</w:t>
      </w:r>
    </w:p>
    <w:p w14:paraId="4D1DD8D8" w14:textId="77777777" w:rsidR="00BF27C6" w:rsidRPr="002B0D21" w:rsidRDefault="00BF27C6" w:rsidP="0002199C">
      <w:pPr>
        <w:pStyle w:val="NoSpacing"/>
        <w:rPr>
          <w:rFonts w:eastAsia="Times New Roman"/>
          <w:kern w:val="0"/>
          <w:lang w:eastAsia="en-GB"/>
          <w14:ligatures w14:val="none"/>
        </w:rPr>
      </w:pPr>
    </w:p>
    <w:p w14:paraId="130D2ADE" w14:textId="77777777" w:rsidR="00573579" w:rsidRDefault="00117995" w:rsidP="0002199C">
      <w:pPr>
        <w:pStyle w:val="NoSpacing"/>
        <w:rPr>
          <w:rFonts w:eastAsia="Times New Roman"/>
          <w:kern w:val="0"/>
          <w:lang w:eastAsia="en-GB"/>
          <w14:ligatures w14:val="none"/>
        </w:rPr>
      </w:pPr>
      <w:bookmarkStart w:id="3" w:name="_Toc236743589"/>
      <w:r w:rsidRPr="002B0D21">
        <w:rPr>
          <w:rFonts w:eastAsia="Times New Roman"/>
          <w:kern w:val="0"/>
          <w:lang w:eastAsia="en-GB"/>
          <w14:ligatures w14:val="none"/>
        </w:rPr>
        <w:t>Local Wellbeing Initiatives: Evaluation and Recommendations</w:t>
      </w:r>
      <w:bookmarkEnd w:id="3"/>
    </w:p>
    <w:p w14:paraId="19E89B6C" w14:textId="779B11F7" w:rsidR="00117995" w:rsidRPr="002B0D21" w:rsidRDefault="00117995" w:rsidP="0002199C">
      <w:pPr>
        <w:pStyle w:val="NoSpacing"/>
        <w:rPr>
          <w:rFonts w:eastAsia="Times New Roman"/>
          <w:kern w:val="0"/>
          <w:lang w:eastAsia="en-GB"/>
          <w14:ligatures w14:val="none"/>
        </w:rPr>
      </w:pPr>
      <w:r w:rsidRPr="002B0D21">
        <w:rPr>
          <w:rFonts w:eastAsia="Times New Roman"/>
          <w:kern w:val="0"/>
          <w:lang w:eastAsia="en-GB"/>
          <w14:ligatures w14:val="none"/>
        </w:rPr>
        <w:t xml:space="preserve"> </w:t>
      </w:r>
    </w:p>
    <w:p w14:paraId="04CE8972" w14:textId="77777777" w:rsidR="003358D8" w:rsidRPr="002B0D21" w:rsidRDefault="003358D8" w:rsidP="0002199C">
      <w:pPr>
        <w:pStyle w:val="NoSpacing"/>
        <w:rPr>
          <w:lang w:eastAsia="en-GB"/>
        </w:rPr>
      </w:pPr>
      <w:r w:rsidRPr="002B0D21">
        <w:rPr>
          <w:lang w:eastAsia="en-GB"/>
        </w:rPr>
        <w:lastRenderedPageBreak/>
        <w:t>Local wellbeing initiatives are essential for addressing community</w:t>
      </w:r>
      <w:r w:rsidRPr="002B0D21">
        <w:rPr>
          <w:lang w:eastAsia="en-GB"/>
        </w:rPr>
        <w:noBreakHyphen/>
        <w:t>specific health and sustainability challenges (Buckinghamshire Council, 2026). Two initiatives that demonstrate both progress and limitations are Local Wellbeing Hubs and Active Travel and Low Traffic Neighbourhood (LTN) schemes. Each contributes meaningfully to improving health, wellbeing, and environmental outcomes, yet their effectiveness varies depending on local resources, engagement, and long</w:t>
      </w:r>
      <w:r w:rsidRPr="002B0D21">
        <w:rPr>
          <w:lang w:eastAsia="en-GB"/>
        </w:rPr>
        <w:noBreakHyphen/>
        <w:t>term planning (Buckinghamshire Healthcare NHS Trust, 2026).</w:t>
      </w:r>
    </w:p>
    <w:p w14:paraId="027B8D98" w14:textId="77777777" w:rsidR="003358D8" w:rsidRPr="002B0D21" w:rsidRDefault="003358D8" w:rsidP="0002199C">
      <w:pPr>
        <w:pStyle w:val="NoSpacing"/>
        <w:rPr>
          <w:lang w:eastAsia="en-GB"/>
        </w:rPr>
      </w:pPr>
      <w:r w:rsidRPr="002B0D21">
        <w:rPr>
          <w:lang w:eastAsia="en-GB"/>
        </w:rPr>
        <w:t>Local Wellbeing Hubs, delivered through councils, Integrated Care Systems, and voluntary organisations, provide accessible, community</w:t>
      </w:r>
      <w:r w:rsidRPr="002B0D21">
        <w:rPr>
          <w:lang w:eastAsia="en-GB"/>
        </w:rPr>
        <w:noBreakHyphen/>
        <w:t>based spaces offering mental health support, social prescribing, physical activity programmes, and advice on financial or housing issues (Buckinghamshire Council, 2026). Their effectiveness lies in their holistic, person</w:t>
      </w:r>
      <w:r w:rsidRPr="002B0D21">
        <w:rPr>
          <w:lang w:eastAsia="en-GB"/>
        </w:rPr>
        <w:noBreakHyphen/>
        <w:t>centred approach: hubs reduce pressure on primary care by addressing social determinants of health, improve social connectedness, and support early intervention for mental health concerns (Norris et al., 2026). Evidence from local authorities shows increased uptake of social prescribing, reduced loneliness, and improved self</w:t>
      </w:r>
      <w:r w:rsidRPr="002B0D21">
        <w:rPr>
          <w:lang w:eastAsia="en-GB"/>
        </w:rPr>
        <w:noBreakHyphen/>
        <w:t>reported wellbeing among participants (Buckinghamshire Council, 2026). However, effectiveness is limited by inconsistent funding and variation in provision across regions. Many hubs rely on short</w:t>
      </w:r>
      <w:r w:rsidRPr="002B0D21">
        <w:rPr>
          <w:lang w:eastAsia="en-GB"/>
        </w:rPr>
        <w:noBreakHyphen/>
        <w:t>term grants, making it difficult to sustain staff, expand services, or evaluate long</w:t>
      </w:r>
      <w:r w:rsidRPr="002B0D21">
        <w:rPr>
          <w:lang w:eastAsia="en-GB"/>
        </w:rPr>
        <w:noBreakHyphen/>
        <w:t>term outcomes (Health Foundation, 2024). Additionally, awareness remains uneven, with some communities—particularly those experiencing deprivation—facing barriers related to transport, digital exclusion, or stigma. As a result, hubs do not always reach the populations most in need (Buckinghamshire Council, 2026).</w:t>
      </w:r>
    </w:p>
    <w:p w14:paraId="58F3B604" w14:textId="77777777" w:rsidR="003358D8" w:rsidRPr="002B0D21" w:rsidRDefault="003358D8" w:rsidP="0002199C">
      <w:pPr>
        <w:pStyle w:val="NoSpacing"/>
        <w:rPr>
          <w:lang w:eastAsia="en-GB"/>
        </w:rPr>
      </w:pPr>
      <w:r w:rsidRPr="002B0D21">
        <w:rPr>
          <w:lang w:eastAsia="en-GB"/>
        </w:rPr>
        <w:t>The second initiative, Active Travel and Low Traffic Neighbourhood schemes, aims to improve local sustainability and health by encouraging walking, cycling, and reduced car use (Department for Environment, Food &amp; Rural Affairs, 2019). Measures such as protected cycle lanes, School Streets, improved pedestrian routes, and traffic</w:t>
      </w:r>
      <w:r w:rsidRPr="002B0D21">
        <w:rPr>
          <w:lang w:eastAsia="en-GB"/>
        </w:rPr>
        <w:noBreakHyphen/>
        <w:t>calming interventions have demonstrated clear benefits. Local data show reductions in air pollution, increased physical activity, and improved perceptions of neighbourhood safety (Public Health England, 2023). These schemes contribute directly to cardiovascular health, mental wellbeing, and environmental quality (Wise, 2019). However, their effectiveness varies significantly. Some communities resist changes due to concerns about traffic displacement, accessibility for disabled residents, or reduced parking (Buckinghamshire Council, 2026). Infrastructure quality is inconsistent, with some areas lacking continuous, safe routes that support long</w:t>
      </w:r>
      <w:r w:rsidRPr="002B0D21">
        <w:rPr>
          <w:lang w:eastAsia="en-GB"/>
        </w:rPr>
        <w:noBreakHyphen/>
        <w:t>term behavioural change. Without sustained investment and strong community engagement, active travel schemes may fail to achieve their full potential (Buckinghamshire Healthcare NHS Trust, 2026).</w:t>
      </w:r>
    </w:p>
    <w:p w14:paraId="5B0E9294" w14:textId="77777777" w:rsidR="003358D8" w:rsidRPr="002B0D21" w:rsidRDefault="003358D8" w:rsidP="0002199C">
      <w:pPr>
        <w:pStyle w:val="NoSpacing"/>
        <w:rPr>
          <w:lang w:eastAsia="en-GB"/>
        </w:rPr>
      </w:pPr>
    </w:p>
    <w:p w14:paraId="1593D135" w14:textId="77777777" w:rsidR="003F4486" w:rsidRDefault="00117995" w:rsidP="0002199C">
      <w:pPr>
        <w:pStyle w:val="NoSpacing"/>
        <w:rPr>
          <w:lang w:eastAsia="en-GB"/>
        </w:rPr>
      </w:pPr>
      <w:bookmarkStart w:id="4" w:name="_Toc236743590"/>
      <w:r w:rsidRPr="002B0D21">
        <w:rPr>
          <w:lang w:eastAsia="en-GB"/>
        </w:rPr>
        <w:t>Recommendations for Improvement</w:t>
      </w:r>
      <w:bookmarkEnd w:id="4"/>
    </w:p>
    <w:p w14:paraId="477F9D31" w14:textId="77777777" w:rsidR="00D03074" w:rsidRPr="002B0D21" w:rsidRDefault="00D03074" w:rsidP="0002199C">
      <w:pPr>
        <w:pStyle w:val="NoSpacing"/>
        <w:rPr>
          <w:lang w:eastAsia="en-GB"/>
        </w:rPr>
      </w:pPr>
    </w:p>
    <w:p w14:paraId="175CA11A" w14:textId="6AB3B691" w:rsidR="00117995" w:rsidRPr="002B0D21" w:rsidRDefault="00117995" w:rsidP="0002199C">
      <w:pPr>
        <w:pStyle w:val="NoSpacing"/>
        <w:rPr>
          <w:lang w:eastAsia="en-GB"/>
        </w:rPr>
      </w:pPr>
      <w:r w:rsidRPr="002B0D21">
        <w:rPr>
          <w:lang w:eastAsia="en-GB"/>
        </w:rPr>
        <w:t>Secure long</w:t>
      </w:r>
      <w:r w:rsidRPr="002B0D21">
        <w:rPr>
          <w:lang w:eastAsia="en-GB"/>
        </w:rPr>
        <w:noBreakHyphen/>
        <w:t xml:space="preserve">term funding for wellbeing hubs to ensure continuity, staff retention, and robust </w:t>
      </w:r>
      <w:r w:rsidR="0081786C" w:rsidRPr="002B0D21">
        <w:rPr>
          <w:lang w:eastAsia="en-GB"/>
        </w:rPr>
        <w:t>evaluation.</w:t>
      </w:r>
      <w:r w:rsidR="003F4486" w:rsidRPr="002B0D21">
        <w:rPr>
          <w:lang w:eastAsia="en-GB"/>
        </w:rPr>
        <w:t xml:space="preserve"> </w:t>
      </w:r>
      <w:r w:rsidR="0081786C" w:rsidRPr="002B0D21">
        <w:rPr>
          <w:lang w:eastAsia="en-GB"/>
        </w:rPr>
        <w:t>Expand outreach and accessibility, including mobile hubs and targeted engagement with underserved communities.</w:t>
      </w:r>
      <w:r w:rsidR="003F4486" w:rsidRPr="002B0D21">
        <w:rPr>
          <w:lang w:eastAsia="en-GB"/>
        </w:rPr>
        <w:t xml:space="preserve"> </w:t>
      </w:r>
      <w:r w:rsidR="0081786C" w:rsidRPr="002B0D21">
        <w:rPr>
          <w:lang w:eastAsia="en-GB"/>
        </w:rPr>
        <w:t>Strengthen community involvement in planning active travel schemes to build trust and reduce resistance.</w:t>
      </w:r>
      <w:r w:rsidR="003F4486" w:rsidRPr="002B0D21">
        <w:rPr>
          <w:lang w:eastAsia="en-GB"/>
        </w:rPr>
        <w:t xml:space="preserve"> </w:t>
      </w:r>
      <w:r w:rsidR="0081786C" w:rsidRPr="002B0D21">
        <w:rPr>
          <w:lang w:eastAsia="en-GB"/>
        </w:rPr>
        <w:t>Improve infrastructure quality and connectivity, ensuring that cycling and walking routes are safe, continuous, and well-maintained.</w:t>
      </w:r>
      <w:r w:rsidR="003F4486" w:rsidRPr="002B0D21">
        <w:rPr>
          <w:lang w:eastAsia="en-GB"/>
        </w:rPr>
        <w:t xml:space="preserve"> </w:t>
      </w:r>
      <w:r w:rsidRPr="002B0D21">
        <w:rPr>
          <w:lang w:eastAsia="en-GB"/>
        </w:rPr>
        <w:t xml:space="preserve">Integrate health impact assessments into all </w:t>
      </w:r>
      <w:r w:rsidRPr="002B0D21">
        <w:rPr>
          <w:lang w:eastAsia="en-GB"/>
        </w:rPr>
        <w:lastRenderedPageBreak/>
        <w:t>local planning decisions to align transport, housing, and environmental policies with wellbeing goals.</w:t>
      </w:r>
    </w:p>
    <w:p w14:paraId="1E328373" w14:textId="77777777" w:rsidR="00117995" w:rsidRPr="002B0D21" w:rsidRDefault="00117995" w:rsidP="0002199C">
      <w:pPr>
        <w:pStyle w:val="NoSpacing"/>
        <w:rPr>
          <w:color w:val="D86DCB" w:themeColor="accent5" w:themeTint="99"/>
        </w:rPr>
      </w:pPr>
    </w:p>
    <w:p w14:paraId="16AF7AD1" w14:textId="3C59670D" w:rsidR="0081786C" w:rsidRPr="002B0D21" w:rsidRDefault="0081786C" w:rsidP="0002199C">
      <w:pPr>
        <w:pStyle w:val="NoSpacing"/>
      </w:pPr>
      <w:bookmarkStart w:id="5" w:name="_Toc236743591"/>
      <w:r w:rsidRPr="002B0D21">
        <w:t>Conclusion</w:t>
      </w:r>
      <w:bookmarkEnd w:id="5"/>
      <w:r w:rsidRPr="002B0D21">
        <w:t xml:space="preserve"> </w:t>
      </w:r>
    </w:p>
    <w:p w14:paraId="49B9C55A" w14:textId="46C3C75C" w:rsidR="00691A20" w:rsidRPr="002B0D21" w:rsidRDefault="00E166D1" w:rsidP="0002199C">
      <w:pPr>
        <w:pStyle w:val="NoSpacing"/>
      </w:pPr>
      <w:r w:rsidRPr="002B0D21">
        <w:t>This report has examined how national and local wellbeing initiatives, alongside Sustainable Development Goals 3 and 11, contribute to improving health, wellbeing, and sustainable development outcomes (Attached Document, 2026). SDG 3 highlights the importance of universal health coverage, disease prevention, mental health, and resilient health systems, demonstrating how strengthened healthcare structures support long</w:t>
      </w:r>
      <w:r w:rsidRPr="002B0D21">
        <w:noBreakHyphen/>
        <w:t>term wellbeing (Attached Document, 2026). SDG 11 shows how sustainable urban environments—through improved housing, transport, environmental quality, and disaster resilience—shape daily wellbeing and life opportunities (Attached Document, 2026). National initiatives such as the MNW and Beyond GDP indicators provide valuable insight but require stronger integration and clearer policy linkage to address gaps in timeliness and multidimensional reporting (Buckinghamshire Council, 2026; Health Foundation, 2024). Local wellbeing hubs and active travel schemes show clear benefits yet face challenges in funding, accessibility, and community engagement (Norris et al., 2026; Buckinghamshire Healthcare NHS Trust, 2026). Together, these findings emphasise the need for coordinated, inclusive, and evidence</w:t>
      </w:r>
      <w:r w:rsidRPr="002B0D21">
        <w:noBreakHyphen/>
        <w:t>driven approaches to wellbeing across national and local systems (Attached Document, 2026).</w:t>
      </w:r>
    </w:p>
    <w:p w14:paraId="3F57D81D" w14:textId="77777777" w:rsidR="00BF27C6" w:rsidRPr="002B0D21" w:rsidRDefault="00BF27C6" w:rsidP="0002199C">
      <w:pPr>
        <w:pStyle w:val="NoSpacing"/>
        <w:rPr>
          <w:color w:val="D86DCB" w:themeColor="accent5" w:themeTint="99"/>
        </w:rPr>
      </w:pPr>
    </w:p>
    <w:p w14:paraId="53691305" w14:textId="461586E4" w:rsidR="003F7D8A" w:rsidRPr="002B0D21" w:rsidRDefault="003F7D8A" w:rsidP="0002199C">
      <w:pPr>
        <w:pStyle w:val="NoSpacing"/>
      </w:pPr>
      <w:bookmarkStart w:id="6" w:name="_Toc236743592"/>
      <w:r w:rsidRPr="002B0D21">
        <w:t>References</w:t>
      </w:r>
      <w:bookmarkEnd w:id="6"/>
    </w:p>
    <w:p w14:paraId="15B9900C" w14:textId="77777777" w:rsidR="00AC7F86" w:rsidRPr="0062127D" w:rsidRDefault="00AC7F86" w:rsidP="0062127D">
      <w:pPr>
        <w:pStyle w:val="NormalWeb"/>
        <w:spacing w:line="360" w:lineRule="auto"/>
        <w:rPr>
          <w:rFonts w:ascii="Arial" w:hAnsi="Arial" w:cs="Arial"/>
          <w:sz w:val="22"/>
          <w:szCs w:val="22"/>
        </w:rPr>
      </w:pPr>
      <w:r w:rsidRPr="0062127D">
        <w:rPr>
          <w:rStyle w:val="Strong"/>
          <w:rFonts w:ascii="Arial" w:hAnsi="Arial" w:cs="Arial"/>
          <w:b w:val="0"/>
          <w:bCs w:val="0"/>
          <w:sz w:val="22"/>
          <w:szCs w:val="22"/>
        </w:rPr>
        <w:t>Anderson, M. et al. (2026)</w:t>
      </w:r>
      <w:r w:rsidRPr="0062127D">
        <w:rPr>
          <w:rFonts w:ascii="Arial" w:hAnsi="Arial" w:cs="Arial"/>
          <w:sz w:val="22"/>
          <w:szCs w:val="22"/>
        </w:rPr>
        <w:t xml:space="preserve"> ‘The NHS </w:t>
      </w:r>
      <w:proofErr w:type="gramStart"/>
      <w:r w:rsidRPr="0062127D">
        <w:rPr>
          <w:rFonts w:ascii="Arial" w:hAnsi="Arial" w:cs="Arial"/>
          <w:sz w:val="22"/>
          <w:szCs w:val="22"/>
        </w:rPr>
        <w:t>10 year</w:t>
      </w:r>
      <w:proofErr w:type="gramEnd"/>
      <w:r w:rsidRPr="0062127D">
        <w:rPr>
          <w:rFonts w:ascii="Arial" w:hAnsi="Arial" w:cs="Arial"/>
          <w:sz w:val="22"/>
          <w:szCs w:val="22"/>
        </w:rPr>
        <w:t xml:space="preserve"> plan: between aspiration and implementation’, </w:t>
      </w:r>
      <w:r w:rsidRPr="0062127D">
        <w:rPr>
          <w:rStyle w:val="Emphasis"/>
          <w:rFonts w:ascii="Arial" w:hAnsi="Arial" w:cs="Arial"/>
          <w:sz w:val="22"/>
          <w:szCs w:val="22"/>
        </w:rPr>
        <w:t>The Lancet</w:t>
      </w:r>
      <w:r w:rsidRPr="0062127D">
        <w:rPr>
          <w:rFonts w:ascii="Arial" w:hAnsi="Arial" w:cs="Arial"/>
          <w:sz w:val="22"/>
          <w:szCs w:val="22"/>
        </w:rPr>
        <w:t>, 407(10529), pp. 728–732.</w:t>
      </w:r>
    </w:p>
    <w:p w14:paraId="0AD7DA8E" w14:textId="77777777" w:rsidR="00AC7F86" w:rsidRPr="0062127D" w:rsidRDefault="00AC7F86" w:rsidP="0062127D">
      <w:pPr>
        <w:pStyle w:val="NormalWeb"/>
        <w:spacing w:line="360" w:lineRule="auto"/>
        <w:rPr>
          <w:rFonts w:ascii="Arial" w:hAnsi="Arial" w:cs="Arial"/>
          <w:sz w:val="22"/>
          <w:szCs w:val="22"/>
        </w:rPr>
      </w:pPr>
      <w:r w:rsidRPr="0062127D">
        <w:rPr>
          <w:rStyle w:val="Strong"/>
          <w:rFonts w:ascii="Arial" w:hAnsi="Arial" w:cs="Arial"/>
          <w:b w:val="0"/>
          <w:bCs w:val="0"/>
          <w:sz w:val="22"/>
          <w:szCs w:val="22"/>
        </w:rPr>
        <w:t>BMJ (2019)</w:t>
      </w:r>
      <w:r w:rsidRPr="0062127D">
        <w:rPr>
          <w:rFonts w:ascii="Arial" w:hAnsi="Arial" w:cs="Arial"/>
          <w:sz w:val="22"/>
          <w:szCs w:val="22"/>
        </w:rPr>
        <w:t xml:space="preserve"> </w:t>
      </w:r>
      <w:r w:rsidRPr="0062127D">
        <w:rPr>
          <w:rStyle w:val="Emphasis"/>
          <w:rFonts w:ascii="Arial" w:hAnsi="Arial" w:cs="Arial"/>
          <w:sz w:val="22"/>
          <w:szCs w:val="22"/>
        </w:rPr>
        <w:t>The NHS Long Term Plan</w:t>
      </w:r>
      <w:r w:rsidRPr="0062127D">
        <w:rPr>
          <w:rFonts w:ascii="Arial" w:hAnsi="Arial" w:cs="Arial"/>
          <w:sz w:val="22"/>
          <w:szCs w:val="22"/>
        </w:rPr>
        <w:t xml:space="preserve">. </w:t>
      </w:r>
      <w:r w:rsidRPr="0062127D">
        <w:rPr>
          <w:rStyle w:val="Emphasis"/>
          <w:rFonts w:ascii="Arial" w:hAnsi="Arial" w:cs="Arial"/>
          <w:sz w:val="22"/>
          <w:szCs w:val="22"/>
        </w:rPr>
        <w:t>BMJ</w:t>
      </w:r>
      <w:r w:rsidRPr="0062127D">
        <w:rPr>
          <w:rFonts w:ascii="Arial" w:hAnsi="Arial" w:cs="Arial"/>
          <w:sz w:val="22"/>
          <w:szCs w:val="22"/>
        </w:rPr>
        <w:t xml:space="preserve">, </w:t>
      </w:r>
      <w:proofErr w:type="gramStart"/>
      <w:r w:rsidRPr="0062127D">
        <w:rPr>
          <w:rFonts w:ascii="Arial" w:hAnsi="Arial" w:cs="Arial"/>
          <w:sz w:val="22"/>
          <w:szCs w:val="22"/>
        </w:rPr>
        <w:t>364:l</w:t>
      </w:r>
      <w:proofErr w:type="gramEnd"/>
      <w:r w:rsidRPr="0062127D">
        <w:rPr>
          <w:rFonts w:ascii="Arial" w:hAnsi="Arial" w:cs="Arial"/>
          <w:sz w:val="22"/>
          <w:szCs w:val="22"/>
        </w:rPr>
        <w:t>84.</w:t>
      </w:r>
    </w:p>
    <w:p w14:paraId="15E823EC" w14:textId="77777777" w:rsidR="00AC7F86" w:rsidRPr="0062127D" w:rsidRDefault="00AC7F86" w:rsidP="0062127D">
      <w:pPr>
        <w:pStyle w:val="NormalWeb"/>
        <w:spacing w:line="360" w:lineRule="auto"/>
        <w:rPr>
          <w:rFonts w:ascii="Arial" w:hAnsi="Arial" w:cs="Arial"/>
          <w:sz w:val="22"/>
          <w:szCs w:val="22"/>
        </w:rPr>
      </w:pPr>
      <w:r w:rsidRPr="0062127D">
        <w:rPr>
          <w:rStyle w:val="Strong"/>
          <w:rFonts w:ascii="Arial" w:hAnsi="Arial" w:cs="Arial"/>
          <w:b w:val="0"/>
          <w:bCs w:val="0"/>
          <w:sz w:val="22"/>
          <w:szCs w:val="22"/>
        </w:rPr>
        <w:t>Buckinghamshire Council (2026)</w:t>
      </w:r>
      <w:r w:rsidRPr="0062127D">
        <w:rPr>
          <w:rFonts w:ascii="Arial" w:hAnsi="Arial" w:cs="Arial"/>
          <w:sz w:val="22"/>
          <w:szCs w:val="22"/>
        </w:rPr>
        <w:t xml:space="preserve"> </w:t>
      </w:r>
      <w:r w:rsidRPr="0062127D">
        <w:rPr>
          <w:rStyle w:val="Emphasis"/>
          <w:rFonts w:ascii="Arial" w:hAnsi="Arial" w:cs="Arial"/>
          <w:sz w:val="22"/>
          <w:szCs w:val="22"/>
        </w:rPr>
        <w:t>Buckinghamshire Joint Local Health and Wellbeing Strategy 2035</w:t>
      </w:r>
      <w:r w:rsidRPr="0062127D">
        <w:rPr>
          <w:rFonts w:ascii="Arial" w:hAnsi="Arial" w:cs="Arial"/>
          <w:sz w:val="22"/>
          <w:szCs w:val="22"/>
        </w:rPr>
        <w:t>. Buckinghamshire Council.</w:t>
      </w:r>
    </w:p>
    <w:p w14:paraId="05B6E044" w14:textId="77777777" w:rsidR="00AC7F86" w:rsidRPr="0062127D" w:rsidRDefault="00AC7F86" w:rsidP="0062127D">
      <w:pPr>
        <w:pStyle w:val="NormalWeb"/>
        <w:spacing w:line="360" w:lineRule="auto"/>
        <w:rPr>
          <w:rFonts w:ascii="Arial" w:hAnsi="Arial" w:cs="Arial"/>
          <w:sz w:val="22"/>
          <w:szCs w:val="22"/>
        </w:rPr>
      </w:pPr>
      <w:r w:rsidRPr="0062127D">
        <w:rPr>
          <w:rStyle w:val="Strong"/>
          <w:rFonts w:ascii="Arial" w:hAnsi="Arial" w:cs="Arial"/>
          <w:b w:val="0"/>
          <w:bCs w:val="0"/>
          <w:sz w:val="22"/>
          <w:szCs w:val="22"/>
        </w:rPr>
        <w:t>Buckinghamshire Council (2026)</w:t>
      </w:r>
      <w:r w:rsidRPr="0062127D">
        <w:rPr>
          <w:rFonts w:ascii="Arial" w:hAnsi="Arial" w:cs="Arial"/>
          <w:sz w:val="22"/>
          <w:szCs w:val="22"/>
        </w:rPr>
        <w:t xml:space="preserve"> </w:t>
      </w:r>
      <w:r w:rsidRPr="0062127D">
        <w:rPr>
          <w:rStyle w:val="Emphasis"/>
          <w:rFonts w:ascii="Arial" w:hAnsi="Arial" w:cs="Arial"/>
          <w:sz w:val="22"/>
          <w:szCs w:val="22"/>
        </w:rPr>
        <w:t>Director of Public Health Annual Report 2026: Buckinghamshire’s Building Blocks</w:t>
      </w:r>
      <w:r w:rsidRPr="0062127D">
        <w:rPr>
          <w:rFonts w:ascii="Arial" w:hAnsi="Arial" w:cs="Arial"/>
          <w:sz w:val="22"/>
          <w:szCs w:val="22"/>
        </w:rPr>
        <w:t>. Buckinghamshire Council.</w:t>
      </w:r>
    </w:p>
    <w:p w14:paraId="53C647C6" w14:textId="77777777" w:rsidR="00AC7F86" w:rsidRPr="0062127D" w:rsidRDefault="00AC7F86" w:rsidP="0062127D">
      <w:pPr>
        <w:pStyle w:val="NormalWeb"/>
        <w:spacing w:line="360" w:lineRule="auto"/>
        <w:rPr>
          <w:rFonts w:ascii="Arial" w:hAnsi="Arial" w:cs="Arial"/>
          <w:sz w:val="22"/>
          <w:szCs w:val="22"/>
        </w:rPr>
      </w:pPr>
      <w:r w:rsidRPr="0062127D">
        <w:rPr>
          <w:rStyle w:val="Strong"/>
          <w:rFonts w:ascii="Arial" w:hAnsi="Arial" w:cs="Arial"/>
          <w:b w:val="0"/>
          <w:bCs w:val="0"/>
          <w:sz w:val="22"/>
          <w:szCs w:val="22"/>
        </w:rPr>
        <w:t>Buckinghamshire Council (2026)</w:t>
      </w:r>
      <w:r w:rsidRPr="0062127D">
        <w:rPr>
          <w:rFonts w:ascii="Arial" w:hAnsi="Arial" w:cs="Arial"/>
          <w:sz w:val="22"/>
          <w:szCs w:val="22"/>
        </w:rPr>
        <w:t xml:space="preserve"> </w:t>
      </w:r>
      <w:r w:rsidRPr="0062127D">
        <w:rPr>
          <w:rStyle w:val="Emphasis"/>
          <w:rFonts w:ascii="Arial" w:hAnsi="Arial" w:cs="Arial"/>
          <w:sz w:val="22"/>
          <w:szCs w:val="22"/>
        </w:rPr>
        <w:t>Health and Wellbeing in the Local Plan for Buckinghamshire: Evidence Study</w:t>
      </w:r>
      <w:r w:rsidRPr="0062127D">
        <w:rPr>
          <w:rFonts w:ascii="Arial" w:hAnsi="Arial" w:cs="Arial"/>
          <w:sz w:val="22"/>
          <w:szCs w:val="22"/>
        </w:rPr>
        <w:t>. Buckinghamshire Council.</w:t>
      </w:r>
    </w:p>
    <w:p w14:paraId="78BC642C" w14:textId="77777777" w:rsidR="00AC7F86" w:rsidRPr="0062127D" w:rsidRDefault="00AC7F86" w:rsidP="0062127D">
      <w:pPr>
        <w:pStyle w:val="NormalWeb"/>
        <w:spacing w:line="360" w:lineRule="auto"/>
        <w:rPr>
          <w:rFonts w:ascii="Arial" w:hAnsi="Arial" w:cs="Arial"/>
          <w:sz w:val="22"/>
          <w:szCs w:val="22"/>
        </w:rPr>
      </w:pPr>
      <w:r w:rsidRPr="0062127D">
        <w:rPr>
          <w:rStyle w:val="Strong"/>
          <w:rFonts w:ascii="Arial" w:hAnsi="Arial" w:cs="Arial"/>
          <w:b w:val="0"/>
          <w:bCs w:val="0"/>
          <w:sz w:val="22"/>
          <w:szCs w:val="22"/>
        </w:rPr>
        <w:t>Buckinghamshire Healthcare NHS Trust (2026)</w:t>
      </w:r>
      <w:r w:rsidRPr="0062127D">
        <w:rPr>
          <w:rFonts w:ascii="Arial" w:hAnsi="Arial" w:cs="Arial"/>
          <w:sz w:val="22"/>
          <w:szCs w:val="22"/>
        </w:rPr>
        <w:t xml:space="preserve"> </w:t>
      </w:r>
      <w:r w:rsidRPr="0062127D">
        <w:rPr>
          <w:rStyle w:val="Emphasis"/>
          <w:rFonts w:ascii="Arial" w:hAnsi="Arial" w:cs="Arial"/>
          <w:sz w:val="22"/>
          <w:szCs w:val="22"/>
        </w:rPr>
        <w:t>Buckinghamshire Place Strategy</w:t>
      </w:r>
      <w:r w:rsidRPr="0062127D">
        <w:rPr>
          <w:rFonts w:ascii="Arial" w:hAnsi="Arial" w:cs="Arial"/>
          <w:sz w:val="22"/>
          <w:szCs w:val="22"/>
        </w:rPr>
        <w:t>. Buckinghamshire Healthcare NHS Trust.</w:t>
      </w:r>
    </w:p>
    <w:p w14:paraId="6E5BE5BE" w14:textId="77777777" w:rsidR="00AC7F86" w:rsidRPr="0062127D" w:rsidRDefault="00AC7F86" w:rsidP="0062127D">
      <w:pPr>
        <w:pStyle w:val="NormalWeb"/>
        <w:spacing w:line="360" w:lineRule="auto"/>
        <w:rPr>
          <w:rFonts w:ascii="Arial" w:hAnsi="Arial" w:cs="Arial"/>
          <w:sz w:val="22"/>
          <w:szCs w:val="22"/>
        </w:rPr>
      </w:pPr>
      <w:r w:rsidRPr="0062127D">
        <w:rPr>
          <w:rStyle w:val="Strong"/>
          <w:rFonts w:ascii="Arial" w:hAnsi="Arial" w:cs="Arial"/>
          <w:b w:val="0"/>
          <w:bCs w:val="0"/>
          <w:sz w:val="22"/>
          <w:szCs w:val="22"/>
        </w:rPr>
        <w:t>Department for Environment, Food &amp; Rural Affairs (2019)</w:t>
      </w:r>
      <w:r w:rsidRPr="0062127D">
        <w:rPr>
          <w:rFonts w:ascii="Arial" w:hAnsi="Arial" w:cs="Arial"/>
          <w:sz w:val="22"/>
          <w:szCs w:val="22"/>
        </w:rPr>
        <w:t xml:space="preserve"> </w:t>
      </w:r>
      <w:r w:rsidRPr="0062127D">
        <w:rPr>
          <w:rStyle w:val="Emphasis"/>
          <w:rFonts w:ascii="Arial" w:hAnsi="Arial" w:cs="Arial"/>
          <w:sz w:val="22"/>
          <w:szCs w:val="22"/>
        </w:rPr>
        <w:t>Clean Air Strategy 2019</w:t>
      </w:r>
      <w:r w:rsidRPr="0062127D">
        <w:rPr>
          <w:rFonts w:ascii="Arial" w:hAnsi="Arial" w:cs="Arial"/>
          <w:sz w:val="22"/>
          <w:szCs w:val="22"/>
        </w:rPr>
        <w:t>. GOV.UK.</w:t>
      </w:r>
    </w:p>
    <w:p w14:paraId="56898A4E" w14:textId="77777777" w:rsidR="00AC7F86" w:rsidRPr="0062127D" w:rsidRDefault="00AC7F86" w:rsidP="0062127D">
      <w:pPr>
        <w:pStyle w:val="NormalWeb"/>
        <w:spacing w:line="360" w:lineRule="auto"/>
        <w:rPr>
          <w:rFonts w:ascii="Arial" w:hAnsi="Arial" w:cs="Arial"/>
          <w:sz w:val="22"/>
          <w:szCs w:val="22"/>
        </w:rPr>
      </w:pPr>
      <w:r w:rsidRPr="0062127D">
        <w:rPr>
          <w:rStyle w:val="Strong"/>
          <w:rFonts w:ascii="Arial" w:hAnsi="Arial" w:cs="Arial"/>
          <w:b w:val="0"/>
          <w:bCs w:val="0"/>
          <w:sz w:val="22"/>
          <w:szCs w:val="22"/>
        </w:rPr>
        <w:t>Department of Health and Social Care (2019)</w:t>
      </w:r>
      <w:r w:rsidRPr="0062127D">
        <w:rPr>
          <w:rFonts w:ascii="Arial" w:hAnsi="Arial" w:cs="Arial"/>
          <w:sz w:val="22"/>
          <w:szCs w:val="22"/>
        </w:rPr>
        <w:t xml:space="preserve"> </w:t>
      </w:r>
      <w:r w:rsidRPr="0062127D">
        <w:rPr>
          <w:rStyle w:val="Emphasis"/>
          <w:rFonts w:ascii="Arial" w:hAnsi="Arial" w:cs="Arial"/>
          <w:sz w:val="22"/>
          <w:szCs w:val="22"/>
        </w:rPr>
        <w:t>NHS Long Term Plan</w:t>
      </w:r>
      <w:r w:rsidRPr="0062127D">
        <w:rPr>
          <w:rFonts w:ascii="Arial" w:hAnsi="Arial" w:cs="Arial"/>
          <w:sz w:val="22"/>
          <w:szCs w:val="22"/>
        </w:rPr>
        <w:t>. DHSC.</w:t>
      </w:r>
    </w:p>
    <w:p w14:paraId="758BBBE8" w14:textId="77777777" w:rsidR="00AC7F86" w:rsidRPr="0062127D" w:rsidRDefault="00AC7F86" w:rsidP="0062127D">
      <w:pPr>
        <w:pStyle w:val="NormalWeb"/>
        <w:spacing w:line="360" w:lineRule="auto"/>
        <w:rPr>
          <w:rFonts w:ascii="Arial" w:hAnsi="Arial" w:cs="Arial"/>
          <w:sz w:val="22"/>
          <w:szCs w:val="22"/>
        </w:rPr>
      </w:pPr>
      <w:r w:rsidRPr="0062127D">
        <w:rPr>
          <w:rStyle w:val="Strong"/>
          <w:rFonts w:ascii="Arial" w:hAnsi="Arial" w:cs="Arial"/>
          <w:b w:val="0"/>
          <w:bCs w:val="0"/>
          <w:sz w:val="22"/>
          <w:szCs w:val="22"/>
        </w:rPr>
        <w:lastRenderedPageBreak/>
        <w:t>Health Foundation (2024)</w:t>
      </w:r>
      <w:r w:rsidRPr="0062127D">
        <w:rPr>
          <w:rFonts w:ascii="Arial" w:hAnsi="Arial" w:cs="Arial"/>
          <w:sz w:val="22"/>
          <w:szCs w:val="22"/>
        </w:rPr>
        <w:t xml:space="preserve"> </w:t>
      </w:r>
      <w:r w:rsidRPr="0062127D">
        <w:rPr>
          <w:rStyle w:val="Emphasis"/>
          <w:rFonts w:ascii="Arial" w:hAnsi="Arial" w:cs="Arial"/>
          <w:sz w:val="22"/>
          <w:szCs w:val="22"/>
        </w:rPr>
        <w:t>Staffing and workforce pressures in the NHS</w:t>
      </w:r>
      <w:r w:rsidRPr="0062127D">
        <w:rPr>
          <w:rFonts w:ascii="Arial" w:hAnsi="Arial" w:cs="Arial"/>
          <w:sz w:val="22"/>
          <w:szCs w:val="22"/>
        </w:rPr>
        <w:t>. Health Foundation.</w:t>
      </w:r>
    </w:p>
    <w:p w14:paraId="0CB4B0DD" w14:textId="77777777" w:rsidR="00AC7F86" w:rsidRPr="0062127D" w:rsidRDefault="00AC7F86" w:rsidP="0062127D">
      <w:pPr>
        <w:pStyle w:val="NormalWeb"/>
        <w:spacing w:line="360" w:lineRule="auto"/>
        <w:rPr>
          <w:rFonts w:ascii="Arial" w:hAnsi="Arial" w:cs="Arial"/>
          <w:sz w:val="22"/>
          <w:szCs w:val="22"/>
        </w:rPr>
      </w:pPr>
      <w:r w:rsidRPr="0062127D">
        <w:rPr>
          <w:rStyle w:val="Strong"/>
          <w:rFonts w:ascii="Arial" w:hAnsi="Arial" w:cs="Arial"/>
          <w:b w:val="0"/>
          <w:bCs w:val="0"/>
          <w:sz w:val="22"/>
          <w:szCs w:val="22"/>
        </w:rPr>
        <w:t>McFarlane, R.A. et al. (2019)</w:t>
      </w:r>
      <w:r w:rsidRPr="0062127D">
        <w:rPr>
          <w:rFonts w:ascii="Arial" w:hAnsi="Arial" w:cs="Arial"/>
          <w:sz w:val="22"/>
          <w:szCs w:val="22"/>
        </w:rPr>
        <w:t xml:space="preserve"> ‘SDG 3: Good Health and Wellbeing – Framing Targets to Maximise Co</w:t>
      </w:r>
      <w:r w:rsidRPr="0062127D">
        <w:rPr>
          <w:rFonts w:ascii="Arial" w:hAnsi="Arial" w:cs="Arial"/>
          <w:sz w:val="22"/>
          <w:szCs w:val="22"/>
        </w:rPr>
        <w:noBreakHyphen/>
        <w:t xml:space="preserve">Benefits for Forests and People’, in </w:t>
      </w:r>
      <w:r w:rsidRPr="0062127D">
        <w:rPr>
          <w:rStyle w:val="Emphasis"/>
          <w:rFonts w:ascii="Arial" w:hAnsi="Arial" w:cs="Arial"/>
          <w:sz w:val="22"/>
          <w:szCs w:val="22"/>
        </w:rPr>
        <w:t>Sustainable Development Goals: Their Impacts on Forests and People</w:t>
      </w:r>
      <w:r w:rsidRPr="0062127D">
        <w:rPr>
          <w:rFonts w:ascii="Arial" w:hAnsi="Arial" w:cs="Arial"/>
          <w:sz w:val="22"/>
          <w:szCs w:val="22"/>
        </w:rPr>
        <w:t>. Cambridge University Press.</w:t>
      </w:r>
    </w:p>
    <w:p w14:paraId="0AF1D240" w14:textId="77777777" w:rsidR="00AC7F86" w:rsidRPr="0062127D" w:rsidRDefault="00AC7F86" w:rsidP="0062127D">
      <w:pPr>
        <w:pStyle w:val="NormalWeb"/>
        <w:spacing w:line="360" w:lineRule="auto"/>
        <w:rPr>
          <w:rFonts w:ascii="Arial" w:hAnsi="Arial" w:cs="Arial"/>
          <w:sz w:val="22"/>
          <w:szCs w:val="22"/>
        </w:rPr>
      </w:pPr>
      <w:r w:rsidRPr="0062127D">
        <w:rPr>
          <w:rStyle w:val="Strong"/>
          <w:rFonts w:ascii="Arial" w:hAnsi="Arial" w:cs="Arial"/>
          <w:b w:val="0"/>
          <w:bCs w:val="0"/>
          <w:sz w:val="22"/>
          <w:szCs w:val="22"/>
        </w:rPr>
        <w:t>NHS Employers (2023)</w:t>
      </w:r>
      <w:r w:rsidRPr="0062127D">
        <w:rPr>
          <w:rFonts w:ascii="Arial" w:hAnsi="Arial" w:cs="Arial"/>
          <w:sz w:val="22"/>
          <w:szCs w:val="22"/>
        </w:rPr>
        <w:t xml:space="preserve"> </w:t>
      </w:r>
      <w:r w:rsidRPr="0062127D">
        <w:rPr>
          <w:rStyle w:val="Emphasis"/>
          <w:rFonts w:ascii="Arial" w:hAnsi="Arial" w:cs="Arial"/>
          <w:sz w:val="22"/>
          <w:szCs w:val="22"/>
        </w:rPr>
        <w:t>NHS Long Term Workforce Plan: What Employers Need to Know</w:t>
      </w:r>
      <w:r w:rsidRPr="0062127D">
        <w:rPr>
          <w:rFonts w:ascii="Arial" w:hAnsi="Arial" w:cs="Arial"/>
          <w:sz w:val="22"/>
          <w:szCs w:val="22"/>
        </w:rPr>
        <w:t>. NHS Employers.</w:t>
      </w:r>
    </w:p>
    <w:p w14:paraId="7A1B8B0F" w14:textId="77777777" w:rsidR="00AC7F86" w:rsidRPr="0062127D" w:rsidRDefault="00AC7F86" w:rsidP="0062127D">
      <w:pPr>
        <w:pStyle w:val="NormalWeb"/>
        <w:spacing w:line="360" w:lineRule="auto"/>
        <w:rPr>
          <w:rFonts w:ascii="Arial" w:hAnsi="Arial" w:cs="Arial"/>
          <w:sz w:val="22"/>
          <w:szCs w:val="22"/>
        </w:rPr>
      </w:pPr>
      <w:r w:rsidRPr="0062127D">
        <w:rPr>
          <w:rStyle w:val="Strong"/>
          <w:rFonts w:ascii="Arial" w:hAnsi="Arial" w:cs="Arial"/>
          <w:b w:val="0"/>
          <w:bCs w:val="0"/>
          <w:sz w:val="22"/>
          <w:szCs w:val="22"/>
        </w:rPr>
        <w:t>NHS England (2023)</w:t>
      </w:r>
      <w:r w:rsidRPr="0062127D">
        <w:rPr>
          <w:rFonts w:ascii="Arial" w:hAnsi="Arial" w:cs="Arial"/>
          <w:sz w:val="22"/>
          <w:szCs w:val="22"/>
        </w:rPr>
        <w:t xml:space="preserve"> </w:t>
      </w:r>
      <w:r w:rsidRPr="0062127D">
        <w:rPr>
          <w:rStyle w:val="Emphasis"/>
          <w:rFonts w:ascii="Arial" w:hAnsi="Arial" w:cs="Arial"/>
          <w:sz w:val="22"/>
          <w:szCs w:val="22"/>
        </w:rPr>
        <w:t>NHS Long Term Workforce Plan</w:t>
      </w:r>
      <w:r w:rsidRPr="0062127D">
        <w:rPr>
          <w:rFonts w:ascii="Arial" w:hAnsi="Arial" w:cs="Arial"/>
          <w:sz w:val="22"/>
          <w:szCs w:val="22"/>
        </w:rPr>
        <w:t>. NHS England.</w:t>
      </w:r>
    </w:p>
    <w:p w14:paraId="0DB2A5EE" w14:textId="77777777" w:rsidR="00AC7F86" w:rsidRPr="0062127D" w:rsidRDefault="00AC7F86" w:rsidP="0062127D">
      <w:pPr>
        <w:pStyle w:val="NormalWeb"/>
        <w:spacing w:line="360" w:lineRule="auto"/>
        <w:rPr>
          <w:rFonts w:ascii="Arial" w:hAnsi="Arial" w:cs="Arial"/>
          <w:sz w:val="22"/>
          <w:szCs w:val="22"/>
        </w:rPr>
      </w:pPr>
      <w:r w:rsidRPr="0062127D">
        <w:rPr>
          <w:rStyle w:val="Strong"/>
          <w:rFonts w:ascii="Arial" w:hAnsi="Arial" w:cs="Arial"/>
          <w:b w:val="0"/>
          <w:bCs w:val="0"/>
          <w:sz w:val="22"/>
          <w:szCs w:val="22"/>
        </w:rPr>
        <w:t>NHS England (2024)</w:t>
      </w:r>
      <w:r w:rsidRPr="0062127D">
        <w:rPr>
          <w:rFonts w:ascii="Arial" w:hAnsi="Arial" w:cs="Arial"/>
          <w:sz w:val="22"/>
          <w:szCs w:val="22"/>
        </w:rPr>
        <w:t xml:space="preserve"> </w:t>
      </w:r>
      <w:r w:rsidRPr="0062127D">
        <w:rPr>
          <w:rStyle w:val="Emphasis"/>
          <w:rFonts w:ascii="Arial" w:hAnsi="Arial" w:cs="Arial"/>
          <w:sz w:val="22"/>
          <w:szCs w:val="22"/>
        </w:rPr>
        <w:t>NHS Long Term Workforce Plan (Letter)</w:t>
      </w:r>
      <w:r w:rsidRPr="0062127D">
        <w:rPr>
          <w:rFonts w:ascii="Arial" w:hAnsi="Arial" w:cs="Arial"/>
          <w:sz w:val="22"/>
          <w:szCs w:val="22"/>
        </w:rPr>
        <w:t>. NHS England.</w:t>
      </w:r>
    </w:p>
    <w:p w14:paraId="19944918" w14:textId="77777777" w:rsidR="00AC7F86" w:rsidRPr="0062127D" w:rsidRDefault="00AC7F86" w:rsidP="0062127D">
      <w:pPr>
        <w:pStyle w:val="NormalWeb"/>
        <w:spacing w:line="360" w:lineRule="auto"/>
        <w:rPr>
          <w:rFonts w:ascii="Arial" w:hAnsi="Arial" w:cs="Arial"/>
          <w:sz w:val="22"/>
          <w:szCs w:val="22"/>
        </w:rPr>
      </w:pPr>
      <w:r w:rsidRPr="0062127D">
        <w:rPr>
          <w:rStyle w:val="Strong"/>
          <w:rFonts w:ascii="Arial" w:hAnsi="Arial" w:cs="Arial"/>
          <w:b w:val="0"/>
          <w:bCs w:val="0"/>
          <w:sz w:val="22"/>
          <w:szCs w:val="22"/>
        </w:rPr>
        <w:t>Norris, E. et al. (2026)</w:t>
      </w:r>
      <w:r w:rsidRPr="0062127D">
        <w:rPr>
          <w:rFonts w:ascii="Arial" w:hAnsi="Arial" w:cs="Arial"/>
          <w:sz w:val="22"/>
          <w:szCs w:val="22"/>
        </w:rPr>
        <w:t xml:space="preserve"> ‘Move Together Buckinghamshire: protocol for a pragmatic mixed</w:t>
      </w:r>
      <w:r w:rsidRPr="0062127D">
        <w:rPr>
          <w:rFonts w:ascii="Arial" w:hAnsi="Arial" w:cs="Arial"/>
          <w:sz w:val="22"/>
          <w:szCs w:val="22"/>
        </w:rPr>
        <w:noBreakHyphen/>
        <w:t xml:space="preserve">methods evaluation’, </w:t>
      </w:r>
      <w:r w:rsidRPr="0062127D">
        <w:rPr>
          <w:rStyle w:val="Emphasis"/>
          <w:rFonts w:ascii="Arial" w:hAnsi="Arial" w:cs="Arial"/>
          <w:sz w:val="22"/>
          <w:szCs w:val="22"/>
        </w:rPr>
        <w:t>BMJ Open</w:t>
      </w:r>
      <w:r w:rsidRPr="0062127D">
        <w:rPr>
          <w:rFonts w:ascii="Arial" w:hAnsi="Arial" w:cs="Arial"/>
          <w:sz w:val="22"/>
          <w:szCs w:val="22"/>
        </w:rPr>
        <w:t>, 16(7).</w:t>
      </w:r>
    </w:p>
    <w:p w14:paraId="68C4E8F2" w14:textId="77777777" w:rsidR="00AC7F86" w:rsidRPr="0062127D" w:rsidRDefault="00AC7F86" w:rsidP="0062127D">
      <w:pPr>
        <w:pStyle w:val="NormalWeb"/>
        <w:spacing w:line="360" w:lineRule="auto"/>
        <w:rPr>
          <w:rFonts w:ascii="Arial" w:hAnsi="Arial" w:cs="Arial"/>
          <w:sz w:val="22"/>
          <w:szCs w:val="22"/>
        </w:rPr>
      </w:pPr>
      <w:r w:rsidRPr="0062127D">
        <w:rPr>
          <w:rStyle w:val="Strong"/>
          <w:rFonts w:ascii="Arial" w:hAnsi="Arial" w:cs="Arial"/>
          <w:b w:val="0"/>
          <w:bCs w:val="0"/>
          <w:sz w:val="22"/>
          <w:szCs w:val="22"/>
        </w:rPr>
        <w:t>Public Health England (2023)</w:t>
      </w:r>
      <w:r w:rsidRPr="0062127D">
        <w:rPr>
          <w:rFonts w:ascii="Arial" w:hAnsi="Arial" w:cs="Arial"/>
          <w:sz w:val="22"/>
          <w:szCs w:val="22"/>
        </w:rPr>
        <w:t xml:space="preserve"> </w:t>
      </w:r>
      <w:r w:rsidRPr="0062127D">
        <w:rPr>
          <w:rStyle w:val="Emphasis"/>
          <w:rFonts w:ascii="Arial" w:hAnsi="Arial" w:cs="Arial"/>
          <w:sz w:val="22"/>
          <w:szCs w:val="22"/>
        </w:rPr>
        <w:t>Air Quality and Health: Annual Review</w:t>
      </w:r>
      <w:r w:rsidRPr="0062127D">
        <w:rPr>
          <w:rFonts w:ascii="Arial" w:hAnsi="Arial" w:cs="Arial"/>
          <w:sz w:val="22"/>
          <w:szCs w:val="22"/>
        </w:rPr>
        <w:t>. PHE.</w:t>
      </w:r>
    </w:p>
    <w:p w14:paraId="652973D6" w14:textId="77777777" w:rsidR="00AC7F86" w:rsidRPr="0062127D" w:rsidRDefault="00AC7F86" w:rsidP="0062127D">
      <w:pPr>
        <w:pStyle w:val="NormalWeb"/>
        <w:spacing w:line="360" w:lineRule="auto"/>
        <w:rPr>
          <w:rFonts w:ascii="Arial" w:hAnsi="Arial" w:cs="Arial"/>
          <w:sz w:val="22"/>
          <w:szCs w:val="22"/>
        </w:rPr>
      </w:pPr>
      <w:r w:rsidRPr="0062127D">
        <w:rPr>
          <w:rStyle w:val="Strong"/>
          <w:rFonts w:ascii="Arial" w:hAnsi="Arial" w:cs="Arial"/>
          <w:b w:val="0"/>
          <w:bCs w:val="0"/>
          <w:sz w:val="22"/>
          <w:szCs w:val="22"/>
        </w:rPr>
        <w:t>United Nations (2023)</w:t>
      </w:r>
      <w:r w:rsidRPr="0062127D">
        <w:rPr>
          <w:rFonts w:ascii="Arial" w:hAnsi="Arial" w:cs="Arial"/>
          <w:sz w:val="22"/>
          <w:szCs w:val="22"/>
        </w:rPr>
        <w:t xml:space="preserve"> </w:t>
      </w:r>
      <w:r w:rsidRPr="0062127D">
        <w:rPr>
          <w:rStyle w:val="Emphasis"/>
          <w:rFonts w:ascii="Arial" w:hAnsi="Arial" w:cs="Arial"/>
          <w:sz w:val="22"/>
          <w:szCs w:val="22"/>
        </w:rPr>
        <w:t>Sustainable Development Goal 3: Ensure healthy lives and promote wellbeing for all at all ages</w:t>
      </w:r>
      <w:r w:rsidRPr="0062127D">
        <w:rPr>
          <w:rFonts w:ascii="Arial" w:hAnsi="Arial" w:cs="Arial"/>
          <w:sz w:val="22"/>
          <w:szCs w:val="22"/>
        </w:rPr>
        <w:t>. United Nations.</w:t>
      </w:r>
    </w:p>
    <w:p w14:paraId="024DD67A" w14:textId="77777777" w:rsidR="00AC7F86" w:rsidRPr="0062127D" w:rsidRDefault="00AC7F86" w:rsidP="0062127D">
      <w:pPr>
        <w:pStyle w:val="NormalWeb"/>
        <w:spacing w:line="360" w:lineRule="auto"/>
        <w:rPr>
          <w:rFonts w:ascii="Arial" w:hAnsi="Arial" w:cs="Arial"/>
          <w:sz w:val="22"/>
          <w:szCs w:val="22"/>
        </w:rPr>
      </w:pPr>
      <w:r w:rsidRPr="0062127D">
        <w:rPr>
          <w:rStyle w:val="Strong"/>
          <w:rFonts w:ascii="Arial" w:hAnsi="Arial" w:cs="Arial"/>
          <w:b w:val="0"/>
          <w:bCs w:val="0"/>
          <w:sz w:val="22"/>
          <w:szCs w:val="22"/>
        </w:rPr>
        <w:t>United Nations Development Programme (2023)</w:t>
      </w:r>
      <w:r w:rsidRPr="0062127D">
        <w:rPr>
          <w:rFonts w:ascii="Arial" w:hAnsi="Arial" w:cs="Arial"/>
          <w:sz w:val="22"/>
          <w:szCs w:val="22"/>
        </w:rPr>
        <w:t xml:space="preserve"> </w:t>
      </w:r>
      <w:r w:rsidRPr="0062127D">
        <w:rPr>
          <w:rStyle w:val="Emphasis"/>
          <w:rFonts w:ascii="Arial" w:hAnsi="Arial" w:cs="Arial"/>
          <w:sz w:val="22"/>
          <w:szCs w:val="22"/>
        </w:rPr>
        <w:t>Noncommunicable Diseases and Sustainable Development</w:t>
      </w:r>
      <w:r w:rsidRPr="0062127D">
        <w:rPr>
          <w:rFonts w:ascii="Arial" w:hAnsi="Arial" w:cs="Arial"/>
          <w:sz w:val="22"/>
          <w:szCs w:val="22"/>
        </w:rPr>
        <w:t>. UNDP.</w:t>
      </w:r>
    </w:p>
    <w:p w14:paraId="7F29B1DA" w14:textId="77777777" w:rsidR="00AC7F86" w:rsidRPr="0062127D" w:rsidRDefault="00AC7F86" w:rsidP="0062127D">
      <w:pPr>
        <w:pStyle w:val="NormalWeb"/>
        <w:spacing w:line="360" w:lineRule="auto"/>
        <w:rPr>
          <w:rFonts w:ascii="Arial" w:hAnsi="Arial" w:cs="Arial"/>
          <w:sz w:val="22"/>
          <w:szCs w:val="22"/>
        </w:rPr>
      </w:pPr>
      <w:r w:rsidRPr="0062127D">
        <w:rPr>
          <w:rStyle w:val="Strong"/>
          <w:rFonts w:ascii="Arial" w:hAnsi="Arial" w:cs="Arial"/>
          <w:b w:val="0"/>
          <w:bCs w:val="0"/>
          <w:sz w:val="22"/>
          <w:szCs w:val="22"/>
        </w:rPr>
        <w:t>Wise, J. (2019)</w:t>
      </w:r>
      <w:r w:rsidRPr="0062127D">
        <w:rPr>
          <w:rFonts w:ascii="Arial" w:hAnsi="Arial" w:cs="Arial"/>
          <w:sz w:val="22"/>
          <w:szCs w:val="22"/>
        </w:rPr>
        <w:t xml:space="preserve"> ‘UK sets target to halve exposure to toxic air in 10 years’, </w:t>
      </w:r>
      <w:r w:rsidRPr="0062127D">
        <w:rPr>
          <w:rStyle w:val="Emphasis"/>
          <w:rFonts w:ascii="Arial" w:hAnsi="Arial" w:cs="Arial"/>
          <w:sz w:val="22"/>
          <w:szCs w:val="22"/>
        </w:rPr>
        <w:t>BMJ</w:t>
      </w:r>
      <w:r w:rsidRPr="0062127D">
        <w:rPr>
          <w:rFonts w:ascii="Arial" w:hAnsi="Arial" w:cs="Arial"/>
          <w:sz w:val="22"/>
          <w:szCs w:val="22"/>
        </w:rPr>
        <w:t xml:space="preserve">, </w:t>
      </w:r>
      <w:proofErr w:type="gramStart"/>
      <w:r w:rsidRPr="0062127D">
        <w:rPr>
          <w:rFonts w:ascii="Arial" w:hAnsi="Arial" w:cs="Arial"/>
          <w:sz w:val="22"/>
          <w:szCs w:val="22"/>
        </w:rPr>
        <w:t>364:l</w:t>
      </w:r>
      <w:proofErr w:type="gramEnd"/>
      <w:r w:rsidRPr="0062127D">
        <w:rPr>
          <w:rFonts w:ascii="Arial" w:hAnsi="Arial" w:cs="Arial"/>
          <w:sz w:val="22"/>
          <w:szCs w:val="22"/>
        </w:rPr>
        <w:t>210.</w:t>
      </w:r>
    </w:p>
    <w:p w14:paraId="7D98E67D" w14:textId="77777777" w:rsidR="00AC7F86" w:rsidRPr="0062127D" w:rsidRDefault="00AC7F86" w:rsidP="0062127D">
      <w:pPr>
        <w:pStyle w:val="NormalWeb"/>
        <w:spacing w:line="360" w:lineRule="auto"/>
        <w:rPr>
          <w:rFonts w:ascii="Arial" w:hAnsi="Arial" w:cs="Arial"/>
          <w:sz w:val="22"/>
          <w:szCs w:val="22"/>
        </w:rPr>
      </w:pPr>
      <w:r w:rsidRPr="0062127D">
        <w:rPr>
          <w:rStyle w:val="Strong"/>
          <w:rFonts w:ascii="Arial" w:hAnsi="Arial" w:cs="Arial"/>
          <w:b w:val="0"/>
          <w:bCs w:val="0"/>
          <w:sz w:val="22"/>
          <w:szCs w:val="22"/>
        </w:rPr>
        <w:t>World Health Organization (2023)</w:t>
      </w:r>
      <w:r w:rsidRPr="0062127D">
        <w:rPr>
          <w:rFonts w:ascii="Arial" w:hAnsi="Arial" w:cs="Arial"/>
          <w:sz w:val="22"/>
          <w:szCs w:val="22"/>
        </w:rPr>
        <w:t xml:space="preserve"> </w:t>
      </w:r>
      <w:r w:rsidRPr="0062127D">
        <w:rPr>
          <w:rStyle w:val="Emphasis"/>
          <w:rFonts w:ascii="Arial" w:hAnsi="Arial" w:cs="Arial"/>
          <w:sz w:val="22"/>
          <w:szCs w:val="22"/>
        </w:rPr>
        <w:t>Maternal mortality: Key facts</w:t>
      </w:r>
      <w:r w:rsidRPr="0062127D">
        <w:rPr>
          <w:rFonts w:ascii="Arial" w:hAnsi="Arial" w:cs="Arial"/>
          <w:sz w:val="22"/>
          <w:szCs w:val="22"/>
        </w:rPr>
        <w:t>. WHO.</w:t>
      </w:r>
    </w:p>
    <w:p w14:paraId="6DCF48B6" w14:textId="77777777" w:rsidR="00AC7F86" w:rsidRPr="0062127D" w:rsidRDefault="00AC7F86" w:rsidP="0062127D">
      <w:pPr>
        <w:pStyle w:val="NormalWeb"/>
        <w:spacing w:line="360" w:lineRule="auto"/>
        <w:rPr>
          <w:rFonts w:ascii="Arial" w:hAnsi="Arial" w:cs="Arial"/>
          <w:sz w:val="22"/>
          <w:szCs w:val="22"/>
        </w:rPr>
      </w:pPr>
      <w:r w:rsidRPr="0062127D">
        <w:rPr>
          <w:rStyle w:val="Strong"/>
          <w:rFonts w:ascii="Arial" w:hAnsi="Arial" w:cs="Arial"/>
          <w:b w:val="0"/>
          <w:bCs w:val="0"/>
          <w:sz w:val="22"/>
          <w:szCs w:val="22"/>
        </w:rPr>
        <w:t>World Health Organization (2024)</w:t>
      </w:r>
      <w:r w:rsidRPr="0062127D">
        <w:rPr>
          <w:rFonts w:ascii="Arial" w:hAnsi="Arial" w:cs="Arial"/>
          <w:sz w:val="22"/>
          <w:szCs w:val="22"/>
        </w:rPr>
        <w:t xml:space="preserve"> </w:t>
      </w:r>
      <w:r w:rsidRPr="0062127D">
        <w:rPr>
          <w:rStyle w:val="Emphasis"/>
          <w:rFonts w:ascii="Arial" w:hAnsi="Arial" w:cs="Arial"/>
          <w:sz w:val="22"/>
          <w:szCs w:val="22"/>
        </w:rPr>
        <w:t>Universal Health Coverage: Global Monitoring Report</w:t>
      </w:r>
      <w:r w:rsidRPr="0062127D">
        <w:rPr>
          <w:rFonts w:ascii="Arial" w:hAnsi="Arial" w:cs="Arial"/>
          <w:sz w:val="22"/>
          <w:szCs w:val="22"/>
        </w:rPr>
        <w:t>. WHO.</w:t>
      </w:r>
    </w:p>
    <w:p w14:paraId="5635F6FB" w14:textId="77777777" w:rsidR="00AC7F86" w:rsidRPr="0062127D" w:rsidRDefault="00AC7F86" w:rsidP="0062127D">
      <w:pPr>
        <w:pStyle w:val="NormalWeb"/>
        <w:spacing w:line="360" w:lineRule="auto"/>
        <w:rPr>
          <w:rFonts w:ascii="Arial" w:hAnsi="Arial" w:cs="Arial"/>
          <w:sz w:val="22"/>
          <w:szCs w:val="22"/>
        </w:rPr>
      </w:pPr>
    </w:p>
    <w:p w14:paraId="4E4F2C7E" w14:textId="77777777" w:rsidR="00AC7F86" w:rsidRPr="0062127D" w:rsidRDefault="00AC7F86" w:rsidP="0062127D">
      <w:pPr>
        <w:spacing w:line="360" w:lineRule="auto"/>
        <w:jc w:val="both"/>
        <w:rPr>
          <w:rFonts w:ascii="Arial" w:hAnsi="Arial" w:cs="Arial"/>
          <w:color w:val="0D0D0D" w:themeColor="text1" w:themeTint="F2"/>
          <w:sz w:val="22"/>
          <w:szCs w:val="22"/>
        </w:rPr>
      </w:pPr>
    </w:p>
    <w:p w14:paraId="55E19522" w14:textId="77777777" w:rsidR="00A4238A" w:rsidRPr="0062127D" w:rsidRDefault="00A4238A" w:rsidP="0062127D">
      <w:pPr>
        <w:spacing w:line="360" w:lineRule="auto"/>
        <w:jc w:val="both"/>
        <w:rPr>
          <w:rFonts w:ascii="Arial" w:hAnsi="Arial" w:cs="Arial"/>
          <w:color w:val="D86DCB" w:themeColor="accent5" w:themeTint="99"/>
          <w:sz w:val="22"/>
          <w:szCs w:val="22"/>
        </w:rPr>
      </w:pPr>
    </w:p>
    <w:p w14:paraId="291448F6" w14:textId="56E9432A" w:rsidR="00A4238A" w:rsidRPr="0062127D" w:rsidRDefault="00A4238A" w:rsidP="0062127D">
      <w:pPr>
        <w:spacing w:line="360" w:lineRule="auto"/>
        <w:jc w:val="both"/>
        <w:rPr>
          <w:rFonts w:ascii="Arial" w:hAnsi="Arial" w:cs="Arial"/>
          <w:b/>
          <w:bCs/>
          <w:color w:val="D86DCB" w:themeColor="accent5" w:themeTint="99"/>
          <w:sz w:val="22"/>
          <w:szCs w:val="22"/>
        </w:rPr>
      </w:pPr>
    </w:p>
    <w:p w14:paraId="7BC5D73A" w14:textId="77777777" w:rsidR="00A4238A" w:rsidRPr="0062127D" w:rsidRDefault="00A4238A" w:rsidP="0062127D">
      <w:pPr>
        <w:spacing w:line="360" w:lineRule="auto"/>
        <w:jc w:val="both"/>
        <w:rPr>
          <w:rFonts w:ascii="Arial" w:hAnsi="Arial" w:cs="Arial"/>
          <w:color w:val="D86DCB" w:themeColor="accent5" w:themeTint="99"/>
          <w:sz w:val="22"/>
          <w:szCs w:val="22"/>
        </w:rPr>
      </w:pPr>
    </w:p>
    <w:sectPr w:rsidR="00A4238A" w:rsidRPr="0062127D">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D3020" w14:textId="77777777" w:rsidR="00D8357C" w:rsidRDefault="00D8357C" w:rsidP="003C1B30">
      <w:pPr>
        <w:spacing w:after="0" w:line="240" w:lineRule="auto"/>
      </w:pPr>
      <w:r>
        <w:separator/>
      </w:r>
    </w:p>
  </w:endnote>
  <w:endnote w:type="continuationSeparator" w:id="0">
    <w:p w14:paraId="4035DE09" w14:textId="77777777" w:rsidR="00D8357C" w:rsidRDefault="00D8357C" w:rsidP="003C1B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j-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F0CBE" w14:textId="77777777" w:rsidR="003C1B30" w:rsidRDefault="003C1B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A60EE" w14:textId="77777777" w:rsidR="003C1B30" w:rsidRDefault="003C1B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EF643" w14:textId="77777777" w:rsidR="003C1B30" w:rsidRDefault="003C1B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9836F" w14:textId="77777777" w:rsidR="00D8357C" w:rsidRDefault="00D8357C" w:rsidP="003C1B30">
      <w:pPr>
        <w:spacing w:after="0" w:line="240" w:lineRule="auto"/>
      </w:pPr>
      <w:r>
        <w:separator/>
      </w:r>
    </w:p>
  </w:footnote>
  <w:footnote w:type="continuationSeparator" w:id="0">
    <w:p w14:paraId="14893CC8" w14:textId="77777777" w:rsidR="00D8357C" w:rsidRDefault="00D8357C" w:rsidP="003C1B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799A1" w14:textId="77777777" w:rsidR="003C1B30" w:rsidRDefault="003C1B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5C3E9" w14:textId="77777777" w:rsidR="003C1B30" w:rsidRDefault="003C1B3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D7175" w14:textId="77777777" w:rsidR="003C1B30" w:rsidRDefault="003C1B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E47A6"/>
    <w:multiLevelType w:val="multilevel"/>
    <w:tmpl w:val="D774F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6554E6"/>
    <w:multiLevelType w:val="hybridMultilevel"/>
    <w:tmpl w:val="AB8EF1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CF643C2"/>
    <w:multiLevelType w:val="hybridMultilevel"/>
    <w:tmpl w:val="3C6415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1B95BC2"/>
    <w:multiLevelType w:val="hybridMultilevel"/>
    <w:tmpl w:val="73D660A4"/>
    <w:lvl w:ilvl="0" w:tplc="08090001">
      <w:start w:val="1"/>
      <w:numFmt w:val="bullet"/>
      <w:lvlText w:val=""/>
      <w:lvlJc w:val="left"/>
      <w:pPr>
        <w:ind w:left="720" w:hanging="360"/>
      </w:pPr>
      <w:rPr>
        <w:rFonts w:ascii="Symbol" w:hAnsi="Symbol" w:hint="default"/>
      </w:rPr>
    </w:lvl>
    <w:lvl w:ilvl="1" w:tplc="F3443086">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1877E3"/>
    <w:multiLevelType w:val="hybridMultilevel"/>
    <w:tmpl w:val="97C87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B14729"/>
    <w:multiLevelType w:val="multilevel"/>
    <w:tmpl w:val="8A7E6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BB0A23"/>
    <w:multiLevelType w:val="hybridMultilevel"/>
    <w:tmpl w:val="162C01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539364943">
    <w:abstractNumId w:val="5"/>
  </w:num>
  <w:num w:numId="2" w16cid:durableId="1714186257">
    <w:abstractNumId w:val="0"/>
  </w:num>
  <w:num w:numId="3" w16cid:durableId="16272072">
    <w:abstractNumId w:val="1"/>
  </w:num>
  <w:num w:numId="4" w16cid:durableId="834952839">
    <w:abstractNumId w:val="6"/>
  </w:num>
  <w:num w:numId="5" w16cid:durableId="663317435">
    <w:abstractNumId w:val="3"/>
  </w:num>
  <w:num w:numId="6" w16cid:durableId="2128116040">
    <w:abstractNumId w:val="2"/>
  </w:num>
  <w:num w:numId="7" w16cid:durableId="12674207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38A"/>
    <w:rsid w:val="00000F31"/>
    <w:rsid w:val="0002199C"/>
    <w:rsid w:val="00045BC2"/>
    <w:rsid w:val="00077732"/>
    <w:rsid w:val="000863CD"/>
    <w:rsid w:val="000A4225"/>
    <w:rsid w:val="00107B26"/>
    <w:rsid w:val="00117995"/>
    <w:rsid w:val="00150A13"/>
    <w:rsid w:val="00151B91"/>
    <w:rsid w:val="001E1384"/>
    <w:rsid w:val="001E3359"/>
    <w:rsid w:val="00216DD1"/>
    <w:rsid w:val="00244802"/>
    <w:rsid w:val="00251E11"/>
    <w:rsid w:val="002945E3"/>
    <w:rsid w:val="002B0D21"/>
    <w:rsid w:val="002D6B39"/>
    <w:rsid w:val="002F1AA1"/>
    <w:rsid w:val="0030283A"/>
    <w:rsid w:val="00304B09"/>
    <w:rsid w:val="00311164"/>
    <w:rsid w:val="003358D8"/>
    <w:rsid w:val="003C1B30"/>
    <w:rsid w:val="003F4486"/>
    <w:rsid w:val="003F7D8A"/>
    <w:rsid w:val="00421752"/>
    <w:rsid w:val="00453E34"/>
    <w:rsid w:val="004706F2"/>
    <w:rsid w:val="004A730B"/>
    <w:rsid w:val="004E3F64"/>
    <w:rsid w:val="004F29CB"/>
    <w:rsid w:val="004F5A8E"/>
    <w:rsid w:val="004F6E35"/>
    <w:rsid w:val="00573579"/>
    <w:rsid w:val="00591CDC"/>
    <w:rsid w:val="005B0793"/>
    <w:rsid w:val="005B42A0"/>
    <w:rsid w:val="0062127D"/>
    <w:rsid w:val="006244FD"/>
    <w:rsid w:val="00637815"/>
    <w:rsid w:val="00664EB3"/>
    <w:rsid w:val="00691A20"/>
    <w:rsid w:val="00695028"/>
    <w:rsid w:val="00754928"/>
    <w:rsid w:val="00767474"/>
    <w:rsid w:val="0079103B"/>
    <w:rsid w:val="00797B23"/>
    <w:rsid w:val="007D605E"/>
    <w:rsid w:val="0081786C"/>
    <w:rsid w:val="00870168"/>
    <w:rsid w:val="00874338"/>
    <w:rsid w:val="008A6E7B"/>
    <w:rsid w:val="00914C3E"/>
    <w:rsid w:val="009507DB"/>
    <w:rsid w:val="00971587"/>
    <w:rsid w:val="009B19DA"/>
    <w:rsid w:val="00A04495"/>
    <w:rsid w:val="00A15AE0"/>
    <w:rsid w:val="00A4238A"/>
    <w:rsid w:val="00A51B48"/>
    <w:rsid w:val="00A8539C"/>
    <w:rsid w:val="00AC7F86"/>
    <w:rsid w:val="00B2763B"/>
    <w:rsid w:val="00B60632"/>
    <w:rsid w:val="00BB68C4"/>
    <w:rsid w:val="00BE3F0C"/>
    <w:rsid w:val="00BF27C6"/>
    <w:rsid w:val="00C7566C"/>
    <w:rsid w:val="00CE58C8"/>
    <w:rsid w:val="00D03074"/>
    <w:rsid w:val="00D8357C"/>
    <w:rsid w:val="00DB38B7"/>
    <w:rsid w:val="00DD74B3"/>
    <w:rsid w:val="00E166D1"/>
    <w:rsid w:val="00E42703"/>
    <w:rsid w:val="00EE22E8"/>
    <w:rsid w:val="00EF2B77"/>
    <w:rsid w:val="00F53689"/>
    <w:rsid w:val="00F53804"/>
    <w:rsid w:val="00F81A34"/>
    <w:rsid w:val="00FC18FE"/>
    <w:rsid w:val="00FC49D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A60E1"/>
  <w15:chartTrackingRefBased/>
  <w15:docId w15:val="{8C59807E-722A-4D21-A96A-E1C8DCD1D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23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423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23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23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23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23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23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23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23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23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423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23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23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23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23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23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23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238A"/>
    <w:rPr>
      <w:rFonts w:eastAsiaTheme="majorEastAsia" w:cstheme="majorBidi"/>
      <w:color w:val="272727" w:themeColor="text1" w:themeTint="D8"/>
    </w:rPr>
  </w:style>
  <w:style w:type="paragraph" w:styleId="Title">
    <w:name w:val="Title"/>
    <w:basedOn w:val="Normal"/>
    <w:next w:val="Normal"/>
    <w:link w:val="TitleChar"/>
    <w:uiPriority w:val="10"/>
    <w:qFormat/>
    <w:rsid w:val="00A423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23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23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23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238A"/>
    <w:pPr>
      <w:spacing w:before="160"/>
      <w:jc w:val="center"/>
    </w:pPr>
    <w:rPr>
      <w:i/>
      <w:iCs/>
      <w:color w:val="404040" w:themeColor="text1" w:themeTint="BF"/>
    </w:rPr>
  </w:style>
  <w:style w:type="character" w:customStyle="1" w:styleId="QuoteChar">
    <w:name w:val="Quote Char"/>
    <w:basedOn w:val="DefaultParagraphFont"/>
    <w:link w:val="Quote"/>
    <w:uiPriority w:val="29"/>
    <w:rsid w:val="00A4238A"/>
    <w:rPr>
      <w:i/>
      <w:iCs/>
      <w:color w:val="404040" w:themeColor="text1" w:themeTint="BF"/>
    </w:rPr>
  </w:style>
  <w:style w:type="paragraph" w:styleId="ListParagraph">
    <w:name w:val="List Paragraph"/>
    <w:basedOn w:val="Normal"/>
    <w:uiPriority w:val="34"/>
    <w:qFormat/>
    <w:rsid w:val="00A4238A"/>
    <w:pPr>
      <w:ind w:left="720"/>
      <w:contextualSpacing/>
    </w:pPr>
  </w:style>
  <w:style w:type="character" w:styleId="IntenseEmphasis">
    <w:name w:val="Intense Emphasis"/>
    <w:basedOn w:val="DefaultParagraphFont"/>
    <w:uiPriority w:val="21"/>
    <w:qFormat/>
    <w:rsid w:val="00A4238A"/>
    <w:rPr>
      <w:i/>
      <w:iCs/>
      <w:color w:val="0F4761" w:themeColor="accent1" w:themeShade="BF"/>
    </w:rPr>
  </w:style>
  <w:style w:type="paragraph" w:styleId="IntenseQuote">
    <w:name w:val="Intense Quote"/>
    <w:basedOn w:val="Normal"/>
    <w:next w:val="Normal"/>
    <w:link w:val="IntenseQuoteChar"/>
    <w:uiPriority w:val="30"/>
    <w:qFormat/>
    <w:rsid w:val="00A423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238A"/>
    <w:rPr>
      <w:i/>
      <w:iCs/>
      <w:color w:val="0F4761" w:themeColor="accent1" w:themeShade="BF"/>
    </w:rPr>
  </w:style>
  <w:style w:type="character" w:styleId="IntenseReference">
    <w:name w:val="Intense Reference"/>
    <w:basedOn w:val="DefaultParagraphFont"/>
    <w:uiPriority w:val="32"/>
    <w:qFormat/>
    <w:rsid w:val="00A4238A"/>
    <w:rPr>
      <w:b/>
      <w:bCs/>
      <w:smallCaps/>
      <w:color w:val="0F4761" w:themeColor="accent1" w:themeShade="BF"/>
      <w:spacing w:val="5"/>
    </w:rPr>
  </w:style>
  <w:style w:type="paragraph" w:styleId="NormalWeb">
    <w:name w:val="Normal (Web)"/>
    <w:basedOn w:val="Normal"/>
    <w:uiPriority w:val="99"/>
    <w:semiHidden/>
    <w:unhideWhenUsed/>
    <w:rsid w:val="0011799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17995"/>
    <w:rPr>
      <w:b/>
      <w:bCs/>
    </w:rPr>
  </w:style>
  <w:style w:type="character" w:styleId="Emphasis">
    <w:name w:val="Emphasis"/>
    <w:basedOn w:val="DefaultParagraphFont"/>
    <w:uiPriority w:val="20"/>
    <w:qFormat/>
    <w:rsid w:val="00AC7F86"/>
    <w:rPr>
      <w:i/>
      <w:iCs/>
    </w:rPr>
  </w:style>
  <w:style w:type="paragraph" w:styleId="Header">
    <w:name w:val="header"/>
    <w:basedOn w:val="Normal"/>
    <w:link w:val="HeaderChar"/>
    <w:uiPriority w:val="99"/>
    <w:unhideWhenUsed/>
    <w:rsid w:val="003C1B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B30"/>
  </w:style>
  <w:style w:type="paragraph" w:styleId="Footer">
    <w:name w:val="footer"/>
    <w:basedOn w:val="Normal"/>
    <w:link w:val="FooterChar"/>
    <w:uiPriority w:val="99"/>
    <w:unhideWhenUsed/>
    <w:rsid w:val="003C1B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B30"/>
  </w:style>
  <w:style w:type="paragraph" w:styleId="TOCHeading">
    <w:name w:val="TOC Heading"/>
    <w:basedOn w:val="Heading1"/>
    <w:next w:val="Normal"/>
    <w:uiPriority w:val="39"/>
    <w:unhideWhenUsed/>
    <w:qFormat/>
    <w:rsid w:val="0062127D"/>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62127D"/>
    <w:pPr>
      <w:spacing w:after="100"/>
    </w:pPr>
  </w:style>
  <w:style w:type="paragraph" w:styleId="TOC2">
    <w:name w:val="toc 2"/>
    <w:basedOn w:val="Normal"/>
    <w:next w:val="Normal"/>
    <w:autoRedefine/>
    <w:uiPriority w:val="39"/>
    <w:unhideWhenUsed/>
    <w:rsid w:val="0062127D"/>
    <w:pPr>
      <w:spacing w:after="100"/>
      <w:ind w:left="240"/>
    </w:pPr>
  </w:style>
  <w:style w:type="character" w:styleId="Hyperlink">
    <w:name w:val="Hyperlink"/>
    <w:basedOn w:val="DefaultParagraphFont"/>
    <w:uiPriority w:val="99"/>
    <w:unhideWhenUsed/>
    <w:rsid w:val="0062127D"/>
    <w:rPr>
      <w:color w:val="467886" w:themeColor="hyperlink"/>
      <w:u w:val="single"/>
    </w:rPr>
  </w:style>
  <w:style w:type="paragraph" w:styleId="NoSpacing">
    <w:name w:val="No Spacing"/>
    <w:uiPriority w:val="1"/>
    <w:qFormat/>
    <w:rsid w:val="004F5A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3D346D-FDEE-44DB-93D3-2EBDFAE5F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8</Pages>
  <Words>3052</Words>
  <Characters>17402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Mafuva</dc:creator>
  <cp:keywords/>
  <dc:description/>
  <cp:lastModifiedBy>Ioana Ecaterina Popa</cp:lastModifiedBy>
  <cp:revision>60</cp:revision>
  <dcterms:created xsi:type="dcterms:W3CDTF">2026-08-04T12:46:00Z</dcterms:created>
  <dcterms:modified xsi:type="dcterms:W3CDTF">2026-08-04T19:17:00Z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5de0bef7-4759-4012-8844-1d5ef3e76de6</vt:lpwstr>
  </property>
</Properties>
</file>